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7C32E2">
      <w:pPr>
        <w:shd w:val="clear" w:color="auto" w:fill="auto"/>
        <w:autoSpaceDE w:val="0"/>
        <w:autoSpaceDN w:val="0"/>
        <w:adjustRightInd w:val="0"/>
        <w:snapToGrid w:val="0"/>
        <w:spacing w:line="360" w:lineRule="auto"/>
        <w:rPr>
          <w:rFonts w:hint="eastAsia"/>
          <w:b/>
          <w:bCs/>
          <w:color w:val="auto"/>
          <w:sz w:val="30"/>
          <w:szCs w:val="30"/>
          <w:highlight w:val="none"/>
          <w:lang w:val="zh-CN"/>
        </w:rPr>
      </w:pPr>
    </w:p>
    <w:p w14:paraId="4DD2A94F">
      <w:pPr>
        <w:shd w:val="clear" w:color="auto" w:fill="auto"/>
        <w:autoSpaceDE w:val="0"/>
        <w:autoSpaceDN w:val="0"/>
        <w:adjustRightInd w:val="0"/>
        <w:snapToGrid w:val="0"/>
        <w:spacing w:line="360" w:lineRule="auto"/>
        <w:rPr>
          <w:color w:val="auto"/>
          <w:highlight w:val="none"/>
        </w:rPr>
      </w:pPr>
      <w:r>
        <w:rPr>
          <w:b/>
          <w:bCs/>
          <w:color w:val="auto"/>
          <w:sz w:val="30"/>
          <w:szCs w:val="30"/>
          <w:highlight w:val="none"/>
          <w:lang w:val="zh-CN"/>
        </w:rPr>
        <w:t>政府采购项目</w:t>
      </w:r>
    </w:p>
    <w:p w14:paraId="41FD53A0">
      <w:pPr>
        <w:shd w:val="clear" w:color="auto" w:fill="auto"/>
        <w:autoSpaceDE w:val="0"/>
        <w:autoSpaceDN w:val="0"/>
        <w:adjustRightInd w:val="0"/>
        <w:snapToGrid w:val="0"/>
        <w:spacing w:line="360" w:lineRule="auto"/>
        <w:rPr>
          <w:rFonts w:hint="eastAsia"/>
          <w:b/>
          <w:bCs/>
          <w:color w:val="auto"/>
          <w:sz w:val="30"/>
          <w:szCs w:val="30"/>
          <w:highlight w:val="none"/>
          <w:lang w:val="zh-CN"/>
        </w:rPr>
      </w:pPr>
      <w:r>
        <w:rPr>
          <w:b/>
          <w:bCs/>
          <w:color w:val="auto"/>
          <w:sz w:val="30"/>
          <w:szCs w:val="30"/>
          <w:highlight w:val="none"/>
          <w:lang w:val="zh-CN"/>
        </w:rPr>
        <w:t>采购项目编号：</w:t>
      </w:r>
      <w:r>
        <w:rPr>
          <w:rFonts w:hint="eastAsia"/>
          <w:b/>
          <w:bCs/>
          <w:color w:val="auto"/>
          <w:sz w:val="30"/>
          <w:szCs w:val="30"/>
          <w:highlight w:val="none"/>
          <w:lang w:val="zh-CN"/>
        </w:rPr>
        <w:t>SCZD2025-ZB-3363/001</w:t>
      </w:r>
    </w:p>
    <w:p w14:paraId="1CA2B5D7">
      <w:pPr>
        <w:shd w:val="clear" w:color="auto" w:fill="auto"/>
        <w:autoSpaceDE w:val="0"/>
        <w:autoSpaceDN w:val="0"/>
        <w:adjustRightInd w:val="0"/>
        <w:snapToGrid w:val="0"/>
        <w:spacing w:line="360" w:lineRule="auto"/>
        <w:rPr>
          <w:b/>
          <w:bCs/>
          <w:color w:val="auto"/>
          <w:sz w:val="30"/>
          <w:szCs w:val="30"/>
          <w:highlight w:val="none"/>
          <w:lang w:val="zh-CN"/>
        </w:rPr>
      </w:pPr>
    </w:p>
    <w:p w14:paraId="44E5868E">
      <w:pPr>
        <w:shd w:val="clear" w:color="auto" w:fill="auto"/>
        <w:spacing w:line="240" w:lineRule="atLeast"/>
        <w:ind w:left="1079" w:leftChars="257" w:hanging="540"/>
        <w:jc w:val="center"/>
        <w:rPr>
          <w:rFonts w:eastAsia="仿宋_GB2312"/>
          <w:b/>
          <w:color w:val="auto"/>
          <w:sz w:val="52"/>
          <w:szCs w:val="52"/>
          <w:highlight w:val="none"/>
        </w:rPr>
      </w:pPr>
    </w:p>
    <w:p w14:paraId="3FDA7A35">
      <w:pPr>
        <w:shd w:val="clear" w:color="auto" w:fill="auto"/>
        <w:spacing w:line="240" w:lineRule="atLeast"/>
        <w:ind w:left="1079" w:leftChars="257" w:hanging="540"/>
        <w:jc w:val="center"/>
        <w:rPr>
          <w:rFonts w:eastAsia="仿宋_GB2312"/>
          <w:b/>
          <w:color w:val="auto"/>
          <w:sz w:val="52"/>
          <w:szCs w:val="52"/>
          <w:highlight w:val="none"/>
        </w:rPr>
      </w:pPr>
    </w:p>
    <w:p w14:paraId="3B3F372D">
      <w:pPr>
        <w:pStyle w:val="7"/>
        <w:shd w:val="clear" w:color="auto" w:fill="auto"/>
        <w:jc w:val="center"/>
        <w:rPr>
          <w:rFonts w:hint="eastAsia"/>
          <w:b/>
          <w:bCs/>
          <w:color w:val="auto"/>
          <w:sz w:val="44"/>
          <w:szCs w:val="44"/>
          <w:highlight w:val="none"/>
          <w:lang w:val="zh-CN" w:eastAsia="zh-CN"/>
        </w:rPr>
      </w:pPr>
      <w:r>
        <w:rPr>
          <w:rFonts w:hint="eastAsia"/>
          <w:b/>
          <w:bCs/>
          <w:color w:val="auto"/>
          <w:sz w:val="44"/>
          <w:szCs w:val="44"/>
          <w:highlight w:val="none"/>
          <w:lang w:eastAsia="zh-CN"/>
        </w:rPr>
        <w:t>宝鸡市凤翔区医院三号住院楼配套医疗设备购置项目</w:t>
      </w:r>
    </w:p>
    <w:p w14:paraId="3790BAB6">
      <w:pPr>
        <w:shd w:val="clear" w:color="auto" w:fill="auto"/>
        <w:tabs>
          <w:tab w:val="left" w:pos="5670"/>
        </w:tabs>
        <w:autoSpaceDE w:val="0"/>
        <w:autoSpaceDN w:val="0"/>
        <w:adjustRightInd w:val="0"/>
        <w:snapToGrid w:val="0"/>
        <w:spacing w:line="360" w:lineRule="auto"/>
        <w:jc w:val="center"/>
        <w:rPr>
          <w:b/>
          <w:bCs/>
          <w:color w:val="auto"/>
          <w:sz w:val="52"/>
          <w:szCs w:val="52"/>
          <w:highlight w:val="none"/>
          <w:lang w:val="zh-CN"/>
        </w:rPr>
      </w:pPr>
      <w:r>
        <w:rPr>
          <w:b/>
          <w:bCs/>
          <w:color w:val="auto"/>
          <w:sz w:val="52"/>
          <w:szCs w:val="52"/>
          <w:highlight w:val="none"/>
          <w:lang w:val="zh-CN"/>
        </w:rPr>
        <w:t>招 标 文 件</w:t>
      </w:r>
    </w:p>
    <w:p w14:paraId="34D104CE">
      <w:pPr>
        <w:shd w:val="clear" w:color="auto" w:fill="auto"/>
        <w:spacing w:line="240" w:lineRule="atLeast"/>
        <w:ind w:left="1079" w:leftChars="257" w:hanging="540"/>
        <w:jc w:val="center"/>
        <w:rPr>
          <w:rFonts w:eastAsia="仿宋_GB2312"/>
          <w:b/>
          <w:color w:val="auto"/>
          <w:sz w:val="32"/>
          <w:szCs w:val="32"/>
          <w:highlight w:val="none"/>
        </w:rPr>
      </w:pPr>
    </w:p>
    <w:p w14:paraId="281F4637">
      <w:pPr>
        <w:shd w:val="clear" w:color="auto" w:fill="auto"/>
        <w:spacing w:line="240" w:lineRule="atLeast"/>
        <w:ind w:left="1079" w:leftChars="257" w:hanging="540"/>
        <w:rPr>
          <w:rFonts w:eastAsia="仿宋_GB2312"/>
          <w:b/>
          <w:color w:val="auto"/>
          <w:sz w:val="28"/>
          <w:highlight w:val="none"/>
        </w:rPr>
      </w:pPr>
    </w:p>
    <w:p w14:paraId="16E09C6E">
      <w:pPr>
        <w:shd w:val="clear" w:color="auto" w:fill="auto"/>
        <w:spacing w:line="240" w:lineRule="atLeast"/>
        <w:ind w:left="1079" w:leftChars="257" w:hanging="540"/>
        <w:jc w:val="center"/>
        <w:rPr>
          <w:rFonts w:eastAsia="仿宋_GB2312"/>
          <w:b/>
          <w:color w:val="auto"/>
          <w:sz w:val="48"/>
          <w:szCs w:val="48"/>
          <w:highlight w:val="none"/>
        </w:rPr>
      </w:pPr>
    </w:p>
    <w:p w14:paraId="55358058">
      <w:pPr>
        <w:shd w:val="clear" w:color="auto" w:fill="auto"/>
        <w:spacing w:line="240" w:lineRule="atLeast"/>
        <w:jc w:val="both"/>
        <w:rPr>
          <w:rFonts w:eastAsia="仿宋_GB2312"/>
          <w:b/>
          <w:color w:val="auto"/>
          <w:sz w:val="52"/>
          <w:highlight w:val="none"/>
        </w:rPr>
      </w:pPr>
    </w:p>
    <w:p w14:paraId="00390EA3">
      <w:pPr>
        <w:pStyle w:val="14"/>
        <w:shd w:val="clear" w:color="auto" w:fill="auto"/>
        <w:rPr>
          <w:rFonts w:ascii="Times New Roman" w:hAnsi="Times New Roman" w:eastAsia="仿宋_GB2312"/>
          <w:b/>
          <w:color w:val="auto"/>
          <w:sz w:val="52"/>
          <w:highlight w:val="none"/>
        </w:rPr>
      </w:pPr>
    </w:p>
    <w:p w14:paraId="6F189C3C">
      <w:pPr>
        <w:pStyle w:val="14"/>
        <w:shd w:val="clear" w:color="auto" w:fill="auto"/>
        <w:rPr>
          <w:rFonts w:ascii="Times New Roman" w:hAnsi="Times New Roman" w:eastAsia="仿宋_GB2312"/>
          <w:b/>
          <w:color w:val="auto"/>
          <w:sz w:val="52"/>
          <w:highlight w:val="none"/>
        </w:rPr>
      </w:pPr>
    </w:p>
    <w:p w14:paraId="5E4F4250">
      <w:pPr>
        <w:shd w:val="clear" w:color="auto" w:fill="auto"/>
        <w:spacing w:line="240" w:lineRule="atLeast"/>
        <w:ind w:left="1079" w:leftChars="257" w:hanging="540"/>
        <w:jc w:val="center"/>
        <w:rPr>
          <w:rFonts w:eastAsia="仿宋_GB2312"/>
          <w:b/>
          <w:color w:val="auto"/>
          <w:sz w:val="52"/>
          <w:highlight w:val="none"/>
        </w:rPr>
      </w:pPr>
    </w:p>
    <w:p w14:paraId="7E275D82">
      <w:pPr>
        <w:shd w:val="clear" w:color="auto" w:fill="auto"/>
        <w:tabs>
          <w:tab w:val="left" w:pos="5670"/>
        </w:tabs>
        <w:autoSpaceDE w:val="0"/>
        <w:autoSpaceDN w:val="0"/>
        <w:adjustRightInd w:val="0"/>
        <w:snapToGrid w:val="0"/>
        <w:spacing w:line="360" w:lineRule="auto"/>
        <w:jc w:val="center"/>
        <w:rPr>
          <w:rFonts w:eastAsia="楷体_GB2312"/>
          <w:b/>
          <w:bCs/>
          <w:color w:val="auto"/>
          <w:sz w:val="32"/>
          <w:szCs w:val="32"/>
          <w:highlight w:val="none"/>
        </w:rPr>
      </w:pPr>
      <w:r>
        <w:rPr>
          <w:rFonts w:eastAsia="楷体_GB2312"/>
          <w:b/>
          <w:bCs/>
          <w:color w:val="auto"/>
          <w:sz w:val="32"/>
          <w:szCs w:val="32"/>
          <w:highlight w:val="none"/>
          <w:lang w:val="zh-CN"/>
        </w:rPr>
        <w:t>陕西省采购招标有限责任公司</w:t>
      </w:r>
    </w:p>
    <w:p w14:paraId="4BFEB68F">
      <w:pPr>
        <w:shd w:val="clear" w:color="auto" w:fill="auto"/>
        <w:tabs>
          <w:tab w:val="left" w:pos="5460"/>
        </w:tabs>
        <w:autoSpaceDE w:val="0"/>
        <w:autoSpaceDN w:val="0"/>
        <w:adjustRightInd w:val="0"/>
        <w:snapToGrid w:val="0"/>
        <w:spacing w:line="360" w:lineRule="auto"/>
        <w:jc w:val="center"/>
        <w:rPr>
          <w:rFonts w:eastAsia="楷体_GB2312"/>
          <w:b/>
          <w:bCs/>
          <w:color w:val="auto"/>
          <w:sz w:val="32"/>
          <w:szCs w:val="32"/>
          <w:highlight w:val="none"/>
          <w:lang w:val="zh-CN"/>
        </w:rPr>
      </w:pPr>
      <w:r>
        <w:rPr>
          <w:rFonts w:eastAsia="楷体_GB2312"/>
          <w:b/>
          <w:bCs/>
          <w:color w:val="auto"/>
          <w:sz w:val="32"/>
          <w:szCs w:val="32"/>
          <w:highlight w:val="none"/>
          <w:lang w:val="zh-CN"/>
        </w:rPr>
        <w:t>二〇</w:t>
      </w:r>
      <w:r>
        <w:rPr>
          <w:rFonts w:hint="eastAsia" w:eastAsia="楷体_GB2312"/>
          <w:b/>
          <w:bCs/>
          <w:color w:val="auto"/>
          <w:sz w:val="32"/>
          <w:szCs w:val="32"/>
          <w:highlight w:val="none"/>
          <w:lang w:val="en-US" w:eastAsia="zh-CN"/>
        </w:rPr>
        <w:t>二</w:t>
      </w:r>
      <w:r>
        <w:rPr>
          <w:rFonts w:hint="eastAsia" w:eastAsia="楷体_GB2312"/>
          <w:b/>
          <w:bCs/>
          <w:color w:val="auto"/>
          <w:sz w:val="32"/>
          <w:szCs w:val="32"/>
          <w:highlight w:val="none"/>
          <w:lang w:val="en-US" w:eastAsia="zh-CN"/>
        </w:rPr>
        <w:t>五</w:t>
      </w:r>
      <w:r>
        <w:rPr>
          <w:rFonts w:eastAsia="楷体_GB2312"/>
          <w:b/>
          <w:bCs/>
          <w:color w:val="auto"/>
          <w:sz w:val="32"/>
          <w:szCs w:val="32"/>
          <w:highlight w:val="none"/>
          <w:lang w:val="zh-CN"/>
        </w:rPr>
        <w:t>年</w:t>
      </w:r>
      <w:r>
        <w:rPr>
          <w:rFonts w:hint="eastAsia" w:eastAsia="楷体_GB2312"/>
          <w:b/>
          <w:bCs/>
          <w:color w:val="auto"/>
          <w:sz w:val="32"/>
          <w:szCs w:val="32"/>
          <w:highlight w:val="none"/>
          <w:lang w:val="en-US" w:eastAsia="zh-CN"/>
        </w:rPr>
        <w:t>十二</w:t>
      </w:r>
      <w:r>
        <w:rPr>
          <w:rFonts w:eastAsia="楷体_GB2312"/>
          <w:b/>
          <w:bCs/>
          <w:color w:val="auto"/>
          <w:sz w:val="32"/>
          <w:szCs w:val="32"/>
          <w:highlight w:val="none"/>
          <w:lang w:val="zh-CN"/>
        </w:rPr>
        <w:t>月</w:t>
      </w:r>
    </w:p>
    <w:p w14:paraId="1326C2C8">
      <w:pPr>
        <w:shd w:val="clear" w:color="auto" w:fill="auto"/>
        <w:tabs>
          <w:tab w:val="left" w:pos="5460"/>
        </w:tabs>
        <w:autoSpaceDE w:val="0"/>
        <w:autoSpaceDN w:val="0"/>
        <w:adjustRightInd w:val="0"/>
        <w:snapToGrid w:val="0"/>
        <w:spacing w:line="360" w:lineRule="auto"/>
        <w:jc w:val="center"/>
        <w:rPr>
          <w:rFonts w:eastAsia="楷体_GB2312"/>
          <w:b/>
          <w:bCs/>
          <w:color w:val="auto"/>
          <w:sz w:val="32"/>
          <w:szCs w:val="32"/>
          <w:highlight w:val="none"/>
          <w:lang w:val="zh-CN"/>
        </w:rPr>
        <w:sectPr>
          <w:footerReference r:id="rId3" w:type="default"/>
          <w:pgSz w:w="11906" w:h="16838"/>
          <w:pgMar w:top="1418" w:right="1418" w:bottom="1418" w:left="1418" w:header="851" w:footer="992" w:gutter="0"/>
          <w:cols w:space="720" w:num="1"/>
          <w:docGrid w:type="linesAndChars" w:linePitch="312" w:charSpace="0"/>
        </w:sectPr>
      </w:pPr>
    </w:p>
    <w:p w14:paraId="7463B65E">
      <w:pPr>
        <w:shd w:val="clear" w:color="auto" w:fill="auto"/>
        <w:tabs>
          <w:tab w:val="left" w:pos="5460"/>
        </w:tabs>
        <w:autoSpaceDE w:val="0"/>
        <w:autoSpaceDN w:val="0"/>
        <w:adjustRightInd w:val="0"/>
        <w:snapToGrid w:val="0"/>
        <w:spacing w:line="360" w:lineRule="auto"/>
        <w:jc w:val="center"/>
        <w:rPr>
          <w:rFonts w:eastAsia="仿宋_GB2312"/>
          <w:b/>
          <w:color w:val="auto"/>
          <w:sz w:val="32"/>
          <w:highlight w:val="none"/>
        </w:rPr>
      </w:pPr>
      <w:r>
        <w:rPr>
          <w:rFonts w:eastAsia="仿宋_GB2312"/>
          <w:b/>
          <w:color w:val="auto"/>
          <w:sz w:val="32"/>
          <w:highlight w:val="none"/>
        </w:rPr>
        <w:t>目  录</w:t>
      </w:r>
    </w:p>
    <w:p w14:paraId="197E8346">
      <w:pPr>
        <w:pStyle w:val="25"/>
        <w:shd w:val="clear" w:color="auto" w:fill="auto"/>
        <w:tabs>
          <w:tab w:val="right" w:leader="dot" w:pos="9070"/>
        </w:tabs>
        <w:rPr>
          <w:color w:val="auto"/>
          <w:highlight w:val="none"/>
        </w:rPr>
      </w:pPr>
      <w:r>
        <w:rPr>
          <w:color w:val="auto"/>
          <w:kern w:val="0"/>
          <w:sz w:val="24"/>
          <w:highlight w:val="none"/>
        </w:rPr>
        <w:fldChar w:fldCharType="begin"/>
      </w:r>
      <w:r>
        <w:rPr>
          <w:color w:val="auto"/>
          <w:kern w:val="0"/>
          <w:sz w:val="24"/>
          <w:highlight w:val="none"/>
        </w:rPr>
        <w:instrText xml:space="preserve"> TOC \o "1-3" \h \z \u </w:instrText>
      </w:r>
      <w:r>
        <w:rPr>
          <w:color w:val="auto"/>
          <w:kern w:val="0"/>
          <w:sz w:val="24"/>
          <w:highlight w:val="none"/>
        </w:rPr>
        <w:fldChar w:fldCharType="separate"/>
      </w:r>
      <w:r>
        <w:rPr>
          <w:color w:val="auto"/>
          <w:kern w:val="0"/>
          <w:highlight w:val="none"/>
        </w:rPr>
        <w:fldChar w:fldCharType="begin"/>
      </w:r>
      <w:r>
        <w:rPr>
          <w:color w:val="auto"/>
          <w:kern w:val="0"/>
          <w:highlight w:val="none"/>
        </w:rPr>
        <w:instrText xml:space="preserve"> HYPERLINK \l _Toc171 </w:instrText>
      </w:r>
      <w:r>
        <w:rPr>
          <w:color w:val="auto"/>
          <w:kern w:val="0"/>
          <w:highlight w:val="none"/>
        </w:rPr>
        <w:fldChar w:fldCharType="separate"/>
      </w:r>
      <w:r>
        <w:rPr>
          <w:rFonts w:ascii="Times New Roman" w:hAnsi="Times New Roman" w:eastAsia="仿宋_GB2312"/>
          <w:color w:val="auto"/>
          <w:highlight w:val="none"/>
        </w:rPr>
        <w:t>第一章  招标公告</w:t>
      </w:r>
      <w:r>
        <w:rPr>
          <w:color w:val="auto"/>
          <w:highlight w:val="none"/>
        </w:rPr>
        <w:tab/>
      </w:r>
      <w:r>
        <w:rPr>
          <w:color w:val="auto"/>
          <w:highlight w:val="none"/>
        </w:rPr>
        <w:fldChar w:fldCharType="begin"/>
      </w:r>
      <w:r>
        <w:rPr>
          <w:color w:val="auto"/>
          <w:highlight w:val="none"/>
        </w:rPr>
        <w:instrText xml:space="preserve"> PAGEREF _Toc171 \h </w:instrText>
      </w:r>
      <w:r>
        <w:rPr>
          <w:color w:val="auto"/>
          <w:highlight w:val="none"/>
        </w:rPr>
        <w:fldChar w:fldCharType="separate"/>
      </w:r>
      <w:r>
        <w:rPr>
          <w:color w:val="auto"/>
          <w:highlight w:val="none"/>
        </w:rPr>
        <w:t>1</w:t>
      </w:r>
      <w:r>
        <w:rPr>
          <w:color w:val="auto"/>
          <w:highlight w:val="none"/>
        </w:rPr>
        <w:fldChar w:fldCharType="end"/>
      </w:r>
      <w:r>
        <w:rPr>
          <w:color w:val="auto"/>
          <w:kern w:val="0"/>
          <w:highlight w:val="none"/>
        </w:rPr>
        <w:fldChar w:fldCharType="end"/>
      </w:r>
    </w:p>
    <w:p w14:paraId="33AA0A76">
      <w:pPr>
        <w:pStyle w:val="25"/>
        <w:shd w:val="clear" w:color="auto" w:fill="auto"/>
        <w:tabs>
          <w:tab w:val="right" w:leader="dot" w:pos="9070"/>
        </w:tabs>
        <w:rPr>
          <w:color w:val="auto"/>
          <w:highlight w:val="none"/>
        </w:rPr>
      </w:pPr>
      <w:r>
        <w:rPr>
          <w:rFonts w:ascii="Times New Roman" w:hAnsi="Times New Roman"/>
          <w:color w:val="auto"/>
          <w:kern w:val="0"/>
          <w:szCs w:val="24"/>
          <w:highlight w:val="none"/>
        </w:rPr>
        <w:fldChar w:fldCharType="begin"/>
      </w:r>
      <w:r>
        <w:rPr>
          <w:rFonts w:ascii="Times New Roman" w:hAnsi="Times New Roman"/>
          <w:color w:val="auto"/>
          <w:kern w:val="0"/>
          <w:szCs w:val="24"/>
          <w:highlight w:val="none"/>
        </w:rPr>
        <w:instrText xml:space="preserve"> HYPERLINK \l _Toc31688 </w:instrText>
      </w:r>
      <w:r>
        <w:rPr>
          <w:rFonts w:ascii="Times New Roman" w:hAnsi="Times New Roman"/>
          <w:color w:val="auto"/>
          <w:kern w:val="0"/>
          <w:szCs w:val="24"/>
          <w:highlight w:val="none"/>
        </w:rPr>
        <w:fldChar w:fldCharType="separate"/>
      </w:r>
      <w:r>
        <w:rPr>
          <w:rFonts w:ascii="Times New Roman" w:hAnsi="Times New Roman" w:eastAsia="仿宋_GB2312"/>
          <w:color w:val="auto"/>
          <w:highlight w:val="none"/>
        </w:rPr>
        <w:t>第二章  投标人须知</w:t>
      </w:r>
      <w:r>
        <w:rPr>
          <w:color w:val="auto"/>
          <w:highlight w:val="none"/>
        </w:rPr>
        <w:tab/>
      </w:r>
      <w:r>
        <w:rPr>
          <w:color w:val="auto"/>
          <w:highlight w:val="none"/>
        </w:rPr>
        <w:fldChar w:fldCharType="begin"/>
      </w:r>
      <w:r>
        <w:rPr>
          <w:color w:val="auto"/>
          <w:highlight w:val="none"/>
        </w:rPr>
        <w:instrText xml:space="preserve"> PAGEREF _Toc31688 \h </w:instrText>
      </w:r>
      <w:r>
        <w:rPr>
          <w:color w:val="auto"/>
          <w:highlight w:val="none"/>
        </w:rPr>
        <w:fldChar w:fldCharType="separate"/>
      </w:r>
      <w:r>
        <w:rPr>
          <w:color w:val="auto"/>
          <w:highlight w:val="none"/>
        </w:rPr>
        <w:t>8</w:t>
      </w:r>
      <w:r>
        <w:rPr>
          <w:color w:val="auto"/>
          <w:highlight w:val="none"/>
        </w:rPr>
        <w:fldChar w:fldCharType="end"/>
      </w:r>
      <w:r>
        <w:rPr>
          <w:rFonts w:ascii="Times New Roman" w:hAnsi="Times New Roman"/>
          <w:color w:val="auto"/>
          <w:kern w:val="0"/>
          <w:szCs w:val="24"/>
          <w:highlight w:val="none"/>
        </w:rPr>
        <w:fldChar w:fldCharType="end"/>
      </w:r>
    </w:p>
    <w:p w14:paraId="5CC661D5">
      <w:pPr>
        <w:pStyle w:val="25"/>
        <w:shd w:val="clear" w:color="auto" w:fill="auto"/>
        <w:tabs>
          <w:tab w:val="right" w:leader="dot" w:pos="9070"/>
        </w:tabs>
        <w:rPr>
          <w:color w:val="auto"/>
          <w:highlight w:val="none"/>
        </w:rPr>
      </w:pPr>
      <w:r>
        <w:rPr>
          <w:rFonts w:ascii="Times New Roman" w:hAnsi="Times New Roman"/>
          <w:color w:val="auto"/>
          <w:kern w:val="0"/>
          <w:szCs w:val="24"/>
          <w:highlight w:val="none"/>
        </w:rPr>
        <w:fldChar w:fldCharType="begin"/>
      </w:r>
      <w:r>
        <w:rPr>
          <w:rFonts w:ascii="Times New Roman" w:hAnsi="Times New Roman"/>
          <w:color w:val="auto"/>
          <w:kern w:val="0"/>
          <w:szCs w:val="24"/>
          <w:highlight w:val="none"/>
        </w:rPr>
        <w:instrText xml:space="preserve"> HYPERLINK \l _Toc15805 </w:instrText>
      </w:r>
      <w:r>
        <w:rPr>
          <w:rFonts w:ascii="Times New Roman" w:hAnsi="Times New Roman"/>
          <w:color w:val="auto"/>
          <w:kern w:val="0"/>
          <w:szCs w:val="24"/>
          <w:highlight w:val="none"/>
        </w:rPr>
        <w:fldChar w:fldCharType="separate"/>
      </w:r>
      <w:r>
        <w:rPr>
          <w:rFonts w:ascii="Times New Roman" w:hAnsi="Times New Roman" w:eastAsia="仿宋_GB2312"/>
          <w:color w:val="auto"/>
          <w:highlight w:val="none"/>
        </w:rPr>
        <w:t>第三章  评标方法和标准</w:t>
      </w:r>
      <w:r>
        <w:rPr>
          <w:color w:val="auto"/>
          <w:highlight w:val="none"/>
        </w:rPr>
        <w:tab/>
      </w:r>
      <w:r>
        <w:rPr>
          <w:color w:val="auto"/>
          <w:highlight w:val="none"/>
        </w:rPr>
        <w:fldChar w:fldCharType="begin"/>
      </w:r>
      <w:r>
        <w:rPr>
          <w:color w:val="auto"/>
          <w:highlight w:val="none"/>
        </w:rPr>
        <w:instrText xml:space="preserve"> PAGEREF _Toc15805 \h </w:instrText>
      </w:r>
      <w:r>
        <w:rPr>
          <w:color w:val="auto"/>
          <w:highlight w:val="none"/>
        </w:rPr>
        <w:fldChar w:fldCharType="separate"/>
      </w:r>
      <w:r>
        <w:rPr>
          <w:color w:val="auto"/>
          <w:highlight w:val="none"/>
        </w:rPr>
        <w:t>35</w:t>
      </w:r>
      <w:r>
        <w:rPr>
          <w:color w:val="auto"/>
          <w:highlight w:val="none"/>
        </w:rPr>
        <w:fldChar w:fldCharType="end"/>
      </w:r>
      <w:r>
        <w:rPr>
          <w:rFonts w:ascii="Times New Roman" w:hAnsi="Times New Roman"/>
          <w:color w:val="auto"/>
          <w:kern w:val="0"/>
          <w:szCs w:val="24"/>
          <w:highlight w:val="none"/>
        </w:rPr>
        <w:fldChar w:fldCharType="end"/>
      </w:r>
    </w:p>
    <w:p w14:paraId="1E6948EC">
      <w:pPr>
        <w:pStyle w:val="25"/>
        <w:shd w:val="clear" w:color="auto" w:fill="auto"/>
        <w:tabs>
          <w:tab w:val="right" w:leader="dot" w:pos="9070"/>
        </w:tabs>
        <w:rPr>
          <w:color w:val="auto"/>
          <w:highlight w:val="none"/>
        </w:rPr>
      </w:pPr>
      <w:r>
        <w:rPr>
          <w:rFonts w:ascii="Times New Roman" w:hAnsi="Times New Roman"/>
          <w:color w:val="auto"/>
          <w:kern w:val="0"/>
          <w:szCs w:val="24"/>
          <w:highlight w:val="none"/>
        </w:rPr>
        <w:fldChar w:fldCharType="begin"/>
      </w:r>
      <w:r>
        <w:rPr>
          <w:rFonts w:ascii="Times New Roman" w:hAnsi="Times New Roman"/>
          <w:color w:val="auto"/>
          <w:kern w:val="0"/>
          <w:szCs w:val="24"/>
          <w:highlight w:val="none"/>
        </w:rPr>
        <w:instrText xml:space="preserve"> HYPERLINK \l _Toc27604 </w:instrText>
      </w:r>
      <w:r>
        <w:rPr>
          <w:rFonts w:ascii="Times New Roman" w:hAnsi="Times New Roman"/>
          <w:color w:val="auto"/>
          <w:kern w:val="0"/>
          <w:szCs w:val="24"/>
          <w:highlight w:val="none"/>
        </w:rPr>
        <w:fldChar w:fldCharType="separate"/>
      </w:r>
      <w:r>
        <w:rPr>
          <w:rFonts w:ascii="Times New Roman" w:eastAsia="仿宋_GB2312"/>
          <w:color w:val="auto"/>
          <w:szCs w:val="32"/>
          <w:highlight w:val="none"/>
        </w:rPr>
        <w:t>第四章  拟签订的合同文本</w:t>
      </w:r>
      <w:r>
        <w:rPr>
          <w:color w:val="auto"/>
          <w:highlight w:val="none"/>
        </w:rPr>
        <w:tab/>
      </w:r>
      <w:r>
        <w:rPr>
          <w:color w:val="auto"/>
          <w:highlight w:val="none"/>
        </w:rPr>
        <w:fldChar w:fldCharType="begin"/>
      </w:r>
      <w:r>
        <w:rPr>
          <w:color w:val="auto"/>
          <w:highlight w:val="none"/>
        </w:rPr>
        <w:instrText xml:space="preserve"> PAGEREF _Toc27604 \h </w:instrText>
      </w:r>
      <w:r>
        <w:rPr>
          <w:color w:val="auto"/>
          <w:highlight w:val="none"/>
        </w:rPr>
        <w:fldChar w:fldCharType="separate"/>
      </w:r>
      <w:r>
        <w:rPr>
          <w:color w:val="auto"/>
          <w:highlight w:val="none"/>
        </w:rPr>
        <w:t>46</w:t>
      </w:r>
      <w:r>
        <w:rPr>
          <w:color w:val="auto"/>
          <w:highlight w:val="none"/>
        </w:rPr>
        <w:fldChar w:fldCharType="end"/>
      </w:r>
      <w:r>
        <w:rPr>
          <w:rFonts w:ascii="Times New Roman" w:hAnsi="Times New Roman"/>
          <w:color w:val="auto"/>
          <w:kern w:val="0"/>
          <w:szCs w:val="24"/>
          <w:highlight w:val="none"/>
        </w:rPr>
        <w:fldChar w:fldCharType="end"/>
      </w:r>
    </w:p>
    <w:p w14:paraId="58AD59DF">
      <w:pPr>
        <w:pStyle w:val="25"/>
        <w:shd w:val="clear" w:color="auto" w:fill="auto"/>
        <w:tabs>
          <w:tab w:val="right" w:leader="dot" w:pos="9070"/>
        </w:tabs>
        <w:rPr>
          <w:color w:val="auto"/>
          <w:highlight w:val="none"/>
        </w:rPr>
      </w:pPr>
      <w:r>
        <w:rPr>
          <w:rFonts w:ascii="Times New Roman" w:hAnsi="Times New Roman"/>
          <w:color w:val="auto"/>
          <w:kern w:val="0"/>
          <w:szCs w:val="24"/>
          <w:highlight w:val="none"/>
        </w:rPr>
        <w:fldChar w:fldCharType="begin"/>
      </w:r>
      <w:r>
        <w:rPr>
          <w:rFonts w:ascii="Times New Roman" w:hAnsi="Times New Roman"/>
          <w:color w:val="auto"/>
          <w:kern w:val="0"/>
          <w:szCs w:val="24"/>
          <w:highlight w:val="none"/>
        </w:rPr>
        <w:instrText xml:space="preserve"> HYPERLINK \l _Toc31381 </w:instrText>
      </w:r>
      <w:r>
        <w:rPr>
          <w:rFonts w:ascii="Times New Roman" w:hAnsi="Times New Roman"/>
          <w:color w:val="auto"/>
          <w:kern w:val="0"/>
          <w:szCs w:val="24"/>
          <w:highlight w:val="none"/>
        </w:rPr>
        <w:fldChar w:fldCharType="separate"/>
      </w:r>
      <w:r>
        <w:rPr>
          <w:rFonts w:ascii="Times New Roman" w:hAnsi="Times New Roman" w:eastAsia="仿宋_GB2312"/>
          <w:color w:val="auto"/>
          <w:highlight w:val="none"/>
        </w:rPr>
        <w:t>第五章  采购需求及要求</w:t>
      </w:r>
      <w:r>
        <w:rPr>
          <w:color w:val="auto"/>
          <w:highlight w:val="none"/>
        </w:rPr>
        <w:tab/>
      </w:r>
      <w:r>
        <w:rPr>
          <w:color w:val="auto"/>
          <w:highlight w:val="none"/>
        </w:rPr>
        <w:fldChar w:fldCharType="begin"/>
      </w:r>
      <w:r>
        <w:rPr>
          <w:color w:val="auto"/>
          <w:highlight w:val="none"/>
        </w:rPr>
        <w:instrText xml:space="preserve"> PAGEREF _Toc31381 \h </w:instrText>
      </w:r>
      <w:r>
        <w:rPr>
          <w:color w:val="auto"/>
          <w:highlight w:val="none"/>
        </w:rPr>
        <w:fldChar w:fldCharType="separate"/>
      </w:r>
      <w:r>
        <w:rPr>
          <w:color w:val="auto"/>
          <w:highlight w:val="none"/>
        </w:rPr>
        <w:t>49</w:t>
      </w:r>
      <w:r>
        <w:rPr>
          <w:color w:val="auto"/>
          <w:highlight w:val="none"/>
        </w:rPr>
        <w:fldChar w:fldCharType="end"/>
      </w:r>
      <w:r>
        <w:rPr>
          <w:rFonts w:ascii="Times New Roman" w:hAnsi="Times New Roman"/>
          <w:color w:val="auto"/>
          <w:kern w:val="0"/>
          <w:szCs w:val="24"/>
          <w:highlight w:val="none"/>
        </w:rPr>
        <w:fldChar w:fldCharType="end"/>
      </w:r>
    </w:p>
    <w:p w14:paraId="47BB10E4">
      <w:pPr>
        <w:pStyle w:val="25"/>
        <w:shd w:val="clear" w:color="auto" w:fill="auto"/>
        <w:tabs>
          <w:tab w:val="right" w:leader="dot" w:pos="9070"/>
        </w:tabs>
        <w:rPr>
          <w:color w:val="auto"/>
          <w:highlight w:val="none"/>
        </w:rPr>
      </w:pPr>
      <w:r>
        <w:rPr>
          <w:rFonts w:ascii="Times New Roman" w:hAnsi="Times New Roman"/>
          <w:color w:val="auto"/>
          <w:kern w:val="0"/>
          <w:szCs w:val="24"/>
          <w:highlight w:val="none"/>
        </w:rPr>
        <w:fldChar w:fldCharType="begin"/>
      </w:r>
      <w:r>
        <w:rPr>
          <w:rFonts w:ascii="Times New Roman" w:hAnsi="Times New Roman"/>
          <w:color w:val="auto"/>
          <w:kern w:val="0"/>
          <w:szCs w:val="24"/>
          <w:highlight w:val="none"/>
        </w:rPr>
        <w:instrText xml:space="preserve"> HYPERLINK \l _Toc26898 </w:instrText>
      </w:r>
      <w:r>
        <w:rPr>
          <w:rFonts w:ascii="Times New Roman" w:hAnsi="Times New Roman"/>
          <w:color w:val="auto"/>
          <w:kern w:val="0"/>
          <w:szCs w:val="24"/>
          <w:highlight w:val="none"/>
        </w:rPr>
        <w:fldChar w:fldCharType="separate"/>
      </w:r>
      <w:r>
        <w:rPr>
          <w:rFonts w:ascii="Times New Roman" w:hAnsi="Times New Roman" w:eastAsia="仿宋_GB2312"/>
          <w:color w:val="auto"/>
          <w:highlight w:val="none"/>
        </w:rPr>
        <w:t>第六章  投标文件格式</w:t>
      </w:r>
      <w:r>
        <w:rPr>
          <w:color w:val="auto"/>
          <w:highlight w:val="none"/>
        </w:rPr>
        <w:tab/>
      </w:r>
      <w:r>
        <w:rPr>
          <w:color w:val="auto"/>
          <w:highlight w:val="none"/>
        </w:rPr>
        <w:fldChar w:fldCharType="begin"/>
      </w:r>
      <w:r>
        <w:rPr>
          <w:color w:val="auto"/>
          <w:highlight w:val="none"/>
        </w:rPr>
        <w:instrText xml:space="preserve"> PAGEREF _Toc26898 \h </w:instrText>
      </w:r>
      <w:r>
        <w:rPr>
          <w:color w:val="auto"/>
          <w:highlight w:val="none"/>
        </w:rPr>
        <w:fldChar w:fldCharType="separate"/>
      </w:r>
      <w:r>
        <w:rPr>
          <w:color w:val="auto"/>
          <w:highlight w:val="none"/>
        </w:rPr>
        <w:t>54</w:t>
      </w:r>
      <w:r>
        <w:rPr>
          <w:color w:val="auto"/>
          <w:highlight w:val="none"/>
        </w:rPr>
        <w:fldChar w:fldCharType="end"/>
      </w:r>
      <w:r>
        <w:rPr>
          <w:rFonts w:ascii="Times New Roman" w:hAnsi="Times New Roman"/>
          <w:color w:val="auto"/>
          <w:kern w:val="0"/>
          <w:szCs w:val="24"/>
          <w:highlight w:val="none"/>
        </w:rPr>
        <w:fldChar w:fldCharType="end"/>
      </w:r>
    </w:p>
    <w:p w14:paraId="2EE76C95">
      <w:pPr>
        <w:pStyle w:val="33"/>
        <w:shd w:val="clear" w:color="auto" w:fill="auto"/>
        <w:spacing w:line="500" w:lineRule="exact"/>
        <w:outlineLvl w:val="9"/>
        <w:rPr>
          <w:rFonts w:ascii="Times New Roman" w:hAnsi="Times New Roman"/>
          <w:color w:val="auto"/>
          <w:kern w:val="0"/>
          <w:sz w:val="24"/>
          <w:highlight w:val="none"/>
        </w:rPr>
      </w:pPr>
      <w:r>
        <w:rPr>
          <w:rFonts w:ascii="Times New Roman" w:hAnsi="Times New Roman"/>
          <w:color w:val="auto"/>
          <w:kern w:val="0"/>
          <w:szCs w:val="24"/>
          <w:highlight w:val="none"/>
        </w:rPr>
        <w:fldChar w:fldCharType="end"/>
      </w:r>
      <w:bookmarkStart w:id="0" w:name="_Toc22782"/>
      <w:bookmarkStart w:id="1" w:name="_Toc216582804"/>
      <w:bookmarkStart w:id="2" w:name="_Toc17230"/>
      <w:r>
        <w:rPr>
          <w:rFonts w:ascii="Times New Roman" w:hAnsi="Times New Roman"/>
          <w:color w:val="auto"/>
          <w:kern w:val="0"/>
          <w:sz w:val="24"/>
          <w:highlight w:val="none"/>
        </w:rPr>
        <w:t xml:space="preserve">       </w:t>
      </w:r>
    </w:p>
    <w:p w14:paraId="23EE8BEC">
      <w:pPr>
        <w:pStyle w:val="33"/>
        <w:shd w:val="clear" w:color="auto" w:fill="auto"/>
        <w:rPr>
          <w:rFonts w:ascii="Times New Roman" w:hAnsi="Times New Roman" w:eastAsia="仿宋_GB2312"/>
          <w:color w:val="auto"/>
          <w:highlight w:val="none"/>
        </w:rPr>
        <w:sectPr>
          <w:footerReference r:id="rId4" w:type="default"/>
          <w:pgSz w:w="11906" w:h="16838"/>
          <w:pgMar w:top="1418" w:right="1418" w:bottom="1418" w:left="1418" w:header="851" w:footer="992" w:gutter="0"/>
          <w:pgNumType w:start="1"/>
          <w:cols w:space="720" w:num="1"/>
          <w:docGrid w:type="linesAndChars" w:linePitch="312" w:charSpace="0"/>
        </w:sectPr>
      </w:pPr>
    </w:p>
    <w:p w14:paraId="30E24772">
      <w:pPr>
        <w:pStyle w:val="33"/>
        <w:shd w:val="clear" w:color="auto" w:fill="auto"/>
        <w:rPr>
          <w:rFonts w:ascii="Times New Roman" w:hAnsi="Times New Roman"/>
          <w:color w:val="auto"/>
          <w:highlight w:val="none"/>
        </w:rPr>
      </w:pPr>
      <w:bookmarkStart w:id="3" w:name="_Toc171"/>
      <w:r>
        <w:rPr>
          <w:rFonts w:ascii="Times New Roman" w:hAnsi="Times New Roman" w:eastAsia="仿宋_GB2312"/>
          <w:color w:val="auto"/>
          <w:highlight w:val="none"/>
        </w:rPr>
        <w:t>第一章  招标公告</w:t>
      </w:r>
      <w:bookmarkEnd w:id="3"/>
    </w:p>
    <w:p w14:paraId="487A9006">
      <w:pPr>
        <w:shd w:val="clear" w:color="auto" w:fill="auto"/>
        <w:jc w:val="center"/>
        <w:rPr>
          <w:rFonts w:hint="eastAsia" w:ascii="仿宋_GB2312" w:hAnsi="仿宋_GB2312" w:eastAsia="仿宋_GB2312" w:cs="仿宋_GB2312"/>
          <w:b/>
          <w:bCs/>
          <w:color w:val="auto"/>
          <w:sz w:val="24"/>
          <w:szCs w:val="32"/>
          <w:highlight w:val="none"/>
        </w:rPr>
      </w:pPr>
      <w:r>
        <w:rPr>
          <w:rFonts w:hint="eastAsia" w:ascii="仿宋_GB2312" w:hAnsi="仿宋_GB2312" w:eastAsia="仿宋_GB2312" w:cs="仿宋_GB2312"/>
          <w:b/>
          <w:bCs/>
          <w:color w:val="auto"/>
          <w:sz w:val="24"/>
          <w:szCs w:val="32"/>
          <w:highlight w:val="none"/>
          <w:u w:val="single"/>
          <w:lang w:eastAsia="zh-CN"/>
        </w:rPr>
        <w:t>宝鸡市凤翔区医院三号住院楼配套医疗设备购置项目</w:t>
      </w:r>
      <w:r>
        <w:rPr>
          <w:rFonts w:hint="eastAsia" w:ascii="仿宋_GB2312" w:hAnsi="仿宋_GB2312" w:eastAsia="仿宋_GB2312" w:cs="仿宋_GB2312"/>
          <w:b/>
          <w:bCs/>
          <w:color w:val="auto"/>
          <w:sz w:val="24"/>
          <w:szCs w:val="32"/>
          <w:highlight w:val="none"/>
        </w:rPr>
        <w:t>招标公告</w:t>
      </w:r>
    </w:p>
    <w:p w14:paraId="5FB9853D">
      <w:pPr>
        <w:shd w:val="clear" w:color="auto" w:fill="auto"/>
        <w:spacing w:line="360" w:lineRule="auto"/>
        <w:jc w:val="center"/>
        <w:rPr>
          <w:rFonts w:hint="eastAsia" w:ascii="仿宋" w:hAnsi="仿宋" w:eastAsia="仿宋" w:cs="仿宋"/>
          <w:b/>
          <w:bCs/>
          <w:color w:val="auto"/>
          <w:sz w:val="24"/>
          <w:szCs w:val="24"/>
          <w:highlight w:val="none"/>
        </w:rPr>
      </w:pPr>
    </w:p>
    <w:p w14:paraId="2B99DD4B">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360" w:lineRule="auto"/>
        <w:ind w:left="0" w:right="0"/>
        <w:jc w:val="left"/>
        <w:textAlignment w:val="baseline"/>
        <w:rPr>
          <w:rFonts w:hint="eastAsia" w:ascii="仿宋" w:hAnsi="仿宋" w:eastAsia="仿宋" w:cs="仿宋"/>
          <w:b w:val="0"/>
          <w:bCs w:val="0"/>
          <w:sz w:val="24"/>
          <w:szCs w:val="24"/>
        </w:rPr>
      </w:pPr>
      <w:r>
        <w:rPr>
          <w:rStyle w:val="39"/>
          <w:rFonts w:hint="eastAsia" w:ascii="仿宋" w:hAnsi="仿宋" w:eastAsia="仿宋" w:cs="仿宋"/>
          <w:b/>
          <w:bCs/>
          <w:i w:val="0"/>
          <w:iCs w:val="0"/>
          <w:caps w:val="0"/>
          <w:color w:val="333333"/>
          <w:spacing w:val="0"/>
          <w:sz w:val="24"/>
          <w:szCs w:val="24"/>
          <w:shd w:val="clear" w:color="auto" w:fill="FFFFFF"/>
          <w:vertAlign w:val="baseline"/>
        </w:rPr>
        <w:t>项目概况</w:t>
      </w:r>
    </w:p>
    <w:p w14:paraId="35F31B9A">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360" w:lineRule="auto"/>
        <w:ind w:left="0" w:right="0" w:firstLine="24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三号住院楼配套医疗设备购置项目招标项目的潜在投标人应在全国公共资源交易平台（陕西省·宝鸡市）网站〖首页〉电子交易平台〉陕西政府采购交易系统〉企业端〗获取招标文件，并于 2026年01月08日 09时00分 （北京时间）前递交投标文件。</w:t>
      </w:r>
    </w:p>
    <w:p w14:paraId="08AA066A">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0" w:afterAutospacing="0" w:line="360" w:lineRule="auto"/>
        <w:ind w:left="0" w:right="0" w:firstLine="0"/>
        <w:jc w:val="left"/>
        <w:textAlignment w:val="baseline"/>
        <w:rPr>
          <w:rFonts w:hint="eastAsia" w:ascii="仿宋" w:hAnsi="仿宋" w:eastAsia="仿宋" w:cs="仿宋"/>
          <w:b w:val="0"/>
          <w:bCs w:val="0"/>
          <w:i w:val="0"/>
          <w:iCs w:val="0"/>
          <w:caps w:val="0"/>
          <w:color w:val="333333"/>
          <w:spacing w:val="0"/>
          <w:sz w:val="24"/>
          <w:szCs w:val="24"/>
        </w:rPr>
      </w:pPr>
      <w:r>
        <w:rPr>
          <w:rStyle w:val="39"/>
          <w:rFonts w:hint="eastAsia" w:ascii="仿宋" w:hAnsi="仿宋" w:eastAsia="仿宋" w:cs="仿宋"/>
          <w:b/>
          <w:bCs/>
          <w:i w:val="0"/>
          <w:iCs w:val="0"/>
          <w:caps w:val="0"/>
          <w:color w:val="333333"/>
          <w:spacing w:val="0"/>
          <w:sz w:val="24"/>
          <w:szCs w:val="24"/>
          <w:shd w:val="clear" w:color="auto" w:fill="FFFFFF"/>
          <w:vertAlign w:val="baseline"/>
        </w:rPr>
        <w:t>一、项目基本情况</w:t>
      </w:r>
    </w:p>
    <w:p w14:paraId="5595B40C">
      <w:pPr>
        <w:pStyle w:val="3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240"/>
        <w:jc w:val="both"/>
        <w:textAlignment w:val="baseline"/>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vertAlign w:val="baseline"/>
        </w:rPr>
        <w:t>项目编号：SCZD2025-ZB-3363-001</w:t>
      </w:r>
    </w:p>
    <w:p w14:paraId="3D57FDDA">
      <w:pPr>
        <w:pStyle w:val="3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240"/>
        <w:jc w:val="both"/>
        <w:textAlignment w:val="baseline"/>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vertAlign w:val="baseline"/>
        </w:rPr>
        <w:t>项目名称：三号住院楼配套医疗设备购置项目</w:t>
      </w:r>
    </w:p>
    <w:p w14:paraId="5C81F1C6">
      <w:pPr>
        <w:pStyle w:val="3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240"/>
        <w:jc w:val="both"/>
        <w:textAlignment w:val="baseline"/>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vertAlign w:val="baseline"/>
        </w:rPr>
        <w:t>采购方式：公开招标</w:t>
      </w:r>
    </w:p>
    <w:p w14:paraId="6C525DC1">
      <w:pPr>
        <w:pStyle w:val="3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240"/>
        <w:jc w:val="both"/>
        <w:textAlignment w:val="baseline"/>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vertAlign w:val="baseline"/>
        </w:rPr>
        <w:t>预算金额：7,802,000.00元</w:t>
      </w:r>
    </w:p>
    <w:p w14:paraId="77E22C61">
      <w:pPr>
        <w:pStyle w:val="3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240"/>
        <w:jc w:val="both"/>
        <w:textAlignment w:val="baseline"/>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vertAlign w:val="baseline"/>
        </w:rPr>
        <w:t>采购需求：</w:t>
      </w:r>
    </w:p>
    <w:p w14:paraId="0F551FBA">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合同包1(ICU桥式吊塔等):</w:t>
      </w:r>
    </w:p>
    <w:p w14:paraId="341866B3">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15"/>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合同包预算金额：1,812,000.00元</w:t>
      </w:r>
    </w:p>
    <w:p w14:paraId="446CAB35">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15"/>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合同包最高限价：1,812,000.00元</w:t>
      </w:r>
    </w:p>
    <w:tbl>
      <w:tblPr>
        <w:tblStyle w:val="36"/>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88"/>
        <w:gridCol w:w="1403"/>
        <w:gridCol w:w="3033"/>
        <w:gridCol w:w="860"/>
        <w:gridCol w:w="1259"/>
        <w:gridCol w:w="2043"/>
      </w:tblGrid>
      <w:tr w14:paraId="305CD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8" w:hRule="atLeast"/>
          <w:tblHeader/>
        </w:trPr>
        <w:tc>
          <w:tcPr>
            <w:tcW w:w="320"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0E953F7E">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ar"/>
              </w:rPr>
              <w:t>品目号</w:t>
            </w:r>
          </w:p>
        </w:tc>
        <w:tc>
          <w:tcPr>
            <w:tcW w:w="763"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1C092B2E">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ar"/>
              </w:rPr>
              <w:t>品目名称</w:t>
            </w:r>
          </w:p>
        </w:tc>
        <w:tc>
          <w:tcPr>
            <w:tcW w:w="1650"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7CC2270D">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ar"/>
              </w:rPr>
              <w:t>采购标的</w:t>
            </w:r>
          </w:p>
        </w:tc>
        <w:tc>
          <w:tcPr>
            <w:tcW w:w="468"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710C1648">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ar"/>
              </w:rPr>
              <w:t>数量（单位）</w:t>
            </w:r>
          </w:p>
        </w:tc>
        <w:tc>
          <w:tcPr>
            <w:tcW w:w="685"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57FB4B74">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ar"/>
              </w:rPr>
              <w:t>技术规格、参数及要求</w:t>
            </w:r>
          </w:p>
        </w:tc>
        <w:tc>
          <w:tcPr>
            <w:tcW w:w="1111"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26D978FA">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ar"/>
              </w:rPr>
              <w:t>品目预算(元)</w:t>
            </w:r>
          </w:p>
        </w:tc>
      </w:tr>
      <w:tr w14:paraId="019C4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0" w:hRule="atLeast"/>
        </w:trPr>
        <w:tc>
          <w:tcPr>
            <w:tcW w:w="320"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12B4DAFB">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1-1</w:t>
            </w:r>
          </w:p>
        </w:tc>
        <w:tc>
          <w:tcPr>
            <w:tcW w:w="763"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6EFA90EB">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其他医疗设备</w:t>
            </w:r>
          </w:p>
        </w:tc>
        <w:tc>
          <w:tcPr>
            <w:tcW w:w="1650"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55994C2C">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三号住院楼配套医疗设备购置项目（第一标段）</w:t>
            </w:r>
          </w:p>
        </w:tc>
        <w:tc>
          <w:tcPr>
            <w:tcW w:w="468"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3DB61967">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1(批)</w:t>
            </w:r>
          </w:p>
        </w:tc>
        <w:tc>
          <w:tcPr>
            <w:tcW w:w="685"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1215C8E6">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详见采购文件</w:t>
            </w:r>
          </w:p>
        </w:tc>
        <w:tc>
          <w:tcPr>
            <w:tcW w:w="1111"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5E67E6F2">
            <w:pPr>
              <w:keepNext w:val="0"/>
              <w:keepLines w:val="0"/>
              <w:widowControl/>
              <w:suppressLineNumbers w:val="0"/>
              <w:wordWrap/>
              <w:spacing w:before="0" w:beforeAutospacing="0" w:after="0" w:afterAutospacing="0" w:line="360" w:lineRule="auto"/>
              <w:ind w:left="0" w:right="0"/>
              <w:jc w:val="right"/>
              <w:textAlignment w:val="center"/>
              <w:rPr>
                <w:rFonts w:hint="eastAsia" w:ascii="仿宋" w:hAnsi="仿宋" w:eastAsia="仿宋" w:cs="仿宋"/>
                <w:sz w:val="24"/>
                <w:szCs w:val="24"/>
              </w:rPr>
            </w:pPr>
            <w:r>
              <w:rPr>
                <w:rFonts w:hint="eastAsia" w:ascii="仿宋" w:hAnsi="仿宋" w:eastAsia="仿宋" w:cs="仿宋"/>
                <w:kern w:val="0"/>
                <w:sz w:val="24"/>
                <w:szCs w:val="24"/>
                <w:vertAlign w:val="baseline"/>
                <w:lang w:val="en-US" w:eastAsia="zh-CN" w:bidi="ar"/>
              </w:rPr>
              <w:t>1,812,000.00</w:t>
            </w:r>
          </w:p>
        </w:tc>
      </w:tr>
    </w:tbl>
    <w:p w14:paraId="02BECD19">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15"/>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本合同包不接受联合体投标</w:t>
      </w:r>
    </w:p>
    <w:p w14:paraId="594B85DC">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15"/>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合同履行期限：合同签订后至质保期结束</w:t>
      </w:r>
    </w:p>
    <w:p w14:paraId="4828301B">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合同包2(子母无影灯等):</w:t>
      </w:r>
    </w:p>
    <w:p w14:paraId="55BC272A">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15"/>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合同包预算金额：1,780,000.00元</w:t>
      </w:r>
    </w:p>
    <w:p w14:paraId="4B9A6BB3">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15"/>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合同包最高限价：1,780,000.00元</w:t>
      </w:r>
    </w:p>
    <w:tbl>
      <w:tblPr>
        <w:tblStyle w:val="36"/>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88"/>
        <w:gridCol w:w="1403"/>
        <w:gridCol w:w="3033"/>
        <w:gridCol w:w="860"/>
        <w:gridCol w:w="1259"/>
        <w:gridCol w:w="2043"/>
      </w:tblGrid>
      <w:tr w14:paraId="31503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8" w:hRule="atLeast"/>
          <w:tblHeader/>
        </w:trPr>
        <w:tc>
          <w:tcPr>
            <w:tcW w:w="320"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153FF3F3">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ar"/>
              </w:rPr>
              <w:t>品目号</w:t>
            </w:r>
          </w:p>
        </w:tc>
        <w:tc>
          <w:tcPr>
            <w:tcW w:w="763"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0B4C53D0">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ar"/>
              </w:rPr>
              <w:t>品目名称</w:t>
            </w:r>
          </w:p>
        </w:tc>
        <w:tc>
          <w:tcPr>
            <w:tcW w:w="1650"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22BCC4EF">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ar"/>
              </w:rPr>
              <w:t>采购标的</w:t>
            </w:r>
          </w:p>
        </w:tc>
        <w:tc>
          <w:tcPr>
            <w:tcW w:w="468"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5D26F9BA">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ar"/>
              </w:rPr>
              <w:t>数量（单位）</w:t>
            </w:r>
          </w:p>
        </w:tc>
        <w:tc>
          <w:tcPr>
            <w:tcW w:w="685"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77B4790D">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ar"/>
              </w:rPr>
              <w:t>技术规格、参数及要求</w:t>
            </w:r>
          </w:p>
        </w:tc>
        <w:tc>
          <w:tcPr>
            <w:tcW w:w="1111"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64A30F33">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ar"/>
              </w:rPr>
              <w:t>品目预算(元)</w:t>
            </w:r>
          </w:p>
        </w:tc>
      </w:tr>
      <w:tr w14:paraId="3717A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0" w:hRule="atLeast"/>
        </w:trPr>
        <w:tc>
          <w:tcPr>
            <w:tcW w:w="320"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4CF55F55">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2-1</w:t>
            </w:r>
          </w:p>
        </w:tc>
        <w:tc>
          <w:tcPr>
            <w:tcW w:w="763"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3FF194A3">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其他医疗设备</w:t>
            </w:r>
          </w:p>
        </w:tc>
        <w:tc>
          <w:tcPr>
            <w:tcW w:w="1650"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1A402296">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三号住院楼配套医疗设备购置项目（第二标段）</w:t>
            </w:r>
          </w:p>
        </w:tc>
        <w:tc>
          <w:tcPr>
            <w:tcW w:w="468"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36C5F504">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1(批)</w:t>
            </w:r>
          </w:p>
        </w:tc>
        <w:tc>
          <w:tcPr>
            <w:tcW w:w="685"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010094CE">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详见采购文件</w:t>
            </w:r>
          </w:p>
        </w:tc>
        <w:tc>
          <w:tcPr>
            <w:tcW w:w="1111"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04170A60">
            <w:pPr>
              <w:keepNext w:val="0"/>
              <w:keepLines w:val="0"/>
              <w:widowControl/>
              <w:suppressLineNumbers w:val="0"/>
              <w:wordWrap/>
              <w:spacing w:before="0" w:beforeAutospacing="0" w:after="0" w:afterAutospacing="0" w:line="360" w:lineRule="auto"/>
              <w:ind w:left="0" w:right="0"/>
              <w:jc w:val="right"/>
              <w:textAlignment w:val="center"/>
              <w:rPr>
                <w:rFonts w:hint="eastAsia" w:ascii="仿宋" w:hAnsi="仿宋" w:eastAsia="仿宋" w:cs="仿宋"/>
                <w:sz w:val="24"/>
                <w:szCs w:val="24"/>
              </w:rPr>
            </w:pPr>
            <w:r>
              <w:rPr>
                <w:rFonts w:hint="eastAsia" w:ascii="仿宋" w:hAnsi="仿宋" w:eastAsia="仿宋" w:cs="仿宋"/>
                <w:kern w:val="0"/>
                <w:sz w:val="24"/>
                <w:szCs w:val="24"/>
                <w:vertAlign w:val="baseline"/>
                <w:lang w:val="en-US" w:eastAsia="zh-CN" w:bidi="ar"/>
              </w:rPr>
              <w:t>1,780,000.00</w:t>
            </w:r>
          </w:p>
        </w:tc>
      </w:tr>
    </w:tbl>
    <w:p w14:paraId="285C43BE">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15"/>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本合同包不接受联合体投标</w:t>
      </w:r>
    </w:p>
    <w:p w14:paraId="6FD54B7A">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15"/>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合同履行期限：合同签订后至质保期结束</w:t>
      </w:r>
    </w:p>
    <w:p w14:paraId="2B798D7C">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合同包3(全自动清洗机等):</w:t>
      </w:r>
    </w:p>
    <w:p w14:paraId="0CF017E0">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15"/>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合同包预算金额：1,410,000.00元</w:t>
      </w:r>
    </w:p>
    <w:p w14:paraId="40CF3970">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15"/>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合同包最高限价：1,410,000.00元</w:t>
      </w:r>
    </w:p>
    <w:tbl>
      <w:tblPr>
        <w:tblStyle w:val="36"/>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88"/>
        <w:gridCol w:w="1403"/>
        <w:gridCol w:w="3033"/>
        <w:gridCol w:w="860"/>
        <w:gridCol w:w="1259"/>
        <w:gridCol w:w="2043"/>
      </w:tblGrid>
      <w:tr w14:paraId="7E063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8" w:hRule="atLeast"/>
          <w:tblHeader/>
        </w:trPr>
        <w:tc>
          <w:tcPr>
            <w:tcW w:w="320"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52F3EDAD">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ar"/>
              </w:rPr>
              <w:t>品目号</w:t>
            </w:r>
          </w:p>
        </w:tc>
        <w:tc>
          <w:tcPr>
            <w:tcW w:w="763"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4BD486FC">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ar"/>
              </w:rPr>
              <w:t>品目名称</w:t>
            </w:r>
          </w:p>
        </w:tc>
        <w:tc>
          <w:tcPr>
            <w:tcW w:w="1650"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42148121">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ar"/>
              </w:rPr>
              <w:t>采购标的</w:t>
            </w:r>
          </w:p>
        </w:tc>
        <w:tc>
          <w:tcPr>
            <w:tcW w:w="468"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7607FFF0">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ar"/>
              </w:rPr>
              <w:t>数量（单位）</w:t>
            </w:r>
          </w:p>
        </w:tc>
        <w:tc>
          <w:tcPr>
            <w:tcW w:w="685"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578F3B54">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ar"/>
              </w:rPr>
              <w:t>技术规格、参数及要求</w:t>
            </w:r>
          </w:p>
        </w:tc>
        <w:tc>
          <w:tcPr>
            <w:tcW w:w="1111"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2056BDD9">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ar"/>
              </w:rPr>
              <w:t>品目预算(元)</w:t>
            </w:r>
          </w:p>
        </w:tc>
      </w:tr>
      <w:tr w14:paraId="73491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0" w:hRule="atLeast"/>
        </w:trPr>
        <w:tc>
          <w:tcPr>
            <w:tcW w:w="320"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58F6F71A">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3-1</w:t>
            </w:r>
          </w:p>
        </w:tc>
        <w:tc>
          <w:tcPr>
            <w:tcW w:w="763"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12A910DC">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其他医疗设备</w:t>
            </w:r>
          </w:p>
        </w:tc>
        <w:tc>
          <w:tcPr>
            <w:tcW w:w="1650"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4C724068">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三号住院楼配套医疗设备购置项目（第三标段）</w:t>
            </w:r>
          </w:p>
        </w:tc>
        <w:tc>
          <w:tcPr>
            <w:tcW w:w="468"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741AFEA1">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1(批)</w:t>
            </w:r>
          </w:p>
        </w:tc>
        <w:tc>
          <w:tcPr>
            <w:tcW w:w="685"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61E9B537">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详见采购文件</w:t>
            </w:r>
          </w:p>
        </w:tc>
        <w:tc>
          <w:tcPr>
            <w:tcW w:w="1111"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55780444">
            <w:pPr>
              <w:keepNext w:val="0"/>
              <w:keepLines w:val="0"/>
              <w:widowControl/>
              <w:suppressLineNumbers w:val="0"/>
              <w:wordWrap/>
              <w:spacing w:before="0" w:beforeAutospacing="0" w:after="0" w:afterAutospacing="0" w:line="360" w:lineRule="auto"/>
              <w:ind w:left="0" w:right="0"/>
              <w:jc w:val="right"/>
              <w:textAlignment w:val="center"/>
              <w:rPr>
                <w:rFonts w:hint="eastAsia" w:ascii="仿宋" w:hAnsi="仿宋" w:eastAsia="仿宋" w:cs="仿宋"/>
                <w:sz w:val="24"/>
                <w:szCs w:val="24"/>
              </w:rPr>
            </w:pPr>
            <w:r>
              <w:rPr>
                <w:rFonts w:hint="eastAsia" w:ascii="仿宋" w:hAnsi="仿宋" w:eastAsia="仿宋" w:cs="仿宋"/>
                <w:kern w:val="0"/>
                <w:sz w:val="24"/>
                <w:szCs w:val="24"/>
                <w:vertAlign w:val="baseline"/>
                <w:lang w:val="en-US" w:eastAsia="zh-CN" w:bidi="ar"/>
              </w:rPr>
              <w:t>1,410,000.00</w:t>
            </w:r>
          </w:p>
        </w:tc>
      </w:tr>
    </w:tbl>
    <w:p w14:paraId="4897EB90">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15"/>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本合同包不接受联合体投标</w:t>
      </w:r>
    </w:p>
    <w:p w14:paraId="0AD54E12">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15"/>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合同履行期限：合同签订后至质保期结束</w:t>
      </w:r>
    </w:p>
    <w:p w14:paraId="0BC98EA0">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合同包4(血液透析机等):</w:t>
      </w:r>
    </w:p>
    <w:p w14:paraId="21B18635">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15"/>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合同包预算金额：2,800,000.00元</w:t>
      </w:r>
    </w:p>
    <w:p w14:paraId="1042B996">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15"/>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合同包最高限价：2,800,000.00元</w:t>
      </w:r>
    </w:p>
    <w:tbl>
      <w:tblPr>
        <w:tblStyle w:val="36"/>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88"/>
        <w:gridCol w:w="1403"/>
        <w:gridCol w:w="3033"/>
        <w:gridCol w:w="860"/>
        <w:gridCol w:w="1259"/>
        <w:gridCol w:w="2043"/>
      </w:tblGrid>
      <w:tr w14:paraId="77C68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8" w:hRule="atLeast"/>
          <w:tblHeader/>
        </w:trPr>
        <w:tc>
          <w:tcPr>
            <w:tcW w:w="320"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5B9F629A">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ar"/>
              </w:rPr>
              <w:t>品目号</w:t>
            </w:r>
          </w:p>
        </w:tc>
        <w:tc>
          <w:tcPr>
            <w:tcW w:w="763"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3E13F3A1">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ar"/>
              </w:rPr>
              <w:t>品目名称</w:t>
            </w:r>
          </w:p>
        </w:tc>
        <w:tc>
          <w:tcPr>
            <w:tcW w:w="1650"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39C6D2C0">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ar"/>
              </w:rPr>
              <w:t>采购标的</w:t>
            </w:r>
          </w:p>
        </w:tc>
        <w:tc>
          <w:tcPr>
            <w:tcW w:w="468"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69212180">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ar"/>
              </w:rPr>
              <w:t>数量（单位）</w:t>
            </w:r>
          </w:p>
        </w:tc>
        <w:tc>
          <w:tcPr>
            <w:tcW w:w="685"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0594BAB4">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ar"/>
              </w:rPr>
              <w:t>技术规格、参数及要求</w:t>
            </w:r>
          </w:p>
        </w:tc>
        <w:tc>
          <w:tcPr>
            <w:tcW w:w="1111"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46796E7A">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ar"/>
              </w:rPr>
              <w:t>品目预算(元)</w:t>
            </w:r>
          </w:p>
        </w:tc>
      </w:tr>
      <w:tr w14:paraId="1EC01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0" w:hRule="atLeast"/>
        </w:trPr>
        <w:tc>
          <w:tcPr>
            <w:tcW w:w="320"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734C7E6E">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4-1</w:t>
            </w:r>
          </w:p>
        </w:tc>
        <w:tc>
          <w:tcPr>
            <w:tcW w:w="763"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498B41AC">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其他医疗设备</w:t>
            </w:r>
          </w:p>
        </w:tc>
        <w:tc>
          <w:tcPr>
            <w:tcW w:w="1650"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0AC85B57">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三号住院楼配套医疗设备购置项目（第四标段）</w:t>
            </w:r>
          </w:p>
        </w:tc>
        <w:tc>
          <w:tcPr>
            <w:tcW w:w="468"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1BFD3981">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1(批)</w:t>
            </w:r>
          </w:p>
        </w:tc>
        <w:tc>
          <w:tcPr>
            <w:tcW w:w="685"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73AEC039">
            <w:pPr>
              <w:keepNext w:val="0"/>
              <w:keepLines w:val="0"/>
              <w:widowControl/>
              <w:suppressLineNumbers w:val="0"/>
              <w:wordWrap w:val="0"/>
              <w:spacing w:before="0" w:beforeAutospacing="0" w:after="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详见采购文件</w:t>
            </w:r>
          </w:p>
        </w:tc>
        <w:tc>
          <w:tcPr>
            <w:tcW w:w="1111" w:type="pct"/>
            <w:tcBorders>
              <w:top w:val="single" w:color="333333" w:sz="2" w:space="0"/>
              <w:left w:val="single" w:color="333333" w:sz="2" w:space="0"/>
              <w:bottom w:val="single" w:color="333333" w:sz="2" w:space="0"/>
              <w:right w:val="single" w:color="333333" w:sz="2" w:space="0"/>
            </w:tcBorders>
            <w:noWrap w:val="0"/>
            <w:tcMar>
              <w:top w:w="38" w:type="dxa"/>
              <w:left w:w="60" w:type="dxa"/>
              <w:bottom w:w="38" w:type="dxa"/>
              <w:right w:w="60" w:type="dxa"/>
            </w:tcMar>
            <w:vAlign w:val="center"/>
          </w:tcPr>
          <w:p w14:paraId="59ABC059">
            <w:pPr>
              <w:keepNext w:val="0"/>
              <w:keepLines w:val="0"/>
              <w:widowControl/>
              <w:suppressLineNumbers w:val="0"/>
              <w:wordWrap/>
              <w:spacing w:before="0" w:beforeAutospacing="0" w:after="0" w:afterAutospacing="0" w:line="360" w:lineRule="auto"/>
              <w:ind w:left="0" w:right="0"/>
              <w:jc w:val="right"/>
              <w:textAlignment w:val="center"/>
              <w:rPr>
                <w:rFonts w:hint="eastAsia" w:ascii="仿宋" w:hAnsi="仿宋" w:eastAsia="仿宋" w:cs="仿宋"/>
                <w:sz w:val="24"/>
                <w:szCs w:val="24"/>
              </w:rPr>
            </w:pPr>
            <w:r>
              <w:rPr>
                <w:rFonts w:hint="eastAsia" w:ascii="仿宋" w:hAnsi="仿宋" w:eastAsia="仿宋" w:cs="仿宋"/>
                <w:kern w:val="0"/>
                <w:sz w:val="24"/>
                <w:szCs w:val="24"/>
                <w:vertAlign w:val="baseline"/>
                <w:lang w:val="en-US" w:eastAsia="zh-CN" w:bidi="ar"/>
              </w:rPr>
              <w:t>2,800,000.00</w:t>
            </w:r>
          </w:p>
        </w:tc>
      </w:tr>
    </w:tbl>
    <w:p w14:paraId="602677C7">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15"/>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本合同包不接受联合体投标</w:t>
      </w:r>
    </w:p>
    <w:p w14:paraId="72A6F9E9">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15"/>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合同履行期限：合同签订后至质保期结束</w:t>
      </w:r>
    </w:p>
    <w:p w14:paraId="007787C3">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0" w:afterAutospacing="0" w:line="360" w:lineRule="auto"/>
        <w:ind w:left="0" w:right="0" w:firstLine="0"/>
        <w:jc w:val="left"/>
        <w:textAlignment w:val="baseline"/>
        <w:rPr>
          <w:rFonts w:hint="eastAsia" w:ascii="仿宋" w:hAnsi="仿宋" w:eastAsia="仿宋" w:cs="仿宋"/>
          <w:b w:val="0"/>
          <w:bCs w:val="0"/>
          <w:i w:val="0"/>
          <w:iCs w:val="0"/>
          <w:caps w:val="0"/>
          <w:color w:val="333333"/>
          <w:spacing w:val="0"/>
          <w:sz w:val="24"/>
          <w:szCs w:val="24"/>
        </w:rPr>
      </w:pPr>
      <w:r>
        <w:rPr>
          <w:rStyle w:val="39"/>
          <w:rFonts w:hint="eastAsia" w:ascii="仿宋" w:hAnsi="仿宋" w:eastAsia="仿宋" w:cs="仿宋"/>
          <w:b/>
          <w:bCs/>
          <w:i w:val="0"/>
          <w:iCs w:val="0"/>
          <w:caps w:val="0"/>
          <w:color w:val="333333"/>
          <w:spacing w:val="0"/>
          <w:sz w:val="24"/>
          <w:szCs w:val="24"/>
          <w:shd w:val="clear" w:color="auto" w:fill="FFFFFF"/>
          <w:vertAlign w:val="baseline"/>
        </w:rPr>
        <w:t>二、申请人的资格要求：</w:t>
      </w:r>
    </w:p>
    <w:p w14:paraId="1CDD3F1F">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1.满足《中华人民共和国政府采购法》第二十二条规定;</w:t>
      </w:r>
    </w:p>
    <w:p w14:paraId="0210C758">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2.落实政府采购政策需满足的资格要求：</w:t>
      </w:r>
    </w:p>
    <w:p w14:paraId="1794625C">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合同包1(ICU桥式吊塔等)落实政府采购政策需满足的资格要求如下:</w:t>
      </w:r>
    </w:p>
    <w:p w14:paraId="7D32B382">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240" w:right="0" w:firstLine="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无，本项目为非专门面向中小企业的项目。</w:t>
      </w:r>
    </w:p>
    <w:p w14:paraId="2AD2E700">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合同包2(子母无影灯等)落实政府采购政策需满足的资格要求如下:</w:t>
      </w:r>
    </w:p>
    <w:p w14:paraId="3CAFFBF2">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240" w:right="0" w:firstLine="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无，本项目为非专门面向中小企业的项目。</w:t>
      </w:r>
    </w:p>
    <w:p w14:paraId="2AAC7972">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合同包3(全自动清洗机等)落实政府采购政策需满足的资格要求如下:</w:t>
      </w:r>
    </w:p>
    <w:p w14:paraId="5A7A27BE">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240" w:right="0" w:firstLine="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无，本项目为非专门面向中小企业的项目。</w:t>
      </w:r>
    </w:p>
    <w:p w14:paraId="1A7C9D53">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合同包4(血液透析机等)落实政府采购政策需满足的资格要求如下:</w:t>
      </w:r>
    </w:p>
    <w:p w14:paraId="77A0CFCB">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240" w:right="0" w:firstLine="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无，本项目为非专门面向中小企业的项目。</w:t>
      </w:r>
    </w:p>
    <w:p w14:paraId="5C3DF5CE">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3.本项目的特定资格要求：</w:t>
      </w:r>
    </w:p>
    <w:p w14:paraId="14465C3C">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合同包1(ICU桥式吊塔等)特定资格要求如下:</w:t>
      </w:r>
    </w:p>
    <w:p w14:paraId="09A4671E">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240" w:right="0" w:firstLine="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3.1投标人在递交投标文件截止时间前被“信用中国”网站（www.creditchina.gov.cn）和中国政府采购网（www.ccgp.gov.cn）上被列入失信被执行人、重大税收违法失信主体、政府采购严重违法失信行为记录名单的，不得参加投标；</w:t>
      </w:r>
      <w:r>
        <w:rPr>
          <w:rFonts w:hint="eastAsia" w:ascii="仿宋" w:hAnsi="仿宋" w:eastAsia="仿宋" w:cs="仿宋"/>
          <w:i w:val="0"/>
          <w:iCs w:val="0"/>
          <w:caps w:val="0"/>
          <w:color w:val="333333"/>
          <w:spacing w:val="0"/>
          <w:sz w:val="24"/>
          <w:szCs w:val="24"/>
          <w:shd w:val="clear" w:color="auto" w:fill="FFFFFF"/>
          <w:vertAlign w:val="baseline"/>
        </w:rPr>
        <w:br w:type="textWrapping"/>
      </w:r>
      <w:r>
        <w:rPr>
          <w:rFonts w:hint="eastAsia" w:ascii="仿宋" w:hAnsi="仿宋" w:eastAsia="仿宋" w:cs="仿宋"/>
          <w:i w:val="0"/>
          <w:iCs w:val="0"/>
          <w:caps w:val="0"/>
          <w:color w:val="333333"/>
          <w:spacing w:val="0"/>
          <w:sz w:val="24"/>
          <w:szCs w:val="24"/>
          <w:shd w:val="clear" w:color="auto" w:fill="FFFFFF"/>
          <w:vertAlign w:val="baseline"/>
        </w:rPr>
        <w:t>3.2投标人参加本项目的合法授权人授权委托书；投标人应授权合法的人员参加投标全过程，其中法定代表人直接参加投标的，须出具法人身份证，并与营业执照上信息一致。法定代表人授权代表参加投标的，须出具法定代表人授权书及授权代表身份证、授权代表本单位证明（养老保险缴纳证明）；</w:t>
      </w:r>
      <w:r>
        <w:rPr>
          <w:rFonts w:hint="eastAsia" w:ascii="仿宋" w:hAnsi="仿宋" w:eastAsia="仿宋" w:cs="仿宋"/>
          <w:i w:val="0"/>
          <w:iCs w:val="0"/>
          <w:caps w:val="0"/>
          <w:color w:val="333333"/>
          <w:spacing w:val="0"/>
          <w:sz w:val="24"/>
          <w:szCs w:val="24"/>
          <w:shd w:val="clear" w:color="auto" w:fill="FFFFFF"/>
          <w:vertAlign w:val="baseline"/>
        </w:rPr>
        <w:br w:type="textWrapping"/>
      </w:r>
      <w:r>
        <w:rPr>
          <w:rFonts w:hint="eastAsia" w:ascii="仿宋" w:hAnsi="仿宋" w:eastAsia="仿宋" w:cs="仿宋"/>
          <w:i w:val="0"/>
          <w:iCs w:val="0"/>
          <w:caps w:val="0"/>
          <w:color w:val="333333"/>
          <w:spacing w:val="0"/>
          <w:sz w:val="24"/>
          <w:szCs w:val="24"/>
          <w:shd w:val="clear" w:color="auto" w:fill="FFFFFF"/>
          <w:vertAlign w:val="baseline"/>
        </w:rPr>
        <w:t>3.3投标人为经销商的应具有医疗器械经营许可证或经营备案凭证（投标产品须在其经营范围内）；投标人为制造厂家应具有医疗器械经营许可证或经营备案凭证（投标产品须在其经营范围内），并具有医疗器械生产许可证（投标产品须在其生产范围内）；</w:t>
      </w:r>
      <w:r>
        <w:rPr>
          <w:rFonts w:hint="eastAsia" w:ascii="仿宋" w:hAnsi="仿宋" w:eastAsia="仿宋" w:cs="仿宋"/>
          <w:i w:val="0"/>
          <w:iCs w:val="0"/>
          <w:caps w:val="0"/>
          <w:color w:val="333333"/>
          <w:spacing w:val="0"/>
          <w:sz w:val="24"/>
          <w:szCs w:val="24"/>
          <w:shd w:val="clear" w:color="auto" w:fill="FFFFFF"/>
          <w:vertAlign w:val="baseline"/>
        </w:rPr>
        <w:br w:type="textWrapping"/>
      </w:r>
      <w:r>
        <w:rPr>
          <w:rFonts w:hint="eastAsia" w:ascii="仿宋" w:hAnsi="仿宋" w:eastAsia="仿宋" w:cs="仿宋"/>
          <w:i w:val="0"/>
          <w:iCs w:val="0"/>
          <w:caps w:val="0"/>
          <w:color w:val="333333"/>
          <w:spacing w:val="0"/>
          <w:sz w:val="24"/>
          <w:szCs w:val="24"/>
          <w:shd w:val="clear" w:color="auto" w:fill="FFFFFF"/>
          <w:vertAlign w:val="baseline"/>
        </w:rPr>
        <w:t>3.4投标产品属于医疗器械管理的提供医疗器械注册证；</w:t>
      </w:r>
      <w:r>
        <w:rPr>
          <w:rFonts w:hint="eastAsia" w:ascii="仿宋" w:hAnsi="仿宋" w:eastAsia="仿宋" w:cs="仿宋"/>
          <w:i w:val="0"/>
          <w:iCs w:val="0"/>
          <w:caps w:val="0"/>
          <w:color w:val="333333"/>
          <w:spacing w:val="0"/>
          <w:sz w:val="24"/>
          <w:szCs w:val="24"/>
          <w:shd w:val="clear" w:color="auto" w:fill="FFFFFF"/>
          <w:vertAlign w:val="baseline"/>
        </w:rPr>
        <w:br w:type="textWrapping"/>
      </w:r>
      <w:r>
        <w:rPr>
          <w:rFonts w:hint="eastAsia" w:ascii="仿宋" w:hAnsi="仿宋" w:eastAsia="仿宋" w:cs="仿宋"/>
          <w:i w:val="0"/>
          <w:iCs w:val="0"/>
          <w:caps w:val="0"/>
          <w:color w:val="333333"/>
          <w:spacing w:val="0"/>
          <w:sz w:val="24"/>
          <w:szCs w:val="24"/>
          <w:shd w:val="clear" w:color="auto" w:fill="FFFFFF"/>
          <w:vertAlign w:val="baseline"/>
        </w:rPr>
        <w:t>3.5供应商不得存在下列情形之一：</w:t>
      </w:r>
      <w:r>
        <w:rPr>
          <w:rFonts w:hint="eastAsia" w:ascii="仿宋" w:hAnsi="仿宋" w:eastAsia="仿宋" w:cs="仿宋"/>
          <w:i w:val="0"/>
          <w:iCs w:val="0"/>
          <w:caps w:val="0"/>
          <w:color w:val="333333"/>
          <w:spacing w:val="0"/>
          <w:sz w:val="24"/>
          <w:szCs w:val="24"/>
          <w:shd w:val="clear" w:color="auto" w:fill="FFFFFF"/>
          <w:vertAlign w:val="baseline"/>
        </w:rPr>
        <w:br w:type="textWrapping"/>
      </w:r>
      <w:r>
        <w:rPr>
          <w:rFonts w:hint="eastAsia" w:ascii="仿宋" w:hAnsi="仿宋" w:eastAsia="仿宋" w:cs="仿宋"/>
          <w:i w:val="0"/>
          <w:iCs w:val="0"/>
          <w:caps w:val="0"/>
          <w:color w:val="333333"/>
          <w:spacing w:val="0"/>
          <w:sz w:val="24"/>
          <w:szCs w:val="24"/>
          <w:shd w:val="clear" w:color="auto" w:fill="FFFFFF"/>
          <w:vertAlign w:val="baseline"/>
        </w:rPr>
        <w:t>（1）单位负责人为同一人或者存在直接控股、管理关系的不同供应商，不得参加本次采购活动；</w:t>
      </w:r>
      <w:r>
        <w:rPr>
          <w:rFonts w:hint="eastAsia" w:ascii="仿宋" w:hAnsi="仿宋" w:eastAsia="仿宋" w:cs="仿宋"/>
          <w:i w:val="0"/>
          <w:iCs w:val="0"/>
          <w:caps w:val="0"/>
          <w:color w:val="333333"/>
          <w:spacing w:val="0"/>
          <w:sz w:val="24"/>
          <w:szCs w:val="24"/>
          <w:shd w:val="clear" w:color="auto" w:fill="FFFFFF"/>
          <w:vertAlign w:val="baseline"/>
        </w:rPr>
        <w:br w:type="textWrapping"/>
      </w:r>
      <w:r>
        <w:rPr>
          <w:rFonts w:hint="eastAsia" w:ascii="仿宋" w:hAnsi="仿宋" w:eastAsia="仿宋" w:cs="仿宋"/>
          <w:i w:val="0"/>
          <w:iCs w:val="0"/>
          <w:caps w:val="0"/>
          <w:color w:val="333333"/>
          <w:spacing w:val="0"/>
          <w:sz w:val="24"/>
          <w:szCs w:val="24"/>
          <w:shd w:val="clear" w:color="auto" w:fill="FFFFFF"/>
          <w:vertAlign w:val="baseline"/>
        </w:rPr>
        <w:t>（2）为本项目提供整体设计、规范编制或者项目管理、监理、检测等服务的供应商，不得再参加本项目的采购活动；</w:t>
      </w:r>
      <w:r>
        <w:rPr>
          <w:rFonts w:hint="eastAsia" w:ascii="仿宋" w:hAnsi="仿宋" w:eastAsia="仿宋" w:cs="仿宋"/>
          <w:i w:val="0"/>
          <w:iCs w:val="0"/>
          <w:caps w:val="0"/>
          <w:color w:val="333333"/>
          <w:spacing w:val="0"/>
          <w:sz w:val="24"/>
          <w:szCs w:val="24"/>
          <w:shd w:val="clear" w:color="auto" w:fill="FFFFFF"/>
          <w:vertAlign w:val="baseline"/>
        </w:rPr>
        <w:br w:type="textWrapping"/>
      </w:r>
      <w:r>
        <w:rPr>
          <w:rFonts w:hint="eastAsia" w:ascii="仿宋" w:hAnsi="仿宋" w:eastAsia="仿宋" w:cs="仿宋"/>
          <w:i w:val="0"/>
          <w:iCs w:val="0"/>
          <w:caps w:val="0"/>
          <w:color w:val="333333"/>
          <w:spacing w:val="0"/>
          <w:sz w:val="24"/>
          <w:szCs w:val="24"/>
          <w:shd w:val="clear" w:color="auto" w:fill="FFFFFF"/>
          <w:vertAlign w:val="baseline"/>
        </w:rPr>
        <w:t>3.6需向采购代理机构获取招标文件，未向采购代理机构获取招标文件的投标人均无资格参加投标。</w:t>
      </w:r>
    </w:p>
    <w:p w14:paraId="48D57136">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合同包2(子母无影灯等)特定资格要求如下:</w:t>
      </w:r>
    </w:p>
    <w:p w14:paraId="15B2A4A2">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240" w:right="0" w:firstLine="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3.1投标人在递交投标文件截止时间前被“信用中国”网站（www.creditchina.gov.cn）和中国政府采购网（www.ccgp.gov.cn）上被列入失信被执行人、重大税收违法失信主体、政府采购严重违法失信行为记录名单的，不得参加投标；</w:t>
      </w:r>
      <w:r>
        <w:rPr>
          <w:rFonts w:hint="eastAsia" w:ascii="仿宋" w:hAnsi="仿宋" w:eastAsia="仿宋" w:cs="仿宋"/>
          <w:i w:val="0"/>
          <w:iCs w:val="0"/>
          <w:caps w:val="0"/>
          <w:color w:val="333333"/>
          <w:spacing w:val="0"/>
          <w:sz w:val="24"/>
          <w:szCs w:val="24"/>
          <w:shd w:val="clear" w:color="auto" w:fill="FFFFFF"/>
          <w:vertAlign w:val="baseline"/>
        </w:rPr>
        <w:br w:type="textWrapping"/>
      </w:r>
      <w:r>
        <w:rPr>
          <w:rFonts w:hint="eastAsia" w:ascii="仿宋" w:hAnsi="仿宋" w:eastAsia="仿宋" w:cs="仿宋"/>
          <w:i w:val="0"/>
          <w:iCs w:val="0"/>
          <w:caps w:val="0"/>
          <w:color w:val="333333"/>
          <w:spacing w:val="0"/>
          <w:sz w:val="24"/>
          <w:szCs w:val="24"/>
          <w:shd w:val="clear" w:color="auto" w:fill="FFFFFF"/>
          <w:vertAlign w:val="baseline"/>
        </w:rPr>
        <w:t>3.2投标人参加本项目的合法授权人授权委托书；投标人应授权合法的人员参加投标全过程，其中法定代表人直接参加投标的，须出具法人身份证，并与营业执照上信息一致。法定代表人授权代表参加投标的，须出具法定代表人授权书及授权代表身份证、授权代表本单位证明（养老保险缴纳证明）；</w:t>
      </w:r>
      <w:r>
        <w:rPr>
          <w:rFonts w:hint="eastAsia" w:ascii="仿宋" w:hAnsi="仿宋" w:eastAsia="仿宋" w:cs="仿宋"/>
          <w:i w:val="0"/>
          <w:iCs w:val="0"/>
          <w:caps w:val="0"/>
          <w:color w:val="333333"/>
          <w:spacing w:val="0"/>
          <w:sz w:val="24"/>
          <w:szCs w:val="24"/>
          <w:shd w:val="clear" w:color="auto" w:fill="FFFFFF"/>
          <w:vertAlign w:val="baseline"/>
        </w:rPr>
        <w:br w:type="textWrapping"/>
      </w:r>
      <w:r>
        <w:rPr>
          <w:rFonts w:hint="eastAsia" w:ascii="仿宋" w:hAnsi="仿宋" w:eastAsia="仿宋" w:cs="仿宋"/>
          <w:i w:val="0"/>
          <w:iCs w:val="0"/>
          <w:caps w:val="0"/>
          <w:color w:val="333333"/>
          <w:spacing w:val="0"/>
          <w:sz w:val="24"/>
          <w:szCs w:val="24"/>
          <w:shd w:val="clear" w:color="auto" w:fill="FFFFFF"/>
          <w:vertAlign w:val="baseline"/>
        </w:rPr>
        <w:t>3.3投标人为经销商的应具有医疗器械经营许可证或经营备案凭证（投标产品须在其经营范围内）；投标人为制造厂家应具有医疗器械经营许可证或经营备案凭证（投标产品须在其经营范围内），并具有医疗器械生产许可证（投标产品须在其生产范围内）；</w:t>
      </w:r>
      <w:r>
        <w:rPr>
          <w:rFonts w:hint="eastAsia" w:ascii="仿宋" w:hAnsi="仿宋" w:eastAsia="仿宋" w:cs="仿宋"/>
          <w:i w:val="0"/>
          <w:iCs w:val="0"/>
          <w:caps w:val="0"/>
          <w:color w:val="333333"/>
          <w:spacing w:val="0"/>
          <w:sz w:val="24"/>
          <w:szCs w:val="24"/>
          <w:shd w:val="clear" w:color="auto" w:fill="FFFFFF"/>
          <w:vertAlign w:val="baseline"/>
        </w:rPr>
        <w:br w:type="textWrapping"/>
      </w:r>
      <w:r>
        <w:rPr>
          <w:rFonts w:hint="eastAsia" w:ascii="仿宋" w:hAnsi="仿宋" w:eastAsia="仿宋" w:cs="仿宋"/>
          <w:i w:val="0"/>
          <w:iCs w:val="0"/>
          <w:caps w:val="0"/>
          <w:color w:val="333333"/>
          <w:spacing w:val="0"/>
          <w:sz w:val="24"/>
          <w:szCs w:val="24"/>
          <w:shd w:val="clear" w:color="auto" w:fill="FFFFFF"/>
          <w:vertAlign w:val="baseline"/>
        </w:rPr>
        <w:t>3.4投标产品属于医疗器械管理的提供医疗器械注册证；</w:t>
      </w:r>
      <w:r>
        <w:rPr>
          <w:rFonts w:hint="eastAsia" w:ascii="仿宋" w:hAnsi="仿宋" w:eastAsia="仿宋" w:cs="仿宋"/>
          <w:i w:val="0"/>
          <w:iCs w:val="0"/>
          <w:caps w:val="0"/>
          <w:color w:val="333333"/>
          <w:spacing w:val="0"/>
          <w:sz w:val="24"/>
          <w:szCs w:val="24"/>
          <w:shd w:val="clear" w:color="auto" w:fill="FFFFFF"/>
          <w:vertAlign w:val="baseline"/>
        </w:rPr>
        <w:br w:type="textWrapping"/>
      </w:r>
      <w:r>
        <w:rPr>
          <w:rFonts w:hint="eastAsia" w:ascii="仿宋" w:hAnsi="仿宋" w:eastAsia="仿宋" w:cs="仿宋"/>
          <w:i w:val="0"/>
          <w:iCs w:val="0"/>
          <w:caps w:val="0"/>
          <w:color w:val="333333"/>
          <w:spacing w:val="0"/>
          <w:sz w:val="24"/>
          <w:szCs w:val="24"/>
          <w:shd w:val="clear" w:color="auto" w:fill="FFFFFF"/>
          <w:vertAlign w:val="baseline"/>
        </w:rPr>
        <w:t>3.5供应商不得存在下列情形之一：</w:t>
      </w:r>
      <w:r>
        <w:rPr>
          <w:rFonts w:hint="eastAsia" w:ascii="仿宋" w:hAnsi="仿宋" w:eastAsia="仿宋" w:cs="仿宋"/>
          <w:i w:val="0"/>
          <w:iCs w:val="0"/>
          <w:caps w:val="0"/>
          <w:color w:val="333333"/>
          <w:spacing w:val="0"/>
          <w:sz w:val="24"/>
          <w:szCs w:val="24"/>
          <w:shd w:val="clear" w:color="auto" w:fill="FFFFFF"/>
          <w:vertAlign w:val="baseline"/>
        </w:rPr>
        <w:br w:type="textWrapping"/>
      </w:r>
      <w:r>
        <w:rPr>
          <w:rFonts w:hint="eastAsia" w:ascii="仿宋" w:hAnsi="仿宋" w:eastAsia="仿宋" w:cs="仿宋"/>
          <w:i w:val="0"/>
          <w:iCs w:val="0"/>
          <w:caps w:val="0"/>
          <w:color w:val="333333"/>
          <w:spacing w:val="0"/>
          <w:sz w:val="24"/>
          <w:szCs w:val="24"/>
          <w:shd w:val="clear" w:color="auto" w:fill="FFFFFF"/>
          <w:vertAlign w:val="baseline"/>
        </w:rPr>
        <w:t>（1）单位负责人为同一人或者存在直接控股、管理关系的不同供应商，不得参加本次采购活动；</w:t>
      </w:r>
      <w:r>
        <w:rPr>
          <w:rFonts w:hint="eastAsia" w:ascii="仿宋" w:hAnsi="仿宋" w:eastAsia="仿宋" w:cs="仿宋"/>
          <w:i w:val="0"/>
          <w:iCs w:val="0"/>
          <w:caps w:val="0"/>
          <w:color w:val="333333"/>
          <w:spacing w:val="0"/>
          <w:sz w:val="24"/>
          <w:szCs w:val="24"/>
          <w:shd w:val="clear" w:color="auto" w:fill="FFFFFF"/>
          <w:vertAlign w:val="baseline"/>
        </w:rPr>
        <w:br w:type="textWrapping"/>
      </w:r>
      <w:r>
        <w:rPr>
          <w:rFonts w:hint="eastAsia" w:ascii="仿宋" w:hAnsi="仿宋" w:eastAsia="仿宋" w:cs="仿宋"/>
          <w:i w:val="0"/>
          <w:iCs w:val="0"/>
          <w:caps w:val="0"/>
          <w:color w:val="333333"/>
          <w:spacing w:val="0"/>
          <w:sz w:val="24"/>
          <w:szCs w:val="24"/>
          <w:shd w:val="clear" w:color="auto" w:fill="FFFFFF"/>
          <w:vertAlign w:val="baseline"/>
        </w:rPr>
        <w:t>（2）为本项目提供整体设计、规范编制或者项目管理、监理、检测等服务的供应商，不得再参加本项目的采购活动；</w:t>
      </w:r>
      <w:r>
        <w:rPr>
          <w:rFonts w:hint="eastAsia" w:ascii="仿宋" w:hAnsi="仿宋" w:eastAsia="仿宋" w:cs="仿宋"/>
          <w:i w:val="0"/>
          <w:iCs w:val="0"/>
          <w:caps w:val="0"/>
          <w:color w:val="333333"/>
          <w:spacing w:val="0"/>
          <w:sz w:val="24"/>
          <w:szCs w:val="24"/>
          <w:shd w:val="clear" w:color="auto" w:fill="FFFFFF"/>
          <w:vertAlign w:val="baseline"/>
        </w:rPr>
        <w:br w:type="textWrapping"/>
      </w:r>
      <w:r>
        <w:rPr>
          <w:rFonts w:hint="eastAsia" w:ascii="仿宋" w:hAnsi="仿宋" w:eastAsia="仿宋" w:cs="仿宋"/>
          <w:i w:val="0"/>
          <w:iCs w:val="0"/>
          <w:caps w:val="0"/>
          <w:color w:val="333333"/>
          <w:spacing w:val="0"/>
          <w:sz w:val="24"/>
          <w:szCs w:val="24"/>
          <w:shd w:val="clear" w:color="auto" w:fill="FFFFFF"/>
          <w:vertAlign w:val="baseline"/>
        </w:rPr>
        <w:t>3.6需向采购代理机构获取招标文件，未向采购代理机构获取招标文件的投标人均无资格参加投标。</w:t>
      </w:r>
    </w:p>
    <w:p w14:paraId="2E97E7B9">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合同包3(全自动清洗机等)特定资格要求如下:</w:t>
      </w:r>
    </w:p>
    <w:p w14:paraId="099CC14F">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240" w:right="0" w:firstLine="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3.1投标人在递交投标文件截止时间前被“信用中国”网站（www.creditchina.gov.cn）和中国政府采购网（www.ccgp.gov.cn）上被列入失信被执行人、重大税收违法失信主体、政府采购严重违法失信行为记录名单的，不得参加投标；</w:t>
      </w:r>
      <w:r>
        <w:rPr>
          <w:rFonts w:hint="eastAsia" w:ascii="仿宋" w:hAnsi="仿宋" w:eastAsia="仿宋" w:cs="仿宋"/>
          <w:i w:val="0"/>
          <w:iCs w:val="0"/>
          <w:caps w:val="0"/>
          <w:color w:val="333333"/>
          <w:spacing w:val="0"/>
          <w:sz w:val="24"/>
          <w:szCs w:val="24"/>
          <w:shd w:val="clear" w:color="auto" w:fill="FFFFFF"/>
          <w:vertAlign w:val="baseline"/>
        </w:rPr>
        <w:br w:type="textWrapping"/>
      </w:r>
      <w:r>
        <w:rPr>
          <w:rFonts w:hint="eastAsia" w:ascii="仿宋" w:hAnsi="仿宋" w:eastAsia="仿宋" w:cs="仿宋"/>
          <w:i w:val="0"/>
          <w:iCs w:val="0"/>
          <w:caps w:val="0"/>
          <w:color w:val="333333"/>
          <w:spacing w:val="0"/>
          <w:sz w:val="24"/>
          <w:szCs w:val="24"/>
          <w:shd w:val="clear" w:color="auto" w:fill="FFFFFF"/>
          <w:vertAlign w:val="baseline"/>
        </w:rPr>
        <w:t>3.2投标人参加本项目的合法授权人授权委托书；投标人应授权合法的人员参加投标全过程，其中法定代表人直接参加投标的，须出具法人身份证，并与营业执照上信息一致。法定代表人授权代表参加投标的，须出具法定代表人授权书及授权代表身份证、授权代表本单位证明（养老保险缴纳证明）；</w:t>
      </w:r>
      <w:r>
        <w:rPr>
          <w:rFonts w:hint="eastAsia" w:ascii="仿宋" w:hAnsi="仿宋" w:eastAsia="仿宋" w:cs="仿宋"/>
          <w:i w:val="0"/>
          <w:iCs w:val="0"/>
          <w:caps w:val="0"/>
          <w:color w:val="333333"/>
          <w:spacing w:val="0"/>
          <w:sz w:val="24"/>
          <w:szCs w:val="24"/>
          <w:shd w:val="clear" w:color="auto" w:fill="FFFFFF"/>
          <w:vertAlign w:val="baseline"/>
        </w:rPr>
        <w:br w:type="textWrapping"/>
      </w:r>
      <w:r>
        <w:rPr>
          <w:rFonts w:hint="eastAsia" w:ascii="仿宋" w:hAnsi="仿宋" w:eastAsia="仿宋" w:cs="仿宋"/>
          <w:i w:val="0"/>
          <w:iCs w:val="0"/>
          <w:caps w:val="0"/>
          <w:color w:val="333333"/>
          <w:spacing w:val="0"/>
          <w:sz w:val="24"/>
          <w:szCs w:val="24"/>
          <w:shd w:val="clear" w:color="auto" w:fill="FFFFFF"/>
          <w:vertAlign w:val="baseline"/>
        </w:rPr>
        <w:t>3.3投标人为经销商的应具有医疗器械经营许可证或经营备案凭证（投标产品须在其经营范围内）；投标人为制造厂家应具有医疗器械经营许可证或经营备案凭证（投标产品须在其经营范围内），并具有医疗器械生产许可证（投标产品须在其生产范围内）；</w:t>
      </w:r>
      <w:r>
        <w:rPr>
          <w:rFonts w:hint="eastAsia" w:ascii="仿宋" w:hAnsi="仿宋" w:eastAsia="仿宋" w:cs="仿宋"/>
          <w:i w:val="0"/>
          <w:iCs w:val="0"/>
          <w:caps w:val="0"/>
          <w:color w:val="333333"/>
          <w:spacing w:val="0"/>
          <w:sz w:val="24"/>
          <w:szCs w:val="24"/>
          <w:shd w:val="clear" w:color="auto" w:fill="FFFFFF"/>
          <w:vertAlign w:val="baseline"/>
        </w:rPr>
        <w:br w:type="textWrapping"/>
      </w:r>
      <w:r>
        <w:rPr>
          <w:rFonts w:hint="eastAsia" w:ascii="仿宋" w:hAnsi="仿宋" w:eastAsia="仿宋" w:cs="仿宋"/>
          <w:i w:val="0"/>
          <w:iCs w:val="0"/>
          <w:caps w:val="0"/>
          <w:color w:val="333333"/>
          <w:spacing w:val="0"/>
          <w:sz w:val="24"/>
          <w:szCs w:val="24"/>
          <w:shd w:val="clear" w:color="auto" w:fill="FFFFFF"/>
          <w:vertAlign w:val="baseline"/>
        </w:rPr>
        <w:t>3.4投标产品属于医疗器械管理的提供医疗器械注册证；</w:t>
      </w:r>
      <w:r>
        <w:rPr>
          <w:rFonts w:hint="eastAsia" w:ascii="仿宋" w:hAnsi="仿宋" w:eastAsia="仿宋" w:cs="仿宋"/>
          <w:i w:val="0"/>
          <w:iCs w:val="0"/>
          <w:caps w:val="0"/>
          <w:color w:val="333333"/>
          <w:spacing w:val="0"/>
          <w:sz w:val="24"/>
          <w:szCs w:val="24"/>
          <w:shd w:val="clear" w:color="auto" w:fill="FFFFFF"/>
          <w:vertAlign w:val="baseline"/>
        </w:rPr>
        <w:br w:type="textWrapping"/>
      </w:r>
      <w:r>
        <w:rPr>
          <w:rFonts w:hint="eastAsia" w:ascii="仿宋" w:hAnsi="仿宋" w:eastAsia="仿宋" w:cs="仿宋"/>
          <w:i w:val="0"/>
          <w:iCs w:val="0"/>
          <w:caps w:val="0"/>
          <w:color w:val="333333"/>
          <w:spacing w:val="0"/>
          <w:sz w:val="24"/>
          <w:szCs w:val="24"/>
          <w:shd w:val="clear" w:color="auto" w:fill="FFFFFF"/>
          <w:vertAlign w:val="baseline"/>
        </w:rPr>
        <w:t>3.5供应商不得存在下列情形之一：</w:t>
      </w:r>
      <w:r>
        <w:rPr>
          <w:rFonts w:hint="eastAsia" w:ascii="仿宋" w:hAnsi="仿宋" w:eastAsia="仿宋" w:cs="仿宋"/>
          <w:i w:val="0"/>
          <w:iCs w:val="0"/>
          <w:caps w:val="0"/>
          <w:color w:val="333333"/>
          <w:spacing w:val="0"/>
          <w:sz w:val="24"/>
          <w:szCs w:val="24"/>
          <w:shd w:val="clear" w:color="auto" w:fill="FFFFFF"/>
          <w:vertAlign w:val="baseline"/>
        </w:rPr>
        <w:br w:type="textWrapping"/>
      </w:r>
      <w:r>
        <w:rPr>
          <w:rFonts w:hint="eastAsia" w:ascii="仿宋" w:hAnsi="仿宋" w:eastAsia="仿宋" w:cs="仿宋"/>
          <w:i w:val="0"/>
          <w:iCs w:val="0"/>
          <w:caps w:val="0"/>
          <w:color w:val="333333"/>
          <w:spacing w:val="0"/>
          <w:sz w:val="24"/>
          <w:szCs w:val="24"/>
          <w:shd w:val="clear" w:color="auto" w:fill="FFFFFF"/>
          <w:vertAlign w:val="baseline"/>
        </w:rPr>
        <w:t>（1）单位负责人为同一人或者存在直接控股、管理关系的不同供应商，不得参加本次采购活动；</w:t>
      </w:r>
      <w:r>
        <w:rPr>
          <w:rFonts w:hint="eastAsia" w:ascii="仿宋" w:hAnsi="仿宋" w:eastAsia="仿宋" w:cs="仿宋"/>
          <w:i w:val="0"/>
          <w:iCs w:val="0"/>
          <w:caps w:val="0"/>
          <w:color w:val="333333"/>
          <w:spacing w:val="0"/>
          <w:sz w:val="24"/>
          <w:szCs w:val="24"/>
          <w:shd w:val="clear" w:color="auto" w:fill="FFFFFF"/>
          <w:vertAlign w:val="baseline"/>
        </w:rPr>
        <w:br w:type="textWrapping"/>
      </w:r>
      <w:r>
        <w:rPr>
          <w:rFonts w:hint="eastAsia" w:ascii="仿宋" w:hAnsi="仿宋" w:eastAsia="仿宋" w:cs="仿宋"/>
          <w:i w:val="0"/>
          <w:iCs w:val="0"/>
          <w:caps w:val="0"/>
          <w:color w:val="333333"/>
          <w:spacing w:val="0"/>
          <w:sz w:val="24"/>
          <w:szCs w:val="24"/>
          <w:shd w:val="clear" w:color="auto" w:fill="FFFFFF"/>
          <w:vertAlign w:val="baseline"/>
        </w:rPr>
        <w:t>（2）为本项目提供整体设计、规范编制或者项目管理、监理、检测等服务的供应商，不得再参加本项目的采购活动；</w:t>
      </w:r>
      <w:r>
        <w:rPr>
          <w:rFonts w:hint="eastAsia" w:ascii="仿宋" w:hAnsi="仿宋" w:eastAsia="仿宋" w:cs="仿宋"/>
          <w:i w:val="0"/>
          <w:iCs w:val="0"/>
          <w:caps w:val="0"/>
          <w:color w:val="333333"/>
          <w:spacing w:val="0"/>
          <w:sz w:val="24"/>
          <w:szCs w:val="24"/>
          <w:shd w:val="clear" w:color="auto" w:fill="FFFFFF"/>
          <w:vertAlign w:val="baseline"/>
        </w:rPr>
        <w:br w:type="textWrapping"/>
      </w:r>
      <w:r>
        <w:rPr>
          <w:rFonts w:hint="eastAsia" w:ascii="仿宋" w:hAnsi="仿宋" w:eastAsia="仿宋" w:cs="仿宋"/>
          <w:i w:val="0"/>
          <w:iCs w:val="0"/>
          <w:caps w:val="0"/>
          <w:color w:val="333333"/>
          <w:spacing w:val="0"/>
          <w:sz w:val="24"/>
          <w:szCs w:val="24"/>
          <w:shd w:val="clear" w:color="auto" w:fill="FFFFFF"/>
          <w:vertAlign w:val="baseline"/>
        </w:rPr>
        <w:t>3.6需向采购代理机构获取招标文件，未向采购代理机构获取招标文件的投标人均无资格参加投标。</w:t>
      </w:r>
    </w:p>
    <w:p w14:paraId="4CC8D89F">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合同包4(血液透析机等)特定资格要求如下:</w:t>
      </w:r>
    </w:p>
    <w:p w14:paraId="694B500D">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240" w:right="0" w:firstLine="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3.1投标人在递交投标文件截止时间前被“信用中国”网站（www.creditchina.gov.cn）和中国政府采购网（www.ccgp.gov.cn）上被列入失信被执行人、重大税收违法失信主体、政府采购严重违法失信行为记录名单的，不得参加投标；</w:t>
      </w:r>
      <w:r>
        <w:rPr>
          <w:rFonts w:hint="eastAsia" w:ascii="仿宋" w:hAnsi="仿宋" w:eastAsia="仿宋" w:cs="仿宋"/>
          <w:i w:val="0"/>
          <w:iCs w:val="0"/>
          <w:caps w:val="0"/>
          <w:color w:val="333333"/>
          <w:spacing w:val="0"/>
          <w:sz w:val="24"/>
          <w:szCs w:val="24"/>
          <w:shd w:val="clear" w:color="auto" w:fill="FFFFFF"/>
          <w:vertAlign w:val="baseline"/>
        </w:rPr>
        <w:br w:type="textWrapping"/>
      </w:r>
      <w:r>
        <w:rPr>
          <w:rFonts w:hint="eastAsia" w:ascii="仿宋" w:hAnsi="仿宋" w:eastAsia="仿宋" w:cs="仿宋"/>
          <w:i w:val="0"/>
          <w:iCs w:val="0"/>
          <w:caps w:val="0"/>
          <w:color w:val="333333"/>
          <w:spacing w:val="0"/>
          <w:sz w:val="24"/>
          <w:szCs w:val="24"/>
          <w:shd w:val="clear" w:color="auto" w:fill="FFFFFF"/>
          <w:vertAlign w:val="baseline"/>
        </w:rPr>
        <w:t>3.2投标人参加本项目的合法授权人授权委托书；投标人应授权合法的人员参加投标全过程，其中法定代表人直接参加投标的，须出具法人身份证，并与营业执照上信息一致。法定代表人授权代表参加投标的，须出具法定代表人授权书及授权代表身份证、授权代表本单位证明（养老保险缴纳证明）；</w:t>
      </w:r>
      <w:r>
        <w:rPr>
          <w:rFonts w:hint="eastAsia" w:ascii="仿宋" w:hAnsi="仿宋" w:eastAsia="仿宋" w:cs="仿宋"/>
          <w:i w:val="0"/>
          <w:iCs w:val="0"/>
          <w:caps w:val="0"/>
          <w:color w:val="333333"/>
          <w:spacing w:val="0"/>
          <w:sz w:val="24"/>
          <w:szCs w:val="24"/>
          <w:shd w:val="clear" w:color="auto" w:fill="FFFFFF"/>
          <w:vertAlign w:val="baseline"/>
        </w:rPr>
        <w:br w:type="textWrapping"/>
      </w:r>
      <w:r>
        <w:rPr>
          <w:rFonts w:hint="eastAsia" w:ascii="仿宋" w:hAnsi="仿宋" w:eastAsia="仿宋" w:cs="仿宋"/>
          <w:i w:val="0"/>
          <w:iCs w:val="0"/>
          <w:caps w:val="0"/>
          <w:color w:val="333333"/>
          <w:spacing w:val="0"/>
          <w:sz w:val="24"/>
          <w:szCs w:val="24"/>
          <w:shd w:val="clear" w:color="auto" w:fill="FFFFFF"/>
          <w:vertAlign w:val="baseline"/>
        </w:rPr>
        <w:t>3.3投标人为经销商的应具有医疗器械经营许可证或经营备案凭证（投标产品须在其经营范围内）；投标人为制造厂家应具有医疗器械经营许可证或经营备案凭证（投标产品须在其经营范围内），并具有医疗器械生产许可证（投标产品须在其生产范围内）；</w:t>
      </w:r>
      <w:r>
        <w:rPr>
          <w:rFonts w:hint="eastAsia" w:ascii="仿宋" w:hAnsi="仿宋" w:eastAsia="仿宋" w:cs="仿宋"/>
          <w:i w:val="0"/>
          <w:iCs w:val="0"/>
          <w:caps w:val="0"/>
          <w:color w:val="333333"/>
          <w:spacing w:val="0"/>
          <w:sz w:val="24"/>
          <w:szCs w:val="24"/>
          <w:shd w:val="clear" w:color="auto" w:fill="FFFFFF"/>
          <w:vertAlign w:val="baseline"/>
        </w:rPr>
        <w:br w:type="textWrapping"/>
      </w:r>
      <w:r>
        <w:rPr>
          <w:rFonts w:hint="eastAsia" w:ascii="仿宋" w:hAnsi="仿宋" w:eastAsia="仿宋" w:cs="仿宋"/>
          <w:i w:val="0"/>
          <w:iCs w:val="0"/>
          <w:caps w:val="0"/>
          <w:color w:val="333333"/>
          <w:spacing w:val="0"/>
          <w:sz w:val="24"/>
          <w:szCs w:val="24"/>
          <w:shd w:val="clear" w:color="auto" w:fill="FFFFFF"/>
          <w:vertAlign w:val="baseline"/>
        </w:rPr>
        <w:t>3.4投标产品属于医疗器械管理的提供医疗器械注册证；</w:t>
      </w:r>
      <w:r>
        <w:rPr>
          <w:rFonts w:hint="eastAsia" w:ascii="仿宋" w:hAnsi="仿宋" w:eastAsia="仿宋" w:cs="仿宋"/>
          <w:i w:val="0"/>
          <w:iCs w:val="0"/>
          <w:caps w:val="0"/>
          <w:color w:val="333333"/>
          <w:spacing w:val="0"/>
          <w:sz w:val="24"/>
          <w:szCs w:val="24"/>
          <w:shd w:val="clear" w:color="auto" w:fill="FFFFFF"/>
          <w:vertAlign w:val="baseline"/>
        </w:rPr>
        <w:br w:type="textWrapping"/>
      </w:r>
      <w:r>
        <w:rPr>
          <w:rFonts w:hint="eastAsia" w:ascii="仿宋" w:hAnsi="仿宋" w:eastAsia="仿宋" w:cs="仿宋"/>
          <w:i w:val="0"/>
          <w:iCs w:val="0"/>
          <w:caps w:val="0"/>
          <w:color w:val="333333"/>
          <w:spacing w:val="0"/>
          <w:sz w:val="24"/>
          <w:szCs w:val="24"/>
          <w:shd w:val="clear" w:color="auto" w:fill="FFFFFF"/>
          <w:vertAlign w:val="baseline"/>
        </w:rPr>
        <w:t>3.5供应商不得存在下列情形之一：</w:t>
      </w:r>
      <w:r>
        <w:rPr>
          <w:rFonts w:hint="eastAsia" w:ascii="仿宋" w:hAnsi="仿宋" w:eastAsia="仿宋" w:cs="仿宋"/>
          <w:i w:val="0"/>
          <w:iCs w:val="0"/>
          <w:caps w:val="0"/>
          <w:color w:val="333333"/>
          <w:spacing w:val="0"/>
          <w:sz w:val="24"/>
          <w:szCs w:val="24"/>
          <w:shd w:val="clear" w:color="auto" w:fill="FFFFFF"/>
          <w:vertAlign w:val="baseline"/>
        </w:rPr>
        <w:br w:type="textWrapping"/>
      </w:r>
      <w:r>
        <w:rPr>
          <w:rFonts w:hint="eastAsia" w:ascii="仿宋" w:hAnsi="仿宋" w:eastAsia="仿宋" w:cs="仿宋"/>
          <w:i w:val="0"/>
          <w:iCs w:val="0"/>
          <w:caps w:val="0"/>
          <w:color w:val="333333"/>
          <w:spacing w:val="0"/>
          <w:sz w:val="24"/>
          <w:szCs w:val="24"/>
          <w:shd w:val="clear" w:color="auto" w:fill="FFFFFF"/>
          <w:vertAlign w:val="baseline"/>
        </w:rPr>
        <w:t>（1）单位负责人为同一人或者存在直接控股、管理关系的不同供应商，不得参加本次采购活动；</w:t>
      </w:r>
      <w:r>
        <w:rPr>
          <w:rFonts w:hint="eastAsia" w:ascii="仿宋" w:hAnsi="仿宋" w:eastAsia="仿宋" w:cs="仿宋"/>
          <w:i w:val="0"/>
          <w:iCs w:val="0"/>
          <w:caps w:val="0"/>
          <w:color w:val="333333"/>
          <w:spacing w:val="0"/>
          <w:sz w:val="24"/>
          <w:szCs w:val="24"/>
          <w:shd w:val="clear" w:color="auto" w:fill="FFFFFF"/>
          <w:vertAlign w:val="baseline"/>
        </w:rPr>
        <w:br w:type="textWrapping"/>
      </w:r>
      <w:r>
        <w:rPr>
          <w:rFonts w:hint="eastAsia" w:ascii="仿宋" w:hAnsi="仿宋" w:eastAsia="仿宋" w:cs="仿宋"/>
          <w:i w:val="0"/>
          <w:iCs w:val="0"/>
          <w:caps w:val="0"/>
          <w:color w:val="333333"/>
          <w:spacing w:val="0"/>
          <w:sz w:val="24"/>
          <w:szCs w:val="24"/>
          <w:shd w:val="clear" w:color="auto" w:fill="FFFFFF"/>
          <w:vertAlign w:val="baseline"/>
        </w:rPr>
        <w:t>（2）为本项目提供整体设计、规范编制或者项目管理、监理、检测等服务的供应商，不得再参加本项目的采购活动；</w:t>
      </w:r>
      <w:r>
        <w:rPr>
          <w:rFonts w:hint="eastAsia" w:ascii="仿宋" w:hAnsi="仿宋" w:eastAsia="仿宋" w:cs="仿宋"/>
          <w:i w:val="0"/>
          <w:iCs w:val="0"/>
          <w:caps w:val="0"/>
          <w:color w:val="333333"/>
          <w:spacing w:val="0"/>
          <w:sz w:val="24"/>
          <w:szCs w:val="24"/>
          <w:shd w:val="clear" w:color="auto" w:fill="FFFFFF"/>
          <w:vertAlign w:val="baseline"/>
        </w:rPr>
        <w:br w:type="textWrapping"/>
      </w:r>
      <w:r>
        <w:rPr>
          <w:rFonts w:hint="eastAsia" w:ascii="仿宋" w:hAnsi="仿宋" w:eastAsia="仿宋" w:cs="仿宋"/>
          <w:i w:val="0"/>
          <w:iCs w:val="0"/>
          <w:caps w:val="0"/>
          <w:color w:val="333333"/>
          <w:spacing w:val="0"/>
          <w:sz w:val="24"/>
          <w:szCs w:val="24"/>
          <w:shd w:val="clear" w:color="auto" w:fill="FFFFFF"/>
          <w:vertAlign w:val="baseline"/>
        </w:rPr>
        <w:t>3.6需向采购代理机构获取招标文件，未向采购代理机构获取招标文件的投标人均无资格参加投标。</w:t>
      </w:r>
    </w:p>
    <w:p w14:paraId="30B8E345">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0" w:afterAutospacing="0" w:line="360" w:lineRule="auto"/>
        <w:ind w:left="0" w:right="0" w:firstLine="0"/>
        <w:jc w:val="left"/>
        <w:textAlignment w:val="baseline"/>
        <w:rPr>
          <w:rFonts w:hint="eastAsia" w:ascii="仿宋" w:hAnsi="仿宋" w:eastAsia="仿宋" w:cs="仿宋"/>
          <w:b w:val="0"/>
          <w:bCs w:val="0"/>
          <w:i w:val="0"/>
          <w:iCs w:val="0"/>
          <w:caps w:val="0"/>
          <w:color w:val="333333"/>
          <w:spacing w:val="0"/>
          <w:sz w:val="24"/>
          <w:szCs w:val="24"/>
        </w:rPr>
      </w:pPr>
      <w:r>
        <w:rPr>
          <w:rStyle w:val="39"/>
          <w:rFonts w:hint="eastAsia" w:ascii="仿宋" w:hAnsi="仿宋" w:eastAsia="仿宋" w:cs="仿宋"/>
          <w:b/>
          <w:bCs/>
          <w:i w:val="0"/>
          <w:iCs w:val="0"/>
          <w:caps w:val="0"/>
          <w:color w:val="333333"/>
          <w:spacing w:val="0"/>
          <w:sz w:val="24"/>
          <w:szCs w:val="24"/>
          <w:shd w:val="clear" w:color="auto" w:fill="FFFFFF"/>
          <w:vertAlign w:val="baseline"/>
        </w:rPr>
        <w:t>三、获取招标文件</w:t>
      </w:r>
    </w:p>
    <w:p w14:paraId="55FF121E">
      <w:pPr>
        <w:pStyle w:val="3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240"/>
        <w:jc w:val="both"/>
        <w:textAlignment w:val="baseline"/>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vertAlign w:val="baseline"/>
        </w:rPr>
        <w:t>时间： 2025年12月19日 至 2025年12月25日 ，每天上午 00:00:00 至 12:00:00 ，下午 12:00:00 至 23:59:59 （北京时间）</w:t>
      </w:r>
    </w:p>
    <w:p w14:paraId="2906402C">
      <w:pPr>
        <w:pStyle w:val="3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240"/>
        <w:jc w:val="both"/>
        <w:textAlignment w:val="baseline"/>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vertAlign w:val="baseline"/>
        </w:rPr>
        <w:t>途径：全国公共资源交易平台（陕西省·宝鸡市）网站〖首页〉电子交易平台〉陕西政府采购交易系统〉企业端〗</w:t>
      </w:r>
    </w:p>
    <w:p w14:paraId="31158B2A">
      <w:pPr>
        <w:pStyle w:val="3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240"/>
        <w:jc w:val="both"/>
        <w:textAlignment w:val="baseline"/>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vertAlign w:val="baseline"/>
        </w:rPr>
        <w:t>方式：在线获取</w:t>
      </w:r>
    </w:p>
    <w:p w14:paraId="45D23ED9">
      <w:pPr>
        <w:pStyle w:val="3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240"/>
        <w:jc w:val="both"/>
        <w:textAlignment w:val="baseline"/>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vertAlign w:val="baseline"/>
        </w:rPr>
        <w:t>售价： 0元</w:t>
      </w:r>
    </w:p>
    <w:p w14:paraId="288EE024">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0" w:afterAutospacing="0" w:line="360" w:lineRule="auto"/>
        <w:ind w:left="0" w:right="0" w:firstLine="0"/>
        <w:jc w:val="left"/>
        <w:textAlignment w:val="baseline"/>
        <w:rPr>
          <w:rFonts w:hint="eastAsia" w:ascii="仿宋" w:hAnsi="仿宋" w:eastAsia="仿宋" w:cs="仿宋"/>
          <w:b w:val="0"/>
          <w:bCs w:val="0"/>
          <w:i w:val="0"/>
          <w:iCs w:val="0"/>
          <w:caps w:val="0"/>
          <w:color w:val="333333"/>
          <w:spacing w:val="0"/>
          <w:sz w:val="24"/>
          <w:szCs w:val="24"/>
        </w:rPr>
      </w:pPr>
      <w:r>
        <w:rPr>
          <w:rStyle w:val="39"/>
          <w:rFonts w:hint="eastAsia" w:ascii="仿宋" w:hAnsi="仿宋" w:eastAsia="仿宋" w:cs="仿宋"/>
          <w:b/>
          <w:bCs/>
          <w:i w:val="0"/>
          <w:iCs w:val="0"/>
          <w:caps w:val="0"/>
          <w:color w:val="333333"/>
          <w:spacing w:val="0"/>
          <w:sz w:val="24"/>
          <w:szCs w:val="24"/>
          <w:shd w:val="clear" w:color="auto" w:fill="FFFFFF"/>
          <w:vertAlign w:val="baseline"/>
        </w:rPr>
        <w:t>四、提交投标文件截止时间、开标时间和地点</w:t>
      </w:r>
    </w:p>
    <w:p w14:paraId="735852BE">
      <w:pPr>
        <w:pStyle w:val="3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240"/>
        <w:jc w:val="both"/>
        <w:textAlignment w:val="baseline"/>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vertAlign w:val="baseline"/>
        </w:rPr>
        <w:t>时间： 2026年01月08日 09时00分00秒 （北京时间）</w:t>
      </w:r>
    </w:p>
    <w:p w14:paraId="7C947116">
      <w:pPr>
        <w:pStyle w:val="3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240"/>
        <w:jc w:val="both"/>
        <w:textAlignment w:val="baseline"/>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vertAlign w:val="baseline"/>
        </w:rPr>
        <w:t>提交投标文件地点：全国公共资源交易平台（陕西省•宝鸡市）网站〖首页〉电子交易平台〉陕西政府采购交易系统〉企业端〗上传电子投标文件</w:t>
      </w:r>
    </w:p>
    <w:p w14:paraId="55F582B3">
      <w:pPr>
        <w:pStyle w:val="3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240"/>
        <w:jc w:val="both"/>
        <w:textAlignment w:val="baseline"/>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vertAlign w:val="baseline"/>
        </w:rPr>
        <w:t>开标地点：全国公共资源交易平台（陕西省•宝鸡市）网站〖首页〉电子交易平台〉陕西政府采购交易系统〉企业端〗不见面开标</w:t>
      </w:r>
    </w:p>
    <w:p w14:paraId="472FA82A">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0" w:afterAutospacing="0" w:line="360" w:lineRule="auto"/>
        <w:ind w:left="0" w:right="0" w:firstLine="0"/>
        <w:jc w:val="left"/>
        <w:textAlignment w:val="baseline"/>
        <w:rPr>
          <w:rFonts w:hint="eastAsia" w:ascii="仿宋" w:hAnsi="仿宋" w:eastAsia="仿宋" w:cs="仿宋"/>
          <w:b w:val="0"/>
          <w:bCs w:val="0"/>
          <w:i w:val="0"/>
          <w:iCs w:val="0"/>
          <w:caps w:val="0"/>
          <w:color w:val="333333"/>
          <w:spacing w:val="0"/>
          <w:sz w:val="24"/>
          <w:szCs w:val="24"/>
        </w:rPr>
      </w:pPr>
      <w:r>
        <w:rPr>
          <w:rStyle w:val="39"/>
          <w:rFonts w:hint="eastAsia" w:ascii="仿宋" w:hAnsi="仿宋" w:eastAsia="仿宋" w:cs="仿宋"/>
          <w:b/>
          <w:bCs/>
          <w:i w:val="0"/>
          <w:iCs w:val="0"/>
          <w:caps w:val="0"/>
          <w:color w:val="333333"/>
          <w:spacing w:val="0"/>
          <w:sz w:val="24"/>
          <w:szCs w:val="24"/>
          <w:shd w:val="clear" w:color="auto" w:fill="FFFFFF"/>
          <w:vertAlign w:val="baseline"/>
        </w:rPr>
        <w:t>五、公告期限</w:t>
      </w:r>
    </w:p>
    <w:p w14:paraId="339F0984">
      <w:pPr>
        <w:pStyle w:val="3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240"/>
        <w:jc w:val="both"/>
        <w:textAlignment w:val="baseline"/>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vertAlign w:val="baseline"/>
        </w:rPr>
        <w:t>自本公告发布之日起5个工作日。</w:t>
      </w:r>
    </w:p>
    <w:p w14:paraId="3B10C50F">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0" w:afterAutospacing="0" w:line="360" w:lineRule="auto"/>
        <w:ind w:left="0" w:right="0" w:firstLine="0"/>
        <w:jc w:val="left"/>
        <w:textAlignment w:val="baseline"/>
        <w:rPr>
          <w:rFonts w:hint="eastAsia" w:ascii="仿宋" w:hAnsi="仿宋" w:eastAsia="仿宋" w:cs="仿宋"/>
          <w:b w:val="0"/>
          <w:bCs w:val="0"/>
          <w:i w:val="0"/>
          <w:iCs w:val="0"/>
          <w:caps w:val="0"/>
          <w:color w:val="333333"/>
          <w:spacing w:val="0"/>
          <w:sz w:val="24"/>
          <w:szCs w:val="24"/>
        </w:rPr>
      </w:pPr>
      <w:r>
        <w:rPr>
          <w:rStyle w:val="39"/>
          <w:rFonts w:hint="eastAsia" w:ascii="仿宋" w:hAnsi="仿宋" w:eastAsia="仿宋" w:cs="仿宋"/>
          <w:b/>
          <w:bCs/>
          <w:i w:val="0"/>
          <w:iCs w:val="0"/>
          <w:caps w:val="0"/>
          <w:color w:val="333333"/>
          <w:spacing w:val="0"/>
          <w:sz w:val="24"/>
          <w:szCs w:val="24"/>
          <w:shd w:val="clear" w:color="auto" w:fill="FFFFFF"/>
          <w:vertAlign w:val="baseline"/>
        </w:rPr>
        <w:t>六、其他补充事宜</w:t>
      </w:r>
    </w:p>
    <w:p w14:paraId="1DC47C0A">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项目概况：宝鸡市凤翔区医院三号住院楼配套医疗设备购置项目，第1包：ICU桥式吊塔等；第2包：子母无影灯等；第3包：全自动清洗机等；第4包：血液透析机等...具体参数详见招标文件。</w:t>
      </w:r>
    </w:p>
    <w:p w14:paraId="27C2E0AF">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1、落实政府采购政策：</w:t>
      </w:r>
    </w:p>
    <w:p w14:paraId="5AFC8CB7">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1.1《关于进一步加大政府采购支持中小企业力度的通知》（财库〔2022〕19号）、《政府采购促进中小企业发展管理办法》（财库〔2020〕46号）、《财政部 司法部关于政府采购支持监狱企业发展有关问题的通知》（财库〔2014〕68号）、《关于促进残疾人就业政府采购政策的通知》（财库〔2017〕141号）。</w:t>
      </w:r>
    </w:p>
    <w:p w14:paraId="69006B82">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1.2《国务院办公厅关于建立政府强制采购节能产品制度的通知》（国办发〔2007〕51号）、《财政部 发展改革委 生态环境部 市场监管总局关于调整优化节能产品、环境标志产品政府采购执行机制的通知》（财库〔2019〕9号）、《关于印发环境标志产品政府采购品目清单的通知》（财库〔2019〕18号）、《关于印发节能产品政府采购品目清单的通知》（财库〔2019〕19号）。</w:t>
      </w:r>
    </w:p>
    <w:p w14:paraId="232FDF2E">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1.3《关于运用政府采购政策支持乡村产业振兴的通知》（财库〔2021〕19 号）、《关于印发&lt;关于深入开展政府采购脱贫地区农副产品工作推进乡村产业振兴的实施意见&gt;的通知》（财库〔2021〕20 号）。</w:t>
      </w:r>
    </w:p>
    <w:p w14:paraId="3D2600E3">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1.4《国家互联网信息办公室 工业和信息化部 公安部 财政部 国家认证认可监督管理委员会关于调整网络安全专用产品安全管理有关事项的公告》（2023年第1号）。</w:t>
      </w:r>
    </w:p>
    <w:p w14:paraId="4BF4CCB6">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1.5《陕西省财政厅关于加快推进我省中小企业政府采购信用融资工作的通知》（陕财办采〔2020〕15 号）、《陕西省财政厅关于印发&lt;陕西省中小企业政府采购信用融资办法&gt;的通知》（陕财办采〔2018〕23 号）。</w:t>
      </w:r>
    </w:p>
    <w:p w14:paraId="7DCA8426">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1.6《关于扩大政府采购支持绿色建材促进建筑品质提升政策实施范围的通知》（财库〔2022〕35号）、《财政部办公厅 住房城乡建设部办公厅 工业和信息化部办公厅关于印发&lt;政府采购支持绿色建材促进建筑品质提升政策项目实施指南&gt;的通知》（ 财办库〔2023〕52号）。</w:t>
      </w:r>
    </w:p>
    <w:p w14:paraId="7FE7E205">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若享受以上政策优惠的企业，提供相应声明函或品目清单范围内产品的有效认证证书或相关证明。</w:t>
      </w:r>
    </w:p>
    <w:p w14:paraId="0A9C559D">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2、其他</w:t>
      </w:r>
    </w:p>
    <w:p w14:paraId="15A40165">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2.1、购买须知：使用捆绑省交易平台的CA锁登录电子交易平台，通过政府采购系统企业端进入，点击我要投标，完善相关投标信息。2.2、请各投标人获取招标文件后，按照陕西省财政厅《关于政府采供应商注册登记有关事项的通知》要求，通过陕西省政府采购网注册登记加入陕西省政府采购供应商库。2.3、电子投标文件（*.SXSTF）可于提交投标文件截止时间前任意时段登录陕西省宝鸡市公共资源交易中心平台（http://ggzy.baoji.gov.cn/）“电子交易平台-企业端”进行提交，逾期系统将拒绝接收。2.4、本项目采用“不见面”开标形式，供应商可登录陕西省宝鸡市公共资源交易中心平台（http://ggzy.baoji.gov.cn/）〖《首页》不见面开标〗在线参与开评标过程，详见交易平台〖首页〉服务指南〉下载专区〗中的《陕西省公共资源交易中心政府采购项目远程不见面开标操作手册》。</w:t>
      </w:r>
    </w:p>
    <w:p w14:paraId="6F712B56">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0" w:afterAutospacing="0" w:line="360" w:lineRule="auto"/>
        <w:ind w:left="0" w:right="0" w:firstLine="0"/>
        <w:jc w:val="left"/>
        <w:textAlignment w:val="baseline"/>
        <w:rPr>
          <w:rFonts w:hint="eastAsia" w:ascii="仿宋" w:hAnsi="仿宋" w:eastAsia="仿宋" w:cs="仿宋"/>
          <w:b w:val="0"/>
          <w:bCs w:val="0"/>
          <w:i w:val="0"/>
          <w:iCs w:val="0"/>
          <w:caps w:val="0"/>
          <w:color w:val="333333"/>
          <w:spacing w:val="0"/>
          <w:sz w:val="24"/>
          <w:szCs w:val="24"/>
        </w:rPr>
      </w:pPr>
      <w:r>
        <w:rPr>
          <w:rStyle w:val="39"/>
          <w:rFonts w:hint="eastAsia" w:ascii="仿宋" w:hAnsi="仿宋" w:eastAsia="仿宋" w:cs="仿宋"/>
          <w:b/>
          <w:bCs/>
          <w:i w:val="0"/>
          <w:iCs w:val="0"/>
          <w:caps w:val="0"/>
          <w:color w:val="333333"/>
          <w:spacing w:val="0"/>
          <w:sz w:val="24"/>
          <w:szCs w:val="24"/>
          <w:shd w:val="clear" w:color="auto" w:fill="FFFFFF"/>
          <w:vertAlign w:val="baseline"/>
        </w:rPr>
        <w:t>七、对本次招标提出询问，请按以下方式联系。</w:t>
      </w:r>
    </w:p>
    <w:p w14:paraId="36655D66">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仿宋" w:hAnsi="仿宋" w:eastAsia="仿宋" w:cs="仿宋"/>
          <w:b w:val="0"/>
          <w:bCs w:val="0"/>
          <w:sz w:val="24"/>
          <w:szCs w:val="24"/>
        </w:rPr>
      </w:pPr>
      <w:r>
        <w:rPr>
          <w:rFonts w:hint="eastAsia" w:ascii="仿宋" w:hAnsi="仿宋" w:eastAsia="仿宋" w:cs="仿宋"/>
          <w:b w:val="0"/>
          <w:bCs w:val="0"/>
          <w:i w:val="0"/>
          <w:iCs w:val="0"/>
          <w:caps w:val="0"/>
          <w:color w:val="333333"/>
          <w:spacing w:val="0"/>
          <w:sz w:val="24"/>
          <w:szCs w:val="24"/>
          <w:shd w:val="clear" w:color="auto" w:fill="FFFFFF"/>
          <w:vertAlign w:val="baseline"/>
        </w:rPr>
        <w:t>1.采购人信息</w:t>
      </w:r>
    </w:p>
    <w:p w14:paraId="6789403B">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名称：宝鸡市凤翔区医院</w:t>
      </w:r>
    </w:p>
    <w:p w14:paraId="227A8BB6">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地址：秦凤路22号</w:t>
      </w:r>
    </w:p>
    <w:p w14:paraId="54ADE656">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联系方式：0917-7218211</w:t>
      </w:r>
    </w:p>
    <w:p w14:paraId="4842D186">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仿宋" w:hAnsi="仿宋" w:eastAsia="仿宋" w:cs="仿宋"/>
          <w:b w:val="0"/>
          <w:bCs w:val="0"/>
          <w:sz w:val="24"/>
          <w:szCs w:val="24"/>
        </w:rPr>
      </w:pPr>
      <w:r>
        <w:rPr>
          <w:rFonts w:hint="eastAsia" w:ascii="仿宋" w:hAnsi="仿宋" w:eastAsia="仿宋" w:cs="仿宋"/>
          <w:b w:val="0"/>
          <w:bCs w:val="0"/>
          <w:i w:val="0"/>
          <w:iCs w:val="0"/>
          <w:caps w:val="0"/>
          <w:color w:val="333333"/>
          <w:spacing w:val="0"/>
          <w:sz w:val="24"/>
          <w:szCs w:val="24"/>
          <w:shd w:val="clear" w:color="auto" w:fill="FFFFFF"/>
          <w:vertAlign w:val="baseline"/>
        </w:rPr>
        <w:t>2.采购代理机构信息</w:t>
      </w:r>
    </w:p>
    <w:p w14:paraId="6ED3D423">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名称：陕西省采购招标有限责任公司</w:t>
      </w:r>
    </w:p>
    <w:p w14:paraId="28339A95">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地址：西安市高新区锦业路1号都市之门C座9层</w:t>
      </w:r>
    </w:p>
    <w:p w14:paraId="7DEE989D">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联系方式：029-88497916</w:t>
      </w:r>
    </w:p>
    <w:p w14:paraId="657981B9">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仿宋" w:hAnsi="仿宋" w:eastAsia="仿宋" w:cs="仿宋"/>
          <w:b w:val="0"/>
          <w:bCs w:val="0"/>
          <w:sz w:val="24"/>
          <w:szCs w:val="24"/>
        </w:rPr>
      </w:pPr>
      <w:r>
        <w:rPr>
          <w:rFonts w:hint="eastAsia" w:ascii="仿宋" w:hAnsi="仿宋" w:eastAsia="仿宋" w:cs="仿宋"/>
          <w:b w:val="0"/>
          <w:bCs w:val="0"/>
          <w:i w:val="0"/>
          <w:iCs w:val="0"/>
          <w:caps w:val="0"/>
          <w:color w:val="333333"/>
          <w:spacing w:val="0"/>
          <w:sz w:val="24"/>
          <w:szCs w:val="24"/>
          <w:shd w:val="clear" w:color="auto" w:fill="FFFFFF"/>
          <w:vertAlign w:val="baseline"/>
        </w:rPr>
        <w:t>3.项目联系方式</w:t>
      </w:r>
    </w:p>
    <w:p w14:paraId="52EB7524">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项目联系人：胡梦阳、雷鹏</w:t>
      </w:r>
    </w:p>
    <w:p w14:paraId="14C26E8F">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24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color="auto" w:fill="FFFFFF"/>
          <w:vertAlign w:val="baseline"/>
        </w:rPr>
        <w:t>电话：029-88497916</w:t>
      </w:r>
    </w:p>
    <w:p w14:paraId="6184FD16">
      <w:pPr>
        <w:pStyle w:val="3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240"/>
        <w:jc w:val="right"/>
        <w:textAlignment w:val="baseline"/>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vertAlign w:val="baseline"/>
        </w:rPr>
        <w:t>陕西省采购招标有限责任公司</w:t>
      </w:r>
    </w:p>
    <w:p w14:paraId="78551064">
      <w:pPr>
        <w:pStyle w:val="3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240"/>
        <w:jc w:val="right"/>
        <w:textAlignment w:val="baseline"/>
        <w:rPr>
          <w:rFonts w:hint="eastAsia" w:ascii="仿宋" w:hAnsi="仿宋" w:eastAsia="仿宋" w:cs="仿宋"/>
          <w:i w:val="0"/>
          <w:iCs w:val="0"/>
          <w:caps w:val="0"/>
          <w:color w:val="333333"/>
          <w:spacing w:val="0"/>
          <w:sz w:val="24"/>
          <w:szCs w:val="24"/>
        </w:rPr>
      </w:pPr>
      <w:r>
        <w:rPr>
          <w:rFonts w:hint="eastAsia" w:ascii="仿宋" w:hAnsi="仿宋" w:eastAsia="仿宋" w:cs="仿宋"/>
          <w:i w:val="0"/>
          <w:iCs w:val="0"/>
          <w:caps w:val="0"/>
          <w:color w:val="333333"/>
          <w:spacing w:val="0"/>
          <w:sz w:val="24"/>
          <w:szCs w:val="24"/>
          <w:shd w:val="clear" w:color="auto" w:fill="FFFFFF"/>
          <w:vertAlign w:val="baseline"/>
        </w:rPr>
        <w:t>2025年12月18日</w:t>
      </w:r>
    </w:p>
    <w:p w14:paraId="534D7F28">
      <w:pPr>
        <w:pStyle w:val="33"/>
        <w:shd w:val="clear" w:color="auto" w:fill="auto"/>
        <w:rPr>
          <w:rFonts w:ascii="Times New Roman" w:hAnsi="Times New Roman"/>
          <w:color w:val="auto"/>
          <w:highlight w:val="none"/>
        </w:rPr>
      </w:pPr>
      <w:r>
        <w:rPr>
          <w:rFonts w:ascii="Times New Roman" w:hAnsi="Times New Roman" w:eastAsia="仿宋_GB2312"/>
          <w:color w:val="auto"/>
          <w:highlight w:val="none"/>
        </w:rPr>
        <w:br w:type="page"/>
      </w:r>
      <w:bookmarkStart w:id="4" w:name="_Toc31688"/>
      <w:r>
        <w:rPr>
          <w:rFonts w:ascii="Times New Roman" w:hAnsi="Times New Roman" w:eastAsia="仿宋_GB2312"/>
          <w:color w:val="auto"/>
          <w:highlight w:val="none"/>
        </w:rPr>
        <w:t xml:space="preserve">第二章  </w:t>
      </w:r>
      <w:bookmarkStart w:id="5" w:name="_Toc532473448"/>
      <w:bookmarkStart w:id="6" w:name="_Toc515647756"/>
      <w:r>
        <w:rPr>
          <w:rFonts w:ascii="Times New Roman" w:hAnsi="Times New Roman" w:eastAsia="仿宋_GB2312"/>
          <w:color w:val="auto"/>
          <w:highlight w:val="none"/>
        </w:rPr>
        <w:t>投标人须知</w:t>
      </w:r>
      <w:bookmarkEnd w:id="0"/>
      <w:bookmarkEnd w:id="1"/>
      <w:bookmarkEnd w:id="2"/>
      <w:bookmarkEnd w:id="4"/>
      <w:bookmarkEnd w:id="5"/>
      <w:bookmarkEnd w:id="6"/>
    </w:p>
    <w:p w14:paraId="768B8662">
      <w:pPr>
        <w:pStyle w:val="2"/>
        <w:shd w:val="clear" w:color="auto" w:fill="auto"/>
        <w:rPr>
          <w:rFonts w:ascii="Times New Roman" w:eastAsia="仿宋_GB2312"/>
          <w:color w:val="auto"/>
          <w:sz w:val="28"/>
          <w:szCs w:val="28"/>
          <w:highlight w:val="none"/>
        </w:rPr>
      </w:pPr>
      <w:bookmarkStart w:id="7" w:name="_Toc4981"/>
      <w:bookmarkStart w:id="8" w:name="_Toc62194294"/>
      <w:r>
        <w:rPr>
          <w:rFonts w:ascii="Times New Roman" w:eastAsia="仿宋_GB2312"/>
          <w:color w:val="auto"/>
          <w:sz w:val="28"/>
          <w:szCs w:val="28"/>
          <w:highlight w:val="none"/>
        </w:rPr>
        <w:t>（一）投标人须知前附表</w:t>
      </w:r>
      <w:bookmarkEnd w:id="7"/>
      <w:bookmarkEnd w:id="8"/>
    </w:p>
    <w:p w14:paraId="64E9FE4B">
      <w:pPr>
        <w:shd w:val="clear" w:color="auto" w:fill="auto"/>
        <w:spacing w:line="360" w:lineRule="auto"/>
        <w:rPr>
          <w:rFonts w:eastAsia="仿宋_GB2312"/>
          <w:color w:val="auto"/>
          <w:sz w:val="24"/>
          <w:highlight w:val="none"/>
        </w:rPr>
      </w:pPr>
      <w:r>
        <w:rPr>
          <w:rFonts w:eastAsia="仿宋_GB2312"/>
          <w:color w:val="auto"/>
          <w:sz w:val="24"/>
          <w:highlight w:val="none"/>
        </w:rPr>
        <w:t>本表是对投标人须知的具体补充和修改，如有矛盾，应以本</w:t>
      </w:r>
      <w:r>
        <w:rPr>
          <w:rFonts w:hint="eastAsia" w:eastAsia="仿宋_GB2312"/>
          <w:color w:val="auto"/>
          <w:sz w:val="24"/>
          <w:highlight w:val="none"/>
          <w:lang w:val="en-US" w:eastAsia="zh-CN"/>
        </w:rPr>
        <w:t>表</w:t>
      </w:r>
      <w:r>
        <w:rPr>
          <w:rFonts w:eastAsia="仿宋_GB2312"/>
          <w:color w:val="auto"/>
          <w:sz w:val="24"/>
          <w:highlight w:val="none"/>
        </w:rPr>
        <w:t>为准。</w:t>
      </w:r>
    </w:p>
    <w:tbl>
      <w:tblPr>
        <w:tblStyle w:val="3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468"/>
        <w:gridCol w:w="7632"/>
      </w:tblGrid>
      <w:tr w14:paraId="68823F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468" w:type="dxa"/>
            <w:noWrap w:val="0"/>
            <w:vAlign w:val="center"/>
          </w:tcPr>
          <w:p w14:paraId="64603884">
            <w:pPr>
              <w:shd w:val="clear" w:color="auto" w:fill="auto"/>
              <w:jc w:val="center"/>
              <w:rPr>
                <w:rFonts w:eastAsia="黑体"/>
                <w:color w:val="auto"/>
                <w:sz w:val="24"/>
                <w:highlight w:val="none"/>
              </w:rPr>
            </w:pPr>
            <w:r>
              <w:rPr>
                <w:rFonts w:eastAsia="黑体"/>
                <w:color w:val="auto"/>
                <w:sz w:val="24"/>
                <w:highlight w:val="none"/>
              </w:rPr>
              <w:t>条款号</w:t>
            </w:r>
          </w:p>
        </w:tc>
        <w:tc>
          <w:tcPr>
            <w:tcW w:w="7632" w:type="dxa"/>
            <w:noWrap w:val="0"/>
            <w:vAlign w:val="center"/>
          </w:tcPr>
          <w:p w14:paraId="323BCD16">
            <w:pPr>
              <w:shd w:val="clear" w:color="auto" w:fill="auto"/>
              <w:jc w:val="center"/>
              <w:rPr>
                <w:rFonts w:eastAsia="黑体"/>
                <w:color w:val="auto"/>
                <w:sz w:val="24"/>
                <w:highlight w:val="none"/>
              </w:rPr>
            </w:pPr>
            <w:r>
              <w:rPr>
                <w:rFonts w:eastAsia="黑体"/>
                <w:color w:val="auto"/>
                <w:sz w:val="24"/>
                <w:highlight w:val="none"/>
              </w:rPr>
              <w:t>内    容</w:t>
            </w:r>
          </w:p>
        </w:tc>
      </w:tr>
      <w:tr w14:paraId="24AEF7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539" w:hRule="atLeast"/>
        </w:trPr>
        <w:tc>
          <w:tcPr>
            <w:tcW w:w="1468" w:type="dxa"/>
            <w:noWrap w:val="0"/>
            <w:vAlign w:val="center"/>
          </w:tcPr>
          <w:p w14:paraId="37329589">
            <w:pPr>
              <w:shd w:val="clear" w:color="auto" w:fill="auto"/>
              <w:spacing w:line="360" w:lineRule="auto"/>
              <w:ind w:left="1417" w:leftChars="203" w:hanging="991"/>
              <w:rPr>
                <w:rFonts w:eastAsia="仿宋_GB2312"/>
                <w:color w:val="auto"/>
                <w:sz w:val="24"/>
                <w:highlight w:val="none"/>
              </w:rPr>
            </w:pPr>
            <w:r>
              <w:rPr>
                <w:rFonts w:eastAsia="仿宋_GB2312"/>
                <w:color w:val="auto"/>
                <w:sz w:val="24"/>
                <w:highlight w:val="none"/>
              </w:rPr>
              <w:t>1.1</w:t>
            </w:r>
          </w:p>
        </w:tc>
        <w:tc>
          <w:tcPr>
            <w:tcW w:w="7632" w:type="dxa"/>
            <w:noWrap w:val="0"/>
            <w:vAlign w:val="center"/>
          </w:tcPr>
          <w:p w14:paraId="57FC037A">
            <w:pPr>
              <w:shd w:val="clear" w:color="auto" w:fill="auto"/>
              <w:spacing w:line="360" w:lineRule="auto"/>
              <w:rPr>
                <w:rFonts w:hint="eastAsia" w:eastAsia="仿宋_GB2312"/>
                <w:color w:val="auto"/>
                <w:sz w:val="24"/>
                <w:highlight w:val="none"/>
                <w:lang w:eastAsia="zh-CN"/>
              </w:rPr>
            </w:pPr>
            <w:r>
              <w:rPr>
                <w:rFonts w:hint="eastAsia" w:eastAsia="仿宋_GB2312"/>
                <w:color w:val="auto"/>
                <w:sz w:val="24"/>
                <w:highlight w:val="none"/>
              </w:rPr>
              <w:t>采购人：</w:t>
            </w:r>
            <w:r>
              <w:rPr>
                <w:rFonts w:hint="eastAsia" w:eastAsia="仿宋_GB2312"/>
                <w:color w:val="auto"/>
                <w:sz w:val="24"/>
                <w:highlight w:val="none"/>
                <w:lang w:eastAsia="zh-CN"/>
              </w:rPr>
              <w:t>宝鸡市凤翔区医院</w:t>
            </w:r>
          </w:p>
          <w:p w14:paraId="3176264F">
            <w:pPr>
              <w:shd w:val="clear" w:color="auto" w:fill="auto"/>
              <w:spacing w:line="360" w:lineRule="auto"/>
              <w:rPr>
                <w:rFonts w:hint="eastAsia" w:eastAsia="仿宋_GB2312"/>
                <w:color w:val="auto"/>
                <w:sz w:val="24"/>
                <w:highlight w:val="none"/>
                <w:lang w:val="en-US" w:eastAsia="zh-CN"/>
              </w:rPr>
            </w:pPr>
            <w:r>
              <w:rPr>
                <w:rFonts w:hint="eastAsia" w:eastAsia="仿宋_GB2312"/>
                <w:color w:val="auto"/>
                <w:sz w:val="24"/>
                <w:highlight w:val="none"/>
              </w:rPr>
              <w:t>地  址：</w:t>
            </w:r>
            <w:r>
              <w:rPr>
                <w:rFonts w:hint="eastAsia" w:eastAsia="仿宋_GB2312"/>
                <w:color w:val="auto"/>
                <w:sz w:val="24"/>
                <w:highlight w:val="none"/>
                <w:lang w:eastAsia="zh-CN"/>
              </w:rPr>
              <w:t>宝鸡市凤翔区秦凤路22号</w:t>
            </w:r>
          </w:p>
          <w:p w14:paraId="6AE63871">
            <w:pPr>
              <w:shd w:val="clear" w:color="auto" w:fill="auto"/>
              <w:spacing w:line="360" w:lineRule="auto"/>
              <w:rPr>
                <w:rFonts w:hint="eastAsia" w:eastAsia="仿宋_GB2312"/>
                <w:color w:val="auto"/>
                <w:sz w:val="24"/>
                <w:highlight w:val="none"/>
                <w:lang w:val="en-US" w:eastAsia="zh-CN"/>
              </w:rPr>
            </w:pPr>
            <w:r>
              <w:rPr>
                <w:rFonts w:hint="eastAsia" w:eastAsia="仿宋_GB2312"/>
                <w:color w:val="auto"/>
                <w:sz w:val="24"/>
                <w:highlight w:val="none"/>
              </w:rPr>
              <w:t>电  话：</w:t>
            </w:r>
            <w:r>
              <w:rPr>
                <w:rFonts w:hint="eastAsia" w:eastAsia="仿宋_GB2312"/>
                <w:color w:val="auto"/>
                <w:sz w:val="24"/>
                <w:highlight w:val="none"/>
                <w:lang w:eastAsia="zh-CN"/>
              </w:rPr>
              <w:t>0917-7218211</w:t>
            </w:r>
          </w:p>
        </w:tc>
      </w:tr>
      <w:tr w14:paraId="5887E0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694" w:hRule="atLeast"/>
        </w:trPr>
        <w:tc>
          <w:tcPr>
            <w:tcW w:w="1468" w:type="dxa"/>
            <w:noWrap w:val="0"/>
            <w:vAlign w:val="center"/>
          </w:tcPr>
          <w:p w14:paraId="020CB34B">
            <w:pPr>
              <w:shd w:val="clear" w:color="auto" w:fill="auto"/>
              <w:spacing w:line="360" w:lineRule="auto"/>
              <w:ind w:left="1417" w:leftChars="203" w:hanging="991"/>
              <w:rPr>
                <w:rFonts w:eastAsia="仿宋_GB2312"/>
                <w:color w:val="auto"/>
                <w:sz w:val="24"/>
                <w:highlight w:val="none"/>
              </w:rPr>
            </w:pPr>
            <w:r>
              <w:rPr>
                <w:rFonts w:eastAsia="仿宋_GB2312"/>
                <w:color w:val="auto"/>
                <w:sz w:val="24"/>
                <w:highlight w:val="none"/>
              </w:rPr>
              <w:t>1.2</w:t>
            </w:r>
          </w:p>
        </w:tc>
        <w:tc>
          <w:tcPr>
            <w:tcW w:w="7632" w:type="dxa"/>
            <w:noWrap w:val="0"/>
            <w:vAlign w:val="center"/>
          </w:tcPr>
          <w:p w14:paraId="00547C8E">
            <w:pPr>
              <w:shd w:val="clear" w:color="auto" w:fill="auto"/>
              <w:adjustRightInd w:val="0"/>
              <w:snapToGrid w:val="0"/>
              <w:spacing w:line="360" w:lineRule="auto"/>
              <w:rPr>
                <w:rFonts w:eastAsia="仿宋"/>
                <w:color w:val="auto"/>
                <w:sz w:val="24"/>
                <w:highlight w:val="none"/>
                <w:u w:val="single"/>
              </w:rPr>
            </w:pPr>
            <w:r>
              <w:rPr>
                <w:rFonts w:eastAsia="仿宋"/>
                <w:color w:val="auto"/>
                <w:sz w:val="24"/>
                <w:highlight w:val="none"/>
              </w:rPr>
              <w:t>采购代理机构：</w:t>
            </w:r>
            <w:r>
              <w:rPr>
                <w:rFonts w:eastAsia="仿宋"/>
                <w:color w:val="auto"/>
                <w:sz w:val="24"/>
                <w:highlight w:val="none"/>
                <w:u w:val="single"/>
              </w:rPr>
              <w:t>陕西省采购招标有限责任公司</w:t>
            </w:r>
          </w:p>
          <w:p w14:paraId="1D021D5E">
            <w:pPr>
              <w:shd w:val="clear" w:color="auto" w:fill="auto"/>
              <w:adjustRightInd w:val="0"/>
              <w:snapToGrid w:val="0"/>
              <w:spacing w:line="360" w:lineRule="auto"/>
              <w:rPr>
                <w:rFonts w:hint="eastAsia" w:eastAsia="仿宋"/>
                <w:color w:val="auto"/>
                <w:sz w:val="24"/>
                <w:highlight w:val="none"/>
                <w:u w:val="single"/>
                <w:lang w:eastAsia="zh-CN"/>
              </w:rPr>
            </w:pPr>
            <w:r>
              <w:rPr>
                <w:rFonts w:eastAsia="仿宋"/>
                <w:color w:val="auto"/>
                <w:sz w:val="24"/>
                <w:highlight w:val="none"/>
              </w:rPr>
              <w:t>地址：</w:t>
            </w:r>
            <w:r>
              <w:rPr>
                <w:rFonts w:hint="eastAsia" w:eastAsia="仿宋"/>
                <w:color w:val="auto"/>
                <w:sz w:val="24"/>
                <w:highlight w:val="none"/>
                <w:u w:val="single"/>
                <w:lang w:eastAsia="zh-CN"/>
              </w:rPr>
              <w:t>西安市高新区锦业路1号都市之门C座9层</w:t>
            </w:r>
          </w:p>
          <w:p w14:paraId="2495FAAC">
            <w:pPr>
              <w:shd w:val="clear" w:color="auto" w:fill="auto"/>
              <w:adjustRightInd w:val="0"/>
              <w:snapToGrid w:val="0"/>
              <w:spacing w:line="360" w:lineRule="auto"/>
              <w:rPr>
                <w:rFonts w:eastAsia="仿宋"/>
                <w:color w:val="auto"/>
                <w:sz w:val="24"/>
                <w:highlight w:val="none"/>
              </w:rPr>
            </w:pPr>
            <w:r>
              <w:rPr>
                <w:rFonts w:eastAsia="仿宋"/>
                <w:color w:val="auto"/>
                <w:sz w:val="24"/>
                <w:highlight w:val="none"/>
              </w:rPr>
              <w:t>联系人：</w:t>
            </w:r>
            <w:r>
              <w:rPr>
                <w:rFonts w:hint="eastAsia" w:eastAsia="仿宋"/>
                <w:color w:val="auto"/>
                <w:sz w:val="24"/>
                <w:highlight w:val="none"/>
                <w:u w:val="single"/>
                <w:lang w:eastAsia="zh-CN"/>
              </w:rPr>
              <w:t>胡梦阳</w:t>
            </w:r>
            <w:r>
              <w:rPr>
                <w:rFonts w:eastAsia="仿宋"/>
                <w:color w:val="auto"/>
                <w:sz w:val="24"/>
                <w:highlight w:val="none"/>
                <w:u w:val="single"/>
              </w:rPr>
              <w:t>、雷鹏</w:t>
            </w:r>
            <w:r>
              <w:rPr>
                <w:rFonts w:eastAsia="仿宋"/>
                <w:color w:val="auto"/>
                <w:sz w:val="24"/>
                <w:highlight w:val="none"/>
              </w:rPr>
              <w:t xml:space="preserve"> </w:t>
            </w:r>
          </w:p>
          <w:p w14:paraId="03FF683B">
            <w:pPr>
              <w:shd w:val="clear" w:color="auto" w:fill="auto"/>
              <w:spacing w:line="360" w:lineRule="auto"/>
              <w:rPr>
                <w:rFonts w:hint="eastAsia" w:eastAsia="仿宋_GB2312"/>
                <w:color w:val="auto"/>
                <w:sz w:val="24"/>
                <w:highlight w:val="none"/>
                <w:lang w:val="en-US" w:eastAsia="zh-CN"/>
              </w:rPr>
            </w:pPr>
            <w:r>
              <w:rPr>
                <w:rFonts w:eastAsia="仿宋"/>
                <w:color w:val="auto"/>
                <w:sz w:val="24"/>
                <w:highlight w:val="none"/>
              </w:rPr>
              <w:t>电话：</w:t>
            </w:r>
            <w:r>
              <w:rPr>
                <w:rFonts w:eastAsia="仿宋"/>
                <w:color w:val="auto"/>
                <w:sz w:val="24"/>
                <w:highlight w:val="none"/>
                <w:u w:val="single"/>
              </w:rPr>
              <w:t>029-88497916</w:t>
            </w:r>
            <w:r>
              <w:rPr>
                <w:rFonts w:eastAsia="仿宋"/>
                <w:color w:val="auto"/>
                <w:sz w:val="24"/>
                <w:highlight w:val="none"/>
              </w:rPr>
              <w:t xml:space="preserve"> </w:t>
            </w:r>
          </w:p>
        </w:tc>
      </w:tr>
      <w:tr w14:paraId="39DFD0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468" w:type="dxa"/>
            <w:noWrap w:val="0"/>
            <w:vAlign w:val="center"/>
          </w:tcPr>
          <w:p w14:paraId="3D551F13">
            <w:pPr>
              <w:shd w:val="clear" w:color="auto" w:fill="auto"/>
              <w:spacing w:line="360" w:lineRule="auto"/>
              <w:ind w:left="1417" w:leftChars="203" w:hanging="991"/>
              <w:rPr>
                <w:rFonts w:eastAsia="仿宋_GB2312"/>
                <w:color w:val="auto"/>
                <w:sz w:val="24"/>
                <w:highlight w:val="none"/>
              </w:rPr>
            </w:pPr>
            <w:r>
              <w:rPr>
                <w:rFonts w:eastAsia="仿宋_GB2312"/>
                <w:color w:val="auto"/>
                <w:sz w:val="24"/>
                <w:highlight w:val="none"/>
              </w:rPr>
              <w:t>1.3.3</w:t>
            </w:r>
          </w:p>
        </w:tc>
        <w:tc>
          <w:tcPr>
            <w:tcW w:w="7632" w:type="dxa"/>
            <w:noWrap w:val="0"/>
            <w:vAlign w:val="center"/>
          </w:tcPr>
          <w:p w14:paraId="5CEF9EE1">
            <w:pPr>
              <w:shd w:val="clear" w:color="auto" w:fill="auto"/>
              <w:spacing w:line="360" w:lineRule="auto"/>
              <w:rPr>
                <w:rFonts w:eastAsia="仿宋_GB2312"/>
                <w:color w:val="auto"/>
                <w:sz w:val="24"/>
                <w:highlight w:val="none"/>
              </w:rPr>
            </w:pPr>
            <w:r>
              <w:rPr>
                <w:rFonts w:eastAsia="仿宋_GB2312"/>
                <w:color w:val="auto"/>
                <w:sz w:val="24"/>
                <w:highlight w:val="none"/>
              </w:rPr>
              <w:t>合格投标人的特定资格条件：</w:t>
            </w:r>
            <w:r>
              <w:rPr>
                <w:rFonts w:hint="eastAsia" w:eastAsia="仿宋_GB2312"/>
                <w:color w:val="auto"/>
                <w:sz w:val="24"/>
                <w:highlight w:val="none"/>
              </w:rPr>
              <w:t>详见招标公告</w:t>
            </w:r>
          </w:p>
        </w:tc>
      </w:tr>
      <w:tr w14:paraId="13B7E9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trPr>
        <w:tc>
          <w:tcPr>
            <w:tcW w:w="1468" w:type="dxa"/>
            <w:noWrap w:val="0"/>
            <w:vAlign w:val="center"/>
          </w:tcPr>
          <w:p w14:paraId="67C6AB0E">
            <w:pPr>
              <w:shd w:val="clear" w:color="auto" w:fill="auto"/>
              <w:spacing w:line="360" w:lineRule="auto"/>
              <w:ind w:left="1417" w:leftChars="203" w:hanging="991"/>
              <w:rPr>
                <w:rFonts w:eastAsia="仿宋_GB2312"/>
                <w:color w:val="auto"/>
                <w:sz w:val="24"/>
                <w:highlight w:val="none"/>
              </w:rPr>
            </w:pPr>
            <w:r>
              <w:rPr>
                <w:rFonts w:eastAsia="仿宋_GB2312"/>
                <w:color w:val="auto"/>
                <w:sz w:val="24"/>
                <w:highlight w:val="none"/>
              </w:rPr>
              <w:t>1.3.4</w:t>
            </w:r>
          </w:p>
        </w:tc>
        <w:tc>
          <w:tcPr>
            <w:tcW w:w="7632" w:type="dxa"/>
            <w:noWrap w:val="0"/>
            <w:vAlign w:val="center"/>
          </w:tcPr>
          <w:p w14:paraId="0957EF2C">
            <w:pPr>
              <w:shd w:val="clear" w:color="auto" w:fill="auto"/>
              <w:spacing w:line="360" w:lineRule="auto"/>
              <w:rPr>
                <w:rFonts w:hint="eastAsia" w:eastAsia="仿宋_GB2312"/>
                <w:color w:val="auto"/>
                <w:sz w:val="24"/>
                <w:highlight w:val="none"/>
                <w:lang w:eastAsia="zh-CN"/>
              </w:rPr>
            </w:pPr>
            <w:r>
              <w:rPr>
                <w:rFonts w:eastAsia="仿宋_GB2312"/>
                <w:color w:val="auto"/>
                <w:sz w:val="24"/>
                <w:highlight w:val="none"/>
              </w:rPr>
              <w:t>是否为专门面向中小企业采购：</w:t>
            </w:r>
            <w:r>
              <w:rPr>
                <w:rFonts w:hint="eastAsia" w:eastAsia="仿宋_GB2312"/>
                <w:color w:val="auto"/>
                <w:sz w:val="24"/>
                <w:highlight w:val="none"/>
                <w:u w:val="single"/>
                <w:lang w:val="en-US" w:eastAsia="zh-CN"/>
              </w:rPr>
              <w:t>否</w:t>
            </w:r>
          </w:p>
        </w:tc>
      </w:tr>
      <w:tr w14:paraId="4FD171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07" w:hRule="atLeast"/>
        </w:trPr>
        <w:tc>
          <w:tcPr>
            <w:tcW w:w="1468" w:type="dxa"/>
            <w:noWrap w:val="0"/>
            <w:vAlign w:val="center"/>
          </w:tcPr>
          <w:p w14:paraId="063AD91C">
            <w:pPr>
              <w:shd w:val="clear" w:color="auto" w:fill="auto"/>
              <w:spacing w:line="360" w:lineRule="auto"/>
              <w:ind w:left="1417" w:leftChars="203" w:hanging="991"/>
              <w:rPr>
                <w:rFonts w:eastAsia="仿宋_GB2312"/>
                <w:color w:val="auto"/>
                <w:sz w:val="24"/>
                <w:highlight w:val="none"/>
              </w:rPr>
            </w:pPr>
            <w:r>
              <w:rPr>
                <w:rFonts w:eastAsia="仿宋_GB2312"/>
                <w:color w:val="auto"/>
                <w:sz w:val="24"/>
                <w:highlight w:val="none"/>
              </w:rPr>
              <w:t>1.3.5</w:t>
            </w:r>
          </w:p>
        </w:tc>
        <w:tc>
          <w:tcPr>
            <w:tcW w:w="7632" w:type="dxa"/>
            <w:noWrap w:val="0"/>
            <w:vAlign w:val="center"/>
          </w:tcPr>
          <w:p w14:paraId="73D67E0B">
            <w:pPr>
              <w:shd w:val="clear" w:color="auto" w:fill="auto"/>
              <w:spacing w:line="360" w:lineRule="auto"/>
              <w:rPr>
                <w:rFonts w:hint="eastAsia" w:eastAsia="仿宋_GB2312"/>
                <w:color w:val="auto"/>
                <w:sz w:val="24"/>
                <w:highlight w:val="none"/>
                <w:lang w:val="en-US" w:eastAsia="zh-CN"/>
              </w:rPr>
            </w:pPr>
            <w:r>
              <w:rPr>
                <w:rFonts w:eastAsia="仿宋_GB2312"/>
                <w:color w:val="auto"/>
                <w:sz w:val="24"/>
                <w:highlight w:val="none"/>
              </w:rPr>
              <w:t>是否允许采购进口产品：</w:t>
            </w:r>
            <w:r>
              <w:rPr>
                <w:rFonts w:hint="eastAsia" w:eastAsia="仿宋_GB2312"/>
                <w:color w:val="auto"/>
                <w:sz w:val="24"/>
                <w:highlight w:val="none"/>
                <w:lang w:val="en-US" w:eastAsia="zh-CN"/>
              </w:rPr>
              <w:t>否</w:t>
            </w:r>
          </w:p>
        </w:tc>
      </w:tr>
      <w:tr w14:paraId="067868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trPr>
        <w:tc>
          <w:tcPr>
            <w:tcW w:w="1468" w:type="dxa"/>
            <w:noWrap w:val="0"/>
            <w:vAlign w:val="center"/>
          </w:tcPr>
          <w:p w14:paraId="73701F8F">
            <w:pPr>
              <w:shd w:val="clear" w:color="auto" w:fill="auto"/>
              <w:spacing w:line="360" w:lineRule="auto"/>
              <w:ind w:left="1417" w:leftChars="203" w:hanging="991"/>
              <w:rPr>
                <w:rFonts w:eastAsia="仿宋_GB2312"/>
                <w:color w:val="auto"/>
                <w:sz w:val="24"/>
                <w:highlight w:val="none"/>
              </w:rPr>
            </w:pPr>
            <w:r>
              <w:rPr>
                <w:rFonts w:eastAsia="仿宋_GB2312"/>
                <w:color w:val="auto"/>
                <w:sz w:val="24"/>
                <w:highlight w:val="none"/>
              </w:rPr>
              <w:t>1.4</w:t>
            </w:r>
          </w:p>
        </w:tc>
        <w:tc>
          <w:tcPr>
            <w:tcW w:w="7632" w:type="dxa"/>
            <w:noWrap w:val="0"/>
            <w:vAlign w:val="center"/>
          </w:tcPr>
          <w:p w14:paraId="7E419D03">
            <w:pPr>
              <w:shd w:val="clear" w:color="auto" w:fill="auto"/>
              <w:spacing w:line="360" w:lineRule="auto"/>
              <w:rPr>
                <w:rFonts w:eastAsia="仿宋_GB2312"/>
                <w:color w:val="auto"/>
                <w:sz w:val="24"/>
                <w:highlight w:val="none"/>
              </w:rPr>
            </w:pPr>
            <w:r>
              <w:rPr>
                <w:rFonts w:eastAsia="仿宋_GB2312"/>
                <w:color w:val="auto"/>
                <w:sz w:val="24"/>
                <w:highlight w:val="none"/>
              </w:rPr>
              <w:t>是否允许联合体投标：否</w:t>
            </w:r>
          </w:p>
        </w:tc>
      </w:tr>
      <w:tr w14:paraId="5611B7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trPr>
        <w:tc>
          <w:tcPr>
            <w:tcW w:w="1468" w:type="dxa"/>
            <w:noWrap w:val="0"/>
            <w:vAlign w:val="center"/>
          </w:tcPr>
          <w:p w14:paraId="5E15637F">
            <w:pPr>
              <w:shd w:val="clear" w:color="auto" w:fill="auto"/>
              <w:spacing w:line="360" w:lineRule="auto"/>
              <w:ind w:left="1417" w:leftChars="203" w:hanging="991"/>
              <w:rPr>
                <w:rFonts w:eastAsia="仿宋_GB2312"/>
                <w:color w:val="auto"/>
                <w:sz w:val="24"/>
                <w:highlight w:val="none"/>
              </w:rPr>
            </w:pPr>
            <w:r>
              <w:rPr>
                <w:rFonts w:eastAsia="仿宋_GB2312"/>
                <w:color w:val="auto"/>
                <w:sz w:val="24"/>
                <w:highlight w:val="none"/>
              </w:rPr>
              <w:t>1.4.7</w:t>
            </w:r>
          </w:p>
        </w:tc>
        <w:tc>
          <w:tcPr>
            <w:tcW w:w="7632" w:type="dxa"/>
            <w:noWrap w:val="0"/>
            <w:vAlign w:val="center"/>
          </w:tcPr>
          <w:p w14:paraId="5B7F17A3">
            <w:pPr>
              <w:shd w:val="clear" w:color="auto" w:fill="auto"/>
              <w:spacing w:line="360" w:lineRule="auto"/>
              <w:rPr>
                <w:rFonts w:hint="eastAsia" w:eastAsia="仿宋_GB2312"/>
                <w:color w:val="auto"/>
                <w:sz w:val="24"/>
                <w:highlight w:val="none"/>
                <w:lang w:val="en-US" w:eastAsia="zh-CN"/>
              </w:rPr>
            </w:pPr>
            <w:r>
              <w:rPr>
                <w:rFonts w:eastAsia="仿宋_GB2312"/>
                <w:color w:val="auto"/>
                <w:sz w:val="24"/>
                <w:highlight w:val="none"/>
              </w:rPr>
              <w:t>联合体的其他资格要求：</w:t>
            </w:r>
            <w:r>
              <w:rPr>
                <w:rFonts w:hint="eastAsia" w:eastAsia="仿宋_GB2312"/>
                <w:color w:val="auto"/>
                <w:sz w:val="24"/>
                <w:highlight w:val="none"/>
                <w:lang w:val="en-US" w:eastAsia="zh-CN"/>
              </w:rPr>
              <w:t>/</w:t>
            </w:r>
          </w:p>
        </w:tc>
      </w:tr>
      <w:tr w14:paraId="31C3BD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trPr>
        <w:tc>
          <w:tcPr>
            <w:tcW w:w="1468" w:type="dxa"/>
            <w:noWrap w:val="0"/>
            <w:vAlign w:val="center"/>
          </w:tcPr>
          <w:p w14:paraId="2DA3B798">
            <w:pPr>
              <w:shd w:val="clear" w:color="auto" w:fill="auto"/>
              <w:spacing w:line="360" w:lineRule="auto"/>
              <w:ind w:left="1417" w:leftChars="203" w:hanging="991"/>
              <w:rPr>
                <w:rFonts w:eastAsia="仿宋_GB2312"/>
                <w:color w:val="auto"/>
                <w:sz w:val="24"/>
                <w:highlight w:val="none"/>
              </w:rPr>
            </w:pPr>
            <w:r>
              <w:rPr>
                <w:rFonts w:eastAsia="仿宋_GB2312"/>
                <w:color w:val="auto"/>
                <w:sz w:val="24"/>
                <w:highlight w:val="none"/>
              </w:rPr>
              <w:t>1.7</w:t>
            </w:r>
          </w:p>
        </w:tc>
        <w:tc>
          <w:tcPr>
            <w:tcW w:w="7632" w:type="dxa"/>
            <w:noWrap w:val="0"/>
            <w:vAlign w:val="center"/>
          </w:tcPr>
          <w:p w14:paraId="7F599B29">
            <w:pPr>
              <w:shd w:val="clear" w:color="auto" w:fill="auto"/>
              <w:spacing w:line="360" w:lineRule="auto"/>
              <w:rPr>
                <w:rFonts w:eastAsia="仿宋_GB2312"/>
                <w:color w:val="auto"/>
                <w:sz w:val="24"/>
                <w:highlight w:val="none"/>
                <w:u w:val="single"/>
              </w:rPr>
            </w:pPr>
            <w:r>
              <w:rPr>
                <w:rFonts w:eastAsia="仿宋_GB2312"/>
                <w:color w:val="auto"/>
                <w:sz w:val="24"/>
                <w:highlight w:val="none"/>
              </w:rPr>
              <w:t>项目所属行业：</w:t>
            </w:r>
            <w:r>
              <w:rPr>
                <w:rFonts w:hint="eastAsia" w:eastAsia="仿宋"/>
                <w:color w:val="auto"/>
                <w:sz w:val="24"/>
                <w:highlight w:val="none"/>
                <w:u w:val="single"/>
                <w:lang w:val="en-US" w:eastAsia="zh-CN"/>
              </w:rPr>
              <w:t>工业（制造业）</w:t>
            </w:r>
            <w:r>
              <w:rPr>
                <w:rFonts w:eastAsia="仿宋"/>
                <w:color w:val="auto"/>
                <w:sz w:val="24"/>
                <w:highlight w:val="none"/>
              </w:rPr>
              <w:t xml:space="preserve"> </w:t>
            </w:r>
          </w:p>
        </w:tc>
      </w:tr>
      <w:tr w14:paraId="6362F6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trPr>
        <w:tc>
          <w:tcPr>
            <w:tcW w:w="1468" w:type="dxa"/>
            <w:noWrap w:val="0"/>
            <w:vAlign w:val="center"/>
          </w:tcPr>
          <w:p w14:paraId="1625AD39">
            <w:pPr>
              <w:shd w:val="clear" w:color="auto" w:fill="auto"/>
              <w:spacing w:line="360" w:lineRule="auto"/>
              <w:ind w:left="1417" w:leftChars="203" w:hanging="991"/>
              <w:rPr>
                <w:rFonts w:eastAsia="仿宋_GB2312"/>
                <w:color w:val="auto"/>
                <w:sz w:val="24"/>
                <w:highlight w:val="none"/>
              </w:rPr>
            </w:pPr>
            <w:r>
              <w:rPr>
                <w:rFonts w:eastAsia="仿宋_GB2312"/>
                <w:color w:val="auto"/>
                <w:sz w:val="24"/>
                <w:highlight w:val="none"/>
              </w:rPr>
              <w:t>2.2</w:t>
            </w:r>
          </w:p>
        </w:tc>
        <w:tc>
          <w:tcPr>
            <w:tcW w:w="7632" w:type="dxa"/>
            <w:noWrap w:val="0"/>
            <w:vAlign w:val="center"/>
          </w:tcPr>
          <w:p w14:paraId="53D04974">
            <w:pPr>
              <w:shd w:val="clear" w:color="auto" w:fill="auto"/>
              <w:spacing w:line="360" w:lineRule="auto"/>
              <w:rPr>
                <w:rFonts w:eastAsia="仿宋_GB2312"/>
                <w:color w:val="auto"/>
                <w:sz w:val="24"/>
                <w:highlight w:val="none"/>
              </w:rPr>
            </w:pPr>
            <w:r>
              <w:rPr>
                <w:rFonts w:eastAsia="仿宋_GB2312"/>
                <w:color w:val="auto"/>
                <w:sz w:val="24"/>
                <w:highlight w:val="none"/>
              </w:rPr>
              <w:t>项目预算</w:t>
            </w:r>
            <w:r>
              <w:rPr>
                <w:rFonts w:hint="eastAsia" w:eastAsia="仿宋_GB2312"/>
                <w:color w:val="auto"/>
                <w:sz w:val="24"/>
                <w:highlight w:val="none"/>
                <w:lang w:eastAsia="zh-CN"/>
              </w:rPr>
              <w:t>、</w:t>
            </w:r>
            <w:r>
              <w:rPr>
                <w:rFonts w:hint="eastAsia" w:eastAsia="仿宋_GB2312"/>
                <w:color w:val="auto"/>
                <w:sz w:val="24"/>
                <w:highlight w:val="none"/>
                <w:lang w:val="en-US" w:eastAsia="zh-CN"/>
              </w:rPr>
              <w:t>限价</w:t>
            </w:r>
            <w:r>
              <w:rPr>
                <w:rFonts w:eastAsia="仿宋_GB2312"/>
                <w:color w:val="auto"/>
                <w:sz w:val="24"/>
                <w:highlight w:val="none"/>
              </w:rPr>
              <w:t>金额：</w:t>
            </w:r>
          </w:p>
          <w:p w14:paraId="24CA5D05">
            <w:pPr>
              <w:shd w:val="clear" w:color="auto" w:fill="auto"/>
              <w:spacing w:line="360" w:lineRule="auto"/>
              <w:rPr>
                <w:rFonts w:hint="eastAsia" w:eastAsia="仿宋_GB2312"/>
                <w:color w:val="auto"/>
                <w:sz w:val="24"/>
                <w:highlight w:val="none"/>
                <w:lang w:val="en-US" w:eastAsia="zh-CN"/>
              </w:rPr>
            </w:pPr>
            <w:r>
              <w:rPr>
                <w:rFonts w:hint="eastAsia" w:eastAsia="仿宋_GB2312"/>
                <w:color w:val="auto"/>
                <w:sz w:val="24"/>
                <w:highlight w:val="none"/>
                <w:lang w:val="en-US" w:eastAsia="zh-CN"/>
              </w:rPr>
              <w:t>第1包：预算金额：1,812,000.00元，最高限价：1,812,000.00元；</w:t>
            </w:r>
          </w:p>
          <w:p w14:paraId="0A214B52">
            <w:pPr>
              <w:shd w:val="clear" w:color="auto" w:fill="auto"/>
              <w:spacing w:line="360" w:lineRule="auto"/>
              <w:rPr>
                <w:rFonts w:hint="eastAsia" w:eastAsia="仿宋_GB2312"/>
                <w:color w:val="auto"/>
                <w:sz w:val="24"/>
                <w:highlight w:val="none"/>
                <w:lang w:val="en-US" w:eastAsia="zh-CN"/>
              </w:rPr>
            </w:pPr>
            <w:r>
              <w:rPr>
                <w:rFonts w:hint="eastAsia" w:eastAsia="仿宋_GB2312"/>
                <w:color w:val="auto"/>
                <w:sz w:val="24"/>
                <w:highlight w:val="none"/>
                <w:lang w:val="en-US" w:eastAsia="zh-CN"/>
              </w:rPr>
              <w:t>第2包：预算金额：1,780,000.00元，最高限价：1,780,000.00元；</w:t>
            </w:r>
          </w:p>
          <w:p w14:paraId="1E9190E6">
            <w:pPr>
              <w:shd w:val="clear" w:color="auto" w:fill="auto"/>
              <w:spacing w:line="360" w:lineRule="auto"/>
              <w:rPr>
                <w:rFonts w:hint="eastAsia" w:eastAsia="仿宋_GB2312"/>
                <w:color w:val="auto"/>
                <w:sz w:val="24"/>
                <w:highlight w:val="none"/>
                <w:lang w:val="en-US" w:eastAsia="zh-CN"/>
              </w:rPr>
            </w:pPr>
            <w:r>
              <w:rPr>
                <w:rFonts w:hint="eastAsia" w:eastAsia="仿宋_GB2312"/>
                <w:color w:val="auto"/>
                <w:sz w:val="24"/>
                <w:highlight w:val="none"/>
                <w:lang w:val="en-US" w:eastAsia="zh-CN"/>
              </w:rPr>
              <w:t>第3包：预算金额：1,410,000.00元，最高限价：1,410,000.00元；</w:t>
            </w:r>
          </w:p>
          <w:p w14:paraId="556534A6">
            <w:pPr>
              <w:shd w:val="clear" w:color="auto" w:fill="auto"/>
              <w:spacing w:line="360" w:lineRule="auto"/>
              <w:rPr>
                <w:rFonts w:hint="eastAsia" w:eastAsia="仿宋_GB2312"/>
                <w:color w:val="auto"/>
                <w:sz w:val="24"/>
                <w:highlight w:val="none"/>
                <w:lang w:val="en-US" w:eastAsia="zh-CN"/>
              </w:rPr>
            </w:pPr>
            <w:r>
              <w:rPr>
                <w:rFonts w:hint="eastAsia" w:eastAsia="仿宋_GB2312"/>
                <w:color w:val="auto"/>
                <w:sz w:val="24"/>
                <w:highlight w:val="none"/>
                <w:lang w:val="en-US" w:eastAsia="zh-CN"/>
              </w:rPr>
              <w:t>第4包：预算金额：2,800,000.00元，最高限价：2,800,000.00元；</w:t>
            </w:r>
          </w:p>
        </w:tc>
      </w:tr>
      <w:tr w14:paraId="13543D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2" w:hRule="atLeast"/>
        </w:trPr>
        <w:tc>
          <w:tcPr>
            <w:tcW w:w="1468" w:type="dxa"/>
            <w:noWrap w:val="0"/>
            <w:vAlign w:val="center"/>
          </w:tcPr>
          <w:p w14:paraId="0983045F">
            <w:pPr>
              <w:shd w:val="clear" w:color="auto" w:fill="auto"/>
              <w:spacing w:line="360" w:lineRule="auto"/>
              <w:ind w:left="1417" w:leftChars="203" w:hanging="991"/>
              <w:rPr>
                <w:rFonts w:eastAsia="仿宋_GB2312"/>
                <w:color w:val="auto"/>
                <w:sz w:val="24"/>
                <w:highlight w:val="none"/>
              </w:rPr>
            </w:pPr>
            <w:r>
              <w:rPr>
                <w:rFonts w:eastAsia="仿宋_GB2312"/>
                <w:color w:val="auto"/>
                <w:sz w:val="24"/>
                <w:highlight w:val="none"/>
              </w:rPr>
              <w:t>5.4</w:t>
            </w:r>
          </w:p>
        </w:tc>
        <w:tc>
          <w:tcPr>
            <w:tcW w:w="7632" w:type="dxa"/>
            <w:noWrap w:val="0"/>
            <w:vAlign w:val="center"/>
          </w:tcPr>
          <w:p w14:paraId="1B145CB2">
            <w:pPr>
              <w:shd w:val="clear" w:color="auto" w:fill="auto"/>
              <w:spacing w:line="360" w:lineRule="auto"/>
              <w:rPr>
                <w:rFonts w:eastAsia="仿宋_GB2312"/>
                <w:color w:val="auto"/>
                <w:sz w:val="24"/>
                <w:highlight w:val="none"/>
              </w:rPr>
            </w:pPr>
            <w:r>
              <w:rPr>
                <w:rFonts w:eastAsia="仿宋_GB2312"/>
                <w:color w:val="auto"/>
                <w:sz w:val="24"/>
                <w:highlight w:val="none"/>
              </w:rPr>
              <w:t>是否组织现场考察或者召开答疑会：</w:t>
            </w:r>
            <w:r>
              <w:rPr>
                <w:rFonts w:hint="eastAsia" w:eastAsia="仿宋_GB2312"/>
                <w:color w:val="auto"/>
                <w:sz w:val="24"/>
                <w:highlight w:val="none"/>
              </w:rPr>
              <w:t>否</w:t>
            </w:r>
          </w:p>
        </w:tc>
      </w:tr>
      <w:tr w14:paraId="3E4FBC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trPr>
        <w:tc>
          <w:tcPr>
            <w:tcW w:w="1468" w:type="dxa"/>
            <w:noWrap w:val="0"/>
            <w:vAlign w:val="center"/>
          </w:tcPr>
          <w:p w14:paraId="6A75E016">
            <w:pPr>
              <w:shd w:val="clear" w:color="auto" w:fill="auto"/>
              <w:spacing w:line="360" w:lineRule="auto"/>
              <w:ind w:left="1417" w:leftChars="203" w:hanging="991"/>
              <w:rPr>
                <w:rFonts w:eastAsia="仿宋_GB2312"/>
                <w:color w:val="auto"/>
                <w:sz w:val="24"/>
                <w:highlight w:val="none"/>
              </w:rPr>
            </w:pPr>
            <w:r>
              <w:rPr>
                <w:rFonts w:eastAsia="仿宋_GB2312"/>
                <w:color w:val="auto"/>
                <w:sz w:val="24"/>
                <w:highlight w:val="none"/>
              </w:rPr>
              <w:t>8.1</w:t>
            </w:r>
          </w:p>
        </w:tc>
        <w:tc>
          <w:tcPr>
            <w:tcW w:w="7632" w:type="dxa"/>
            <w:noWrap w:val="0"/>
            <w:vAlign w:val="center"/>
          </w:tcPr>
          <w:p w14:paraId="78A479DA">
            <w:pPr>
              <w:shd w:val="clear" w:color="auto" w:fill="auto"/>
              <w:spacing w:line="360" w:lineRule="auto"/>
              <w:rPr>
                <w:rFonts w:eastAsia="仿宋_GB2312"/>
                <w:color w:val="auto"/>
                <w:sz w:val="24"/>
                <w:highlight w:val="none"/>
              </w:rPr>
            </w:pPr>
            <w:r>
              <w:rPr>
                <w:rFonts w:eastAsia="仿宋_GB2312"/>
                <w:color w:val="auto"/>
                <w:sz w:val="24"/>
                <w:highlight w:val="none"/>
              </w:rPr>
              <w:t>如投标人对多个包进行投标，可以中标</w:t>
            </w:r>
            <w:r>
              <w:rPr>
                <w:rFonts w:eastAsia="仿宋"/>
                <w:color w:val="auto"/>
                <w:sz w:val="24"/>
                <w:highlight w:val="none"/>
                <w:u w:val="single"/>
              </w:rPr>
              <w:t xml:space="preserve"> / </w:t>
            </w:r>
            <w:r>
              <w:rPr>
                <w:rFonts w:eastAsia="仿宋_GB2312"/>
                <w:color w:val="auto"/>
                <w:sz w:val="24"/>
                <w:highlight w:val="none"/>
              </w:rPr>
              <w:t>包</w:t>
            </w:r>
          </w:p>
        </w:tc>
      </w:tr>
      <w:tr w14:paraId="7CD837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trPr>
        <w:tc>
          <w:tcPr>
            <w:tcW w:w="1468" w:type="dxa"/>
            <w:noWrap w:val="0"/>
            <w:vAlign w:val="center"/>
          </w:tcPr>
          <w:p w14:paraId="5A4BD8EA">
            <w:pPr>
              <w:shd w:val="clear" w:color="auto" w:fill="auto"/>
              <w:spacing w:line="360" w:lineRule="auto"/>
              <w:ind w:left="1417" w:leftChars="203" w:hanging="991"/>
              <w:rPr>
                <w:rFonts w:eastAsia="仿宋_GB2312"/>
                <w:color w:val="auto"/>
                <w:sz w:val="24"/>
                <w:highlight w:val="none"/>
              </w:rPr>
            </w:pPr>
            <w:r>
              <w:rPr>
                <w:rFonts w:eastAsia="仿宋_GB2312"/>
                <w:color w:val="auto"/>
                <w:sz w:val="24"/>
                <w:highlight w:val="none"/>
              </w:rPr>
              <w:t>12.1</w:t>
            </w:r>
          </w:p>
        </w:tc>
        <w:tc>
          <w:tcPr>
            <w:tcW w:w="7632" w:type="dxa"/>
            <w:noWrap w:val="0"/>
            <w:vAlign w:val="center"/>
          </w:tcPr>
          <w:p w14:paraId="5F75E822">
            <w:pPr>
              <w:shd w:val="clear" w:color="auto" w:fill="auto"/>
              <w:spacing w:line="360" w:lineRule="auto"/>
              <w:rPr>
                <w:rFonts w:hint="eastAsia" w:ascii="仿宋" w:hAnsi="仿宋" w:eastAsia="仿宋"/>
                <w:b/>
                <w:bCs/>
                <w:color w:val="auto"/>
                <w:sz w:val="24"/>
                <w:highlight w:val="none"/>
                <w:lang w:val="zh-CN"/>
              </w:rPr>
            </w:pPr>
            <w:r>
              <w:rPr>
                <w:rFonts w:hint="eastAsia" w:ascii="仿宋" w:hAnsi="仿宋" w:eastAsia="仿宋"/>
                <w:b/>
                <w:bCs/>
                <w:color w:val="auto"/>
                <w:sz w:val="24"/>
                <w:highlight w:val="none"/>
                <w:lang w:val="zh-CN"/>
              </w:rPr>
              <w:t>本项目须提供投标保证金：</w:t>
            </w:r>
          </w:p>
          <w:p w14:paraId="303E5BE9">
            <w:pPr>
              <w:shd w:val="clear" w:color="auto" w:fill="auto"/>
              <w:spacing w:line="360" w:lineRule="auto"/>
              <w:rPr>
                <w:rFonts w:hint="eastAsia" w:ascii="仿宋" w:hAnsi="仿宋" w:eastAsia="仿宋"/>
                <w:b/>
                <w:bCs/>
                <w:color w:val="auto"/>
                <w:sz w:val="24"/>
                <w:highlight w:val="none"/>
                <w:lang w:val="zh-CN"/>
              </w:rPr>
            </w:pPr>
            <w:r>
              <w:rPr>
                <w:rFonts w:hint="eastAsia" w:ascii="仿宋" w:hAnsi="仿宋" w:eastAsia="仿宋"/>
                <w:b/>
                <w:bCs/>
                <w:color w:val="auto"/>
                <w:sz w:val="24"/>
                <w:highlight w:val="none"/>
                <w:lang w:val="en-US" w:eastAsia="zh-CN"/>
              </w:rPr>
              <w:t>第1包：</w:t>
            </w:r>
            <w:r>
              <w:rPr>
                <w:rFonts w:hint="eastAsia" w:ascii="仿宋" w:hAnsi="仿宋" w:eastAsia="仿宋"/>
                <w:b/>
                <w:bCs/>
                <w:color w:val="auto"/>
                <w:sz w:val="24"/>
                <w:highlight w:val="none"/>
                <w:lang w:val="zh-CN"/>
              </w:rPr>
              <w:t>人民币</w:t>
            </w:r>
            <w:r>
              <w:rPr>
                <w:rFonts w:hint="eastAsia" w:ascii="仿宋" w:hAnsi="仿宋" w:eastAsia="仿宋"/>
                <w:b/>
                <w:bCs/>
                <w:color w:val="auto"/>
                <w:sz w:val="24"/>
                <w:highlight w:val="none"/>
                <w:lang w:val="en-US" w:eastAsia="zh-CN"/>
              </w:rPr>
              <w:t>叁万陆仟</w:t>
            </w:r>
            <w:r>
              <w:rPr>
                <w:rFonts w:hint="eastAsia" w:ascii="仿宋" w:hAnsi="仿宋" w:eastAsia="仿宋" w:cs="___WRD_EMBED_SUB_44"/>
                <w:b/>
                <w:bCs/>
                <w:color w:val="auto"/>
                <w:sz w:val="24"/>
                <w:highlight w:val="none"/>
                <w:lang w:val="zh-CN"/>
              </w:rPr>
              <w:t>元整（人民币</w:t>
            </w:r>
            <w:r>
              <w:rPr>
                <w:rFonts w:hint="eastAsia" w:ascii="仿宋" w:hAnsi="仿宋" w:eastAsia="仿宋"/>
                <w:b/>
                <w:bCs/>
                <w:color w:val="auto"/>
                <w:sz w:val="24"/>
                <w:highlight w:val="none"/>
                <w:lang w:val="en-US" w:eastAsia="zh-CN"/>
              </w:rPr>
              <w:t>36000.00</w:t>
            </w:r>
            <w:r>
              <w:rPr>
                <w:rFonts w:hint="eastAsia" w:ascii="仿宋" w:hAnsi="仿宋" w:eastAsia="仿宋"/>
                <w:b/>
                <w:bCs/>
                <w:color w:val="auto"/>
                <w:sz w:val="24"/>
                <w:highlight w:val="none"/>
                <w:lang w:val="zh-CN"/>
              </w:rPr>
              <w:t>元）；</w:t>
            </w:r>
          </w:p>
          <w:p w14:paraId="1569C74D">
            <w:pPr>
              <w:shd w:val="clear" w:color="auto" w:fill="auto"/>
              <w:spacing w:line="360" w:lineRule="auto"/>
              <w:rPr>
                <w:rFonts w:hint="eastAsia" w:ascii="仿宋" w:hAnsi="仿宋" w:eastAsia="仿宋"/>
                <w:b/>
                <w:bCs/>
                <w:color w:val="auto"/>
                <w:sz w:val="24"/>
                <w:highlight w:val="none"/>
                <w:lang w:val="zh-CN"/>
              </w:rPr>
            </w:pPr>
            <w:r>
              <w:rPr>
                <w:rFonts w:hint="eastAsia" w:ascii="仿宋" w:hAnsi="仿宋" w:eastAsia="仿宋"/>
                <w:b/>
                <w:bCs/>
                <w:color w:val="auto"/>
                <w:sz w:val="24"/>
                <w:highlight w:val="none"/>
                <w:lang w:val="en-US" w:eastAsia="zh-CN"/>
              </w:rPr>
              <w:t>第2包：</w:t>
            </w:r>
            <w:r>
              <w:rPr>
                <w:rFonts w:hint="eastAsia" w:ascii="仿宋" w:hAnsi="仿宋" w:eastAsia="仿宋"/>
                <w:b/>
                <w:bCs/>
                <w:color w:val="auto"/>
                <w:sz w:val="24"/>
                <w:highlight w:val="none"/>
                <w:lang w:val="zh-CN"/>
              </w:rPr>
              <w:t>人民币</w:t>
            </w:r>
            <w:r>
              <w:rPr>
                <w:rFonts w:hint="eastAsia" w:ascii="仿宋" w:hAnsi="仿宋" w:eastAsia="仿宋"/>
                <w:b/>
                <w:bCs/>
                <w:color w:val="auto"/>
                <w:sz w:val="24"/>
                <w:highlight w:val="none"/>
                <w:u w:val="single"/>
                <w:lang w:val="en-US" w:eastAsia="zh-CN"/>
              </w:rPr>
              <w:t>叁万伍仟</w:t>
            </w:r>
            <w:r>
              <w:rPr>
                <w:rFonts w:hint="eastAsia" w:ascii="仿宋" w:hAnsi="仿宋" w:eastAsia="仿宋" w:cs="___WRD_EMBED_SUB_44"/>
                <w:b/>
                <w:bCs/>
                <w:color w:val="auto"/>
                <w:sz w:val="24"/>
                <w:highlight w:val="none"/>
                <w:lang w:val="zh-CN"/>
              </w:rPr>
              <w:t>元整（人民币</w:t>
            </w:r>
            <w:r>
              <w:rPr>
                <w:rFonts w:hint="eastAsia" w:ascii="仿宋" w:hAnsi="仿宋" w:eastAsia="仿宋"/>
                <w:b/>
                <w:bCs/>
                <w:color w:val="auto"/>
                <w:sz w:val="24"/>
                <w:highlight w:val="none"/>
                <w:lang w:val="en-US" w:eastAsia="zh-CN"/>
              </w:rPr>
              <w:t>35000.00</w:t>
            </w:r>
            <w:r>
              <w:rPr>
                <w:rFonts w:hint="eastAsia" w:ascii="仿宋" w:hAnsi="仿宋" w:eastAsia="仿宋"/>
                <w:b/>
                <w:bCs/>
                <w:color w:val="auto"/>
                <w:sz w:val="24"/>
                <w:highlight w:val="none"/>
                <w:lang w:val="zh-CN"/>
              </w:rPr>
              <w:t>元）；</w:t>
            </w:r>
          </w:p>
          <w:p w14:paraId="08DA8678">
            <w:pPr>
              <w:shd w:val="clear" w:color="auto" w:fill="auto"/>
              <w:spacing w:line="360" w:lineRule="auto"/>
              <w:rPr>
                <w:rFonts w:hint="eastAsia" w:ascii="仿宋" w:hAnsi="仿宋" w:eastAsia="仿宋"/>
                <w:b/>
                <w:bCs/>
                <w:color w:val="auto"/>
                <w:sz w:val="24"/>
                <w:highlight w:val="none"/>
                <w:lang w:val="zh-CN"/>
              </w:rPr>
            </w:pPr>
            <w:r>
              <w:rPr>
                <w:rFonts w:hint="eastAsia" w:ascii="仿宋" w:hAnsi="仿宋" w:eastAsia="仿宋"/>
                <w:b/>
                <w:bCs/>
                <w:color w:val="auto"/>
                <w:sz w:val="24"/>
                <w:highlight w:val="none"/>
                <w:lang w:val="en-US" w:eastAsia="zh-CN"/>
              </w:rPr>
              <w:t>第3包：</w:t>
            </w:r>
            <w:r>
              <w:rPr>
                <w:rFonts w:hint="eastAsia" w:ascii="仿宋" w:hAnsi="仿宋" w:eastAsia="仿宋"/>
                <w:b/>
                <w:bCs/>
                <w:color w:val="auto"/>
                <w:sz w:val="24"/>
                <w:highlight w:val="none"/>
                <w:lang w:val="zh-CN"/>
              </w:rPr>
              <w:t>人民币</w:t>
            </w:r>
            <w:r>
              <w:rPr>
                <w:rFonts w:hint="eastAsia" w:ascii="仿宋" w:hAnsi="仿宋" w:eastAsia="仿宋"/>
                <w:b/>
                <w:bCs/>
                <w:color w:val="auto"/>
                <w:sz w:val="24"/>
                <w:highlight w:val="none"/>
                <w:u w:val="single"/>
                <w:lang w:val="en-US" w:eastAsia="zh-CN"/>
              </w:rPr>
              <w:t>贰万伍仟</w:t>
            </w:r>
            <w:r>
              <w:rPr>
                <w:rFonts w:hint="eastAsia" w:ascii="仿宋" w:hAnsi="仿宋" w:eastAsia="仿宋" w:cs="___WRD_EMBED_SUB_44"/>
                <w:b/>
                <w:bCs/>
                <w:color w:val="auto"/>
                <w:sz w:val="24"/>
                <w:highlight w:val="none"/>
                <w:lang w:val="zh-CN"/>
              </w:rPr>
              <w:t>元整（人民币</w:t>
            </w:r>
            <w:r>
              <w:rPr>
                <w:rFonts w:hint="eastAsia" w:ascii="仿宋" w:hAnsi="仿宋" w:eastAsia="仿宋"/>
                <w:b/>
                <w:bCs/>
                <w:color w:val="auto"/>
                <w:sz w:val="24"/>
                <w:highlight w:val="none"/>
                <w:lang w:val="en-US" w:eastAsia="zh-CN"/>
              </w:rPr>
              <w:t>25000</w:t>
            </w:r>
            <w:r>
              <w:rPr>
                <w:rFonts w:hint="eastAsia" w:ascii="仿宋" w:hAnsi="仿宋" w:eastAsia="仿宋"/>
                <w:b/>
                <w:bCs/>
                <w:color w:val="auto"/>
                <w:sz w:val="24"/>
                <w:highlight w:val="none"/>
                <w:lang w:val="zh-CN"/>
              </w:rPr>
              <w:t>.00元）；</w:t>
            </w:r>
          </w:p>
          <w:p w14:paraId="04D3961C">
            <w:pPr>
              <w:shd w:val="clear" w:color="auto" w:fill="auto"/>
              <w:spacing w:line="360" w:lineRule="auto"/>
              <w:rPr>
                <w:rFonts w:hint="eastAsia" w:ascii="仿宋" w:hAnsi="仿宋" w:eastAsia="仿宋"/>
                <w:b/>
                <w:bCs/>
                <w:color w:val="auto"/>
                <w:sz w:val="24"/>
                <w:highlight w:val="none"/>
                <w:lang w:val="zh-CN"/>
              </w:rPr>
            </w:pPr>
            <w:r>
              <w:rPr>
                <w:rFonts w:hint="eastAsia" w:ascii="仿宋" w:hAnsi="仿宋" w:eastAsia="仿宋"/>
                <w:b/>
                <w:bCs/>
                <w:color w:val="auto"/>
                <w:sz w:val="24"/>
                <w:highlight w:val="none"/>
                <w:lang w:val="en-US" w:eastAsia="zh-CN"/>
              </w:rPr>
              <w:t>第4包：</w:t>
            </w:r>
            <w:r>
              <w:rPr>
                <w:rFonts w:hint="eastAsia" w:ascii="仿宋" w:hAnsi="仿宋" w:eastAsia="仿宋"/>
                <w:b/>
                <w:bCs/>
                <w:color w:val="auto"/>
                <w:sz w:val="24"/>
                <w:highlight w:val="none"/>
                <w:lang w:val="zh-CN"/>
              </w:rPr>
              <w:t>人民币</w:t>
            </w:r>
            <w:r>
              <w:rPr>
                <w:rFonts w:hint="eastAsia" w:ascii="仿宋" w:hAnsi="仿宋" w:eastAsia="仿宋"/>
                <w:b/>
                <w:bCs/>
                <w:color w:val="auto"/>
                <w:sz w:val="24"/>
                <w:highlight w:val="none"/>
                <w:u w:val="single"/>
                <w:lang w:val="en-US" w:eastAsia="zh-CN"/>
              </w:rPr>
              <w:t>伍万</w:t>
            </w:r>
            <w:r>
              <w:rPr>
                <w:rFonts w:hint="eastAsia" w:ascii="仿宋" w:hAnsi="仿宋" w:eastAsia="仿宋" w:cs="___WRD_EMBED_SUB_44"/>
                <w:b/>
                <w:bCs/>
                <w:color w:val="auto"/>
                <w:sz w:val="24"/>
                <w:highlight w:val="none"/>
                <w:lang w:val="zh-CN"/>
              </w:rPr>
              <w:t>元整（人民币</w:t>
            </w:r>
            <w:r>
              <w:rPr>
                <w:rFonts w:hint="eastAsia" w:ascii="仿宋" w:hAnsi="仿宋" w:eastAsia="仿宋"/>
                <w:b/>
                <w:bCs/>
                <w:color w:val="auto"/>
                <w:sz w:val="24"/>
                <w:highlight w:val="none"/>
                <w:lang w:val="en-US" w:eastAsia="zh-CN"/>
              </w:rPr>
              <w:t>50000</w:t>
            </w:r>
            <w:r>
              <w:rPr>
                <w:rFonts w:hint="eastAsia" w:ascii="仿宋" w:hAnsi="仿宋" w:eastAsia="仿宋"/>
                <w:b/>
                <w:bCs/>
                <w:color w:val="auto"/>
                <w:sz w:val="24"/>
                <w:highlight w:val="none"/>
                <w:lang w:val="zh-CN"/>
              </w:rPr>
              <w:t>.00元）；</w:t>
            </w:r>
          </w:p>
          <w:p w14:paraId="1F69BC66">
            <w:pPr>
              <w:shd w:val="clear" w:color="auto" w:fill="auto"/>
              <w:spacing w:line="360" w:lineRule="auto"/>
              <w:rPr>
                <w:rFonts w:hint="eastAsia" w:ascii="仿宋" w:hAnsi="仿宋" w:eastAsia="仿宋"/>
                <w:b/>
                <w:bCs/>
                <w:color w:val="auto"/>
                <w:sz w:val="24"/>
                <w:highlight w:val="none"/>
                <w:lang w:val="zh-CN"/>
              </w:rPr>
            </w:pPr>
            <w:r>
              <w:rPr>
                <w:rFonts w:hint="eastAsia" w:ascii="仿宋" w:hAnsi="仿宋" w:eastAsia="仿宋"/>
                <w:b/>
                <w:bCs/>
                <w:color w:val="auto"/>
                <w:sz w:val="24"/>
                <w:highlight w:val="none"/>
                <w:lang w:val="zh-CN"/>
              </w:rPr>
              <w:t>保证金可自主选择采用电汇、银行转账、支票、汇票、本票、金融机构或担保机构出具的保函等非现金形式。</w:t>
            </w:r>
          </w:p>
          <w:p w14:paraId="2CD54AA6">
            <w:pPr>
              <w:shd w:val="clear" w:color="auto" w:fill="auto"/>
              <w:spacing w:line="360" w:lineRule="auto"/>
              <w:rPr>
                <w:rFonts w:hint="eastAsia" w:ascii="仿宋" w:hAnsi="仿宋" w:eastAsia="仿宋"/>
                <w:b/>
                <w:bCs/>
                <w:color w:val="auto"/>
                <w:sz w:val="24"/>
                <w:highlight w:val="none"/>
                <w:lang w:val="en-US" w:eastAsia="zh-CN"/>
              </w:rPr>
            </w:pPr>
            <w:r>
              <w:rPr>
                <w:rFonts w:hint="eastAsia" w:ascii="仿宋" w:hAnsi="仿宋" w:eastAsia="仿宋"/>
                <w:b/>
                <w:bCs/>
                <w:color w:val="auto"/>
                <w:sz w:val="24"/>
                <w:highlight w:val="none"/>
                <w:lang w:val="en-US" w:eastAsia="zh-CN"/>
              </w:rPr>
              <w:t>第1包：</w:t>
            </w:r>
          </w:p>
          <w:p w14:paraId="3AFB7AA7">
            <w:pPr>
              <w:shd w:val="clear" w:color="auto" w:fill="auto"/>
              <w:spacing w:line="360" w:lineRule="auto"/>
              <w:rPr>
                <w:rFonts w:hint="eastAsia" w:ascii="仿宋" w:hAnsi="仿宋" w:eastAsia="仿宋" w:cs="___WRD_EMBED_SUB_44"/>
                <w:b/>
                <w:bCs/>
                <w:color w:val="auto"/>
                <w:sz w:val="24"/>
                <w:highlight w:val="none"/>
                <w:lang w:val="zh-CN"/>
              </w:rPr>
            </w:pPr>
            <w:r>
              <w:rPr>
                <w:rFonts w:hint="eastAsia" w:ascii="仿宋" w:hAnsi="仿宋" w:eastAsia="仿宋"/>
                <w:b/>
                <w:bCs/>
                <w:color w:val="auto"/>
                <w:sz w:val="24"/>
                <w:highlight w:val="none"/>
                <w:lang w:val="zh-CN"/>
              </w:rPr>
              <w:t>保</w:t>
            </w:r>
            <w:r>
              <w:rPr>
                <w:rFonts w:hint="eastAsia" w:ascii="仿宋" w:hAnsi="仿宋" w:eastAsia="仿宋" w:cs="___WRD_EMBED_SUB_44"/>
                <w:b/>
                <w:bCs/>
                <w:color w:val="auto"/>
                <w:sz w:val="24"/>
                <w:highlight w:val="none"/>
                <w:lang w:val="zh-CN"/>
              </w:rPr>
              <w:t>证金户名：宝鸡市公共资源交易中心保证金专户</w:t>
            </w:r>
          </w:p>
          <w:p w14:paraId="33374FC0">
            <w:pPr>
              <w:shd w:val="clear" w:color="auto" w:fill="auto"/>
              <w:spacing w:line="360" w:lineRule="auto"/>
              <w:rPr>
                <w:rFonts w:hint="eastAsia" w:ascii="仿宋" w:hAnsi="仿宋" w:eastAsia="仿宋" w:cs="___WRD_EMBED_SUB_44"/>
                <w:b/>
                <w:bCs/>
                <w:color w:val="auto"/>
                <w:sz w:val="24"/>
                <w:highlight w:val="none"/>
                <w:lang w:val="zh-CN"/>
              </w:rPr>
            </w:pPr>
            <w:r>
              <w:rPr>
                <w:rFonts w:hint="eastAsia" w:ascii="仿宋" w:hAnsi="仿宋" w:eastAsia="仿宋" w:cs="___WRD_EMBED_SUB_44"/>
                <w:b/>
                <w:bCs/>
                <w:color w:val="auto"/>
                <w:sz w:val="24"/>
                <w:highlight w:val="none"/>
                <w:lang w:val="zh-CN"/>
              </w:rPr>
              <w:t>开户银行：长安银行股份有限公司宝鸡分行营业部</w:t>
            </w:r>
          </w:p>
          <w:p w14:paraId="2451BDEB">
            <w:pPr>
              <w:shd w:val="clear" w:color="auto" w:fill="auto"/>
              <w:spacing w:line="360" w:lineRule="auto"/>
              <w:rPr>
                <w:rFonts w:hint="eastAsia" w:ascii="仿宋" w:hAnsi="仿宋" w:eastAsia="仿宋" w:cs="___WRD_EMBED_SUB_44"/>
                <w:b/>
                <w:bCs/>
                <w:color w:val="auto"/>
                <w:sz w:val="24"/>
                <w:highlight w:val="none"/>
                <w:lang w:val="zh-CN"/>
              </w:rPr>
            </w:pPr>
            <w:r>
              <w:rPr>
                <w:rFonts w:hint="eastAsia" w:ascii="仿宋" w:hAnsi="仿宋" w:eastAsia="仿宋" w:cs="___WRD_EMBED_SUB_44"/>
                <w:b/>
                <w:bCs/>
                <w:color w:val="auto"/>
                <w:sz w:val="24"/>
                <w:highlight w:val="none"/>
                <w:lang w:val="zh-CN"/>
              </w:rPr>
              <w:t>账号：</w:t>
            </w:r>
            <w:r>
              <w:rPr>
                <w:rFonts w:hint="eastAsia" w:ascii="仿宋" w:hAnsi="仿宋" w:eastAsia="仿宋" w:cs="___WRD_EMBED_SUB_44"/>
                <w:b/>
                <w:bCs/>
                <w:color w:val="auto"/>
                <w:sz w:val="24"/>
                <w:highlight w:val="none"/>
                <w:lang w:val="en-US" w:eastAsia="zh-CN"/>
              </w:rPr>
              <w:t>80602000142101980616485</w:t>
            </w:r>
          </w:p>
          <w:p w14:paraId="3A2410BE">
            <w:pPr>
              <w:shd w:val="clear" w:color="auto" w:fill="auto"/>
              <w:spacing w:line="360" w:lineRule="auto"/>
              <w:rPr>
                <w:rFonts w:hint="eastAsia" w:ascii="仿宋" w:hAnsi="仿宋" w:eastAsia="仿宋"/>
                <w:b/>
                <w:bCs/>
                <w:color w:val="auto"/>
                <w:sz w:val="24"/>
                <w:highlight w:val="none"/>
                <w:lang w:val="en-US" w:eastAsia="zh-CN"/>
              </w:rPr>
            </w:pPr>
            <w:r>
              <w:rPr>
                <w:rFonts w:hint="eastAsia" w:ascii="仿宋" w:hAnsi="仿宋" w:eastAsia="仿宋"/>
                <w:b/>
                <w:bCs/>
                <w:color w:val="auto"/>
                <w:sz w:val="24"/>
                <w:highlight w:val="none"/>
                <w:lang w:val="en-US" w:eastAsia="zh-CN"/>
              </w:rPr>
              <w:t>第2包：</w:t>
            </w:r>
          </w:p>
          <w:p w14:paraId="6346E2D9">
            <w:pPr>
              <w:shd w:val="clear" w:color="auto" w:fill="auto"/>
              <w:spacing w:line="360" w:lineRule="auto"/>
              <w:rPr>
                <w:rFonts w:hint="eastAsia" w:ascii="仿宋" w:hAnsi="仿宋" w:eastAsia="仿宋" w:cs="___WRD_EMBED_SUB_44"/>
                <w:b/>
                <w:bCs/>
                <w:color w:val="auto"/>
                <w:sz w:val="24"/>
                <w:highlight w:val="none"/>
                <w:lang w:val="zh-CN"/>
              </w:rPr>
            </w:pPr>
            <w:r>
              <w:rPr>
                <w:rFonts w:hint="eastAsia" w:ascii="仿宋" w:hAnsi="仿宋" w:eastAsia="仿宋"/>
                <w:b/>
                <w:bCs/>
                <w:color w:val="auto"/>
                <w:sz w:val="24"/>
                <w:highlight w:val="none"/>
                <w:lang w:val="zh-CN"/>
              </w:rPr>
              <w:t>保</w:t>
            </w:r>
            <w:r>
              <w:rPr>
                <w:rFonts w:hint="eastAsia" w:ascii="仿宋" w:hAnsi="仿宋" w:eastAsia="仿宋" w:cs="___WRD_EMBED_SUB_44"/>
                <w:b/>
                <w:bCs/>
                <w:color w:val="auto"/>
                <w:sz w:val="24"/>
                <w:highlight w:val="none"/>
                <w:lang w:val="zh-CN"/>
              </w:rPr>
              <w:t>证金户名：宝鸡市公共资源交易中心保证金专户</w:t>
            </w:r>
          </w:p>
          <w:p w14:paraId="36A3ABC3">
            <w:pPr>
              <w:shd w:val="clear" w:color="auto" w:fill="auto"/>
              <w:spacing w:line="360" w:lineRule="auto"/>
              <w:rPr>
                <w:rFonts w:hint="eastAsia" w:ascii="仿宋" w:hAnsi="仿宋" w:eastAsia="仿宋" w:cs="___WRD_EMBED_SUB_44"/>
                <w:b/>
                <w:bCs/>
                <w:color w:val="auto"/>
                <w:sz w:val="24"/>
                <w:highlight w:val="none"/>
                <w:lang w:val="zh-CN"/>
              </w:rPr>
            </w:pPr>
            <w:r>
              <w:rPr>
                <w:rFonts w:hint="eastAsia" w:ascii="仿宋" w:hAnsi="仿宋" w:eastAsia="仿宋" w:cs="___WRD_EMBED_SUB_44"/>
                <w:b/>
                <w:bCs/>
                <w:color w:val="auto"/>
                <w:sz w:val="24"/>
                <w:highlight w:val="none"/>
                <w:lang w:val="zh-CN"/>
              </w:rPr>
              <w:t>开户银行：长安银行股份有限公司宝鸡分行营业部</w:t>
            </w:r>
          </w:p>
          <w:p w14:paraId="043AD067">
            <w:pPr>
              <w:shd w:val="clear" w:color="auto" w:fill="auto"/>
              <w:spacing w:line="360" w:lineRule="auto"/>
              <w:rPr>
                <w:rFonts w:hint="eastAsia" w:ascii="仿宋" w:hAnsi="仿宋" w:eastAsia="仿宋" w:cs="___WRD_EMBED_SUB_44"/>
                <w:b/>
                <w:bCs/>
                <w:color w:val="auto"/>
                <w:sz w:val="24"/>
                <w:highlight w:val="none"/>
                <w:lang w:val="zh-CN"/>
              </w:rPr>
            </w:pPr>
            <w:r>
              <w:rPr>
                <w:rFonts w:hint="eastAsia" w:ascii="仿宋" w:hAnsi="仿宋" w:eastAsia="仿宋" w:cs="___WRD_EMBED_SUB_44"/>
                <w:b/>
                <w:bCs/>
                <w:color w:val="auto"/>
                <w:sz w:val="24"/>
                <w:highlight w:val="none"/>
                <w:lang w:val="zh-CN"/>
              </w:rPr>
              <w:t>账号：</w:t>
            </w:r>
          </w:p>
          <w:p w14:paraId="1B4DCC4C">
            <w:pPr>
              <w:shd w:val="clear" w:color="auto" w:fill="auto"/>
              <w:spacing w:line="360" w:lineRule="auto"/>
              <w:rPr>
                <w:rFonts w:hint="eastAsia" w:ascii="仿宋" w:hAnsi="仿宋" w:eastAsia="仿宋"/>
                <w:b/>
                <w:bCs/>
                <w:color w:val="auto"/>
                <w:sz w:val="24"/>
                <w:highlight w:val="none"/>
                <w:lang w:val="en-US" w:eastAsia="zh-CN"/>
              </w:rPr>
            </w:pPr>
            <w:r>
              <w:rPr>
                <w:rFonts w:hint="eastAsia" w:ascii="仿宋" w:hAnsi="仿宋" w:eastAsia="仿宋"/>
                <w:b/>
                <w:bCs/>
                <w:color w:val="auto"/>
                <w:sz w:val="24"/>
                <w:highlight w:val="none"/>
                <w:lang w:val="en-US" w:eastAsia="zh-CN"/>
              </w:rPr>
              <w:t>第3包：</w:t>
            </w:r>
          </w:p>
          <w:p w14:paraId="19DD271B">
            <w:pPr>
              <w:shd w:val="clear" w:color="auto" w:fill="auto"/>
              <w:spacing w:line="360" w:lineRule="auto"/>
              <w:rPr>
                <w:rFonts w:hint="eastAsia" w:ascii="仿宋" w:hAnsi="仿宋" w:eastAsia="仿宋" w:cs="___WRD_EMBED_SUB_44"/>
                <w:b/>
                <w:bCs/>
                <w:color w:val="auto"/>
                <w:sz w:val="24"/>
                <w:highlight w:val="none"/>
                <w:lang w:val="zh-CN"/>
              </w:rPr>
            </w:pPr>
            <w:r>
              <w:rPr>
                <w:rFonts w:hint="eastAsia" w:ascii="仿宋" w:hAnsi="仿宋" w:eastAsia="仿宋"/>
                <w:b/>
                <w:bCs/>
                <w:color w:val="auto"/>
                <w:sz w:val="24"/>
                <w:highlight w:val="none"/>
                <w:lang w:val="zh-CN"/>
              </w:rPr>
              <w:t>保</w:t>
            </w:r>
            <w:r>
              <w:rPr>
                <w:rFonts w:hint="eastAsia" w:ascii="仿宋" w:hAnsi="仿宋" w:eastAsia="仿宋" w:cs="___WRD_EMBED_SUB_44"/>
                <w:b/>
                <w:bCs/>
                <w:color w:val="auto"/>
                <w:sz w:val="24"/>
                <w:highlight w:val="none"/>
                <w:lang w:val="zh-CN"/>
              </w:rPr>
              <w:t>证金户名：宝鸡市公共资源交易中心保证金专户</w:t>
            </w:r>
          </w:p>
          <w:p w14:paraId="691CAAB9">
            <w:pPr>
              <w:shd w:val="clear" w:color="auto" w:fill="auto"/>
              <w:spacing w:line="360" w:lineRule="auto"/>
              <w:rPr>
                <w:rFonts w:hint="eastAsia" w:ascii="仿宋" w:hAnsi="仿宋" w:eastAsia="仿宋" w:cs="___WRD_EMBED_SUB_44"/>
                <w:b/>
                <w:bCs/>
                <w:color w:val="auto"/>
                <w:sz w:val="24"/>
                <w:highlight w:val="none"/>
                <w:lang w:val="zh-CN"/>
              </w:rPr>
            </w:pPr>
            <w:r>
              <w:rPr>
                <w:rFonts w:hint="eastAsia" w:ascii="仿宋" w:hAnsi="仿宋" w:eastAsia="仿宋" w:cs="___WRD_EMBED_SUB_44"/>
                <w:b/>
                <w:bCs/>
                <w:color w:val="auto"/>
                <w:sz w:val="24"/>
                <w:highlight w:val="none"/>
                <w:lang w:val="zh-CN"/>
              </w:rPr>
              <w:t>开户银行：长安银行股份有限公司宝鸡分行营业部</w:t>
            </w:r>
          </w:p>
          <w:p w14:paraId="2F77A72A">
            <w:pPr>
              <w:shd w:val="clear" w:color="auto" w:fill="auto"/>
              <w:spacing w:line="360" w:lineRule="auto"/>
              <w:rPr>
                <w:rFonts w:hint="eastAsia" w:ascii="仿宋" w:hAnsi="仿宋" w:eastAsia="仿宋" w:cs="___WRD_EMBED_SUB_44"/>
                <w:b/>
                <w:bCs/>
                <w:color w:val="auto"/>
                <w:sz w:val="24"/>
                <w:highlight w:val="none"/>
                <w:lang w:val="zh-CN"/>
              </w:rPr>
            </w:pPr>
            <w:r>
              <w:rPr>
                <w:rFonts w:hint="eastAsia" w:ascii="仿宋" w:hAnsi="仿宋" w:eastAsia="仿宋" w:cs="___WRD_EMBED_SUB_44"/>
                <w:b/>
                <w:bCs/>
                <w:color w:val="auto"/>
                <w:sz w:val="24"/>
                <w:highlight w:val="none"/>
                <w:lang w:val="zh-CN"/>
              </w:rPr>
              <w:t>账号：</w:t>
            </w:r>
          </w:p>
          <w:p w14:paraId="412BD2BD">
            <w:pPr>
              <w:shd w:val="clear" w:color="auto" w:fill="auto"/>
              <w:spacing w:line="360" w:lineRule="auto"/>
              <w:rPr>
                <w:rFonts w:hint="eastAsia" w:ascii="仿宋" w:hAnsi="仿宋" w:eastAsia="仿宋"/>
                <w:b/>
                <w:bCs/>
                <w:color w:val="auto"/>
                <w:sz w:val="24"/>
                <w:highlight w:val="none"/>
                <w:lang w:val="en-US" w:eastAsia="zh-CN"/>
              </w:rPr>
            </w:pPr>
            <w:r>
              <w:rPr>
                <w:rFonts w:hint="eastAsia" w:ascii="仿宋" w:hAnsi="仿宋" w:eastAsia="仿宋"/>
                <w:b/>
                <w:bCs/>
                <w:color w:val="auto"/>
                <w:sz w:val="24"/>
                <w:highlight w:val="none"/>
                <w:lang w:val="en-US" w:eastAsia="zh-CN"/>
              </w:rPr>
              <w:t>第4包：</w:t>
            </w:r>
          </w:p>
          <w:p w14:paraId="0E2334EC">
            <w:pPr>
              <w:shd w:val="clear" w:color="auto" w:fill="auto"/>
              <w:spacing w:line="360" w:lineRule="auto"/>
              <w:rPr>
                <w:rFonts w:hint="eastAsia" w:ascii="仿宋" w:hAnsi="仿宋" w:eastAsia="仿宋" w:cs="___WRD_EMBED_SUB_44"/>
                <w:b/>
                <w:bCs/>
                <w:color w:val="auto"/>
                <w:sz w:val="24"/>
                <w:highlight w:val="none"/>
                <w:lang w:val="zh-CN"/>
              </w:rPr>
            </w:pPr>
            <w:r>
              <w:rPr>
                <w:rFonts w:hint="eastAsia" w:ascii="仿宋" w:hAnsi="仿宋" w:eastAsia="仿宋"/>
                <w:b/>
                <w:bCs/>
                <w:color w:val="auto"/>
                <w:sz w:val="24"/>
                <w:highlight w:val="none"/>
                <w:lang w:val="zh-CN"/>
              </w:rPr>
              <w:t>保</w:t>
            </w:r>
            <w:r>
              <w:rPr>
                <w:rFonts w:hint="eastAsia" w:ascii="仿宋" w:hAnsi="仿宋" w:eastAsia="仿宋" w:cs="___WRD_EMBED_SUB_44"/>
                <w:b/>
                <w:bCs/>
                <w:color w:val="auto"/>
                <w:sz w:val="24"/>
                <w:highlight w:val="none"/>
                <w:lang w:val="zh-CN"/>
              </w:rPr>
              <w:t>证金户名：宝鸡市公共资源交易中心保证金专户</w:t>
            </w:r>
          </w:p>
          <w:p w14:paraId="28B52F35">
            <w:pPr>
              <w:shd w:val="clear" w:color="auto" w:fill="auto"/>
              <w:spacing w:line="360" w:lineRule="auto"/>
              <w:rPr>
                <w:rFonts w:hint="eastAsia" w:ascii="仿宋" w:hAnsi="仿宋" w:eastAsia="仿宋" w:cs="___WRD_EMBED_SUB_44"/>
                <w:b/>
                <w:bCs/>
                <w:color w:val="auto"/>
                <w:sz w:val="24"/>
                <w:highlight w:val="none"/>
                <w:lang w:val="zh-CN"/>
              </w:rPr>
            </w:pPr>
            <w:r>
              <w:rPr>
                <w:rFonts w:hint="eastAsia" w:ascii="仿宋" w:hAnsi="仿宋" w:eastAsia="仿宋" w:cs="___WRD_EMBED_SUB_44"/>
                <w:b/>
                <w:bCs/>
                <w:color w:val="auto"/>
                <w:sz w:val="24"/>
                <w:highlight w:val="none"/>
                <w:lang w:val="zh-CN"/>
              </w:rPr>
              <w:t>开户银行：长安银行股份有限公司宝鸡分行营业部</w:t>
            </w:r>
          </w:p>
          <w:p w14:paraId="688072E2">
            <w:pPr>
              <w:shd w:val="clear" w:color="auto" w:fill="auto"/>
              <w:spacing w:line="360" w:lineRule="auto"/>
              <w:rPr>
                <w:rFonts w:hint="eastAsia" w:ascii="仿宋" w:hAnsi="仿宋" w:eastAsia="仿宋" w:cs="___WRD_EMBED_SUB_44"/>
                <w:b/>
                <w:bCs/>
                <w:color w:val="auto"/>
                <w:sz w:val="24"/>
                <w:highlight w:val="yellow"/>
                <w:lang w:val="zh-CN"/>
              </w:rPr>
            </w:pPr>
            <w:r>
              <w:rPr>
                <w:rFonts w:hint="eastAsia" w:ascii="仿宋" w:hAnsi="仿宋" w:eastAsia="仿宋" w:cs="___WRD_EMBED_SUB_44"/>
                <w:b/>
                <w:bCs/>
                <w:color w:val="auto"/>
                <w:sz w:val="24"/>
                <w:highlight w:val="none"/>
                <w:lang w:val="zh-CN"/>
              </w:rPr>
              <w:t>账号：</w:t>
            </w:r>
          </w:p>
          <w:p w14:paraId="119549BA">
            <w:pPr>
              <w:shd w:val="clear" w:color="auto" w:fill="auto"/>
              <w:spacing w:line="360" w:lineRule="auto"/>
              <w:rPr>
                <w:rFonts w:hint="eastAsia" w:ascii="仿宋" w:hAnsi="仿宋" w:eastAsia="仿宋"/>
                <w:b/>
                <w:bCs/>
                <w:color w:val="auto"/>
                <w:sz w:val="24"/>
                <w:highlight w:val="none"/>
                <w:lang w:val="zh-CN"/>
              </w:rPr>
            </w:pPr>
            <w:r>
              <w:rPr>
                <w:rFonts w:hint="eastAsia" w:ascii="仿宋" w:hAnsi="仿宋" w:eastAsia="仿宋"/>
                <w:b/>
                <w:bCs/>
                <w:color w:val="auto"/>
                <w:sz w:val="24"/>
                <w:highlight w:val="none"/>
                <w:lang w:val="zh-CN"/>
              </w:rPr>
              <w:t>备注：</w:t>
            </w:r>
          </w:p>
          <w:p w14:paraId="06CB8F9F">
            <w:pPr>
              <w:shd w:val="clear" w:color="auto" w:fill="auto"/>
              <w:spacing w:line="360" w:lineRule="auto"/>
              <w:rPr>
                <w:rFonts w:hint="eastAsia" w:ascii="仿宋" w:hAnsi="仿宋" w:eastAsia="仿宋"/>
                <w:b/>
                <w:bCs/>
                <w:color w:val="auto"/>
                <w:sz w:val="24"/>
                <w:highlight w:val="none"/>
                <w:lang w:val="zh-CN"/>
              </w:rPr>
            </w:pPr>
            <w:r>
              <w:rPr>
                <w:rFonts w:hint="eastAsia" w:ascii="仿宋" w:hAnsi="仿宋" w:eastAsia="仿宋"/>
                <w:b/>
                <w:bCs/>
                <w:color w:val="auto"/>
                <w:sz w:val="24"/>
                <w:highlight w:val="none"/>
                <w:lang w:val="zh-CN"/>
              </w:rPr>
              <w:t>1、在汇款时务必注明所投标项目的项目编号，否则，因款项用</w:t>
            </w:r>
            <w:r>
              <w:rPr>
                <w:rFonts w:hint="eastAsia" w:ascii="仿宋" w:hAnsi="仿宋" w:eastAsia="仿宋" w:cs="微软雅黑"/>
                <w:b/>
                <w:bCs/>
                <w:color w:val="auto"/>
                <w:sz w:val="24"/>
                <w:highlight w:val="none"/>
                <w:lang w:val="zh-CN"/>
              </w:rPr>
              <w:t>途</w:t>
            </w:r>
            <w:r>
              <w:rPr>
                <w:rFonts w:hint="eastAsia" w:ascii="仿宋" w:hAnsi="仿宋" w:eastAsia="仿宋" w:cs="___WRD_EMBED_SUB_44"/>
                <w:b/>
                <w:bCs/>
                <w:color w:val="auto"/>
                <w:sz w:val="24"/>
                <w:highlight w:val="none"/>
                <w:lang w:val="zh-CN"/>
              </w:rPr>
              <w:t>不明导致投标无效等后果由</w:t>
            </w:r>
            <w:r>
              <w:rPr>
                <w:rFonts w:hint="eastAsia" w:ascii="仿宋" w:hAnsi="仿宋" w:eastAsia="仿宋" w:cs="___WRD_EMBED_SUB_44"/>
                <w:b/>
                <w:bCs/>
                <w:color w:val="auto"/>
                <w:sz w:val="24"/>
                <w:highlight w:val="none"/>
                <w:lang w:val="en-US" w:eastAsia="zh-CN"/>
              </w:rPr>
              <w:t>投标人</w:t>
            </w:r>
            <w:r>
              <w:rPr>
                <w:rFonts w:hint="eastAsia" w:ascii="仿宋" w:hAnsi="仿宋" w:eastAsia="仿宋" w:cs="___WRD_EMBED_SUB_44"/>
                <w:b/>
                <w:bCs/>
                <w:color w:val="auto"/>
                <w:sz w:val="24"/>
                <w:highlight w:val="none"/>
                <w:lang w:val="zh-CN"/>
              </w:rPr>
              <w:t>自行承担；</w:t>
            </w:r>
          </w:p>
          <w:p w14:paraId="3697CC44">
            <w:pPr>
              <w:shd w:val="clear" w:color="auto" w:fill="auto"/>
              <w:spacing w:line="360" w:lineRule="auto"/>
              <w:rPr>
                <w:rFonts w:hint="eastAsia" w:ascii="仿宋" w:hAnsi="仿宋" w:eastAsia="仿宋"/>
                <w:b/>
                <w:bCs/>
                <w:color w:val="auto"/>
                <w:sz w:val="24"/>
                <w:highlight w:val="none"/>
                <w:lang w:val="zh-CN"/>
              </w:rPr>
            </w:pPr>
            <w:r>
              <w:rPr>
                <w:rFonts w:hint="eastAsia" w:ascii="仿宋" w:hAnsi="仿宋" w:eastAsia="仿宋"/>
                <w:b/>
                <w:bCs/>
                <w:color w:val="auto"/>
                <w:sz w:val="24"/>
                <w:highlight w:val="none"/>
                <w:lang w:val="zh-CN"/>
              </w:rPr>
              <w:t>2、请各</w:t>
            </w:r>
            <w:r>
              <w:rPr>
                <w:rFonts w:hint="eastAsia" w:ascii="仿宋" w:hAnsi="仿宋" w:eastAsia="仿宋" w:cs="___WRD_EMBED_SUB_44"/>
                <w:b/>
                <w:bCs/>
                <w:color w:val="auto"/>
                <w:sz w:val="24"/>
                <w:highlight w:val="none"/>
                <w:lang w:val="en-US" w:eastAsia="zh-CN"/>
              </w:rPr>
              <w:t>投标人</w:t>
            </w:r>
            <w:r>
              <w:rPr>
                <w:rFonts w:hint="eastAsia" w:ascii="仿宋" w:hAnsi="仿宋" w:eastAsia="仿宋"/>
                <w:b/>
                <w:bCs/>
                <w:color w:val="auto"/>
                <w:sz w:val="24"/>
                <w:highlight w:val="none"/>
                <w:lang w:val="zh-CN"/>
              </w:rPr>
              <w:t>在投标文件递交截止时间前，按文件的要求向招标代理机构递交投标保证金；</w:t>
            </w:r>
          </w:p>
          <w:p w14:paraId="23E5ABC2">
            <w:pPr>
              <w:shd w:val="clear" w:color="auto" w:fill="auto"/>
              <w:adjustRightInd w:val="0"/>
              <w:snapToGrid w:val="0"/>
              <w:spacing w:line="360" w:lineRule="auto"/>
              <w:jc w:val="left"/>
              <w:rPr>
                <w:rFonts w:eastAsia="仿宋_GB2312"/>
                <w:color w:val="auto"/>
                <w:sz w:val="24"/>
                <w:highlight w:val="none"/>
              </w:rPr>
            </w:pPr>
            <w:r>
              <w:rPr>
                <w:rFonts w:hint="eastAsia" w:ascii="仿宋" w:hAnsi="仿宋" w:eastAsia="仿宋"/>
                <w:b/>
                <w:bCs/>
                <w:color w:val="auto"/>
                <w:sz w:val="24"/>
                <w:highlight w:val="none"/>
                <w:lang w:val="zh-CN"/>
              </w:rPr>
              <w:t>3、投标保证金有效期同投标有效期。</w:t>
            </w:r>
          </w:p>
        </w:tc>
      </w:tr>
      <w:tr w14:paraId="237B40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468" w:type="dxa"/>
            <w:noWrap w:val="0"/>
            <w:vAlign w:val="center"/>
          </w:tcPr>
          <w:p w14:paraId="38AC4793">
            <w:pPr>
              <w:shd w:val="clear" w:color="auto" w:fill="auto"/>
              <w:spacing w:line="360" w:lineRule="auto"/>
              <w:ind w:left="1417" w:leftChars="203" w:hanging="991"/>
              <w:rPr>
                <w:rFonts w:hint="default" w:eastAsia="仿宋_GB2312"/>
                <w:color w:val="auto"/>
                <w:sz w:val="24"/>
                <w:highlight w:val="none"/>
                <w:lang w:val="en-US" w:eastAsia="zh-CN"/>
              </w:rPr>
            </w:pPr>
            <w:r>
              <w:rPr>
                <w:rFonts w:hint="eastAsia" w:eastAsia="仿宋_GB2312"/>
                <w:color w:val="auto"/>
                <w:sz w:val="24"/>
                <w:highlight w:val="none"/>
                <w:lang w:val="en-US" w:eastAsia="zh-CN"/>
              </w:rPr>
              <w:t>13.1</w:t>
            </w:r>
          </w:p>
        </w:tc>
        <w:tc>
          <w:tcPr>
            <w:tcW w:w="7632" w:type="dxa"/>
            <w:noWrap w:val="0"/>
            <w:vAlign w:val="center"/>
          </w:tcPr>
          <w:p w14:paraId="752622FC">
            <w:pPr>
              <w:shd w:val="clear" w:color="auto" w:fill="auto"/>
              <w:spacing w:line="360" w:lineRule="auto"/>
              <w:rPr>
                <w:rFonts w:hint="default" w:eastAsia="仿宋_GB2312"/>
                <w:color w:val="auto"/>
                <w:sz w:val="24"/>
                <w:highlight w:val="none"/>
                <w:lang w:val="en-US" w:eastAsia="zh-CN"/>
              </w:rPr>
            </w:pPr>
            <w:r>
              <w:rPr>
                <w:rFonts w:hint="eastAsia" w:eastAsia="仿宋_GB2312"/>
                <w:color w:val="auto"/>
                <w:sz w:val="24"/>
                <w:highlight w:val="none"/>
                <w:lang w:val="en-US" w:eastAsia="zh-CN"/>
              </w:rPr>
              <w:t>投标有效期：递</w:t>
            </w:r>
            <w:r>
              <w:rPr>
                <w:rFonts w:eastAsia="仿宋_GB2312"/>
                <w:color w:val="auto"/>
                <w:sz w:val="24"/>
                <w:highlight w:val="none"/>
              </w:rPr>
              <w:t>交投标文件截止之日起90个日历日</w:t>
            </w:r>
          </w:p>
        </w:tc>
      </w:tr>
      <w:tr w14:paraId="44BBB7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0" w:hRule="atLeast"/>
        </w:trPr>
        <w:tc>
          <w:tcPr>
            <w:tcW w:w="1468" w:type="dxa"/>
            <w:noWrap w:val="0"/>
            <w:vAlign w:val="center"/>
          </w:tcPr>
          <w:p w14:paraId="3409DB41">
            <w:pPr>
              <w:shd w:val="clear" w:color="auto" w:fill="auto"/>
              <w:spacing w:line="360" w:lineRule="auto"/>
              <w:ind w:left="1417" w:leftChars="203" w:hanging="991"/>
              <w:rPr>
                <w:rFonts w:eastAsia="仿宋_GB2312"/>
                <w:color w:val="auto"/>
                <w:sz w:val="24"/>
                <w:highlight w:val="none"/>
              </w:rPr>
            </w:pPr>
            <w:r>
              <w:rPr>
                <w:rFonts w:eastAsia="仿宋_GB2312"/>
                <w:color w:val="auto"/>
                <w:sz w:val="24"/>
                <w:highlight w:val="none"/>
              </w:rPr>
              <w:t>14.1</w:t>
            </w:r>
          </w:p>
        </w:tc>
        <w:tc>
          <w:tcPr>
            <w:tcW w:w="7632" w:type="dxa"/>
            <w:noWrap w:val="0"/>
            <w:vAlign w:val="center"/>
          </w:tcPr>
          <w:p w14:paraId="25A208AC">
            <w:pPr>
              <w:shd w:val="clear" w:color="auto" w:fill="auto"/>
              <w:spacing w:line="360" w:lineRule="auto"/>
              <w:rPr>
                <w:rFonts w:eastAsia="仿宋_GB2312"/>
                <w:color w:val="auto"/>
                <w:sz w:val="24"/>
                <w:highlight w:val="none"/>
                <w:u w:val="single"/>
              </w:rPr>
            </w:pPr>
            <w:r>
              <w:rPr>
                <w:rFonts w:hint="eastAsia" w:ascii="仿宋" w:hAnsi="仿宋" w:eastAsia="仿宋"/>
                <w:color w:val="auto"/>
                <w:sz w:val="24"/>
                <w:highlight w:val="none"/>
              </w:rPr>
              <w:t xml:space="preserve">投标人需在投标截止时间前上传电子版投标文件，逾期提交的，系统将会拒收；开标当日，投标人法定代表人或其授权代表需提前登录“不见面开标”系统，收到主持人“开始解密”指令后，开标时使用制作投标文件时使用的加密锁（CA锁），对上传的投标文件进行解密，因投标人原因造成其投标文件无法解密或无法打开的，按无效投标处理。  </w:t>
            </w:r>
          </w:p>
        </w:tc>
      </w:tr>
      <w:tr w14:paraId="79A367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trPr>
        <w:tc>
          <w:tcPr>
            <w:tcW w:w="1468" w:type="dxa"/>
            <w:noWrap w:val="0"/>
            <w:vAlign w:val="center"/>
          </w:tcPr>
          <w:p w14:paraId="26504739">
            <w:pPr>
              <w:shd w:val="clear" w:color="auto" w:fill="auto"/>
              <w:spacing w:line="360" w:lineRule="auto"/>
              <w:ind w:left="1417" w:leftChars="203" w:hanging="991"/>
              <w:rPr>
                <w:rFonts w:eastAsia="仿宋_GB2312"/>
                <w:color w:val="auto"/>
                <w:sz w:val="24"/>
                <w:highlight w:val="none"/>
              </w:rPr>
            </w:pPr>
            <w:r>
              <w:rPr>
                <w:rFonts w:eastAsia="仿宋_GB2312"/>
                <w:color w:val="auto"/>
                <w:sz w:val="24"/>
                <w:highlight w:val="none"/>
              </w:rPr>
              <w:t>16.1</w:t>
            </w:r>
          </w:p>
        </w:tc>
        <w:tc>
          <w:tcPr>
            <w:tcW w:w="7632" w:type="dxa"/>
            <w:noWrap w:val="0"/>
            <w:vAlign w:val="center"/>
          </w:tcPr>
          <w:p w14:paraId="19FAF9BB">
            <w:pPr>
              <w:shd w:val="clear" w:color="auto" w:fill="auto"/>
              <w:adjustRightInd w:val="0"/>
              <w:snapToGrid w:val="0"/>
              <w:spacing w:line="400" w:lineRule="exact"/>
              <w:rPr>
                <w:rFonts w:eastAsia="仿宋_GB2312"/>
                <w:color w:val="auto"/>
                <w:sz w:val="24"/>
                <w:highlight w:val="none"/>
              </w:rPr>
            </w:pPr>
            <w:r>
              <w:rPr>
                <w:rFonts w:eastAsia="仿宋"/>
                <w:color w:val="auto"/>
                <w:sz w:val="24"/>
                <w:highlight w:val="none"/>
              </w:rPr>
              <w:t>投标截止时间：</w:t>
            </w:r>
            <w:r>
              <w:rPr>
                <w:rFonts w:hint="eastAsia" w:eastAsia="仿宋"/>
                <w:color w:val="auto"/>
                <w:sz w:val="24"/>
                <w:highlight w:val="none"/>
                <w:u w:val="single"/>
                <w:lang w:eastAsia="zh-CN"/>
              </w:rPr>
              <w:t> 2026年01月08日 09时00分00秒 </w:t>
            </w:r>
          </w:p>
        </w:tc>
      </w:tr>
      <w:tr w14:paraId="439E30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trPr>
        <w:tc>
          <w:tcPr>
            <w:tcW w:w="1468" w:type="dxa"/>
            <w:noWrap w:val="0"/>
            <w:vAlign w:val="center"/>
          </w:tcPr>
          <w:p w14:paraId="3902546F">
            <w:pPr>
              <w:shd w:val="clear" w:color="auto" w:fill="auto"/>
              <w:spacing w:line="360" w:lineRule="auto"/>
              <w:ind w:left="1417" w:leftChars="203" w:hanging="991"/>
              <w:rPr>
                <w:rFonts w:eastAsia="仿宋_GB2312"/>
                <w:color w:val="auto"/>
                <w:sz w:val="24"/>
                <w:highlight w:val="none"/>
              </w:rPr>
            </w:pPr>
            <w:r>
              <w:rPr>
                <w:rFonts w:eastAsia="仿宋_GB2312"/>
                <w:color w:val="auto"/>
                <w:sz w:val="24"/>
                <w:highlight w:val="none"/>
              </w:rPr>
              <w:t>18.1</w:t>
            </w:r>
          </w:p>
        </w:tc>
        <w:tc>
          <w:tcPr>
            <w:tcW w:w="7632" w:type="dxa"/>
            <w:noWrap w:val="0"/>
            <w:vAlign w:val="center"/>
          </w:tcPr>
          <w:p w14:paraId="459AF040">
            <w:pPr>
              <w:shd w:val="clear" w:color="auto" w:fill="auto"/>
              <w:adjustRightInd w:val="0"/>
              <w:snapToGrid w:val="0"/>
              <w:spacing w:line="400" w:lineRule="exact"/>
              <w:rPr>
                <w:rFonts w:hint="eastAsia" w:eastAsia="仿宋_GB2312"/>
                <w:color w:val="auto"/>
                <w:sz w:val="24"/>
                <w:highlight w:val="none"/>
              </w:rPr>
            </w:pPr>
            <w:r>
              <w:rPr>
                <w:rFonts w:hint="eastAsia" w:eastAsia="仿宋_GB2312"/>
                <w:color w:val="auto"/>
                <w:sz w:val="24"/>
                <w:highlight w:val="none"/>
              </w:rPr>
              <w:t>开标时间：同投标截止时间</w:t>
            </w:r>
          </w:p>
          <w:p w14:paraId="5DD78910">
            <w:pPr>
              <w:shd w:val="clear" w:color="auto" w:fill="auto"/>
              <w:adjustRightInd w:val="0"/>
              <w:snapToGrid w:val="0"/>
              <w:spacing w:line="400" w:lineRule="exact"/>
              <w:rPr>
                <w:rFonts w:eastAsia="仿宋_GB2312"/>
                <w:color w:val="auto"/>
                <w:sz w:val="24"/>
                <w:highlight w:val="none"/>
              </w:rPr>
            </w:pPr>
            <w:r>
              <w:rPr>
                <w:rFonts w:hint="eastAsia" w:eastAsia="仿宋_GB2312"/>
                <w:color w:val="auto"/>
                <w:sz w:val="24"/>
                <w:highlight w:val="none"/>
              </w:rPr>
              <w:t>开标地点：本项目采用“不见面”开标形式，投标人可登录陕西省宝鸡市公共资源交易中心平台（http://ggzy.baoji.gov.cn/）〖《首页》不见面开标〗在线参与开评标过程，详见交易平台〖首页〗服务指南〗下载专区〗中的《陕西省公共资源交易中心政府采购项目远程不见面开标操作手册》。</w:t>
            </w:r>
          </w:p>
        </w:tc>
      </w:tr>
      <w:tr w14:paraId="1BCF11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468" w:type="dxa"/>
            <w:noWrap w:val="0"/>
            <w:vAlign w:val="center"/>
          </w:tcPr>
          <w:p w14:paraId="615360E3">
            <w:pPr>
              <w:shd w:val="clear" w:color="auto" w:fill="auto"/>
              <w:spacing w:line="360" w:lineRule="auto"/>
              <w:ind w:left="1417" w:leftChars="203" w:hanging="991"/>
              <w:rPr>
                <w:rFonts w:eastAsia="仿宋_GB2312"/>
                <w:color w:val="auto"/>
                <w:sz w:val="24"/>
                <w:highlight w:val="none"/>
              </w:rPr>
            </w:pPr>
            <w:r>
              <w:rPr>
                <w:rFonts w:eastAsia="仿宋_GB2312"/>
                <w:color w:val="auto"/>
                <w:sz w:val="24"/>
                <w:highlight w:val="none"/>
              </w:rPr>
              <w:t>19.2</w:t>
            </w:r>
          </w:p>
        </w:tc>
        <w:tc>
          <w:tcPr>
            <w:tcW w:w="7632" w:type="dxa"/>
            <w:noWrap w:val="0"/>
            <w:vAlign w:val="center"/>
          </w:tcPr>
          <w:p w14:paraId="514578A0">
            <w:pPr>
              <w:shd w:val="clear" w:color="auto" w:fill="auto"/>
              <w:spacing w:line="360" w:lineRule="auto"/>
              <w:rPr>
                <w:rFonts w:hint="default" w:eastAsia="仿宋_GB2312"/>
                <w:color w:val="auto"/>
                <w:sz w:val="24"/>
                <w:highlight w:val="none"/>
                <w:lang w:val="en-US" w:eastAsia="zh-CN"/>
              </w:rPr>
            </w:pPr>
            <w:r>
              <w:rPr>
                <w:rFonts w:eastAsia="仿宋_GB2312"/>
                <w:color w:val="auto"/>
                <w:sz w:val="24"/>
                <w:highlight w:val="none"/>
              </w:rPr>
              <w:t>信用查询时间</w:t>
            </w:r>
            <w:r>
              <w:rPr>
                <w:rFonts w:hint="eastAsia" w:eastAsia="仿宋_GB2312"/>
                <w:color w:val="auto"/>
                <w:sz w:val="24"/>
                <w:highlight w:val="none"/>
                <w:lang w:eastAsia="zh-CN"/>
              </w:rPr>
              <w:t>：</w:t>
            </w:r>
            <w:r>
              <w:rPr>
                <w:rFonts w:hint="eastAsia" w:eastAsia="仿宋_GB2312"/>
                <w:color w:val="auto"/>
                <w:sz w:val="24"/>
                <w:highlight w:val="none"/>
                <w:lang w:val="en-US" w:eastAsia="zh-CN"/>
              </w:rPr>
              <w:t>资格审查时</w:t>
            </w:r>
          </w:p>
        </w:tc>
      </w:tr>
      <w:tr w14:paraId="5AE88D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trPr>
        <w:tc>
          <w:tcPr>
            <w:tcW w:w="1468" w:type="dxa"/>
            <w:noWrap w:val="0"/>
            <w:vAlign w:val="center"/>
          </w:tcPr>
          <w:p w14:paraId="71831168">
            <w:pPr>
              <w:shd w:val="clear" w:color="auto" w:fill="auto"/>
              <w:spacing w:line="360" w:lineRule="auto"/>
              <w:ind w:left="1417" w:leftChars="203" w:hanging="991"/>
              <w:rPr>
                <w:rFonts w:eastAsia="仿宋_GB2312"/>
                <w:color w:val="auto"/>
                <w:sz w:val="24"/>
                <w:highlight w:val="none"/>
              </w:rPr>
            </w:pPr>
            <w:r>
              <w:rPr>
                <w:rFonts w:eastAsia="仿宋_GB2312"/>
                <w:color w:val="auto"/>
                <w:sz w:val="24"/>
                <w:highlight w:val="none"/>
              </w:rPr>
              <w:t>20.5</w:t>
            </w:r>
          </w:p>
        </w:tc>
        <w:tc>
          <w:tcPr>
            <w:tcW w:w="7632" w:type="dxa"/>
            <w:noWrap w:val="0"/>
            <w:vAlign w:val="center"/>
          </w:tcPr>
          <w:p w14:paraId="7386AF62">
            <w:pPr>
              <w:shd w:val="clear" w:color="auto" w:fill="auto"/>
              <w:spacing w:line="360" w:lineRule="auto"/>
              <w:rPr>
                <w:rFonts w:eastAsia="仿宋_GB2312"/>
                <w:color w:val="auto"/>
                <w:sz w:val="24"/>
                <w:highlight w:val="none"/>
              </w:rPr>
            </w:pPr>
            <w:r>
              <w:rPr>
                <w:rFonts w:hint="eastAsia" w:eastAsia="仿宋_GB2312"/>
                <w:color w:val="auto"/>
                <w:sz w:val="24"/>
                <w:highlight w:val="none"/>
                <w:lang w:val="en-US" w:eastAsia="zh-CN"/>
              </w:rPr>
              <w:t>本项目</w:t>
            </w:r>
            <w:r>
              <w:rPr>
                <w:rFonts w:eastAsia="仿宋_GB2312"/>
                <w:color w:val="auto"/>
                <w:sz w:val="24"/>
                <w:highlight w:val="none"/>
              </w:rPr>
              <w:t>核心产品：</w:t>
            </w:r>
          </w:p>
          <w:p w14:paraId="733CD9FA">
            <w:pPr>
              <w:shd w:val="clear" w:color="auto" w:fill="auto"/>
              <w:spacing w:line="360" w:lineRule="auto"/>
              <w:rPr>
                <w:rFonts w:hint="eastAsia" w:eastAsia="仿宋_GB2312"/>
                <w:color w:val="auto"/>
                <w:sz w:val="24"/>
                <w:highlight w:val="none"/>
                <w:lang w:val="en-US" w:eastAsia="zh-CN"/>
              </w:rPr>
            </w:pPr>
            <w:r>
              <w:rPr>
                <w:rFonts w:hint="eastAsia" w:eastAsia="仿宋_GB2312"/>
                <w:color w:val="auto"/>
                <w:sz w:val="24"/>
                <w:highlight w:val="none"/>
                <w:lang w:val="en-US" w:eastAsia="zh-CN"/>
              </w:rPr>
              <w:t>第1包：ICU桥式吊塔；</w:t>
            </w:r>
          </w:p>
          <w:p w14:paraId="6AD230F4">
            <w:pPr>
              <w:shd w:val="clear" w:color="auto" w:fill="auto"/>
              <w:spacing w:line="360" w:lineRule="auto"/>
              <w:rPr>
                <w:rFonts w:hint="eastAsia" w:eastAsia="仿宋_GB2312"/>
                <w:color w:val="auto"/>
                <w:sz w:val="24"/>
                <w:highlight w:val="none"/>
                <w:lang w:val="en-US" w:eastAsia="zh-CN"/>
              </w:rPr>
            </w:pPr>
            <w:r>
              <w:rPr>
                <w:rFonts w:hint="eastAsia" w:eastAsia="仿宋_GB2312"/>
                <w:color w:val="auto"/>
                <w:sz w:val="24"/>
                <w:highlight w:val="none"/>
                <w:lang w:val="en-US" w:eastAsia="zh-CN"/>
              </w:rPr>
              <w:t>第2包：子母无影灯；</w:t>
            </w:r>
          </w:p>
          <w:p w14:paraId="2B5DD79F">
            <w:pPr>
              <w:shd w:val="clear" w:color="auto" w:fill="auto"/>
              <w:spacing w:line="360" w:lineRule="auto"/>
              <w:rPr>
                <w:rFonts w:hint="eastAsia" w:eastAsia="仿宋_GB2312"/>
                <w:color w:val="auto"/>
                <w:sz w:val="24"/>
                <w:highlight w:val="none"/>
                <w:lang w:val="en-US" w:eastAsia="zh-CN"/>
              </w:rPr>
            </w:pPr>
            <w:r>
              <w:rPr>
                <w:rFonts w:hint="eastAsia" w:eastAsia="仿宋_GB2312"/>
                <w:color w:val="auto"/>
                <w:sz w:val="24"/>
                <w:highlight w:val="none"/>
                <w:lang w:val="en-US" w:eastAsia="zh-CN"/>
              </w:rPr>
              <w:t>第3包：全自动清洗机；</w:t>
            </w:r>
          </w:p>
          <w:p w14:paraId="321B332B">
            <w:pPr>
              <w:shd w:val="clear" w:color="auto" w:fill="auto"/>
              <w:spacing w:line="360" w:lineRule="auto"/>
              <w:rPr>
                <w:rFonts w:hint="default" w:eastAsia="仿宋_GB2312"/>
                <w:color w:val="auto"/>
                <w:sz w:val="24"/>
                <w:highlight w:val="none"/>
                <w:lang w:val="en-US" w:eastAsia="zh-CN"/>
              </w:rPr>
            </w:pPr>
            <w:r>
              <w:rPr>
                <w:rFonts w:hint="eastAsia" w:eastAsia="仿宋_GB2312"/>
                <w:color w:val="auto"/>
                <w:sz w:val="24"/>
                <w:highlight w:val="none"/>
                <w:lang w:val="en-US" w:eastAsia="zh-CN"/>
              </w:rPr>
              <w:t>第4包：血液透析机；</w:t>
            </w:r>
          </w:p>
        </w:tc>
      </w:tr>
      <w:tr w14:paraId="4FF7B3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0" w:hRule="atLeast"/>
        </w:trPr>
        <w:tc>
          <w:tcPr>
            <w:tcW w:w="1468" w:type="dxa"/>
            <w:noWrap w:val="0"/>
            <w:vAlign w:val="center"/>
          </w:tcPr>
          <w:p w14:paraId="619A38CA">
            <w:pPr>
              <w:shd w:val="clear" w:color="auto" w:fill="auto"/>
              <w:spacing w:line="360" w:lineRule="auto"/>
              <w:ind w:left="1417" w:leftChars="203" w:hanging="991"/>
              <w:rPr>
                <w:rFonts w:eastAsia="仿宋_GB2312"/>
                <w:color w:val="auto"/>
                <w:sz w:val="24"/>
                <w:highlight w:val="none"/>
              </w:rPr>
            </w:pPr>
            <w:r>
              <w:rPr>
                <w:rFonts w:eastAsia="仿宋_GB2312"/>
                <w:color w:val="auto"/>
                <w:sz w:val="24"/>
                <w:highlight w:val="none"/>
              </w:rPr>
              <w:t>23.2</w:t>
            </w:r>
          </w:p>
        </w:tc>
        <w:tc>
          <w:tcPr>
            <w:tcW w:w="7632" w:type="dxa"/>
            <w:noWrap w:val="0"/>
            <w:vAlign w:val="center"/>
          </w:tcPr>
          <w:p w14:paraId="7115F148">
            <w:pPr>
              <w:shd w:val="clear" w:color="auto" w:fill="auto"/>
              <w:spacing w:line="360" w:lineRule="auto"/>
              <w:rPr>
                <w:rFonts w:eastAsia="仿宋_GB2312"/>
                <w:color w:val="auto"/>
                <w:sz w:val="24"/>
                <w:highlight w:val="none"/>
              </w:rPr>
            </w:pPr>
            <w:r>
              <w:rPr>
                <w:rFonts w:eastAsia="仿宋_GB2312"/>
                <w:color w:val="auto"/>
                <w:sz w:val="24"/>
                <w:highlight w:val="none"/>
              </w:rPr>
              <w:t>评标方法：适用</w:t>
            </w:r>
            <w:r>
              <w:rPr>
                <w:rFonts w:eastAsia="仿宋_GB2312"/>
                <w:color w:val="auto"/>
                <w:sz w:val="24"/>
                <w:highlight w:val="none"/>
                <w:u w:val="single"/>
              </w:rPr>
              <w:t>综合评分法</w:t>
            </w:r>
            <w:r>
              <w:rPr>
                <w:rFonts w:eastAsia="仿宋_GB2312"/>
                <w:color w:val="auto"/>
                <w:sz w:val="24"/>
                <w:highlight w:val="none"/>
              </w:rPr>
              <w:t>　　　</w:t>
            </w:r>
          </w:p>
        </w:tc>
      </w:tr>
      <w:tr w14:paraId="045AC2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trPr>
        <w:tc>
          <w:tcPr>
            <w:tcW w:w="1468" w:type="dxa"/>
            <w:noWrap w:val="0"/>
            <w:vAlign w:val="center"/>
          </w:tcPr>
          <w:p w14:paraId="635D5A60">
            <w:pPr>
              <w:shd w:val="clear" w:color="auto" w:fill="auto"/>
              <w:spacing w:line="360" w:lineRule="auto"/>
              <w:ind w:left="1417" w:leftChars="203" w:hanging="991"/>
              <w:rPr>
                <w:rFonts w:eastAsia="仿宋_GB2312"/>
                <w:color w:val="auto"/>
                <w:sz w:val="24"/>
                <w:highlight w:val="none"/>
              </w:rPr>
            </w:pPr>
            <w:r>
              <w:rPr>
                <w:rFonts w:eastAsia="仿宋_GB2312"/>
                <w:color w:val="auto"/>
                <w:sz w:val="24"/>
                <w:highlight w:val="none"/>
              </w:rPr>
              <w:t>27.1</w:t>
            </w:r>
          </w:p>
        </w:tc>
        <w:tc>
          <w:tcPr>
            <w:tcW w:w="7632" w:type="dxa"/>
            <w:noWrap w:val="0"/>
            <w:vAlign w:val="center"/>
          </w:tcPr>
          <w:p w14:paraId="1B26DD7C">
            <w:pPr>
              <w:shd w:val="clear" w:color="auto" w:fill="auto"/>
              <w:spacing w:line="360" w:lineRule="auto"/>
              <w:rPr>
                <w:rFonts w:eastAsia="仿宋_GB2312"/>
                <w:color w:val="auto"/>
                <w:sz w:val="24"/>
                <w:highlight w:val="none"/>
              </w:rPr>
            </w:pPr>
            <w:r>
              <w:rPr>
                <w:rFonts w:eastAsia="仿宋_GB2312"/>
                <w:color w:val="auto"/>
                <w:sz w:val="24"/>
                <w:highlight w:val="none"/>
              </w:rPr>
              <w:t>推荐中标候选人的数量：</w:t>
            </w:r>
            <w:r>
              <w:rPr>
                <w:rFonts w:eastAsia="仿宋_GB2312"/>
                <w:color w:val="auto"/>
                <w:sz w:val="24"/>
                <w:highlight w:val="none"/>
                <w:u w:val="single"/>
              </w:rPr>
              <w:t>　 3 　</w:t>
            </w:r>
          </w:p>
        </w:tc>
      </w:tr>
      <w:tr w14:paraId="36EE4D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trPr>
        <w:tc>
          <w:tcPr>
            <w:tcW w:w="1468" w:type="dxa"/>
            <w:noWrap w:val="0"/>
            <w:vAlign w:val="center"/>
          </w:tcPr>
          <w:p w14:paraId="15EF97DD">
            <w:pPr>
              <w:shd w:val="clear" w:color="auto" w:fill="auto"/>
              <w:spacing w:line="360" w:lineRule="auto"/>
              <w:ind w:left="1417" w:leftChars="203" w:hanging="991"/>
              <w:rPr>
                <w:rFonts w:eastAsia="仿宋_GB2312"/>
                <w:color w:val="auto"/>
                <w:sz w:val="24"/>
                <w:highlight w:val="none"/>
              </w:rPr>
            </w:pPr>
            <w:r>
              <w:rPr>
                <w:rFonts w:eastAsia="仿宋_GB2312"/>
                <w:color w:val="auto"/>
                <w:sz w:val="24"/>
                <w:highlight w:val="none"/>
              </w:rPr>
              <w:t>27.2</w:t>
            </w:r>
          </w:p>
        </w:tc>
        <w:tc>
          <w:tcPr>
            <w:tcW w:w="7632" w:type="dxa"/>
            <w:noWrap w:val="0"/>
            <w:vAlign w:val="center"/>
          </w:tcPr>
          <w:p w14:paraId="67A9D3D4">
            <w:pPr>
              <w:shd w:val="clear" w:color="auto" w:fill="auto"/>
              <w:spacing w:line="360"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 xml:space="preserve">招标人是否委托评标委员会直接确定中标人：否 </w:t>
            </w:r>
          </w:p>
        </w:tc>
      </w:tr>
      <w:tr w14:paraId="67761B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468" w:type="dxa"/>
            <w:noWrap w:val="0"/>
            <w:vAlign w:val="center"/>
          </w:tcPr>
          <w:p w14:paraId="08C276C3">
            <w:pPr>
              <w:shd w:val="clear" w:color="auto" w:fill="auto"/>
              <w:spacing w:line="360" w:lineRule="auto"/>
              <w:ind w:left="1417" w:leftChars="203" w:hanging="991"/>
              <w:rPr>
                <w:rFonts w:eastAsia="仿宋_GB2312"/>
                <w:color w:val="auto"/>
                <w:sz w:val="24"/>
                <w:highlight w:val="none"/>
              </w:rPr>
            </w:pPr>
            <w:r>
              <w:rPr>
                <w:rFonts w:eastAsia="仿宋_GB2312"/>
                <w:color w:val="auto"/>
                <w:sz w:val="24"/>
                <w:highlight w:val="none"/>
              </w:rPr>
              <w:t>31.1</w:t>
            </w:r>
          </w:p>
        </w:tc>
        <w:tc>
          <w:tcPr>
            <w:tcW w:w="7632" w:type="dxa"/>
            <w:noWrap w:val="0"/>
            <w:vAlign w:val="center"/>
          </w:tcPr>
          <w:p w14:paraId="5296C6B0">
            <w:pPr>
              <w:shd w:val="clear" w:color="auto" w:fill="auto"/>
              <w:spacing w:line="360" w:lineRule="auto"/>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是否提交履约保证金：是</w:t>
            </w:r>
          </w:p>
          <w:p w14:paraId="79016AF5">
            <w:pPr>
              <w:shd w:val="clear" w:color="auto" w:fill="auto"/>
              <w:spacing w:line="360" w:lineRule="auto"/>
              <w:rPr>
                <w:rFonts w:hint="default" w:ascii="Times New Roman" w:hAnsi="Times New Roman" w:eastAsia="仿宋_GB2312" w:cs="Times New Roman"/>
                <w:color w:val="auto"/>
                <w:sz w:val="24"/>
                <w:highlight w:val="none"/>
                <w:lang w:val="en-US" w:eastAsia="zh-CN"/>
              </w:rPr>
            </w:pPr>
            <w:r>
              <w:rPr>
                <w:rFonts w:ascii="Times New Roman" w:hAnsi="Times New Roman" w:eastAsia="仿宋_GB2312" w:cs="Times New Roman"/>
                <w:color w:val="auto"/>
                <w:sz w:val="24"/>
                <w:highlight w:val="none"/>
              </w:rPr>
              <w:t>履约保证金比例：</w:t>
            </w:r>
            <w:r>
              <w:rPr>
                <w:rFonts w:hint="eastAsia" w:ascii="Times New Roman" w:hAnsi="Times New Roman" w:eastAsia="仿宋_GB2312" w:cs="Times New Roman"/>
                <w:color w:val="auto"/>
                <w:sz w:val="24"/>
                <w:highlight w:val="none"/>
                <w:lang w:val="en-US" w:eastAsia="zh-CN"/>
              </w:rPr>
              <w:t>5</w:t>
            </w:r>
            <w:r>
              <w:rPr>
                <w:rFonts w:ascii="Times New Roman" w:hAnsi="Times New Roman" w:eastAsia="仿宋_GB2312" w:cs="Times New Roman"/>
                <w:color w:val="auto"/>
                <w:sz w:val="24"/>
                <w:highlight w:val="none"/>
              </w:rPr>
              <w:t>%</w:t>
            </w:r>
          </w:p>
        </w:tc>
      </w:tr>
      <w:tr w14:paraId="44789C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468" w:type="dxa"/>
            <w:noWrap w:val="0"/>
            <w:vAlign w:val="center"/>
          </w:tcPr>
          <w:p w14:paraId="78DBAA47">
            <w:pPr>
              <w:shd w:val="clear" w:color="auto" w:fill="auto"/>
              <w:spacing w:line="360" w:lineRule="auto"/>
              <w:ind w:left="1417" w:leftChars="203" w:hanging="991"/>
              <w:rPr>
                <w:rFonts w:eastAsia="仿宋_GB2312"/>
                <w:color w:val="auto"/>
                <w:sz w:val="24"/>
                <w:highlight w:val="none"/>
              </w:rPr>
            </w:pPr>
            <w:r>
              <w:rPr>
                <w:rFonts w:eastAsia="仿宋_GB2312"/>
                <w:color w:val="auto"/>
                <w:sz w:val="24"/>
                <w:highlight w:val="none"/>
              </w:rPr>
              <w:t>32.1</w:t>
            </w:r>
          </w:p>
        </w:tc>
        <w:tc>
          <w:tcPr>
            <w:tcW w:w="7632" w:type="dxa"/>
            <w:noWrap w:val="0"/>
            <w:vAlign w:val="center"/>
          </w:tcPr>
          <w:p w14:paraId="5E7B8CF4">
            <w:pPr>
              <w:shd w:val="clear" w:color="auto" w:fill="auto"/>
              <w:spacing w:line="360" w:lineRule="auto"/>
              <w:rPr>
                <w:rFonts w:hint="default" w:eastAsia="仿宋_GB2312"/>
                <w:color w:val="auto"/>
                <w:sz w:val="24"/>
                <w:highlight w:val="none"/>
                <w:lang w:val="en-US"/>
              </w:rPr>
            </w:pPr>
            <w:r>
              <w:rPr>
                <w:rFonts w:eastAsia="仿宋_GB2312"/>
                <w:color w:val="auto"/>
                <w:sz w:val="24"/>
                <w:highlight w:val="none"/>
              </w:rPr>
              <w:t>预付款比例为</w:t>
            </w:r>
            <w:r>
              <w:rPr>
                <w:rFonts w:hint="eastAsia" w:eastAsia="仿宋_GB2312"/>
                <w:color w:val="auto"/>
                <w:sz w:val="24"/>
                <w:highlight w:val="none"/>
                <w:lang w:eastAsia="zh-CN"/>
              </w:rPr>
              <w:t>：</w:t>
            </w:r>
            <w:r>
              <w:rPr>
                <w:rFonts w:hint="eastAsia" w:eastAsia="仿宋_GB2312"/>
                <w:color w:val="auto"/>
                <w:sz w:val="24"/>
                <w:highlight w:val="none"/>
                <w:u w:val="single"/>
                <w:lang w:val="en-US" w:eastAsia="zh-CN"/>
              </w:rPr>
              <w:t xml:space="preserve"> /</w:t>
            </w:r>
          </w:p>
        </w:tc>
      </w:tr>
      <w:tr w14:paraId="7FC02A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468" w:type="dxa"/>
            <w:noWrap w:val="0"/>
            <w:vAlign w:val="center"/>
          </w:tcPr>
          <w:p w14:paraId="3D1990F7">
            <w:pPr>
              <w:shd w:val="clear" w:color="auto" w:fill="auto"/>
              <w:spacing w:line="360" w:lineRule="auto"/>
              <w:ind w:left="1417" w:leftChars="203" w:hanging="991"/>
              <w:rPr>
                <w:rFonts w:eastAsia="仿宋_GB2312"/>
                <w:color w:val="auto"/>
                <w:sz w:val="24"/>
                <w:highlight w:val="none"/>
              </w:rPr>
            </w:pPr>
            <w:r>
              <w:rPr>
                <w:rFonts w:eastAsia="仿宋_GB2312"/>
                <w:color w:val="auto"/>
                <w:sz w:val="24"/>
                <w:highlight w:val="none"/>
              </w:rPr>
              <w:t>33</w:t>
            </w:r>
          </w:p>
        </w:tc>
        <w:tc>
          <w:tcPr>
            <w:tcW w:w="7632" w:type="dxa"/>
            <w:noWrap w:val="0"/>
            <w:vAlign w:val="center"/>
          </w:tcPr>
          <w:p w14:paraId="1D1387C8">
            <w:pPr>
              <w:shd w:val="clear" w:color="auto" w:fill="auto"/>
              <w:spacing w:line="360" w:lineRule="auto"/>
              <w:rPr>
                <w:rFonts w:eastAsia="仿宋_GB2312"/>
                <w:color w:val="auto"/>
                <w:sz w:val="24"/>
                <w:highlight w:val="none"/>
              </w:rPr>
            </w:pPr>
            <w:r>
              <w:rPr>
                <w:rFonts w:eastAsia="仿宋_GB2312"/>
                <w:color w:val="auto"/>
                <w:sz w:val="24"/>
                <w:highlight w:val="none"/>
              </w:rPr>
              <w:t>中标单位在领取中标通知书前，须向采购代理机构支付招标代理服务费，招标代理服务费由采购人与采购代理机构约定：</w:t>
            </w:r>
          </w:p>
          <w:p w14:paraId="7442A08D">
            <w:pPr>
              <w:shd w:val="clear" w:color="auto" w:fill="auto"/>
              <w:spacing w:line="360" w:lineRule="auto"/>
              <w:rPr>
                <w:rFonts w:hint="eastAsia" w:eastAsia="仿宋_GB2312"/>
                <w:color w:val="auto"/>
                <w:sz w:val="24"/>
                <w:highlight w:val="none"/>
                <w:lang w:eastAsia="zh-CN"/>
              </w:rPr>
            </w:pPr>
            <w:r>
              <w:rPr>
                <w:rFonts w:eastAsia="仿宋_GB2312"/>
                <w:color w:val="auto"/>
                <w:sz w:val="24"/>
                <w:highlight w:val="none"/>
              </w:rPr>
              <w:t>参照原国家计委计价格〔2002〕1980号文和国家发改委发改办价格〔2003〕857号文的计算方法按标准</w:t>
            </w:r>
            <w:r>
              <w:rPr>
                <w:rFonts w:hint="eastAsia" w:eastAsia="仿宋_GB2312"/>
                <w:color w:val="auto"/>
                <w:sz w:val="24"/>
                <w:highlight w:val="none"/>
                <w:lang w:val="en-US" w:eastAsia="zh-CN"/>
              </w:rPr>
              <w:t>收取</w:t>
            </w:r>
            <w:r>
              <w:rPr>
                <w:rFonts w:hint="eastAsia" w:eastAsia="仿宋_GB2312"/>
                <w:color w:val="auto"/>
                <w:sz w:val="24"/>
                <w:highlight w:val="none"/>
                <w:lang w:eastAsia="zh-CN"/>
              </w:rPr>
              <w:t>。</w:t>
            </w:r>
          </w:p>
          <w:p w14:paraId="238D8AC5">
            <w:pPr>
              <w:shd w:val="clear" w:color="auto" w:fill="auto"/>
              <w:spacing w:line="360" w:lineRule="auto"/>
              <w:rPr>
                <w:rFonts w:hint="eastAsia" w:eastAsia="仿宋_GB2312"/>
                <w:color w:val="auto"/>
                <w:sz w:val="24"/>
                <w:highlight w:val="none"/>
                <w:lang w:eastAsia="zh-CN"/>
              </w:rPr>
            </w:pPr>
            <w:r>
              <w:rPr>
                <w:rFonts w:eastAsia="仿宋_GB2312"/>
                <w:color w:val="auto"/>
                <w:sz w:val="24"/>
                <w:highlight w:val="none"/>
              </w:rPr>
              <w:t>中标单位的招标代理服务费交纳信息</w:t>
            </w:r>
            <w:r>
              <w:rPr>
                <w:rFonts w:hint="eastAsia" w:eastAsia="仿宋_GB2312"/>
                <w:color w:val="auto"/>
                <w:sz w:val="24"/>
                <w:highlight w:val="none"/>
                <w:lang w:eastAsia="zh-CN"/>
              </w:rPr>
              <w:t>：</w:t>
            </w:r>
          </w:p>
          <w:p w14:paraId="46F77B9B">
            <w:pPr>
              <w:shd w:val="clear" w:color="auto" w:fill="auto"/>
              <w:snapToGrid w:val="0"/>
              <w:spacing w:line="360" w:lineRule="auto"/>
              <w:ind w:firstLine="480" w:firstLineChars="200"/>
              <w:rPr>
                <w:rFonts w:eastAsia="仿宋_GB2312"/>
                <w:color w:val="auto"/>
                <w:sz w:val="24"/>
                <w:highlight w:val="none"/>
              </w:rPr>
            </w:pPr>
            <w:r>
              <w:rPr>
                <w:rFonts w:eastAsia="仿宋_GB2312"/>
                <w:color w:val="auto"/>
                <w:sz w:val="24"/>
                <w:highlight w:val="none"/>
              </w:rPr>
              <w:t>银行户名：陕西省采购招标有限责任公司</w:t>
            </w:r>
          </w:p>
          <w:p w14:paraId="1FC6F56A">
            <w:pPr>
              <w:shd w:val="clear" w:color="auto" w:fill="auto"/>
              <w:snapToGrid w:val="0"/>
              <w:spacing w:line="360" w:lineRule="auto"/>
              <w:ind w:firstLine="480" w:firstLineChars="200"/>
              <w:rPr>
                <w:rFonts w:eastAsia="仿宋_GB2312"/>
                <w:color w:val="auto"/>
                <w:sz w:val="24"/>
                <w:highlight w:val="none"/>
              </w:rPr>
            </w:pPr>
            <w:r>
              <w:rPr>
                <w:rFonts w:eastAsia="仿宋_GB2312"/>
                <w:color w:val="auto"/>
                <w:sz w:val="24"/>
                <w:highlight w:val="none"/>
              </w:rPr>
              <w:t>开户银行：中国光大银行西安友谊路支行</w:t>
            </w:r>
          </w:p>
          <w:p w14:paraId="68BC89A3">
            <w:pPr>
              <w:shd w:val="clear" w:color="auto" w:fill="auto"/>
              <w:autoSpaceDE w:val="0"/>
              <w:autoSpaceDN w:val="0"/>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账    号：78560188000095264</w:t>
            </w:r>
          </w:p>
          <w:p w14:paraId="26A06C70">
            <w:pPr>
              <w:shd w:val="clear" w:color="auto" w:fill="auto"/>
              <w:snapToGrid w:val="0"/>
              <w:spacing w:line="360" w:lineRule="auto"/>
              <w:ind w:firstLine="480" w:firstLineChars="200"/>
              <w:rPr>
                <w:rFonts w:eastAsia="仿宋_GB2312"/>
                <w:color w:val="auto"/>
                <w:sz w:val="24"/>
                <w:highlight w:val="none"/>
              </w:rPr>
            </w:pPr>
            <w:r>
              <w:rPr>
                <w:rFonts w:eastAsia="仿宋_GB2312"/>
                <w:color w:val="auto"/>
                <w:sz w:val="24"/>
                <w:highlight w:val="none"/>
              </w:rPr>
              <w:t>联 系 人：</w:t>
            </w:r>
            <w:r>
              <w:rPr>
                <w:rFonts w:hint="eastAsia" w:eastAsia="仿宋_GB2312"/>
                <w:color w:val="auto"/>
                <w:sz w:val="24"/>
                <w:highlight w:val="none"/>
              </w:rPr>
              <w:t>财务部</w:t>
            </w:r>
            <w:r>
              <w:rPr>
                <w:rFonts w:eastAsia="仿宋_GB2312"/>
                <w:color w:val="auto"/>
                <w:sz w:val="24"/>
                <w:highlight w:val="none"/>
              </w:rPr>
              <w:t xml:space="preserve">   联系电话：029-85263975</w:t>
            </w:r>
          </w:p>
        </w:tc>
      </w:tr>
      <w:tr w14:paraId="05E047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468" w:type="dxa"/>
            <w:noWrap w:val="0"/>
            <w:vAlign w:val="center"/>
          </w:tcPr>
          <w:p w14:paraId="5AD8EB93">
            <w:pPr>
              <w:shd w:val="clear" w:color="auto" w:fill="auto"/>
              <w:spacing w:line="360" w:lineRule="auto"/>
              <w:ind w:left="1417" w:leftChars="203" w:hanging="991"/>
              <w:rPr>
                <w:rFonts w:eastAsia="仿宋_GB2312"/>
                <w:color w:val="auto"/>
                <w:sz w:val="24"/>
                <w:highlight w:val="none"/>
              </w:rPr>
            </w:pPr>
            <w:r>
              <w:rPr>
                <w:rFonts w:eastAsia="仿宋_GB2312"/>
                <w:color w:val="auto"/>
                <w:sz w:val="24"/>
                <w:highlight w:val="none"/>
              </w:rPr>
              <w:t>37.2</w:t>
            </w:r>
          </w:p>
        </w:tc>
        <w:tc>
          <w:tcPr>
            <w:tcW w:w="7632" w:type="dxa"/>
            <w:noWrap w:val="0"/>
            <w:vAlign w:val="center"/>
          </w:tcPr>
          <w:p w14:paraId="326E69A5">
            <w:pPr>
              <w:shd w:val="clear" w:color="auto" w:fill="auto"/>
              <w:spacing w:line="360" w:lineRule="auto"/>
              <w:ind w:left="706" w:leftChars="-1" w:hanging="708" w:hangingChars="295"/>
              <w:rPr>
                <w:rFonts w:eastAsia="仿宋_GB2312"/>
                <w:color w:val="auto"/>
                <w:sz w:val="24"/>
                <w:highlight w:val="none"/>
              </w:rPr>
            </w:pPr>
            <w:r>
              <w:rPr>
                <w:rFonts w:eastAsia="仿宋_GB2312"/>
                <w:color w:val="auto"/>
                <w:sz w:val="24"/>
                <w:highlight w:val="none"/>
              </w:rPr>
              <w:t>针对同一采购程序环节的质疑次数：一次性提出</w:t>
            </w:r>
          </w:p>
        </w:tc>
      </w:tr>
      <w:tr w14:paraId="081A96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468" w:type="dxa"/>
            <w:noWrap w:val="0"/>
            <w:vAlign w:val="center"/>
          </w:tcPr>
          <w:p w14:paraId="695CDA3F">
            <w:pPr>
              <w:shd w:val="clear" w:color="auto" w:fill="auto"/>
              <w:spacing w:line="360" w:lineRule="auto"/>
              <w:ind w:left="1417" w:leftChars="203" w:hanging="991"/>
              <w:rPr>
                <w:rFonts w:eastAsia="仿宋_GB2312"/>
                <w:color w:val="auto"/>
                <w:sz w:val="24"/>
                <w:highlight w:val="none"/>
              </w:rPr>
            </w:pPr>
            <w:r>
              <w:rPr>
                <w:rFonts w:eastAsia="仿宋_GB2312"/>
                <w:color w:val="auto"/>
                <w:sz w:val="24"/>
                <w:highlight w:val="none"/>
              </w:rPr>
              <w:t>37.4</w:t>
            </w:r>
          </w:p>
        </w:tc>
        <w:tc>
          <w:tcPr>
            <w:tcW w:w="7632" w:type="dxa"/>
            <w:noWrap w:val="0"/>
            <w:vAlign w:val="center"/>
          </w:tcPr>
          <w:p w14:paraId="47452D50">
            <w:pPr>
              <w:shd w:val="clear" w:color="auto" w:fill="auto"/>
              <w:spacing w:line="360" w:lineRule="auto"/>
              <w:rPr>
                <w:rFonts w:eastAsia="仿宋_GB2312"/>
                <w:color w:val="auto"/>
                <w:sz w:val="24"/>
                <w:highlight w:val="none"/>
              </w:rPr>
            </w:pPr>
            <w:r>
              <w:rPr>
                <w:rFonts w:eastAsia="仿宋_GB2312"/>
                <w:color w:val="auto"/>
                <w:sz w:val="24"/>
                <w:highlight w:val="none"/>
              </w:rPr>
              <w:t>联系单位：陕西省采购招标有限责任公司</w:t>
            </w:r>
          </w:p>
          <w:p w14:paraId="6CBC8469">
            <w:pPr>
              <w:shd w:val="clear" w:color="auto" w:fill="auto"/>
              <w:spacing w:line="360" w:lineRule="auto"/>
              <w:ind w:left="710" w:leftChars="-23" w:hanging="758" w:hangingChars="316"/>
              <w:rPr>
                <w:rFonts w:hint="eastAsia" w:eastAsia="仿宋_GB2312"/>
                <w:color w:val="auto"/>
                <w:sz w:val="24"/>
                <w:highlight w:val="none"/>
              </w:rPr>
            </w:pPr>
            <w:r>
              <w:rPr>
                <w:rFonts w:eastAsia="仿宋_GB2312"/>
                <w:color w:val="auto"/>
                <w:sz w:val="24"/>
                <w:highlight w:val="none"/>
              </w:rPr>
              <w:t>联 系 人：</w:t>
            </w:r>
            <w:r>
              <w:rPr>
                <w:rFonts w:hint="eastAsia" w:eastAsia="仿宋_GB2312"/>
                <w:color w:val="auto"/>
                <w:sz w:val="24"/>
                <w:highlight w:val="none"/>
              </w:rPr>
              <w:t>综合办公室</w:t>
            </w:r>
          </w:p>
          <w:p w14:paraId="563F40EB">
            <w:pPr>
              <w:shd w:val="clear" w:color="auto" w:fill="auto"/>
              <w:spacing w:line="360" w:lineRule="auto"/>
              <w:ind w:left="710" w:leftChars="-23" w:hanging="758" w:hangingChars="316"/>
              <w:rPr>
                <w:rFonts w:eastAsia="仿宋_GB2312"/>
                <w:color w:val="auto"/>
                <w:sz w:val="24"/>
                <w:highlight w:val="none"/>
              </w:rPr>
            </w:pPr>
            <w:r>
              <w:rPr>
                <w:rFonts w:eastAsia="仿宋_GB2312"/>
                <w:color w:val="auto"/>
                <w:sz w:val="24"/>
                <w:highlight w:val="none"/>
              </w:rPr>
              <w:t xml:space="preserve">联系电话：029-85235014 </w:t>
            </w:r>
          </w:p>
        </w:tc>
      </w:tr>
      <w:tr w14:paraId="4F0EA6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11" w:hRule="atLeast"/>
        </w:trPr>
        <w:tc>
          <w:tcPr>
            <w:tcW w:w="9100" w:type="dxa"/>
            <w:gridSpan w:val="2"/>
            <w:tcBorders>
              <w:top w:val="single" w:color="auto" w:sz="12" w:space="0"/>
              <w:left w:val="single" w:color="auto" w:sz="12" w:space="0"/>
              <w:bottom w:val="single" w:color="auto" w:sz="12" w:space="0"/>
              <w:right w:val="single" w:color="auto" w:sz="12" w:space="0"/>
            </w:tcBorders>
            <w:noWrap w:val="0"/>
            <w:vAlign w:val="center"/>
          </w:tcPr>
          <w:p w14:paraId="28C37BF7">
            <w:pPr>
              <w:shd w:val="clear" w:color="auto" w:fill="auto"/>
              <w:spacing w:line="360" w:lineRule="auto"/>
              <w:ind w:left="1417" w:leftChars="203" w:hanging="991"/>
              <w:rPr>
                <w:rFonts w:eastAsia="仿宋_GB2312"/>
                <w:color w:val="auto"/>
                <w:sz w:val="24"/>
                <w:highlight w:val="none"/>
              </w:rPr>
            </w:pPr>
            <w:r>
              <w:rPr>
                <w:rFonts w:eastAsia="仿宋_GB2312"/>
                <w:color w:val="auto"/>
                <w:sz w:val="24"/>
                <w:highlight w:val="none"/>
              </w:rPr>
              <w:t>适用于本投标人须知的额外增加的变动：</w:t>
            </w:r>
          </w:p>
        </w:tc>
      </w:tr>
      <w:tr w14:paraId="316300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11" w:hRule="atLeast"/>
        </w:trPr>
        <w:tc>
          <w:tcPr>
            <w:tcW w:w="1468" w:type="dxa"/>
            <w:tcBorders>
              <w:top w:val="single" w:color="auto" w:sz="12" w:space="0"/>
              <w:left w:val="single" w:color="auto" w:sz="12" w:space="0"/>
              <w:bottom w:val="single" w:color="auto" w:sz="12" w:space="0"/>
              <w:right w:val="single" w:color="auto" w:sz="12" w:space="0"/>
            </w:tcBorders>
            <w:noWrap w:val="0"/>
            <w:vAlign w:val="center"/>
          </w:tcPr>
          <w:p w14:paraId="1FB868E2">
            <w:pPr>
              <w:shd w:val="clear" w:color="auto" w:fill="auto"/>
              <w:jc w:val="center"/>
              <w:rPr>
                <w:rFonts w:eastAsia="仿宋_GB2312"/>
                <w:color w:val="auto"/>
                <w:sz w:val="24"/>
                <w:highlight w:val="none"/>
              </w:rPr>
            </w:pPr>
            <w:r>
              <w:rPr>
                <w:rFonts w:ascii="仿宋" w:hAnsi="仿宋" w:eastAsia="仿宋"/>
                <w:color w:val="auto"/>
                <w:sz w:val="24"/>
                <w:highlight w:val="none"/>
              </w:rPr>
              <w:t>1</w:t>
            </w:r>
          </w:p>
        </w:tc>
        <w:tc>
          <w:tcPr>
            <w:tcW w:w="7632" w:type="dxa"/>
            <w:tcBorders>
              <w:top w:val="single" w:color="auto" w:sz="12" w:space="0"/>
              <w:left w:val="single" w:color="auto" w:sz="12" w:space="0"/>
              <w:bottom w:val="single" w:color="auto" w:sz="12" w:space="0"/>
              <w:right w:val="single" w:color="auto" w:sz="12" w:space="0"/>
            </w:tcBorders>
            <w:noWrap w:val="0"/>
            <w:vAlign w:val="center"/>
          </w:tcPr>
          <w:p w14:paraId="72C2F80F">
            <w:pPr>
              <w:shd w:val="clear" w:color="auto" w:fill="auto"/>
              <w:spacing w:line="360" w:lineRule="auto"/>
              <w:rPr>
                <w:rFonts w:eastAsia="仿宋_GB2312"/>
                <w:color w:val="auto"/>
                <w:sz w:val="24"/>
                <w:highlight w:val="none"/>
              </w:rPr>
            </w:pPr>
            <w:r>
              <w:rPr>
                <w:rFonts w:ascii="仿宋" w:hAnsi="仿宋" w:eastAsia="仿宋"/>
                <w:color w:val="auto"/>
                <w:sz w:val="24"/>
                <w:highlight w:val="none"/>
              </w:rPr>
              <w:t>根据本项目特点，投标人应提交的其他资格证明文件（特定资格条件）为：</w:t>
            </w:r>
            <w:r>
              <w:rPr>
                <w:rFonts w:hint="eastAsia" w:ascii="仿宋" w:hAnsi="仿宋" w:eastAsia="仿宋"/>
                <w:color w:val="auto"/>
                <w:sz w:val="24"/>
                <w:highlight w:val="none"/>
              </w:rPr>
              <w:t>详见公告</w:t>
            </w:r>
          </w:p>
        </w:tc>
      </w:tr>
      <w:tr w14:paraId="43536E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11" w:hRule="atLeast"/>
        </w:trPr>
        <w:tc>
          <w:tcPr>
            <w:tcW w:w="1468" w:type="dxa"/>
            <w:tcBorders>
              <w:top w:val="single" w:color="auto" w:sz="12" w:space="0"/>
              <w:left w:val="single" w:color="auto" w:sz="12" w:space="0"/>
              <w:bottom w:val="single" w:color="auto" w:sz="12" w:space="0"/>
              <w:right w:val="single" w:color="auto" w:sz="12" w:space="0"/>
            </w:tcBorders>
            <w:noWrap w:val="0"/>
            <w:vAlign w:val="center"/>
          </w:tcPr>
          <w:p w14:paraId="6E446ECE">
            <w:pPr>
              <w:shd w:val="clear" w:color="auto" w:fill="auto"/>
              <w:jc w:val="center"/>
              <w:rPr>
                <w:rFonts w:eastAsia="仿宋_GB2312"/>
                <w:color w:val="auto"/>
                <w:sz w:val="24"/>
                <w:highlight w:val="none"/>
              </w:rPr>
            </w:pPr>
            <w:r>
              <w:rPr>
                <w:rFonts w:ascii="仿宋" w:hAnsi="仿宋" w:eastAsia="仿宋"/>
                <w:color w:val="auto"/>
                <w:sz w:val="24"/>
                <w:highlight w:val="none"/>
              </w:rPr>
              <w:t>2</w:t>
            </w:r>
          </w:p>
        </w:tc>
        <w:tc>
          <w:tcPr>
            <w:tcW w:w="7632" w:type="dxa"/>
            <w:tcBorders>
              <w:top w:val="single" w:color="auto" w:sz="12" w:space="0"/>
              <w:left w:val="single" w:color="auto" w:sz="12" w:space="0"/>
              <w:bottom w:val="single" w:color="auto" w:sz="12" w:space="0"/>
              <w:right w:val="single" w:color="auto" w:sz="12" w:space="0"/>
            </w:tcBorders>
            <w:noWrap w:val="0"/>
            <w:vAlign w:val="center"/>
          </w:tcPr>
          <w:p w14:paraId="7649105D">
            <w:pPr>
              <w:shd w:val="clear" w:color="auto" w:fill="auto"/>
              <w:spacing w:line="360" w:lineRule="auto"/>
              <w:rPr>
                <w:rFonts w:hint="eastAsia" w:ascii="仿宋" w:hAnsi="仿宋" w:eastAsia="仿宋"/>
                <w:b/>
                <w:color w:val="auto"/>
                <w:sz w:val="24"/>
                <w:highlight w:val="none"/>
              </w:rPr>
            </w:pPr>
            <w:r>
              <w:rPr>
                <w:rFonts w:hint="eastAsia" w:ascii="仿宋" w:hAnsi="仿宋" w:eastAsia="仿宋"/>
                <w:b/>
                <w:color w:val="auto"/>
                <w:sz w:val="24"/>
                <w:highlight w:val="none"/>
              </w:rPr>
              <w:t>电子投标注意事项：</w:t>
            </w:r>
          </w:p>
          <w:p w14:paraId="6A71024B">
            <w:pPr>
              <w:shd w:val="clear" w:color="auto" w:fill="auto"/>
              <w:spacing w:line="360" w:lineRule="auto"/>
              <w:rPr>
                <w:rFonts w:hint="eastAsia" w:ascii="仿宋" w:hAnsi="仿宋" w:eastAsia="仿宋"/>
                <w:b/>
                <w:color w:val="auto"/>
                <w:sz w:val="24"/>
                <w:highlight w:val="none"/>
              </w:rPr>
            </w:pPr>
            <w:r>
              <w:rPr>
                <w:rFonts w:hint="eastAsia" w:ascii="仿宋" w:hAnsi="仿宋" w:eastAsia="仿宋"/>
                <w:b/>
                <w:color w:val="auto"/>
                <w:sz w:val="24"/>
                <w:highlight w:val="none"/>
              </w:rPr>
              <w:t>1、本项目采用电子化投标的方式投标，投标人须使用数字认证证书（CA</w:t>
            </w:r>
            <w:r>
              <w:rPr>
                <w:rFonts w:hint="eastAsia" w:ascii="仿宋" w:hAnsi="仿宋" w:eastAsia="仿宋" w:cs="微软雅黑"/>
                <w:b/>
                <w:color w:val="auto"/>
                <w:sz w:val="24"/>
                <w:highlight w:val="none"/>
              </w:rPr>
              <w:t>锁</w:t>
            </w:r>
            <w:r>
              <w:rPr>
                <w:rFonts w:hint="eastAsia" w:ascii="仿宋" w:hAnsi="仿宋" w:eastAsia="仿宋" w:cs="___WRD_EMBED_SUB_44"/>
                <w:b/>
                <w:color w:val="auto"/>
                <w:sz w:val="24"/>
                <w:highlight w:val="none"/>
              </w:rPr>
              <w:t>）对电子投标文件进行签章、加密、递交及开标时解密等相关招投标事宜。开标时如因投标人自身原因数字认证证书（</w:t>
            </w:r>
            <w:r>
              <w:rPr>
                <w:rFonts w:hint="eastAsia" w:ascii="仿宋" w:hAnsi="仿宋" w:eastAsia="仿宋"/>
                <w:b/>
                <w:color w:val="auto"/>
                <w:sz w:val="24"/>
                <w:highlight w:val="none"/>
              </w:rPr>
              <w:t>CA</w:t>
            </w:r>
            <w:r>
              <w:rPr>
                <w:rFonts w:hint="eastAsia" w:ascii="仿宋" w:hAnsi="仿宋" w:eastAsia="仿宋" w:cs="微软雅黑"/>
                <w:b/>
                <w:color w:val="auto"/>
                <w:sz w:val="24"/>
                <w:highlight w:val="none"/>
              </w:rPr>
              <w:t>锁</w:t>
            </w:r>
            <w:r>
              <w:rPr>
                <w:rFonts w:hint="eastAsia" w:ascii="仿宋" w:hAnsi="仿宋" w:eastAsia="仿宋" w:cs="___WRD_EMBED_SUB_44"/>
                <w:b/>
                <w:color w:val="auto"/>
                <w:sz w:val="24"/>
                <w:highlight w:val="none"/>
              </w:rPr>
              <w:t>）造成无法解密投标文件，按无效投标对</w:t>
            </w:r>
            <w:r>
              <w:rPr>
                <w:rFonts w:hint="eastAsia" w:ascii="仿宋" w:hAnsi="仿宋" w:eastAsia="仿宋" w:cs="微软雅黑"/>
                <w:b/>
                <w:color w:val="auto"/>
                <w:sz w:val="24"/>
                <w:highlight w:val="none"/>
              </w:rPr>
              <w:t>待</w:t>
            </w:r>
            <w:r>
              <w:rPr>
                <w:rFonts w:hint="eastAsia" w:ascii="仿宋" w:hAnsi="仿宋" w:eastAsia="仿宋" w:cs="___WRD_EMBED_SUB_44"/>
                <w:b/>
                <w:color w:val="auto"/>
                <w:sz w:val="24"/>
                <w:highlight w:val="none"/>
              </w:rPr>
              <w:t>。</w:t>
            </w:r>
          </w:p>
          <w:p w14:paraId="52EF7971">
            <w:pPr>
              <w:shd w:val="clear" w:color="auto" w:fill="auto"/>
              <w:spacing w:line="360" w:lineRule="auto"/>
              <w:rPr>
                <w:rFonts w:hint="eastAsia" w:ascii="仿宋" w:hAnsi="仿宋" w:eastAsia="仿宋"/>
                <w:b/>
                <w:color w:val="auto"/>
                <w:sz w:val="24"/>
                <w:highlight w:val="none"/>
              </w:rPr>
            </w:pPr>
            <w:r>
              <w:rPr>
                <w:rFonts w:hint="eastAsia" w:ascii="仿宋" w:hAnsi="仿宋" w:eastAsia="仿宋"/>
                <w:b/>
                <w:color w:val="auto"/>
                <w:sz w:val="24"/>
                <w:highlight w:val="none"/>
              </w:rPr>
              <w:t>2、制作电子投标文件</w:t>
            </w:r>
          </w:p>
          <w:p w14:paraId="66116EA0">
            <w:pPr>
              <w:shd w:val="clear" w:color="auto" w:fill="auto"/>
              <w:spacing w:line="360" w:lineRule="auto"/>
              <w:rPr>
                <w:rFonts w:hint="eastAsia" w:ascii="仿宋" w:hAnsi="仿宋" w:eastAsia="仿宋"/>
                <w:b/>
                <w:color w:val="auto"/>
                <w:sz w:val="24"/>
                <w:highlight w:val="none"/>
              </w:rPr>
            </w:pPr>
            <w:r>
              <w:rPr>
                <w:rFonts w:hint="eastAsia" w:ascii="仿宋" w:hAnsi="仿宋" w:eastAsia="仿宋"/>
                <w:b/>
                <w:color w:val="auto"/>
                <w:sz w:val="24"/>
                <w:highlight w:val="none"/>
              </w:rPr>
              <w:t>投标人须在</w:t>
            </w:r>
            <w:r>
              <w:rPr>
                <w:rFonts w:hint="eastAsia" w:ascii="仿宋" w:hAnsi="仿宋" w:eastAsia="仿宋" w:cs="微软雅黑"/>
                <w:b/>
                <w:color w:val="auto"/>
                <w:sz w:val="24"/>
                <w:highlight w:val="none"/>
              </w:rPr>
              <w:t>“</w:t>
            </w:r>
            <w:r>
              <w:rPr>
                <w:rFonts w:hint="eastAsia" w:ascii="仿宋" w:hAnsi="仿宋" w:eastAsia="仿宋" w:cs="___WRD_EMBED_SUB_44"/>
                <w:b/>
                <w:color w:val="auto"/>
                <w:sz w:val="24"/>
                <w:highlight w:val="none"/>
              </w:rPr>
              <w:t>全国公共资源交</w:t>
            </w:r>
            <w:r>
              <w:rPr>
                <w:rFonts w:hint="eastAsia" w:ascii="仿宋" w:hAnsi="仿宋" w:eastAsia="仿宋" w:cs="微软雅黑"/>
                <w:b/>
                <w:color w:val="auto"/>
                <w:sz w:val="24"/>
                <w:highlight w:val="none"/>
              </w:rPr>
              <w:t>易</w:t>
            </w:r>
            <w:r>
              <w:rPr>
                <w:rFonts w:hint="eastAsia" w:ascii="仿宋" w:hAnsi="仿宋" w:eastAsia="仿宋" w:cs="___WRD_EMBED_SUB_44"/>
                <w:b/>
                <w:color w:val="auto"/>
                <w:sz w:val="24"/>
                <w:highlight w:val="none"/>
              </w:rPr>
              <w:t>中心平台（陕西省）（</w:t>
            </w:r>
            <w:r>
              <w:rPr>
                <w:rFonts w:ascii="仿宋" w:hAnsi="仿宋" w:eastAsia="仿宋"/>
                <w:b/>
                <w:color w:val="auto"/>
                <w:sz w:val="24"/>
                <w:highlight w:val="none"/>
              </w:rPr>
              <w:fldChar w:fldCharType="begin"/>
            </w:r>
            <w:r>
              <w:rPr>
                <w:rFonts w:ascii="仿宋" w:hAnsi="仿宋" w:eastAsia="仿宋"/>
                <w:b/>
                <w:color w:val="auto"/>
                <w:sz w:val="24"/>
                <w:highlight w:val="none"/>
              </w:rPr>
              <w:instrText xml:space="preserve"> HYPERLINK "</w:instrText>
            </w:r>
            <w:r>
              <w:rPr>
                <w:rFonts w:hint="eastAsia" w:ascii="仿宋" w:hAnsi="仿宋" w:eastAsia="仿宋"/>
                <w:b/>
                <w:color w:val="auto"/>
                <w:sz w:val="24"/>
                <w:highlight w:val="none"/>
              </w:rPr>
              <w:instrText xml:space="preserve">http://www.sxggzyjy.cn/</w:instrText>
            </w:r>
            <w:r>
              <w:rPr>
                <w:rFonts w:ascii="仿宋" w:hAnsi="仿宋" w:eastAsia="仿宋"/>
                <w:b/>
                <w:color w:val="auto"/>
                <w:sz w:val="24"/>
                <w:highlight w:val="none"/>
              </w:rPr>
              <w:instrText xml:space="preserve">" </w:instrText>
            </w:r>
            <w:r>
              <w:rPr>
                <w:rFonts w:ascii="仿宋" w:hAnsi="仿宋" w:eastAsia="仿宋"/>
                <w:b/>
                <w:color w:val="auto"/>
                <w:sz w:val="24"/>
                <w:highlight w:val="none"/>
              </w:rPr>
              <w:fldChar w:fldCharType="separate"/>
            </w:r>
            <w:r>
              <w:rPr>
                <w:rStyle w:val="47"/>
                <w:rFonts w:hint="eastAsia" w:ascii="仿宋" w:hAnsi="仿宋" w:eastAsia="仿宋"/>
                <w:b/>
                <w:color w:val="auto"/>
                <w:sz w:val="24"/>
                <w:highlight w:val="none"/>
              </w:rPr>
              <w:t>http://www.sxggzyjy.cn/</w:t>
            </w:r>
            <w:r>
              <w:rPr>
                <w:rFonts w:ascii="仿宋" w:hAnsi="仿宋" w:eastAsia="仿宋"/>
                <w:b/>
                <w:color w:val="auto"/>
                <w:sz w:val="24"/>
                <w:highlight w:val="none"/>
              </w:rPr>
              <w:fldChar w:fldCharType="end"/>
            </w:r>
            <w:r>
              <w:rPr>
                <w:rFonts w:hint="eastAsia" w:ascii="仿宋" w:hAnsi="仿宋" w:eastAsia="仿宋"/>
                <w:b/>
                <w:color w:val="auto"/>
                <w:sz w:val="24"/>
                <w:highlight w:val="none"/>
              </w:rPr>
              <w:t>）</w:t>
            </w:r>
            <w:r>
              <w:rPr>
                <w:rFonts w:hint="eastAsia" w:ascii="仿宋" w:hAnsi="仿宋" w:eastAsia="仿宋" w:cs="微软雅黑"/>
                <w:b/>
                <w:color w:val="auto"/>
                <w:sz w:val="24"/>
                <w:highlight w:val="none"/>
              </w:rPr>
              <w:t>”</w:t>
            </w:r>
            <w:r>
              <w:rPr>
                <w:rFonts w:hint="eastAsia" w:ascii="仿宋" w:hAnsi="仿宋" w:eastAsia="仿宋" w:cs="___WRD_EMBED_SUB_44"/>
                <w:b/>
                <w:color w:val="auto"/>
                <w:sz w:val="24"/>
                <w:highlight w:val="none"/>
              </w:rPr>
              <w:t>的</w:t>
            </w:r>
            <w:r>
              <w:rPr>
                <w:rFonts w:hint="eastAsia" w:ascii="仿宋" w:hAnsi="仿宋" w:eastAsia="仿宋" w:cs="微软雅黑"/>
                <w:b/>
                <w:color w:val="auto"/>
                <w:sz w:val="24"/>
                <w:highlight w:val="none"/>
              </w:rPr>
              <w:t>“</w:t>
            </w:r>
            <w:r>
              <w:rPr>
                <w:rFonts w:hint="eastAsia" w:ascii="仿宋" w:hAnsi="仿宋" w:eastAsia="仿宋" w:cs="___WRD_EMBED_SUB_44"/>
                <w:b/>
                <w:color w:val="auto"/>
                <w:sz w:val="24"/>
                <w:highlight w:val="none"/>
              </w:rPr>
              <w:t>服务指南</w:t>
            </w:r>
            <w:r>
              <w:rPr>
                <w:rFonts w:hint="eastAsia" w:ascii="仿宋" w:hAnsi="仿宋" w:eastAsia="仿宋" w:cs="微软雅黑"/>
                <w:b/>
                <w:color w:val="auto"/>
                <w:sz w:val="24"/>
                <w:highlight w:val="none"/>
              </w:rPr>
              <w:t>”</w:t>
            </w:r>
            <w:r>
              <w:rPr>
                <w:rFonts w:hint="eastAsia" w:ascii="仿宋" w:hAnsi="仿宋" w:eastAsia="仿宋" w:cs="___WRD_EMBED_SUB_44"/>
                <w:b/>
                <w:color w:val="auto"/>
                <w:sz w:val="24"/>
                <w:highlight w:val="none"/>
              </w:rPr>
              <w:t>栏目</w:t>
            </w:r>
            <w:r>
              <w:rPr>
                <w:rFonts w:hint="eastAsia" w:ascii="仿宋" w:hAnsi="仿宋" w:eastAsia="仿宋" w:cs="微软雅黑"/>
                <w:b/>
                <w:color w:val="auto"/>
                <w:sz w:val="24"/>
                <w:highlight w:val="none"/>
              </w:rPr>
              <w:t>“</w:t>
            </w:r>
            <w:r>
              <w:rPr>
                <w:rFonts w:hint="eastAsia" w:ascii="仿宋" w:hAnsi="仿宋" w:eastAsia="仿宋" w:cs="___WRD_EMBED_SUB_44"/>
                <w:b/>
                <w:color w:val="auto"/>
                <w:sz w:val="24"/>
                <w:highlight w:val="none"/>
              </w:rPr>
              <w:t>下载专区</w:t>
            </w:r>
            <w:r>
              <w:rPr>
                <w:rFonts w:hint="eastAsia" w:ascii="仿宋" w:hAnsi="仿宋" w:eastAsia="仿宋" w:cs="微软雅黑"/>
                <w:b/>
                <w:color w:val="auto"/>
                <w:sz w:val="24"/>
                <w:highlight w:val="none"/>
              </w:rPr>
              <w:t>”</w:t>
            </w:r>
            <w:r>
              <w:rPr>
                <w:rFonts w:hint="eastAsia" w:ascii="仿宋" w:hAnsi="仿宋" w:eastAsia="仿宋" w:cs="___WRD_EMBED_SUB_44"/>
                <w:b/>
                <w:color w:val="auto"/>
                <w:sz w:val="24"/>
                <w:highlight w:val="none"/>
              </w:rPr>
              <w:t>中，免费下载</w:t>
            </w:r>
            <w:r>
              <w:rPr>
                <w:rFonts w:hint="eastAsia" w:ascii="仿宋" w:hAnsi="仿宋" w:eastAsia="仿宋" w:cs="微软雅黑"/>
                <w:b/>
                <w:color w:val="auto"/>
                <w:sz w:val="24"/>
                <w:highlight w:val="none"/>
              </w:rPr>
              <w:t>“</w:t>
            </w:r>
            <w:r>
              <w:rPr>
                <w:rFonts w:hint="eastAsia" w:ascii="仿宋" w:hAnsi="仿宋" w:eastAsia="仿宋" w:cs="___WRD_EMBED_SUB_44"/>
                <w:b/>
                <w:color w:val="auto"/>
                <w:sz w:val="24"/>
                <w:highlight w:val="none"/>
              </w:rPr>
              <w:t>陕西省公共资源交</w:t>
            </w:r>
            <w:r>
              <w:rPr>
                <w:rFonts w:hint="eastAsia" w:ascii="仿宋" w:hAnsi="仿宋" w:eastAsia="仿宋" w:cs="微软雅黑"/>
                <w:b/>
                <w:color w:val="auto"/>
                <w:sz w:val="24"/>
                <w:highlight w:val="none"/>
              </w:rPr>
              <w:t>易</w:t>
            </w:r>
            <w:r>
              <w:rPr>
                <w:rFonts w:hint="eastAsia" w:ascii="仿宋" w:hAnsi="仿宋" w:eastAsia="仿宋" w:cs="___WRD_EMBED_SUB_44"/>
                <w:b/>
                <w:color w:val="auto"/>
                <w:sz w:val="24"/>
                <w:highlight w:val="none"/>
              </w:rPr>
              <w:t>平台政府采购电子标书制作工具</w:t>
            </w:r>
            <w:r>
              <w:rPr>
                <w:rFonts w:hint="eastAsia" w:ascii="仿宋" w:hAnsi="仿宋" w:eastAsia="仿宋"/>
                <w:b/>
                <w:color w:val="auto"/>
                <w:sz w:val="24"/>
                <w:highlight w:val="none"/>
              </w:rPr>
              <w:t>(V8.0.0.2)</w:t>
            </w:r>
            <w:r>
              <w:rPr>
                <w:rFonts w:hint="eastAsia" w:ascii="仿宋" w:hAnsi="仿宋" w:eastAsia="仿宋" w:cs="微软雅黑"/>
                <w:b/>
                <w:color w:val="auto"/>
                <w:sz w:val="24"/>
                <w:highlight w:val="none"/>
              </w:rPr>
              <w:t>”</w:t>
            </w:r>
            <w:r>
              <w:rPr>
                <w:rFonts w:hint="eastAsia" w:ascii="仿宋" w:hAnsi="仿宋" w:eastAsia="仿宋" w:cs="___WRD_EMBED_SUB_44"/>
                <w:b/>
                <w:color w:val="auto"/>
                <w:sz w:val="24"/>
                <w:highlight w:val="none"/>
              </w:rPr>
              <w:t>，并</w:t>
            </w:r>
            <w:r>
              <w:rPr>
                <w:rFonts w:hint="eastAsia" w:ascii="仿宋" w:hAnsi="仿宋" w:eastAsia="仿宋" w:cs="微软雅黑"/>
                <w:b/>
                <w:color w:val="auto"/>
                <w:sz w:val="24"/>
                <w:highlight w:val="none"/>
              </w:rPr>
              <w:t>升</w:t>
            </w:r>
            <w:r>
              <w:rPr>
                <w:rFonts w:hint="eastAsia" w:ascii="仿宋" w:hAnsi="仿宋" w:eastAsia="仿宋" w:cs="___WRD_EMBED_SUB_44"/>
                <w:b/>
                <w:color w:val="auto"/>
                <w:sz w:val="24"/>
                <w:highlight w:val="none"/>
              </w:rPr>
              <w:t>级至最新</w:t>
            </w:r>
            <w:r>
              <w:rPr>
                <w:rFonts w:hint="eastAsia" w:ascii="仿宋" w:hAnsi="仿宋" w:eastAsia="仿宋" w:cs="微软雅黑"/>
                <w:b/>
                <w:color w:val="auto"/>
                <w:sz w:val="24"/>
                <w:highlight w:val="none"/>
              </w:rPr>
              <w:t>版</w:t>
            </w:r>
            <w:r>
              <w:rPr>
                <w:rFonts w:hint="eastAsia" w:ascii="仿宋" w:hAnsi="仿宋" w:eastAsia="仿宋" w:cs="___WRD_EMBED_SUB_44"/>
                <w:b/>
                <w:color w:val="auto"/>
                <w:sz w:val="24"/>
                <w:highlight w:val="none"/>
              </w:rPr>
              <w:t>本，使用该客户</w:t>
            </w:r>
            <w:r>
              <w:rPr>
                <w:rFonts w:hint="eastAsia" w:ascii="仿宋" w:hAnsi="仿宋" w:eastAsia="仿宋" w:cs="微软雅黑"/>
                <w:b/>
                <w:color w:val="auto"/>
                <w:sz w:val="24"/>
                <w:highlight w:val="none"/>
              </w:rPr>
              <w:t>端</w:t>
            </w:r>
            <w:r>
              <w:rPr>
                <w:rFonts w:hint="eastAsia" w:ascii="仿宋" w:hAnsi="仿宋" w:eastAsia="仿宋" w:cs="___WRD_EMBED_SUB_44"/>
                <w:b/>
                <w:color w:val="auto"/>
                <w:sz w:val="24"/>
                <w:highlight w:val="none"/>
              </w:rPr>
              <w:t>制作电子投标文件，制作</w:t>
            </w:r>
            <w:r>
              <w:rPr>
                <w:rFonts w:hint="eastAsia" w:ascii="仿宋" w:hAnsi="仿宋" w:eastAsia="仿宋" w:cs="微软雅黑"/>
                <w:b/>
                <w:color w:val="auto"/>
                <w:sz w:val="24"/>
                <w:highlight w:val="none"/>
              </w:rPr>
              <w:t>扩</w:t>
            </w:r>
            <w:r>
              <w:rPr>
                <w:rFonts w:hint="eastAsia" w:ascii="仿宋" w:hAnsi="仿宋" w:eastAsia="仿宋" w:cs="___WRD_EMBED_SUB_44"/>
                <w:b/>
                <w:color w:val="auto"/>
                <w:sz w:val="24"/>
                <w:highlight w:val="none"/>
              </w:rPr>
              <w:t>展名为</w:t>
            </w:r>
            <w:r>
              <w:rPr>
                <w:rFonts w:hint="eastAsia" w:ascii="仿宋" w:hAnsi="仿宋" w:eastAsia="仿宋" w:cs="微软雅黑"/>
                <w:b/>
                <w:color w:val="auto"/>
                <w:sz w:val="24"/>
                <w:highlight w:val="none"/>
              </w:rPr>
              <w:t>“</w:t>
            </w:r>
            <w:r>
              <w:rPr>
                <w:rFonts w:hint="eastAsia" w:ascii="仿宋" w:hAnsi="仿宋" w:eastAsia="仿宋"/>
                <w:b/>
                <w:color w:val="auto"/>
                <w:sz w:val="24"/>
                <w:highlight w:val="none"/>
              </w:rPr>
              <w:t>.SXSTF</w:t>
            </w:r>
            <w:r>
              <w:rPr>
                <w:rFonts w:hint="eastAsia" w:ascii="仿宋" w:hAnsi="仿宋" w:eastAsia="仿宋" w:cs="微软雅黑"/>
                <w:b/>
                <w:color w:val="auto"/>
                <w:sz w:val="24"/>
                <w:highlight w:val="none"/>
              </w:rPr>
              <w:t>”</w:t>
            </w:r>
            <w:r>
              <w:rPr>
                <w:rFonts w:hint="eastAsia" w:ascii="仿宋" w:hAnsi="仿宋" w:eastAsia="仿宋" w:cs="___WRD_EMBED_SUB_44"/>
                <w:b/>
                <w:color w:val="auto"/>
                <w:sz w:val="24"/>
                <w:highlight w:val="none"/>
              </w:rPr>
              <w:t>的电子投标文件。</w:t>
            </w:r>
          </w:p>
          <w:p w14:paraId="185878AE">
            <w:pPr>
              <w:shd w:val="clear" w:color="auto" w:fill="auto"/>
              <w:spacing w:line="360" w:lineRule="auto"/>
              <w:rPr>
                <w:rFonts w:hint="eastAsia" w:ascii="仿宋" w:hAnsi="仿宋" w:eastAsia="仿宋"/>
                <w:b/>
                <w:color w:val="auto"/>
                <w:sz w:val="24"/>
                <w:highlight w:val="none"/>
              </w:rPr>
            </w:pPr>
            <w:r>
              <w:rPr>
                <w:rFonts w:hint="eastAsia" w:ascii="仿宋" w:hAnsi="仿宋" w:eastAsia="仿宋"/>
                <w:b/>
                <w:color w:val="auto"/>
                <w:sz w:val="24"/>
                <w:highlight w:val="none"/>
              </w:rPr>
              <w:t>3、递交电子投标文件</w:t>
            </w:r>
          </w:p>
          <w:p w14:paraId="3BAC2916">
            <w:pPr>
              <w:shd w:val="clear" w:color="auto" w:fill="auto"/>
              <w:spacing w:line="360" w:lineRule="auto"/>
              <w:rPr>
                <w:rFonts w:eastAsia="仿宋_GB2312"/>
                <w:color w:val="auto"/>
                <w:sz w:val="24"/>
                <w:highlight w:val="none"/>
              </w:rPr>
            </w:pPr>
            <w:r>
              <w:rPr>
                <w:rFonts w:hint="eastAsia" w:ascii="仿宋" w:hAnsi="仿宋" w:eastAsia="仿宋"/>
                <w:b/>
                <w:color w:val="auto"/>
                <w:sz w:val="24"/>
                <w:highlight w:val="none"/>
              </w:rPr>
              <w:t>登录全国公共资源交</w:t>
            </w:r>
            <w:r>
              <w:rPr>
                <w:rFonts w:hint="eastAsia" w:ascii="仿宋" w:hAnsi="仿宋" w:eastAsia="仿宋" w:cs="微软雅黑"/>
                <w:b/>
                <w:color w:val="auto"/>
                <w:sz w:val="24"/>
                <w:highlight w:val="none"/>
              </w:rPr>
              <w:t>易</w:t>
            </w:r>
            <w:r>
              <w:rPr>
                <w:rFonts w:hint="eastAsia" w:ascii="仿宋" w:hAnsi="仿宋" w:eastAsia="仿宋" w:cs="___WRD_EMBED_SUB_44"/>
                <w:b/>
                <w:color w:val="auto"/>
                <w:sz w:val="24"/>
                <w:highlight w:val="none"/>
              </w:rPr>
              <w:t>中心平台（陕西省）（</w:t>
            </w:r>
            <w:r>
              <w:rPr>
                <w:rFonts w:ascii="仿宋" w:hAnsi="仿宋" w:eastAsia="仿宋"/>
                <w:b/>
                <w:color w:val="auto"/>
                <w:sz w:val="24"/>
                <w:highlight w:val="none"/>
              </w:rPr>
              <w:fldChar w:fldCharType="begin"/>
            </w:r>
            <w:r>
              <w:rPr>
                <w:rFonts w:ascii="仿宋" w:hAnsi="仿宋" w:eastAsia="仿宋"/>
                <w:b/>
                <w:color w:val="auto"/>
                <w:sz w:val="24"/>
                <w:highlight w:val="none"/>
              </w:rPr>
              <w:instrText xml:space="preserve"> HYPERLINK "</w:instrText>
            </w:r>
            <w:r>
              <w:rPr>
                <w:rFonts w:hint="eastAsia" w:ascii="仿宋" w:hAnsi="仿宋" w:eastAsia="仿宋"/>
                <w:b/>
                <w:color w:val="auto"/>
                <w:sz w:val="24"/>
                <w:highlight w:val="none"/>
              </w:rPr>
              <w:instrText xml:space="preserve">http://www.sxggzyjy.cn/</w:instrText>
            </w:r>
            <w:r>
              <w:rPr>
                <w:rFonts w:ascii="仿宋" w:hAnsi="仿宋" w:eastAsia="仿宋"/>
                <w:b/>
                <w:color w:val="auto"/>
                <w:sz w:val="24"/>
                <w:highlight w:val="none"/>
              </w:rPr>
              <w:instrText xml:space="preserve">" </w:instrText>
            </w:r>
            <w:r>
              <w:rPr>
                <w:rFonts w:ascii="仿宋" w:hAnsi="仿宋" w:eastAsia="仿宋"/>
                <w:b/>
                <w:color w:val="auto"/>
                <w:sz w:val="24"/>
                <w:highlight w:val="none"/>
              </w:rPr>
              <w:fldChar w:fldCharType="separate"/>
            </w:r>
            <w:r>
              <w:rPr>
                <w:rStyle w:val="47"/>
                <w:rFonts w:hint="eastAsia" w:ascii="仿宋" w:hAnsi="仿宋" w:eastAsia="仿宋"/>
                <w:b/>
                <w:color w:val="auto"/>
                <w:sz w:val="24"/>
                <w:highlight w:val="none"/>
              </w:rPr>
              <w:t>http://www.sxggzyjy.cn/</w:t>
            </w:r>
            <w:r>
              <w:rPr>
                <w:rFonts w:ascii="仿宋" w:hAnsi="仿宋" w:eastAsia="仿宋"/>
                <w:b/>
                <w:color w:val="auto"/>
                <w:sz w:val="24"/>
                <w:highlight w:val="none"/>
              </w:rPr>
              <w:fldChar w:fldCharType="end"/>
            </w:r>
            <w:r>
              <w:rPr>
                <w:rFonts w:hint="eastAsia" w:ascii="仿宋" w:hAnsi="仿宋" w:eastAsia="仿宋"/>
                <w:b/>
                <w:color w:val="auto"/>
                <w:sz w:val="24"/>
                <w:highlight w:val="none"/>
              </w:rPr>
              <w:t>），选择</w:t>
            </w:r>
            <w:r>
              <w:rPr>
                <w:rFonts w:hint="eastAsia" w:ascii="仿宋" w:hAnsi="仿宋" w:eastAsia="仿宋" w:cs="微软雅黑"/>
                <w:b/>
                <w:color w:val="auto"/>
                <w:sz w:val="24"/>
                <w:highlight w:val="none"/>
              </w:rPr>
              <w:t>“</w:t>
            </w:r>
            <w:r>
              <w:rPr>
                <w:rFonts w:hint="eastAsia" w:ascii="仿宋" w:hAnsi="仿宋" w:eastAsia="仿宋" w:cs="___WRD_EMBED_SUB_44"/>
                <w:b/>
                <w:color w:val="auto"/>
                <w:sz w:val="24"/>
                <w:highlight w:val="none"/>
              </w:rPr>
              <w:t>电子交</w:t>
            </w:r>
            <w:r>
              <w:rPr>
                <w:rFonts w:hint="eastAsia" w:ascii="仿宋" w:hAnsi="仿宋" w:eastAsia="仿宋" w:cs="微软雅黑"/>
                <w:b/>
                <w:color w:val="auto"/>
                <w:sz w:val="24"/>
                <w:highlight w:val="none"/>
              </w:rPr>
              <w:t>易</w:t>
            </w:r>
            <w:r>
              <w:rPr>
                <w:rFonts w:hint="eastAsia" w:ascii="仿宋" w:hAnsi="仿宋" w:eastAsia="仿宋" w:cs="___WRD_EMBED_SUB_44"/>
                <w:b/>
                <w:color w:val="auto"/>
                <w:sz w:val="24"/>
                <w:highlight w:val="none"/>
              </w:rPr>
              <w:t>平台</w:t>
            </w:r>
            <w:r>
              <w:rPr>
                <w:rFonts w:hint="eastAsia" w:ascii="仿宋" w:hAnsi="仿宋" w:eastAsia="仿宋" w:cs="微软雅黑"/>
                <w:b/>
                <w:color w:val="auto"/>
                <w:sz w:val="24"/>
                <w:highlight w:val="none"/>
              </w:rPr>
              <w:t>—</w:t>
            </w:r>
            <w:r>
              <w:rPr>
                <w:rFonts w:hint="eastAsia" w:ascii="仿宋" w:hAnsi="仿宋" w:eastAsia="仿宋" w:cs="___WRD_EMBED_SUB_44"/>
                <w:b/>
                <w:color w:val="auto"/>
                <w:sz w:val="24"/>
                <w:highlight w:val="none"/>
              </w:rPr>
              <w:t>陕西政府采购交</w:t>
            </w:r>
            <w:r>
              <w:rPr>
                <w:rFonts w:hint="eastAsia" w:ascii="仿宋" w:hAnsi="仿宋" w:eastAsia="仿宋" w:cs="微软雅黑"/>
                <w:b/>
                <w:color w:val="auto"/>
                <w:sz w:val="24"/>
                <w:highlight w:val="none"/>
              </w:rPr>
              <w:t>易</w:t>
            </w:r>
            <w:r>
              <w:rPr>
                <w:rFonts w:hint="eastAsia" w:ascii="仿宋" w:hAnsi="仿宋" w:eastAsia="仿宋" w:cs="___WRD_EMBED_SUB_44"/>
                <w:b/>
                <w:color w:val="auto"/>
                <w:sz w:val="24"/>
                <w:highlight w:val="none"/>
              </w:rPr>
              <w:t>系统</w:t>
            </w:r>
            <w:r>
              <w:rPr>
                <w:rFonts w:hint="eastAsia" w:ascii="仿宋" w:hAnsi="仿宋" w:eastAsia="仿宋" w:cs="微软雅黑"/>
                <w:b/>
                <w:color w:val="auto"/>
                <w:sz w:val="24"/>
                <w:highlight w:val="none"/>
              </w:rPr>
              <w:t>—</w:t>
            </w:r>
            <w:r>
              <w:rPr>
                <w:rFonts w:hint="eastAsia" w:ascii="仿宋" w:hAnsi="仿宋" w:eastAsia="仿宋" w:cs="___WRD_EMBED_SUB_44"/>
                <w:b/>
                <w:color w:val="auto"/>
                <w:sz w:val="24"/>
                <w:highlight w:val="none"/>
              </w:rPr>
              <w:t>企业</w:t>
            </w:r>
            <w:r>
              <w:rPr>
                <w:rFonts w:hint="eastAsia" w:ascii="仿宋" w:hAnsi="仿宋" w:eastAsia="仿宋" w:cs="微软雅黑"/>
                <w:b/>
                <w:color w:val="auto"/>
                <w:sz w:val="24"/>
                <w:highlight w:val="none"/>
              </w:rPr>
              <w:t>端”</w:t>
            </w:r>
            <w:r>
              <w:rPr>
                <w:rFonts w:hint="eastAsia" w:ascii="仿宋" w:hAnsi="仿宋" w:eastAsia="仿宋" w:cs="___WRD_EMBED_SUB_44"/>
                <w:b/>
                <w:color w:val="auto"/>
                <w:sz w:val="24"/>
                <w:highlight w:val="none"/>
              </w:rPr>
              <w:t>进行登录，登录后选择</w:t>
            </w:r>
            <w:r>
              <w:rPr>
                <w:rFonts w:hint="eastAsia" w:ascii="仿宋" w:hAnsi="仿宋" w:eastAsia="仿宋" w:cs="微软雅黑"/>
                <w:b/>
                <w:color w:val="auto"/>
                <w:sz w:val="24"/>
                <w:highlight w:val="none"/>
              </w:rPr>
              <w:t>“</w:t>
            </w:r>
            <w:r>
              <w:rPr>
                <w:rFonts w:hint="eastAsia" w:ascii="仿宋" w:hAnsi="仿宋" w:eastAsia="仿宋" w:cs="___WRD_EMBED_SUB_44"/>
                <w:b/>
                <w:color w:val="auto"/>
                <w:sz w:val="24"/>
                <w:highlight w:val="none"/>
              </w:rPr>
              <w:t>交</w:t>
            </w:r>
            <w:r>
              <w:rPr>
                <w:rFonts w:hint="eastAsia" w:ascii="仿宋" w:hAnsi="仿宋" w:eastAsia="仿宋" w:cs="微软雅黑"/>
                <w:b/>
                <w:color w:val="auto"/>
                <w:sz w:val="24"/>
                <w:highlight w:val="none"/>
              </w:rPr>
              <w:t>易</w:t>
            </w:r>
            <w:r>
              <w:rPr>
                <w:rFonts w:hint="eastAsia" w:ascii="仿宋" w:hAnsi="仿宋" w:eastAsia="仿宋" w:cs="___WRD_EMBED_SUB_44"/>
                <w:b/>
                <w:color w:val="auto"/>
                <w:sz w:val="24"/>
                <w:highlight w:val="none"/>
              </w:rPr>
              <w:t>乙方</w:t>
            </w:r>
            <w:r>
              <w:rPr>
                <w:rFonts w:hint="eastAsia" w:ascii="仿宋" w:hAnsi="仿宋" w:eastAsia="仿宋" w:cs="微软雅黑"/>
                <w:b/>
                <w:color w:val="auto"/>
                <w:sz w:val="24"/>
                <w:highlight w:val="none"/>
              </w:rPr>
              <w:t>”</w:t>
            </w:r>
            <w:r>
              <w:rPr>
                <w:rFonts w:hint="eastAsia" w:ascii="仿宋" w:hAnsi="仿宋" w:eastAsia="仿宋" w:cs="___WRD_EMBED_SUB_44"/>
                <w:b/>
                <w:color w:val="auto"/>
                <w:sz w:val="24"/>
                <w:highlight w:val="none"/>
              </w:rPr>
              <w:t>身份进入，进入</w:t>
            </w:r>
            <w:r>
              <w:rPr>
                <w:rFonts w:hint="eastAsia" w:ascii="仿宋" w:hAnsi="仿宋" w:eastAsia="仿宋" w:cs="微软雅黑"/>
                <w:b/>
                <w:color w:val="auto"/>
                <w:sz w:val="24"/>
                <w:highlight w:val="none"/>
              </w:rPr>
              <w:t>菜</w:t>
            </w:r>
            <w:r>
              <w:rPr>
                <w:rFonts w:hint="eastAsia" w:ascii="仿宋" w:hAnsi="仿宋" w:eastAsia="仿宋" w:cs="___WRD_EMBED_SUB_44"/>
                <w:b/>
                <w:color w:val="auto"/>
                <w:sz w:val="24"/>
                <w:highlight w:val="none"/>
              </w:rPr>
              <w:t>单</w:t>
            </w:r>
            <w:r>
              <w:rPr>
                <w:rFonts w:hint="eastAsia" w:ascii="仿宋" w:hAnsi="仿宋" w:eastAsia="仿宋" w:cs="微软雅黑"/>
                <w:b/>
                <w:color w:val="auto"/>
                <w:sz w:val="24"/>
                <w:highlight w:val="none"/>
              </w:rPr>
              <w:t>“</w:t>
            </w:r>
            <w:r>
              <w:rPr>
                <w:rFonts w:hint="eastAsia" w:ascii="仿宋" w:hAnsi="仿宋" w:eastAsia="仿宋" w:cs="___WRD_EMBED_SUB_44"/>
                <w:b/>
                <w:color w:val="auto"/>
                <w:sz w:val="24"/>
                <w:highlight w:val="none"/>
              </w:rPr>
              <w:t>采购业务</w:t>
            </w:r>
            <w:r>
              <w:rPr>
                <w:rFonts w:hint="eastAsia" w:ascii="仿宋" w:hAnsi="仿宋" w:eastAsia="仿宋" w:cs="微软雅黑"/>
                <w:b/>
                <w:color w:val="auto"/>
                <w:sz w:val="24"/>
                <w:highlight w:val="none"/>
              </w:rPr>
              <w:t>—</w:t>
            </w:r>
            <w:r>
              <w:rPr>
                <w:rFonts w:hint="eastAsia" w:ascii="仿宋" w:hAnsi="仿宋" w:eastAsia="仿宋" w:cs="___WRD_EMBED_SUB_44"/>
                <w:b/>
                <w:color w:val="auto"/>
                <w:sz w:val="24"/>
                <w:highlight w:val="none"/>
              </w:rPr>
              <w:t>我的项目</w:t>
            </w:r>
            <w:r>
              <w:rPr>
                <w:rFonts w:hint="eastAsia" w:ascii="仿宋" w:hAnsi="仿宋" w:eastAsia="仿宋" w:cs="微软雅黑"/>
                <w:b/>
                <w:color w:val="auto"/>
                <w:sz w:val="24"/>
                <w:highlight w:val="none"/>
              </w:rPr>
              <w:t>——</w:t>
            </w:r>
            <w:r>
              <w:rPr>
                <w:rFonts w:hint="eastAsia" w:ascii="仿宋" w:hAnsi="仿宋" w:eastAsia="仿宋" w:cs="___WRD_EMBED_SUB_44"/>
                <w:b/>
                <w:color w:val="auto"/>
                <w:sz w:val="24"/>
                <w:highlight w:val="none"/>
              </w:rPr>
              <w:t>项目流程</w:t>
            </w:r>
            <w:r>
              <w:rPr>
                <w:rFonts w:hint="eastAsia" w:ascii="仿宋" w:hAnsi="仿宋" w:eastAsia="仿宋" w:cs="微软雅黑"/>
                <w:b/>
                <w:color w:val="auto"/>
                <w:sz w:val="24"/>
                <w:highlight w:val="none"/>
              </w:rPr>
              <w:t>——</w:t>
            </w:r>
            <w:r>
              <w:rPr>
                <w:rFonts w:hint="eastAsia" w:ascii="仿宋" w:hAnsi="仿宋" w:eastAsia="仿宋" w:cs="___WRD_EMBED_SUB_44"/>
                <w:b/>
                <w:color w:val="auto"/>
                <w:sz w:val="24"/>
                <w:highlight w:val="none"/>
              </w:rPr>
              <w:t>上</w:t>
            </w:r>
            <w:r>
              <w:rPr>
                <w:rFonts w:hint="eastAsia" w:ascii="仿宋" w:hAnsi="仿宋" w:eastAsia="仿宋" w:cs="微软雅黑"/>
                <w:b/>
                <w:color w:val="auto"/>
                <w:sz w:val="24"/>
                <w:highlight w:val="none"/>
              </w:rPr>
              <w:t>传</w:t>
            </w:r>
            <w:r>
              <w:rPr>
                <w:rFonts w:hint="eastAsia" w:ascii="仿宋" w:hAnsi="仿宋" w:eastAsia="仿宋" w:cs="___WRD_EMBED_SUB_44"/>
                <w:b/>
                <w:color w:val="auto"/>
                <w:sz w:val="24"/>
                <w:highlight w:val="none"/>
              </w:rPr>
              <w:t>响应文件</w:t>
            </w:r>
            <w:r>
              <w:rPr>
                <w:rFonts w:hint="eastAsia" w:ascii="仿宋" w:hAnsi="仿宋" w:eastAsia="仿宋" w:cs="微软雅黑"/>
                <w:b/>
                <w:color w:val="auto"/>
                <w:sz w:val="24"/>
                <w:highlight w:val="none"/>
              </w:rPr>
              <w:t>”</w:t>
            </w:r>
            <w:r>
              <w:rPr>
                <w:rFonts w:hint="eastAsia" w:ascii="仿宋" w:hAnsi="仿宋" w:eastAsia="仿宋" w:cs="___WRD_EMBED_SUB_44"/>
                <w:b/>
                <w:color w:val="auto"/>
                <w:sz w:val="24"/>
                <w:highlight w:val="none"/>
              </w:rPr>
              <w:t>，上</w:t>
            </w:r>
            <w:r>
              <w:rPr>
                <w:rFonts w:hint="eastAsia" w:ascii="仿宋" w:hAnsi="仿宋" w:eastAsia="仿宋" w:cs="微软雅黑"/>
                <w:b/>
                <w:color w:val="auto"/>
                <w:sz w:val="24"/>
                <w:highlight w:val="none"/>
              </w:rPr>
              <w:t>传</w:t>
            </w:r>
            <w:r>
              <w:rPr>
                <w:rFonts w:hint="eastAsia" w:ascii="仿宋" w:hAnsi="仿宋" w:eastAsia="仿宋" w:cs="___WRD_EMBED_SUB_44"/>
                <w:b/>
                <w:color w:val="auto"/>
                <w:sz w:val="24"/>
                <w:highlight w:val="none"/>
              </w:rPr>
              <w:t>加密的电子投标文件。上</w:t>
            </w:r>
            <w:r>
              <w:rPr>
                <w:rFonts w:hint="eastAsia" w:ascii="仿宋" w:hAnsi="仿宋" w:eastAsia="仿宋" w:cs="微软雅黑"/>
                <w:b/>
                <w:color w:val="auto"/>
                <w:sz w:val="24"/>
                <w:highlight w:val="none"/>
              </w:rPr>
              <w:t>传</w:t>
            </w:r>
            <w:r>
              <w:rPr>
                <w:rFonts w:hint="eastAsia" w:ascii="仿宋" w:hAnsi="仿宋" w:eastAsia="仿宋" w:cs="___WRD_EMBED_SUB_44"/>
                <w:b/>
                <w:color w:val="auto"/>
                <w:sz w:val="24"/>
                <w:highlight w:val="none"/>
              </w:rPr>
              <w:t>成功后，电子化平台将予以记录。</w:t>
            </w:r>
          </w:p>
        </w:tc>
      </w:tr>
    </w:tbl>
    <w:p w14:paraId="72960A2C">
      <w:pPr>
        <w:widowControl/>
        <w:shd w:val="clear" w:color="auto" w:fill="auto"/>
        <w:spacing w:line="360" w:lineRule="auto"/>
        <w:jc w:val="center"/>
        <w:rPr>
          <w:rFonts w:eastAsia="仿宋_GB2312"/>
          <w:color w:val="auto"/>
          <w:highlight w:val="none"/>
        </w:rPr>
      </w:pPr>
    </w:p>
    <w:p w14:paraId="76584408">
      <w:pPr>
        <w:pStyle w:val="2"/>
        <w:shd w:val="clear" w:color="auto" w:fill="auto"/>
        <w:rPr>
          <w:rFonts w:ascii="Times New Roman"/>
          <w:color w:val="auto"/>
          <w:highlight w:val="none"/>
        </w:rPr>
      </w:pPr>
      <w:bookmarkStart w:id="9" w:name="_Toc62194295"/>
      <w:r>
        <w:rPr>
          <w:rFonts w:ascii="Times New Roman"/>
          <w:color w:val="auto"/>
          <w:highlight w:val="none"/>
        </w:rPr>
        <w:br w:type="page"/>
      </w:r>
      <w:bookmarkStart w:id="10" w:name="_Toc5359"/>
      <w:r>
        <w:rPr>
          <w:rFonts w:ascii="Times New Roman" w:eastAsia="仿宋_GB2312"/>
          <w:color w:val="auto"/>
          <w:highlight w:val="none"/>
        </w:rPr>
        <w:t>（二）投标人须知</w:t>
      </w:r>
      <w:bookmarkEnd w:id="9"/>
      <w:bookmarkEnd w:id="10"/>
    </w:p>
    <w:p w14:paraId="12C24083">
      <w:pPr>
        <w:pStyle w:val="3"/>
        <w:shd w:val="clear" w:color="auto" w:fill="auto"/>
        <w:rPr>
          <w:rFonts w:ascii="Times New Roman" w:hAnsi="Times New Roman" w:eastAsia="仿宋_GB2312"/>
          <w:color w:val="auto"/>
          <w:sz w:val="28"/>
          <w:szCs w:val="18"/>
          <w:highlight w:val="none"/>
        </w:rPr>
      </w:pPr>
      <w:bookmarkStart w:id="11" w:name="_Toc515647757"/>
      <w:bookmarkStart w:id="12" w:name="_Toc520356143"/>
      <w:bookmarkStart w:id="13" w:name="_Toc216582805"/>
      <w:bookmarkStart w:id="14" w:name="_Toc532473449"/>
      <w:bookmarkStart w:id="15" w:name="_Toc21215"/>
      <w:bookmarkStart w:id="16" w:name="_Toc20084"/>
      <w:bookmarkStart w:id="17" w:name="_Toc62194296"/>
      <w:bookmarkStart w:id="18" w:name="_Toc21015"/>
      <w:r>
        <w:rPr>
          <w:rFonts w:ascii="Times New Roman" w:hAnsi="Times New Roman" w:eastAsia="仿宋_GB2312"/>
          <w:color w:val="auto"/>
          <w:sz w:val="28"/>
          <w:szCs w:val="18"/>
          <w:highlight w:val="none"/>
        </w:rPr>
        <w:t>一、</w:t>
      </w:r>
      <w:bookmarkEnd w:id="11"/>
      <w:bookmarkEnd w:id="12"/>
      <w:bookmarkEnd w:id="13"/>
      <w:r>
        <w:rPr>
          <w:rFonts w:ascii="Times New Roman" w:hAnsi="Times New Roman" w:eastAsia="仿宋_GB2312"/>
          <w:color w:val="auto"/>
          <w:sz w:val="28"/>
          <w:szCs w:val="18"/>
          <w:highlight w:val="none"/>
        </w:rPr>
        <w:t>总  则</w:t>
      </w:r>
      <w:bookmarkEnd w:id="14"/>
      <w:bookmarkEnd w:id="15"/>
      <w:bookmarkEnd w:id="16"/>
      <w:bookmarkEnd w:id="17"/>
      <w:bookmarkEnd w:id="18"/>
    </w:p>
    <w:p w14:paraId="0FB50154">
      <w:pPr>
        <w:pStyle w:val="6"/>
        <w:shd w:val="clear" w:color="auto" w:fill="auto"/>
        <w:ind w:firstLine="0" w:firstLineChars="0"/>
        <w:jc w:val="both"/>
        <w:rPr>
          <w:rFonts w:ascii="Times New Roman" w:hAnsi="Times New Roman" w:eastAsia="仿宋_GB2312"/>
          <w:color w:val="auto"/>
          <w:sz w:val="24"/>
          <w:szCs w:val="24"/>
          <w:highlight w:val="none"/>
        </w:rPr>
      </w:pPr>
      <w:bookmarkStart w:id="19" w:name="_Toc520356144"/>
      <w:bookmarkStart w:id="20" w:name="_Toc62194297"/>
      <w:bookmarkStart w:id="21" w:name="_Toc25019"/>
      <w:bookmarkStart w:id="22" w:name="_Toc515647758"/>
      <w:bookmarkStart w:id="23" w:name="_Toc32623"/>
      <w:bookmarkStart w:id="24" w:name="_Toc532473450"/>
      <w:bookmarkStart w:id="25" w:name="_Toc32189"/>
      <w:r>
        <w:rPr>
          <w:rFonts w:ascii="Times New Roman" w:hAnsi="Times New Roman" w:eastAsia="仿宋_GB2312"/>
          <w:color w:val="auto"/>
          <w:sz w:val="24"/>
          <w:szCs w:val="24"/>
          <w:highlight w:val="none"/>
        </w:rPr>
        <w:t>1.     采购人、采购代理机构及</w:t>
      </w:r>
      <w:bookmarkEnd w:id="19"/>
      <w:r>
        <w:rPr>
          <w:rFonts w:ascii="Times New Roman" w:hAnsi="Times New Roman" w:eastAsia="仿宋_GB2312"/>
          <w:color w:val="auto"/>
          <w:sz w:val="24"/>
          <w:szCs w:val="24"/>
          <w:highlight w:val="none"/>
        </w:rPr>
        <w:t>投标人</w:t>
      </w:r>
      <w:bookmarkEnd w:id="20"/>
      <w:bookmarkEnd w:id="21"/>
      <w:bookmarkEnd w:id="22"/>
      <w:bookmarkEnd w:id="23"/>
      <w:bookmarkEnd w:id="24"/>
      <w:bookmarkEnd w:id="25"/>
    </w:p>
    <w:p w14:paraId="0E1B2C05">
      <w:pPr>
        <w:shd w:val="clear" w:color="auto" w:fill="auto"/>
        <w:tabs>
          <w:tab w:val="left" w:pos="0"/>
        </w:tabs>
        <w:spacing w:line="360" w:lineRule="auto"/>
        <w:rPr>
          <w:rFonts w:eastAsia="仿宋_GB2312"/>
          <w:color w:val="auto"/>
          <w:sz w:val="24"/>
          <w:highlight w:val="none"/>
        </w:rPr>
      </w:pPr>
      <w:r>
        <w:rPr>
          <w:rFonts w:eastAsia="仿宋_GB2312"/>
          <w:color w:val="auto"/>
          <w:sz w:val="24"/>
          <w:highlight w:val="none"/>
        </w:rPr>
        <w:t>1.1    采购人：是指依法进行政府采购的国家机关、事业单位、团体组织。</w:t>
      </w:r>
    </w:p>
    <w:p w14:paraId="5E17543C">
      <w:pPr>
        <w:shd w:val="clear" w:color="auto" w:fill="auto"/>
        <w:tabs>
          <w:tab w:val="left" w:pos="0"/>
        </w:tabs>
        <w:spacing w:line="360" w:lineRule="auto"/>
        <w:ind w:firstLine="840" w:firstLineChars="350"/>
        <w:rPr>
          <w:rFonts w:eastAsia="仿宋_GB2312"/>
          <w:color w:val="auto"/>
          <w:sz w:val="24"/>
          <w:highlight w:val="none"/>
        </w:rPr>
      </w:pPr>
      <w:r>
        <w:rPr>
          <w:rFonts w:eastAsia="仿宋_GB2312"/>
          <w:color w:val="auto"/>
          <w:sz w:val="24"/>
          <w:highlight w:val="none"/>
        </w:rPr>
        <w:t>本项目的采购人见</w:t>
      </w:r>
      <w:r>
        <w:rPr>
          <w:rFonts w:eastAsia="仿宋_GB2312"/>
          <w:color w:val="auto"/>
          <w:sz w:val="24"/>
          <w:highlight w:val="none"/>
          <w:u w:val="single"/>
        </w:rPr>
        <w:t>投标人须知前附表</w:t>
      </w:r>
      <w:r>
        <w:rPr>
          <w:rFonts w:eastAsia="仿宋_GB2312"/>
          <w:color w:val="auto"/>
          <w:sz w:val="24"/>
          <w:highlight w:val="none"/>
        </w:rPr>
        <w:t>。</w:t>
      </w:r>
    </w:p>
    <w:p w14:paraId="5DC33D34">
      <w:pPr>
        <w:shd w:val="clear" w:color="auto" w:fill="auto"/>
        <w:tabs>
          <w:tab w:val="left" w:pos="142"/>
        </w:tabs>
        <w:spacing w:line="360" w:lineRule="auto"/>
        <w:ind w:left="828" w:hanging="828" w:hangingChars="345"/>
        <w:rPr>
          <w:rFonts w:eastAsia="仿宋_GB2312"/>
          <w:color w:val="auto"/>
          <w:sz w:val="24"/>
          <w:highlight w:val="none"/>
        </w:rPr>
      </w:pPr>
      <w:r>
        <w:rPr>
          <w:rFonts w:eastAsia="仿宋_GB2312"/>
          <w:color w:val="auto"/>
          <w:sz w:val="24"/>
          <w:highlight w:val="none"/>
        </w:rPr>
        <w:t>1.2    采购代理机构：本项目的采购代理机构为陕西省采购招标有限责任公司，见</w:t>
      </w:r>
      <w:r>
        <w:rPr>
          <w:rFonts w:eastAsia="仿宋_GB2312"/>
          <w:color w:val="auto"/>
          <w:sz w:val="24"/>
          <w:highlight w:val="none"/>
          <w:u w:val="single"/>
        </w:rPr>
        <w:t>投标人须知前附表。</w:t>
      </w:r>
    </w:p>
    <w:p w14:paraId="406A13F3">
      <w:pPr>
        <w:shd w:val="clear" w:color="auto" w:fill="auto"/>
        <w:tabs>
          <w:tab w:val="left" w:pos="142"/>
        </w:tabs>
        <w:spacing w:line="360" w:lineRule="auto"/>
        <w:ind w:left="828" w:hanging="828" w:hangingChars="345"/>
        <w:rPr>
          <w:rFonts w:eastAsia="仿宋_GB2312"/>
          <w:color w:val="auto"/>
          <w:sz w:val="24"/>
          <w:highlight w:val="none"/>
        </w:rPr>
      </w:pPr>
      <w:r>
        <w:rPr>
          <w:rFonts w:eastAsia="仿宋_GB2312"/>
          <w:color w:val="auto"/>
          <w:sz w:val="24"/>
          <w:highlight w:val="none"/>
        </w:rPr>
        <w:t>1.3    投标人：是指响应招标、参加投标竞争的法人、其他组织或者自然人。潜在投标人：以招标文件规定的方式获取本项目招标文件的法人、其他组织或者自然人。</w:t>
      </w:r>
    </w:p>
    <w:p w14:paraId="7FBC4B4A">
      <w:pPr>
        <w:shd w:val="clear" w:color="auto" w:fill="auto"/>
        <w:spacing w:line="360" w:lineRule="auto"/>
        <w:ind w:left="0" w:leftChars="0" w:firstLine="840" w:firstLineChars="350"/>
        <w:rPr>
          <w:rFonts w:eastAsia="仿宋_GB2312"/>
          <w:color w:val="auto"/>
          <w:sz w:val="24"/>
          <w:highlight w:val="none"/>
        </w:rPr>
      </w:pPr>
      <w:r>
        <w:rPr>
          <w:rFonts w:eastAsia="仿宋_GB2312"/>
          <w:color w:val="auto"/>
          <w:sz w:val="24"/>
          <w:highlight w:val="none"/>
        </w:rPr>
        <w:t>本项目的投标人须满足以下条件：</w:t>
      </w:r>
    </w:p>
    <w:p w14:paraId="091E1DDA">
      <w:pPr>
        <w:shd w:val="clear" w:color="auto" w:fill="auto"/>
        <w:spacing w:line="360" w:lineRule="auto"/>
        <w:ind w:left="838" w:hanging="837" w:hangingChars="349"/>
        <w:rPr>
          <w:rFonts w:eastAsia="仿宋_GB2312"/>
          <w:color w:val="auto"/>
          <w:sz w:val="24"/>
          <w:highlight w:val="none"/>
        </w:rPr>
      </w:pPr>
      <w:r>
        <w:rPr>
          <w:rFonts w:eastAsia="仿宋_GB2312"/>
          <w:color w:val="auto"/>
          <w:sz w:val="24"/>
          <w:highlight w:val="none"/>
        </w:rPr>
        <w:t xml:space="preserve">1.3.1  </w:t>
      </w:r>
      <w:r>
        <w:rPr>
          <w:rFonts w:hint="eastAsia" w:eastAsia="仿宋_GB2312"/>
          <w:color w:val="auto"/>
          <w:sz w:val="24"/>
          <w:highlight w:val="none"/>
          <w:lang w:val="en-US" w:eastAsia="zh-CN"/>
        </w:rPr>
        <w:t xml:space="preserve"> </w:t>
      </w:r>
      <w:r>
        <w:rPr>
          <w:rFonts w:eastAsia="仿宋_GB2312"/>
          <w:color w:val="auto"/>
          <w:sz w:val="24"/>
          <w:highlight w:val="none"/>
        </w:rPr>
        <w:t>具备《中华人民共和国政府采购法》第二十二条关于</w:t>
      </w:r>
      <w:r>
        <w:rPr>
          <w:rFonts w:hint="eastAsia" w:eastAsia="仿宋_GB2312"/>
          <w:color w:val="auto"/>
          <w:sz w:val="24"/>
          <w:highlight w:val="none"/>
        </w:rPr>
        <w:t>投标人</w:t>
      </w:r>
      <w:r>
        <w:rPr>
          <w:rFonts w:eastAsia="仿宋_GB2312"/>
          <w:color w:val="auto"/>
          <w:sz w:val="24"/>
          <w:highlight w:val="none"/>
        </w:rPr>
        <w:t>条件的规定，遵守本项目采购人和财政部门政府采购的有关规定。</w:t>
      </w:r>
    </w:p>
    <w:p w14:paraId="14886FBB">
      <w:pPr>
        <w:shd w:val="clear" w:color="auto" w:fill="auto"/>
        <w:spacing w:line="360" w:lineRule="auto"/>
        <w:ind w:left="900" w:hanging="900" w:hangingChars="375"/>
        <w:rPr>
          <w:rFonts w:eastAsia="仿宋_GB2312"/>
          <w:color w:val="auto"/>
          <w:sz w:val="24"/>
          <w:highlight w:val="none"/>
        </w:rPr>
      </w:pPr>
      <w:r>
        <w:rPr>
          <w:rFonts w:eastAsia="仿宋_GB2312"/>
          <w:color w:val="auto"/>
          <w:sz w:val="24"/>
          <w:highlight w:val="none"/>
        </w:rPr>
        <w:t xml:space="preserve">1.3.2  </w:t>
      </w:r>
      <w:r>
        <w:rPr>
          <w:rFonts w:hint="eastAsia" w:eastAsia="仿宋_GB2312"/>
          <w:color w:val="auto"/>
          <w:sz w:val="24"/>
          <w:highlight w:val="none"/>
          <w:lang w:val="en-US" w:eastAsia="zh-CN"/>
        </w:rPr>
        <w:t xml:space="preserve"> </w:t>
      </w:r>
      <w:r>
        <w:rPr>
          <w:rFonts w:eastAsia="仿宋_GB2312"/>
          <w:color w:val="auto"/>
          <w:sz w:val="24"/>
          <w:highlight w:val="none"/>
        </w:rPr>
        <w:t>以招标文件规定的方式获得了本项目的招标文件。</w:t>
      </w:r>
    </w:p>
    <w:p w14:paraId="5B5D980A">
      <w:pPr>
        <w:shd w:val="clear" w:color="auto" w:fill="auto"/>
        <w:spacing w:line="360" w:lineRule="auto"/>
        <w:ind w:left="900" w:hanging="900" w:hangingChars="375"/>
        <w:rPr>
          <w:rFonts w:eastAsia="仿宋_GB2312"/>
          <w:color w:val="auto"/>
          <w:sz w:val="24"/>
          <w:highlight w:val="none"/>
        </w:rPr>
      </w:pPr>
      <w:r>
        <w:rPr>
          <w:rFonts w:eastAsia="仿宋_GB2312"/>
          <w:color w:val="auto"/>
          <w:sz w:val="24"/>
          <w:highlight w:val="none"/>
        </w:rPr>
        <w:t xml:space="preserve">1.3.3  </w:t>
      </w:r>
      <w:r>
        <w:rPr>
          <w:rFonts w:hint="eastAsia" w:eastAsia="仿宋_GB2312"/>
          <w:color w:val="auto"/>
          <w:sz w:val="24"/>
          <w:highlight w:val="none"/>
          <w:lang w:val="en-US" w:eastAsia="zh-CN"/>
        </w:rPr>
        <w:t xml:space="preserve"> </w:t>
      </w:r>
      <w:r>
        <w:rPr>
          <w:rFonts w:eastAsia="仿宋_GB2312"/>
          <w:color w:val="auto"/>
          <w:sz w:val="24"/>
          <w:highlight w:val="none"/>
        </w:rPr>
        <w:t>符合</w:t>
      </w:r>
      <w:r>
        <w:rPr>
          <w:rFonts w:eastAsia="仿宋_GB2312"/>
          <w:color w:val="auto"/>
          <w:sz w:val="24"/>
          <w:highlight w:val="none"/>
          <w:u w:val="single"/>
        </w:rPr>
        <w:t>投标人须知前附表</w:t>
      </w:r>
      <w:r>
        <w:rPr>
          <w:rFonts w:eastAsia="仿宋_GB2312"/>
          <w:color w:val="auto"/>
          <w:sz w:val="24"/>
          <w:highlight w:val="none"/>
        </w:rPr>
        <w:t>中规定的合格投标人的其他资格要求。</w:t>
      </w:r>
    </w:p>
    <w:p w14:paraId="0774AB1E">
      <w:pPr>
        <w:shd w:val="clear" w:color="auto" w:fill="auto"/>
        <w:spacing w:line="360" w:lineRule="auto"/>
        <w:ind w:left="838" w:hanging="837" w:hangingChars="349"/>
        <w:rPr>
          <w:rFonts w:eastAsia="仿宋_GB2312"/>
          <w:color w:val="auto"/>
          <w:sz w:val="24"/>
          <w:highlight w:val="none"/>
        </w:rPr>
      </w:pPr>
      <w:r>
        <w:rPr>
          <w:rFonts w:eastAsia="仿宋_GB2312"/>
          <w:color w:val="auto"/>
          <w:sz w:val="24"/>
          <w:highlight w:val="none"/>
        </w:rPr>
        <w:t xml:space="preserve">1.3.4  </w:t>
      </w:r>
      <w:r>
        <w:rPr>
          <w:rFonts w:hint="eastAsia" w:eastAsia="仿宋_GB2312"/>
          <w:color w:val="auto"/>
          <w:sz w:val="24"/>
          <w:highlight w:val="none"/>
          <w:lang w:val="en-US" w:eastAsia="zh-CN"/>
        </w:rPr>
        <w:t xml:space="preserve"> </w:t>
      </w:r>
      <w:r>
        <w:rPr>
          <w:rFonts w:eastAsia="仿宋_GB2312"/>
          <w:color w:val="auto"/>
          <w:sz w:val="24"/>
          <w:highlight w:val="none"/>
        </w:rPr>
        <w:t>若</w:t>
      </w:r>
      <w:r>
        <w:rPr>
          <w:rFonts w:eastAsia="仿宋_GB2312"/>
          <w:color w:val="auto"/>
          <w:sz w:val="24"/>
          <w:highlight w:val="none"/>
          <w:u w:val="single"/>
        </w:rPr>
        <w:t>投标人须知前附表</w:t>
      </w:r>
      <w:r>
        <w:rPr>
          <w:rFonts w:eastAsia="仿宋_GB2312"/>
          <w:color w:val="auto"/>
          <w:sz w:val="24"/>
          <w:highlight w:val="none"/>
        </w:rPr>
        <w:t>中写明专门面向中小企业采购的，如投标人未出具《中小企业声明函》，其投标将被认定为</w:t>
      </w:r>
      <w:r>
        <w:rPr>
          <w:rFonts w:eastAsia="仿宋_GB2312"/>
          <w:b/>
          <w:bCs/>
          <w:color w:val="auto"/>
          <w:sz w:val="24"/>
          <w:highlight w:val="none"/>
        </w:rPr>
        <w:t>投标无效</w:t>
      </w:r>
      <w:r>
        <w:rPr>
          <w:rFonts w:eastAsia="仿宋_GB2312"/>
          <w:color w:val="auto"/>
          <w:sz w:val="24"/>
          <w:highlight w:val="none"/>
        </w:rPr>
        <w:t>。</w:t>
      </w:r>
    </w:p>
    <w:p w14:paraId="3B3F5797">
      <w:pPr>
        <w:shd w:val="clear" w:color="auto" w:fill="auto"/>
        <w:spacing w:line="360" w:lineRule="auto"/>
        <w:ind w:left="838" w:hanging="837" w:hangingChars="349"/>
        <w:rPr>
          <w:rFonts w:eastAsia="仿宋_GB2312"/>
          <w:color w:val="auto"/>
          <w:sz w:val="24"/>
          <w:highlight w:val="none"/>
        </w:rPr>
      </w:pPr>
      <w:r>
        <w:rPr>
          <w:rFonts w:eastAsia="仿宋_GB2312"/>
          <w:color w:val="auto"/>
          <w:sz w:val="24"/>
          <w:highlight w:val="none"/>
        </w:rPr>
        <w:t xml:space="preserve">1.3.5  </w:t>
      </w:r>
      <w:r>
        <w:rPr>
          <w:rFonts w:hint="eastAsia" w:eastAsia="仿宋_GB2312"/>
          <w:color w:val="auto"/>
          <w:sz w:val="24"/>
          <w:highlight w:val="none"/>
          <w:lang w:val="en-US" w:eastAsia="zh-CN"/>
        </w:rPr>
        <w:t xml:space="preserve"> </w:t>
      </w:r>
      <w:r>
        <w:rPr>
          <w:rFonts w:eastAsia="仿宋_GB2312"/>
          <w:color w:val="auto"/>
          <w:sz w:val="24"/>
          <w:highlight w:val="none"/>
        </w:rPr>
        <w:t>若</w:t>
      </w:r>
      <w:r>
        <w:rPr>
          <w:rFonts w:eastAsia="仿宋_GB2312"/>
          <w:color w:val="auto"/>
          <w:sz w:val="24"/>
          <w:highlight w:val="none"/>
          <w:u w:val="single"/>
        </w:rPr>
        <w:t>投标人须知前附表</w:t>
      </w:r>
      <w:r>
        <w:rPr>
          <w:rFonts w:eastAsia="仿宋_GB2312"/>
          <w:color w:val="auto"/>
          <w:sz w:val="24"/>
          <w:highlight w:val="none"/>
        </w:rPr>
        <w:t>中写明允许采购进口产品，投标人应保证所投产品可履行合法报通关手续进入中国关境内。</w:t>
      </w:r>
    </w:p>
    <w:p w14:paraId="084C82FB">
      <w:pPr>
        <w:shd w:val="clear" w:color="auto" w:fill="auto"/>
        <w:spacing w:line="360" w:lineRule="auto"/>
        <w:ind w:left="840" w:leftChars="400"/>
        <w:rPr>
          <w:rFonts w:eastAsia="仿宋_GB2312"/>
          <w:color w:val="auto"/>
          <w:sz w:val="24"/>
          <w:highlight w:val="none"/>
        </w:rPr>
      </w:pPr>
      <w:r>
        <w:rPr>
          <w:rFonts w:eastAsia="仿宋_GB2312"/>
          <w:color w:val="auto"/>
          <w:sz w:val="24"/>
          <w:highlight w:val="none"/>
        </w:rPr>
        <w:t>若</w:t>
      </w:r>
      <w:r>
        <w:rPr>
          <w:rFonts w:eastAsia="仿宋_GB2312"/>
          <w:color w:val="auto"/>
          <w:sz w:val="24"/>
          <w:highlight w:val="none"/>
          <w:u w:val="single"/>
        </w:rPr>
        <w:t>投标人须知前附表中</w:t>
      </w:r>
      <w:r>
        <w:rPr>
          <w:rFonts w:eastAsia="仿宋_GB2312"/>
          <w:color w:val="auto"/>
          <w:sz w:val="24"/>
          <w:highlight w:val="none"/>
        </w:rPr>
        <w:t>不允许采购进口产品，如投标人所投产品为进口产品，其投标将被认定为</w:t>
      </w:r>
      <w:r>
        <w:rPr>
          <w:rFonts w:eastAsia="仿宋_GB2312"/>
          <w:b/>
          <w:bCs/>
          <w:color w:val="auto"/>
          <w:sz w:val="24"/>
          <w:highlight w:val="none"/>
        </w:rPr>
        <w:t>投标无效</w:t>
      </w:r>
      <w:r>
        <w:rPr>
          <w:rFonts w:eastAsia="仿宋_GB2312"/>
          <w:color w:val="auto"/>
          <w:sz w:val="24"/>
          <w:highlight w:val="none"/>
        </w:rPr>
        <w:t>。</w:t>
      </w:r>
    </w:p>
    <w:p w14:paraId="561D61B4">
      <w:pPr>
        <w:shd w:val="clear" w:color="auto" w:fill="auto"/>
        <w:spacing w:line="360" w:lineRule="auto"/>
        <w:ind w:left="900" w:hanging="900" w:hangingChars="375"/>
        <w:rPr>
          <w:rFonts w:eastAsia="仿宋_GB2312"/>
          <w:color w:val="auto"/>
          <w:sz w:val="24"/>
          <w:highlight w:val="none"/>
        </w:rPr>
      </w:pPr>
      <w:r>
        <w:rPr>
          <w:rFonts w:eastAsia="仿宋_GB2312"/>
          <w:color w:val="auto"/>
          <w:sz w:val="24"/>
          <w:highlight w:val="none"/>
        </w:rPr>
        <w:t>1.4    如</w:t>
      </w:r>
      <w:r>
        <w:rPr>
          <w:rFonts w:eastAsia="仿宋_GB2312"/>
          <w:color w:val="auto"/>
          <w:sz w:val="24"/>
          <w:highlight w:val="none"/>
          <w:u w:val="single"/>
        </w:rPr>
        <w:t>投标人须知前附表</w:t>
      </w:r>
      <w:r>
        <w:rPr>
          <w:rFonts w:eastAsia="仿宋_GB2312"/>
          <w:color w:val="auto"/>
          <w:sz w:val="24"/>
          <w:highlight w:val="none"/>
        </w:rPr>
        <w:t>中允许联合体投标，对联合体规定如下：</w:t>
      </w:r>
    </w:p>
    <w:p w14:paraId="341F0E3E">
      <w:pPr>
        <w:shd w:val="clear" w:color="auto" w:fill="auto"/>
        <w:spacing w:line="360" w:lineRule="auto"/>
        <w:ind w:left="900" w:hanging="900" w:hangingChars="375"/>
        <w:rPr>
          <w:rFonts w:eastAsia="仿宋_GB2312"/>
          <w:color w:val="auto"/>
          <w:sz w:val="24"/>
          <w:highlight w:val="none"/>
        </w:rPr>
      </w:pPr>
      <w:r>
        <w:rPr>
          <w:rFonts w:eastAsia="仿宋_GB2312"/>
          <w:color w:val="auto"/>
          <w:sz w:val="24"/>
          <w:highlight w:val="none"/>
        </w:rPr>
        <w:t xml:space="preserve">1.4.1  </w:t>
      </w:r>
      <w:r>
        <w:rPr>
          <w:rFonts w:hint="eastAsia" w:eastAsia="仿宋_GB2312"/>
          <w:color w:val="auto"/>
          <w:sz w:val="24"/>
          <w:highlight w:val="none"/>
          <w:lang w:val="en-US" w:eastAsia="zh-CN"/>
        </w:rPr>
        <w:t xml:space="preserve"> </w:t>
      </w:r>
      <w:r>
        <w:rPr>
          <w:rFonts w:eastAsia="仿宋_GB2312"/>
          <w:color w:val="auto"/>
          <w:sz w:val="24"/>
          <w:highlight w:val="none"/>
        </w:rPr>
        <w:t>两个及以上</w:t>
      </w:r>
      <w:r>
        <w:rPr>
          <w:rFonts w:hint="eastAsia" w:eastAsia="仿宋_GB2312"/>
          <w:color w:val="auto"/>
          <w:sz w:val="24"/>
          <w:highlight w:val="none"/>
        </w:rPr>
        <w:t>投标人</w:t>
      </w:r>
      <w:r>
        <w:rPr>
          <w:rFonts w:eastAsia="仿宋_GB2312"/>
          <w:color w:val="auto"/>
          <w:sz w:val="24"/>
          <w:highlight w:val="none"/>
        </w:rPr>
        <w:t>可以组成一个投标联合体，以一个投标人的身份投标。</w:t>
      </w:r>
    </w:p>
    <w:p w14:paraId="29C52D2C">
      <w:pPr>
        <w:shd w:val="clear" w:color="auto" w:fill="auto"/>
        <w:spacing w:line="360" w:lineRule="auto"/>
        <w:ind w:left="900" w:hanging="900" w:hangingChars="375"/>
        <w:rPr>
          <w:rFonts w:eastAsia="仿宋_GB2312"/>
          <w:color w:val="auto"/>
          <w:sz w:val="24"/>
          <w:highlight w:val="none"/>
        </w:rPr>
      </w:pPr>
      <w:r>
        <w:rPr>
          <w:rFonts w:eastAsia="仿宋_GB2312"/>
          <w:color w:val="auto"/>
          <w:sz w:val="24"/>
          <w:highlight w:val="none"/>
        </w:rPr>
        <w:t xml:space="preserve">1.4.2  </w:t>
      </w:r>
      <w:r>
        <w:rPr>
          <w:rFonts w:hint="eastAsia" w:eastAsia="仿宋_GB2312"/>
          <w:color w:val="auto"/>
          <w:sz w:val="24"/>
          <w:highlight w:val="none"/>
          <w:lang w:val="en-US" w:eastAsia="zh-CN"/>
        </w:rPr>
        <w:t xml:space="preserve"> </w:t>
      </w:r>
      <w:r>
        <w:rPr>
          <w:rFonts w:eastAsia="仿宋_GB2312"/>
          <w:color w:val="auto"/>
          <w:sz w:val="24"/>
          <w:highlight w:val="none"/>
        </w:rPr>
        <w:t>联合体各方均应符合本须知规定。</w:t>
      </w:r>
    </w:p>
    <w:p w14:paraId="4C23BBE3">
      <w:pPr>
        <w:shd w:val="clear" w:color="auto" w:fill="auto"/>
        <w:spacing w:line="360" w:lineRule="auto"/>
        <w:ind w:left="840" w:leftChars="0" w:hanging="840" w:hangingChars="350"/>
        <w:rPr>
          <w:rFonts w:eastAsia="仿宋_GB2312"/>
          <w:color w:val="auto"/>
          <w:sz w:val="24"/>
          <w:highlight w:val="none"/>
        </w:rPr>
      </w:pPr>
      <w:r>
        <w:rPr>
          <w:rFonts w:eastAsia="仿宋_GB2312"/>
          <w:color w:val="auto"/>
          <w:sz w:val="24"/>
          <w:highlight w:val="none"/>
        </w:rPr>
        <w:t xml:space="preserve">1.4.3  </w:t>
      </w:r>
      <w:r>
        <w:rPr>
          <w:rFonts w:hint="eastAsia" w:eastAsia="仿宋_GB2312"/>
          <w:color w:val="auto"/>
          <w:sz w:val="24"/>
          <w:highlight w:val="none"/>
          <w:lang w:val="en-US" w:eastAsia="zh-CN"/>
        </w:rPr>
        <w:t xml:space="preserve"> </w:t>
      </w:r>
      <w:r>
        <w:rPr>
          <w:rFonts w:eastAsia="仿宋_GB2312"/>
          <w:color w:val="auto"/>
          <w:sz w:val="24"/>
          <w:highlight w:val="none"/>
        </w:rPr>
        <w:t>采购人根据采购项目对投标人的特殊要求，联合体中至少应当有一方符合相关规定。</w:t>
      </w:r>
    </w:p>
    <w:p w14:paraId="3E90F5D7">
      <w:pPr>
        <w:shd w:val="clear" w:color="auto" w:fill="auto"/>
        <w:spacing w:line="360" w:lineRule="auto"/>
        <w:ind w:left="900" w:hanging="900" w:hangingChars="375"/>
        <w:rPr>
          <w:rFonts w:eastAsia="仿宋_GB2312"/>
          <w:color w:val="auto"/>
          <w:sz w:val="24"/>
          <w:highlight w:val="none"/>
        </w:rPr>
      </w:pPr>
      <w:r>
        <w:rPr>
          <w:rFonts w:eastAsia="仿宋_GB2312"/>
          <w:color w:val="auto"/>
          <w:sz w:val="24"/>
          <w:highlight w:val="none"/>
        </w:rPr>
        <w:t xml:space="preserve">1.4.4  </w:t>
      </w:r>
      <w:r>
        <w:rPr>
          <w:rFonts w:hint="eastAsia" w:eastAsia="仿宋_GB2312"/>
          <w:color w:val="auto"/>
          <w:sz w:val="24"/>
          <w:highlight w:val="none"/>
          <w:lang w:val="en-US" w:eastAsia="zh-CN"/>
        </w:rPr>
        <w:t xml:space="preserve"> </w:t>
      </w:r>
      <w:r>
        <w:rPr>
          <w:rFonts w:eastAsia="仿宋_GB2312"/>
          <w:color w:val="auto"/>
          <w:sz w:val="24"/>
          <w:highlight w:val="none"/>
        </w:rPr>
        <w:t>联合体各方应签订共同投标协议，明确约定联合体各方承担的工作和相应的责任，并将共同投标协议作为投标文件</w:t>
      </w:r>
      <w:r>
        <w:rPr>
          <w:rFonts w:hint="eastAsia" w:eastAsia="仿宋_GB2312"/>
          <w:color w:val="auto"/>
          <w:sz w:val="24"/>
          <w:highlight w:val="none"/>
        </w:rPr>
        <w:t>资格证明文件</w:t>
      </w:r>
      <w:r>
        <w:rPr>
          <w:rFonts w:eastAsia="仿宋_GB2312"/>
          <w:color w:val="auto"/>
          <w:sz w:val="24"/>
          <w:highlight w:val="none"/>
        </w:rPr>
        <w:t>的内容提交。</w:t>
      </w:r>
    </w:p>
    <w:p w14:paraId="6D2CEA31">
      <w:pPr>
        <w:shd w:val="clear" w:color="auto" w:fill="auto"/>
        <w:spacing w:line="360" w:lineRule="auto"/>
        <w:ind w:left="900" w:hanging="900" w:hangingChars="375"/>
        <w:rPr>
          <w:rFonts w:eastAsia="仿宋_GB2312"/>
          <w:color w:val="auto"/>
          <w:sz w:val="24"/>
          <w:highlight w:val="none"/>
        </w:rPr>
      </w:pPr>
      <w:r>
        <w:rPr>
          <w:rFonts w:eastAsia="仿宋_GB2312"/>
          <w:color w:val="auto"/>
          <w:sz w:val="24"/>
          <w:highlight w:val="none"/>
        </w:rPr>
        <w:t xml:space="preserve">1.4.5  </w:t>
      </w:r>
      <w:r>
        <w:rPr>
          <w:rFonts w:hint="eastAsia" w:eastAsia="仿宋_GB2312"/>
          <w:color w:val="auto"/>
          <w:sz w:val="24"/>
          <w:highlight w:val="none"/>
          <w:lang w:val="en-US" w:eastAsia="zh-CN"/>
        </w:rPr>
        <w:t xml:space="preserve"> </w:t>
      </w:r>
      <w:r>
        <w:rPr>
          <w:rFonts w:eastAsia="仿宋_GB2312"/>
          <w:color w:val="auto"/>
          <w:sz w:val="24"/>
          <w:highlight w:val="none"/>
        </w:rPr>
        <w:t>大中型企业、其他自然人、法人或者其他组织与小型、微型企业组成联合体共同参加投标，共同投标协议中应写明小型、微型企业的协议合同金额占到共同投标协议投标总金额的比例。</w:t>
      </w:r>
    </w:p>
    <w:p w14:paraId="7EB74363">
      <w:pPr>
        <w:shd w:val="clear" w:color="auto" w:fill="auto"/>
        <w:spacing w:line="360" w:lineRule="auto"/>
        <w:ind w:left="900" w:hanging="900" w:hangingChars="375"/>
        <w:rPr>
          <w:rFonts w:eastAsia="仿宋_GB2312"/>
          <w:color w:val="auto"/>
          <w:sz w:val="24"/>
          <w:highlight w:val="none"/>
        </w:rPr>
      </w:pPr>
      <w:r>
        <w:rPr>
          <w:rFonts w:eastAsia="仿宋_GB2312"/>
          <w:color w:val="auto"/>
          <w:sz w:val="24"/>
          <w:highlight w:val="none"/>
        </w:rPr>
        <w:t xml:space="preserve">1.4.6  </w:t>
      </w:r>
      <w:r>
        <w:rPr>
          <w:rFonts w:hint="eastAsia" w:eastAsia="仿宋_GB2312"/>
          <w:color w:val="auto"/>
          <w:sz w:val="24"/>
          <w:highlight w:val="none"/>
          <w:lang w:val="en-US" w:eastAsia="zh-CN"/>
        </w:rPr>
        <w:t xml:space="preserve"> </w:t>
      </w:r>
      <w:r>
        <w:rPr>
          <w:rFonts w:eastAsia="仿宋_GB2312"/>
          <w:color w:val="auto"/>
          <w:sz w:val="24"/>
          <w:highlight w:val="none"/>
        </w:rPr>
        <w:t>以联合体形式参加政府采购活动的，联合体各方不得再单独参加或者与其他</w:t>
      </w:r>
      <w:r>
        <w:rPr>
          <w:rFonts w:hint="eastAsia" w:eastAsia="仿宋_GB2312"/>
          <w:color w:val="auto"/>
          <w:sz w:val="24"/>
          <w:highlight w:val="none"/>
        </w:rPr>
        <w:t>投标人</w:t>
      </w:r>
      <w:r>
        <w:rPr>
          <w:rFonts w:eastAsia="仿宋_GB2312"/>
          <w:color w:val="auto"/>
          <w:sz w:val="24"/>
          <w:highlight w:val="none"/>
        </w:rPr>
        <w:t>另外组成联合体参加本项目同一合同项下的投标，否则相关投标将被认定为</w:t>
      </w:r>
      <w:r>
        <w:rPr>
          <w:rFonts w:eastAsia="仿宋_GB2312"/>
          <w:b/>
          <w:color w:val="auto"/>
          <w:sz w:val="24"/>
          <w:highlight w:val="none"/>
        </w:rPr>
        <w:t>投标无效。</w:t>
      </w:r>
    </w:p>
    <w:p w14:paraId="7C13B5E0">
      <w:pPr>
        <w:shd w:val="clear" w:color="auto" w:fill="auto"/>
        <w:spacing w:line="360" w:lineRule="auto"/>
        <w:ind w:left="900" w:hanging="900" w:hangingChars="375"/>
        <w:rPr>
          <w:rFonts w:eastAsia="仿宋_GB2312"/>
          <w:color w:val="auto"/>
          <w:sz w:val="24"/>
          <w:highlight w:val="none"/>
        </w:rPr>
      </w:pPr>
      <w:r>
        <w:rPr>
          <w:rFonts w:eastAsia="仿宋_GB2312"/>
          <w:color w:val="auto"/>
          <w:sz w:val="24"/>
          <w:highlight w:val="none"/>
        </w:rPr>
        <w:t xml:space="preserve">1.4.7  </w:t>
      </w:r>
      <w:r>
        <w:rPr>
          <w:rFonts w:hint="eastAsia" w:eastAsia="仿宋_GB2312"/>
          <w:color w:val="auto"/>
          <w:sz w:val="24"/>
          <w:highlight w:val="none"/>
          <w:lang w:val="en-US" w:eastAsia="zh-CN"/>
        </w:rPr>
        <w:t xml:space="preserve"> </w:t>
      </w:r>
      <w:r>
        <w:rPr>
          <w:rFonts w:eastAsia="仿宋_GB2312"/>
          <w:color w:val="auto"/>
          <w:sz w:val="24"/>
          <w:highlight w:val="none"/>
        </w:rPr>
        <w:t>对联合体投标的其他资格要求见</w:t>
      </w:r>
      <w:r>
        <w:rPr>
          <w:rFonts w:eastAsia="仿宋_GB2312"/>
          <w:color w:val="auto"/>
          <w:sz w:val="24"/>
          <w:highlight w:val="none"/>
          <w:u w:val="single"/>
        </w:rPr>
        <w:t>投标人须知前附表</w:t>
      </w:r>
      <w:r>
        <w:rPr>
          <w:rFonts w:eastAsia="仿宋_GB2312"/>
          <w:color w:val="auto"/>
          <w:sz w:val="24"/>
          <w:highlight w:val="none"/>
        </w:rPr>
        <w:t>。</w:t>
      </w:r>
    </w:p>
    <w:p w14:paraId="76601FCF">
      <w:pPr>
        <w:shd w:val="clear" w:color="auto" w:fill="auto"/>
        <w:spacing w:line="360" w:lineRule="auto"/>
        <w:ind w:left="900" w:hanging="900" w:hangingChars="375"/>
        <w:rPr>
          <w:rFonts w:eastAsia="仿宋_GB2312"/>
          <w:color w:val="auto"/>
          <w:sz w:val="24"/>
          <w:highlight w:val="none"/>
        </w:rPr>
      </w:pPr>
      <w:r>
        <w:rPr>
          <w:rFonts w:eastAsia="仿宋_GB2312"/>
          <w:color w:val="auto"/>
          <w:sz w:val="24"/>
          <w:highlight w:val="none"/>
        </w:rPr>
        <w:t xml:space="preserve">1.5    </w:t>
      </w:r>
      <w:r>
        <w:rPr>
          <w:rFonts w:hint="eastAsia" w:eastAsia="仿宋_GB2312"/>
          <w:color w:val="auto"/>
          <w:sz w:val="24"/>
          <w:highlight w:val="none"/>
          <w:lang w:val="en-US" w:eastAsia="zh-CN"/>
        </w:rPr>
        <w:t xml:space="preserve"> </w:t>
      </w:r>
      <w:r>
        <w:rPr>
          <w:rFonts w:eastAsia="仿宋_GB2312"/>
          <w:color w:val="auto"/>
          <w:sz w:val="24"/>
          <w:highlight w:val="none"/>
        </w:rPr>
        <w:t>单位负责人为同一人或者存在直接控股、管理关系的不同</w:t>
      </w:r>
      <w:r>
        <w:rPr>
          <w:rFonts w:hint="eastAsia" w:eastAsia="仿宋_GB2312"/>
          <w:color w:val="auto"/>
          <w:sz w:val="24"/>
          <w:highlight w:val="none"/>
        </w:rPr>
        <w:t>投标人</w:t>
      </w:r>
      <w:r>
        <w:rPr>
          <w:rFonts w:eastAsia="仿宋_GB2312"/>
          <w:color w:val="auto"/>
          <w:sz w:val="24"/>
          <w:highlight w:val="none"/>
        </w:rPr>
        <w:t>参与本项目同一合同项下的投标的，其相关投标将被认定为</w:t>
      </w:r>
      <w:r>
        <w:rPr>
          <w:rFonts w:eastAsia="仿宋_GB2312"/>
          <w:b/>
          <w:color w:val="auto"/>
          <w:sz w:val="24"/>
          <w:highlight w:val="none"/>
        </w:rPr>
        <w:t>投标无效</w:t>
      </w:r>
      <w:r>
        <w:rPr>
          <w:rFonts w:eastAsia="仿宋_GB2312"/>
          <w:color w:val="auto"/>
          <w:sz w:val="24"/>
          <w:highlight w:val="none"/>
        </w:rPr>
        <w:t>。</w:t>
      </w:r>
    </w:p>
    <w:p w14:paraId="38E2DC55">
      <w:pPr>
        <w:shd w:val="clear" w:color="auto" w:fill="auto"/>
        <w:spacing w:line="360" w:lineRule="auto"/>
        <w:ind w:left="900" w:hanging="900" w:hangingChars="375"/>
        <w:rPr>
          <w:rFonts w:eastAsia="仿宋_GB2312"/>
          <w:color w:val="auto"/>
          <w:sz w:val="24"/>
          <w:highlight w:val="none"/>
        </w:rPr>
      </w:pPr>
      <w:r>
        <w:rPr>
          <w:rFonts w:eastAsia="仿宋_GB2312"/>
          <w:color w:val="auto"/>
          <w:sz w:val="24"/>
          <w:highlight w:val="none"/>
        </w:rPr>
        <w:t xml:space="preserve">1.6    </w:t>
      </w:r>
      <w:r>
        <w:rPr>
          <w:rFonts w:hint="eastAsia" w:eastAsia="仿宋_GB2312"/>
          <w:color w:val="auto"/>
          <w:sz w:val="24"/>
          <w:highlight w:val="none"/>
          <w:lang w:val="en-US" w:eastAsia="zh-CN"/>
        </w:rPr>
        <w:t xml:space="preserve"> </w:t>
      </w:r>
      <w:r>
        <w:rPr>
          <w:rFonts w:eastAsia="仿宋_GB2312"/>
          <w:color w:val="auto"/>
          <w:sz w:val="24"/>
          <w:highlight w:val="none"/>
        </w:rPr>
        <w:t>为本项目提供过整体设计、规范编制或者项目管理、监理、检测等服务的</w:t>
      </w:r>
      <w:r>
        <w:rPr>
          <w:rFonts w:hint="eastAsia" w:eastAsia="仿宋_GB2312"/>
          <w:color w:val="auto"/>
          <w:sz w:val="24"/>
          <w:highlight w:val="none"/>
        </w:rPr>
        <w:t>投标人</w:t>
      </w:r>
      <w:r>
        <w:rPr>
          <w:rFonts w:eastAsia="仿宋_GB2312"/>
          <w:color w:val="auto"/>
          <w:sz w:val="24"/>
          <w:highlight w:val="none"/>
        </w:rPr>
        <w:t>，不得再参加本项目上述服务以外的其他采购活动。否则其投标将被认定为</w:t>
      </w:r>
      <w:r>
        <w:rPr>
          <w:rFonts w:eastAsia="仿宋_GB2312"/>
          <w:b/>
          <w:bCs/>
          <w:color w:val="auto"/>
          <w:sz w:val="24"/>
          <w:highlight w:val="none"/>
        </w:rPr>
        <w:t>投标无效</w:t>
      </w:r>
      <w:r>
        <w:rPr>
          <w:rFonts w:eastAsia="仿宋_GB2312"/>
          <w:color w:val="auto"/>
          <w:sz w:val="24"/>
          <w:highlight w:val="none"/>
        </w:rPr>
        <w:t>。</w:t>
      </w:r>
    </w:p>
    <w:p w14:paraId="12176D93">
      <w:pPr>
        <w:pStyle w:val="14"/>
        <w:shd w:val="clear" w:color="auto" w:fill="auto"/>
        <w:rPr>
          <w:rFonts w:ascii="Times New Roman" w:hAnsi="Times New Roman" w:eastAsia="仿宋_GB2312"/>
          <w:color w:val="auto"/>
          <w:highlight w:val="none"/>
        </w:rPr>
      </w:pPr>
      <w:r>
        <w:rPr>
          <w:rFonts w:ascii="Times New Roman" w:hAnsi="Times New Roman" w:eastAsia="仿宋_GB2312"/>
          <w:color w:val="auto"/>
          <w:highlight w:val="none"/>
        </w:rPr>
        <w:t>1.7    本项目所属行业见</w:t>
      </w:r>
      <w:r>
        <w:rPr>
          <w:rFonts w:ascii="Times New Roman" w:hAnsi="Times New Roman" w:eastAsia="仿宋_GB2312"/>
          <w:color w:val="auto"/>
          <w:highlight w:val="none"/>
          <w:u w:val="single"/>
        </w:rPr>
        <w:t>投标人须知前附表</w:t>
      </w:r>
      <w:r>
        <w:rPr>
          <w:rFonts w:ascii="Times New Roman" w:hAnsi="Times New Roman" w:eastAsia="仿宋_GB2312"/>
          <w:color w:val="auto"/>
          <w:highlight w:val="none"/>
        </w:rPr>
        <w:t>。</w:t>
      </w:r>
    </w:p>
    <w:p w14:paraId="41CAD201">
      <w:pPr>
        <w:pStyle w:val="6"/>
        <w:shd w:val="clear" w:color="auto" w:fill="auto"/>
        <w:ind w:firstLine="0" w:firstLineChars="0"/>
        <w:jc w:val="both"/>
        <w:rPr>
          <w:rFonts w:ascii="Times New Roman" w:hAnsi="Times New Roman" w:eastAsia="仿宋_GB2312"/>
          <w:color w:val="auto"/>
          <w:sz w:val="24"/>
          <w:szCs w:val="24"/>
          <w:highlight w:val="none"/>
        </w:rPr>
      </w:pPr>
      <w:bookmarkStart w:id="26" w:name="_Toc15183"/>
      <w:bookmarkStart w:id="27" w:name="_Toc12139"/>
      <w:bookmarkStart w:id="28" w:name="_Toc5286"/>
      <w:bookmarkStart w:id="29" w:name="_Toc515647759"/>
      <w:bookmarkStart w:id="30" w:name="_Toc62194298"/>
      <w:bookmarkStart w:id="31" w:name="_Toc532473451"/>
      <w:r>
        <w:rPr>
          <w:rFonts w:ascii="Times New Roman" w:hAnsi="Times New Roman" w:eastAsia="仿宋_GB2312"/>
          <w:color w:val="auto"/>
          <w:sz w:val="24"/>
          <w:szCs w:val="24"/>
          <w:highlight w:val="none"/>
        </w:rPr>
        <w:t>2.     资金来源</w:t>
      </w:r>
      <w:bookmarkEnd w:id="26"/>
      <w:bookmarkEnd w:id="27"/>
      <w:bookmarkEnd w:id="28"/>
      <w:bookmarkEnd w:id="29"/>
      <w:bookmarkEnd w:id="30"/>
      <w:bookmarkEnd w:id="31"/>
    </w:p>
    <w:p w14:paraId="48856989">
      <w:pPr>
        <w:shd w:val="clear" w:color="auto" w:fill="auto"/>
        <w:spacing w:line="360" w:lineRule="auto"/>
        <w:ind w:left="900" w:hanging="900" w:hangingChars="375"/>
        <w:rPr>
          <w:rFonts w:eastAsia="仿宋_GB2312"/>
          <w:color w:val="auto"/>
          <w:sz w:val="24"/>
          <w:highlight w:val="none"/>
        </w:rPr>
      </w:pPr>
      <w:r>
        <w:rPr>
          <w:rFonts w:eastAsia="仿宋_GB2312"/>
          <w:color w:val="auto"/>
          <w:sz w:val="24"/>
          <w:highlight w:val="none"/>
        </w:rPr>
        <w:t>2.1    本项目的采购资金已列入政府采购项目预算，具有开展政府采购活动的条件。</w:t>
      </w:r>
    </w:p>
    <w:p w14:paraId="68AF590C">
      <w:pPr>
        <w:shd w:val="clear" w:color="auto" w:fill="auto"/>
        <w:spacing w:line="360" w:lineRule="auto"/>
        <w:ind w:left="900" w:hanging="900" w:hangingChars="375"/>
        <w:rPr>
          <w:rFonts w:eastAsia="仿宋_GB2312"/>
          <w:color w:val="auto"/>
          <w:sz w:val="24"/>
          <w:highlight w:val="none"/>
        </w:rPr>
      </w:pPr>
      <w:r>
        <w:rPr>
          <w:rFonts w:eastAsia="仿宋_GB2312"/>
          <w:color w:val="auto"/>
          <w:sz w:val="24"/>
          <w:highlight w:val="none"/>
        </w:rPr>
        <w:t>2.2    项目预算金额和最高限价（如有）见</w:t>
      </w:r>
      <w:r>
        <w:rPr>
          <w:rFonts w:eastAsia="仿宋_GB2312"/>
          <w:color w:val="auto"/>
          <w:sz w:val="24"/>
          <w:highlight w:val="none"/>
          <w:u w:val="single"/>
        </w:rPr>
        <w:t>投标人须知前附表</w:t>
      </w:r>
      <w:r>
        <w:rPr>
          <w:rFonts w:eastAsia="仿宋_GB2312"/>
          <w:color w:val="auto"/>
          <w:sz w:val="24"/>
          <w:highlight w:val="none"/>
        </w:rPr>
        <w:t>。</w:t>
      </w:r>
    </w:p>
    <w:p w14:paraId="4A2ED17A">
      <w:pPr>
        <w:shd w:val="clear" w:color="auto" w:fill="auto"/>
        <w:spacing w:line="360" w:lineRule="auto"/>
        <w:ind w:left="835" w:hanging="835" w:hangingChars="348"/>
        <w:rPr>
          <w:rFonts w:eastAsia="仿宋_GB2312"/>
          <w:color w:val="auto"/>
          <w:sz w:val="24"/>
          <w:highlight w:val="none"/>
        </w:rPr>
      </w:pPr>
      <w:r>
        <w:rPr>
          <w:rFonts w:eastAsia="仿宋_GB2312"/>
          <w:color w:val="auto"/>
          <w:sz w:val="24"/>
          <w:highlight w:val="none"/>
        </w:rPr>
        <w:t>2.3    投标人报价超过招标文件规定的预算金额或者预算额度内最高限价的，其投标将被认定为</w:t>
      </w:r>
      <w:r>
        <w:rPr>
          <w:rFonts w:eastAsia="仿宋_GB2312"/>
          <w:b/>
          <w:bCs/>
          <w:color w:val="auto"/>
          <w:sz w:val="24"/>
          <w:highlight w:val="none"/>
        </w:rPr>
        <w:t>投标无效</w:t>
      </w:r>
      <w:r>
        <w:rPr>
          <w:rFonts w:eastAsia="仿宋_GB2312"/>
          <w:color w:val="auto"/>
          <w:sz w:val="24"/>
          <w:highlight w:val="none"/>
        </w:rPr>
        <w:t>。</w:t>
      </w:r>
    </w:p>
    <w:p w14:paraId="75C55E63">
      <w:pPr>
        <w:pStyle w:val="6"/>
        <w:shd w:val="clear" w:color="auto" w:fill="auto"/>
        <w:ind w:firstLine="0" w:firstLineChars="0"/>
        <w:jc w:val="both"/>
        <w:rPr>
          <w:rFonts w:ascii="Times New Roman" w:hAnsi="Times New Roman" w:eastAsia="仿宋_GB2312"/>
          <w:color w:val="auto"/>
          <w:sz w:val="24"/>
          <w:szCs w:val="24"/>
          <w:highlight w:val="none"/>
        </w:rPr>
      </w:pPr>
      <w:bookmarkStart w:id="32" w:name="_Toc520356145"/>
      <w:bookmarkStart w:id="33" w:name="_Toc15243"/>
      <w:bookmarkStart w:id="34" w:name="_Toc62194299"/>
      <w:bookmarkStart w:id="35" w:name="_Toc20526"/>
      <w:bookmarkStart w:id="36" w:name="_Toc532473452"/>
      <w:bookmarkStart w:id="37" w:name="_Toc515647760"/>
      <w:bookmarkStart w:id="38" w:name="_Toc15936"/>
      <w:r>
        <w:rPr>
          <w:rFonts w:ascii="Times New Roman" w:hAnsi="Times New Roman" w:eastAsia="仿宋_GB2312"/>
          <w:color w:val="auto"/>
          <w:sz w:val="24"/>
          <w:szCs w:val="24"/>
          <w:highlight w:val="none"/>
        </w:rPr>
        <w:t>3.     投标费用</w:t>
      </w:r>
      <w:bookmarkEnd w:id="32"/>
      <w:bookmarkEnd w:id="33"/>
      <w:bookmarkEnd w:id="34"/>
      <w:bookmarkEnd w:id="35"/>
      <w:bookmarkEnd w:id="36"/>
      <w:bookmarkEnd w:id="37"/>
      <w:bookmarkEnd w:id="38"/>
    </w:p>
    <w:p w14:paraId="259A8A35">
      <w:pPr>
        <w:shd w:val="clear" w:color="auto" w:fill="auto"/>
        <w:spacing w:line="360" w:lineRule="auto"/>
        <w:ind w:firstLine="840" w:firstLineChars="350"/>
        <w:rPr>
          <w:rFonts w:eastAsia="仿宋_GB2312"/>
          <w:color w:val="auto"/>
          <w:sz w:val="24"/>
          <w:highlight w:val="none"/>
        </w:rPr>
      </w:pPr>
      <w:r>
        <w:rPr>
          <w:rFonts w:eastAsia="仿宋_GB2312"/>
          <w:color w:val="auto"/>
          <w:sz w:val="24"/>
          <w:highlight w:val="none"/>
        </w:rPr>
        <w:t>不论投标的结果如何，投标人应承担所有与投标有关的费用。</w:t>
      </w:r>
    </w:p>
    <w:p w14:paraId="22C0F612">
      <w:pPr>
        <w:pStyle w:val="6"/>
        <w:shd w:val="clear" w:color="auto" w:fill="auto"/>
        <w:ind w:firstLine="0" w:firstLineChars="0"/>
        <w:jc w:val="both"/>
        <w:rPr>
          <w:rFonts w:ascii="Times New Roman" w:hAnsi="Times New Roman" w:eastAsia="仿宋_GB2312"/>
          <w:color w:val="auto"/>
          <w:sz w:val="24"/>
          <w:szCs w:val="24"/>
          <w:highlight w:val="none"/>
        </w:rPr>
      </w:pPr>
      <w:bookmarkStart w:id="39" w:name="_Toc62194300"/>
      <w:bookmarkStart w:id="40" w:name="_Toc4463"/>
      <w:bookmarkStart w:id="41" w:name="_Toc32350"/>
      <w:bookmarkStart w:id="42" w:name="_Toc532473453"/>
      <w:bookmarkStart w:id="43" w:name="_Toc6116"/>
      <w:bookmarkStart w:id="44" w:name="_Toc515647761"/>
      <w:r>
        <w:rPr>
          <w:rFonts w:ascii="Times New Roman" w:hAnsi="Times New Roman" w:eastAsia="仿宋_GB2312"/>
          <w:color w:val="auto"/>
          <w:sz w:val="24"/>
          <w:szCs w:val="24"/>
          <w:highlight w:val="none"/>
        </w:rPr>
        <w:t>4.     适用法律</w:t>
      </w:r>
      <w:bookmarkEnd w:id="39"/>
      <w:bookmarkEnd w:id="40"/>
      <w:bookmarkEnd w:id="41"/>
      <w:bookmarkEnd w:id="42"/>
      <w:bookmarkEnd w:id="43"/>
      <w:bookmarkEnd w:id="44"/>
    </w:p>
    <w:p w14:paraId="0BC6F438">
      <w:pPr>
        <w:shd w:val="clear" w:color="auto" w:fill="auto"/>
        <w:spacing w:line="360" w:lineRule="auto"/>
        <w:ind w:left="833" w:leftChars="397" w:firstLine="3"/>
        <w:rPr>
          <w:rFonts w:eastAsia="仿宋_GB2312"/>
          <w:color w:val="auto"/>
          <w:sz w:val="24"/>
          <w:highlight w:val="none"/>
        </w:rPr>
      </w:pPr>
      <w:r>
        <w:rPr>
          <w:rFonts w:eastAsia="仿宋_GB2312"/>
          <w:color w:val="auto"/>
          <w:sz w:val="24"/>
          <w:highlight w:val="none"/>
        </w:rPr>
        <w:t>本项目采购人、采购代理机构、投标人、评标委员会的相关行为均受《中华人民共和国政府采购法》《中华人民共和国政府采购法实施条例》及本项目本级和上级财政部门政府采购有关规定的约束和保护。</w:t>
      </w:r>
    </w:p>
    <w:p w14:paraId="6FD0952C">
      <w:pPr>
        <w:pStyle w:val="3"/>
        <w:shd w:val="clear" w:color="auto" w:fill="auto"/>
        <w:rPr>
          <w:rFonts w:ascii="Times New Roman" w:hAnsi="Times New Roman" w:eastAsia="仿宋_GB2312"/>
          <w:color w:val="auto"/>
          <w:sz w:val="28"/>
          <w:szCs w:val="18"/>
          <w:highlight w:val="none"/>
        </w:rPr>
      </w:pPr>
      <w:bookmarkStart w:id="45" w:name="_Toc27645"/>
      <w:bookmarkStart w:id="46" w:name="_Toc532473454"/>
      <w:bookmarkStart w:id="47" w:name="_Toc4365"/>
      <w:bookmarkStart w:id="48" w:name="_Toc520356146"/>
      <w:bookmarkStart w:id="49" w:name="_Toc62194301"/>
      <w:bookmarkStart w:id="50" w:name="_Toc515647762"/>
      <w:bookmarkStart w:id="51" w:name="_Toc21566"/>
      <w:bookmarkStart w:id="52" w:name="_Toc216582806"/>
      <w:r>
        <w:rPr>
          <w:rFonts w:ascii="Times New Roman" w:hAnsi="Times New Roman" w:eastAsia="仿宋_GB2312"/>
          <w:color w:val="auto"/>
          <w:sz w:val="28"/>
          <w:szCs w:val="18"/>
          <w:highlight w:val="none"/>
        </w:rPr>
        <w:t>二、招标文件</w:t>
      </w:r>
      <w:bookmarkEnd w:id="45"/>
      <w:bookmarkEnd w:id="46"/>
      <w:bookmarkEnd w:id="47"/>
      <w:bookmarkEnd w:id="48"/>
      <w:bookmarkEnd w:id="49"/>
      <w:bookmarkEnd w:id="50"/>
      <w:bookmarkEnd w:id="51"/>
      <w:bookmarkEnd w:id="52"/>
    </w:p>
    <w:p w14:paraId="23C8790E">
      <w:pPr>
        <w:pStyle w:val="7"/>
        <w:shd w:val="clear" w:color="auto" w:fill="auto"/>
        <w:ind w:firstLine="0"/>
        <w:rPr>
          <w:rFonts w:ascii="Times New Roman"/>
          <w:color w:val="auto"/>
          <w:highlight w:val="none"/>
        </w:rPr>
      </w:pPr>
    </w:p>
    <w:p w14:paraId="4B2874C2">
      <w:pPr>
        <w:pStyle w:val="6"/>
        <w:shd w:val="clear" w:color="auto" w:fill="auto"/>
        <w:ind w:firstLine="0" w:firstLineChars="0"/>
        <w:rPr>
          <w:rFonts w:ascii="Times New Roman" w:hAnsi="Times New Roman" w:eastAsia="仿宋_GB2312"/>
          <w:color w:val="auto"/>
          <w:sz w:val="24"/>
          <w:szCs w:val="24"/>
          <w:highlight w:val="none"/>
        </w:rPr>
      </w:pPr>
      <w:bookmarkStart w:id="53" w:name="_Toc515647763"/>
      <w:bookmarkStart w:id="54" w:name="_Toc16077"/>
      <w:bookmarkStart w:id="55" w:name="_Toc62194302"/>
      <w:bookmarkStart w:id="56" w:name="_Toc520356147"/>
      <w:bookmarkStart w:id="57" w:name="_Toc25743"/>
      <w:bookmarkStart w:id="58" w:name="_Toc14084"/>
      <w:bookmarkStart w:id="59" w:name="_Toc532473455"/>
      <w:r>
        <w:rPr>
          <w:rFonts w:ascii="Times New Roman" w:hAnsi="Times New Roman" w:eastAsia="仿宋_GB2312"/>
          <w:color w:val="auto"/>
          <w:sz w:val="24"/>
          <w:szCs w:val="24"/>
          <w:highlight w:val="none"/>
        </w:rPr>
        <w:t>5.     招标文件构成</w:t>
      </w:r>
      <w:bookmarkEnd w:id="53"/>
      <w:bookmarkEnd w:id="54"/>
      <w:bookmarkEnd w:id="55"/>
      <w:bookmarkEnd w:id="56"/>
      <w:bookmarkEnd w:id="57"/>
      <w:bookmarkEnd w:id="58"/>
      <w:bookmarkEnd w:id="59"/>
    </w:p>
    <w:p w14:paraId="1BA150CC">
      <w:pPr>
        <w:shd w:val="clear" w:color="auto" w:fill="auto"/>
        <w:spacing w:line="360" w:lineRule="auto"/>
        <w:rPr>
          <w:rFonts w:eastAsia="仿宋_GB2312"/>
          <w:color w:val="auto"/>
          <w:sz w:val="24"/>
          <w:highlight w:val="none"/>
        </w:rPr>
      </w:pPr>
      <w:r>
        <w:rPr>
          <w:rFonts w:eastAsia="仿宋_GB2312"/>
          <w:color w:val="auto"/>
          <w:sz w:val="24"/>
          <w:highlight w:val="none"/>
        </w:rPr>
        <w:t>5.1    招标文件共六章，构成如下：</w:t>
      </w:r>
    </w:p>
    <w:p w14:paraId="27715EB4">
      <w:pPr>
        <w:shd w:val="clear" w:color="auto" w:fill="auto"/>
        <w:spacing w:line="360" w:lineRule="auto"/>
        <w:ind w:firstLine="840" w:firstLineChars="350"/>
        <w:rPr>
          <w:rFonts w:eastAsia="仿宋_GB2312"/>
          <w:color w:val="auto"/>
          <w:sz w:val="24"/>
          <w:highlight w:val="none"/>
        </w:rPr>
      </w:pPr>
      <w:r>
        <w:rPr>
          <w:rFonts w:eastAsia="仿宋_GB2312"/>
          <w:color w:val="auto"/>
          <w:sz w:val="24"/>
          <w:highlight w:val="none"/>
        </w:rPr>
        <w:t>第一章  招标公告</w:t>
      </w:r>
    </w:p>
    <w:p w14:paraId="0D151F43">
      <w:pPr>
        <w:shd w:val="clear" w:color="auto" w:fill="auto"/>
        <w:spacing w:line="360" w:lineRule="auto"/>
        <w:ind w:firstLine="840" w:firstLineChars="350"/>
        <w:rPr>
          <w:rFonts w:eastAsia="仿宋_GB2312"/>
          <w:color w:val="auto"/>
          <w:sz w:val="24"/>
          <w:highlight w:val="none"/>
        </w:rPr>
      </w:pPr>
      <w:r>
        <w:rPr>
          <w:rFonts w:eastAsia="仿宋_GB2312"/>
          <w:color w:val="auto"/>
          <w:sz w:val="24"/>
          <w:highlight w:val="none"/>
        </w:rPr>
        <w:t>第二章  投标人须知</w:t>
      </w:r>
    </w:p>
    <w:p w14:paraId="043BF2EC">
      <w:pPr>
        <w:shd w:val="clear" w:color="auto" w:fill="auto"/>
        <w:spacing w:line="360" w:lineRule="auto"/>
        <w:ind w:firstLine="840" w:firstLineChars="350"/>
        <w:rPr>
          <w:rFonts w:eastAsia="仿宋_GB2312"/>
          <w:color w:val="auto"/>
          <w:sz w:val="24"/>
          <w:highlight w:val="none"/>
        </w:rPr>
      </w:pPr>
      <w:r>
        <w:rPr>
          <w:rFonts w:eastAsia="仿宋_GB2312"/>
          <w:color w:val="auto"/>
          <w:sz w:val="24"/>
          <w:highlight w:val="none"/>
        </w:rPr>
        <w:t>第三章  评标方法和标准</w:t>
      </w:r>
    </w:p>
    <w:p w14:paraId="6F805F18">
      <w:pPr>
        <w:shd w:val="clear" w:color="auto" w:fill="auto"/>
        <w:spacing w:line="360" w:lineRule="auto"/>
        <w:ind w:firstLine="840" w:firstLineChars="350"/>
        <w:rPr>
          <w:rFonts w:eastAsia="仿宋_GB2312"/>
          <w:color w:val="auto"/>
          <w:sz w:val="24"/>
          <w:highlight w:val="none"/>
        </w:rPr>
      </w:pPr>
      <w:r>
        <w:rPr>
          <w:rFonts w:eastAsia="仿宋_GB2312"/>
          <w:color w:val="auto"/>
          <w:sz w:val="24"/>
          <w:highlight w:val="none"/>
        </w:rPr>
        <w:t>第四章  拟签订的合同文本</w:t>
      </w:r>
    </w:p>
    <w:p w14:paraId="3C83A625">
      <w:pPr>
        <w:shd w:val="clear" w:color="auto" w:fill="auto"/>
        <w:spacing w:line="360" w:lineRule="auto"/>
        <w:ind w:firstLine="840" w:firstLineChars="350"/>
        <w:rPr>
          <w:rFonts w:eastAsia="仿宋_GB2312"/>
          <w:color w:val="auto"/>
          <w:sz w:val="24"/>
          <w:highlight w:val="none"/>
        </w:rPr>
      </w:pPr>
      <w:r>
        <w:rPr>
          <w:rFonts w:eastAsia="仿宋_GB2312"/>
          <w:color w:val="auto"/>
          <w:sz w:val="24"/>
          <w:highlight w:val="none"/>
        </w:rPr>
        <w:t>第五章  采购需求及要求</w:t>
      </w:r>
    </w:p>
    <w:p w14:paraId="1DFF378B">
      <w:pPr>
        <w:shd w:val="clear" w:color="auto" w:fill="auto"/>
        <w:spacing w:line="360" w:lineRule="auto"/>
        <w:ind w:firstLine="840" w:firstLineChars="350"/>
        <w:rPr>
          <w:rFonts w:eastAsia="仿宋_GB2312"/>
          <w:color w:val="auto"/>
          <w:sz w:val="24"/>
          <w:highlight w:val="none"/>
        </w:rPr>
      </w:pPr>
      <w:r>
        <w:rPr>
          <w:rFonts w:eastAsia="仿宋_GB2312"/>
          <w:color w:val="auto"/>
          <w:sz w:val="24"/>
          <w:highlight w:val="none"/>
        </w:rPr>
        <w:t>第六章  投标文件格式</w:t>
      </w:r>
    </w:p>
    <w:p w14:paraId="0B9C2D6C">
      <w:pPr>
        <w:shd w:val="clear" w:color="auto" w:fill="auto"/>
        <w:spacing w:line="360" w:lineRule="auto"/>
        <w:ind w:left="840" w:hanging="840" w:hangingChars="350"/>
        <w:rPr>
          <w:rFonts w:eastAsia="仿宋_GB2312"/>
          <w:color w:val="auto"/>
          <w:sz w:val="24"/>
          <w:highlight w:val="none"/>
        </w:rPr>
      </w:pPr>
      <w:r>
        <w:rPr>
          <w:rFonts w:eastAsia="仿宋_GB2312"/>
          <w:color w:val="auto"/>
          <w:sz w:val="24"/>
          <w:highlight w:val="none"/>
        </w:rPr>
        <w:t>5.2    招标文件中如有不一致的，有澄清的部分以最终的澄清更正内容为准；未澄清的，以投标人须知前附表为准；投标人须知前附表不涉及的内容，以编排在后的最后描述为准。</w:t>
      </w:r>
    </w:p>
    <w:p w14:paraId="603A0DCC">
      <w:pPr>
        <w:shd w:val="clear" w:color="auto" w:fill="auto"/>
        <w:spacing w:line="360" w:lineRule="auto"/>
        <w:ind w:left="840" w:hanging="840" w:hangingChars="350"/>
        <w:rPr>
          <w:rFonts w:eastAsia="仿宋_GB2312"/>
          <w:color w:val="auto"/>
          <w:sz w:val="24"/>
          <w:highlight w:val="none"/>
        </w:rPr>
      </w:pPr>
      <w:r>
        <w:rPr>
          <w:rFonts w:eastAsia="仿宋_GB2312"/>
          <w:color w:val="auto"/>
          <w:sz w:val="24"/>
          <w:highlight w:val="none"/>
        </w:rPr>
        <w:t>5.3    投标人应认真阅读招标文件所有的事项、格式、条款和技术规范等。如投标人没有按照招标文件要求提交全部资料，或者投标文件没有对招标文件的实质性要求做出响应，其投标将被认定为</w:t>
      </w:r>
      <w:r>
        <w:rPr>
          <w:rFonts w:eastAsia="仿宋_GB2312"/>
          <w:b/>
          <w:bCs/>
          <w:color w:val="auto"/>
          <w:sz w:val="24"/>
          <w:highlight w:val="none"/>
        </w:rPr>
        <w:t>投标无效</w:t>
      </w:r>
      <w:r>
        <w:rPr>
          <w:rFonts w:eastAsia="仿宋_GB2312"/>
          <w:color w:val="auto"/>
          <w:sz w:val="24"/>
          <w:highlight w:val="none"/>
        </w:rPr>
        <w:t>。</w:t>
      </w:r>
    </w:p>
    <w:p w14:paraId="4DBFE12B">
      <w:pPr>
        <w:shd w:val="clear" w:color="auto" w:fill="auto"/>
        <w:spacing w:line="360" w:lineRule="auto"/>
        <w:ind w:left="900" w:hanging="900" w:hangingChars="375"/>
        <w:rPr>
          <w:rFonts w:eastAsia="仿宋_GB2312"/>
          <w:color w:val="auto"/>
          <w:sz w:val="24"/>
          <w:highlight w:val="none"/>
        </w:rPr>
      </w:pPr>
      <w:r>
        <w:rPr>
          <w:rFonts w:eastAsia="仿宋_GB2312"/>
          <w:color w:val="auto"/>
          <w:sz w:val="24"/>
          <w:highlight w:val="none"/>
        </w:rPr>
        <w:t>5.4    现场考察或者答疑会及相关事项见</w:t>
      </w:r>
      <w:r>
        <w:rPr>
          <w:rFonts w:eastAsia="仿宋_GB2312"/>
          <w:color w:val="auto"/>
          <w:sz w:val="24"/>
          <w:highlight w:val="none"/>
          <w:u w:val="single"/>
        </w:rPr>
        <w:t>投标人须知前附表</w:t>
      </w:r>
      <w:r>
        <w:rPr>
          <w:rFonts w:eastAsia="仿宋_GB2312"/>
          <w:color w:val="auto"/>
          <w:sz w:val="24"/>
          <w:highlight w:val="none"/>
        </w:rPr>
        <w:t>。</w:t>
      </w:r>
    </w:p>
    <w:p w14:paraId="4FC188FF">
      <w:pPr>
        <w:pStyle w:val="6"/>
        <w:shd w:val="clear" w:color="auto" w:fill="auto"/>
        <w:ind w:firstLine="0" w:firstLineChars="0"/>
        <w:rPr>
          <w:rFonts w:ascii="Times New Roman" w:hAnsi="Times New Roman" w:eastAsia="仿宋_GB2312"/>
          <w:color w:val="auto"/>
          <w:sz w:val="24"/>
          <w:szCs w:val="24"/>
          <w:highlight w:val="none"/>
        </w:rPr>
      </w:pPr>
      <w:bookmarkStart w:id="60" w:name="_Toc515904805"/>
      <w:bookmarkStart w:id="61" w:name="_Toc520356148"/>
      <w:bookmarkStart w:id="62" w:name="_Toc532473456"/>
      <w:bookmarkStart w:id="63" w:name="_Toc26044"/>
      <w:bookmarkStart w:id="64" w:name="_Toc62194303"/>
      <w:bookmarkStart w:id="65" w:name="_Toc31113"/>
      <w:bookmarkStart w:id="66" w:name="_Toc9232"/>
      <w:r>
        <w:rPr>
          <w:rFonts w:ascii="Times New Roman" w:hAnsi="Times New Roman" w:eastAsia="仿宋_GB2312"/>
          <w:color w:val="auto"/>
          <w:sz w:val="24"/>
          <w:szCs w:val="24"/>
          <w:highlight w:val="none"/>
        </w:rPr>
        <w:t>6.     招标文件的澄清</w:t>
      </w:r>
      <w:bookmarkEnd w:id="60"/>
      <w:bookmarkEnd w:id="61"/>
      <w:r>
        <w:rPr>
          <w:rFonts w:ascii="Times New Roman" w:hAnsi="Times New Roman" w:eastAsia="仿宋_GB2312"/>
          <w:color w:val="auto"/>
          <w:sz w:val="24"/>
          <w:szCs w:val="24"/>
          <w:highlight w:val="none"/>
        </w:rPr>
        <w:t>与修改</w:t>
      </w:r>
      <w:bookmarkEnd w:id="62"/>
      <w:bookmarkEnd w:id="63"/>
      <w:bookmarkEnd w:id="64"/>
      <w:bookmarkEnd w:id="65"/>
      <w:bookmarkEnd w:id="66"/>
    </w:p>
    <w:p w14:paraId="59F8CAFF">
      <w:pPr>
        <w:pStyle w:val="7"/>
        <w:shd w:val="clear" w:color="auto" w:fill="auto"/>
        <w:spacing w:line="360" w:lineRule="auto"/>
        <w:ind w:left="840" w:hanging="840" w:hangingChars="350"/>
        <w:jc w:val="both"/>
        <w:rPr>
          <w:rFonts w:ascii="Times New Roman" w:eastAsia="仿宋_GB2312"/>
          <w:color w:val="auto"/>
          <w:szCs w:val="24"/>
          <w:highlight w:val="none"/>
        </w:rPr>
      </w:pPr>
      <w:bookmarkStart w:id="67" w:name="_Toc520356149"/>
      <w:bookmarkStart w:id="68" w:name="_Toc515904806"/>
      <w:bookmarkStart w:id="69" w:name="_Ref467378678"/>
      <w:r>
        <w:rPr>
          <w:rFonts w:ascii="Times New Roman" w:eastAsia="仿宋_GB2312"/>
          <w:color w:val="auto"/>
          <w:szCs w:val="24"/>
          <w:highlight w:val="none"/>
        </w:rPr>
        <w:t>6.1    采购人可主动地或在解答投标人提出的澄清问题时对招标文件进行澄清或修改。采购代理机构将以发布澄清（更正）公告的方式，澄清或修改招标文件，澄清或修改内容作为招标文件的组成部分。</w:t>
      </w:r>
    </w:p>
    <w:p w14:paraId="7036E5CC">
      <w:pPr>
        <w:pStyle w:val="7"/>
        <w:shd w:val="clear" w:color="auto" w:fill="auto"/>
        <w:spacing w:line="360" w:lineRule="auto"/>
        <w:ind w:left="840" w:hanging="840" w:hangingChars="350"/>
        <w:rPr>
          <w:rFonts w:ascii="Times New Roman" w:eastAsia="仿宋_GB2312"/>
          <w:color w:val="auto"/>
          <w:szCs w:val="24"/>
          <w:highlight w:val="none"/>
        </w:rPr>
      </w:pPr>
      <w:r>
        <w:rPr>
          <w:rFonts w:ascii="Times New Roman" w:eastAsia="仿宋_GB2312"/>
          <w:color w:val="auto"/>
          <w:szCs w:val="24"/>
          <w:highlight w:val="none"/>
        </w:rPr>
        <w:t>6.2    澄清或者修改的内容可能影响投标文件编制的，采购代理机构将以书面形式通知所有获取招标文件的潜在投标人，并对其具有约束力。投标人在收到上述通知后，应及时向采购代理机构确认。投标人未回复的，视同已知晓澄清或者修改的内容。</w:t>
      </w:r>
    </w:p>
    <w:p w14:paraId="6600D1B2">
      <w:pPr>
        <w:pStyle w:val="7"/>
        <w:shd w:val="clear" w:color="auto" w:fill="auto"/>
        <w:spacing w:line="360" w:lineRule="auto"/>
        <w:ind w:left="840" w:hanging="840" w:hangingChars="350"/>
        <w:rPr>
          <w:rFonts w:ascii="Times New Roman" w:eastAsia="仿宋_GB2312"/>
          <w:color w:val="auto"/>
          <w:szCs w:val="24"/>
          <w:highlight w:val="none"/>
        </w:rPr>
      </w:pPr>
      <w:r>
        <w:rPr>
          <w:rFonts w:ascii="Times New Roman" w:eastAsia="仿宋_GB2312"/>
          <w:color w:val="auto"/>
          <w:szCs w:val="24"/>
          <w:highlight w:val="none"/>
        </w:rPr>
        <w:t xml:space="preserve">       因潜在投标人原因或通讯线路故障导致通知逾期送达或无法送达，采购代理机构不因此承担任何责任，有关的招标采购活动可以继续有效进行。</w:t>
      </w:r>
    </w:p>
    <w:bookmarkEnd w:id="67"/>
    <w:bookmarkEnd w:id="68"/>
    <w:bookmarkEnd w:id="69"/>
    <w:p w14:paraId="046BE60E">
      <w:pPr>
        <w:pStyle w:val="6"/>
        <w:shd w:val="clear" w:color="auto" w:fill="auto"/>
        <w:ind w:firstLine="0" w:firstLineChars="0"/>
        <w:rPr>
          <w:rFonts w:ascii="Times New Roman" w:hAnsi="Times New Roman" w:eastAsia="仿宋_GB2312"/>
          <w:color w:val="auto"/>
          <w:sz w:val="24"/>
          <w:szCs w:val="24"/>
          <w:highlight w:val="none"/>
        </w:rPr>
      </w:pPr>
      <w:bookmarkStart w:id="70" w:name="_Toc23872"/>
      <w:bookmarkStart w:id="71" w:name="_Toc62194304"/>
      <w:bookmarkStart w:id="72" w:name="_Toc25635"/>
      <w:bookmarkStart w:id="73" w:name="_Toc14569"/>
      <w:bookmarkStart w:id="74" w:name="_Toc532473457"/>
      <w:r>
        <w:rPr>
          <w:rFonts w:ascii="Times New Roman" w:hAnsi="Times New Roman" w:eastAsia="仿宋_GB2312"/>
          <w:color w:val="auto"/>
          <w:sz w:val="24"/>
          <w:szCs w:val="24"/>
          <w:highlight w:val="none"/>
        </w:rPr>
        <w:t>7.     投标截止时间的顺延</w:t>
      </w:r>
      <w:bookmarkEnd w:id="70"/>
      <w:bookmarkEnd w:id="71"/>
      <w:bookmarkEnd w:id="72"/>
      <w:bookmarkEnd w:id="73"/>
      <w:bookmarkEnd w:id="74"/>
    </w:p>
    <w:p w14:paraId="793EC3E2">
      <w:pPr>
        <w:shd w:val="clear" w:color="auto" w:fill="auto"/>
        <w:spacing w:line="360" w:lineRule="auto"/>
        <w:ind w:left="837" w:leftChars="399"/>
        <w:rPr>
          <w:rFonts w:eastAsia="仿宋_GB2312"/>
          <w:color w:val="auto"/>
          <w:sz w:val="24"/>
          <w:highlight w:val="none"/>
        </w:rPr>
      </w:pPr>
      <w:r>
        <w:rPr>
          <w:rFonts w:eastAsia="仿宋_GB2312"/>
          <w:color w:val="auto"/>
          <w:sz w:val="24"/>
          <w:highlight w:val="none"/>
        </w:rPr>
        <w:t>为使投标人有足够的时间对招标文件的澄清或者修改部分进行研究而准备投标或因其他原因，采购人将依法决定是否顺延投标截止时间。</w:t>
      </w:r>
    </w:p>
    <w:p w14:paraId="62EA81F3">
      <w:pPr>
        <w:pStyle w:val="3"/>
        <w:shd w:val="clear" w:color="auto" w:fill="auto"/>
        <w:rPr>
          <w:rFonts w:ascii="Times New Roman" w:hAnsi="Times New Roman" w:eastAsia="仿宋_GB2312"/>
          <w:color w:val="auto"/>
          <w:sz w:val="28"/>
          <w:szCs w:val="18"/>
          <w:highlight w:val="none"/>
        </w:rPr>
      </w:pPr>
      <w:bookmarkStart w:id="75" w:name="_Toc516367020"/>
      <w:bookmarkStart w:id="76" w:name="_Toc216582807"/>
      <w:bookmarkStart w:id="77" w:name="_Toc30808"/>
      <w:bookmarkStart w:id="78" w:name="_Toc11788"/>
      <w:bookmarkStart w:id="79" w:name="_Toc532473458"/>
      <w:bookmarkStart w:id="80" w:name="_Toc520356150"/>
      <w:bookmarkStart w:id="81" w:name="_Toc62194305"/>
      <w:bookmarkStart w:id="82" w:name="_Toc515647766"/>
      <w:bookmarkStart w:id="83" w:name="_Toc7636"/>
      <w:r>
        <w:rPr>
          <w:rFonts w:ascii="Times New Roman" w:hAnsi="Times New Roman" w:eastAsia="仿宋_GB2312"/>
          <w:color w:val="auto"/>
          <w:sz w:val="28"/>
          <w:szCs w:val="18"/>
          <w:highlight w:val="none"/>
        </w:rPr>
        <w:t>三、投标文件</w:t>
      </w:r>
      <w:bookmarkEnd w:id="75"/>
      <w:r>
        <w:rPr>
          <w:rFonts w:ascii="Times New Roman" w:hAnsi="Times New Roman" w:eastAsia="仿宋_GB2312"/>
          <w:color w:val="auto"/>
          <w:sz w:val="28"/>
          <w:szCs w:val="18"/>
          <w:highlight w:val="none"/>
        </w:rPr>
        <w:t>的编制</w:t>
      </w:r>
      <w:bookmarkEnd w:id="76"/>
      <w:bookmarkEnd w:id="77"/>
      <w:bookmarkEnd w:id="78"/>
      <w:bookmarkEnd w:id="79"/>
      <w:bookmarkEnd w:id="80"/>
      <w:bookmarkEnd w:id="81"/>
      <w:bookmarkEnd w:id="82"/>
      <w:bookmarkEnd w:id="83"/>
    </w:p>
    <w:p w14:paraId="39CC0F17">
      <w:pPr>
        <w:pStyle w:val="6"/>
        <w:shd w:val="clear" w:color="auto" w:fill="auto"/>
        <w:ind w:firstLine="0" w:firstLineChars="0"/>
        <w:jc w:val="both"/>
        <w:rPr>
          <w:rFonts w:ascii="Times New Roman" w:hAnsi="Times New Roman" w:eastAsia="仿宋_GB2312"/>
          <w:color w:val="auto"/>
          <w:sz w:val="24"/>
          <w:szCs w:val="24"/>
          <w:highlight w:val="none"/>
        </w:rPr>
      </w:pPr>
      <w:bookmarkStart w:id="84" w:name="_Toc532473459"/>
      <w:bookmarkStart w:id="85" w:name="_Toc62194306"/>
      <w:bookmarkStart w:id="86" w:name="_Toc515647767"/>
      <w:bookmarkStart w:id="87" w:name="_Toc7786"/>
      <w:bookmarkStart w:id="88" w:name="_Toc520356151"/>
      <w:bookmarkStart w:id="89" w:name="_Toc24770"/>
      <w:bookmarkStart w:id="90" w:name="_Toc3553"/>
      <w:bookmarkStart w:id="91" w:name="_Toc516367021"/>
      <w:r>
        <w:rPr>
          <w:rFonts w:ascii="Times New Roman" w:hAnsi="Times New Roman" w:eastAsia="仿宋_GB2312"/>
          <w:color w:val="auto"/>
          <w:sz w:val="24"/>
          <w:szCs w:val="24"/>
          <w:highlight w:val="none"/>
        </w:rPr>
        <w:t>8.     投标范围及投标文件中标准和计量单位的使用</w:t>
      </w:r>
      <w:bookmarkEnd w:id="84"/>
      <w:bookmarkEnd w:id="85"/>
      <w:bookmarkEnd w:id="86"/>
      <w:bookmarkEnd w:id="87"/>
      <w:bookmarkEnd w:id="88"/>
      <w:bookmarkEnd w:id="89"/>
      <w:bookmarkEnd w:id="90"/>
      <w:bookmarkEnd w:id="91"/>
    </w:p>
    <w:p w14:paraId="5DD1FA7C">
      <w:pPr>
        <w:shd w:val="clear" w:color="auto" w:fill="auto"/>
        <w:spacing w:line="360" w:lineRule="auto"/>
        <w:ind w:left="840" w:hanging="840" w:hangingChars="350"/>
        <w:rPr>
          <w:rFonts w:eastAsia="仿宋_GB2312"/>
          <w:color w:val="auto"/>
          <w:sz w:val="24"/>
          <w:highlight w:val="none"/>
        </w:rPr>
      </w:pPr>
      <w:r>
        <w:rPr>
          <w:rFonts w:eastAsia="仿宋_GB2312"/>
          <w:color w:val="auto"/>
          <w:sz w:val="24"/>
          <w:highlight w:val="none"/>
        </w:rPr>
        <w:t>8.1    投标人可对招标文件中一个或多个标段进行投标或者中标，除非在</w:t>
      </w:r>
      <w:r>
        <w:rPr>
          <w:rFonts w:eastAsia="仿宋_GB2312"/>
          <w:color w:val="auto"/>
          <w:sz w:val="24"/>
          <w:highlight w:val="none"/>
          <w:u w:val="single"/>
        </w:rPr>
        <w:t>投标人须知前附表</w:t>
      </w:r>
      <w:r>
        <w:rPr>
          <w:rFonts w:eastAsia="仿宋_GB2312"/>
          <w:color w:val="auto"/>
          <w:sz w:val="24"/>
          <w:highlight w:val="none"/>
        </w:rPr>
        <w:t>中另有规定。</w:t>
      </w:r>
    </w:p>
    <w:p w14:paraId="187CC7F4">
      <w:pPr>
        <w:shd w:val="clear" w:color="auto" w:fill="auto"/>
        <w:spacing w:line="360" w:lineRule="auto"/>
        <w:ind w:left="840" w:hanging="840" w:hangingChars="350"/>
        <w:rPr>
          <w:rFonts w:eastAsia="仿宋_GB2312"/>
          <w:color w:val="auto"/>
          <w:sz w:val="24"/>
          <w:highlight w:val="none"/>
        </w:rPr>
      </w:pPr>
      <w:r>
        <w:rPr>
          <w:rFonts w:eastAsia="仿宋_GB2312"/>
          <w:color w:val="auto"/>
          <w:sz w:val="24"/>
          <w:highlight w:val="none"/>
        </w:rPr>
        <w:t>8.2    投标人应当对所投标段招标文件中“采购需求及要求”所列的所有内容进行</w:t>
      </w:r>
      <w:r>
        <w:rPr>
          <w:rFonts w:hint="eastAsia" w:eastAsia="仿宋_GB2312"/>
          <w:color w:val="auto"/>
          <w:sz w:val="24"/>
          <w:highlight w:val="none"/>
          <w:lang w:val="en-US" w:eastAsia="zh-CN"/>
        </w:rPr>
        <w:t>响应</w:t>
      </w:r>
      <w:r>
        <w:rPr>
          <w:rFonts w:eastAsia="仿宋_GB2312"/>
          <w:color w:val="auto"/>
          <w:sz w:val="24"/>
          <w:highlight w:val="none"/>
        </w:rPr>
        <w:t>，如仅响应部分内容，其该标段投标将被认定为</w:t>
      </w:r>
      <w:r>
        <w:rPr>
          <w:rFonts w:eastAsia="仿宋_GB2312"/>
          <w:b/>
          <w:bCs/>
          <w:color w:val="auto"/>
          <w:sz w:val="24"/>
          <w:highlight w:val="none"/>
        </w:rPr>
        <w:t>投标无效</w:t>
      </w:r>
      <w:r>
        <w:rPr>
          <w:rFonts w:eastAsia="仿宋_GB2312"/>
          <w:color w:val="auto"/>
          <w:sz w:val="24"/>
          <w:highlight w:val="none"/>
        </w:rPr>
        <w:t>。</w:t>
      </w:r>
    </w:p>
    <w:p w14:paraId="6CD7A8E1">
      <w:pPr>
        <w:shd w:val="clear" w:color="auto" w:fill="auto"/>
        <w:spacing w:line="360" w:lineRule="auto"/>
        <w:ind w:left="840" w:hanging="840" w:hangingChars="350"/>
        <w:rPr>
          <w:rFonts w:eastAsia="仿宋_GB2312"/>
          <w:color w:val="auto"/>
          <w:sz w:val="24"/>
          <w:highlight w:val="none"/>
        </w:rPr>
      </w:pPr>
      <w:r>
        <w:rPr>
          <w:rFonts w:eastAsia="仿宋_GB2312"/>
          <w:color w:val="auto"/>
          <w:sz w:val="24"/>
          <w:highlight w:val="none"/>
        </w:rPr>
        <w:t>8.3    无论招标文件中是否要求，投标人所投货物及伴随的服务和工程均应符合国家强制性标准。</w:t>
      </w:r>
    </w:p>
    <w:p w14:paraId="566E8993">
      <w:pPr>
        <w:shd w:val="clear" w:color="auto" w:fill="auto"/>
        <w:spacing w:line="360" w:lineRule="auto"/>
        <w:ind w:left="840" w:hanging="840" w:hangingChars="350"/>
        <w:rPr>
          <w:rFonts w:eastAsia="仿宋_GB2312"/>
          <w:color w:val="auto"/>
          <w:sz w:val="24"/>
          <w:highlight w:val="none"/>
        </w:rPr>
      </w:pPr>
      <w:r>
        <w:rPr>
          <w:rFonts w:eastAsia="仿宋_GB2312"/>
          <w:color w:val="auto"/>
          <w:sz w:val="24"/>
          <w:highlight w:val="none"/>
        </w:rPr>
        <w:t>8.4    除招标文件中有特殊要求外，投标文件中所使用的计量单位，应采用中华人民共和国法定计量单位。</w:t>
      </w:r>
    </w:p>
    <w:p w14:paraId="69E0CC39">
      <w:pPr>
        <w:pStyle w:val="6"/>
        <w:shd w:val="clear" w:color="auto" w:fill="auto"/>
        <w:ind w:firstLine="0" w:firstLineChars="0"/>
        <w:rPr>
          <w:rFonts w:ascii="Times New Roman" w:hAnsi="Times New Roman" w:eastAsia="仿宋_GB2312"/>
          <w:color w:val="auto"/>
          <w:sz w:val="24"/>
          <w:szCs w:val="24"/>
          <w:highlight w:val="none"/>
        </w:rPr>
      </w:pPr>
      <w:bookmarkStart w:id="92" w:name="_Ref467306195"/>
      <w:bookmarkStart w:id="93" w:name="_Ref467306676"/>
      <w:bookmarkStart w:id="94" w:name="_Toc516367022"/>
      <w:bookmarkStart w:id="95" w:name="_Toc28307"/>
      <w:bookmarkStart w:id="96" w:name="_Toc515647768"/>
      <w:bookmarkStart w:id="97" w:name="_Toc10364"/>
      <w:bookmarkStart w:id="98" w:name="_Toc20094"/>
      <w:bookmarkStart w:id="99" w:name="_Toc62194307"/>
      <w:bookmarkStart w:id="100" w:name="_Toc532473460"/>
      <w:bookmarkStart w:id="101" w:name="_Toc520356152"/>
      <w:r>
        <w:rPr>
          <w:rFonts w:ascii="Times New Roman" w:hAnsi="Times New Roman" w:eastAsia="仿宋_GB2312"/>
          <w:color w:val="auto"/>
          <w:sz w:val="24"/>
          <w:szCs w:val="24"/>
          <w:highlight w:val="none"/>
        </w:rPr>
        <w:t>9.     投标文件</w:t>
      </w:r>
      <w:bookmarkEnd w:id="92"/>
      <w:bookmarkEnd w:id="93"/>
      <w:bookmarkEnd w:id="94"/>
      <w:r>
        <w:rPr>
          <w:rFonts w:ascii="Times New Roman" w:hAnsi="Times New Roman" w:eastAsia="仿宋_GB2312"/>
          <w:color w:val="auto"/>
          <w:sz w:val="24"/>
          <w:szCs w:val="24"/>
          <w:highlight w:val="none"/>
        </w:rPr>
        <w:t>组成</w:t>
      </w:r>
      <w:bookmarkEnd w:id="95"/>
      <w:bookmarkEnd w:id="96"/>
      <w:bookmarkEnd w:id="97"/>
      <w:bookmarkEnd w:id="98"/>
      <w:bookmarkEnd w:id="99"/>
      <w:bookmarkEnd w:id="100"/>
      <w:bookmarkEnd w:id="101"/>
    </w:p>
    <w:p w14:paraId="4D424158">
      <w:pPr>
        <w:shd w:val="clear" w:color="auto" w:fill="auto"/>
        <w:tabs>
          <w:tab w:val="left" w:pos="900"/>
          <w:tab w:val="left" w:pos="5580"/>
        </w:tabs>
        <w:spacing w:line="360" w:lineRule="auto"/>
        <w:ind w:left="840" w:hanging="840" w:hangingChars="350"/>
        <w:rPr>
          <w:rFonts w:eastAsia="仿宋_GB2312"/>
          <w:color w:val="auto"/>
          <w:sz w:val="24"/>
          <w:highlight w:val="none"/>
        </w:rPr>
      </w:pPr>
      <w:bookmarkStart w:id="102" w:name="_Ref467052588"/>
      <w:r>
        <w:rPr>
          <w:rFonts w:eastAsia="仿宋_GB2312"/>
          <w:color w:val="auto"/>
          <w:sz w:val="24"/>
          <w:highlight w:val="none"/>
        </w:rPr>
        <w:t>9.1    投标人应完整地按照招标文件提供的投标文件格式及要求编写投标文件。投标文件中资格审查和符合性审查涉及的事项不满足招标文件要求的，其投标将被认定为</w:t>
      </w:r>
      <w:r>
        <w:rPr>
          <w:rFonts w:eastAsia="仿宋_GB2312"/>
          <w:b/>
          <w:color w:val="auto"/>
          <w:sz w:val="24"/>
          <w:highlight w:val="none"/>
        </w:rPr>
        <w:t>投标无效</w:t>
      </w:r>
      <w:r>
        <w:rPr>
          <w:rFonts w:eastAsia="仿宋_GB2312"/>
          <w:color w:val="auto"/>
          <w:sz w:val="24"/>
          <w:highlight w:val="none"/>
        </w:rPr>
        <w:t>。</w:t>
      </w:r>
    </w:p>
    <w:p w14:paraId="2CC9D822">
      <w:pPr>
        <w:shd w:val="clear" w:color="auto" w:fill="auto"/>
        <w:spacing w:line="360" w:lineRule="auto"/>
        <w:ind w:left="840" w:hanging="840" w:hangingChars="350"/>
        <w:rPr>
          <w:rFonts w:eastAsia="仿宋_GB2312"/>
          <w:color w:val="auto"/>
          <w:sz w:val="24"/>
          <w:highlight w:val="none"/>
        </w:rPr>
      </w:pPr>
      <w:r>
        <w:rPr>
          <w:rFonts w:eastAsia="仿宋_GB2312"/>
          <w:color w:val="auto"/>
          <w:sz w:val="24"/>
          <w:highlight w:val="none"/>
        </w:rPr>
        <w:t>9.2    上述文件应按照招标文件的规定签署</w:t>
      </w:r>
      <w:bookmarkStart w:id="103" w:name="_Hlk1734277"/>
      <w:r>
        <w:rPr>
          <w:rFonts w:eastAsia="仿宋_GB2312"/>
          <w:color w:val="auto"/>
          <w:sz w:val="24"/>
          <w:highlight w:val="none"/>
        </w:rPr>
        <w:t>和盖公章或经公章授权的其他单位章（以下统称公章）</w:t>
      </w:r>
      <w:bookmarkEnd w:id="103"/>
      <w:r>
        <w:rPr>
          <w:rFonts w:eastAsia="仿宋_GB2312"/>
          <w:color w:val="auto"/>
          <w:sz w:val="24"/>
          <w:highlight w:val="none"/>
        </w:rPr>
        <w:t>。采用公章授权方式的，应当在投标文件资格证明文件附公章授权书（格式自定）。</w:t>
      </w:r>
    </w:p>
    <w:bookmarkEnd w:id="102"/>
    <w:p w14:paraId="4F43DCFA">
      <w:pPr>
        <w:pStyle w:val="6"/>
        <w:shd w:val="clear" w:color="auto" w:fill="auto"/>
        <w:ind w:firstLine="0" w:firstLineChars="0"/>
        <w:jc w:val="both"/>
        <w:rPr>
          <w:rFonts w:ascii="Times New Roman" w:hAnsi="Times New Roman" w:eastAsia="仿宋_GB2312"/>
          <w:color w:val="auto"/>
          <w:sz w:val="24"/>
          <w:szCs w:val="24"/>
          <w:highlight w:val="none"/>
        </w:rPr>
      </w:pPr>
      <w:bookmarkStart w:id="104" w:name="_Toc532473461"/>
      <w:bookmarkStart w:id="105" w:name="_Toc4601"/>
      <w:bookmarkStart w:id="106" w:name="_Toc10379"/>
      <w:bookmarkStart w:id="107" w:name="_Toc520356153"/>
      <w:bookmarkStart w:id="108" w:name="_Toc516367023"/>
      <w:bookmarkStart w:id="109" w:name="_Toc62194308"/>
      <w:bookmarkStart w:id="110" w:name="_Toc21538"/>
      <w:bookmarkStart w:id="111" w:name="_Toc515647769"/>
      <w:r>
        <w:rPr>
          <w:rFonts w:ascii="Times New Roman" w:hAnsi="Times New Roman" w:eastAsia="仿宋_GB2312"/>
          <w:color w:val="auto"/>
          <w:sz w:val="24"/>
          <w:szCs w:val="24"/>
          <w:highlight w:val="none"/>
        </w:rPr>
        <w:t>10.    证明投标标的的合格性和符合招标文件规定的技术文件</w:t>
      </w:r>
      <w:bookmarkEnd w:id="104"/>
      <w:bookmarkEnd w:id="105"/>
      <w:bookmarkEnd w:id="106"/>
      <w:bookmarkEnd w:id="107"/>
      <w:bookmarkEnd w:id="108"/>
      <w:bookmarkEnd w:id="109"/>
      <w:bookmarkEnd w:id="110"/>
      <w:bookmarkEnd w:id="111"/>
    </w:p>
    <w:p w14:paraId="0EE20BCC">
      <w:pPr>
        <w:shd w:val="clear" w:color="auto" w:fill="auto"/>
        <w:spacing w:line="360" w:lineRule="auto"/>
        <w:ind w:left="878" w:hanging="878" w:hangingChars="366"/>
        <w:rPr>
          <w:rFonts w:eastAsia="仿宋_GB2312"/>
          <w:color w:val="auto"/>
          <w:sz w:val="24"/>
          <w:highlight w:val="none"/>
        </w:rPr>
      </w:pPr>
      <w:r>
        <w:rPr>
          <w:rFonts w:eastAsia="仿宋_GB2312"/>
          <w:color w:val="auto"/>
          <w:sz w:val="24"/>
          <w:highlight w:val="none"/>
        </w:rPr>
        <w:t>10.1   投标人应提交证明文件，证明其投标标的符合招标文件规定。该证明文件是投标文件的技术文件。</w:t>
      </w:r>
    </w:p>
    <w:p w14:paraId="056AA2E4">
      <w:pPr>
        <w:shd w:val="clear" w:color="auto" w:fill="auto"/>
        <w:spacing w:line="360" w:lineRule="auto"/>
        <w:ind w:left="900" w:hanging="900" w:hangingChars="375"/>
        <w:rPr>
          <w:rFonts w:eastAsia="仿宋_GB2312"/>
          <w:color w:val="auto"/>
          <w:sz w:val="24"/>
          <w:highlight w:val="none"/>
        </w:rPr>
      </w:pPr>
      <w:bookmarkStart w:id="112" w:name="_Ref467306244"/>
      <w:r>
        <w:rPr>
          <w:rFonts w:eastAsia="仿宋_GB2312"/>
          <w:color w:val="auto"/>
          <w:sz w:val="24"/>
          <w:highlight w:val="none"/>
        </w:rPr>
        <w:t>10.2   上款所述的证明文件，可以是文字资料、图纸和数据</w:t>
      </w:r>
      <w:bookmarkEnd w:id="112"/>
      <w:r>
        <w:rPr>
          <w:rFonts w:eastAsia="仿宋_GB2312"/>
          <w:color w:val="auto"/>
          <w:sz w:val="24"/>
          <w:highlight w:val="none"/>
        </w:rPr>
        <w:t>。</w:t>
      </w:r>
    </w:p>
    <w:p w14:paraId="185D6FE6">
      <w:pPr>
        <w:shd w:val="clear" w:color="auto" w:fill="auto"/>
        <w:spacing w:line="360" w:lineRule="auto"/>
        <w:ind w:left="900" w:hanging="900" w:hangingChars="375"/>
        <w:rPr>
          <w:rFonts w:eastAsia="仿宋_GB2312"/>
          <w:color w:val="auto"/>
          <w:sz w:val="24"/>
          <w:highlight w:val="none"/>
        </w:rPr>
      </w:pPr>
      <w:r>
        <w:rPr>
          <w:rFonts w:eastAsia="仿宋_GB2312"/>
          <w:color w:val="auto"/>
          <w:sz w:val="24"/>
          <w:highlight w:val="none"/>
        </w:rPr>
        <w:t>10.3   本条所指证明文件不包括对招标文件相关部分的文字、图标的复制。</w:t>
      </w:r>
    </w:p>
    <w:p w14:paraId="66B0B79B">
      <w:pPr>
        <w:pStyle w:val="6"/>
        <w:shd w:val="clear" w:color="auto" w:fill="auto"/>
        <w:ind w:firstLine="0" w:firstLineChars="0"/>
        <w:rPr>
          <w:rFonts w:ascii="Times New Roman" w:hAnsi="Times New Roman" w:eastAsia="仿宋_GB2312"/>
          <w:color w:val="auto"/>
          <w:sz w:val="24"/>
          <w:szCs w:val="24"/>
          <w:highlight w:val="none"/>
        </w:rPr>
      </w:pPr>
      <w:bookmarkStart w:id="113" w:name="_Toc520356155"/>
      <w:bookmarkStart w:id="114" w:name="_Toc515647770"/>
      <w:bookmarkStart w:id="115" w:name="_Toc532473462"/>
      <w:bookmarkStart w:id="116" w:name="_Toc23231"/>
      <w:bookmarkStart w:id="117" w:name="_Toc2248"/>
      <w:bookmarkStart w:id="118" w:name="_Toc62194309"/>
      <w:bookmarkStart w:id="119" w:name="_Toc30047"/>
      <w:r>
        <w:rPr>
          <w:rFonts w:ascii="Times New Roman" w:hAnsi="Times New Roman" w:eastAsia="仿宋_GB2312"/>
          <w:color w:val="auto"/>
          <w:sz w:val="24"/>
          <w:szCs w:val="24"/>
          <w:highlight w:val="none"/>
        </w:rPr>
        <w:t>11.    投标报价</w:t>
      </w:r>
      <w:bookmarkEnd w:id="113"/>
      <w:bookmarkEnd w:id="114"/>
      <w:bookmarkEnd w:id="115"/>
      <w:bookmarkEnd w:id="116"/>
      <w:bookmarkEnd w:id="117"/>
      <w:bookmarkEnd w:id="118"/>
      <w:bookmarkEnd w:id="119"/>
    </w:p>
    <w:p w14:paraId="33D55E0F">
      <w:pPr>
        <w:shd w:val="clear" w:color="auto" w:fill="auto"/>
        <w:spacing w:line="360" w:lineRule="auto"/>
        <w:ind w:left="840" w:hanging="840" w:hangingChars="350"/>
        <w:rPr>
          <w:rFonts w:eastAsia="仿宋_GB2312"/>
          <w:color w:val="auto"/>
          <w:sz w:val="24"/>
          <w:highlight w:val="none"/>
        </w:rPr>
      </w:pPr>
      <w:r>
        <w:rPr>
          <w:rFonts w:eastAsia="仿宋_GB2312"/>
          <w:color w:val="auto"/>
          <w:sz w:val="24"/>
          <w:highlight w:val="none"/>
        </w:rPr>
        <w:t>11.1   投标人的报价应当包括满足本次招标全部采购需求所应提供的服务，以及伴随的货物和工程。所有投标均应以人民币报价。投标人的投标报价应遵守《中华人民共和国价格法》。</w:t>
      </w:r>
    </w:p>
    <w:p w14:paraId="1C1C1505">
      <w:pPr>
        <w:shd w:val="clear" w:color="auto" w:fill="auto"/>
        <w:spacing w:line="360" w:lineRule="auto"/>
        <w:ind w:left="840" w:hanging="840" w:hangingChars="350"/>
        <w:rPr>
          <w:rFonts w:eastAsia="仿宋_GB2312"/>
          <w:color w:val="auto"/>
          <w:sz w:val="24"/>
          <w:highlight w:val="none"/>
        </w:rPr>
      </w:pPr>
      <w:r>
        <w:rPr>
          <w:rFonts w:eastAsia="仿宋_GB2312"/>
          <w:color w:val="auto"/>
          <w:sz w:val="24"/>
          <w:highlight w:val="none"/>
        </w:rPr>
        <w:t>11.2   投标人应在投标分项报价表上标明分项服务、伴随的货物和工程的价格（如适用）和总价，并由法定代表人或其授权代表签署。</w:t>
      </w:r>
    </w:p>
    <w:p w14:paraId="54495D31">
      <w:pPr>
        <w:shd w:val="clear" w:color="auto" w:fill="auto"/>
        <w:spacing w:line="360" w:lineRule="auto"/>
        <w:ind w:left="840" w:hanging="840" w:hangingChars="350"/>
        <w:rPr>
          <w:rFonts w:eastAsia="仿宋_GB2312"/>
          <w:color w:val="auto"/>
          <w:sz w:val="24"/>
          <w:highlight w:val="none"/>
        </w:rPr>
      </w:pPr>
      <w:r>
        <w:rPr>
          <w:rFonts w:eastAsia="仿宋_GB2312"/>
          <w:color w:val="auto"/>
          <w:sz w:val="24"/>
          <w:highlight w:val="none"/>
        </w:rPr>
        <w:t>11.3   采购人不接受具有附加条件的报价或多个方案的报价。</w:t>
      </w:r>
    </w:p>
    <w:p w14:paraId="2885782F">
      <w:pPr>
        <w:shd w:val="clear" w:color="auto" w:fill="auto"/>
        <w:spacing w:line="360" w:lineRule="auto"/>
        <w:ind w:left="840" w:hanging="840" w:hangingChars="350"/>
        <w:rPr>
          <w:rFonts w:eastAsia="仿宋_GB2312"/>
          <w:color w:val="auto"/>
          <w:sz w:val="24"/>
          <w:highlight w:val="none"/>
        </w:rPr>
      </w:pPr>
      <w:r>
        <w:rPr>
          <w:rFonts w:eastAsia="仿宋_GB2312"/>
          <w:color w:val="auto"/>
          <w:sz w:val="24"/>
          <w:highlight w:val="none"/>
        </w:rPr>
        <w:t>11.4   投标人所报的投标报价在合同履行过程中是固定不变的，不得以任何理由予以变更。任何包含价格调整要求的投标，将被认定为</w:t>
      </w:r>
      <w:r>
        <w:rPr>
          <w:rFonts w:eastAsia="仿宋_GB2312"/>
          <w:b/>
          <w:color w:val="auto"/>
          <w:sz w:val="24"/>
          <w:highlight w:val="none"/>
        </w:rPr>
        <w:t>投标无效</w:t>
      </w:r>
      <w:r>
        <w:rPr>
          <w:rFonts w:eastAsia="仿宋_GB2312"/>
          <w:color w:val="auto"/>
          <w:sz w:val="24"/>
          <w:highlight w:val="none"/>
        </w:rPr>
        <w:t>。</w:t>
      </w:r>
    </w:p>
    <w:p w14:paraId="3471C262">
      <w:pPr>
        <w:pStyle w:val="6"/>
        <w:shd w:val="clear" w:color="auto" w:fill="auto"/>
        <w:ind w:firstLine="0" w:firstLineChars="0"/>
        <w:rPr>
          <w:rFonts w:ascii="Times New Roman" w:hAnsi="Times New Roman" w:eastAsia="仿宋_GB2312"/>
          <w:color w:val="auto"/>
          <w:sz w:val="24"/>
          <w:szCs w:val="24"/>
          <w:highlight w:val="none"/>
        </w:rPr>
      </w:pPr>
      <w:bookmarkStart w:id="120" w:name="_Toc62194310"/>
      <w:bookmarkStart w:id="121" w:name="_Toc11514"/>
      <w:bookmarkStart w:id="122" w:name="_Ref467306513"/>
      <w:bookmarkStart w:id="123" w:name="_Toc515647771"/>
      <w:bookmarkStart w:id="124" w:name="_Toc520356156"/>
      <w:bookmarkStart w:id="125" w:name="_Toc532473463"/>
      <w:bookmarkStart w:id="126" w:name="_Toc24350"/>
      <w:bookmarkStart w:id="127" w:name="_Toc17788"/>
      <w:r>
        <w:rPr>
          <w:rFonts w:ascii="Times New Roman" w:hAnsi="Times New Roman" w:eastAsia="仿宋_GB2312"/>
          <w:color w:val="auto"/>
          <w:sz w:val="24"/>
          <w:szCs w:val="24"/>
          <w:highlight w:val="none"/>
        </w:rPr>
        <w:t>12.    投标保证金</w:t>
      </w:r>
      <w:bookmarkEnd w:id="120"/>
      <w:bookmarkEnd w:id="121"/>
      <w:bookmarkEnd w:id="122"/>
      <w:bookmarkEnd w:id="123"/>
      <w:bookmarkEnd w:id="124"/>
      <w:bookmarkEnd w:id="125"/>
      <w:bookmarkEnd w:id="126"/>
      <w:bookmarkEnd w:id="127"/>
    </w:p>
    <w:p w14:paraId="58EA04AB">
      <w:pPr>
        <w:shd w:val="clear" w:color="auto" w:fill="auto"/>
        <w:spacing w:line="360" w:lineRule="auto"/>
        <w:ind w:left="900" w:hanging="900" w:hangingChars="375"/>
        <w:rPr>
          <w:rFonts w:eastAsia="仿宋_GB2312"/>
          <w:color w:val="auto"/>
          <w:sz w:val="24"/>
          <w:highlight w:val="none"/>
          <w:lang w:val="zh-CN"/>
        </w:rPr>
      </w:pPr>
      <w:bookmarkStart w:id="128" w:name="_Ref467306302"/>
      <w:r>
        <w:rPr>
          <w:rFonts w:eastAsia="仿宋_GB2312"/>
          <w:color w:val="auto"/>
          <w:sz w:val="24"/>
          <w:highlight w:val="none"/>
        </w:rPr>
        <w:t>12.1</w:t>
      </w:r>
      <w:bookmarkEnd w:id="128"/>
      <w:r>
        <w:rPr>
          <w:rFonts w:eastAsia="仿宋_GB2312"/>
          <w:color w:val="auto"/>
          <w:sz w:val="24"/>
          <w:highlight w:val="none"/>
        </w:rPr>
        <w:t xml:space="preserve">   投标人应按照</w:t>
      </w:r>
      <w:r>
        <w:rPr>
          <w:rFonts w:eastAsia="仿宋_GB2312"/>
          <w:color w:val="auto"/>
          <w:sz w:val="24"/>
          <w:highlight w:val="none"/>
          <w:u w:val="single"/>
        </w:rPr>
        <w:t>投标人须知前附表</w:t>
      </w:r>
      <w:r>
        <w:rPr>
          <w:rFonts w:eastAsia="仿宋_GB2312"/>
          <w:color w:val="auto"/>
          <w:sz w:val="24"/>
          <w:highlight w:val="none"/>
        </w:rPr>
        <w:t>规定递交</w:t>
      </w:r>
      <w:r>
        <w:rPr>
          <w:rFonts w:eastAsia="仿宋_GB2312"/>
          <w:color w:val="auto"/>
          <w:sz w:val="24"/>
          <w:highlight w:val="none"/>
          <w:lang w:val="zh-CN"/>
        </w:rPr>
        <w:t>投标保证金（</w:t>
      </w:r>
      <w:r>
        <w:rPr>
          <w:rFonts w:eastAsia="仿宋_GB2312"/>
          <w:color w:val="auto"/>
          <w:sz w:val="24"/>
          <w:highlight w:val="none"/>
          <w:u w:val="single"/>
          <w:lang w:val="zh-CN"/>
        </w:rPr>
        <w:t>若分标段，应按标段交纳投标保证金</w:t>
      </w:r>
      <w:r>
        <w:rPr>
          <w:rFonts w:eastAsia="仿宋_GB2312"/>
          <w:color w:val="auto"/>
          <w:sz w:val="24"/>
          <w:highlight w:val="none"/>
          <w:lang w:val="zh-CN"/>
        </w:rPr>
        <w:t>），投标保证金须在投标截止时间前</w:t>
      </w:r>
      <w:r>
        <w:rPr>
          <w:rFonts w:eastAsia="仿宋_GB2312"/>
          <w:color w:val="auto"/>
          <w:sz w:val="24"/>
          <w:highlight w:val="none"/>
        </w:rPr>
        <w:t>到账</w:t>
      </w:r>
      <w:r>
        <w:rPr>
          <w:rFonts w:eastAsia="仿宋_GB2312"/>
          <w:color w:val="auto"/>
          <w:sz w:val="24"/>
          <w:highlight w:val="none"/>
          <w:lang w:val="zh-CN"/>
        </w:rPr>
        <w:t>。</w:t>
      </w:r>
    </w:p>
    <w:p w14:paraId="5562A584">
      <w:pPr>
        <w:shd w:val="clear" w:color="auto" w:fill="auto"/>
        <w:autoSpaceDE w:val="0"/>
        <w:autoSpaceDN w:val="0"/>
        <w:adjustRightInd w:val="0"/>
        <w:snapToGrid w:val="0"/>
        <w:spacing w:line="360" w:lineRule="auto"/>
        <w:ind w:left="840" w:hanging="840" w:hangingChars="350"/>
        <w:rPr>
          <w:rFonts w:eastAsia="仿宋_GB2312"/>
          <w:color w:val="auto"/>
          <w:sz w:val="24"/>
          <w:highlight w:val="none"/>
          <w:lang w:val="zh-CN"/>
        </w:rPr>
      </w:pPr>
      <w:r>
        <w:rPr>
          <w:rFonts w:eastAsia="仿宋_GB2312"/>
          <w:color w:val="auto"/>
          <w:sz w:val="24"/>
          <w:highlight w:val="none"/>
        </w:rPr>
        <w:t xml:space="preserve">12.2   </w:t>
      </w:r>
      <w:r>
        <w:rPr>
          <w:rFonts w:eastAsia="仿宋_GB2312"/>
          <w:color w:val="auto"/>
          <w:sz w:val="24"/>
          <w:highlight w:val="none"/>
          <w:lang w:val="zh-CN"/>
        </w:rPr>
        <w:t>投标保证金应用人民币，采用支票</w:t>
      </w:r>
      <w:r>
        <w:rPr>
          <w:rFonts w:hint="eastAsia" w:eastAsia="仿宋_GB2312"/>
          <w:color w:val="auto"/>
          <w:sz w:val="24"/>
          <w:highlight w:val="none"/>
          <w:lang w:val="zh-CN"/>
        </w:rPr>
        <w:t>、</w:t>
      </w:r>
      <w:r>
        <w:rPr>
          <w:rFonts w:eastAsia="仿宋_GB2312"/>
          <w:color w:val="auto"/>
          <w:sz w:val="24"/>
          <w:highlight w:val="none"/>
          <w:lang w:val="zh-CN"/>
        </w:rPr>
        <w:t>汇票、本票、保函的任何一种非现金形式支付。</w:t>
      </w:r>
    </w:p>
    <w:p w14:paraId="56EFA112">
      <w:pPr>
        <w:shd w:val="clear" w:color="auto" w:fill="auto"/>
        <w:autoSpaceDE w:val="0"/>
        <w:autoSpaceDN w:val="0"/>
        <w:adjustRightInd w:val="0"/>
        <w:snapToGrid w:val="0"/>
        <w:spacing w:line="360" w:lineRule="auto"/>
        <w:ind w:left="840" w:hanging="840" w:hangingChars="350"/>
        <w:rPr>
          <w:rFonts w:eastAsia="仿宋_GB2312"/>
          <w:color w:val="auto"/>
          <w:sz w:val="24"/>
          <w:highlight w:val="none"/>
          <w:lang w:val="zh-CN"/>
        </w:rPr>
      </w:pPr>
      <w:r>
        <w:rPr>
          <w:rFonts w:eastAsia="仿宋_GB2312"/>
          <w:color w:val="auto"/>
          <w:sz w:val="24"/>
          <w:highlight w:val="none"/>
          <w:lang w:val="zh-CN"/>
        </w:rPr>
        <w:t>12.3</w:t>
      </w:r>
      <w:r>
        <w:rPr>
          <w:rFonts w:eastAsia="仿宋_GB2312"/>
          <w:color w:val="auto"/>
          <w:sz w:val="24"/>
          <w:highlight w:val="none"/>
        </w:rPr>
        <w:t xml:space="preserve">   </w:t>
      </w:r>
      <w:r>
        <w:rPr>
          <w:rFonts w:eastAsia="仿宋_GB2312"/>
          <w:color w:val="auto"/>
          <w:sz w:val="24"/>
          <w:highlight w:val="none"/>
          <w:lang w:val="zh-CN"/>
        </w:rPr>
        <w:t>如投标保证金以保函形式交纳，投标人须按本章附件1格式和内容开具保函，并将保函原件附在投标文件中或随投标文件同时递交，否则视为</w:t>
      </w:r>
      <w:r>
        <w:rPr>
          <w:rFonts w:eastAsia="仿宋_GB2312"/>
          <w:b/>
          <w:bCs/>
          <w:color w:val="auto"/>
          <w:sz w:val="24"/>
          <w:highlight w:val="none"/>
          <w:lang w:val="zh-CN"/>
        </w:rPr>
        <w:t>无效投标</w:t>
      </w:r>
      <w:r>
        <w:rPr>
          <w:rFonts w:eastAsia="仿宋_GB2312"/>
          <w:color w:val="auto"/>
          <w:sz w:val="24"/>
          <w:highlight w:val="none"/>
          <w:lang w:val="zh-CN"/>
        </w:rPr>
        <w:t>。投标人违约，开具保函单位承担连带责任。</w:t>
      </w:r>
    </w:p>
    <w:p w14:paraId="1341A00D">
      <w:pPr>
        <w:shd w:val="clear" w:color="auto" w:fill="auto"/>
        <w:autoSpaceDE w:val="0"/>
        <w:autoSpaceDN w:val="0"/>
        <w:adjustRightInd w:val="0"/>
        <w:snapToGrid w:val="0"/>
        <w:spacing w:line="360" w:lineRule="auto"/>
        <w:ind w:left="840" w:hanging="840" w:hangingChars="350"/>
        <w:rPr>
          <w:rFonts w:eastAsia="仿宋_GB2312"/>
          <w:color w:val="auto"/>
          <w:sz w:val="24"/>
          <w:highlight w:val="none"/>
          <w:lang w:val="zh-CN"/>
        </w:rPr>
      </w:pPr>
      <w:r>
        <w:rPr>
          <w:rFonts w:eastAsia="仿宋_GB2312"/>
          <w:color w:val="auto"/>
          <w:sz w:val="24"/>
          <w:highlight w:val="none"/>
        </w:rPr>
        <w:t xml:space="preserve">12.4   </w:t>
      </w:r>
      <w:r>
        <w:rPr>
          <w:rFonts w:eastAsia="仿宋_GB2312"/>
          <w:color w:val="auto"/>
          <w:sz w:val="24"/>
          <w:highlight w:val="none"/>
          <w:lang w:val="zh-CN"/>
        </w:rPr>
        <w:t>联合体投标的，可以由联合体中的一方或者共同提交投标保证金，以一方提交投标保证金的，对联合体各方均具有约束力。</w:t>
      </w:r>
    </w:p>
    <w:p w14:paraId="3AE4C83E">
      <w:pPr>
        <w:shd w:val="clear" w:color="auto" w:fill="auto"/>
        <w:tabs>
          <w:tab w:val="left" w:pos="0"/>
        </w:tabs>
        <w:snapToGrid w:val="0"/>
        <w:spacing w:line="360" w:lineRule="auto"/>
        <w:ind w:left="840" w:hanging="840" w:hangingChars="350"/>
        <w:rPr>
          <w:rFonts w:eastAsia="仿宋_GB2312"/>
          <w:color w:val="auto"/>
          <w:sz w:val="24"/>
          <w:highlight w:val="none"/>
          <w:lang w:val="zh-CN"/>
        </w:rPr>
      </w:pPr>
      <w:r>
        <w:rPr>
          <w:rFonts w:eastAsia="仿宋_GB2312"/>
          <w:color w:val="auto"/>
          <w:sz w:val="24"/>
          <w:highlight w:val="none"/>
        </w:rPr>
        <w:t xml:space="preserve">12.5   </w:t>
      </w:r>
      <w:r>
        <w:rPr>
          <w:rFonts w:eastAsia="仿宋_GB2312"/>
          <w:color w:val="auto"/>
          <w:sz w:val="24"/>
          <w:highlight w:val="none"/>
          <w:lang w:val="zh-CN"/>
        </w:rPr>
        <w:t>投标人有下列情形之一的，采购代理机构不予退还其交纳的投标保证金，并在项目财政主管部门备案；情节严重的，由财政部门将其列入不良行为纪录名单予以通报，在一至三年内禁止参加政府采购活动：</w:t>
      </w:r>
    </w:p>
    <w:p w14:paraId="176C7EA6">
      <w:pPr>
        <w:shd w:val="clear" w:color="auto" w:fill="auto"/>
        <w:snapToGrid w:val="0"/>
        <w:spacing w:line="360" w:lineRule="auto"/>
        <w:ind w:left="835" w:leftChars="342" w:hanging="117" w:hangingChars="49"/>
        <w:rPr>
          <w:rFonts w:eastAsia="仿宋_GB2312"/>
          <w:color w:val="auto"/>
          <w:sz w:val="24"/>
          <w:highlight w:val="none"/>
          <w:lang w:val="zh-CN"/>
        </w:rPr>
      </w:pPr>
      <w:r>
        <w:rPr>
          <w:rFonts w:eastAsia="仿宋_GB2312"/>
          <w:color w:val="auto"/>
          <w:sz w:val="24"/>
          <w:highlight w:val="none"/>
        </w:rPr>
        <w:t>（1）</w:t>
      </w:r>
      <w:r>
        <w:rPr>
          <w:rFonts w:eastAsia="仿宋_GB2312"/>
          <w:color w:val="auto"/>
          <w:sz w:val="24"/>
          <w:highlight w:val="none"/>
          <w:lang w:val="zh-CN"/>
        </w:rPr>
        <w:t>投标人在投标截止时间后撤销投标文件的；</w:t>
      </w:r>
    </w:p>
    <w:p w14:paraId="3324BB47">
      <w:pPr>
        <w:shd w:val="clear" w:color="auto" w:fill="auto"/>
        <w:snapToGrid w:val="0"/>
        <w:spacing w:line="360" w:lineRule="auto"/>
        <w:ind w:firstLine="720" w:firstLineChars="300"/>
        <w:rPr>
          <w:rFonts w:eastAsia="仿宋_GB2312"/>
          <w:color w:val="auto"/>
          <w:sz w:val="24"/>
          <w:highlight w:val="none"/>
          <w:lang w:val="zh-CN"/>
        </w:rPr>
      </w:pPr>
      <w:r>
        <w:rPr>
          <w:rFonts w:eastAsia="仿宋_GB2312"/>
          <w:color w:val="auto"/>
          <w:sz w:val="24"/>
          <w:highlight w:val="none"/>
        </w:rPr>
        <w:t>（2）</w:t>
      </w:r>
      <w:r>
        <w:rPr>
          <w:rFonts w:eastAsia="仿宋_GB2312"/>
          <w:color w:val="auto"/>
          <w:sz w:val="24"/>
          <w:highlight w:val="none"/>
          <w:lang w:val="zh-CN"/>
        </w:rPr>
        <w:t>投标人在投标文件中提供虚假材料的；</w:t>
      </w:r>
    </w:p>
    <w:p w14:paraId="7952EF3A">
      <w:pPr>
        <w:shd w:val="clear" w:color="auto" w:fill="auto"/>
        <w:snapToGrid w:val="0"/>
        <w:spacing w:line="360" w:lineRule="auto"/>
        <w:ind w:firstLine="720" w:firstLineChars="300"/>
        <w:rPr>
          <w:rFonts w:eastAsia="仿宋_GB2312"/>
          <w:color w:val="auto"/>
          <w:sz w:val="24"/>
          <w:highlight w:val="none"/>
          <w:lang w:val="zh-CN"/>
        </w:rPr>
      </w:pPr>
      <w:r>
        <w:rPr>
          <w:rFonts w:eastAsia="仿宋_GB2312"/>
          <w:color w:val="auto"/>
          <w:sz w:val="24"/>
          <w:highlight w:val="none"/>
        </w:rPr>
        <w:t>（3）</w:t>
      </w:r>
      <w:r>
        <w:rPr>
          <w:rFonts w:eastAsia="仿宋_GB2312"/>
          <w:color w:val="auto"/>
          <w:sz w:val="24"/>
          <w:highlight w:val="none"/>
          <w:lang w:val="zh-CN"/>
        </w:rPr>
        <w:t>除因不可抗力或招标文件认可的情形以外，中标人不与采购人签订合同的；</w:t>
      </w:r>
    </w:p>
    <w:p w14:paraId="1029427D">
      <w:pPr>
        <w:shd w:val="clear" w:color="auto" w:fill="auto"/>
        <w:snapToGrid w:val="0"/>
        <w:spacing w:line="360" w:lineRule="auto"/>
        <w:ind w:firstLine="720" w:firstLineChars="300"/>
        <w:rPr>
          <w:rFonts w:eastAsia="仿宋_GB2312"/>
          <w:color w:val="auto"/>
          <w:sz w:val="24"/>
          <w:highlight w:val="none"/>
          <w:lang w:val="zh-CN"/>
        </w:rPr>
      </w:pPr>
      <w:r>
        <w:rPr>
          <w:rFonts w:eastAsia="仿宋_GB2312"/>
          <w:color w:val="auto"/>
          <w:sz w:val="24"/>
          <w:highlight w:val="none"/>
        </w:rPr>
        <w:t>（4）</w:t>
      </w:r>
      <w:r>
        <w:rPr>
          <w:rFonts w:eastAsia="仿宋_GB2312"/>
          <w:color w:val="auto"/>
          <w:sz w:val="24"/>
          <w:highlight w:val="none"/>
          <w:lang w:val="zh-CN"/>
        </w:rPr>
        <w:t>投标人与采购人、其他投标人或者采购代理机构恶意串通的；</w:t>
      </w:r>
    </w:p>
    <w:p w14:paraId="64B42B94">
      <w:pPr>
        <w:shd w:val="clear" w:color="auto" w:fill="auto"/>
        <w:snapToGrid w:val="0"/>
        <w:spacing w:line="360" w:lineRule="auto"/>
        <w:ind w:left="837" w:leftChars="370" w:hanging="60" w:hangingChars="25"/>
        <w:rPr>
          <w:rFonts w:eastAsia="仿宋_GB2312"/>
          <w:color w:val="auto"/>
          <w:sz w:val="24"/>
          <w:highlight w:val="none"/>
          <w:lang w:val="zh-CN"/>
        </w:rPr>
      </w:pPr>
      <w:r>
        <w:rPr>
          <w:rFonts w:eastAsia="仿宋_GB2312"/>
          <w:color w:val="auto"/>
          <w:sz w:val="24"/>
          <w:highlight w:val="none"/>
        </w:rPr>
        <w:t>（5）</w:t>
      </w:r>
      <w:r>
        <w:rPr>
          <w:rFonts w:eastAsia="仿宋_GB2312"/>
          <w:color w:val="auto"/>
          <w:sz w:val="24"/>
          <w:highlight w:val="none"/>
          <w:lang w:val="zh-CN"/>
        </w:rPr>
        <w:t>中标人将中标项目转让给他人，或者在投标文件中未说明，且未经采购人同意，将中标项目分包给他人的；</w:t>
      </w:r>
    </w:p>
    <w:p w14:paraId="289311D5">
      <w:pPr>
        <w:shd w:val="clear" w:color="auto" w:fill="auto"/>
        <w:snapToGrid w:val="0"/>
        <w:spacing w:line="360" w:lineRule="auto"/>
        <w:ind w:firstLine="720" w:firstLineChars="300"/>
        <w:rPr>
          <w:rFonts w:eastAsia="仿宋_GB2312"/>
          <w:color w:val="auto"/>
          <w:sz w:val="24"/>
          <w:highlight w:val="none"/>
          <w:lang w:val="zh-CN"/>
        </w:rPr>
      </w:pPr>
      <w:r>
        <w:rPr>
          <w:rFonts w:eastAsia="仿宋_GB2312"/>
          <w:color w:val="auto"/>
          <w:sz w:val="24"/>
          <w:highlight w:val="none"/>
        </w:rPr>
        <w:t>（6）</w:t>
      </w:r>
      <w:r>
        <w:rPr>
          <w:rFonts w:eastAsia="仿宋_GB2312"/>
          <w:color w:val="auto"/>
          <w:sz w:val="24"/>
          <w:highlight w:val="none"/>
          <w:lang w:val="zh-CN"/>
        </w:rPr>
        <w:t>中标人拒绝履行合同义务的。</w:t>
      </w:r>
    </w:p>
    <w:p w14:paraId="3C9216C2">
      <w:pPr>
        <w:shd w:val="clear" w:color="auto" w:fill="auto"/>
        <w:autoSpaceDE w:val="0"/>
        <w:autoSpaceDN w:val="0"/>
        <w:adjustRightInd w:val="0"/>
        <w:snapToGrid w:val="0"/>
        <w:spacing w:line="360" w:lineRule="auto"/>
        <w:ind w:left="835" w:hanging="835" w:hangingChars="348"/>
        <w:rPr>
          <w:rFonts w:eastAsia="仿宋_GB2312"/>
          <w:color w:val="auto"/>
          <w:sz w:val="24"/>
          <w:highlight w:val="none"/>
          <w:lang w:val="zh-CN"/>
        </w:rPr>
      </w:pPr>
      <w:r>
        <w:rPr>
          <w:rFonts w:eastAsia="仿宋_GB2312"/>
          <w:color w:val="auto"/>
          <w:sz w:val="24"/>
          <w:highlight w:val="none"/>
        </w:rPr>
        <w:t xml:space="preserve">12.6   </w:t>
      </w:r>
      <w:r>
        <w:rPr>
          <w:rFonts w:eastAsia="仿宋_GB2312"/>
          <w:color w:val="auto"/>
          <w:sz w:val="24"/>
          <w:highlight w:val="none"/>
          <w:lang w:val="zh-CN"/>
        </w:rPr>
        <w:t>自中标通知书发出之日起五个工作日内退还未中标人的投标保证金，自采购合同签订之日起五个工作日内退还中标人的投标保证金或者转为中标人的履约保证金</w:t>
      </w:r>
      <w:r>
        <w:rPr>
          <w:rFonts w:hint="eastAsia" w:eastAsia="仿宋_GB2312"/>
          <w:color w:val="auto"/>
          <w:sz w:val="24"/>
          <w:highlight w:val="none"/>
          <w:lang w:val="zh-CN"/>
        </w:rPr>
        <w:t>。</w:t>
      </w:r>
    </w:p>
    <w:p w14:paraId="4784969C">
      <w:pPr>
        <w:shd w:val="clear" w:color="auto" w:fill="auto"/>
        <w:spacing w:line="360" w:lineRule="auto"/>
        <w:ind w:left="840" w:hanging="840" w:hangingChars="350"/>
        <w:rPr>
          <w:rFonts w:eastAsia="仿宋_GB2312"/>
          <w:color w:val="auto"/>
          <w:sz w:val="24"/>
          <w:highlight w:val="none"/>
        </w:rPr>
      </w:pPr>
      <w:r>
        <w:rPr>
          <w:rFonts w:eastAsia="仿宋_GB2312"/>
          <w:color w:val="auto"/>
          <w:sz w:val="24"/>
          <w:highlight w:val="none"/>
        </w:rPr>
        <w:t>12.7   中标人需在合同签订后3日内持合同原件至采购代理机构办理投标保证金退还手续。</w:t>
      </w:r>
    </w:p>
    <w:p w14:paraId="3EA5DA78">
      <w:pPr>
        <w:pStyle w:val="6"/>
        <w:shd w:val="clear" w:color="auto" w:fill="auto"/>
        <w:ind w:firstLine="0" w:firstLineChars="0"/>
        <w:rPr>
          <w:rFonts w:ascii="Times New Roman" w:hAnsi="Times New Roman" w:eastAsia="仿宋_GB2312"/>
          <w:color w:val="auto"/>
          <w:sz w:val="24"/>
          <w:szCs w:val="24"/>
          <w:highlight w:val="none"/>
        </w:rPr>
      </w:pPr>
      <w:bookmarkStart w:id="129" w:name="_Toc520356157"/>
      <w:bookmarkStart w:id="130" w:name="_Toc62194311"/>
      <w:bookmarkStart w:id="131" w:name="_Toc32569"/>
      <w:bookmarkStart w:id="132" w:name="_Toc532473464"/>
      <w:bookmarkStart w:id="133" w:name="_Toc19884"/>
      <w:bookmarkStart w:id="134" w:name="_Toc23590"/>
      <w:bookmarkStart w:id="135" w:name="_Toc515647772"/>
      <w:r>
        <w:rPr>
          <w:rFonts w:ascii="Times New Roman" w:hAnsi="Times New Roman" w:eastAsia="仿宋_GB2312"/>
          <w:color w:val="auto"/>
          <w:sz w:val="24"/>
          <w:szCs w:val="24"/>
          <w:highlight w:val="none"/>
        </w:rPr>
        <w:t xml:space="preserve">13.    </w:t>
      </w:r>
      <w:r>
        <w:rPr>
          <w:rFonts w:hint="eastAsia" w:ascii="Times New Roman" w:hAnsi="Times New Roman" w:eastAsia="仿宋_GB2312"/>
          <w:color w:val="auto"/>
          <w:sz w:val="24"/>
          <w:szCs w:val="24"/>
          <w:highlight w:val="none"/>
          <w:lang w:val="en-US" w:eastAsia="zh-CN"/>
        </w:rPr>
        <w:t xml:space="preserve"> </w:t>
      </w:r>
      <w:r>
        <w:rPr>
          <w:rFonts w:ascii="Times New Roman" w:hAnsi="Times New Roman" w:eastAsia="仿宋_GB2312"/>
          <w:color w:val="auto"/>
          <w:sz w:val="24"/>
          <w:szCs w:val="24"/>
          <w:highlight w:val="none"/>
        </w:rPr>
        <w:t>投标有效期</w:t>
      </w:r>
      <w:bookmarkEnd w:id="129"/>
      <w:bookmarkEnd w:id="130"/>
      <w:bookmarkEnd w:id="131"/>
      <w:bookmarkEnd w:id="132"/>
      <w:bookmarkEnd w:id="133"/>
      <w:bookmarkEnd w:id="134"/>
      <w:bookmarkEnd w:id="135"/>
    </w:p>
    <w:p w14:paraId="389A9CBE">
      <w:pPr>
        <w:shd w:val="clear" w:color="auto" w:fill="auto"/>
        <w:spacing w:line="360" w:lineRule="auto"/>
        <w:ind w:left="900" w:hanging="900" w:hangingChars="375"/>
        <w:rPr>
          <w:rFonts w:eastAsia="仿宋_GB2312"/>
          <w:color w:val="auto"/>
          <w:sz w:val="24"/>
          <w:highlight w:val="none"/>
        </w:rPr>
      </w:pPr>
      <w:r>
        <w:rPr>
          <w:rFonts w:eastAsia="仿宋_GB2312"/>
          <w:color w:val="auto"/>
          <w:sz w:val="24"/>
          <w:highlight w:val="none"/>
        </w:rPr>
        <w:t xml:space="preserve">13.1   </w:t>
      </w:r>
      <w:r>
        <w:rPr>
          <w:rFonts w:hint="eastAsia" w:eastAsia="仿宋_GB2312"/>
          <w:color w:val="auto"/>
          <w:sz w:val="24"/>
          <w:highlight w:val="none"/>
          <w:lang w:val="en-US" w:eastAsia="zh-CN"/>
        </w:rPr>
        <w:t xml:space="preserve"> </w:t>
      </w:r>
      <w:r>
        <w:rPr>
          <w:rFonts w:eastAsia="仿宋_GB2312"/>
          <w:color w:val="auto"/>
          <w:sz w:val="24"/>
          <w:highlight w:val="none"/>
        </w:rPr>
        <w:t>投标有效期为</w:t>
      </w:r>
      <w:r>
        <w:rPr>
          <w:rFonts w:hint="eastAsia" w:eastAsia="仿宋_GB2312"/>
          <w:color w:val="auto"/>
          <w:sz w:val="24"/>
          <w:highlight w:val="none"/>
          <w:lang w:val="en-US" w:eastAsia="zh-CN"/>
        </w:rPr>
        <w:t>递</w:t>
      </w:r>
      <w:r>
        <w:rPr>
          <w:rFonts w:eastAsia="仿宋_GB2312"/>
          <w:color w:val="auto"/>
          <w:sz w:val="24"/>
          <w:highlight w:val="none"/>
        </w:rPr>
        <w:t>交投标文件截止之日起90个日历日，投标应在投标有效期内保持有效。投标有效期不满足要求的投标，其投标将被认定为</w:t>
      </w:r>
      <w:r>
        <w:rPr>
          <w:rFonts w:eastAsia="仿宋_GB2312"/>
          <w:b/>
          <w:bCs/>
          <w:color w:val="auto"/>
          <w:sz w:val="24"/>
          <w:highlight w:val="none"/>
        </w:rPr>
        <w:t>投标无效</w:t>
      </w:r>
      <w:r>
        <w:rPr>
          <w:rFonts w:eastAsia="仿宋_GB2312"/>
          <w:color w:val="auto"/>
          <w:sz w:val="24"/>
          <w:highlight w:val="none"/>
        </w:rPr>
        <w:t>。</w:t>
      </w:r>
    </w:p>
    <w:p w14:paraId="199A61A0">
      <w:pPr>
        <w:shd w:val="clear" w:color="auto" w:fill="auto"/>
        <w:spacing w:line="360" w:lineRule="auto"/>
        <w:ind w:left="900" w:hanging="900" w:hangingChars="375"/>
        <w:rPr>
          <w:rFonts w:eastAsia="仿宋_GB2312"/>
          <w:color w:val="auto"/>
          <w:sz w:val="24"/>
          <w:highlight w:val="none"/>
        </w:rPr>
      </w:pPr>
      <w:r>
        <w:rPr>
          <w:rFonts w:eastAsia="仿宋_GB2312"/>
          <w:color w:val="auto"/>
          <w:sz w:val="24"/>
          <w:highlight w:val="none"/>
        </w:rPr>
        <w:t xml:space="preserve">13.2   </w:t>
      </w:r>
      <w:r>
        <w:rPr>
          <w:rFonts w:hint="eastAsia" w:eastAsia="仿宋_GB2312"/>
          <w:color w:val="auto"/>
          <w:sz w:val="24"/>
          <w:highlight w:val="none"/>
          <w:lang w:val="en-US" w:eastAsia="zh-CN"/>
        </w:rPr>
        <w:t xml:space="preserve"> </w:t>
      </w:r>
      <w:r>
        <w:rPr>
          <w:rFonts w:eastAsia="仿宋_GB2312"/>
          <w:color w:val="auto"/>
          <w:sz w:val="24"/>
          <w:highlight w:val="none"/>
        </w:rPr>
        <w:t>因特殊原因，采购人或采购代理机构可在原投标有效期截止之前，要求投标人延长投标文件的有效期。接受该要求的投标人将不会被要求和允许修正其投标。投标人也可以拒绝延长投标有效期的要求，且不承担任何责任。上述要求和答复都应以书面形式提交。</w:t>
      </w:r>
    </w:p>
    <w:p w14:paraId="6E367CB2">
      <w:pPr>
        <w:pStyle w:val="6"/>
        <w:shd w:val="clear" w:color="auto" w:fill="auto"/>
        <w:ind w:firstLine="0" w:firstLineChars="0"/>
        <w:rPr>
          <w:rFonts w:ascii="Times New Roman" w:hAnsi="Times New Roman" w:eastAsia="仿宋_GB2312"/>
          <w:color w:val="auto"/>
          <w:sz w:val="24"/>
          <w:szCs w:val="24"/>
          <w:highlight w:val="none"/>
        </w:rPr>
      </w:pPr>
      <w:bookmarkStart w:id="136" w:name="_Toc520356158"/>
      <w:bookmarkStart w:id="137" w:name="_Toc17074"/>
      <w:bookmarkStart w:id="138" w:name="_Toc493"/>
      <w:bookmarkStart w:id="139" w:name="_Toc532473465"/>
      <w:bookmarkStart w:id="140" w:name="_Toc515647773"/>
      <w:bookmarkStart w:id="141" w:name="_Toc62194312"/>
      <w:bookmarkStart w:id="142" w:name="_Toc532"/>
      <w:r>
        <w:rPr>
          <w:rFonts w:ascii="Times New Roman" w:hAnsi="Times New Roman" w:eastAsia="仿宋_GB2312"/>
          <w:color w:val="auto"/>
          <w:sz w:val="24"/>
          <w:szCs w:val="24"/>
          <w:highlight w:val="none"/>
        </w:rPr>
        <w:t xml:space="preserve">14.    </w:t>
      </w:r>
      <w:r>
        <w:rPr>
          <w:rFonts w:hint="eastAsia" w:ascii="Times New Roman" w:hAnsi="Times New Roman" w:eastAsia="仿宋_GB2312"/>
          <w:color w:val="auto"/>
          <w:sz w:val="24"/>
          <w:szCs w:val="24"/>
          <w:highlight w:val="none"/>
          <w:lang w:val="en-US" w:eastAsia="zh-CN"/>
        </w:rPr>
        <w:t xml:space="preserve"> </w:t>
      </w:r>
      <w:r>
        <w:rPr>
          <w:rFonts w:ascii="Times New Roman" w:hAnsi="Times New Roman" w:eastAsia="仿宋_GB2312"/>
          <w:color w:val="auto"/>
          <w:sz w:val="24"/>
          <w:szCs w:val="24"/>
          <w:highlight w:val="none"/>
        </w:rPr>
        <w:t>投标文件的</w:t>
      </w:r>
      <w:bookmarkEnd w:id="136"/>
      <w:bookmarkEnd w:id="137"/>
      <w:bookmarkEnd w:id="138"/>
      <w:bookmarkEnd w:id="139"/>
      <w:bookmarkEnd w:id="140"/>
      <w:r>
        <w:rPr>
          <w:rFonts w:ascii="Times New Roman" w:hAnsi="Times New Roman" w:eastAsia="仿宋_GB2312"/>
          <w:color w:val="auto"/>
          <w:sz w:val="24"/>
          <w:szCs w:val="24"/>
          <w:highlight w:val="none"/>
        </w:rPr>
        <w:t>制作</w:t>
      </w:r>
      <w:bookmarkEnd w:id="141"/>
      <w:bookmarkEnd w:id="142"/>
    </w:p>
    <w:p w14:paraId="378606C0">
      <w:pPr>
        <w:shd w:val="clear" w:color="auto" w:fill="auto"/>
        <w:spacing w:line="360" w:lineRule="auto"/>
        <w:ind w:left="900" w:hanging="900" w:hangingChars="375"/>
        <w:rPr>
          <w:rFonts w:eastAsia="仿宋_GB2312"/>
          <w:color w:val="auto"/>
          <w:sz w:val="24"/>
          <w:highlight w:val="none"/>
        </w:rPr>
      </w:pPr>
      <w:r>
        <w:rPr>
          <w:rFonts w:eastAsia="仿宋_GB2312"/>
          <w:color w:val="auto"/>
          <w:sz w:val="24"/>
          <w:highlight w:val="none"/>
        </w:rPr>
        <w:t xml:space="preserve">14.1   </w:t>
      </w:r>
      <w:r>
        <w:rPr>
          <w:rFonts w:hint="eastAsia" w:eastAsia="仿宋_GB2312"/>
          <w:color w:val="auto"/>
          <w:sz w:val="24"/>
          <w:highlight w:val="none"/>
          <w:lang w:val="en-US" w:eastAsia="zh-CN"/>
        </w:rPr>
        <w:t xml:space="preserve"> </w:t>
      </w:r>
      <w:r>
        <w:rPr>
          <w:rFonts w:hint="eastAsia" w:ascii="仿宋" w:hAnsi="仿宋" w:eastAsia="仿宋" w:cs="仿宋"/>
          <w:color w:val="auto"/>
          <w:sz w:val="24"/>
          <w:highlight w:val="none"/>
        </w:rPr>
        <w:t>投标人应按</w:t>
      </w:r>
      <w:r>
        <w:rPr>
          <w:rFonts w:hint="eastAsia" w:ascii="仿宋" w:hAnsi="仿宋" w:eastAsia="仿宋" w:cs="仿宋"/>
          <w:color w:val="auto"/>
          <w:sz w:val="24"/>
          <w:highlight w:val="none"/>
          <w:u w:val="single"/>
        </w:rPr>
        <w:t>投标人须知前附表</w:t>
      </w:r>
      <w:r>
        <w:rPr>
          <w:rFonts w:hint="eastAsia" w:ascii="仿宋" w:hAnsi="仿宋" w:eastAsia="仿宋" w:cs="仿宋"/>
          <w:color w:val="auto"/>
          <w:sz w:val="24"/>
          <w:highlight w:val="none"/>
        </w:rPr>
        <w:t>中的规定，</w:t>
      </w:r>
      <w:r>
        <w:rPr>
          <w:rFonts w:hint="eastAsia" w:ascii="仿宋" w:hAnsi="仿宋" w:eastAsia="仿宋"/>
          <w:color w:val="auto"/>
          <w:sz w:val="24"/>
          <w:highlight w:val="none"/>
        </w:rPr>
        <w:t>在投标截止时间前上传电子版投标文件。</w:t>
      </w:r>
    </w:p>
    <w:p w14:paraId="71D3B5A4">
      <w:pPr>
        <w:shd w:val="clear" w:color="auto" w:fill="auto"/>
        <w:spacing w:line="360" w:lineRule="auto"/>
        <w:ind w:left="900" w:hanging="900" w:hangingChars="375"/>
        <w:rPr>
          <w:rFonts w:eastAsia="仿宋_GB2312"/>
          <w:color w:val="auto"/>
          <w:sz w:val="24"/>
          <w:highlight w:val="none"/>
        </w:rPr>
      </w:pPr>
      <w:r>
        <w:rPr>
          <w:rFonts w:eastAsia="仿宋_GB2312"/>
          <w:color w:val="auto"/>
          <w:sz w:val="24"/>
          <w:highlight w:val="none"/>
        </w:rPr>
        <w:t xml:space="preserve">14.2   </w:t>
      </w:r>
      <w:r>
        <w:rPr>
          <w:rFonts w:hint="eastAsia" w:eastAsia="仿宋_GB2312"/>
          <w:color w:val="auto"/>
          <w:sz w:val="24"/>
          <w:highlight w:val="none"/>
          <w:lang w:val="en-US" w:eastAsia="zh-CN"/>
        </w:rPr>
        <w:t xml:space="preserve"> </w:t>
      </w:r>
      <w:r>
        <w:rPr>
          <w:rFonts w:hint="eastAsia" w:ascii="仿宋" w:hAnsi="仿宋" w:eastAsia="仿宋" w:cs="仿宋"/>
          <w:color w:val="auto"/>
          <w:sz w:val="24"/>
          <w:highlight w:val="none"/>
        </w:rPr>
        <w:t>投标文件由投标人的法定代表人或经其正式委托代理人按招标文件规定在投标文件上签字并加盖公章。委托代理人须持有书面的“法定代表人授权委托书”，并将其附在投标文件中。如对投标文件进行了修改，则应由投标人的法定代表人或委托代理人在每一修改处签字。</w:t>
      </w:r>
    </w:p>
    <w:p w14:paraId="75D21A19">
      <w:pPr>
        <w:shd w:val="clear" w:color="auto" w:fill="auto"/>
        <w:spacing w:line="360" w:lineRule="auto"/>
        <w:ind w:left="850" w:leftChars="405" w:firstLine="2" w:firstLineChars="1"/>
        <w:rPr>
          <w:rFonts w:eastAsia="仿宋_GB2312"/>
          <w:color w:val="auto"/>
          <w:sz w:val="24"/>
          <w:highlight w:val="none"/>
        </w:rPr>
      </w:pPr>
      <w:r>
        <w:rPr>
          <w:rFonts w:eastAsia="仿宋_GB2312"/>
          <w:color w:val="auto"/>
          <w:sz w:val="24"/>
          <w:highlight w:val="none"/>
        </w:rPr>
        <w:t>未按招标文件要求签署和盖章的投标文件，其投标将被认定为</w:t>
      </w:r>
      <w:r>
        <w:rPr>
          <w:rFonts w:eastAsia="仿宋_GB2312"/>
          <w:b/>
          <w:color w:val="auto"/>
          <w:sz w:val="24"/>
          <w:highlight w:val="none"/>
        </w:rPr>
        <w:t>投标无效</w:t>
      </w:r>
      <w:r>
        <w:rPr>
          <w:rFonts w:eastAsia="仿宋_GB2312"/>
          <w:color w:val="auto"/>
          <w:sz w:val="24"/>
          <w:highlight w:val="none"/>
        </w:rPr>
        <w:t>。</w:t>
      </w:r>
    </w:p>
    <w:p w14:paraId="617495A5">
      <w:pPr>
        <w:shd w:val="clear" w:color="auto" w:fill="auto"/>
        <w:spacing w:line="360" w:lineRule="auto"/>
        <w:ind w:left="900" w:hanging="900" w:hangingChars="375"/>
        <w:rPr>
          <w:rFonts w:eastAsia="仿宋_GB2312"/>
          <w:color w:val="auto"/>
          <w:sz w:val="24"/>
          <w:highlight w:val="none"/>
        </w:rPr>
      </w:pPr>
      <w:r>
        <w:rPr>
          <w:rFonts w:eastAsia="仿宋_GB2312"/>
          <w:color w:val="auto"/>
          <w:sz w:val="24"/>
          <w:highlight w:val="none"/>
        </w:rPr>
        <w:t xml:space="preserve">14.3   </w:t>
      </w:r>
      <w:r>
        <w:rPr>
          <w:rFonts w:hint="eastAsia" w:eastAsia="仿宋_GB2312"/>
          <w:color w:val="auto"/>
          <w:sz w:val="24"/>
          <w:highlight w:val="none"/>
          <w:lang w:val="en-US" w:eastAsia="zh-CN"/>
        </w:rPr>
        <w:t xml:space="preserve"> </w:t>
      </w:r>
      <w:r>
        <w:rPr>
          <w:rFonts w:eastAsia="仿宋_GB2312"/>
          <w:color w:val="auto"/>
          <w:sz w:val="24"/>
          <w:highlight w:val="none"/>
        </w:rPr>
        <w:t>投标文件应按照</w:t>
      </w:r>
      <w:r>
        <w:rPr>
          <w:rFonts w:eastAsia="仿宋"/>
          <w:color w:val="auto"/>
          <w:sz w:val="24"/>
          <w:highlight w:val="none"/>
        </w:rPr>
        <w:t>“投标文件格式”编制</w:t>
      </w:r>
      <w:r>
        <w:rPr>
          <w:rFonts w:eastAsia="仿宋_GB2312"/>
          <w:color w:val="auto"/>
          <w:sz w:val="24"/>
          <w:highlight w:val="none"/>
        </w:rPr>
        <w:t>。</w:t>
      </w:r>
    </w:p>
    <w:p w14:paraId="49A9C907">
      <w:pPr>
        <w:shd w:val="clear" w:color="auto" w:fill="auto"/>
        <w:spacing w:line="360" w:lineRule="auto"/>
        <w:ind w:left="900" w:hanging="900" w:hangingChars="375"/>
        <w:rPr>
          <w:rFonts w:eastAsia="仿宋_GB2312"/>
          <w:color w:val="auto"/>
          <w:sz w:val="24"/>
          <w:highlight w:val="none"/>
        </w:rPr>
      </w:pPr>
      <w:r>
        <w:rPr>
          <w:rFonts w:eastAsia="仿宋_GB2312"/>
          <w:color w:val="auto"/>
          <w:sz w:val="24"/>
          <w:highlight w:val="none"/>
        </w:rPr>
        <w:t xml:space="preserve">14.4   </w:t>
      </w:r>
      <w:r>
        <w:rPr>
          <w:rFonts w:hint="eastAsia" w:eastAsia="仿宋_GB2312"/>
          <w:color w:val="auto"/>
          <w:sz w:val="24"/>
          <w:highlight w:val="none"/>
          <w:lang w:val="en-US" w:eastAsia="zh-CN"/>
        </w:rPr>
        <w:t xml:space="preserve"> </w:t>
      </w:r>
      <w:r>
        <w:rPr>
          <w:rFonts w:eastAsia="仿宋_GB2312"/>
          <w:color w:val="auto"/>
          <w:sz w:val="24"/>
          <w:highlight w:val="none"/>
        </w:rPr>
        <w:t>投标文件因字迹潦草、表达不清所引起的后果由投标人负责。</w:t>
      </w:r>
    </w:p>
    <w:p w14:paraId="69ED09C8">
      <w:pPr>
        <w:shd w:val="clear" w:color="auto" w:fill="auto"/>
        <w:spacing w:line="360" w:lineRule="auto"/>
        <w:ind w:left="900" w:hanging="900" w:hangingChars="375"/>
        <w:rPr>
          <w:rFonts w:eastAsia="仿宋_GB2312"/>
          <w:color w:val="auto"/>
          <w:sz w:val="24"/>
          <w:highlight w:val="none"/>
        </w:rPr>
      </w:pPr>
    </w:p>
    <w:p w14:paraId="59D44FD5">
      <w:pPr>
        <w:pStyle w:val="3"/>
        <w:shd w:val="clear" w:color="auto" w:fill="auto"/>
        <w:rPr>
          <w:rFonts w:ascii="Times New Roman" w:hAnsi="Times New Roman" w:eastAsia="仿宋_GB2312"/>
          <w:color w:val="auto"/>
          <w:sz w:val="28"/>
          <w:szCs w:val="18"/>
          <w:highlight w:val="none"/>
        </w:rPr>
      </w:pPr>
      <w:bookmarkStart w:id="143" w:name="_Toc11179"/>
      <w:bookmarkStart w:id="144" w:name="_Toc515647774"/>
      <w:bookmarkStart w:id="145" w:name="_Toc520356159"/>
      <w:bookmarkStart w:id="146" w:name="_Toc216582808"/>
      <w:bookmarkStart w:id="147" w:name="_Toc62194313"/>
      <w:bookmarkStart w:id="148" w:name="_Toc16865"/>
      <w:bookmarkStart w:id="149" w:name="_Toc532473466"/>
      <w:bookmarkStart w:id="150" w:name="_Toc6741"/>
      <w:r>
        <w:rPr>
          <w:rFonts w:ascii="Times New Roman" w:hAnsi="Times New Roman" w:eastAsia="仿宋_GB2312"/>
          <w:color w:val="auto"/>
          <w:sz w:val="28"/>
          <w:szCs w:val="18"/>
          <w:highlight w:val="none"/>
        </w:rPr>
        <w:t>四、投标文件的</w:t>
      </w:r>
      <w:bookmarkEnd w:id="143"/>
      <w:bookmarkEnd w:id="144"/>
      <w:bookmarkEnd w:id="145"/>
      <w:bookmarkEnd w:id="146"/>
      <w:bookmarkEnd w:id="147"/>
      <w:bookmarkEnd w:id="148"/>
      <w:bookmarkEnd w:id="149"/>
      <w:r>
        <w:rPr>
          <w:rFonts w:hint="eastAsia" w:ascii="仿宋" w:hAnsi="仿宋" w:eastAsia="仿宋" w:cs="仿宋"/>
          <w:color w:val="auto"/>
          <w:sz w:val="28"/>
          <w:szCs w:val="18"/>
          <w:highlight w:val="none"/>
        </w:rPr>
        <w:t>加密和递交</w:t>
      </w:r>
      <w:bookmarkEnd w:id="150"/>
    </w:p>
    <w:p w14:paraId="492D32AB">
      <w:pPr>
        <w:pStyle w:val="7"/>
        <w:shd w:val="clear" w:color="auto" w:fill="auto"/>
        <w:spacing w:line="360" w:lineRule="auto"/>
        <w:rPr>
          <w:rFonts w:ascii="Times New Roman"/>
          <w:color w:val="auto"/>
          <w:highlight w:val="none"/>
        </w:rPr>
      </w:pPr>
    </w:p>
    <w:p w14:paraId="1F98DD3A">
      <w:pPr>
        <w:pStyle w:val="6"/>
        <w:shd w:val="clear" w:color="auto" w:fill="auto"/>
        <w:ind w:firstLine="0" w:firstLineChars="0"/>
        <w:rPr>
          <w:rFonts w:hint="eastAsia" w:ascii="仿宋" w:hAnsi="仿宋" w:eastAsia="仿宋" w:cs="仿宋"/>
          <w:color w:val="auto"/>
          <w:sz w:val="24"/>
          <w:szCs w:val="24"/>
          <w:highlight w:val="none"/>
        </w:rPr>
      </w:pPr>
      <w:bookmarkStart w:id="151" w:name="_Toc515647775"/>
      <w:bookmarkStart w:id="152" w:name="_Toc532473467"/>
      <w:bookmarkStart w:id="153" w:name="_Toc32337"/>
      <w:bookmarkStart w:id="154" w:name="_Toc823"/>
      <w:bookmarkStart w:id="155" w:name="_Toc21645"/>
      <w:bookmarkStart w:id="156" w:name="_Toc62194314"/>
      <w:bookmarkStart w:id="157" w:name="_Toc520356160"/>
      <w:bookmarkStart w:id="158" w:name="_Toc12577"/>
      <w:bookmarkStart w:id="159" w:name="_Toc32150"/>
      <w:bookmarkStart w:id="160" w:name="_Toc3547"/>
      <w:bookmarkStart w:id="161" w:name="_Toc20498"/>
      <w:bookmarkStart w:id="162" w:name="_Toc30748"/>
      <w:bookmarkStart w:id="163" w:name="_Toc26202"/>
      <w:r>
        <w:rPr>
          <w:rFonts w:hint="eastAsia" w:ascii="仿宋" w:hAnsi="仿宋" w:eastAsia="仿宋" w:cs="仿宋"/>
          <w:color w:val="auto"/>
          <w:sz w:val="24"/>
          <w:szCs w:val="24"/>
          <w:highlight w:val="none"/>
        </w:rPr>
        <w:t>15.    投标文件的</w:t>
      </w:r>
      <w:bookmarkEnd w:id="151"/>
      <w:bookmarkEnd w:id="152"/>
      <w:bookmarkEnd w:id="153"/>
      <w:bookmarkEnd w:id="154"/>
      <w:bookmarkEnd w:id="155"/>
      <w:bookmarkEnd w:id="156"/>
      <w:bookmarkEnd w:id="157"/>
      <w:r>
        <w:rPr>
          <w:rFonts w:hint="eastAsia" w:ascii="仿宋" w:hAnsi="仿宋" w:eastAsia="仿宋" w:cs="仿宋"/>
          <w:color w:val="auto"/>
          <w:sz w:val="24"/>
          <w:szCs w:val="24"/>
          <w:highlight w:val="none"/>
        </w:rPr>
        <w:t>加密</w:t>
      </w:r>
      <w:bookmarkEnd w:id="158"/>
      <w:bookmarkEnd w:id="159"/>
      <w:bookmarkEnd w:id="160"/>
      <w:bookmarkEnd w:id="161"/>
      <w:bookmarkEnd w:id="162"/>
      <w:bookmarkEnd w:id="163"/>
    </w:p>
    <w:p w14:paraId="54A699BA">
      <w:pPr>
        <w:shd w:val="clear" w:color="auto" w:fill="auto"/>
        <w:spacing w:line="360" w:lineRule="auto"/>
        <w:ind w:left="900" w:hanging="900" w:hangingChars="375"/>
        <w:rPr>
          <w:rFonts w:eastAsia="仿宋_GB2312"/>
          <w:color w:val="auto"/>
          <w:sz w:val="24"/>
          <w:highlight w:val="none"/>
        </w:rPr>
      </w:pPr>
      <w:r>
        <w:rPr>
          <w:rFonts w:hint="eastAsia" w:ascii="仿宋" w:hAnsi="仿宋" w:eastAsia="仿宋" w:cs="仿宋"/>
          <w:color w:val="auto"/>
          <w:sz w:val="24"/>
          <w:highlight w:val="none"/>
        </w:rPr>
        <w:t>15.1   加密要求：投标人应按照全国公共资源交易平台（陕西省·</w:t>
      </w:r>
      <w:r>
        <w:rPr>
          <w:rFonts w:hint="eastAsia" w:ascii="仿宋" w:hAnsi="仿宋" w:eastAsia="仿宋" w:cs="仿宋"/>
          <w:color w:val="auto"/>
          <w:sz w:val="24"/>
          <w:highlight w:val="none"/>
          <w:lang w:val="en-US" w:eastAsia="zh-CN"/>
        </w:rPr>
        <w:t>宝鸡市</w:t>
      </w:r>
      <w:r>
        <w:rPr>
          <w:rFonts w:hint="eastAsia" w:ascii="仿宋" w:hAnsi="仿宋" w:eastAsia="仿宋" w:cs="仿宋"/>
          <w:color w:val="auto"/>
          <w:sz w:val="24"/>
          <w:highlight w:val="none"/>
        </w:rPr>
        <w:t xml:space="preserve">）的要求对响应文件进行加密。投标人应承担加密操作失误产生的任何后果。  </w:t>
      </w:r>
      <w:r>
        <w:rPr>
          <w:rFonts w:eastAsia="仿宋_GB2312"/>
          <w:color w:val="auto"/>
          <w:sz w:val="24"/>
          <w:highlight w:val="none"/>
        </w:rPr>
        <w:t xml:space="preserve">  </w:t>
      </w:r>
    </w:p>
    <w:p w14:paraId="44BA78FB">
      <w:pPr>
        <w:pStyle w:val="6"/>
        <w:shd w:val="clear" w:color="auto" w:fill="auto"/>
        <w:ind w:firstLine="0" w:firstLineChars="0"/>
        <w:rPr>
          <w:rFonts w:ascii="Times New Roman" w:hAnsi="Times New Roman" w:eastAsia="仿宋_GB2312"/>
          <w:color w:val="auto"/>
          <w:sz w:val="24"/>
          <w:szCs w:val="24"/>
          <w:highlight w:val="none"/>
        </w:rPr>
      </w:pPr>
      <w:bookmarkStart w:id="164" w:name="_Toc515647776"/>
      <w:bookmarkStart w:id="165" w:name="_Toc532473468"/>
      <w:bookmarkStart w:id="166" w:name="_Toc520356161"/>
      <w:bookmarkStart w:id="167" w:name="_Toc9840"/>
      <w:bookmarkStart w:id="168" w:name="_Toc62194315"/>
      <w:bookmarkStart w:id="169" w:name="_Toc12751"/>
      <w:bookmarkStart w:id="170" w:name="_Toc5773"/>
      <w:r>
        <w:rPr>
          <w:rFonts w:ascii="Times New Roman" w:hAnsi="Times New Roman" w:eastAsia="仿宋_GB2312"/>
          <w:color w:val="auto"/>
          <w:sz w:val="24"/>
          <w:szCs w:val="24"/>
          <w:highlight w:val="none"/>
        </w:rPr>
        <w:t xml:space="preserve">16.    </w:t>
      </w:r>
      <w:r>
        <w:rPr>
          <w:rFonts w:hint="eastAsia" w:ascii="Times New Roman" w:hAnsi="Times New Roman" w:eastAsia="仿宋_GB2312"/>
          <w:color w:val="auto"/>
          <w:sz w:val="24"/>
          <w:szCs w:val="24"/>
          <w:highlight w:val="none"/>
          <w:lang w:val="en-US" w:eastAsia="zh-CN"/>
        </w:rPr>
        <w:t xml:space="preserve"> </w:t>
      </w:r>
      <w:r>
        <w:rPr>
          <w:rFonts w:ascii="Times New Roman" w:hAnsi="Times New Roman" w:eastAsia="仿宋_GB2312"/>
          <w:color w:val="auto"/>
          <w:sz w:val="24"/>
          <w:szCs w:val="24"/>
          <w:highlight w:val="none"/>
        </w:rPr>
        <w:t>投标截止</w:t>
      </w:r>
      <w:bookmarkEnd w:id="164"/>
      <w:bookmarkEnd w:id="165"/>
      <w:bookmarkEnd w:id="166"/>
      <w:bookmarkEnd w:id="167"/>
      <w:bookmarkEnd w:id="168"/>
      <w:bookmarkEnd w:id="169"/>
      <w:bookmarkEnd w:id="170"/>
    </w:p>
    <w:p w14:paraId="4BD94850">
      <w:pPr>
        <w:shd w:val="clear" w:color="auto" w:fill="auto"/>
        <w:spacing w:line="360" w:lineRule="auto"/>
        <w:ind w:left="840" w:hanging="840" w:hangingChars="350"/>
        <w:rPr>
          <w:rFonts w:eastAsia="仿宋_GB2312"/>
          <w:color w:val="auto"/>
          <w:sz w:val="24"/>
          <w:highlight w:val="none"/>
        </w:rPr>
      </w:pPr>
      <w:r>
        <w:rPr>
          <w:rFonts w:eastAsia="仿宋_GB2312"/>
          <w:color w:val="auto"/>
          <w:sz w:val="24"/>
          <w:highlight w:val="none"/>
        </w:rPr>
        <w:t xml:space="preserve">16.1   </w:t>
      </w:r>
      <w:r>
        <w:rPr>
          <w:rFonts w:hint="eastAsia" w:eastAsia="仿宋_GB2312"/>
          <w:color w:val="auto"/>
          <w:sz w:val="24"/>
          <w:highlight w:val="none"/>
          <w:lang w:val="en-US" w:eastAsia="zh-CN"/>
        </w:rPr>
        <w:t xml:space="preserve"> </w:t>
      </w:r>
      <w:r>
        <w:rPr>
          <w:rFonts w:eastAsia="仿宋_GB2312"/>
          <w:color w:val="auto"/>
          <w:sz w:val="24"/>
          <w:highlight w:val="none"/>
        </w:rPr>
        <w:t>投标人应在</w:t>
      </w:r>
      <w:r>
        <w:rPr>
          <w:rFonts w:eastAsia="仿宋_GB2312"/>
          <w:color w:val="auto"/>
          <w:sz w:val="24"/>
          <w:highlight w:val="none"/>
          <w:u w:val="single"/>
        </w:rPr>
        <w:t>投标人须知前附表中</w:t>
      </w:r>
      <w:r>
        <w:rPr>
          <w:rFonts w:eastAsia="仿宋_GB2312"/>
          <w:color w:val="auto"/>
          <w:sz w:val="24"/>
          <w:highlight w:val="none"/>
        </w:rPr>
        <w:t>规定的截止时间前，将投标文件递交到招标公告中规定的地点。</w:t>
      </w:r>
    </w:p>
    <w:p w14:paraId="4D841281">
      <w:pPr>
        <w:shd w:val="clear" w:color="auto" w:fill="auto"/>
        <w:spacing w:line="360" w:lineRule="auto"/>
        <w:ind w:left="900" w:hanging="900" w:hangingChars="375"/>
        <w:rPr>
          <w:rFonts w:eastAsia="仿宋_GB2312"/>
          <w:color w:val="auto"/>
          <w:sz w:val="24"/>
          <w:highlight w:val="none"/>
        </w:rPr>
      </w:pPr>
      <w:r>
        <w:rPr>
          <w:rFonts w:eastAsia="仿宋_GB2312"/>
          <w:color w:val="auto"/>
          <w:sz w:val="24"/>
          <w:highlight w:val="none"/>
        </w:rPr>
        <w:t>16.2   采购人和采购代理机构将拒绝接收在投标截止时间后送达的投标文件。</w:t>
      </w:r>
    </w:p>
    <w:p w14:paraId="3F649299">
      <w:pPr>
        <w:pStyle w:val="6"/>
        <w:shd w:val="clear" w:color="auto" w:fill="auto"/>
        <w:ind w:firstLine="0" w:firstLineChars="0"/>
        <w:jc w:val="both"/>
        <w:rPr>
          <w:rFonts w:ascii="Times New Roman" w:hAnsi="Times New Roman" w:eastAsia="仿宋_GB2312"/>
          <w:color w:val="auto"/>
          <w:sz w:val="24"/>
          <w:szCs w:val="24"/>
          <w:highlight w:val="none"/>
        </w:rPr>
      </w:pPr>
      <w:bookmarkStart w:id="171" w:name="_Toc532473469"/>
      <w:bookmarkStart w:id="172" w:name="_Toc18537"/>
      <w:bookmarkStart w:id="173" w:name="_Toc515647777"/>
      <w:bookmarkStart w:id="174" w:name="_Toc8819"/>
      <w:bookmarkStart w:id="175" w:name="_Toc62194316"/>
      <w:bookmarkStart w:id="176" w:name="_Toc520356162"/>
      <w:bookmarkStart w:id="177" w:name="_Toc24275"/>
      <w:r>
        <w:rPr>
          <w:rFonts w:ascii="Times New Roman" w:hAnsi="Times New Roman" w:eastAsia="仿宋_GB2312"/>
          <w:color w:val="auto"/>
          <w:sz w:val="24"/>
          <w:szCs w:val="24"/>
          <w:highlight w:val="none"/>
        </w:rPr>
        <w:t>17.    投标文件的接收、修改与撤回</w:t>
      </w:r>
      <w:bookmarkEnd w:id="171"/>
      <w:bookmarkEnd w:id="172"/>
      <w:bookmarkEnd w:id="173"/>
      <w:bookmarkEnd w:id="174"/>
      <w:bookmarkEnd w:id="175"/>
      <w:bookmarkEnd w:id="176"/>
      <w:bookmarkEnd w:id="177"/>
    </w:p>
    <w:p w14:paraId="5AD4DEFE">
      <w:pPr>
        <w:shd w:val="clear" w:color="auto" w:fill="auto"/>
        <w:spacing w:line="360" w:lineRule="auto"/>
        <w:ind w:left="900" w:hanging="900" w:hangingChars="375"/>
        <w:rPr>
          <w:color w:val="auto"/>
          <w:highlight w:val="none"/>
        </w:rPr>
      </w:pPr>
      <w:r>
        <w:rPr>
          <w:rFonts w:eastAsia="仿宋_GB2312"/>
          <w:color w:val="auto"/>
          <w:sz w:val="24"/>
          <w:highlight w:val="none"/>
        </w:rPr>
        <w:t>17.1   采购人和采购代理机构将按招标文件规定的时间和地点接收投标文件。</w:t>
      </w:r>
    </w:p>
    <w:p w14:paraId="7C792DF6">
      <w:pPr>
        <w:shd w:val="clear" w:color="auto" w:fill="auto"/>
        <w:spacing w:line="360" w:lineRule="auto"/>
        <w:ind w:left="900" w:hanging="900" w:hangingChars="375"/>
        <w:rPr>
          <w:rFonts w:eastAsia="仿宋_GB2312"/>
          <w:color w:val="auto"/>
          <w:sz w:val="24"/>
          <w:highlight w:val="none"/>
        </w:rPr>
      </w:pPr>
      <w:r>
        <w:rPr>
          <w:rFonts w:eastAsia="仿宋_GB2312"/>
          <w:color w:val="auto"/>
          <w:sz w:val="24"/>
          <w:highlight w:val="none"/>
        </w:rPr>
        <w:t>17.2   采购人或者采购代理机构收到投标文件后，将记载投标文件的送达时间和密封情况，并向投标人出具回执。</w:t>
      </w:r>
    </w:p>
    <w:p w14:paraId="28077BD8">
      <w:pPr>
        <w:shd w:val="clear" w:color="auto" w:fill="auto"/>
        <w:spacing w:line="360" w:lineRule="auto"/>
        <w:ind w:left="840" w:hanging="840" w:hangingChars="350"/>
        <w:rPr>
          <w:rFonts w:eastAsia="仿宋_GB2312"/>
          <w:color w:val="auto"/>
          <w:sz w:val="24"/>
          <w:highlight w:val="none"/>
        </w:rPr>
      </w:pPr>
      <w:r>
        <w:rPr>
          <w:rFonts w:eastAsia="仿宋_GB2312"/>
          <w:color w:val="auto"/>
          <w:sz w:val="24"/>
          <w:highlight w:val="none"/>
        </w:rPr>
        <w:t>17.3   递交投标文件以后，如果投标人要进行修改，须提出书面申请并在投标截止时间前送达开标地点，投标人对投标文件的修改申请应按本须知规定编制、签署、密封、标记。采购人和采购代理机构将予以接收，并视为投标文件的组成部分。</w:t>
      </w:r>
    </w:p>
    <w:p w14:paraId="259BDD2A">
      <w:pPr>
        <w:shd w:val="clear" w:color="auto" w:fill="auto"/>
        <w:spacing w:line="360" w:lineRule="auto"/>
        <w:ind w:left="850" w:leftChars="405" w:firstLine="2" w:firstLineChars="1"/>
        <w:rPr>
          <w:rFonts w:eastAsia="仿宋_GB2312"/>
          <w:color w:val="auto"/>
          <w:sz w:val="24"/>
          <w:highlight w:val="none"/>
        </w:rPr>
      </w:pPr>
      <w:r>
        <w:rPr>
          <w:rFonts w:eastAsia="仿宋_GB2312"/>
          <w:color w:val="auto"/>
          <w:sz w:val="24"/>
          <w:highlight w:val="none"/>
        </w:rPr>
        <w:t>递交投标文件以后，如果投标人要进行撤回的，须提出书面申请并在投标截止时间前送达开标地点，采购人和采购代理机构将予以接受。</w:t>
      </w:r>
    </w:p>
    <w:p w14:paraId="0AC39C49">
      <w:pPr>
        <w:shd w:val="clear" w:color="auto" w:fill="auto"/>
        <w:spacing w:line="360" w:lineRule="auto"/>
        <w:ind w:left="850" w:hanging="849" w:hangingChars="354"/>
        <w:rPr>
          <w:rFonts w:eastAsia="仿宋_GB2312"/>
          <w:color w:val="auto"/>
          <w:sz w:val="24"/>
          <w:highlight w:val="none"/>
        </w:rPr>
      </w:pPr>
      <w:r>
        <w:rPr>
          <w:rFonts w:eastAsia="仿宋_GB2312"/>
          <w:color w:val="auto"/>
          <w:sz w:val="24"/>
          <w:highlight w:val="none"/>
        </w:rPr>
        <w:t>17.4   在投标截止时间之后，投标人不得对其投标文件做任何修改。</w:t>
      </w:r>
    </w:p>
    <w:p w14:paraId="4B935BE4">
      <w:pPr>
        <w:shd w:val="clear" w:color="auto" w:fill="auto"/>
        <w:spacing w:line="360" w:lineRule="auto"/>
        <w:ind w:left="850" w:hanging="849" w:hangingChars="354"/>
        <w:rPr>
          <w:rFonts w:eastAsia="仿宋_GB2312"/>
          <w:color w:val="auto"/>
          <w:sz w:val="24"/>
          <w:highlight w:val="none"/>
        </w:rPr>
      </w:pPr>
      <w:r>
        <w:rPr>
          <w:rFonts w:eastAsia="仿宋_GB2312"/>
          <w:color w:val="auto"/>
          <w:sz w:val="24"/>
          <w:highlight w:val="none"/>
        </w:rPr>
        <w:t>17.5   除投标人不足3家未开标外，采购人和采购代理机构对所接收投标文件概不退回。</w:t>
      </w:r>
    </w:p>
    <w:p w14:paraId="22C1CA0C">
      <w:pPr>
        <w:shd w:val="clear" w:color="auto" w:fill="auto"/>
        <w:spacing w:line="360" w:lineRule="auto"/>
        <w:rPr>
          <w:rFonts w:eastAsia="仿宋_GB2312"/>
          <w:color w:val="auto"/>
          <w:sz w:val="24"/>
          <w:highlight w:val="none"/>
        </w:rPr>
      </w:pPr>
    </w:p>
    <w:p w14:paraId="6AF9F2E1">
      <w:pPr>
        <w:pStyle w:val="3"/>
        <w:shd w:val="clear" w:color="auto" w:fill="auto"/>
        <w:rPr>
          <w:rFonts w:ascii="Times New Roman" w:hAnsi="Times New Roman" w:eastAsia="仿宋_GB2312"/>
          <w:color w:val="auto"/>
          <w:sz w:val="28"/>
          <w:szCs w:val="18"/>
          <w:highlight w:val="none"/>
        </w:rPr>
      </w:pPr>
      <w:bookmarkStart w:id="178" w:name="_Toc216582809"/>
      <w:bookmarkStart w:id="179" w:name="_Toc23916"/>
      <w:bookmarkStart w:id="180" w:name="_Toc12436"/>
      <w:bookmarkStart w:id="181" w:name="_Toc62194317"/>
      <w:bookmarkStart w:id="182" w:name="_Toc28398"/>
      <w:bookmarkStart w:id="183" w:name="_Toc520356163"/>
      <w:bookmarkStart w:id="184" w:name="_Toc532473470"/>
      <w:bookmarkStart w:id="185" w:name="_Toc515647778"/>
      <w:r>
        <w:rPr>
          <w:rFonts w:ascii="Times New Roman" w:hAnsi="Times New Roman" w:eastAsia="仿宋_GB2312"/>
          <w:color w:val="auto"/>
          <w:sz w:val="28"/>
          <w:szCs w:val="18"/>
          <w:highlight w:val="none"/>
        </w:rPr>
        <w:t>五、开标及评标</w:t>
      </w:r>
      <w:bookmarkEnd w:id="178"/>
      <w:bookmarkEnd w:id="179"/>
      <w:bookmarkEnd w:id="180"/>
      <w:bookmarkEnd w:id="181"/>
      <w:bookmarkEnd w:id="182"/>
      <w:bookmarkEnd w:id="183"/>
      <w:bookmarkEnd w:id="184"/>
      <w:bookmarkEnd w:id="185"/>
    </w:p>
    <w:p w14:paraId="607603F7">
      <w:pPr>
        <w:pStyle w:val="6"/>
        <w:shd w:val="clear" w:color="auto" w:fill="auto"/>
        <w:ind w:firstLine="0" w:firstLineChars="0"/>
        <w:jc w:val="both"/>
        <w:rPr>
          <w:rFonts w:ascii="Times New Roman" w:hAnsi="Times New Roman" w:eastAsia="仿宋_GB2312"/>
          <w:color w:val="auto"/>
          <w:sz w:val="24"/>
          <w:szCs w:val="24"/>
          <w:highlight w:val="none"/>
        </w:rPr>
      </w:pPr>
      <w:bookmarkStart w:id="186" w:name="_Toc532473471"/>
      <w:bookmarkStart w:id="187" w:name="_Toc62194318"/>
      <w:bookmarkStart w:id="188" w:name="_Toc25345"/>
      <w:bookmarkStart w:id="189" w:name="_Toc23157"/>
      <w:bookmarkStart w:id="190" w:name="_Toc520356164"/>
      <w:bookmarkStart w:id="191" w:name="_Toc7186"/>
      <w:bookmarkStart w:id="192" w:name="_Toc515647779"/>
      <w:r>
        <w:rPr>
          <w:rFonts w:ascii="Times New Roman" w:hAnsi="Times New Roman" w:eastAsia="仿宋_GB2312"/>
          <w:color w:val="auto"/>
          <w:sz w:val="24"/>
          <w:szCs w:val="24"/>
          <w:highlight w:val="none"/>
        </w:rPr>
        <w:t>18.    开标</w:t>
      </w:r>
      <w:bookmarkEnd w:id="186"/>
      <w:bookmarkEnd w:id="187"/>
      <w:bookmarkEnd w:id="188"/>
      <w:bookmarkEnd w:id="189"/>
      <w:bookmarkEnd w:id="190"/>
      <w:bookmarkEnd w:id="191"/>
      <w:bookmarkEnd w:id="192"/>
    </w:p>
    <w:p w14:paraId="3D007C76">
      <w:pPr>
        <w:shd w:val="clear" w:color="auto" w:fill="auto"/>
        <w:spacing w:line="360" w:lineRule="auto"/>
        <w:ind w:left="840" w:hanging="840" w:hangingChars="350"/>
        <w:rPr>
          <w:rFonts w:eastAsia="仿宋_GB2312"/>
          <w:color w:val="auto"/>
          <w:sz w:val="24"/>
          <w:highlight w:val="none"/>
        </w:rPr>
      </w:pPr>
      <w:r>
        <w:rPr>
          <w:rFonts w:eastAsia="仿宋_GB2312"/>
          <w:color w:val="auto"/>
          <w:sz w:val="24"/>
          <w:highlight w:val="none"/>
        </w:rPr>
        <w:t>18.1   采购人和采购代理机构将按</w:t>
      </w:r>
      <w:r>
        <w:rPr>
          <w:rFonts w:eastAsia="仿宋_GB2312"/>
          <w:color w:val="auto"/>
          <w:sz w:val="24"/>
          <w:highlight w:val="none"/>
          <w:u w:val="single"/>
        </w:rPr>
        <w:t>投标人须知前附表</w:t>
      </w:r>
      <w:r>
        <w:rPr>
          <w:rFonts w:eastAsia="仿宋_GB2312"/>
          <w:color w:val="auto"/>
          <w:sz w:val="24"/>
          <w:highlight w:val="none"/>
        </w:rPr>
        <w:t>中规定的开标时间和地点组织开标，并邀请所有投标人代表参加。</w:t>
      </w:r>
    </w:p>
    <w:p w14:paraId="3EF07FE7">
      <w:pPr>
        <w:shd w:val="clear" w:color="auto" w:fill="auto"/>
        <w:spacing w:line="360" w:lineRule="auto"/>
        <w:ind w:left="833" w:leftChars="397" w:firstLine="19" w:firstLineChars="8"/>
        <w:rPr>
          <w:rFonts w:eastAsia="仿宋_GB2312"/>
          <w:color w:val="auto"/>
          <w:sz w:val="24"/>
          <w:highlight w:val="none"/>
        </w:rPr>
      </w:pPr>
      <w:r>
        <w:rPr>
          <w:rFonts w:eastAsia="仿宋_GB2312"/>
          <w:color w:val="auto"/>
          <w:sz w:val="24"/>
          <w:highlight w:val="none"/>
        </w:rPr>
        <w:t>投标人不足3家的，不予开标。</w:t>
      </w:r>
    </w:p>
    <w:p w14:paraId="29CD5A7C">
      <w:pPr>
        <w:shd w:val="clear" w:color="auto" w:fill="auto"/>
        <w:spacing w:line="360" w:lineRule="auto"/>
        <w:ind w:left="900" w:hanging="900" w:hangingChars="375"/>
        <w:rPr>
          <w:rFonts w:eastAsia="仿宋_GB2312"/>
          <w:color w:val="auto"/>
          <w:sz w:val="24"/>
          <w:highlight w:val="none"/>
        </w:rPr>
      </w:pPr>
      <w:r>
        <w:rPr>
          <w:rFonts w:eastAsia="仿宋_GB2312"/>
          <w:color w:val="auto"/>
          <w:sz w:val="24"/>
          <w:highlight w:val="none"/>
        </w:rPr>
        <w:t>18.2   开标时，由投标人或其推选的代表检查自己或所代表的投标文件的密封情况，经记录后，由采购人或采购代理机构当众拆封投标文件，宣读投标人在开标一览表中所填写的全部内容。对于投标人在投标截止时间前递交的投标声明，在开标时当众宣读，评标时有效。</w:t>
      </w:r>
    </w:p>
    <w:p w14:paraId="032AD75B">
      <w:pPr>
        <w:shd w:val="clear" w:color="auto" w:fill="auto"/>
        <w:spacing w:line="360" w:lineRule="auto"/>
        <w:ind w:left="1078" w:leftChars="428" w:hanging="180" w:hangingChars="75"/>
        <w:rPr>
          <w:rFonts w:eastAsia="仿宋_GB2312"/>
          <w:color w:val="auto"/>
          <w:sz w:val="24"/>
          <w:highlight w:val="none"/>
        </w:rPr>
      </w:pPr>
      <w:r>
        <w:rPr>
          <w:rFonts w:eastAsia="仿宋_GB2312"/>
          <w:color w:val="auto"/>
          <w:sz w:val="24"/>
          <w:highlight w:val="none"/>
        </w:rPr>
        <w:t>未宣读的投标价格、价格折扣等实质内容，评标时不予承认。</w:t>
      </w:r>
    </w:p>
    <w:p w14:paraId="54C5F706">
      <w:pPr>
        <w:shd w:val="clear" w:color="auto" w:fill="auto"/>
        <w:spacing w:line="360" w:lineRule="auto"/>
        <w:ind w:left="850" w:hanging="849" w:hangingChars="354"/>
        <w:rPr>
          <w:rFonts w:eastAsia="仿宋_GB2312"/>
          <w:color w:val="auto"/>
          <w:sz w:val="24"/>
          <w:highlight w:val="none"/>
        </w:rPr>
      </w:pPr>
      <w:r>
        <w:rPr>
          <w:rFonts w:eastAsia="仿宋_GB2312"/>
          <w:color w:val="auto"/>
          <w:sz w:val="24"/>
          <w:highlight w:val="none"/>
        </w:rPr>
        <w:t>18.3   采购人或采购代理机构将对开标过程进行记录</w:t>
      </w:r>
      <w:bookmarkStart w:id="193" w:name="_Toc520356165"/>
      <w:r>
        <w:rPr>
          <w:rFonts w:eastAsia="仿宋_GB2312"/>
          <w:color w:val="auto"/>
          <w:sz w:val="24"/>
          <w:highlight w:val="none"/>
        </w:rPr>
        <w:t>，由参加开标的各投标人代表和相关工作人员签字确认，并存档备查。</w:t>
      </w:r>
    </w:p>
    <w:p w14:paraId="2EC6969A">
      <w:pPr>
        <w:shd w:val="clear" w:color="auto" w:fill="auto"/>
        <w:spacing w:line="360" w:lineRule="auto"/>
        <w:ind w:left="898" w:leftChars="428"/>
        <w:rPr>
          <w:rFonts w:eastAsia="仿宋_GB2312"/>
          <w:color w:val="auto"/>
          <w:sz w:val="24"/>
          <w:highlight w:val="none"/>
        </w:rPr>
      </w:pPr>
      <w:r>
        <w:rPr>
          <w:rFonts w:eastAsia="仿宋_GB2312"/>
          <w:color w:val="auto"/>
          <w:sz w:val="24"/>
          <w:highlight w:val="none"/>
        </w:rPr>
        <w:t>投标人未派代表参加开标的，视同投标人认可开标结果。</w:t>
      </w:r>
    </w:p>
    <w:p w14:paraId="4385BBCF">
      <w:pPr>
        <w:shd w:val="clear" w:color="auto" w:fill="auto"/>
        <w:spacing w:line="360" w:lineRule="auto"/>
        <w:ind w:left="850" w:hanging="849" w:hangingChars="354"/>
        <w:rPr>
          <w:rFonts w:eastAsia="仿宋_GB2312"/>
          <w:color w:val="auto"/>
          <w:sz w:val="24"/>
          <w:highlight w:val="none"/>
        </w:rPr>
      </w:pPr>
      <w:r>
        <w:rPr>
          <w:rFonts w:eastAsia="仿宋_GB2312"/>
          <w:color w:val="auto"/>
          <w:sz w:val="24"/>
          <w:highlight w:val="none"/>
        </w:rPr>
        <w:t>18.4   投标人代表对开标过程和开标记录有疑义，以及认为开标现场采购人、采购代理机构相关工作人员有需要回避的情形的，应当场提出询问或者回避申请。</w:t>
      </w:r>
    </w:p>
    <w:p w14:paraId="3791D02D">
      <w:pPr>
        <w:pStyle w:val="6"/>
        <w:shd w:val="clear" w:color="auto" w:fill="auto"/>
        <w:ind w:firstLine="0" w:firstLineChars="0"/>
        <w:jc w:val="both"/>
        <w:rPr>
          <w:rFonts w:ascii="Times New Roman" w:hAnsi="Times New Roman" w:eastAsia="仿宋_GB2312"/>
          <w:color w:val="auto"/>
          <w:sz w:val="24"/>
          <w:szCs w:val="24"/>
          <w:highlight w:val="none"/>
        </w:rPr>
      </w:pPr>
      <w:bookmarkStart w:id="194" w:name="_Toc15280"/>
      <w:bookmarkStart w:id="195" w:name="_Toc62194319"/>
      <w:bookmarkStart w:id="196" w:name="_Toc19296"/>
      <w:bookmarkStart w:id="197" w:name="_Toc532473472"/>
      <w:bookmarkStart w:id="198" w:name="_Toc21372"/>
      <w:bookmarkStart w:id="199" w:name="_Toc515647780"/>
      <w:r>
        <w:rPr>
          <w:rFonts w:ascii="Times New Roman" w:hAnsi="Times New Roman" w:eastAsia="仿宋_GB2312"/>
          <w:color w:val="auto"/>
          <w:sz w:val="24"/>
          <w:szCs w:val="24"/>
          <w:highlight w:val="none"/>
        </w:rPr>
        <w:t>19.</w:t>
      </w:r>
      <w:bookmarkEnd w:id="193"/>
      <w:r>
        <w:rPr>
          <w:rFonts w:ascii="Times New Roman" w:hAnsi="Times New Roman" w:eastAsia="仿宋_GB2312"/>
          <w:color w:val="auto"/>
          <w:sz w:val="24"/>
          <w:szCs w:val="24"/>
          <w:highlight w:val="none"/>
        </w:rPr>
        <w:t xml:space="preserve">    资格审查及组建评标委员会</w:t>
      </w:r>
      <w:bookmarkEnd w:id="194"/>
      <w:bookmarkEnd w:id="195"/>
      <w:bookmarkEnd w:id="196"/>
      <w:bookmarkEnd w:id="197"/>
      <w:bookmarkEnd w:id="198"/>
      <w:bookmarkEnd w:id="199"/>
    </w:p>
    <w:p w14:paraId="141C76B8">
      <w:pPr>
        <w:shd w:val="clear" w:color="auto" w:fill="auto"/>
        <w:spacing w:line="360" w:lineRule="auto"/>
        <w:ind w:left="850" w:hanging="849" w:hangingChars="354"/>
        <w:rPr>
          <w:rFonts w:eastAsia="仿宋_GB2312"/>
          <w:color w:val="auto"/>
          <w:sz w:val="24"/>
          <w:highlight w:val="none"/>
        </w:rPr>
      </w:pPr>
      <w:r>
        <w:rPr>
          <w:rFonts w:eastAsia="仿宋_GB2312"/>
          <w:color w:val="auto"/>
          <w:sz w:val="24"/>
          <w:highlight w:val="none"/>
        </w:rPr>
        <w:t>19.1   采购人或采购代理机构依据法律法规和招标文件中规定的内容，对投标人及其投标标的物的资格进行审查，未通过资格审查的投标人不进入评标；</w:t>
      </w:r>
    </w:p>
    <w:p w14:paraId="2FDD7F57">
      <w:pPr>
        <w:shd w:val="clear" w:color="auto" w:fill="auto"/>
        <w:spacing w:line="360" w:lineRule="auto"/>
        <w:ind w:left="840" w:leftChars="400"/>
        <w:rPr>
          <w:rFonts w:eastAsia="仿宋_GB2312"/>
          <w:color w:val="auto"/>
          <w:sz w:val="24"/>
          <w:highlight w:val="none"/>
        </w:rPr>
      </w:pPr>
      <w:r>
        <w:rPr>
          <w:rFonts w:eastAsia="仿宋_GB2312"/>
          <w:color w:val="auto"/>
          <w:sz w:val="24"/>
          <w:highlight w:val="none"/>
        </w:rPr>
        <w:t>通过资格审查的投标人不足三家的，不得评标。</w:t>
      </w:r>
    </w:p>
    <w:p w14:paraId="364784D7">
      <w:pPr>
        <w:shd w:val="clear" w:color="auto" w:fill="auto"/>
        <w:spacing w:line="360" w:lineRule="auto"/>
        <w:ind w:left="857" w:leftChars="2" w:hanging="853"/>
        <w:rPr>
          <w:rFonts w:eastAsia="仿宋_GB2312"/>
          <w:color w:val="auto"/>
          <w:sz w:val="24"/>
          <w:highlight w:val="none"/>
        </w:rPr>
      </w:pPr>
      <w:r>
        <w:rPr>
          <w:rFonts w:eastAsia="仿宋_GB2312"/>
          <w:color w:val="auto"/>
          <w:sz w:val="24"/>
          <w:highlight w:val="none"/>
        </w:rPr>
        <w:t>19.2   采购人或采购代理机构将按投标人须知前附表中规定的时间查询投标人的信用记录。</w:t>
      </w:r>
    </w:p>
    <w:p w14:paraId="4D684737">
      <w:pPr>
        <w:shd w:val="clear" w:color="auto" w:fill="auto"/>
        <w:spacing w:line="360" w:lineRule="auto"/>
        <w:ind w:left="824" w:hanging="824"/>
        <w:rPr>
          <w:rFonts w:eastAsia="仿宋_GB2312"/>
          <w:color w:val="auto"/>
          <w:sz w:val="24"/>
          <w:highlight w:val="none"/>
        </w:rPr>
      </w:pPr>
      <w:r>
        <w:rPr>
          <w:rFonts w:eastAsia="仿宋_GB2312"/>
          <w:color w:val="auto"/>
          <w:sz w:val="24"/>
          <w:highlight w:val="none"/>
        </w:rPr>
        <w:t xml:space="preserve">19.2.1 </w:t>
      </w:r>
      <w:r>
        <w:rPr>
          <w:rFonts w:hint="eastAsia" w:eastAsia="仿宋_GB2312"/>
          <w:color w:val="auto"/>
          <w:sz w:val="24"/>
          <w:highlight w:val="none"/>
          <w:lang w:val="en-US" w:eastAsia="zh-CN"/>
        </w:rPr>
        <w:t xml:space="preserve"> </w:t>
      </w:r>
      <w:r>
        <w:rPr>
          <w:rFonts w:eastAsia="仿宋_GB2312"/>
          <w:color w:val="auto"/>
          <w:sz w:val="24"/>
          <w:highlight w:val="none"/>
        </w:rPr>
        <w:t>投标人在中国政府采购网（www.ccgp.gov.cn）被列入政府采购严重违法失信行为记录名单，或在“信用中国”网站（www.creditchina.gov.cn）被列入失信被执行人、</w:t>
      </w:r>
      <w:r>
        <w:rPr>
          <w:rFonts w:hint="eastAsia" w:eastAsia="仿宋_GB2312"/>
          <w:color w:val="auto"/>
          <w:sz w:val="24"/>
          <w:highlight w:val="none"/>
        </w:rPr>
        <w:t>重大税收违法失信主体</w:t>
      </w:r>
      <w:r>
        <w:rPr>
          <w:rFonts w:eastAsia="仿宋_GB2312"/>
          <w:color w:val="auto"/>
          <w:sz w:val="24"/>
          <w:highlight w:val="none"/>
        </w:rPr>
        <w:t>，以及存在《中华人民共和国政府采购法实施条例》第十九条规定的行政处罚记录，投标将被认定为</w:t>
      </w:r>
      <w:r>
        <w:rPr>
          <w:rFonts w:eastAsia="仿宋_GB2312"/>
          <w:b/>
          <w:color w:val="auto"/>
          <w:sz w:val="24"/>
          <w:highlight w:val="none"/>
        </w:rPr>
        <w:t>投标无效</w:t>
      </w:r>
      <w:r>
        <w:rPr>
          <w:rFonts w:eastAsia="仿宋_GB2312"/>
          <w:color w:val="auto"/>
          <w:sz w:val="24"/>
          <w:highlight w:val="none"/>
        </w:rPr>
        <w:t>。</w:t>
      </w:r>
    </w:p>
    <w:p w14:paraId="3D6D0B54">
      <w:pPr>
        <w:shd w:val="clear" w:color="auto" w:fill="auto"/>
        <w:spacing w:line="360" w:lineRule="auto"/>
        <w:ind w:left="849" w:leftChars="401" w:hanging="7" w:hangingChars="3"/>
        <w:rPr>
          <w:rFonts w:eastAsia="仿宋_GB2312"/>
          <w:color w:val="auto"/>
          <w:sz w:val="24"/>
          <w:highlight w:val="none"/>
        </w:rPr>
      </w:pPr>
      <w:r>
        <w:rPr>
          <w:rFonts w:eastAsia="仿宋_GB2312"/>
          <w:color w:val="auto"/>
          <w:sz w:val="24"/>
          <w:highlight w:val="none"/>
        </w:rPr>
        <w:t>以联合体形式参加投标的，联合体任何成员存在以上不良信用记录的，联合体投标将被认定为</w:t>
      </w:r>
      <w:r>
        <w:rPr>
          <w:rFonts w:eastAsia="仿宋_GB2312"/>
          <w:b/>
          <w:bCs/>
          <w:color w:val="auto"/>
          <w:sz w:val="24"/>
          <w:highlight w:val="none"/>
        </w:rPr>
        <w:t>投标无效</w:t>
      </w:r>
      <w:r>
        <w:rPr>
          <w:rFonts w:eastAsia="仿宋_GB2312"/>
          <w:color w:val="auto"/>
          <w:sz w:val="24"/>
          <w:highlight w:val="none"/>
        </w:rPr>
        <w:t>。</w:t>
      </w:r>
    </w:p>
    <w:p w14:paraId="531E00A4">
      <w:pPr>
        <w:pStyle w:val="7"/>
        <w:shd w:val="clear" w:color="auto" w:fill="auto"/>
        <w:spacing w:line="360" w:lineRule="auto"/>
        <w:ind w:left="850" w:hanging="849" w:hangingChars="354"/>
        <w:jc w:val="both"/>
        <w:rPr>
          <w:rFonts w:ascii="Times New Roman" w:eastAsia="仿宋_GB2312"/>
          <w:color w:val="auto"/>
          <w:highlight w:val="none"/>
        </w:rPr>
      </w:pPr>
      <w:r>
        <w:rPr>
          <w:rFonts w:ascii="Times New Roman" w:eastAsia="仿宋_GB2312"/>
          <w:color w:val="auto"/>
          <w:highlight w:val="none"/>
        </w:rPr>
        <w:t>19.2.2 采购人或采购代理机构经办人将查询网页打印并存档备查。投标人不良信用记录以采购人或采购代理机构查询结果为准。投标人自行提供的与网站信息不一致的其他证明材料亦不作为资格审查依据。</w:t>
      </w:r>
    </w:p>
    <w:p w14:paraId="4165C052">
      <w:pPr>
        <w:pStyle w:val="7"/>
        <w:shd w:val="clear" w:color="auto" w:fill="auto"/>
        <w:spacing w:line="360" w:lineRule="auto"/>
        <w:ind w:left="850" w:leftChars="405" w:firstLine="0"/>
        <w:jc w:val="both"/>
        <w:rPr>
          <w:rFonts w:ascii="Times New Roman" w:eastAsia="仿宋_GB2312"/>
          <w:color w:val="auto"/>
          <w:highlight w:val="none"/>
        </w:rPr>
      </w:pPr>
      <w:r>
        <w:rPr>
          <w:rFonts w:ascii="Times New Roman" w:eastAsia="仿宋_GB2312"/>
          <w:color w:val="auto"/>
          <w:highlight w:val="none"/>
        </w:rPr>
        <w:t>在本招标文件规定的查询时间之外，网站信息发生的任何变更均不作为资格审查依据。</w:t>
      </w:r>
    </w:p>
    <w:p w14:paraId="0FEC5AC4">
      <w:pPr>
        <w:shd w:val="clear" w:color="auto" w:fill="auto"/>
        <w:spacing w:line="360" w:lineRule="auto"/>
        <w:ind w:left="850" w:hanging="849" w:hangingChars="354"/>
        <w:rPr>
          <w:rFonts w:eastAsia="仿宋_GB2312"/>
          <w:color w:val="auto"/>
          <w:sz w:val="24"/>
          <w:highlight w:val="none"/>
        </w:rPr>
      </w:pPr>
      <w:r>
        <w:rPr>
          <w:rFonts w:eastAsia="仿宋_GB2312"/>
          <w:color w:val="auto"/>
          <w:sz w:val="24"/>
          <w:highlight w:val="none"/>
        </w:rPr>
        <w:t>19.3   按照《中华人民共和国政府采购法》、《中华人民共和国政府采购法实施条例》及本项目本级和上级财政部门的有关规定依法组建的评标委员会，负责评标工作。</w:t>
      </w:r>
      <w:bookmarkStart w:id="200" w:name="_Toc520356166"/>
    </w:p>
    <w:p w14:paraId="68BA84A6">
      <w:pPr>
        <w:pStyle w:val="6"/>
        <w:shd w:val="clear" w:color="auto" w:fill="auto"/>
        <w:ind w:firstLine="0" w:firstLineChars="0"/>
        <w:jc w:val="both"/>
        <w:rPr>
          <w:rFonts w:ascii="Times New Roman" w:hAnsi="Times New Roman" w:eastAsia="仿宋_GB2312"/>
          <w:bCs/>
          <w:color w:val="auto"/>
          <w:sz w:val="24"/>
          <w:szCs w:val="24"/>
          <w:highlight w:val="none"/>
          <w:bdr w:val="single" w:color="auto" w:sz="4" w:space="0"/>
        </w:rPr>
      </w:pPr>
      <w:bookmarkStart w:id="201" w:name="_Toc532473473"/>
      <w:bookmarkStart w:id="202" w:name="_Toc28479"/>
      <w:bookmarkStart w:id="203" w:name="_Toc10345"/>
      <w:bookmarkStart w:id="204" w:name="_Toc19949"/>
      <w:bookmarkStart w:id="205" w:name="_Toc62194320"/>
      <w:bookmarkStart w:id="206" w:name="_Toc515647781"/>
      <w:r>
        <w:rPr>
          <w:rFonts w:ascii="Times New Roman" w:hAnsi="Times New Roman" w:eastAsia="仿宋_GB2312"/>
          <w:color w:val="auto"/>
          <w:sz w:val="24"/>
          <w:szCs w:val="24"/>
          <w:highlight w:val="none"/>
        </w:rPr>
        <w:t>20.    投标文件</w:t>
      </w:r>
      <w:bookmarkEnd w:id="200"/>
      <w:r>
        <w:rPr>
          <w:rFonts w:ascii="Times New Roman" w:hAnsi="Times New Roman" w:eastAsia="仿宋_GB2312"/>
          <w:color w:val="auto"/>
          <w:sz w:val="24"/>
          <w:szCs w:val="24"/>
          <w:highlight w:val="none"/>
        </w:rPr>
        <w:t>符合性审查与澄清</w:t>
      </w:r>
      <w:bookmarkEnd w:id="201"/>
      <w:bookmarkEnd w:id="202"/>
      <w:bookmarkEnd w:id="203"/>
      <w:bookmarkEnd w:id="204"/>
      <w:bookmarkEnd w:id="205"/>
      <w:bookmarkEnd w:id="206"/>
    </w:p>
    <w:p w14:paraId="202F41D5">
      <w:pPr>
        <w:shd w:val="clear" w:color="auto" w:fill="auto"/>
        <w:spacing w:line="360" w:lineRule="auto"/>
        <w:ind w:left="850" w:hanging="849" w:hangingChars="354"/>
        <w:rPr>
          <w:rFonts w:eastAsia="仿宋_GB2312"/>
          <w:color w:val="auto"/>
          <w:sz w:val="24"/>
          <w:highlight w:val="none"/>
        </w:rPr>
      </w:pPr>
      <w:r>
        <w:rPr>
          <w:rFonts w:eastAsia="仿宋_GB2312"/>
          <w:color w:val="auto"/>
          <w:sz w:val="24"/>
          <w:highlight w:val="none"/>
        </w:rPr>
        <w:t xml:space="preserve">20.1   </w:t>
      </w:r>
      <w:bookmarkStart w:id="207" w:name="_Hlt522424701"/>
      <w:bookmarkEnd w:id="207"/>
      <w:bookmarkStart w:id="208" w:name="_Toc520356167"/>
      <w:r>
        <w:rPr>
          <w:rFonts w:eastAsia="仿宋_GB2312"/>
          <w:color w:val="auto"/>
          <w:sz w:val="24"/>
          <w:highlight w:val="none"/>
        </w:rPr>
        <w:t>符合性审查是指依据招标文件的规定，从商务和技术角度对投标文件的有效性和完整性进行审查，以确定是否对招标文件的实质性要求做出响应。</w:t>
      </w:r>
    </w:p>
    <w:p w14:paraId="5522E0BF">
      <w:pPr>
        <w:shd w:val="clear" w:color="auto" w:fill="auto"/>
        <w:spacing w:line="360" w:lineRule="auto"/>
        <w:ind w:left="840" w:hanging="840" w:hangingChars="350"/>
        <w:rPr>
          <w:rFonts w:eastAsia="仿宋_GB2312"/>
          <w:color w:val="auto"/>
          <w:sz w:val="24"/>
          <w:highlight w:val="none"/>
        </w:rPr>
      </w:pPr>
      <w:r>
        <w:rPr>
          <w:rFonts w:eastAsia="仿宋_GB2312"/>
          <w:color w:val="auto"/>
          <w:sz w:val="24"/>
          <w:highlight w:val="none"/>
        </w:rPr>
        <w:t>20.2   投标文件的澄清</w:t>
      </w:r>
    </w:p>
    <w:p w14:paraId="1E28A2DC">
      <w:pPr>
        <w:shd w:val="clear" w:color="auto" w:fill="auto"/>
        <w:spacing w:line="360" w:lineRule="auto"/>
        <w:ind w:left="840" w:hanging="840" w:hangingChars="350"/>
        <w:rPr>
          <w:rFonts w:eastAsia="仿宋_GB2312"/>
          <w:color w:val="auto"/>
          <w:sz w:val="24"/>
          <w:highlight w:val="none"/>
        </w:rPr>
      </w:pPr>
      <w:r>
        <w:rPr>
          <w:rFonts w:eastAsia="仿宋_GB2312"/>
          <w:color w:val="auto"/>
          <w:sz w:val="24"/>
          <w:highlight w:val="none"/>
        </w:rPr>
        <w:t>20.2.1 在评标期间，评标委员会将以书面方式要求投标人对其投标文件中含义不明确、对同类问题表述不一致或者有明显文字和计算错误的内容，以及评标委员会认为投标人的报价明显低于其他通过符合性审查投标人的报价，有可能影响履约的情况作必要的澄清、说明或补正。投标人的澄清、说明或补正应在评标委员会规定的时间内以书面方式进行，并不得超出投标文件范围或者改变投标文件的实质性内容。</w:t>
      </w:r>
    </w:p>
    <w:p w14:paraId="3FAF627A">
      <w:pPr>
        <w:shd w:val="clear" w:color="auto" w:fill="auto"/>
        <w:spacing w:line="360" w:lineRule="auto"/>
        <w:ind w:left="840" w:hanging="840" w:hangingChars="350"/>
        <w:rPr>
          <w:rFonts w:eastAsia="仿宋_GB2312"/>
          <w:color w:val="auto"/>
          <w:sz w:val="24"/>
          <w:highlight w:val="none"/>
        </w:rPr>
      </w:pPr>
      <w:r>
        <w:rPr>
          <w:rFonts w:eastAsia="仿宋_GB2312"/>
          <w:color w:val="auto"/>
          <w:sz w:val="24"/>
          <w:highlight w:val="none"/>
        </w:rPr>
        <w:t>20.2.2 投标人的澄清、说明或补正将作为投标文件的一部分。</w:t>
      </w:r>
    </w:p>
    <w:p w14:paraId="327E7EAF">
      <w:pPr>
        <w:shd w:val="clear" w:color="auto" w:fill="auto"/>
        <w:spacing w:line="360" w:lineRule="auto"/>
        <w:ind w:left="900" w:hanging="900" w:hangingChars="375"/>
        <w:rPr>
          <w:rFonts w:eastAsia="仿宋_GB2312"/>
          <w:color w:val="auto"/>
          <w:sz w:val="24"/>
          <w:highlight w:val="none"/>
        </w:rPr>
      </w:pPr>
      <w:r>
        <w:rPr>
          <w:rFonts w:eastAsia="仿宋_GB2312"/>
          <w:color w:val="auto"/>
          <w:sz w:val="24"/>
          <w:highlight w:val="none"/>
        </w:rPr>
        <w:t>20.3   投标文件报价出现前后不一致的，按照下列规定修正：</w:t>
      </w:r>
    </w:p>
    <w:p w14:paraId="6C9E518F">
      <w:pPr>
        <w:shd w:val="clear" w:color="auto" w:fill="auto"/>
        <w:spacing w:line="360" w:lineRule="auto"/>
        <w:ind w:left="850" w:hanging="849" w:hangingChars="354"/>
        <w:rPr>
          <w:rFonts w:eastAsia="仿宋_GB2312"/>
          <w:color w:val="auto"/>
          <w:sz w:val="24"/>
          <w:highlight w:val="none"/>
        </w:rPr>
      </w:pPr>
      <w:r>
        <w:rPr>
          <w:rFonts w:eastAsia="仿宋_GB2312"/>
          <w:color w:val="auto"/>
          <w:sz w:val="24"/>
          <w:highlight w:val="none"/>
        </w:rPr>
        <w:t>　　  （1）投标文件中开标一览表（报价表）内容与投标文件中相应内容不一致的，以开标一览表（报价表）为准；</w:t>
      </w:r>
    </w:p>
    <w:p w14:paraId="324FCEA6">
      <w:pPr>
        <w:shd w:val="clear" w:color="auto" w:fill="auto"/>
        <w:spacing w:line="360" w:lineRule="auto"/>
        <w:ind w:left="850" w:hanging="849" w:hangingChars="354"/>
        <w:rPr>
          <w:rFonts w:eastAsia="仿宋_GB2312"/>
          <w:color w:val="auto"/>
          <w:sz w:val="24"/>
          <w:highlight w:val="none"/>
        </w:rPr>
      </w:pPr>
      <w:r>
        <w:rPr>
          <w:rFonts w:eastAsia="仿宋_GB2312"/>
          <w:color w:val="auto"/>
          <w:sz w:val="24"/>
          <w:highlight w:val="none"/>
        </w:rPr>
        <w:t>　　  （2）大写金额和小写金额不一致的，以大写金额为准；</w:t>
      </w:r>
    </w:p>
    <w:p w14:paraId="174721E5">
      <w:pPr>
        <w:shd w:val="clear" w:color="auto" w:fill="auto"/>
        <w:spacing w:line="360" w:lineRule="auto"/>
        <w:ind w:left="850" w:hanging="849" w:hangingChars="354"/>
        <w:rPr>
          <w:rFonts w:eastAsia="仿宋_GB2312"/>
          <w:color w:val="auto"/>
          <w:sz w:val="24"/>
          <w:highlight w:val="none"/>
        </w:rPr>
      </w:pPr>
      <w:r>
        <w:rPr>
          <w:rFonts w:eastAsia="仿宋_GB2312"/>
          <w:color w:val="auto"/>
          <w:sz w:val="24"/>
          <w:highlight w:val="none"/>
        </w:rPr>
        <w:t>　    （3）单价金额小数点或者百分比有明显错位的，以开标一览表的总价为准，并修改单价；</w:t>
      </w:r>
    </w:p>
    <w:p w14:paraId="3234AA3F">
      <w:pPr>
        <w:shd w:val="clear" w:color="auto" w:fill="auto"/>
        <w:spacing w:line="360" w:lineRule="auto"/>
        <w:ind w:left="850" w:hanging="849" w:hangingChars="354"/>
        <w:rPr>
          <w:rFonts w:eastAsia="仿宋_GB2312"/>
          <w:color w:val="auto"/>
          <w:sz w:val="24"/>
          <w:highlight w:val="none"/>
        </w:rPr>
      </w:pPr>
      <w:r>
        <w:rPr>
          <w:rFonts w:eastAsia="仿宋_GB2312"/>
          <w:color w:val="auto"/>
          <w:sz w:val="24"/>
          <w:highlight w:val="none"/>
        </w:rPr>
        <w:t>　    （4）总价金额与按单价汇总金额不一致的，以单价金额计算结果为准。</w:t>
      </w:r>
    </w:p>
    <w:p w14:paraId="4C8F23D3">
      <w:pPr>
        <w:shd w:val="clear" w:color="auto" w:fill="auto"/>
        <w:spacing w:line="360" w:lineRule="auto"/>
        <w:ind w:left="850" w:hanging="849" w:hangingChars="354"/>
        <w:rPr>
          <w:rFonts w:eastAsia="仿宋_GB2312"/>
          <w:color w:val="auto"/>
          <w:sz w:val="24"/>
          <w:highlight w:val="none"/>
        </w:rPr>
      </w:pPr>
      <w:r>
        <w:rPr>
          <w:rFonts w:eastAsia="仿宋_GB2312"/>
          <w:color w:val="auto"/>
          <w:sz w:val="24"/>
          <w:highlight w:val="none"/>
        </w:rPr>
        <w:t>　　   同时出现两种以上不一致的，按照前款规定的顺序修正。修正后的报价按照第20.2条的规定经投标人确认后产生约束力，投标人不确认的，其投标将被认定为</w:t>
      </w:r>
      <w:r>
        <w:rPr>
          <w:rFonts w:eastAsia="仿宋_GB2312"/>
          <w:b/>
          <w:bCs/>
          <w:color w:val="auto"/>
          <w:sz w:val="24"/>
          <w:highlight w:val="none"/>
        </w:rPr>
        <w:t>投标无效</w:t>
      </w:r>
      <w:r>
        <w:rPr>
          <w:rFonts w:eastAsia="仿宋_GB2312"/>
          <w:color w:val="auto"/>
          <w:sz w:val="24"/>
          <w:highlight w:val="none"/>
        </w:rPr>
        <w:t>。</w:t>
      </w:r>
    </w:p>
    <w:p w14:paraId="7A9EC96F">
      <w:pPr>
        <w:shd w:val="clear" w:color="auto" w:fill="auto"/>
        <w:spacing w:line="360" w:lineRule="auto"/>
        <w:ind w:left="735" w:leftChars="350" w:firstLine="120" w:firstLineChars="50"/>
        <w:rPr>
          <w:rFonts w:eastAsia="仿宋_GB2312"/>
          <w:color w:val="auto"/>
          <w:sz w:val="24"/>
          <w:highlight w:val="none"/>
        </w:rPr>
      </w:pPr>
      <w:r>
        <w:rPr>
          <w:rFonts w:eastAsia="仿宋_GB2312"/>
          <w:color w:val="auto"/>
          <w:sz w:val="24"/>
          <w:highlight w:val="none"/>
        </w:rPr>
        <w:t>对不同文字文本投标文件的解释发生异议的，以中文文本为准。</w:t>
      </w:r>
    </w:p>
    <w:p w14:paraId="3DF017A9">
      <w:pPr>
        <w:shd w:val="clear" w:color="auto" w:fill="auto"/>
        <w:spacing w:line="360" w:lineRule="auto"/>
        <w:ind w:left="900" w:hanging="900" w:hangingChars="375"/>
        <w:rPr>
          <w:rFonts w:eastAsia="仿宋_GB2312"/>
          <w:color w:val="auto"/>
          <w:sz w:val="24"/>
          <w:highlight w:val="none"/>
        </w:rPr>
      </w:pPr>
      <w:r>
        <w:rPr>
          <w:rFonts w:eastAsia="仿宋_GB2312"/>
          <w:color w:val="auto"/>
          <w:sz w:val="24"/>
          <w:highlight w:val="none"/>
        </w:rPr>
        <w:t xml:space="preserve">20.4   </w:t>
      </w:r>
      <w:r>
        <w:rPr>
          <w:rFonts w:hint="eastAsia" w:eastAsia="仿宋_GB2312"/>
          <w:color w:val="auto"/>
          <w:sz w:val="24"/>
          <w:highlight w:val="none"/>
        </w:rPr>
        <w:t>投标人</w:t>
      </w:r>
      <w:r>
        <w:rPr>
          <w:rFonts w:hint="eastAsia" w:eastAsia="仿宋_GB2312"/>
          <w:color w:val="auto"/>
          <w:sz w:val="24"/>
          <w:highlight w:val="none"/>
          <w:lang w:val="en-US" w:eastAsia="zh-CN"/>
        </w:rPr>
        <w:t>所投产品</w:t>
      </w:r>
      <w:r>
        <w:rPr>
          <w:rFonts w:hint="eastAsia" w:eastAsia="仿宋_GB2312"/>
          <w:color w:val="auto"/>
          <w:sz w:val="24"/>
          <w:highlight w:val="none"/>
        </w:rPr>
        <w:t>如</w:t>
      </w:r>
      <w:r>
        <w:rPr>
          <w:rFonts w:hint="eastAsia" w:eastAsia="仿宋_GB2312"/>
          <w:color w:val="auto"/>
          <w:sz w:val="24"/>
          <w:highlight w:val="none"/>
          <w:lang w:val="en-US" w:eastAsia="zh-CN"/>
        </w:rPr>
        <w:t>属于</w:t>
      </w:r>
      <w:r>
        <w:rPr>
          <w:rFonts w:hint="eastAsia" w:eastAsia="仿宋_GB2312"/>
          <w:color w:val="auto"/>
          <w:sz w:val="24"/>
          <w:highlight w:val="none"/>
        </w:rPr>
        <w:t>财政部与国家主管部门颁发的节能产品或环境标志产品的，应提供处于有效期之内</w:t>
      </w:r>
      <w:r>
        <w:rPr>
          <w:rFonts w:hint="eastAsia" w:eastAsia="仿宋_GB2312"/>
          <w:color w:val="auto"/>
          <w:sz w:val="24"/>
          <w:highlight w:val="none"/>
          <w:lang w:eastAsia="zh-CN"/>
        </w:rPr>
        <w:t>的</w:t>
      </w:r>
      <w:r>
        <w:rPr>
          <w:rFonts w:hint="eastAsia" w:eastAsia="仿宋_GB2312"/>
          <w:color w:val="auto"/>
          <w:sz w:val="24"/>
          <w:highlight w:val="none"/>
        </w:rPr>
        <w:t>认证证书或相关证明，在性能、技术、服务等指标同等条件下，予以优先采购，具体优先采购办法见第三章评标方法和标准。</w:t>
      </w:r>
    </w:p>
    <w:p w14:paraId="432D03E4">
      <w:pPr>
        <w:shd w:val="clear" w:color="auto" w:fill="auto"/>
        <w:spacing w:line="360" w:lineRule="auto"/>
        <w:ind w:left="840" w:hanging="840" w:hangingChars="350"/>
        <w:rPr>
          <w:rFonts w:eastAsia="仿宋_GB2312"/>
          <w:color w:val="auto"/>
          <w:sz w:val="24"/>
          <w:highlight w:val="none"/>
        </w:rPr>
      </w:pPr>
      <w:r>
        <w:rPr>
          <w:rFonts w:eastAsia="仿宋_GB2312"/>
          <w:color w:val="auto"/>
          <w:sz w:val="24"/>
          <w:highlight w:val="none"/>
        </w:rPr>
        <w:t xml:space="preserve">       </w:t>
      </w:r>
      <w:r>
        <w:rPr>
          <w:rFonts w:hint="eastAsia" w:eastAsia="仿宋_GB2312"/>
          <w:color w:val="auto"/>
          <w:sz w:val="24"/>
          <w:highlight w:val="none"/>
        </w:rPr>
        <w:t>如投标人</w:t>
      </w:r>
      <w:r>
        <w:rPr>
          <w:rFonts w:hint="eastAsia" w:eastAsia="仿宋_GB2312"/>
          <w:color w:val="auto"/>
          <w:sz w:val="24"/>
          <w:highlight w:val="none"/>
          <w:lang w:val="en-US" w:eastAsia="zh-CN"/>
        </w:rPr>
        <w:t>所投产品</w:t>
      </w:r>
      <w:r>
        <w:rPr>
          <w:rFonts w:hint="eastAsia" w:eastAsia="仿宋_GB2312"/>
          <w:color w:val="auto"/>
          <w:sz w:val="24"/>
          <w:highlight w:val="none"/>
        </w:rPr>
        <w:t>为政府强制采购的产品，投标人应提供有效期内的认证证书或相关证明，否则其投标将被认定为</w:t>
      </w:r>
      <w:r>
        <w:rPr>
          <w:rFonts w:hint="eastAsia" w:eastAsia="仿宋_GB2312"/>
          <w:b/>
          <w:color w:val="auto"/>
          <w:sz w:val="24"/>
          <w:highlight w:val="none"/>
        </w:rPr>
        <w:t>投标无效</w:t>
      </w:r>
      <w:r>
        <w:rPr>
          <w:rFonts w:hint="eastAsia" w:eastAsia="仿宋_GB2312"/>
          <w:color w:val="auto"/>
          <w:sz w:val="24"/>
          <w:highlight w:val="none"/>
        </w:rPr>
        <w:t>。</w:t>
      </w:r>
    </w:p>
    <w:p w14:paraId="217E55D4">
      <w:pPr>
        <w:shd w:val="clear" w:color="auto" w:fill="auto"/>
        <w:spacing w:line="360" w:lineRule="auto"/>
        <w:ind w:left="840" w:leftChars="400"/>
        <w:rPr>
          <w:rFonts w:hint="eastAsia"/>
          <w:color w:val="auto"/>
          <w:highlight w:val="none"/>
        </w:rPr>
      </w:pPr>
      <w:r>
        <w:rPr>
          <w:rFonts w:hint="eastAsia" w:eastAsia="仿宋_GB2312"/>
          <w:color w:val="auto"/>
          <w:sz w:val="24"/>
          <w:highlight w:val="none"/>
        </w:rPr>
        <w:t>如投标人</w:t>
      </w:r>
      <w:r>
        <w:rPr>
          <w:rFonts w:hint="eastAsia" w:eastAsia="仿宋_GB2312"/>
          <w:color w:val="auto"/>
          <w:sz w:val="24"/>
          <w:highlight w:val="none"/>
          <w:lang w:val="en-US" w:eastAsia="zh-CN"/>
        </w:rPr>
        <w:t>所投产品</w:t>
      </w:r>
      <w:r>
        <w:rPr>
          <w:rFonts w:hint="eastAsia" w:eastAsia="仿宋_GB2312"/>
          <w:color w:val="auto"/>
          <w:sz w:val="24"/>
          <w:highlight w:val="none"/>
        </w:rPr>
        <w:t>属于网络关键设备和网络安全专用产品的，投标人所投产品应为经具备资格的机构安全认证合格或者安全检测符合要求的产品。投标人应提供相关证明，否则其投标将被认定为</w:t>
      </w:r>
      <w:r>
        <w:rPr>
          <w:rFonts w:hint="eastAsia" w:eastAsia="仿宋_GB2312"/>
          <w:b/>
          <w:color w:val="auto"/>
          <w:sz w:val="24"/>
          <w:highlight w:val="none"/>
        </w:rPr>
        <w:t>投标无效</w:t>
      </w:r>
      <w:r>
        <w:rPr>
          <w:rFonts w:hint="eastAsia" w:eastAsia="仿宋_GB2312"/>
          <w:color w:val="auto"/>
          <w:sz w:val="24"/>
          <w:highlight w:val="none"/>
        </w:rPr>
        <w:t>。</w:t>
      </w:r>
    </w:p>
    <w:p w14:paraId="072106B2">
      <w:pPr>
        <w:pStyle w:val="14"/>
        <w:shd w:val="clear" w:color="auto" w:fill="auto"/>
        <w:rPr>
          <w:rFonts w:ascii="Times New Roman" w:hAnsi="Times New Roman" w:eastAsia="仿宋_GB2312"/>
          <w:color w:val="auto"/>
          <w:highlight w:val="none"/>
        </w:rPr>
      </w:pPr>
      <w:r>
        <w:rPr>
          <w:rFonts w:ascii="Times New Roman" w:hAnsi="Times New Roman" w:eastAsia="仿宋_GB2312"/>
          <w:color w:val="auto"/>
          <w:highlight w:val="none"/>
        </w:rPr>
        <w:t>20.5   非单一产品采购项目核心产品见投标人须知前附表。</w:t>
      </w:r>
    </w:p>
    <w:p w14:paraId="45DE5058">
      <w:pPr>
        <w:pStyle w:val="6"/>
        <w:shd w:val="clear" w:color="auto" w:fill="auto"/>
        <w:ind w:firstLine="0" w:firstLineChars="0"/>
        <w:jc w:val="both"/>
        <w:rPr>
          <w:rFonts w:ascii="Times New Roman" w:hAnsi="Times New Roman" w:eastAsia="仿宋_GB2312"/>
          <w:color w:val="auto"/>
          <w:sz w:val="24"/>
          <w:szCs w:val="24"/>
          <w:highlight w:val="none"/>
        </w:rPr>
      </w:pPr>
      <w:bookmarkStart w:id="209" w:name="_Toc9469"/>
      <w:bookmarkStart w:id="210" w:name="_Toc532473474"/>
      <w:bookmarkStart w:id="211" w:name="_Toc6364"/>
      <w:bookmarkStart w:id="212" w:name="_Toc62194321"/>
      <w:bookmarkStart w:id="213" w:name="_Toc515647782"/>
      <w:bookmarkStart w:id="214" w:name="_Toc9395"/>
      <w:r>
        <w:rPr>
          <w:rFonts w:ascii="Times New Roman" w:hAnsi="Times New Roman" w:eastAsia="仿宋_GB2312"/>
          <w:color w:val="auto"/>
          <w:sz w:val="24"/>
          <w:szCs w:val="24"/>
          <w:highlight w:val="none"/>
        </w:rPr>
        <w:t>21.    投标偏离</w:t>
      </w:r>
      <w:bookmarkEnd w:id="209"/>
      <w:bookmarkEnd w:id="210"/>
      <w:bookmarkEnd w:id="211"/>
      <w:bookmarkEnd w:id="212"/>
      <w:bookmarkEnd w:id="213"/>
      <w:bookmarkEnd w:id="214"/>
    </w:p>
    <w:p w14:paraId="6D2D039A">
      <w:pPr>
        <w:shd w:val="clear" w:color="auto" w:fill="auto"/>
        <w:spacing w:line="360" w:lineRule="auto"/>
        <w:ind w:firstLine="840" w:firstLineChars="350"/>
        <w:rPr>
          <w:rFonts w:eastAsia="仿宋_GB2312"/>
          <w:color w:val="auto"/>
          <w:sz w:val="24"/>
          <w:highlight w:val="none"/>
        </w:rPr>
      </w:pPr>
      <w:r>
        <w:rPr>
          <w:rFonts w:eastAsia="仿宋_GB2312"/>
          <w:color w:val="auto"/>
          <w:sz w:val="24"/>
          <w:highlight w:val="none"/>
        </w:rPr>
        <w:t>投标文件中存在对招标文件的实质性负偏离，其投标将被认定为</w:t>
      </w:r>
      <w:r>
        <w:rPr>
          <w:rFonts w:eastAsia="仿宋_GB2312"/>
          <w:b/>
          <w:bCs/>
          <w:color w:val="auto"/>
          <w:sz w:val="24"/>
          <w:highlight w:val="none"/>
        </w:rPr>
        <w:t>投标无效</w:t>
      </w:r>
      <w:r>
        <w:rPr>
          <w:rFonts w:eastAsia="仿宋_GB2312"/>
          <w:color w:val="auto"/>
          <w:sz w:val="24"/>
          <w:highlight w:val="none"/>
        </w:rPr>
        <w:t>。</w:t>
      </w:r>
    </w:p>
    <w:p w14:paraId="02446F16">
      <w:pPr>
        <w:pStyle w:val="6"/>
        <w:shd w:val="clear" w:color="auto" w:fill="auto"/>
        <w:ind w:firstLine="0" w:firstLineChars="0"/>
        <w:jc w:val="both"/>
        <w:rPr>
          <w:rFonts w:ascii="Times New Roman" w:hAnsi="Times New Roman" w:eastAsia="仿宋_GB2312"/>
          <w:color w:val="auto"/>
          <w:sz w:val="24"/>
          <w:szCs w:val="24"/>
          <w:highlight w:val="none"/>
        </w:rPr>
      </w:pPr>
      <w:bookmarkStart w:id="215" w:name="_Toc515647783"/>
      <w:bookmarkStart w:id="216" w:name="_Toc62194322"/>
      <w:bookmarkStart w:id="217" w:name="_Toc532473475"/>
      <w:bookmarkStart w:id="218" w:name="_Toc4950"/>
      <w:bookmarkStart w:id="219" w:name="_Toc19815"/>
      <w:bookmarkStart w:id="220" w:name="_Toc6092"/>
      <w:r>
        <w:rPr>
          <w:rFonts w:ascii="Times New Roman" w:hAnsi="Times New Roman" w:eastAsia="仿宋_GB2312"/>
          <w:color w:val="auto"/>
          <w:sz w:val="24"/>
          <w:szCs w:val="24"/>
          <w:highlight w:val="none"/>
        </w:rPr>
        <w:t>22.    投标</w:t>
      </w:r>
      <w:bookmarkEnd w:id="215"/>
      <w:r>
        <w:rPr>
          <w:rFonts w:ascii="Times New Roman" w:hAnsi="Times New Roman" w:eastAsia="仿宋_GB2312"/>
          <w:color w:val="auto"/>
          <w:sz w:val="24"/>
          <w:szCs w:val="24"/>
          <w:highlight w:val="none"/>
        </w:rPr>
        <w:t>无效</w:t>
      </w:r>
      <w:bookmarkEnd w:id="216"/>
      <w:bookmarkEnd w:id="217"/>
      <w:bookmarkEnd w:id="218"/>
      <w:bookmarkEnd w:id="219"/>
      <w:bookmarkEnd w:id="220"/>
    </w:p>
    <w:p w14:paraId="1DA92746">
      <w:pPr>
        <w:shd w:val="clear" w:color="auto" w:fill="auto"/>
        <w:spacing w:line="360" w:lineRule="auto"/>
        <w:ind w:left="852" w:leftChars="-23" w:hanging="900" w:hangingChars="375"/>
        <w:rPr>
          <w:rFonts w:eastAsia="仿宋_GB2312"/>
          <w:color w:val="auto"/>
          <w:sz w:val="24"/>
          <w:highlight w:val="none"/>
        </w:rPr>
      </w:pPr>
      <w:r>
        <w:rPr>
          <w:rFonts w:eastAsia="仿宋_GB2312"/>
          <w:color w:val="auto"/>
          <w:sz w:val="24"/>
          <w:highlight w:val="none"/>
        </w:rPr>
        <w:t>22.1   在比较与评价之前，根据招标文件的规定，评标委员会要审查每份投标文件是否</w:t>
      </w:r>
      <w:r>
        <w:rPr>
          <w:rFonts w:hint="eastAsia" w:eastAsia="仿宋_GB2312"/>
          <w:color w:val="auto"/>
          <w:sz w:val="24"/>
          <w:highlight w:val="none"/>
          <w:lang w:val="en-US" w:eastAsia="zh-CN"/>
        </w:rPr>
        <w:t>实质</w:t>
      </w:r>
      <w:r>
        <w:rPr>
          <w:rFonts w:eastAsia="仿宋_GB2312"/>
          <w:color w:val="auto"/>
          <w:sz w:val="24"/>
          <w:highlight w:val="none"/>
        </w:rPr>
        <w:t>响应了招标文件的要求。投标人不得通过修正或撤销不符合要求的偏离，从而使其投标成为实质上响应的投标。</w:t>
      </w:r>
    </w:p>
    <w:p w14:paraId="0AD1A7E1">
      <w:pPr>
        <w:shd w:val="clear" w:color="auto" w:fill="auto"/>
        <w:spacing w:line="360" w:lineRule="auto"/>
        <w:ind w:left="791" w:leftChars="377"/>
        <w:rPr>
          <w:rFonts w:eastAsia="仿宋_GB2312"/>
          <w:color w:val="auto"/>
          <w:sz w:val="24"/>
          <w:highlight w:val="none"/>
        </w:rPr>
      </w:pPr>
      <w:r>
        <w:rPr>
          <w:rFonts w:eastAsia="仿宋_GB2312"/>
          <w:color w:val="auto"/>
          <w:sz w:val="24"/>
          <w:highlight w:val="none"/>
        </w:rPr>
        <w:t>评标委员会决定投标的响应性只根据招标文件要求和投标文件内容。</w:t>
      </w:r>
    </w:p>
    <w:p w14:paraId="1D94F13E">
      <w:pPr>
        <w:shd w:val="clear" w:color="auto" w:fill="auto"/>
        <w:spacing w:line="360" w:lineRule="auto"/>
        <w:ind w:left="900" w:hanging="900" w:hangingChars="375"/>
        <w:rPr>
          <w:rFonts w:eastAsia="仿宋_GB2312"/>
          <w:color w:val="auto"/>
          <w:sz w:val="24"/>
          <w:highlight w:val="none"/>
        </w:rPr>
      </w:pPr>
      <w:r>
        <w:rPr>
          <w:rFonts w:eastAsia="仿宋_GB2312"/>
          <w:color w:val="auto"/>
          <w:sz w:val="24"/>
          <w:highlight w:val="none"/>
        </w:rPr>
        <w:t>22.2   如发现下列情况之一的，其投标将被认定为</w:t>
      </w:r>
      <w:r>
        <w:rPr>
          <w:rFonts w:eastAsia="仿宋_GB2312"/>
          <w:b/>
          <w:bCs/>
          <w:color w:val="auto"/>
          <w:sz w:val="24"/>
          <w:highlight w:val="none"/>
        </w:rPr>
        <w:t>投标无效</w:t>
      </w:r>
      <w:r>
        <w:rPr>
          <w:rFonts w:eastAsia="仿宋_GB2312"/>
          <w:color w:val="auto"/>
          <w:sz w:val="24"/>
          <w:highlight w:val="none"/>
        </w:rPr>
        <w:t>：</w:t>
      </w:r>
    </w:p>
    <w:p w14:paraId="6BB07835">
      <w:pPr>
        <w:numPr>
          <w:ilvl w:val="0"/>
          <w:numId w:val="2"/>
        </w:numPr>
        <w:shd w:val="clear" w:color="auto" w:fill="auto"/>
        <w:spacing w:line="360" w:lineRule="auto"/>
        <w:ind w:left="840" w:leftChars="400" w:firstLine="0"/>
        <w:rPr>
          <w:rFonts w:eastAsia="仿宋_GB2312"/>
          <w:color w:val="auto"/>
          <w:sz w:val="24"/>
          <w:highlight w:val="none"/>
        </w:rPr>
      </w:pPr>
      <w:r>
        <w:rPr>
          <w:rFonts w:eastAsia="仿宋_GB2312"/>
          <w:color w:val="auto"/>
          <w:sz w:val="24"/>
          <w:highlight w:val="none"/>
        </w:rPr>
        <w:t>未按照招标文件规定要求签署、盖章的；</w:t>
      </w:r>
    </w:p>
    <w:p w14:paraId="43620D54">
      <w:pPr>
        <w:numPr>
          <w:ilvl w:val="0"/>
          <w:numId w:val="2"/>
        </w:numPr>
        <w:shd w:val="clear" w:color="auto" w:fill="auto"/>
        <w:spacing w:line="360" w:lineRule="auto"/>
        <w:ind w:left="840" w:leftChars="400" w:firstLine="0"/>
        <w:rPr>
          <w:rFonts w:eastAsia="仿宋_GB2312"/>
          <w:color w:val="auto"/>
          <w:sz w:val="24"/>
          <w:highlight w:val="none"/>
        </w:rPr>
      </w:pPr>
      <w:r>
        <w:rPr>
          <w:rFonts w:eastAsia="仿宋_GB2312"/>
          <w:color w:val="auto"/>
          <w:sz w:val="24"/>
          <w:highlight w:val="none"/>
        </w:rPr>
        <w:t>未满足招标文件中商务和技术条款的实质性要求；</w:t>
      </w:r>
    </w:p>
    <w:p w14:paraId="356FA40F">
      <w:pPr>
        <w:numPr>
          <w:ilvl w:val="0"/>
          <w:numId w:val="2"/>
        </w:numPr>
        <w:shd w:val="clear" w:color="auto" w:fill="auto"/>
        <w:spacing w:line="360" w:lineRule="auto"/>
        <w:ind w:left="840" w:leftChars="400" w:firstLine="0"/>
        <w:rPr>
          <w:rFonts w:eastAsia="仿宋_GB2312"/>
          <w:color w:val="auto"/>
          <w:sz w:val="24"/>
          <w:highlight w:val="none"/>
        </w:rPr>
      </w:pPr>
      <w:r>
        <w:rPr>
          <w:rFonts w:eastAsia="仿宋_GB2312"/>
          <w:color w:val="auto"/>
          <w:sz w:val="24"/>
          <w:highlight w:val="none"/>
        </w:rPr>
        <w:t>属于串通投标，或者依法被视为串通投标；</w:t>
      </w:r>
    </w:p>
    <w:p w14:paraId="7F7E05AD">
      <w:pPr>
        <w:numPr>
          <w:ilvl w:val="0"/>
          <w:numId w:val="2"/>
        </w:numPr>
        <w:shd w:val="clear" w:color="auto" w:fill="auto"/>
        <w:spacing w:line="360" w:lineRule="auto"/>
        <w:ind w:left="840" w:leftChars="400" w:firstLine="0"/>
        <w:rPr>
          <w:rFonts w:eastAsia="仿宋_GB2312"/>
          <w:color w:val="auto"/>
          <w:sz w:val="24"/>
          <w:highlight w:val="none"/>
        </w:rPr>
      </w:pPr>
      <w:r>
        <w:rPr>
          <w:rFonts w:eastAsia="仿宋_GB2312"/>
          <w:color w:val="auto"/>
          <w:sz w:val="24"/>
          <w:highlight w:val="none"/>
        </w:rPr>
        <w:t>评标委员会认为投标人的报价明显低于其他通过符合性审查投标人的报价，有可能影响履约的，且投标人未按照规定证明其报价合理性的；</w:t>
      </w:r>
    </w:p>
    <w:p w14:paraId="07886C6D">
      <w:pPr>
        <w:numPr>
          <w:ilvl w:val="0"/>
          <w:numId w:val="2"/>
        </w:numPr>
        <w:shd w:val="clear" w:color="auto" w:fill="auto"/>
        <w:spacing w:line="360" w:lineRule="auto"/>
        <w:ind w:left="840" w:leftChars="400" w:firstLine="0"/>
        <w:rPr>
          <w:rFonts w:eastAsia="仿宋_GB2312"/>
          <w:color w:val="auto"/>
          <w:sz w:val="24"/>
          <w:highlight w:val="none"/>
        </w:rPr>
      </w:pPr>
      <w:r>
        <w:rPr>
          <w:rFonts w:eastAsia="仿宋_GB2312"/>
          <w:color w:val="auto"/>
          <w:sz w:val="24"/>
          <w:highlight w:val="none"/>
        </w:rPr>
        <w:t>投标文件含有采购人不能接受的附加条件的；</w:t>
      </w:r>
    </w:p>
    <w:p w14:paraId="54C60C23">
      <w:pPr>
        <w:numPr>
          <w:ilvl w:val="0"/>
          <w:numId w:val="2"/>
        </w:numPr>
        <w:shd w:val="clear" w:color="auto" w:fill="auto"/>
        <w:spacing w:line="360" w:lineRule="auto"/>
        <w:ind w:left="840" w:leftChars="400" w:firstLine="0"/>
        <w:rPr>
          <w:rFonts w:eastAsia="仿宋_GB2312"/>
          <w:color w:val="auto"/>
          <w:sz w:val="24"/>
          <w:highlight w:val="none"/>
        </w:rPr>
      </w:pPr>
      <w:r>
        <w:rPr>
          <w:rFonts w:eastAsia="仿宋_GB2312"/>
          <w:color w:val="auto"/>
          <w:sz w:val="24"/>
          <w:highlight w:val="none"/>
        </w:rPr>
        <w:t>属于招标文件规定的其他投标无效情形；</w:t>
      </w:r>
    </w:p>
    <w:p w14:paraId="09505026">
      <w:pPr>
        <w:numPr>
          <w:ilvl w:val="0"/>
          <w:numId w:val="2"/>
        </w:numPr>
        <w:shd w:val="clear" w:color="auto" w:fill="auto"/>
        <w:spacing w:line="360" w:lineRule="auto"/>
        <w:ind w:left="840" w:leftChars="400" w:firstLine="0"/>
        <w:rPr>
          <w:rFonts w:eastAsia="仿宋_GB2312"/>
          <w:color w:val="auto"/>
          <w:sz w:val="24"/>
          <w:highlight w:val="none"/>
        </w:rPr>
      </w:pPr>
      <w:r>
        <w:rPr>
          <w:rFonts w:eastAsia="仿宋_GB2312"/>
          <w:color w:val="auto"/>
          <w:sz w:val="24"/>
          <w:highlight w:val="none"/>
        </w:rPr>
        <w:t>不符合法规和招标文件中规定的其他实质性要求的。</w:t>
      </w:r>
    </w:p>
    <w:bookmarkEnd w:id="208"/>
    <w:p w14:paraId="535C33A5">
      <w:pPr>
        <w:pStyle w:val="6"/>
        <w:shd w:val="clear" w:color="auto" w:fill="auto"/>
        <w:ind w:firstLine="0" w:firstLineChars="0"/>
        <w:jc w:val="both"/>
        <w:rPr>
          <w:rFonts w:ascii="Times New Roman" w:hAnsi="Times New Roman" w:eastAsia="仿宋_GB2312"/>
          <w:color w:val="auto"/>
          <w:sz w:val="24"/>
          <w:szCs w:val="24"/>
          <w:highlight w:val="none"/>
        </w:rPr>
      </w:pPr>
      <w:bookmarkStart w:id="221" w:name="_Toc13652"/>
      <w:bookmarkStart w:id="222" w:name="_Toc532473476"/>
      <w:bookmarkStart w:id="223" w:name="_Toc62194323"/>
      <w:bookmarkStart w:id="224" w:name="_Toc515647784"/>
      <w:bookmarkStart w:id="225" w:name="_Toc3012"/>
      <w:bookmarkStart w:id="226" w:name="_Toc22941"/>
      <w:r>
        <w:rPr>
          <w:rFonts w:ascii="Times New Roman" w:hAnsi="Times New Roman" w:eastAsia="仿宋_GB2312"/>
          <w:color w:val="auto"/>
          <w:sz w:val="24"/>
          <w:szCs w:val="24"/>
          <w:highlight w:val="none"/>
        </w:rPr>
        <w:t>23.    比较与评价</w:t>
      </w:r>
      <w:bookmarkEnd w:id="221"/>
      <w:bookmarkEnd w:id="222"/>
      <w:bookmarkEnd w:id="223"/>
      <w:bookmarkEnd w:id="224"/>
      <w:bookmarkEnd w:id="225"/>
      <w:bookmarkEnd w:id="226"/>
    </w:p>
    <w:p w14:paraId="582AD892">
      <w:pPr>
        <w:shd w:val="clear" w:color="auto" w:fill="auto"/>
        <w:spacing w:line="360" w:lineRule="auto"/>
        <w:ind w:left="840" w:hanging="840" w:hangingChars="350"/>
        <w:rPr>
          <w:rFonts w:eastAsia="仿宋_GB2312"/>
          <w:color w:val="auto"/>
          <w:sz w:val="24"/>
          <w:highlight w:val="none"/>
        </w:rPr>
      </w:pPr>
      <w:r>
        <w:rPr>
          <w:rFonts w:eastAsia="仿宋_GB2312"/>
          <w:color w:val="auto"/>
          <w:sz w:val="24"/>
          <w:highlight w:val="none"/>
        </w:rPr>
        <w:t>23.1   经符合性审查合格的投标文件，评标委员会将根据招标文件确定的评标方法和标准，对其技术部分和商务部分作进一步的比较和评价。</w:t>
      </w:r>
    </w:p>
    <w:p w14:paraId="58E3F35D">
      <w:pPr>
        <w:shd w:val="clear" w:color="auto" w:fill="auto"/>
        <w:spacing w:line="360" w:lineRule="auto"/>
        <w:ind w:left="840" w:hanging="840" w:hangingChars="350"/>
        <w:rPr>
          <w:rFonts w:eastAsia="仿宋_GB2312"/>
          <w:color w:val="auto"/>
          <w:sz w:val="24"/>
          <w:highlight w:val="none"/>
        </w:rPr>
      </w:pPr>
      <w:r>
        <w:rPr>
          <w:rFonts w:eastAsia="仿宋_GB2312"/>
          <w:color w:val="auto"/>
          <w:sz w:val="24"/>
          <w:highlight w:val="none"/>
        </w:rPr>
        <w:t>23.2   评标严格按照招标文件的要求和条件进行。根据实际情况，在</w:t>
      </w:r>
      <w:r>
        <w:rPr>
          <w:rFonts w:eastAsia="仿宋_GB2312"/>
          <w:color w:val="auto"/>
          <w:sz w:val="24"/>
          <w:highlight w:val="none"/>
          <w:u w:val="single"/>
        </w:rPr>
        <w:t>投标人须知前附表</w:t>
      </w:r>
      <w:r>
        <w:rPr>
          <w:rFonts w:eastAsia="仿宋_GB2312"/>
          <w:color w:val="auto"/>
          <w:sz w:val="24"/>
          <w:highlight w:val="none"/>
        </w:rPr>
        <w:t>中规定采用下列一种评标方法，详细评标标准见招标文件第三章：</w:t>
      </w:r>
    </w:p>
    <w:p w14:paraId="6ED0FFCA">
      <w:pPr>
        <w:pStyle w:val="18"/>
        <w:shd w:val="clear" w:color="auto" w:fill="auto"/>
        <w:spacing w:line="360" w:lineRule="auto"/>
        <w:ind w:left="840" w:leftChars="400"/>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（1）最低评标价法，是指投标文件满足招标文件全部要求，且投标报价最低的投标人为中标候选人的评标方法。</w:t>
      </w:r>
    </w:p>
    <w:p w14:paraId="558F6FEE">
      <w:pPr>
        <w:pStyle w:val="18"/>
        <w:shd w:val="clear" w:color="auto" w:fill="auto"/>
        <w:spacing w:line="360" w:lineRule="auto"/>
        <w:ind w:left="840" w:leftChars="400"/>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（2）综合评分法，是指投标文件满足招标文件全部要求，且按照评审因素的量</w:t>
      </w:r>
    </w:p>
    <w:p w14:paraId="687DE1AA">
      <w:pPr>
        <w:pStyle w:val="18"/>
        <w:shd w:val="clear" w:color="auto" w:fill="auto"/>
        <w:spacing w:line="360" w:lineRule="auto"/>
        <w:ind w:left="840" w:leftChars="400"/>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化指标评审得分最高的投标人为中标候选人的评标方法。</w:t>
      </w:r>
    </w:p>
    <w:p w14:paraId="7C123A15">
      <w:pPr>
        <w:pStyle w:val="18"/>
        <w:shd w:val="clear" w:color="auto" w:fill="auto"/>
        <w:spacing w:line="360" w:lineRule="auto"/>
        <w:ind w:left="900" w:hanging="900" w:hangingChars="375"/>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23.3   根据《关于进一步加大政府采购支持中小企业力度的通知》（财库〔2022〕19号）、《政府采购促进中小企业发展办法》（财库〔2020〕46号）、《财政部</w:t>
      </w:r>
      <w:r>
        <w:rPr>
          <w:rFonts w:hint="eastAsia" w:ascii="Times New Roman" w:hAnsi="Times New Roman" w:eastAsia="仿宋_GB2312"/>
          <w:color w:val="auto"/>
          <w:sz w:val="24"/>
          <w:szCs w:val="24"/>
          <w:highlight w:val="none"/>
          <w:lang w:val="en-US" w:eastAsia="zh-CN"/>
        </w:rPr>
        <w:t xml:space="preserve"> </w:t>
      </w:r>
      <w:r>
        <w:rPr>
          <w:rFonts w:ascii="Times New Roman" w:hAnsi="Times New Roman" w:eastAsia="仿宋_GB2312"/>
          <w:color w:val="auto"/>
          <w:sz w:val="24"/>
          <w:szCs w:val="24"/>
          <w:highlight w:val="none"/>
        </w:rPr>
        <w:t>司法部关于政府采购支持监狱企业发展有关问题的通知》（财库〔2014〕68号）和《</w:t>
      </w:r>
      <w:r>
        <w:rPr>
          <w:rFonts w:hint="eastAsia" w:ascii="Times New Roman" w:hAnsi="Times New Roman" w:eastAsia="仿宋_GB2312"/>
          <w:color w:val="auto"/>
          <w:sz w:val="24"/>
          <w:szCs w:val="24"/>
          <w:highlight w:val="none"/>
        </w:rPr>
        <w:t>财政部 民政部 中国残疾人联合会</w:t>
      </w:r>
      <w:r>
        <w:rPr>
          <w:rFonts w:ascii="Times New Roman" w:hAnsi="Times New Roman" w:eastAsia="仿宋_GB2312"/>
          <w:color w:val="auto"/>
          <w:sz w:val="24"/>
          <w:szCs w:val="24"/>
          <w:highlight w:val="none"/>
        </w:rPr>
        <w:t>关于促进残疾人就业政府采购政策的通知》（</w:t>
      </w:r>
      <w:bookmarkStart w:id="227" w:name="sendNo"/>
      <w:r>
        <w:rPr>
          <w:rFonts w:ascii="Times New Roman" w:hAnsi="Times New Roman" w:eastAsia="仿宋_GB2312"/>
          <w:color w:val="auto"/>
          <w:sz w:val="24"/>
          <w:szCs w:val="24"/>
          <w:highlight w:val="none"/>
        </w:rPr>
        <w:t>财库</w:t>
      </w:r>
      <w:r>
        <w:rPr>
          <w:rFonts w:ascii="Times New Roman" w:hAnsi="Times New Roman" w:eastAsia="仿宋_GB2312"/>
          <w:bCs/>
          <w:color w:val="auto"/>
          <w:sz w:val="24"/>
          <w:szCs w:val="24"/>
          <w:highlight w:val="none"/>
        </w:rPr>
        <w:t>〔</w:t>
      </w:r>
      <w:bookmarkEnd w:id="227"/>
      <w:r>
        <w:rPr>
          <w:rFonts w:ascii="Times New Roman" w:hAnsi="Times New Roman" w:eastAsia="仿宋_GB2312"/>
          <w:bCs/>
          <w:color w:val="auto"/>
          <w:sz w:val="24"/>
          <w:szCs w:val="24"/>
          <w:highlight w:val="none"/>
        </w:rPr>
        <w:t>2017〕141号</w:t>
      </w:r>
      <w:r>
        <w:rPr>
          <w:rFonts w:ascii="Times New Roman" w:hAnsi="Times New Roman" w:eastAsia="仿宋_GB2312"/>
          <w:color w:val="auto"/>
          <w:sz w:val="24"/>
          <w:szCs w:val="24"/>
          <w:highlight w:val="none"/>
        </w:rPr>
        <w:t>）的规定，对满足价格扣除条件且在投标文件中提交了《</w:t>
      </w:r>
      <w:r>
        <w:rPr>
          <w:rFonts w:hint="eastAsia" w:ascii="Times New Roman" w:hAnsi="Times New Roman" w:eastAsia="仿宋_GB2312"/>
          <w:color w:val="auto"/>
          <w:sz w:val="24"/>
          <w:szCs w:val="24"/>
          <w:highlight w:val="none"/>
        </w:rPr>
        <w:t>中小企业</w:t>
      </w:r>
      <w:r>
        <w:rPr>
          <w:rFonts w:ascii="Times New Roman" w:hAnsi="Times New Roman" w:eastAsia="仿宋_GB2312"/>
          <w:color w:val="auto"/>
          <w:sz w:val="24"/>
          <w:szCs w:val="24"/>
          <w:highlight w:val="none"/>
        </w:rPr>
        <w:t>声明函》、《残疾人福利性单位声明函》或省级以上监狱管理局、戒毒管理局（含新疆生产建设兵团）出具的属于监狱企业的证明文件的投标</w:t>
      </w:r>
      <w:r>
        <w:rPr>
          <w:rFonts w:ascii="Times New Roman" w:hAnsi="Times New Roman" w:eastAsia="仿宋_GB2312" w:cs="Times New Roman"/>
          <w:color w:val="auto"/>
          <w:sz w:val="24"/>
          <w:szCs w:val="24"/>
          <w:highlight w:val="none"/>
        </w:rPr>
        <w:t>人，其投标报价按规定扣除后参与评审。具体办</w:t>
      </w:r>
      <w:r>
        <w:rPr>
          <w:rFonts w:ascii="Times New Roman" w:hAnsi="Times New Roman" w:eastAsia="仿宋_GB2312"/>
          <w:color w:val="auto"/>
          <w:sz w:val="24"/>
          <w:szCs w:val="24"/>
          <w:highlight w:val="none"/>
        </w:rPr>
        <w:t>法详见招标文件第三章。</w:t>
      </w:r>
    </w:p>
    <w:p w14:paraId="524869A2">
      <w:pPr>
        <w:pStyle w:val="18"/>
        <w:shd w:val="clear" w:color="auto" w:fill="auto"/>
        <w:spacing w:line="360" w:lineRule="auto"/>
        <w:ind w:left="900" w:hanging="900" w:hangingChars="375"/>
        <w:rPr>
          <w:rFonts w:ascii="Times New Roman" w:hAnsi="Times New Roman" w:eastAsia="仿宋_GB2312"/>
          <w:color w:val="auto"/>
          <w:sz w:val="24"/>
          <w:szCs w:val="24"/>
          <w:highlight w:val="none"/>
        </w:rPr>
      </w:pPr>
      <w:r>
        <w:rPr>
          <w:rFonts w:ascii="Times New Roman" w:hAnsi="Times New Roman" w:eastAsia="仿宋_GB2312"/>
          <w:color w:val="auto"/>
          <w:sz w:val="24"/>
          <w:szCs w:val="24"/>
          <w:highlight w:val="none"/>
        </w:rPr>
        <w:t>23.4   落实其他政府采购政策条款。具体办法详见招标文件第三章。</w:t>
      </w:r>
    </w:p>
    <w:p w14:paraId="5610E5DE">
      <w:pPr>
        <w:pStyle w:val="6"/>
        <w:shd w:val="clear" w:color="auto" w:fill="auto"/>
        <w:ind w:firstLine="0" w:firstLineChars="0"/>
        <w:jc w:val="both"/>
        <w:rPr>
          <w:rFonts w:ascii="Times New Roman" w:hAnsi="Times New Roman" w:eastAsia="仿宋_GB2312"/>
          <w:color w:val="auto"/>
          <w:sz w:val="24"/>
          <w:szCs w:val="24"/>
          <w:highlight w:val="none"/>
        </w:rPr>
      </w:pPr>
      <w:bookmarkStart w:id="228" w:name="_Toc520356168"/>
      <w:bookmarkStart w:id="229" w:name="_Toc13235"/>
      <w:bookmarkStart w:id="230" w:name="_Toc20227"/>
      <w:bookmarkStart w:id="231" w:name="_Toc515647785"/>
      <w:bookmarkStart w:id="232" w:name="_Toc9378"/>
      <w:bookmarkStart w:id="233" w:name="_Toc62194324"/>
      <w:bookmarkStart w:id="234" w:name="_Toc532473477"/>
      <w:r>
        <w:rPr>
          <w:rFonts w:ascii="Times New Roman" w:hAnsi="Times New Roman" w:eastAsia="仿宋_GB2312"/>
          <w:color w:val="auto"/>
          <w:sz w:val="24"/>
          <w:szCs w:val="24"/>
          <w:highlight w:val="none"/>
        </w:rPr>
        <w:t>24</w:t>
      </w:r>
      <w:bookmarkEnd w:id="228"/>
      <w:r>
        <w:rPr>
          <w:rFonts w:ascii="Times New Roman" w:hAnsi="Times New Roman" w:eastAsia="仿宋_GB2312"/>
          <w:color w:val="auto"/>
          <w:sz w:val="24"/>
          <w:szCs w:val="24"/>
          <w:highlight w:val="none"/>
        </w:rPr>
        <w:t>.    废标</w:t>
      </w:r>
      <w:bookmarkEnd w:id="229"/>
      <w:bookmarkEnd w:id="230"/>
      <w:bookmarkEnd w:id="231"/>
      <w:bookmarkEnd w:id="232"/>
      <w:bookmarkEnd w:id="233"/>
      <w:bookmarkEnd w:id="234"/>
    </w:p>
    <w:p w14:paraId="0041FBC7">
      <w:pPr>
        <w:shd w:val="clear" w:color="auto" w:fill="auto"/>
        <w:spacing w:line="360" w:lineRule="auto"/>
        <w:ind w:left="897" w:leftChars="399" w:hanging="60" w:hangingChars="25"/>
        <w:rPr>
          <w:rFonts w:eastAsia="仿宋_GB2312"/>
          <w:color w:val="auto"/>
          <w:sz w:val="24"/>
          <w:highlight w:val="none"/>
        </w:rPr>
      </w:pPr>
      <w:r>
        <w:rPr>
          <w:rFonts w:eastAsia="仿宋_GB2312"/>
          <w:color w:val="auto"/>
          <w:sz w:val="24"/>
          <w:highlight w:val="none"/>
        </w:rPr>
        <w:t>出现下列情形之一，将导致项目废标：</w:t>
      </w:r>
    </w:p>
    <w:p w14:paraId="25DC6A93">
      <w:pPr>
        <w:shd w:val="clear" w:color="auto" w:fill="auto"/>
        <w:spacing w:line="360" w:lineRule="auto"/>
        <w:ind w:left="837" w:leftChars="399"/>
        <w:rPr>
          <w:rFonts w:eastAsia="仿宋_GB2312"/>
          <w:color w:val="auto"/>
          <w:sz w:val="24"/>
          <w:highlight w:val="none"/>
        </w:rPr>
      </w:pPr>
      <w:r>
        <w:rPr>
          <w:rFonts w:eastAsia="仿宋_GB2312"/>
          <w:color w:val="auto"/>
          <w:sz w:val="24"/>
          <w:highlight w:val="none"/>
        </w:rPr>
        <w:t>（1）符合专业条件的</w:t>
      </w:r>
      <w:r>
        <w:rPr>
          <w:rFonts w:hint="eastAsia" w:eastAsia="仿宋_GB2312"/>
          <w:color w:val="auto"/>
          <w:sz w:val="24"/>
          <w:highlight w:val="none"/>
        </w:rPr>
        <w:t>投标人</w:t>
      </w:r>
      <w:r>
        <w:rPr>
          <w:rFonts w:eastAsia="仿宋_GB2312"/>
          <w:color w:val="auto"/>
          <w:sz w:val="24"/>
          <w:highlight w:val="none"/>
        </w:rPr>
        <w:t>或者对招标文件做实质性响应的</w:t>
      </w:r>
      <w:r>
        <w:rPr>
          <w:rFonts w:hint="eastAsia" w:eastAsia="仿宋_GB2312"/>
          <w:color w:val="auto"/>
          <w:sz w:val="24"/>
          <w:highlight w:val="none"/>
        </w:rPr>
        <w:t>投标人</w:t>
      </w:r>
      <w:r>
        <w:rPr>
          <w:rFonts w:eastAsia="仿宋_GB2312"/>
          <w:color w:val="auto"/>
          <w:sz w:val="24"/>
          <w:highlight w:val="none"/>
        </w:rPr>
        <w:t>不足三家；</w:t>
      </w:r>
    </w:p>
    <w:p w14:paraId="376EF279">
      <w:pPr>
        <w:shd w:val="clear" w:color="auto" w:fill="auto"/>
        <w:spacing w:line="360" w:lineRule="auto"/>
        <w:ind w:left="837" w:leftChars="399"/>
        <w:rPr>
          <w:rFonts w:eastAsia="仿宋_GB2312"/>
          <w:color w:val="auto"/>
          <w:sz w:val="24"/>
          <w:highlight w:val="none"/>
        </w:rPr>
      </w:pPr>
      <w:r>
        <w:rPr>
          <w:rFonts w:eastAsia="仿宋_GB2312"/>
          <w:color w:val="auto"/>
          <w:sz w:val="24"/>
          <w:highlight w:val="none"/>
        </w:rPr>
        <w:t>（2）出现影响采购公正的违法、违规行为的；</w:t>
      </w:r>
    </w:p>
    <w:p w14:paraId="45A2549B">
      <w:pPr>
        <w:shd w:val="clear" w:color="auto" w:fill="auto"/>
        <w:spacing w:line="360" w:lineRule="auto"/>
        <w:ind w:left="837" w:leftChars="399"/>
        <w:rPr>
          <w:rFonts w:eastAsia="仿宋_GB2312"/>
          <w:color w:val="auto"/>
          <w:sz w:val="24"/>
          <w:highlight w:val="none"/>
        </w:rPr>
      </w:pPr>
      <w:r>
        <w:rPr>
          <w:rFonts w:eastAsia="仿宋_GB2312"/>
          <w:color w:val="auto"/>
          <w:sz w:val="24"/>
          <w:highlight w:val="none"/>
        </w:rPr>
        <w:t>（3）投标人的报价均超过了采购预算，采购人不能支付的；</w:t>
      </w:r>
    </w:p>
    <w:p w14:paraId="6709049A">
      <w:pPr>
        <w:shd w:val="clear" w:color="auto" w:fill="auto"/>
        <w:spacing w:line="360" w:lineRule="auto"/>
        <w:ind w:left="837" w:leftChars="399"/>
        <w:rPr>
          <w:rFonts w:eastAsia="仿宋_GB2312"/>
          <w:color w:val="auto"/>
          <w:sz w:val="24"/>
          <w:highlight w:val="none"/>
        </w:rPr>
      </w:pPr>
      <w:r>
        <w:rPr>
          <w:rFonts w:eastAsia="仿宋_GB2312"/>
          <w:color w:val="auto"/>
          <w:sz w:val="24"/>
          <w:highlight w:val="none"/>
        </w:rPr>
        <w:t>（4）因重大变故，采购任务取消的。</w:t>
      </w:r>
    </w:p>
    <w:p w14:paraId="7461DEA2">
      <w:pPr>
        <w:pStyle w:val="6"/>
        <w:shd w:val="clear" w:color="auto" w:fill="auto"/>
        <w:ind w:firstLine="0" w:firstLineChars="0"/>
        <w:jc w:val="both"/>
        <w:rPr>
          <w:rFonts w:ascii="Times New Roman" w:hAnsi="Times New Roman" w:eastAsia="仿宋_GB2312"/>
          <w:color w:val="auto"/>
          <w:sz w:val="24"/>
          <w:szCs w:val="24"/>
          <w:highlight w:val="none"/>
        </w:rPr>
      </w:pPr>
      <w:bookmarkStart w:id="235" w:name="_Toc31289"/>
      <w:bookmarkStart w:id="236" w:name="_Toc515647786"/>
      <w:bookmarkStart w:id="237" w:name="_Toc24972"/>
      <w:bookmarkStart w:id="238" w:name="_Toc532473478"/>
      <w:bookmarkStart w:id="239" w:name="_Toc62194325"/>
      <w:bookmarkStart w:id="240" w:name="_Toc11650"/>
      <w:bookmarkStart w:id="241" w:name="_Toc520356169"/>
      <w:r>
        <w:rPr>
          <w:rFonts w:ascii="Times New Roman" w:hAnsi="Times New Roman" w:eastAsia="仿宋_GB2312"/>
          <w:color w:val="auto"/>
          <w:sz w:val="24"/>
          <w:szCs w:val="24"/>
          <w:highlight w:val="none"/>
        </w:rPr>
        <w:t>25.    保密</w:t>
      </w:r>
      <w:bookmarkEnd w:id="235"/>
      <w:bookmarkEnd w:id="236"/>
      <w:bookmarkEnd w:id="237"/>
      <w:r>
        <w:rPr>
          <w:rFonts w:ascii="Times New Roman" w:hAnsi="Times New Roman" w:eastAsia="仿宋_GB2312"/>
          <w:color w:val="auto"/>
          <w:sz w:val="24"/>
          <w:szCs w:val="24"/>
          <w:highlight w:val="none"/>
        </w:rPr>
        <w:t>要求</w:t>
      </w:r>
      <w:bookmarkEnd w:id="238"/>
      <w:bookmarkEnd w:id="239"/>
      <w:bookmarkEnd w:id="240"/>
    </w:p>
    <w:p w14:paraId="13279391">
      <w:pPr>
        <w:shd w:val="clear" w:color="auto" w:fill="auto"/>
        <w:spacing w:line="360" w:lineRule="auto"/>
        <w:ind w:left="840" w:hanging="840" w:hangingChars="350"/>
        <w:rPr>
          <w:rFonts w:eastAsia="仿宋_GB2312"/>
          <w:color w:val="auto"/>
          <w:sz w:val="24"/>
          <w:highlight w:val="none"/>
        </w:rPr>
      </w:pPr>
      <w:r>
        <w:rPr>
          <w:rFonts w:eastAsia="仿宋_GB2312"/>
          <w:color w:val="auto"/>
          <w:sz w:val="24"/>
          <w:highlight w:val="none"/>
        </w:rPr>
        <w:t>25.1   评标将在严格保密的情况下进行。</w:t>
      </w:r>
    </w:p>
    <w:p w14:paraId="483AE78A">
      <w:pPr>
        <w:shd w:val="clear" w:color="auto" w:fill="auto"/>
        <w:spacing w:line="360" w:lineRule="auto"/>
        <w:ind w:left="840" w:hanging="840" w:hangingChars="350"/>
        <w:rPr>
          <w:rFonts w:eastAsia="仿宋_GB2312"/>
          <w:color w:val="auto"/>
          <w:sz w:val="24"/>
          <w:highlight w:val="none"/>
        </w:rPr>
      </w:pPr>
      <w:r>
        <w:rPr>
          <w:rFonts w:eastAsia="仿宋_GB2312"/>
          <w:color w:val="auto"/>
          <w:sz w:val="24"/>
          <w:highlight w:val="none"/>
        </w:rPr>
        <w:t>25.2   有关人员应当遵守评标工作纪律，不得泄露评标文件、评标情况和评标中获悉的国家秘密、商业秘密。</w:t>
      </w:r>
    </w:p>
    <w:p w14:paraId="7A391972">
      <w:pPr>
        <w:shd w:val="clear" w:color="auto" w:fill="auto"/>
        <w:spacing w:line="360" w:lineRule="auto"/>
        <w:ind w:left="1079" w:leftChars="257" w:hanging="540"/>
        <w:rPr>
          <w:rFonts w:eastAsia="仿宋_GB2312"/>
          <w:color w:val="auto"/>
          <w:sz w:val="24"/>
          <w:highlight w:val="none"/>
        </w:rPr>
      </w:pPr>
    </w:p>
    <w:p w14:paraId="78216D8F">
      <w:pPr>
        <w:pStyle w:val="3"/>
        <w:shd w:val="clear" w:color="auto" w:fill="auto"/>
        <w:rPr>
          <w:rFonts w:ascii="Times New Roman" w:hAnsi="Times New Roman" w:eastAsia="仿宋_GB2312"/>
          <w:color w:val="auto"/>
          <w:sz w:val="28"/>
          <w:szCs w:val="18"/>
          <w:highlight w:val="none"/>
        </w:rPr>
      </w:pPr>
      <w:bookmarkStart w:id="242" w:name="_Toc515647787"/>
      <w:bookmarkStart w:id="243" w:name="_Toc12143"/>
      <w:bookmarkStart w:id="244" w:name="_Toc23348"/>
      <w:bookmarkStart w:id="245" w:name="_Toc62194326"/>
      <w:bookmarkStart w:id="246" w:name="_Toc216582810"/>
      <w:bookmarkStart w:id="247" w:name="_Toc532473479"/>
      <w:bookmarkStart w:id="248" w:name="_Toc23904"/>
      <w:r>
        <w:rPr>
          <w:rFonts w:ascii="Times New Roman" w:hAnsi="Times New Roman" w:eastAsia="仿宋_GB2312"/>
          <w:color w:val="auto"/>
          <w:sz w:val="28"/>
          <w:szCs w:val="18"/>
          <w:highlight w:val="none"/>
        </w:rPr>
        <w:t>六</w:t>
      </w:r>
      <w:bookmarkEnd w:id="241"/>
      <w:r>
        <w:rPr>
          <w:rFonts w:ascii="Times New Roman" w:hAnsi="Times New Roman" w:eastAsia="仿宋_GB2312"/>
          <w:color w:val="auto"/>
          <w:sz w:val="28"/>
          <w:szCs w:val="18"/>
          <w:highlight w:val="none"/>
        </w:rPr>
        <w:t>、确定中标</w:t>
      </w:r>
      <w:bookmarkEnd w:id="242"/>
      <w:bookmarkEnd w:id="243"/>
      <w:bookmarkEnd w:id="244"/>
      <w:bookmarkEnd w:id="245"/>
      <w:bookmarkEnd w:id="246"/>
      <w:bookmarkEnd w:id="247"/>
      <w:bookmarkEnd w:id="248"/>
    </w:p>
    <w:p w14:paraId="65DAA3DF">
      <w:pPr>
        <w:pStyle w:val="6"/>
        <w:shd w:val="clear" w:color="auto" w:fill="auto"/>
        <w:ind w:firstLine="0" w:firstLineChars="0"/>
        <w:jc w:val="both"/>
        <w:rPr>
          <w:rFonts w:ascii="Times New Roman" w:hAnsi="Times New Roman" w:eastAsia="仿宋_GB2312"/>
          <w:color w:val="auto"/>
          <w:sz w:val="24"/>
          <w:szCs w:val="24"/>
          <w:highlight w:val="none"/>
        </w:rPr>
      </w:pPr>
      <w:bookmarkStart w:id="249" w:name="_Toc23617"/>
      <w:bookmarkStart w:id="250" w:name="_Toc520356170"/>
      <w:bookmarkStart w:id="251" w:name="_Toc23762"/>
      <w:bookmarkStart w:id="252" w:name="_Toc28915"/>
      <w:bookmarkStart w:id="253" w:name="_Toc532473480"/>
      <w:bookmarkStart w:id="254" w:name="_Ref467307010"/>
      <w:bookmarkStart w:id="255" w:name="_Toc515647788"/>
      <w:bookmarkStart w:id="256" w:name="_Toc62194327"/>
      <w:r>
        <w:rPr>
          <w:rFonts w:ascii="Times New Roman" w:hAnsi="Times New Roman" w:eastAsia="仿宋_GB2312"/>
          <w:color w:val="auto"/>
          <w:sz w:val="24"/>
          <w:szCs w:val="24"/>
          <w:highlight w:val="none"/>
        </w:rPr>
        <w:t>26.    中标候选人的确定原则及标准</w:t>
      </w:r>
      <w:bookmarkEnd w:id="249"/>
      <w:bookmarkEnd w:id="250"/>
      <w:bookmarkEnd w:id="251"/>
      <w:bookmarkEnd w:id="252"/>
      <w:bookmarkEnd w:id="253"/>
      <w:bookmarkEnd w:id="254"/>
      <w:bookmarkEnd w:id="255"/>
      <w:bookmarkEnd w:id="256"/>
    </w:p>
    <w:p w14:paraId="153BDB98">
      <w:pPr>
        <w:shd w:val="clear" w:color="auto" w:fill="auto"/>
        <w:spacing w:line="360" w:lineRule="auto"/>
        <w:ind w:left="840" w:leftChars="400"/>
        <w:rPr>
          <w:rFonts w:eastAsia="仿宋_GB2312"/>
          <w:color w:val="auto"/>
          <w:sz w:val="24"/>
          <w:highlight w:val="none"/>
        </w:rPr>
      </w:pPr>
      <w:r>
        <w:rPr>
          <w:rFonts w:eastAsia="仿宋_GB2312"/>
          <w:color w:val="auto"/>
          <w:sz w:val="24"/>
          <w:highlight w:val="none"/>
        </w:rPr>
        <w:t>除评标委员会受采购人委托直接确定中标人的情形外，对实质上响应招标文件的投标人按下列方法进行排序，确定中标候选人：</w:t>
      </w:r>
    </w:p>
    <w:p w14:paraId="515C40F1">
      <w:pPr>
        <w:shd w:val="clear" w:color="auto" w:fill="auto"/>
        <w:spacing w:line="360" w:lineRule="auto"/>
        <w:ind w:left="840" w:leftChars="400"/>
        <w:rPr>
          <w:rFonts w:eastAsia="仿宋_GB2312"/>
          <w:color w:val="auto"/>
          <w:sz w:val="24"/>
          <w:highlight w:val="none"/>
        </w:rPr>
      </w:pPr>
      <w:bookmarkStart w:id="257" w:name="_Toc520356171"/>
      <w:bookmarkStart w:id="258" w:name="_Toc515647789"/>
      <w:r>
        <w:rPr>
          <w:rFonts w:eastAsia="仿宋_GB2312"/>
          <w:color w:val="auto"/>
          <w:sz w:val="24"/>
          <w:highlight w:val="none"/>
        </w:rPr>
        <w:t>（1）采用最低评标价法的，除了算术修正和落实政府采购政策需进行的价格扣除外，不对投标人的投标价格进行任何调整。评标结果按修正和扣除后的投标报价由低到高顺序排列。报价相同的处理方式详见招标文件第三章。</w:t>
      </w:r>
    </w:p>
    <w:p w14:paraId="4AB4997F">
      <w:pPr>
        <w:shd w:val="clear" w:color="auto" w:fill="auto"/>
        <w:spacing w:line="360" w:lineRule="auto"/>
        <w:ind w:left="840" w:leftChars="400"/>
        <w:rPr>
          <w:rFonts w:eastAsia="仿宋_GB2312"/>
          <w:color w:val="auto"/>
          <w:sz w:val="24"/>
          <w:highlight w:val="none"/>
        </w:rPr>
      </w:pPr>
      <w:r>
        <w:rPr>
          <w:rFonts w:eastAsia="仿宋_GB2312"/>
          <w:color w:val="auto"/>
          <w:sz w:val="24"/>
          <w:highlight w:val="none"/>
        </w:rPr>
        <w:t>（2）采用综合评分法的，评标结果按评审后得分由高到低顺序排列。得分相同的，按修正和扣除后的投标报价由低到高顺序排列。得分与投标报价均相同的处理方式详见招标文件第三章。</w:t>
      </w:r>
    </w:p>
    <w:p w14:paraId="0262D756">
      <w:pPr>
        <w:pStyle w:val="6"/>
        <w:shd w:val="clear" w:color="auto" w:fill="auto"/>
        <w:ind w:left="843" w:hanging="840" w:hangingChars="350"/>
        <w:jc w:val="both"/>
        <w:rPr>
          <w:rFonts w:ascii="Times New Roman" w:hAnsi="Times New Roman" w:eastAsia="仿宋_GB2312"/>
          <w:color w:val="auto"/>
          <w:sz w:val="24"/>
          <w:szCs w:val="24"/>
          <w:highlight w:val="none"/>
        </w:rPr>
      </w:pPr>
      <w:bookmarkStart w:id="259" w:name="_Toc9653"/>
      <w:bookmarkStart w:id="260" w:name="_Toc23951"/>
      <w:bookmarkStart w:id="261" w:name="_Toc532473481"/>
      <w:bookmarkStart w:id="262" w:name="_Toc62194328"/>
      <w:bookmarkStart w:id="263" w:name="_Toc17063"/>
      <w:r>
        <w:rPr>
          <w:rFonts w:ascii="Times New Roman" w:hAnsi="Times New Roman" w:eastAsia="仿宋_GB2312"/>
          <w:color w:val="auto"/>
          <w:sz w:val="24"/>
          <w:szCs w:val="24"/>
          <w:highlight w:val="none"/>
        </w:rPr>
        <w:t>27</w:t>
      </w:r>
      <w:bookmarkEnd w:id="257"/>
      <w:r>
        <w:rPr>
          <w:rFonts w:ascii="Times New Roman" w:hAnsi="Times New Roman" w:eastAsia="仿宋_GB2312"/>
          <w:color w:val="auto"/>
          <w:sz w:val="24"/>
          <w:szCs w:val="24"/>
          <w:highlight w:val="none"/>
        </w:rPr>
        <w:t>.</w:t>
      </w:r>
      <w:bookmarkEnd w:id="258"/>
      <w:bookmarkEnd w:id="259"/>
      <w:bookmarkEnd w:id="260"/>
      <w:bookmarkEnd w:id="261"/>
      <w:r>
        <w:rPr>
          <w:rFonts w:ascii="Times New Roman" w:hAnsi="Times New Roman" w:eastAsia="仿宋_GB2312"/>
          <w:color w:val="auto"/>
          <w:sz w:val="24"/>
          <w:szCs w:val="24"/>
          <w:highlight w:val="none"/>
        </w:rPr>
        <w:t xml:space="preserve">    确定中标候选人和中标人</w:t>
      </w:r>
      <w:bookmarkEnd w:id="262"/>
      <w:bookmarkEnd w:id="263"/>
    </w:p>
    <w:p w14:paraId="2129258F">
      <w:pPr>
        <w:shd w:val="clear" w:color="auto" w:fill="auto"/>
        <w:spacing w:line="360" w:lineRule="auto"/>
        <w:ind w:left="840" w:hanging="840" w:hangingChars="350"/>
        <w:rPr>
          <w:rFonts w:eastAsia="仿宋_GB2312"/>
          <w:color w:val="auto"/>
          <w:sz w:val="24"/>
          <w:highlight w:val="none"/>
        </w:rPr>
      </w:pPr>
      <w:r>
        <w:rPr>
          <w:rFonts w:eastAsia="仿宋_GB2312"/>
          <w:color w:val="auto"/>
          <w:sz w:val="24"/>
          <w:highlight w:val="none"/>
        </w:rPr>
        <w:t>27.1   评标委员会将根据评标标准，按</w:t>
      </w:r>
      <w:r>
        <w:rPr>
          <w:rFonts w:eastAsia="仿宋_GB2312"/>
          <w:color w:val="auto"/>
          <w:sz w:val="24"/>
          <w:highlight w:val="none"/>
          <w:u w:val="single"/>
        </w:rPr>
        <w:t>投标人须知前附表</w:t>
      </w:r>
      <w:r>
        <w:rPr>
          <w:rFonts w:eastAsia="仿宋_GB2312"/>
          <w:color w:val="auto"/>
          <w:sz w:val="24"/>
          <w:highlight w:val="none"/>
        </w:rPr>
        <w:t>中规定数量推荐中标候选人。</w:t>
      </w:r>
    </w:p>
    <w:p w14:paraId="736A9AAD">
      <w:pPr>
        <w:shd w:val="clear" w:color="auto" w:fill="auto"/>
        <w:spacing w:line="360" w:lineRule="auto"/>
        <w:ind w:left="840" w:hanging="840" w:hangingChars="350"/>
        <w:rPr>
          <w:rFonts w:eastAsia="仿宋_GB2312"/>
          <w:color w:val="auto"/>
          <w:sz w:val="24"/>
          <w:highlight w:val="none"/>
        </w:rPr>
      </w:pPr>
      <w:r>
        <w:rPr>
          <w:rFonts w:eastAsia="仿宋_GB2312"/>
          <w:color w:val="auto"/>
          <w:sz w:val="24"/>
          <w:highlight w:val="none"/>
        </w:rPr>
        <w:t>27.2   按</w:t>
      </w:r>
      <w:r>
        <w:rPr>
          <w:rFonts w:eastAsia="仿宋_GB2312"/>
          <w:color w:val="auto"/>
          <w:sz w:val="24"/>
          <w:highlight w:val="none"/>
          <w:u w:val="single"/>
        </w:rPr>
        <w:t>投标人须知前附表</w:t>
      </w:r>
      <w:r>
        <w:rPr>
          <w:rFonts w:eastAsia="仿宋_GB2312"/>
          <w:color w:val="auto"/>
          <w:sz w:val="24"/>
          <w:highlight w:val="none"/>
        </w:rPr>
        <w:t>中规定，由评标委员会直接确定中标人。</w:t>
      </w:r>
    </w:p>
    <w:p w14:paraId="5B0C82B7">
      <w:pPr>
        <w:pStyle w:val="6"/>
        <w:shd w:val="clear" w:color="auto" w:fill="auto"/>
        <w:ind w:firstLine="0" w:firstLineChars="0"/>
        <w:jc w:val="both"/>
        <w:rPr>
          <w:rFonts w:ascii="Times New Roman" w:hAnsi="Times New Roman" w:eastAsia="仿宋_GB2312"/>
          <w:color w:val="auto"/>
          <w:sz w:val="24"/>
          <w:szCs w:val="24"/>
          <w:highlight w:val="none"/>
        </w:rPr>
      </w:pPr>
      <w:bookmarkStart w:id="264" w:name="_Toc1640"/>
      <w:bookmarkStart w:id="265" w:name="_Toc62194329"/>
      <w:bookmarkStart w:id="266" w:name="_Toc30170"/>
      <w:bookmarkStart w:id="267" w:name="_Toc532473483"/>
      <w:bookmarkStart w:id="268" w:name="_Toc515647791"/>
      <w:bookmarkStart w:id="269" w:name="_Toc520356174"/>
      <w:bookmarkStart w:id="270" w:name="_Toc31099"/>
      <w:r>
        <w:rPr>
          <w:rFonts w:ascii="Times New Roman" w:hAnsi="Times New Roman" w:eastAsia="仿宋_GB2312"/>
          <w:color w:val="auto"/>
          <w:sz w:val="24"/>
          <w:szCs w:val="24"/>
          <w:highlight w:val="none"/>
        </w:rPr>
        <w:t xml:space="preserve">28.    </w:t>
      </w:r>
      <w:r>
        <w:rPr>
          <w:rFonts w:hint="eastAsia" w:ascii="Times New Roman" w:hAnsi="Times New Roman" w:eastAsia="仿宋_GB2312"/>
          <w:color w:val="auto"/>
          <w:sz w:val="24"/>
          <w:szCs w:val="24"/>
          <w:highlight w:val="none"/>
          <w:lang w:val="en-US" w:eastAsia="zh-CN"/>
        </w:rPr>
        <w:t>发布中标结果公告并</w:t>
      </w:r>
      <w:r>
        <w:rPr>
          <w:rFonts w:ascii="Times New Roman" w:hAnsi="Times New Roman" w:eastAsia="仿宋_GB2312"/>
          <w:color w:val="auto"/>
          <w:sz w:val="24"/>
          <w:szCs w:val="24"/>
          <w:highlight w:val="none"/>
        </w:rPr>
        <w:t>发出中标通知书</w:t>
      </w:r>
      <w:bookmarkEnd w:id="264"/>
      <w:bookmarkEnd w:id="265"/>
    </w:p>
    <w:p w14:paraId="4F245849">
      <w:pPr>
        <w:shd w:val="clear" w:color="auto" w:fill="auto"/>
        <w:spacing w:line="360" w:lineRule="auto"/>
        <w:ind w:left="831" w:leftChars="396" w:firstLine="7"/>
        <w:rPr>
          <w:rFonts w:eastAsia="仿宋_GB2312"/>
          <w:color w:val="auto"/>
          <w:sz w:val="24"/>
          <w:highlight w:val="none"/>
        </w:rPr>
      </w:pPr>
      <w:r>
        <w:rPr>
          <w:rFonts w:eastAsia="仿宋_GB2312"/>
          <w:color w:val="auto"/>
          <w:sz w:val="24"/>
          <w:highlight w:val="none"/>
        </w:rPr>
        <w:t>在投标有效期内，中标人确定后，采购人或者采购代理机构发布中标公告。</w:t>
      </w:r>
      <w:r>
        <w:rPr>
          <w:rFonts w:hint="eastAsia" w:eastAsia="仿宋_GB2312"/>
          <w:color w:val="auto"/>
          <w:sz w:val="24"/>
          <w:highlight w:val="none"/>
        </w:rPr>
        <w:t>项目采购采用最低评标价法的，公告中标结果时同时公告因落实政府采购政策等原因进行价格扣除后中标供应商的评审报价；项目采购采用综合评分法的，公告中标结果时同时公告中标供应商的评审总得分。</w:t>
      </w:r>
    </w:p>
    <w:p w14:paraId="775DA767">
      <w:pPr>
        <w:shd w:val="clear" w:color="auto" w:fill="auto"/>
        <w:spacing w:line="360" w:lineRule="auto"/>
        <w:ind w:left="831" w:leftChars="396" w:firstLine="7"/>
        <w:rPr>
          <w:rFonts w:eastAsia="仿宋_GB2312"/>
          <w:color w:val="auto"/>
          <w:sz w:val="24"/>
          <w:highlight w:val="none"/>
        </w:rPr>
      </w:pPr>
      <w:r>
        <w:rPr>
          <w:rFonts w:eastAsia="仿宋_GB2312"/>
          <w:color w:val="auto"/>
          <w:sz w:val="24"/>
          <w:highlight w:val="none"/>
        </w:rPr>
        <w:t>在公告中标结果的同时，向中标人发出中标通知书，中标通知书是合同的组成部分。</w:t>
      </w:r>
    </w:p>
    <w:p w14:paraId="66EFB80C">
      <w:pPr>
        <w:pStyle w:val="6"/>
        <w:shd w:val="clear" w:color="auto" w:fill="auto"/>
        <w:ind w:firstLine="0" w:firstLineChars="0"/>
        <w:jc w:val="both"/>
        <w:rPr>
          <w:rFonts w:ascii="Times New Roman" w:hAnsi="Times New Roman" w:eastAsia="仿宋_GB2312"/>
          <w:color w:val="auto"/>
          <w:sz w:val="24"/>
          <w:szCs w:val="24"/>
          <w:highlight w:val="none"/>
        </w:rPr>
      </w:pPr>
      <w:bookmarkStart w:id="271" w:name="_Toc31611"/>
      <w:bookmarkStart w:id="272" w:name="_Toc62194330"/>
      <w:r>
        <w:rPr>
          <w:rFonts w:ascii="Times New Roman" w:hAnsi="Times New Roman" w:eastAsia="仿宋_GB2312"/>
          <w:color w:val="auto"/>
          <w:sz w:val="24"/>
          <w:szCs w:val="24"/>
          <w:highlight w:val="none"/>
        </w:rPr>
        <w:t>29.    告知招标结果</w:t>
      </w:r>
      <w:bookmarkEnd w:id="271"/>
      <w:bookmarkEnd w:id="272"/>
    </w:p>
    <w:p w14:paraId="69D67005">
      <w:pPr>
        <w:shd w:val="clear" w:color="auto" w:fill="auto"/>
        <w:spacing w:line="360" w:lineRule="auto"/>
        <w:ind w:left="831" w:leftChars="396" w:firstLine="7"/>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在公告中标结果的同时，告知未通过资格审查投标人未通过的原因；采用综合评分法评审的，还将告知未中标人本人的评审得分和排序。</w:t>
      </w:r>
      <w:bookmarkEnd w:id="266"/>
      <w:bookmarkEnd w:id="267"/>
      <w:bookmarkEnd w:id="268"/>
      <w:bookmarkEnd w:id="269"/>
      <w:bookmarkEnd w:id="270"/>
    </w:p>
    <w:p w14:paraId="550FEA35">
      <w:pPr>
        <w:pStyle w:val="6"/>
        <w:shd w:val="clear" w:color="auto" w:fill="auto"/>
        <w:ind w:firstLine="0" w:firstLineChars="0"/>
        <w:jc w:val="both"/>
        <w:rPr>
          <w:rFonts w:ascii="Times New Roman" w:hAnsi="Times New Roman" w:eastAsia="仿宋_GB2312"/>
          <w:color w:val="auto"/>
          <w:sz w:val="24"/>
          <w:szCs w:val="24"/>
          <w:highlight w:val="none"/>
        </w:rPr>
      </w:pPr>
      <w:bookmarkStart w:id="273" w:name="_Toc7779"/>
      <w:bookmarkStart w:id="274" w:name="_Ref467306377"/>
      <w:bookmarkStart w:id="275" w:name="_Toc520356175"/>
      <w:bookmarkStart w:id="276" w:name="_Ref467306978"/>
      <w:bookmarkStart w:id="277" w:name="_Ref467307204"/>
      <w:bookmarkStart w:id="278" w:name="_Toc62194331"/>
      <w:bookmarkStart w:id="279" w:name="_Toc790"/>
      <w:bookmarkStart w:id="280" w:name="_Toc23153"/>
      <w:bookmarkStart w:id="281" w:name="_Toc532473484"/>
      <w:bookmarkStart w:id="282" w:name="_Ref467307062"/>
      <w:bookmarkStart w:id="283" w:name="_Toc515647792"/>
      <w:r>
        <w:rPr>
          <w:rFonts w:ascii="Times New Roman" w:hAnsi="Times New Roman" w:eastAsia="仿宋_GB2312"/>
          <w:color w:val="auto"/>
          <w:sz w:val="24"/>
          <w:szCs w:val="24"/>
          <w:highlight w:val="none"/>
        </w:rPr>
        <w:t>30.    签订合同</w:t>
      </w:r>
      <w:bookmarkEnd w:id="273"/>
      <w:bookmarkEnd w:id="274"/>
      <w:bookmarkEnd w:id="275"/>
      <w:bookmarkEnd w:id="276"/>
      <w:bookmarkEnd w:id="277"/>
      <w:bookmarkEnd w:id="278"/>
      <w:bookmarkEnd w:id="279"/>
      <w:bookmarkEnd w:id="280"/>
      <w:bookmarkEnd w:id="281"/>
      <w:bookmarkEnd w:id="282"/>
      <w:bookmarkEnd w:id="283"/>
    </w:p>
    <w:p w14:paraId="28917720">
      <w:pPr>
        <w:shd w:val="clear" w:color="auto" w:fill="auto"/>
        <w:spacing w:line="360" w:lineRule="auto"/>
        <w:ind w:left="900" w:hanging="900" w:hangingChars="375"/>
        <w:rPr>
          <w:rFonts w:eastAsia="仿宋_GB2312"/>
          <w:color w:val="auto"/>
          <w:sz w:val="24"/>
          <w:highlight w:val="none"/>
        </w:rPr>
      </w:pPr>
      <w:r>
        <w:rPr>
          <w:rFonts w:eastAsia="仿宋_GB2312"/>
          <w:color w:val="auto"/>
          <w:sz w:val="24"/>
          <w:highlight w:val="none"/>
        </w:rPr>
        <w:t>30.1   中标人应当自发出中标通知书之日起</w:t>
      </w:r>
      <w:r>
        <w:rPr>
          <w:rFonts w:hint="eastAsia" w:eastAsia="仿宋_GB2312"/>
          <w:color w:val="auto"/>
          <w:sz w:val="24"/>
          <w:highlight w:val="none"/>
          <w:lang w:val="en-US" w:eastAsia="zh-CN"/>
        </w:rPr>
        <w:t>25</w:t>
      </w:r>
      <w:r>
        <w:rPr>
          <w:rFonts w:eastAsia="仿宋_GB2312"/>
          <w:color w:val="auto"/>
          <w:sz w:val="24"/>
          <w:highlight w:val="none"/>
        </w:rPr>
        <w:t>日内，与采购人签订</w:t>
      </w:r>
      <w:r>
        <w:rPr>
          <w:rFonts w:hint="eastAsia" w:eastAsia="仿宋_GB2312"/>
          <w:color w:val="auto"/>
          <w:sz w:val="24"/>
          <w:highlight w:val="none"/>
          <w:lang w:val="en-US" w:eastAsia="zh-CN"/>
        </w:rPr>
        <w:t>书面</w:t>
      </w:r>
      <w:r>
        <w:rPr>
          <w:rFonts w:eastAsia="仿宋_GB2312"/>
          <w:color w:val="auto"/>
          <w:sz w:val="24"/>
          <w:highlight w:val="none"/>
        </w:rPr>
        <w:t>合同。</w:t>
      </w:r>
    </w:p>
    <w:p w14:paraId="733CD0BE">
      <w:pPr>
        <w:shd w:val="clear" w:color="auto" w:fill="auto"/>
        <w:spacing w:line="360" w:lineRule="auto"/>
        <w:ind w:left="900" w:hanging="900" w:hangingChars="375"/>
        <w:rPr>
          <w:rFonts w:eastAsia="仿宋_GB2312"/>
          <w:color w:val="auto"/>
          <w:sz w:val="24"/>
          <w:highlight w:val="none"/>
        </w:rPr>
      </w:pPr>
      <w:r>
        <w:rPr>
          <w:rFonts w:eastAsia="仿宋_GB2312"/>
          <w:color w:val="auto"/>
          <w:sz w:val="24"/>
          <w:highlight w:val="none"/>
        </w:rPr>
        <w:t>30</w:t>
      </w:r>
      <w:bookmarkStart w:id="284" w:name="_Toc520356176"/>
      <w:bookmarkStart w:id="285" w:name="_Ref467307090"/>
      <w:bookmarkStart w:id="286" w:name="_Ref467306425"/>
      <w:r>
        <w:rPr>
          <w:rFonts w:eastAsia="仿宋_GB2312"/>
          <w:color w:val="auto"/>
          <w:sz w:val="24"/>
          <w:highlight w:val="none"/>
        </w:rPr>
        <w:t>.2   招标文件、中标人的投标文件及其澄清</w:t>
      </w:r>
      <w:r>
        <w:rPr>
          <w:rFonts w:hint="eastAsia" w:eastAsia="仿宋_GB2312"/>
          <w:color w:val="auto"/>
          <w:sz w:val="24"/>
          <w:highlight w:val="none"/>
          <w:lang w:val="en-US" w:eastAsia="zh-CN"/>
        </w:rPr>
        <w:t>或修改</w:t>
      </w:r>
      <w:r>
        <w:rPr>
          <w:rFonts w:eastAsia="仿宋_GB2312"/>
          <w:color w:val="auto"/>
          <w:sz w:val="24"/>
          <w:highlight w:val="none"/>
        </w:rPr>
        <w:t>文件等，均为签订合同的依据</w:t>
      </w:r>
      <w:r>
        <w:rPr>
          <w:rFonts w:hint="eastAsia" w:eastAsia="仿宋_GB2312"/>
          <w:color w:val="auto"/>
          <w:sz w:val="24"/>
          <w:highlight w:val="none"/>
          <w:lang w:eastAsia="zh-CN"/>
        </w:rPr>
        <w:t>。所签订的合同不得对招标文件确定的事项和中标人投标文件作实质性修改</w:t>
      </w:r>
      <w:r>
        <w:rPr>
          <w:rFonts w:eastAsia="仿宋_GB2312"/>
          <w:color w:val="auto"/>
          <w:sz w:val="24"/>
          <w:highlight w:val="none"/>
        </w:rPr>
        <w:t>。</w:t>
      </w:r>
    </w:p>
    <w:p w14:paraId="0BF6EFE1">
      <w:pPr>
        <w:shd w:val="clear" w:color="auto" w:fill="auto"/>
        <w:spacing w:line="360" w:lineRule="auto"/>
        <w:ind w:left="840" w:hanging="840" w:hangingChars="350"/>
        <w:rPr>
          <w:rFonts w:eastAsia="仿宋_GB2312"/>
          <w:color w:val="auto"/>
          <w:sz w:val="24"/>
          <w:highlight w:val="none"/>
        </w:rPr>
      </w:pPr>
      <w:r>
        <w:rPr>
          <w:rFonts w:eastAsia="仿宋_GB2312"/>
          <w:color w:val="auto"/>
          <w:sz w:val="24"/>
          <w:highlight w:val="none"/>
        </w:rPr>
        <w:t>30.3   如中标人拒绝与采购人签订合同的，采购人或者采购代理机构可以不退还其投标保证金，并上报行政监督管理部门记入不良行为记录。</w:t>
      </w:r>
    </w:p>
    <w:p w14:paraId="36B39462">
      <w:pPr>
        <w:pStyle w:val="6"/>
        <w:shd w:val="clear" w:color="auto" w:fill="auto"/>
        <w:ind w:firstLine="0" w:firstLineChars="0"/>
        <w:rPr>
          <w:rFonts w:ascii="Times New Roman" w:hAnsi="Times New Roman" w:eastAsia="仿宋_GB2312"/>
          <w:color w:val="auto"/>
          <w:sz w:val="24"/>
          <w:szCs w:val="24"/>
          <w:highlight w:val="none"/>
        </w:rPr>
      </w:pPr>
      <w:bookmarkStart w:id="287" w:name="_Toc62194332"/>
      <w:bookmarkStart w:id="288" w:name="_Toc22555"/>
      <w:bookmarkStart w:id="289" w:name="_Toc17781"/>
      <w:bookmarkStart w:id="290" w:name="_Toc515647793"/>
      <w:bookmarkStart w:id="291" w:name="_Toc14080"/>
      <w:bookmarkStart w:id="292" w:name="_Toc532473485"/>
      <w:r>
        <w:rPr>
          <w:rFonts w:ascii="Times New Roman" w:hAnsi="Times New Roman" w:eastAsia="仿宋_GB2312"/>
          <w:color w:val="auto"/>
          <w:sz w:val="24"/>
          <w:szCs w:val="24"/>
          <w:highlight w:val="none"/>
        </w:rPr>
        <w:t>31.    履约保证金</w:t>
      </w:r>
      <w:bookmarkEnd w:id="284"/>
      <w:bookmarkEnd w:id="285"/>
      <w:bookmarkEnd w:id="286"/>
      <w:bookmarkEnd w:id="287"/>
      <w:bookmarkEnd w:id="288"/>
      <w:bookmarkEnd w:id="289"/>
      <w:bookmarkEnd w:id="290"/>
      <w:bookmarkEnd w:id="291"/>
      <w:bookmarkEnd w:id="292"/>
    </w:p>
    <w:p w14:paraId="2675EDF6">
      <w:pPr>
        <w:shd w:val="clear" w:color="auto" w:fill="auto"/>
        <w:spacing w:line="360" w:lineRule="auto"/>
        <w:ind w:left="840" w:hanging="840" w:hangingChars="350"/>
        <w:rPr>
          <w:rFonts w:eastAsia="仿宋_GB2312"/>
          <w:color w:val="auto"/>
          <w:sz w:val="24"/>
          <w:highlight w:val="none"/>
        </w:rPr>
      </w:pPr>
      <w:r>
        <w:rPr>
          <w:rFonts w:eastAsia="仿宋_GB2312"/>
          <w:color w:val="auto"/>
          <w:sz w:val="24"/>
          <w:highlight w:val="none"/>
        </w:rPr>
        <w:t>31.1   如果需要履约保证金，中标人应按照</w:t>
      </w:r>
      <w:r>
        <w:rPr>
          <w:rFonts w:eastAsia="仿宋_GB2312"/>
          <w:color w:val="auto"/>
          <w:sz w:val="24"/>
          <w:highlight w:val="none"/>
          <w:u w:val="single"/>
        </w:rPr>
        <w:t>投标人须知前附表</w:t>
      </w:r>
      <w:r>
        <w:rPr>
          <w:rFonts w:eastAsia="仿宋_GB2312"/>
          <w:color w:val="auto"/>
          <w:sz w:val="24"/>
          <w:highlight w:val="none"/>
        </w:rPr>
        <w:t>规定向采购人提交履约保证金保函（如格式见本章附件2）。经采购人同意，中标人也可以自愿采用其他履约保证金的提供方式。</w:t>
      </w:r>
    </w:p>
    <w:p w14:paraId="52CA7387">
      <w:pPr>
        <w:shd w:val="clear" w:color="auto" w:fill="auto"/>
        <w:spacing w:line="360" w:lineRule="auto"/>
        <w:ind w:left="840" w:hanging="840" w:hangingChars="350"/>
        <w:rPr>
          <w:rFonts w:eastAsia="仿宋_GB2312"/>
          <w:color w:val="auto"/>
          <w:sz w:val="24"/>
          <w:highlight w:val="none"/>
        </w:rPr>
      </w:pPr>
      <w:r>
        <w:rPr>
          <w:rFonts w:eastAsia="仿宋_GB2312"/>
          <w:color w:val="auto"/>
          <w:sz w:val="24"/>
          <w:highlight w:val="none"/>
        </w:rPr>
        <w:t>31.2   政府采购利用担保试点范围内的项目，除31.1规定的情形外，中标人也可以按照财政部门的规定，向采购人提供合格的履约担保函。</w:t>
      </w:r>
    </w:p>
    <w:p w14:paraId="5774D7D9">
      <w:pPr>
        <w:shd w:val="clear" w:color="auto" w:fill="auto"/>
        <w:spacing w:line="360" w:lineRule="auto"/>
        <w:ind w:left="840" w:hanging="840" w:hangingChars="350"/>
        <w:rPr>
          <w:rFonts w:eastAsia="仿宋_GB2312"/>
          <w:color w:val="auto"/>
          <w:sz w:val="24"/>
          <w:highlight w:val="none"/>
        </w:rPr>
      </w:pPr>
      <w:r>
        <w:rPr>
          <w:rFonts w:eastAsia="仿宋_GB2312"/>
          <w:color w:val="auto"/>
          <w:sz w:val="24"/>
          <w:highlight w:val="none"/>
        </w:rPr>
        <w:t>31.3   如果中标人没有按照上述履约保证金的规定执行，将被视为放弃中标资格，采购人或者采购代理机构可以不退还其投标保证金，并上报行政监督管理部门记入不良行为记录。在此情况下，采购人可确定下一候选人为中标人，也可以重新开展采购活动。</w:t>
      </w:r>
    </w:p>
    <w:p w14:paraId="777DC821">
      <w:pPr>
        <w:pStyle w:val="6"/>
        <w:shd w:val="clear" w:color="auto" w:fill="auto"/>
        <w:ind w:firstLine="0" w:firstLineChars="0"/>
        <w:rPr>
          <w:rFonts w:ascii="Times New Roman" w:hAnsi="Times New Roman" w:eastAsia="仿宋_GB2312"/>
          <w:color w:val="auto"/>
          <w:sz w:val="24"/>
          <w:szCs w:val="24"/>
          <w:highlight w:val="none"/>
        </w:rPr>
      </w:pPr>
      <w:bookmarkStart w:id="293" w:name="_Toc518923098"/>
      <w:bookmarkStart w:id="294" w:name="_Toc25957"/>
      <w:bookmarkStart w:id="295" w:name="_Toc62194333"/>
      <w:bookmarkStart w:id="296" w:name="_Toc2583659"/>
      <w:bookmarkStart w:id="297" w:name="_Toc29408"/>
      <w:bookmarkStart w:id="298" w:name="_Toc2582300"/>
      <w:bookmarkStart w:id="299" w:name="_Toc515647794"/>
      <w:bookmarkStart w:id="300" w:name="_Toc3090"/>
      <w:bookmarkStart w:id="301" w:name="_Toc532473486"/>
      <w:r>
        <w:rPr>
          <w:rFonts w:ascii="Times New Roman" w:hAnsi="Times New Roman" w:eastAsia="仿宋_GB2312"/>
          <w:color w:val="auto"/>
          <w:sz w:val="24"/>
          <w:szCs w:val="24"/>
          <w:highlight w:val="none"/>
        </w:rPr>
        <w:t>32.</w:t>
      </w:r>
      <w:bookmarkEnd w:id="293"/>
      <w:r>
        <w:rPr>
          <w:rFonts w:ascii="Times New Roman" w:hAnsi="Times New Roman" w:eastAsia="仿宋_GB2312"/>
          <w:color w:val="auto"/>
          <w:sz w:val="24"/>
          <w:szCs w:val="24"/>
          <w:highlight w:val="none"/>
        </w:rPr>
        <w:t xml:space="preserve">    预付款</w:t>
      </w:r>
      <w:bookmarkEnd w:id="294"/>
      <w:bookmarkEnd w:id="295"/>
    </w:p>
    <w:p w14:paraId="1C073479">
      <w:pPr>
        <w:shd w:val="clear" w:color="auto" w:fill="auto"/>
        <w:spacing w:line="360" w:lineRule="auto"/>
        <w:ind w:left="847" w:hanging="847" w:hangingChars="353"/>
        <w:rPr>
          <w:rFonts w:eastAsia="仿宋_GB2312"/>
          <w:color w:val="auto"/>
          <w:sz w:val="24"/>
          <w:highlight w:val="none"/>
        </w:rPr>
      </w:pPr>
      <w:r>
        <w:rPr>
          <w:rFonts w:eastAsia="仿宋_GB2312"/>
          <w:color w:val="auto"/>
          <w:sz w:val="24"/>
          <w:highlight w:val="none"/>
        </w:rPr>
        <w:t>32.1   预付款是在指政府采购合同签订后、履行前，采购人向中标人预先支付部分合同款项，预付款比例按照投标人须知前附表规定执行。</w:t>
      </w:r>
    </w:p>
    <w:p w14:paraId="5623B488">
      <w:pPr>
        <w:shd w:val="clear" w:color="auto" w:fill="auto"/>
        <w:spacing w:line="360" w:lineRule="auto"/>
        <w:ind w:left="850" w:hanging="849" w:hangingChars="354"/>
        <w:rPr>
          <w:rFonts w:eastAsia="仿宋_GB2312"/>
          <w:color w:val="auto"/>
          <w:sz w:val="24"/>
          <w:highlight w:val="none"/>
        </w:rPr>
      </w:pPr>
      <w:r>
        <w:rPr>
          <w:rFonts w:eastAsia="仿宋_GB2312"/>
          <w:color w:val="auto"/>
          <w:sz w:val="24"/>
          <w:highlight w:val="none"/>
        </w:rPr>
        <w:t>32.2   如采购人要求，中标人在收到预付款前，需向采购人提供预付款保函。预付款保函是指中标人向银行或者有资质的专业的担保机构申请，由其向采购人出具的确保预付款直接或者间接用于政府采购合同履约或者保障政府采购履约质量的银行保函或者担保保函等。</w:t>
      </w:r>
    </w:p>
    <w:p w14:paraId="1FC4E1DF">
      <w:pPr>
        <w:shd w:val="clear" w:color="auto" w:fill="auto"/>
        <w:spacing w:line="360" w:lineRule="auto"/>
        <w:ind w:left="850" w:hanging="849" w:hangingChars="354"/>
        <w:rPr>
          <w:rFonts w:eastAsia="仿宋_GB2312"/>
          <w:color w:val="auto"/>
          <w:sz w:val="24"/>
          <w:highlight w:val="none"/>
          <w:u w:val="single"/>
        </w:rPr>
      </w:pPr>
      <w:r>
        <w:rPr>
          <w:rFonts w:eastAsia="仿宋_GB2312"/>
          <w:color w:val="auto"/>
          <w:sz w:val="24"/>
          <w:highlight w:val="none"/>
        </w:rPr>
        <w:t>32.3   本项目采购人不需要支付预付款的情形，见</w:t>
      </w:r>
      <w:r>
        <w:rPr>
          <w:rFonts w:eastAsia="仿宋_GB2312"/>
          <w:color w:val="auto"/>
          <w:sz w:val="24"/>
          <w:highlight w:val="none"/>
          <w:u w:val="single"/>
        </w:rPr>
        <w:t>投标人须知前附表。</w:t>
      </w:r>
    </w:p>
    <w:p w14:paraId="114649D7">
      <w:pPr>
        <w:pStyle w:val="6"/>
        <w:shd w:val="clear" w:color="auto" w:fill="auto"/>
        <w:ind w:firstLine="0" w:firstLineChars="0"/>
        <w:rPr>
          <w:rFonts w:ascii="Times New Roman" w:hAnsi="Times New Roman" w:eastAsia="仿宋_GB2312"/>
          <w:color w:val="auto"/>
          <w:sz w:val="24"/>
          <w:szCs w:val="24"/>
          <w:highlight w:val="none"/>
        </w:rPr>
      </w:pPr>
      <w:bookmarkStart w:id="302" w:name="_Toc14479"/>
      <w:bookmarkStart w:id="303" w:name="_Toc62194334"/>
      <w:r>
        <w:rPr>
          <w:rFonts w:ascii="Times New Roman" w:hAnsi="Times New Roman" w:eastAsia="仿宋_GB2312"/>
          <w:color w:val="auto"/>
          <w:sz w:val="24"/>
          <w:szCs w:val="24"/>
          <w:highlight w:val="none"/>
        </w:rPr>
        <w:t>33.    招标代理服务费</w:t>
      </w:r>
      <w:bookmarkEnd w:id="296"/>
      <w:bookmarkEnd w:id="302"/>
      <w:bookmarkEnd w:id="303"/>
    </w:p>
    <w:p w14:paraId="274EF22B">
      <w:pPr>
        <w:shd w:val="clear" w:color="auto" w:fill="auto"/>
        <w:spacing w:line="360" w:lineRule="auto"/>
        <w:ind w:left="840" w:leftChars="400"/>
        <w:rPr>
          <w:rFonts w:eastAsia="仿宋_GB2312"/>
          <w:color w:val="auto"/>
          <w:sz w:val="24"/>
          <w:highlight w:val="none"/>
        </w:rPr>
      </w:pPr>
      <w:r>
        <w:rPr>
          <w:rFonts w:eastAsia="仿宋_GB2312"/>
          <w:color w:val="auto"/>
          <w:sz w:val="24"/>
          <w:highlight w:val="none"/>
        </w:rPr>
        <w:t>本项目向采购代理机构支付招标代理服务费，按照</w:t>
      </w:r>
      <w:r>
        <w:rPr>
          <w:rFonts w:eastAsia="仿宋_GB2312"/>
          <w:color w:val="auto"/>
          <w:sz w:val="24"/>
          <w:highlight w:val="none"/>
          <w:u w:val="single"/>
        </w:rPr>
        <w:t>投标人须知前附表</w:t>
      </w:r>
      <w:r>
        <w:rPr>
          <w:rFonts w:eastAsia="仿宋_GB2312"/>
          <w:color w:val="auto"/>
          <w:sz w:val="24"/>
          <w:highlight w:val="none"/>
        </w:rPr>
        <w:t>规定执行。招标代理</w:t>
      </w:r>
      <w:r>
        <w:rPr>
          <w:rFonts w:hint="eastAsia" w:eastAsia="仿宋_GB2312"/>
          <w:color w:val="auto"/>
          <w:sz w:val="24"/>
          <w:highlight w:val="none"/>
        </w:rPr>
        <w:t>服务费已包含在投标报价中，不在投标分项报价表中单独列项。</w:t>
      </w:r>
    </w:p>
    <w:p w14:paraId="37AFB437">
      <w:pPr>
        <w:pStyle w:val="6"/>
        <w:shd w:val="clear" w:color="auto" w:fill="auto"/>
        <w:ind w:firstLine="0" w:firstLineChars="0"/>
        <w:rPr>
          <w:rFonts w:ascii="Times New Roman" w:hAnsi="Times New Roman" w:eastAsia="仿宋_GB2312"/>
          <w:color w:val="auto"/>
          <w:sz w:val="24"/>
          <w:szCs w:val="24"/>
          <w:highlight w:val="none"/>
        </w:rPr>
      </w:pPr>
      <w:bookmarkStart w:id="304" w:name="_Toc2583660"/>
      <w:bookmarkStart w:id="305" w:name="_Toc518923099"/>
      <w:bookmarkStart w:id="306" w:name="_Toc62194335"/>
      <w:bookmarkStart w:id="307" w:name="_Toc25684"/>
      <w:r>
        <w:rPr>
          <w:rFonts w:ascii="Times New Roman" w:hAnsi="Times New Roman" w:eastAsia="仿宋_GB2312"/>
          <w:color w:val="auto"/>
          <w:sz w:val="24"/>
          <w:szCs w:val="24"/>
          <w:highlight w:val="none"/>
        </w:rPr>
        <w:t>34.    政府采购信用担保</w:t>
      </w:r>
      <w:bookmarkEnd w:id="304"/>
      <w:bookmarkEnd w:id="305"/>
      <w:bookmarkEnd w:id="306"/>
      <w:r>
        <w:rPr>
          <w:rFonts w:ascii="Times New Roman" w:hAnsi="Times New Roman" w:eastAsia="仿宋_GB2312"/>
          <w:color w:val="auto"/>
          <w:sz w:val="24"/>
          <w:szCs w:val="24"/>
          <w:highlight w:val="none"/>
        </w:rPr>
        <w:t>及融资</w:t>
      </w:r>
      <w:bookmarkEnd w:id="307"/>
    </w:p>
    <w:p w14:paraId="557B532F">
      <w:pPr>
        <w:shd w:val="clear" w:color="auto" w:fill="auto"/>
        <w:spacing w:line="360" w:lineRule="auto"/>
        <w:ind w:left="900" w:hanging="900" w:hangingChars="375"/>
        <w:rPr>
          <w:rFonts w:eastAsia="仿宋_GB2312"/>
          <w:color w:val="auto"/>
          <w:sz w:val="24"/>
          <w:highlight w:val="none"/>
        </w:rPr>
      </w:pPr>
      <w:r>
        <w:rPr>
          <w:rFonts w:eastAsia="仿宋_GB2312"/>
          <w:color w:val="auto"/>
          <w:sz w:val="24"/>
          <w:highlight w:val="none"/>
        </w:rPr>
        <w:t>34.1   投标人递交的履约担保函应符合本招标文件的规定。</w:t>
      </w:r>
    </w:p>
    <w:p w14:paraId="1BA7C25E">
      <w:pPr>
        <w:shd w:val="clear" w:color="auto" w:fill="auto"/>
        <w:spacing w:line="360" w:lineRule="auto"/>
        <w:ind w:left="850" w:hanging="849" w:hangingChars="354"/>
        <w:rPr>
          <w:rFonts w:eastAsia="仿宋_GB2312"/>
          <w:color w:val="auto"/>
          <w:sz w:val="24"/>
          <w:highlight w:val="none"/>
        </w:rPr>
      </w:pPr>
      <w:r>
        <w:rPr>
          <w:rFonts w:eastAsia="仿宋_GB2312"/>
          <w:color w:val="auto"/>
          <w:sz w:val="24"/>
          <w:highlight w:val="none"/>
        </w:rPr>
        <w:t>34.2   为缓解中小企业融资困难，陕西省财政厅出台了《陕西省中小企业政府采购信用融资办法》（陕财办采﹝2018﹞23号），中标</w:t>
      </w:r>
      <w:r>
        <w:rPr>
          <w:rFonts w:hint="eastAsia" w:eastAsia="仿宋_GB2312"/>
          <w:color w:val="auto"/>
          <w:sz w:val="24"/>
          <w:highlight w:val="none"/>
        </w:rPr>
        <w:t>人</w:t>
      </w:r>
      <w:r>
        <w:rPr>
          <w:rFonts w:eastAsia="仿宋_GB2312"/>
          <w:color w:val="auto"/>
          <w:sz w:val="24"/>
          <w:highlight w:val="none"/>
        </w:rPr>
        <w:t>如有融资需求，可登录“陕西省政府采购网-陕西省政府采购信用融资平台</w:t>
      </w:r>
      <w:r>
        <w:rPr>
          <w:rFonts w:hint="eastAsia" w:eastAsia="仿宋_GB2312"/>
          <w:color w:val="auto"/>
          <w:sz w:val="24"/>
          <w:highlight w:val="none"/>
        </w:rPr>
        <w:t>（http://www.ccgp-shaanxi.gov.cn/zcdservice/zcd/shanxi/）</w:t>
      </w:r>
      <w:r>
        <w:rPr>
          <w:rFonts w:eastAsia="仿宋_GB2312"/>
          <w:color w:val="auto"/>
          <w:sz w:val="24"/>
          <w:highlight w:val="none"/>
        </w:rPr>
        <w:t>”了解详情。</w:t>
      </w:r>
    </w:p>
    <w:p w14:paraId="3976B363">
      <w:pPr>
        <w:pStyle w:val="14"/>
        <w:shd w:val="clear" w:color="auto" w:fill="auto"/>
        <w:spacing w:line="360" w:lineRule="auto"/>
        <w:ind w:left="840" w:leftChars="400"/>
        <w:rPr>
          <w:rFonts w:hint="eastAsia" w:ascii="Times New Roman" w:hAnsi="Times New Roman" w:eastAsia="仿宋_GB2312"/>
          <w:color w:val="auto"/>
          <w:highlight w:val="none"/>
        </w:rPr>
      </w:pPr>
      <w:r>
        <w:rPr>
          <w:rFonts w:hint="eastAsia" w:ascii="Times New Roman" w:hAnsi="Times New Roman" w:eastAsia="仿宋_GB2312"/>
          <w:color w:val="auto"/>
          <w:highlight w:val="none"/>
        </w:rPr>
        <w:t>政府采购信用融资，是指银行业金融机构（以下简称银行）以政府采购诚信考核和信用审查为基础，凭借政府采购合同，按优于一般中小企业的贷款利率直接向申请贷款的供应商发放贷款的一种融资方式。</w:t>
      </w:r>
    </w:p>
    <w:p w14:paraId="310131F7">
      <w:pPr>
        <w:pStyle w:val="14"/>
        <w:shd w:val="clear" w:color="auto" w:fill="auto"/>
        <w:spacing w:line="360" w:lineRule="auto"/>
        <w:ind w:left="840" w:leftChars="400"/>
        <w:rPr>
          <w:rFonts w:ascii="Times New Roman" w:hAnsi="Times New Roman" w:eastAsia="仿宋_GB2312"/>
          <w:color w:val="auto"/>
          <w:highlight w:val="none"/>
        </w:rPr>
      </w:pPr>
      <w:r>
        <w:rPr>
          <w:rFonts w:ascii="Times New Roman" w:hAnsi="Times New Roman" w:eastAsia="仿宋_GB2312"/>
          <w:color w:val="auto"/>
          <w:highlight w:val="none"/>
        </w:rPr>
        <w:t>政府采购供应商申请信用融资时，如融资金额未超过政府采购合同金额的，银行原则上不得要求供应商提供财产抵押或第三方担保，或附加其他任何形式的担保条件，切实做到以政府采购信用为基础，简化手续，提高效率，降低供应商融资成本。</w:t>
      </w:r>
    </w:p>
    <w:p w14:paraId="2109274B">
      <w:pPr>
        <w:pStyle w:val="14"/>
        <w:shd w:val="clear" w:color="auto" w:fill="auto"/>
        <w:spacing w:line="360" w:lineRule="auto"/>
        <w:ind w:left="840" w:leftChars="400"/>
        <w:rPr>
          <w:rFonts w:ascii="Times New Roman" w:hAnsi="Times New Roman" w:eastAsia="仿宋_GB2312"/>
          <w:color w:val="auto"/>
          <w:highlight w:val="none"/>
        </w:rPr>
      </w:pPr>
      <w:r>
        <w:rPr>
          <w:rFonts w:ascii="Times New Roman" w:hAnsi="Times New Roman" w:eastAsia="仿宋_GB2312"/>
          <w:color w:val="auto"/>
          <w:highlight w:val="none"/>
        </w:rPr>
        <w:t>银行为参与政府采购融资的中小企业提供的产品，应以信用贷款为主，贷款利率应当优于一般中小企业的贷款利率水平，并将产品信息（包括贷款发放条件、利率优惠、贷款金额）等在陕西政府采购网予以展示。</w:t>
      </w:r>
    </w:p>
    <w:p w14:paraId="23E65634">
      <w:pPr>
        <w:pStyle w:val="14"/>
        <w:shd w:val="clear" w:color="auto" w:fill="auto"/>
        <w:spacing w:line="360" w:lineRule="auto"/>
        <w:ind w:left="840" w:leftChars="400"/>
        <w:rPr>
          <w:rFonts w:ascii="Times New Roman" w:hAnsi="Times New Roman" w:eastAsia="仿宋_GB2312"/>
          <w:color w:val="auto"/>
          <w:highlight w:val="none"/>
        </w:rPr>
      </w:pPr>
      <w:r>
        <w:rPr>
          <w:rFonts w:ascii="Times New Roman" w:hAnsi="Times New Roman" w:eastAsia="仿宋_GB2312"/>
          <w:color w:val="auto"/>
          <w:highlight w:val="none"/>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14:paraId="6A9D5DB3">
      <w:pPr>
        <w:pStyle w:val="14"/>
        <w:shd w:val="clear" w:color="auto" w:fill="auto"/>
        <w:spacing w:line="360" w:lineRule="auto"/>
        <w:ind w:left="840" w:leftChars="400"/>
        <w:rPr>
          <w:rFonts w:ascii="Times New Roman" w:hAnsi="Times New Roman" w:eastAsia="仿宋_GB2312"/>
          <w:color w:val="auto"/>
          <w:highlight w:val="none"/>
        </w:rPr>
      </w:pPr>
      <w:r>
        <w:rPr>
          <w:rFonts w:ascii="Times New Roman" w:hAnsi="Times New Roman" w:eastAsia="仿宋_GB2312"/>
          <w:color w:val="auto"/>
          <w:highlight w:val="none"/>
        </w:rPr>
        <w:t>对拟用于信用融资的政府采购合同，</w:t>
      </w:r>
      <w:r>
        <w:rPr>
          <w:rFonts w:hint="eastAsia" w:ascii="Times New Roman" w:hAnsi="Times New Roman" w:eastAsia="仿宋_GB2312"/>
          <w:color w:val="auto"/>
          <w:highlight w:val="none"/>
        </w:rPr>
        <w:t>供应商</w:t>
      </w:r>
      <w:r>
        <w:rPr>
          <w:rFonts w:ascii="Times New Roman" w:hAnsi="Times New Roman" w:eastAsia="仿宋_GB2312"/>
          <w:color w:val="auto"/>
          <w:highlight w:val="none"/>
        </w:rPr>
        <w:t>在签署合同时应当向采购单位或采购代理机构申明或提示该合同将用于申请信用融资，并在合同中注明融资银行名称及在该银行开设的收款账号信息。采购单位或采购代理机构在进行政府采购合同备案时，应当将上述信息在政府采购合同中予以特别标记。</w:t>
      </w:r>
    </w:p>
    <w:p w14:paraId="7E84089D">
      <w:pPr>
        <w:pStyle w:val="14"/>
        <w:shd w:val="clear" w:color="auto" w:fill="auto"/>
        <w:spacing w:line="360" w:lineRule="auto"/>
        <w:ind w:left="840" w:leftChars="400"/>
        <w:rPr>
          <w:rFonts w:hint="eastAsia" w:ascii="Times New Roman" w:hAnsi="Times New Roman" w:eastAsia="仿宋_GB2312"/>
          <w:color w:val="auto"/>
          <w:highlight w:val="none"/>
        </w:rPr>
      </w:pPr>
      <w:r>
        <w:rPr>
          <w:rFonts w:hint="eastAsia" w:ascii="Times New Roman" w:hAnsi="Times New Roman" w:eastAsia="仿宋_GB2312"/>
          <w:color w:val="auto"/>
          <w:highlight w:val="none"/>
        </w:rPr>
        <w:t>业务流程简图如下：</w:t>
      </w:r>
    </w:p>
    <w:p w14:paraId="3DF257A5">
      <w:pPr>
        <w:pStyle w:val="14"/>
        <w:shd w:val="clear" w:color="auto" w:fill="auto"/>
        <w:spacing w:line="360" w:lineRule="auto"/>
        <w:rPr>
          <w:color w:val="auto"/>
          <w:highlight w:val="none"/>
        </w:rPr>
      </w:pPr>
      <w:r>
        <w:rPr>
          <w:color w:val="auto"/>
          <w:highlight w:val="none"/>
        </w:rPr>
        <w:drawing>
          <wp:inline distT="0" distB="0" distL="114300" distR="114300">
            <wp:extent cx="5756275" cy="3310255"/>
            <wp:effectExtent l="0" t="0" r="15875" b="444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9"/>
                    <a:stretch>
                      <a:fillRect/>
                    </a:stretch>
                  </pic:blipFill>
                  <pic:spPr>
                    <a:xfrm>
                      <a:off x="0" y="0"/>
                      <a:ext cx="5756275" cy="3310255"/>
                    </a:xfrm>
                    <a:prstGeom prst="rect">
                      <a:avLst/>
                    </a:prstGeom>
                    <a:noFill/>
                    <a:ln>
                      <a:noFill/>
                    </a:ln>
                  </pic:spPr>
                </pic:pic>
              </a:graphicData>
            </a:graphic>
          </wp:inline>
        </w:drawing>
      </w:r>
    </w:p>
    <w:p w14:paraId="5067E934">
      <w:pPr>
        <w:pStyle w:val="14"/>
        <w:shd w:val="clear" w:color="auto" w:fill="auto"/>
        <w:spacing w:line="360" w:lineRule="auto"/>
        <w:rPr>
          <w:color w:val="auto"/>
          <w:highlight w:val="none"/>
        </w:rPr>
      </w:pPr>
      <w:r>
        <w:rPr>
          <w:color w:val="auto"/>
          <w:highlight w:val="none"/>
        </w:rPr>
        <w:drawing>
          <wp:inline distT="0" distB="0" distL="114300" distR="114300">
            <wp:extent cx="5758815" cy="3242310"/>
            <wp:effectExtent l="0" t="0" r="13335" b="1524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0"/>
                    <a:stretch>
                      <a:fillRect/>
                    </a:stretch>
                  </pic:blipFill>
                  <pic:spPr>
                    <a:xfrm>
                      <a:off x="0" y="0"/>
                      <a:ext cx="5758815" cy="3242310"/>
                    </a:xfrm>
                    <a:prstGeom prst="rect">
                      <a:avLst/>
                    </a:prstGeom>
                    <a:noFill/>
                    <a:ln>
                      <a:noFill/>
                    </a:ln>
                  </pic:spPr>
                </pic:pic>
              </a:graphicData>
            </a:graphic>
          </wp:inline>
        </w:drawing>
      </w:r>
    </w:p>
    <w:p w14:paraId="5A85F154">
      <w:pPr>
        <w:pStyle w:val="14"/>
        <w:shd w:val="clear" w:color="auto" w:fill="auto"/>
        <w:spacing w:line="360" w:lineRule="auto"/>
        <w:rPr>
          <w:rFonts w:ascii="Times New Roman" w:hAnsi="Times New Roman" w:eastAsia="仿宋_GB2312"/>
          <w:color w:val="auto"/>
          <w:highlight w:val="none"/>
        </w:rPr>
      </w:pPr>
      <w:r>
        <w:rPr>
          <w:rFonts w:hint="eastAsia" w:ascii="Times New Roman" w:hAnsi="Times New Roman" w:eastAsia="仿宋_GB2312"/>
          <w:color w:val="auto"/>
          <w:highlight w:val="none"/>
        </w:rPr>
        <w:t xml:space="preserve">     </w:t>
      </w:r>
    </w:p>
    <w:p w14:paraId="53CBF441">
      <w:pPr>
        <w:pStyle w:val="14"/>
        <w:shd w:val="clear" w:color="auto" w:fill="auto"/>
        <w:rPr>
          <w:rFonts w:ascii="Times New Roman" w:hAnsi="Times New Roman" w:eastAsia="仿宋_GB2312"/>
          <w:color w:val="auto"/>
          <w:highlight w:val="none"/>
        </w:rPr>
      </w:pPr>
      <w:r>
        <w:rPr>
          <w:rFonts w:ascii="Times New Roman" w:hAnsi="Times New Roman" w:eastAsia="仿宋_GB2312"/>
          <w:color w:val="auto"/>
          <w:highlight w:val="none"/>
        </w:rPr>
        <w:t xml:space="preserve"> 省级政府采购项目贷款银行信息：</w:t>
      </w:r>
    </w:p>
    <w:p w14:paraId="4F0500D8">
      <w:pPr>
        <w:shd w:val="clear" w:color="auto" w:fill="auto"/>
        <w:rPr>
          <w:rFonts w:eastAsia="仿宋_GB2312"/>
          <w:b/>
          <w:color w:val="auto"/>
          <w:szCs w:val="21"/>
          <w:highlight w:val="none"/>
        </w:rPr>
      </w:pPr>
      <w:r>
        <w:rPr>
          <w:rFonts w:eastAsia="仿宋_GB2312"/>
          <w:color w:val="auto"/>
          <w:highlight w:val="none"/>
        </w:rPr>
        <w:t xml:space="preserve"> </w:t>
      </w:r>
      <w:r>
        <w:rPr>
          <w:rFonts w:eastAsia="仿宋_GB2312"/>
          <w:b/>
          <w:color w:val="auto"/>
          <w:szCs w:val="21"/>
          <w:highlight w:val="none"/>
        </w:rPr>
        <w:t>一、陕西建行（E政通）</w:t>
      </w:r>
    </w:p>
    <w:p w14:paraId="39CB8FFE">
      <w:pPr>
        <w:shd w:val="clear" w:color="auto" w:fill="auto"/>
        <w:ind w:firstLine="420" w:firstLineChars="200"/>
        <w:rPr>
          <w:rFonts w:eastAsia="仿宋_GB2312"/>
          <w:color w:val="auto"/>
          <w:szCs w:val="21"/>
          <w:highlight w:val="none"/>
        </w:rPr>
      </w:pPr>
      <w:r>
        <w:rPr>
          <w:rFonts w:eastAsia="仿宋_GB2312"/>
          <w:color w:val="auto"/>
          <w:szCs w:val="21"/>
          <w:highlight w:val="none"/>
        </w:rPr>
        <w:t>陕西省分行营业部</w:t>
      </w:r>
      <w:r>
        <w:rPr>
          <w:rFonts w:eastAsia="仿宋_GB2312"/>
          <w:color w:val="auto"/>
          <w:szCs w:val="21"/>
          <w:highlight w:val="none"/>
        </w:rPr>
        <w:tab/>
      </w:r>
      <w:r>
        <w:rPr>
          <w:rFonts w:eastAsia="仿宋_GB2312"/>
          <w:color w:val="auto"/>
          <w:szCs w:val="21"/>
          <w:highlight w:val="none"/>
        </w:rPr>
        <w:t>西安市南广济街38号</w:t>
      </w:r>
      <w:r>
        <w:rPr>
          <w:rFonts w:eastAsia="仿宋_GB2312"/>
          <w:color w:val="auto"/>
          <w:szCs w:val="21"/>
          <w:highlight w:val="none"/>
        </w:rPr>
        <w:tab/>
      </w:r>
      <w:r>
        <w:rPr>
          <w:rFonts w:eastAsia="仿宋_GB2312"/>
          <w:color w:val="auto"/>
          <w:szCs w:val="21"/>
          <w:highlight w:val="none"/>
        </w:rPr>
        <w:t>白玉皓</w:t>
      </w:r>
      <w:r>
        <w:rPr>
          <w:rFonts w:eastAsia="仿宋_GB2312"/>
          <w:color w:val="auto"/>
          <w:szCs w:val="21"/>
          <w:highlight w:val="none"/>
        </w:rPr>
        <w:tab/>
      </w:r>
      <w:r>
        <w:rPr>
          <w:rFonts w:eastAsia="仿宋_GB2312"/>
          <w:color w:val="auto"/>
          <w:szCs w:val="21"/>
          <w:highlight w:val="none"/>
        </w:rPr>
        <w:t>13201603166</w:t>
      </w:r>
    </w:p>
    <w:p w14:paraId="1083FDB5">
      <w:pPr>
        <w:shd w:val="clear" w:color="auto" w:fill="auto"/>
        <w:rPr>
          <w:rFonts w:eastAsia="仿宋_GB2312"/>
          <w:color w:val="auto"/>
          <w:szCs w:val="21"/>
          <w:highlight w:val="none"/>
        </w:rPr>
      </w:pPr>
      <w:r>
        <w:rPr>
          <w:rFonts w:hint="eastAsia" w:eastAsia="仿宋_GB2312"/>
          <w:color w:val="auto"/>
          <w:szCs w:val="21"/>
          <w:highlight w:val="none"/>
        </w:rPr>
        <w:t xml:space="preserve">    </w:t>
      </w:r>
      <w:r>
        <w:rPr>
          <w:rFonts w:eastAsia="仿宋_GB2312"/>
          <w:color w:val="auto"/>
          <w:szCs w:val="21"/>
          <w:highlight w:val="none"/>
        </w:rPr>
        <w:t>西安莲湖路支行</w:t>
      </w:r>
      <w:r>
        <w:rPr>
          <w:rFonts w:eastAsia="仿宋_GB2312"/>
          <w:color w:val="auto"/>
          <w:szCs w:val="21"/>
          <w:highlight w:val="none"/>
        </w:rPr>
        <w:tab/>
      </w:r>
      <w:r>
        <w:rPr>
          <w:rFonts w:eastAsia="仿宋_GB2312"/>
          <w:color w:val="auto"/>
          <w:szCs w:val="21"/>
          <w:highlight w:val="none"/>
        </w:rPr>
        <w:t>西安市莲湖路35号</w:t>
      </w:r>
      <w:r>
        <w:rPr>
          <w:rFonts w:eastAsia="仿宋_GB2312"/>
          <w:color w:val="auto"/>
          <w:szCs w:val="21"/>
          <w:highlight w:val="none"/>
        </w:rPr>
        <w:tab/>
      </w:r>
      <w:r>
        <w:rPr>
          <w:rFonts w:eastAsia="仿宋_GB2312"/>
          <w:color w:val="auto"/>
          <w:szCs w:val="21"/>
          <w:highlight w:val="none"/>
        </w:rPr>
        <w:t>刘  冲</w:t>
      </w:r>
      <w:r>
        <w:rPr>
          <w:rFonts w:eastAsia="仿宋_GB2312"/>
          <w:color w:val="auto"/>
          <w:szCs w:val="21"/>
          <w:highlight w:val="none"/>
        </w:rPr>
        <w:tab/>
      </w:r>
      <w:r>
        <w:rPr>
          <w:rFonts w:eastAsia="仿宋_GB2312"/>
          <w:color w:val="auto"/>
          <w:szCs w:val="21"/>
          <w:highlight w:val="none"/>
        </w:rPr>
        <w:t>17702902131</w:t>
      </w:r>
    </w:p>
    <w:p w14:paraId="1CA62673">
      <w:pPr>
        <w:shd w:val="clear" w:color="auto" w:fill="auto"/>
        <w:rPr>
          <w:rFonts w:eastAsia="仿宋_GB2312"/>
          <w:color w:val="auto"/>
          <w:szCs w:val="21"/>
          <w:highlight w:val="none"/>
        </w:rPr>
      </w:pPr>
      <w:r>
        <w:rPr>
          <w:rFonts w:hint="eastAsia" w:eastAsia="仿宋_GB2312"/>
          <w:color w:val="auto"/>
          <w:szCs w:val="21"/>
          <w:highlight w:val="none"/>
        </w:rPr>
        <w:t xml:space="preserve">    </w:t>
      </w:r>
      <w:r>
        <w:rPr>
          <w:rFonts w:eastAsia="仿宋_GB2312"/>
          <w:color w:val="auto"/>
          <w:szCs w:val="21"/>
          <w:highlight w:val="none"/>
        </w:rPr>
        <w:t>西安曲江支行</w:t>
      </w:r>
      <w:r>
        <w:rPr>
          <w:rFonts w:eastAsia="仿宋_GB2312"/>
          <w:color w:val="auto"/>
          <w:szCs w:val="21"/>
          <w:highlight w:val="none"/>
        </w:rPr>
        <w:tab/>
      </w:r>
      <w:r>
        <w:rPr>
          <w:rFonts w:eastAsia="仿宋_GB2312"/>
          <w:color w:val="auto"/>
          <w:szCs w:val="21"/>
          <w:highlight w:val="none"/>
        </w:rPr>
        <w:t>西安市雁塔南路2216号</w:t>
      </w:r>
      <w:r>
        <w:rPr>
          <w:rFonts w:eastAsia="仿宋_GB2312"/>
          <w:color w:val="auto"/>
          <w:szCs w:val="21"/>
          <w:highlight w:val="none"/>
        </w:rPr>
        <w:tab/>
      </w:r>
      <w:r>
        <w:rPr>
          <w:rFonts w:eastAsia="仿宋_GB2312"/>
          <w:color w:val="auto"/>
          <w:szCs w:val="21"/>
          <w:highlight w:val="none"/>
        </w:rPr>
        <w:t>樊理君</w:t>
      </w:r>
      <w:r>
        <w:rPr>
          <w:rFonts w:eastAsia="仿宋_GB2312"/>
          <w:color w:val="auto"/>
          <w:szCs w:val="21"/>
          <w:highlight w:val="none"/>
        </w:rPr>
        <w:tab/>
      </w:r>
      <w:r>
        <w:rPr>
          <w:rFonts w:eastAsia="仿宋_GB2312"/>
          <w:color w:val="auto"/>
          <w:szCs w:val="21"/>
          <w:highlight w:val="none"/>
        </w:rPr>
        <w:t>18691568151</w:t>
      </w:r>
    </w:p>
    <w:p w14:paraId="2D365F2C">
      <w:pPr>
        <w:shd w:val="clear" w:color="auto" w:fill="auto"/>
        <w:rPr>
          <w:rFonts w:eastAsia="仿宋_GB2312"/>
          <w:color w:val="auto"/>
          <w:szCs w:val="21"/>
          <w:highlight w:val="none"/>
        </w:rPr>
      </w:pPr>
      <w:r>
        <w:rPr>
          <w:rFonts w:hint="eastAsia" w:eastAsia="仿宋_GB2312"/>
          <w:color w:val="auto"/>
          <w:szCs w:val="21"/>
          <w:highlight w:val="none"/>
        </w:rPr>
        <w:t xml:space="preserve">    </w:t>
      </w:r>
      <w:r>
        <w:rPr>
          <w:rFonts w:eastAsia="仿宋_GB2312"/>
          <w:color w:val="auto"/>
          <w:szCs w:val="21"/>
          <w:highlight w:val="none"/>
        </w:rPr>
        <w:t>西安高新区支行</w:t>
      </w:r>
      <w:r>
        <w:rPr>
          <w:rFonts w:eastAsia="仿宋_GB2312"/>
          <w:color w:val="auto"/>
          <w:szCs w:val="21"/>
          <w:highlight w:val="none"/>
        </w:rPr>
        <w:tab/>
      </w:r>
      <w:r>
        <w:rPr>
          <w:rFonts w:eastAsia="仿宋_GB2312"/>
          <w:color w:val="auto"/>
          <w:szCs w:val="21"/>
          <w:highlight w:val="none"/>
        </w:rPr>
        <w:t>西安市高新路42号</w:t>
      </w:r>
      <w:r>
        <w:rPr>
          <w:rFonts w:eastAsia="仿宋_GB2312"/>
          <w:color w:val="auto"/>
          <w:szCs w:val="21"/>
          <w:highlight w:val="none"/>
        </w:rPr>
        <w:tab/>
      </w:r>
      <w:r>
        <w:rPr>
          <w:rFonts w:eastAsia="仿宋_GB2312"/>
          <w:color w:val="auto"/>
          <w:szCs w:val="21"/>
          <w:highlight w:val="none"/>
        </w:rPr>
        <w:t>卞斯超</w:t>
      </w:r>
      <w:r>
        <w:rPr>
          <w:rFonts w:eastAsia="仿宋_GB2312"/>
          <w:color w:val="auto"/>
          <w:szCs w:val="21"/>
          <w:highlight w:val="none"/>
        </w:rPr>
        <w:tab/>
      </w:r>
      <w:r>
        <w:rPr>
          <w:rFonts w:eastAsia="仿宋_GB2312"/>
          <w:color w:val="auto"/>
          <w:szCs w:val="21"/>
          <w:highlight w:val="none"/>
        </w:rPr>
        <w:t>15191075651</w:t>
      </w:r>
    </w:p>
    <w:p w14:paraId="2E81B316">
      <w:pPr>
        <w:shd w:val="clear" w:color="auto" w:fill="auto"/>
        <w:rPr>
          <w:rFonts w:eastAsia="仿宋_GB2312"/>
          <w:color w:val="auto"/>
          <w:szCs w:val="21"/>
          <w:highlight w:val="none"/>
        </w:rPr>
      </w:pPr>
      <w:r>
        <w:rPr>
          <w:rFonts w:hint="eastAsia" w:eastAsia="仿宋_GB2312"/>
          <w:color w:val="auto"/>
          <w:szCs w:val="21"/>
          <w:highlight w:val="none"/>
        </w:rPr>
        <w:t xml:space="preserve">    </w:t>
      </w:r>
      <w:r>
        <w:rPr>
          <w:rFonts w:eastAsia="仿宋_GB2312"/>
          <w:color w:val="auto"/>
          <w:szCs w:val="21"/>
          <w:highlight w:val="none"/>
        </w:rPr>
        <w:t>西安经开区支行</w:t>
      </w:r>
      <w:r>
        <w:rPr>
          <w:rFonts w:eastAsia="仿宋_GB2312"/>
          <w:color w:val="auto"/>
          <w:szCs w:val="21"/>
          <w:highlight w:val="none"/>
        </w:rPr>
        <w:tab/>
      </w:r>
      <w:r>
        <w:rPr>
          <w:rFonts w:eastAsia="仿宋_GB2312"/>
          <w:color w:val="auto"/>
          <w:szCs w:val="21"/>
          <w:highlight w:val="none"/>
        </w:rPr>
        <w:t>西安市未央路125号</w:t>
      </w:r>
      <w:r>
        <w:rPr>
          <w:rFonts w:eastAsia="仿宋_GB2312"/>
          <w:color w:val="auto"/>
          <w:szCs w:val="21"/>
          <w:highlight w:val="none"/>
        </w:rPr>
        <w:tab/>
      </w:r>
      <w:r>
        <w:rPr>
          <w:rFonts w:eastAsia="仿宋_GB2312"/>
          <w:color w:val="auto"/>
          <w:szCs w:val="21"/>
          <w:highlight w:val="none"/>
        </w:rPr>
        <w:t>惠  媛</w:t>
      </w:r>
      <w:r>
        <w:rPr>
          <w:rFonts w:eastAsia="仿宋_GB2312"/>
          <w:color w:val="auto"/>
          <w:szCs w:val="21"/>
          <w:highlight w:val="none"/>
        </w:rPr>
        <w:tab/>
      </w:r>
      <w:r>
        <w:rPr>
          <w:rFonts w:eastAsia="仿宋_GB2312"/>
          <w:color w:val="auto"/>
          <w:szCs w:val="21"/>
          <w:highlight w:val="none"/>
        </w:rPr>
        <w:t>17792256100</w:t>
      </w:r>
    </w:p>
    <w:p w14:paraId="514C1164">
      <w:pPr>
        <w:shd w:val="clear" w:color="auto" w:fill="auto"/>
        <w:rPr>
          <w:rFonts w:eastAsia="仿宋_GB2312"/>
          <w:color w:val="auto"/>
          <w:szCs w:val="21"/>
          <w:highlight w:val="none"/>
        </w:rPr>
      </w:pPr>
      <w:r>
        <w:rPr>
          <w:rFonts w:hint="eastAsia" w:eastAsia="仿宋_GB2312"/>
          <w:color w:val="auto"/>
          <w:szCs w:val="21"/>
          <w:highlight w:val="none"/>
        </w:rPr>
        <w:t xml:space="preserve">    </w:t>
      </w:r>
      <w:r>
        <w:rPr>
          <w:rFonts w:eastAsia="仿宋_GB2312"/>
          <w:color w:val="auto"/>
          <w:szCs w:val="21"/>
          <w:highlight w:val="none"/>
        </w:rPr>
        <w:t>西安南大街支行</w:t>
      </w:r>
      <w:r>
        <w:rPr>
          <w:rFonts w:eastAsia="仿宋_GB2312"/>
          <w:color w:val="auto"/>
          <w:szCs w:val="21"/>
          <w:highlight w:val="none"/>
        </w:rPr>
        <w:tab/>
      </w:r>
      <w:r>
        <w:rPr>
          <w:rFonts w:eastAsia="仿宋_GB2312"/>
          <w:color w:val="auto"/>
          <w:szCs w:val="21"/>
          <w:highlight w:val="none"/>
        </w:rPr>
        <w:t>西安市南大街15号</w:t>
      </w:r>
      <w:r>
        <w:rPr>
          <w:rFonts w:eastAsia="仿宋_GB2312"/>
          <w:color w:val="auto"/>
          <w:szCs w:val="21"/>
          <w:highlight w:val="none"/>
        </w:rPr>
        <w:tab/>
      </w:r>
      <w:r>
        <w:rPr>
          <w:rFonts w:eastAsia="仿宋_GB2312"/>
          <w:color w:val="auto"/>
          <w:szCs w:val="21"/>
          <w:highlight w:val="none"/>
        </w:rPr>
        <w:t>乔  鉴</w:t>
      </w:r>
      <w:r>
        <w:rPr>
          <w:rFonts w:eastAsia="仿宋_GB2312"/>
          <w:color w:val="auto"/>
          <w:szCs w:val="21"/>
          <w:highlight w:val="none"/>
        </w:rPr>
        <w:tab/>
      </w:r>
      <w:r>
        <w:rPr>
          <w:rFonts w:eastAsia="仿宋_GB2312"/>
          <w:color w:val="auto"/>
          <w:szCs w:val="21"/>
          <w:highlight w:val="none"/>
        </w:rPr>
        <w:t>18089136919</w:t>
      </w:r>
    </w:p>
    <w:p w14:paraId="2A7120FF">
      <w:pPr>
        <w:shd w:val="clear" w:color="auto" w:fill="auto"/>
        <w:ind w:firstLine="420"/>
        <w:rPr>
          <w:rFonts w:eastAsia="仿宋_GB2312"/>
          <w:color w:val="auto"/>
          <w:szCs w:val="21"/>
          <w:highlight w:val="none"/>
        </w:rPr>
      </w:pPr>
      <w:r>
        <w:rPr>
          <w:rFonts w:eastAsia="仿宋_GB2312"/>
          <w:color w:val="auto"/>
          <w:szCs w:val="21"/>
          <w:highlight w:val="none"/>
        </w:rPr>
        <w:t>西安和平路支行</w:t>
      </w:r>
      <w:r>
        <w:rPr>
          <w:rFonts w:eastAsia="仿宋_GB2312"/>
          <w:color w:val="auto"/>
          <w:szCs w:val="21"/>
          <w:highlight w:val="none"/>
        </w:rPr>
        <w:tab/>
      </w:r>
      <w:r>
        <w:rPr>
          <w:rFonts w:eastAsia="仿宋_GB2312"/>
          <w:color w:val="auto"/>
          <w:szCs w:val="21"/>
          <w:highlight w:val="none"/>
        </w:rPr>
        <w:t>西安市和平路101号</w:t>
      </w:r>
      <w:r>
        <w:rPr>
          <w:rFonts w:eastAsia="仿宋_GB2312"/>
          <w:color w:val="auto"/>
          <w:szCs w:val="21"/>
          <w:highlight w:val="none"/>
        </w:rPr>
        <w:tab/>
      </w:r>
      <w:r>
        <w:rPr>
          <w:rFonts w:eastAsia="仿宋_GB2312"/>
          <w:color w:val="auto"/>
          <w:szCs w:val="21"/>
          <w:highlight w:val="none"/>
        </w:rPr>
        <w:t>陈  歆</w:t>
      </w:r>
      <w:r>
        <w:rPr>
          <w:rFonts w:eastAsia="仿宋_GB2312"/>
          <w:color w:val="auto"/>
          <w:szCs w:val="21"/>
          <w:highlight w:val="none"/>
        </w:rPr>
        <w:tab/>
      </w:r>
      <w:r>
        <w:rPr>
          <w:rFonts w:eastAsia="仿宋_GB2312"/>
          <w:color w:val="auto"/>
          <w:szCs w:val="21"/>
          <w:highlight w:val="none"/>
        </w:rPr>
        <w:t>18691816821</w:t>
      </w:r>
    </w:p>
    <w:p w14:paraId="6E1DC2D8">
      <w:pPr>
        <w:shd w:val="clear" w:color="auto" w:fill="auto"/>
        <w:ind w:firstLine="420"/>
        <w:rPr>
          <w:rFonts w:eastAsia="仿宋_GB2312"/>
          <w:color w:val="auto"/>
          <w:szCs w:val="21"/>
          <w:highlight w:val="none"/>
        </w:rPr>
      </w:pPr>
      <w:r>
        <w:rPr>
          <w:rFonts w:eastAsia="仿宋_GB2312"/>
          <w:color w:val="auto"/>
          <w:szCs w:val="21"/>
          <w:highlight w:val="none"/>
        </w:rPr>
        <w:t>西安兴庆路支行</w:t>
      </w:r>
      <w:r>
        <w:rPr>
          <w:rFonts w:eastAsia="仿宋_GB2312"/>
          <w:color w:val="auto"/>
          <w:szCs w:val="21"/>
          <w:highlight w:val="none"/>
        </w:rPr>
        <w:tab/>
      </w:r>
      <w:r>
        <w:rPr>
          <w:rFonts w:eastAsia="仿宋_GB2312"/>
          <w:color w:val="auto"/>
          <w:szCs w:val="21"/>
          <w:highlight w:val="none"/>
        </w:rPr>
        <w:t>西安市兴庆路61号</w:t>
      </w:r>
      <w:r>
        <w:rPr>
          <w:rFonts w:eastAsia="仿宋_GB2312"/>
          <w:color w:val="auto"/>
          <w:szCs w:val="21"/>
          <w:highlight w:val="none"/>
        </w:rPr>
        <w:tab/>
      </w:r>
      <w:r>
        <w:rPr>
          <w:rFonts w:eastAsia="仿宋_GB2312"/>
          <w:color w:val="auto"/>
          <w:szCs w:val="21"/>
          <w:highlight w:val="none"/>
        </w:rPr>
        <w:t>李  妍</w:t>
      </w:r>
      <w:r>
        <w:rPr>
          <w:rFonts w:eastAsia="仿宋_GB2312"/>
          <w:color w:val="auto"/>
          <w:szCs w:val="21"/>
          <w:highlight w:val="none"/>
        </w:rPr>
        <w:tab/>
      </w:r>
      <w:r>
        <w:rPr>
          <w:rFonts w:eastAsia="仿宋_GB2312"/>
          <w:color w:val="auto"/>
          <w:szCs w:val="21"/>
          <w:highlight w:val="none"/>
        </w:rPr>
        <w:t>13892880386</w:t>
      </w:r>
    </w:p>
    <w:p w14:paraId="312C5050">
      <w:pPr>
        <w:shd w:val="clear" w:color="auto" w:fill="auto"/>
        <w:ind w:firstLine="420"/>
        <w:rPr>
          <w:rFonts w:eastAsia="仿宋_GB2312"/>
          <w:color w:val="auto"/>
          <w:szCs w:val="21"/>
          <w:highlight w:val="none"/>
        </w:rPr>
      </w:pPr>
      <w:r>
        <w:rPr>
          <w:rFonts w:eastAsia="仿宋_GB2312"/>
          <w:color w:val="auto"/>
          <w:szCs w:val="21"/>
          <w:highlight w:val="none"/>
        </w:rPr>
        <w:t>西安新城支行</w:t>
      </w:r>
      <w:r>
        <w:rPr>
          <w:rFonts w:eastAsia="仿宋_GB2312"/>
          <w:color w:val="auto"/>
          <w:szCs w:val="21"/>
          <w:highlight w:val="none"/>
        </w:rPr>
        <w:tab/>
      </w:r>
      <w:r>
        <w:rPr>
          <w:rFonts w:eastAsia="仿宋_GB2312"/>
          <w:color w:val="auto"/>
          <w:szCs w:val="21"/>
          <w:highlight w:val="none"/>
        </w:rPr>
        <w:t>西安市南新街29号</w:t>
      </w:r>
      <w:r>
        <w:rPr>
          <w:rFonts w:eastAsia="仿宋_GB2312"/>
          <w:color w:val="auto"/>
          <w:szCs w:val="21"/>
          <w:highlight w:val="none"/>
        </w:rPr>
        <w:tab/>
      </w:r>
      <w:r>
        <w:rPr>
          <w:rFonts w:eastAsia="仿宋_GB2312"/>
          <w:color w:val="auto"/>
          <w:szCs w:val="21"/>
          <w:highlight w:val="none"/>
        </w:rPr>
        <w:t>朱子君</w:t>
      </w:r>
      <w:r>
        <w:rPr>
          <w:rFonts w:eastAsia="仿宋_GB2312"/>
          <w:color w:val="auto"/>
          <w:szCs w:val="21"/>
          <w:highlight w:val="none"/>
        </w:rPr>
        <w:tab/>
      </w:r>
      <w:r>
        <w:rPr>
          <w:rFonts w:eastAsia="仿宋_GB2312"/>
          <w:color w:val="auto"/>
          <w:szCs w:val="21"/>
          <w:highlight w:val="none"/>
        </w:rPr>
        <w:t>18629286269</w:t>
      </w:r>
    </w:p>
    <w:p w14:paraId="71111E98">
      <w:pPr>
        <w:shd w:val="clear" w:color="auto" w:fill="auto"/>
        <w:ind w:firstLine="420"/>
        <w:rPr>
          <w:rFonts w:eastAsia="仿宋_GB2312"/>
          <w:color w:val="auto"/>
          <w:szCs w:val="21"/>
          <w:highlight w:val="none"/>
        </w:rPr>
      </w:pPr>
      <w:r>
        <w:rPr>
          <w:rFonts w:eastAsia="仿宋_GB2312"/>
          <w:color w:val="auto"/>
          <w:szCs w:val="21"/>
          <w:highlight w:val="none"/>
        </w:rPr>
        <w:t>西安长安区支行</w:t>
      </w:r>
      <w:r>
        <w:rPr>
          <w:rFonts w:eastAsia="仿宋_GB2312"/>
          <w:color w:val="auto"/>
          <w:szCs w:val="21"/>
          <w:highlight w:val="none"/>
        </w:rPr>
        <w:tab/>
      </w:r>
      <w:r>
        <w:rPr>
          <w:rFonts w:eastAsia="仿宋_GB2312"/>
          <w:color w:val="auto"/>
          <w:szCs w:val="21"/>
          <w:highlight w:val="none"/>
        </w:rPr>
        <w:t>西安市长安区青年街2号</w:t>
      </w:r>
      <w:r>
        <w:rPr>
          <w:rFonts w:eastAsia="仿宋_GB2312"/>
          <w:color w:val="auto"/>
          <w:szCs w:val="21"/>
          <w:highlight w:val="none"/>
        </w:rPr>
        <w:tab/>
      </w:r>
      <w:r>
        <w:rPr>
          <w:rFonts w:eastAsia="仿宋_GB2312"/>
          <w:color w:val="auto"/>
          <w:szCs w:val="21"/>
          <w:highlight w:val="none"/>
        </w:rPr>
        <w:t>王淑芸</w:t>
      </w:r>
      <w:r>
        <w:rPr>
          <w:rFonts w:eastAsia="仿宋_GB2312"/>
          <w:color w:val="auto"/>
          <w:szCs w:val="21"/>
          <w:highlight w:val="none"/>
        </w:rPr>
        <w:tab/>
      </w:r>
      <w:r>
        <w:rPr>
          <w:rFonts w:eastAsia="仿宋_GB2312"/>
          <w:color w:val="auto"/>
          <w:szCs w:val="21"/>
          <w:highlight w:val="none"/>
        </w:rPr>
        <w:t>13572289603</w:t>
      </w:r>
    </w:p>
    <w:p w14:paraId="2C419129">
      <w:pPr>
        <w:shd w:val="clear" w:color="auto" w:fill="auto"/>
        <w:ind w:firstLine="420"/>
        <w:rPr>
          <w:rFonts w:eastAsia="仿宋_GB2312"/>
          <w:color w:val="auto"/>
          <w:szCs w:val="21"/>
          <w:highlight w:val="none"/>
        </w:rPr>
      </w:pPr>
      <w:r>
        <w:rPr>
          <w:rFonts w:eastAsia="仿宋_GB2312"/>
          <w:color w:val="auto"/>
          <w:szCs w:val="21"/>
          <w:highlight w:val="none"/>
        </w:rPr>
        <w:t>咸阳分行</w:t>
      </w:r>
      <w:r>
        <w:rPr>
          <w:rFonts w:eastAsia="仿宋_GB2312"/>
          <w:color w:val="auto"/>
          <w:szCs w:val="21"/>
          <w:highlight w:val="none"/>
        </w:rPr>
        <w:tab/>
      </w:r>
      <w:r>
        <w:rPr>
          <w:rFonts w:eastAsia="仿宋_GB2312"/>
          <w:color w:val="auto"/>
          <w:szCs w:val="21"/>
          <w:highlight w:val="none"/>
        </w:rPr>
        <w:t>咸阳市西兰路4号</w:t>
      </w:r>
      <w:r>
        <w:rPr>
          <w:rFonts w:eastAsia="仿宋_GB2312"/>
          <w:color w:val="auto"/>
          <w:szCs w:val="21"/>
          <w:highlight w:val="none"/>
        </w:rPr>
        <w:tab/>
      </w:r>
      <w:r>
        <w:rPr>
          <w:rFonts w:eastAsia="仿宋_GB2312"/>
          <w:color w:val="auto"/>
          <w:szCs w:val="21"/>
          <w:highlight w:val="none"/>
        </w:rPr>
        <w:t>邰  洋</w:t>
      </w:r>
      <w:r>
        <w:rPr>
          <w:rFonts w:eastAsia="仿宋_GB2312"/>
          <w:color w:val="auto"/>
          <w:szCs w:val="21"/>
          <w:highlight w:val="none"/>
        </w:rPr>
        <w:tab/>
      </w:r>
      <w:r>
        <w:rPr>
          <w:rFonts w:eastAsia="仿宋_GB2312"/>
          <w:color w:val="auto"/>
          <w:szCs w:val="21"/>
          <w:highlight w:val="none"/>
        </w:rPr>
        <w:t>13299079906</w:t>
      </w:r>
    </w:p>
    <w:p w14:paraId="56182A83">
      <w:pPr>
        <w:shd w:val="clear" w:color="auto" w:fill="auto"/>
        <w:ind w:firstLine="420"/>
        <w:rPr>
          <w:rFonts w:eastAsia="仿宋_GB2312"/>
          <w:color w:val="auto"/>
          <w:szCs w:val="21"/>
          <w:highlight w:val="none"/>
        </w:rPr>
      </w:pPr>
      <w:r>
        <w:rPr>
          <w:rFonts w:eastAsia="仿宋_GB2312"/>
          <w:color w:val="auto"/>
          <w:szCs w:val="21"/>
          <w:highlight w:val="none"/>
        </w:rPr>
        <w:t>宝鸡分行</w:t>
      </w:r>
      <w:r>
        <w:rPr>
          <w:rFonts w:eastAsia="仿宋_GB2312"/>
          <w:color w:val="auto"/>
          <w:szCs w:val="21"/>
          <w:highlight w:val="none"/>
        </w:rPr>
        <w:tab/>
      </w:r>
      <w:r>
        <w:rPr>
          <w:rFonts w:eastAsia="仿宋_GB2312"/>
          <w:color w:val="auto"/>
          <w:szCs w:val="21"/>
          <w:highlight w:val="none"/>
        </w:rPr>
        <w:t>宝鸡市红旗路36号</w:t>
      </w:r>
      <w:r>
        <w:rPr>
          <w:rFonts w:eastAsia="仿宋_GB2312"/>
          <w:color w:val="auto"/>
          <w:szCs w:val="21"/>
          <w:highlight w:val="none"/>
        </w:rPr>
        <w:tab/>
      </w:r>
      <w:r>
        <w:rPr>
          <w:rFonts w:eastAsia="仿宋_GB2312"/>
          <w:color w:val="auto"/>
          <w:szCs w:val="21"/>
          <w:highlight w:val="none"/>
        </w:rPr>
        <w:t>李  倩</w:t>
      </w:r>
      <w:r>
        <w:rPr>
          <w:rFonts w:eastAsia="仿宋_GB2312"/>
          <w:color w:val="auto"/>
          <w:szCs w:val="21"/>
          <w:highlight w:val="none"/>
        </w:rPr>
        <w:tab/>
      </w:r>
      <w:r>
        <w:rPr>
          <w:rFonts w:eastAsia="仿宋_GB2312"/>
          <w:color w:val="auto"/>
          <w:szCs w:val="21"/>
          <w:highlight w:val="none"/>
        </w:rPr>
        <w:t>18629019817</w:t>
      </w:r>
    </w:p>
    <w:p w14:paraId="53093B81">
      <w:pPr>
        <w:shd w:val="clear" w:color="auto" w:fill="auto"/>
        <w:ind w:firstLine="420"/>
        <w:rPr>
          <w:rFonts w:eastAsia="仿宋_GB2312"/>
          <w:color w:val="auto"/>
          <w:szCs w:val="21"/>
          <w:highlight w:val="none"/>
        </w:rPr>
      </w:pPr>
      <w:r>
        <w:rPr>
          <w:rFonts w:eastAsia="仿宋_GB2312"/>
          <w:color w:val="auto"/>
          <w:szCs w:val="21"/>
          <w:highlight w:val="none"/>
        </w:rPr>
        <w:t>铜川分行</w:t>
      </w:r>
      <w:r>
        <w:rPr>
          <w:rFonts w:eastAsia="仿宋_GB2312"/>
          <w:color w:val="auto"/>
          <w:szCs w:val="21"/>
          <w:highlight w:val="none"/>
        </w:rPr>
        <w:tab/>
      </w:r>
      <w:r>
        <w:rPr>
          <w:rFonts w:eastAsia="仿宋_GB2312"/>
          <w:color w:val="auto"/>
          <w:szCs w:val="21"/>
          <w:highlight w:val="none"/>
        </w:rPr>
        <w:t>铜川市新区正阳路与长虹路十字</w:t>
      </w:r>
      <w:r>
        <w:rPr>
          <w:rFonts w:eastAsia="仿宋_GB2312"/>
          <w:color w:val="auto"/>
          <w:szCs w:val="21"/>
          <w:highlight w:val="none"/>
        </w:rPr>
        <w:tab/>
      </w:r>
      <w:r>
        <w:rPr>
          <w:rFonts w:eastAsia="仿宋_GB2312"/>
          <w:color w:val="auto"/>
          <w:szCs w:val="21"/>
          <w:highlight w:val="none"/>
        </w:rPr>
        <w:t>张小波</w:t>
      </w:r>
      <w:r>
        <w:rPr>
          <w:rFonts w:eastAsia="仿宋_GB2312"/>
          <w:color w:val="auto"/>
          <w:szCs w:val="21"/>
          <w:highlight w:val="none"/>
        </w:rPr>
        <w:tab/>
      </w:r>
      <w:r>
        <w:rPr>
          <w:rFonts w:eastAsia="仿宋_GB2312"/>
          <w:color w:val="auto"/>
          <w:szCs w:val="21"/>
          <w:highlight w:val="none"/>
        </w:rPr>
        <w:t>18691932636</w:t>
      </w:r>
    </w:p>
    <w:p w14:paraId="143B0981">
      <w:pPr>
        <w:shd w:val="clear" w:color="auto" w:fill="auto"/>
        <w:ind w:firstLine="420"/>
        <w:rPr>
          <w:rFonts w:eastAsia="仿宋_GB2312"/>
          <w:color w:val="auto"/>
          <w:szCs w:val="21"/>
          <w:highlight w:val="none"/>
        </w:rPr>
      </w:pPr>
      <w:r>
        <w:rPr>
          <w:rFonts w:eastAsia="仿宋_GB2312"/>
          <w:color w:val="auto"/>
          <w:szCs w:val="21"/>
          <w:highlight w:val="none"/>
        </w:rPr>
        <w:t>榆林分行</w:t>
      </w:r>
      <w:r>
        <w:rPr>
          <w:rFonts w:eastAsia="仿宋_GB2312"/>
          <w:color w:val="auto"/>
          <w:szCs w:val="21"/>
          <w:highlight w:val="none"/>
        </w:rPr>
        <w:tab/>
      </w:r>
      <w:r>
        <w:rPr>
          <w:rFonts w:eastAsia="仿宋_GB2312"/>
          <w:color w:val="auto"/>
          <w:szCs w:val="21"/>
          <w:highlight w:val="none"/>
        </w:rPr>
        <w:t>榆林市高新技术产业园区创业大厦</w:t>
      </w:r>
      <w:r>
        <w:rPr>
          <w:rFonts w:eastAsia="仿宋_GB2312"/>
          <w:color w:val="auto"/>
          <w:szCs w:val="21"/>
          <w:highlight w:val="none"/>
        </w:rPr>
        <w:tab/>
      </w:r>
      <w:r>
        <w:rPr>
          <w:rFonts w:eastAsia="仿宋_GB2312"/>
          <w:color w:val="auto"/>
          <w:szCs w:val="21"/>
          <w:highlight w:val="none"/>
        </w:rPr>
        <w:t>张君君</w:t>
      </w:r>
      <w:r>
        <w:rPr>
          <w:rFonts w:eastAsia="仿宋_GB2312"/>
          <w:color w:val="auto"/>
          <w:szCs w:val="21"/>
          <w:highlight w:val="none"/>
        </w:rPr>
        <w:tab/>
      </w:r>
      <w:r>
        <w:rPr>
          <w:rFonts w:eastAsia="仿宋_GB2312"/>
          <w:color w:val="auto"/>
          <w:szCs w:val="21"/>
          <w:highlight w:val="none"/>
        </w:rPr>
        <w:t>15991929275</w:t>
      </w:r>
    </w:p>
    <w:p w14:paraId="22C36437">
      <w:pPr>
        <w:shd w:val="clear" w:color="auto" w:fill="auto"/>
        <w:ind w:firstLine="420"/>
        <w:rPr>
          <w:rFonts w:eastAsia="仿宋_GB2312"/>
          <w:color w:val="auto"/>
          <w:szCs w:val="21"/>
          <w:highlight w:val="none"/>
        </w:rPr>
      </w:pPr>
      <w:r>
        <w:rPr>
          <w:rFonts w:eastAsia="仿宋_GB2312"/>
          <w:color w:val="auto"/>
          <w:szCs w:val="21"/>
          <w:highlight w:val="none"/>
        </w:rPr>
        <w:t>延安分行</w:t>
      </w:r>
      <w:r>
        <w:rPr>
          <w:rFonts w:eastAsia="仿宋_GB2312"/>
          <w:color w:val="auto"/>
          <w:szCs w:val="21"/>
          <w:highlight w:val="none"/>
        </w:rPr>
        <w:tab/>
      </w:r>
      <w:r>
        <w:rPr>
          <w:rFonts w:eastAsia="仿宋_GB2312"/>
          <w:color w:val="auto"/>
          <w:szCs w:val="21"/>
          <w:highlight w:val="none"/>
        </w:rPr>
        <w:t>延安市宝塔区中心街</w:t>
      </w:r>
      <w:r>
        <w:rPr>
          <w:rFonts w:eastAsia="仿宋_GB2312"/>
          <w:color w:val="auto"/>
          <w:szCs w:val="21"/>
          <w:highlight w:val="none"/>
        </w:rPr>
        <w:tab/>
      </w:r>
      <w:r>
        <w:rPr>
          <w:rFonts w:eastAsia="仿宋_GB2312"/>
          <w:color w:val="auto"/>
          <w:szCs w:val="21"/>
          <w:highlight w:val="none"/>
        </w:rPr>
        <w:t>陈进佃</w:t>
      </w:r>
      <w:r>
        <w:rPr>
          <w:rFonts w:eastAsia="仿宋_GB2312"/>
          <w:color w:val="auto"/>
          <w:szCs w:val="21"/>
          <w:highlight w:val="none"/>
        </w:rPr>
        <w:tab/>
      </w:r>
      <w:r>
        <w:rPr>
          <w:rFonts w:eastAsia="仿宋_GB2312"/>
          <w:color w:val="auto"/>
          <w:szCs w:val="21"/>
          <w:highlight w:val="none"/>
        </w:rPr>
        <w:t>15609110557</w:t>
      </w:r>
    </w:p>
    <w:p w14:paraId="091D4A25">
      <w:pPr>
        <w:shd w:val="clear" w:color="auto" w:fill="auto"/>
        <w:ind w:firstLine="420"/>
        <w:rPr>
          <w:rFonts w:eastAsia="仿宋_GB2312"/>
          <w:color w:val="auto"/>
          <w:szCs w:val="21"/>
          <w:highlight w:val="none"/>
        </w:rPr>
      </w:pPr>
      <w:r>
        <w:rPr>
          <w:rFonts w:eastAsia="仿宋_GB2312"/>
          <w:color w:val="auto"/>
          <w:szCs w:val="21"/>
          <w:highlight w:val="none"/>
        </w:rPr>
        <w:t>汉中分行</w:t>
      </w:r>
      <w:r>
        <w:rPr>
          <w:rFonts w:eastAsia="仿宋_GB2312"/>
          <w:color w:val="auto"/>
          <w:szCs w:val="21"/>
          <w:highlight w:val="none"/>
        </w:rPr>
        <w:tab/>
      </w:r>
      <w:r>
        <w:rPr>
          <w:rFonts w:eastAsia="仿宋_GB2312"/>
          <w:color w:val="auto"/>
          <w:szCs w:val="21"/>
          <w:highlight w:val="none"/>
        </w:rPr>
        <w:t>汉中市石灰巷21号</w:t>
      </w:r>
      <w:r>
        <w:rPr>
          <w:rFonts w:eastAsia="仿宋_GB2312"/>
          <w:color w:val="auto"/>
          <w:szCs w:val="21"/>
          <w:highlight w:val="none"/>
        </w:rPr>
        <w:tab/>
      </w:r>
      <w:r>
        <w:rPr>
          <w:rFonts w:eastAsia="仿宋_GB2312"/>
          <w:color w:val="auto"/>
          <w:szCs w:val="21"/>
          <w:highlight w:val="none"/>
        </w:rPr>
        <w:t>王晨旭</w:t>
      </w:r>
      <w:r>
        <w:rPr>
          <w:rFonts w:eastAsia="仿宋_GB2312"/>
          <w:color w:val="auto"/>
          <w:szCs w:val="21"/>
          <w:highlight w:val="none"/>
        </w:rPr>
        <w:tab/>
      </w:r>
      <w:r>
        <w:rPr>
          <w:rFonts w:eastAsia="仿宋_GB2312"/>
          <w:color w:val="auto"/>
          <w:szCs w:val="21"/>
          <w:highlight w:val="none"/>
        </w:rPr>
        <w:t>15319375850</w:t>
      </w:r>
    </w:p>
    <w:p w14:paraId="2B272216">
      <w:pPr>
        <w:shd w:val="clear" w:color="auto" w:fill="auto"/>
        <w:ind w:firstLine="420"/>
        <w:rPr>
          <w:rFonts w:eastAsia="仿宋_GB2312"/>
          <w:color w:val="auto"/>
          <w:szCs w:val="21"/>
          <w:highlight w:val="none"/>
        </w:rPr>
      </w:pPr>
      <w:r>
        <w:rPr>
          <w:rFonts w:eastAsia="仿宋_GB2312"/>
          <w:color w:val="auto"/>
          <w:szCs w:val="21"/>
          <w:highlight w:val="none"/>
        </w:rPr>
        <w:t>安康分行</w:t>
      </w:r>
      <w:r>
        <w:rPr>
          <w:rFonts w:eastAsia="仿宋_GB2312"/>
          <w:color w:val="auto"/>
          <w:szCs w:val="21"/>
          <w:highlight w:val="none"/>
        </w:rPr>
        <w:tab/>
      </w:r>
      <w:r>
        <w:rPr>
          <w:rFonts w:eastAsia="仿宋_GB2312"/>
          <w:color w:val="auto"/>
          <w:szCs w:val="21"/>
          <w:highlight w:val="none"/>
        </w:rPr>
        <w:t>安康市育才路102号</w:t>
      </w:r>
      <w:r>
        <w:rPr>
          <w:rFonts w:eastAsia="仿宋_GB2312"/>
          <w:color w:val="auto"/>
          <w:szCs w:val="21"/>
          <w:highlight w:val="none"/>
        </w:rPr>
        <w:tab/>
      </w:r>
      <w:r>
        <w:rPr>
          <w:rFonts w:eastAsia="仿宋_GB2312"/>
          <w:color w:val="auto"/>
          <w:szCs w:val="21"/>
          <w:highlight w:val="none"/>
        </w:rPr>
        <w:t>张少帅</w:t>
      </w:r>
      <w:r>
        <w:rPr>
          <w:rFonts w:eastAsia="仿宋_GB2312"/>
          <w:color w:val="auto"/>
          <w:szCs w:val="21"/>
          <w:highlight w:val="none"/>
        </w:rPr>
        <w:tab/>
      </w:r>
      <w:r>
        <w:rPr>
          <w:rFonts w:eastAsia="仿宋_GB2312"/>
          <w:color w:val="auto"/>
          <w:szCs w:val="21"/>
          <w:highlight w:val="none"/>
        </w:rPr>
        <w:t>13165762680</w:t>
      </w:r>
    </w:p>
    <w:p w14:paraId="264B4D4B">
      <w:pPr>
        <w:shd w:val="clear" w:color="auto" w:fill="auto"/>
        <w:ind w:firstLine="420"/>
        <w:rPr>
          <w:rFonts w:eastAsia="仿宋_GB2312"/>
          <w:color w:val="auto"/>
          <w:szCs w:val="21"/>
          <w:highlight w:val="none"/>
        </w:rPr>
      </w:pPr>
      <w:r>
        <w:rPr>
          <w:rFonts w:eastAsia="仿宋_GB2312"/>
          <w:color w:val="auto"/>
          <w:szCs w:val="21"/>
          <w:highlight w:val="none"/>
        </w:rPr>
        <w:t>商洛分行</w:t>
      </w:r>
      <w:r>
        <w:rPr>
          <w:rFonts w:eastAsia="仿宋_GB2312"/>
          <w:color w:val="auto"/>
          <w:szCs w:val="21"/>
          <w:highlight w:val="none"/>
        </w:rPr>
        <w:tab/>
      </w:r>
      <w:r>
        <w:rPr>
          <w:rFonts w:eastAsia="仿宋_GB2312"/>
          <w:color w:val="auto"/>
          <w:szCs w:val="21"/>
          <w:highlight w:val="none"/>
        </w:rPr>
        <w:t>商洛市名人街广电大楼下</w:t>
      </w:r>
      <w:r>
        <w:rPr>
          <w:rFonts w:eastAsia="仿宋_GB2312"/>
          <w:color w:val="auto"/>
          <w:szCs w:val="21"/>
          <w:highlight w:val="none"/>
        </w:rPr>
        <w:tab/>
      </w:r>
      <w:r>
        <w:rPr>
          <w:rFonts w:eastAsia="仿宋_GB2312"/>
          <w:color w:val="auto"/>
          <w:szCs w:val="21"/>
          <w:highlight w:val="none"/>
        </w:rPr>
        <w:t>郭  杨</w:t>
      </w:r>
      <w:r>
        <w:rPr>
          <w:rFonts w:eastAsia="仿宋_GB2312"/>
          <w:color w:val="auto"/>
          <w:szCs w:val="21"/>
          <w:highlight w:val="none"/>
        </w:rPr>
        <w:tab/>
      </w:r>
      <w:r>
        <w:rPr>
          <w:rFonts w:eastAsia="仿宋_GB2312"/>
          <w:color w:val="auto"/>
          <w:szCs w:val="21"/>
          <w:highlight w:val="none"/>
        </w:rPr>
        <w:t>17809267188</w:t>
      </w:r>
    </w:p>
    <w:p w14:paraId="5B744896">
      <w:pPr>
        <w:shd w:val="clear" w:color="auto" w:fill="auto"/>
        <w:rPr>
          <w:rFonts w:eastAsia="仿宋_GB2312"/>
          <w:b/>
          <w:color w:val="auto"/>
          <w:szCs w:val="21"/>
          <w:highlight w:val="none"/>
        </w:rPr>
      </w:pPr>
      <w:r>
        <w:rPr>
          <w:rFonts w:eastAsia="仿宋_GB2312"/>
          <w:b/>
          <w:color w:val="auto"/>
          <w:szCs w:val="21"/>
          <w:highlight w:val="none"/>
        </w:rPr>
        <w:t>二、北京银行（政府订单贷）</w:t>
      </w:r>
      <w:r>
        <w:rPr>
          <w:rFonts w:eastAsia="仿宋_GB2312"/>
          <w:b/>
          <w:color w:val="auto"/>
          <w:szCs w:val="21"/>
          <w:highlight w:val="none"/>
        </w:rPr>
        <w:tab/>
      </w:r>
      <w:r>
        <w:rPr>
          <w:rFonts w:eastAsia="仿宋_GB2312"/>
          <w:b/>
          <w:color w:val="auto"/>
          <w:szCs w:val="21"/>
          <w:highlight w:val="none"/>
        </w:rPr>
        <w:tab/>
      </w:r>
      <w:r>
        <w:rPr>
          <w:rFonts w:eastAsia="仿宋_GB2312"/>
          <w:b/>
          <w:color w:val="auto"/>
          <w:szCs w:val="21"/>
          <w:highlight w:val="none"/>
        </w:rPr>
        <w:tab/>
      </w:r>
      <w:r>
        <w:rPr>
          <w:rFonts w:eastAsia="仿宋_GB2312"/>
          <w:b/>
          <w:color w:val="auto"/>
          <w:szCs w:val="21"/>
          <w:highlight w:val="none"/>
        </w:rPr>
        <w:tab/>
      </w:r>
    </w:p>
    <w:p w14:paraId="598AB666">
      <w:pPr>
        <w:shd w:val="clear" w:color="auto" w:fill="auto"/>
        <w:ind w:firstLine="420" w:firstLineChars="200"/>
        <w:rPr>
          <w:rFonts w:eastAsia="仿宋_GB2312"/>
          <w:color w:val="auto"/>
          <w:szCs w:val="21"/>
          <w:highlight w:val="none"/>
        </w:rPr>
      </w:pPr>
      <w:r>
        <w:rPr>
          <w:rFonts w:eastAsia="仿宋_GB2312"/>
          <w:color w:val="auto"/>
          <w:szCs w:val="21"/>
          <w:highlight w:val="none"/>
        </w:rPr>
        <w:t>西安分行营业部</w:t>
      </w:r>
      <w:r>
        <w:rPr>
          <w:rFonts w:eastAsia="仿宋_GB2312"/>
          <w:color w:val="auto"/>
          <w:szCs w:val="21"/>
          <w:highlight w:val="none"/>
        </w:rPr>
        <w:tab/>
      </w:r>
      <w:r>
        <w:rPr>
          <w:rFonts w:eastAsia="仿宋_GB2312"/>
          <w:color w:val="auto"/>
          <w:szCs w:val="21"/>
          <w:highlight w:val="none"/>
        </w:rPr>
        <w:t xml:space="preserve">        刘晓伟</w:t>
      </w:r>
      <w:r>
        <w:rPr>
          <w:rFonts w:eastAsia="仿宋_GB2312"/>
          <w:color w:val="auto"/>
          <w:szCs w:val="21"/>
          <w:highlight w:val="none"/>
        </w:rPr>
        <w:tab/>
      </w:r>
      <w:r>
        <w:rPr>
          <w:rFonts w:eastAsia="仿宋_GB2312"/>
          <w:color w:val="auto"/>
          <w:szCs w:val="21"/>
          <w:highlight w:val="none"/>
        </w:rPr>
        <w:t>总经理助理</w:t>
      </w:r>
      <w:r>
        <w:rPr>
          <w:rFonts w:eastAsia="仿宋_GB2312"/>
          <w:color w:val="auto"/>
          <w:szCs w:val="21"/>
          <w:highlight w:val="none"/>
        </w:rPr>
        <w:tab/>
      </w:r>
      <w:r>
        <w:rPr>
          <w:rFonts w:eastAsia="仿宋_GB2312"/>
          <w:color w:val="auto"/>
          <w:szCs w:val="21"/>
          <w:highlight w:val="none"/>
        </w:rPr>
        <w:t>029-61828763</w:t>
      </w:r>
      <w:r>
        <w:rPr>
          <w:rFonts w:eastAsia="仿宋_GB2312"/>
          <w:color w:val="auto"/>
          <w:szCs w:val="21"/>
          <w:highlight w:val="none"/>
        </w:rPr>
        <w:tab/>
      </w:r>
      <w:r>
        <w:rPr>
          <w:rFonts w:eastAsia="仿宋_GB2312"/>
          <w:color w:val="auto"/>
          <w:szCs w:val="21"/>
          <w:highlight w:val="none"/>
        </w:rPr>
        <w:t>18066630518</w:t>
      </w:r>
    </w:p>
    <w:p w14:paraId="79D701B3">
      <w:pPr>
        <w:shd w:val="clear" w:color="auto" w:fill="auto"/>
        <w:ind w:firstLine="420" w:firstLineChars="200"/>
        <w:rPr>
          <w:rFonts w:eastAsia="仿宋_GB2312"/>
          <w:color w:val="auto"/>
          <w:szCs w:val="21"/>
          <w:highlight w:val="none"/>
        </w:rPr>
      </w:pPr>
      <w:r>
        <w:rPr>
          <w:rFonts w:eastAsia="仿宋_GB2312"/>
          <w:color w:val="auto"/>
          <w:szCs w:val="21"/>
          <w:highlight w:val="none"/>
        </w:rPr>
        <w:t>西安高新开发区支行</w:t>
      </w:r>
      <w:r>
        <w:rPr>
          <w:rFonts w:eastAsia="仿宋_GB2312"/>
          <w:color w:val="auto"/>
          <w:szCs w:val="21"/>
          <w:highlight w:val="none"/>
        </w:rPr>
        <w:tab/>
      </w:r>
      <w:r>
        <w:rPr>
          <w:rFonts w:eastAsia="仿宋_GB2312"/>
          <w:color w:val="auto"/>
          <w:szCs w:val="21"/>
          <w:highlight w:val="none"/>
        </w:rPr>
        <w:t xml:space="preserve">    梁凡</w:t>
      </w:r>
      <w:r>
        <w:rPr>
          <w:rFonts w:eastAsia="仿宋_GB2312"/>
          <w:color w:val="auto"/>
          <w:szCs w:val="21"/>
          <w:highlight w:val="none"/>
        </w:rPr>
        <w:tab/>
      </w:r>
      <w:r>
        <w:rPr>
          <w:rFonts w:eastAsia="仿宋_GB2312"/>
          <w:color w:val="auto"/>
          <w:szCs w:val="21"/>
          <w:highlight w:val="none"/>
        </w:rPr>
        <w:t>行长助理</w:t>
      </w:r>
      <w:r>
        <w:rPr>
          <w:rFonts w:eastAsia="仿宋_GB2312"/>
          <w:color w:val="auto"/>
          <w:szCs w:val="21"/>
          <w:highlight w:val="none"/>
        </w:rPr>
        <w:tab/>
      </w:r>
      <w:r>
        <w:rPr>
          <w:rFonts w:eastAsia="仿宋_GB2312"/>
          <w:color w:val="auto"/>
          <w:szCs w:val="21"/>
          <w:highlight w:val="none"/>
        </w:rPr>
        <w:t>029-61828531</w:t>
      </w:r>
      <w:r>
        <w:rPr>
          <w:rFonts w:eastAsia="仿宋_GB2312"/>
          <w:color w:val="auto"/>
          <w:szCs w:val="21"/>
          <w:highlight w:val="none"/>
        </w:rPr>
        <w:tab/>
      </w:r>
      <w:r>
        <w:rPr>
          <w:rFonts w:eastAsia="仿宋_GB2312"/>
          <w:color w:val="auto"/>
          <w:szCs w:val="21"/>
          <w:highlight w:val="none"/>
        </w:rPr>
        <w:t>18681945597</w:t>
      </w:r>
    </w:p>
    <w:p w14:paraId="64975DCE">
      <w:pPr>
        <w:shd w:val="clear" w:color="auto" w:fill="auto"/>
        <w:ind w:firstLine="420" w:firstLineChars="200"/>
        <w:rPr>
          <w:rFonts w:eastAsia="仿宋_GB2312"/>
          <w:color w:val="auto"/>
          <w:szCs w:val="21"/>
          <w:highlight w:val="none"/>
        </w:rPr>
      </w:pPr>
      <w:r>
        <w:rPr>
          <w:rFonts w:eastAsia="仿宋_GB2312"/>
          <w:color w:val="auto"/>
          <w:szCs w:val="21"/>
          <w:highlight w:val="none"/>
        </w:rPr>
        <w:t>西安曲江文创支行</w:t>
      </w:r>
      <w:r>
        <w:rPr>
          <w:rFonts w:eastAsia="仿宋_GB2312"/>
          <w:color w:val="auto"/>
          <w:szCs w:val="21"/>
          <w:highlight w:val="none"/>
        </w:rPr>
        <w:tab/>
      </w:r>
      <w:r>
        <w:rPr>
          <w:rFonts w:eastAsia="仿宋_GB2312"/>
          <w:color w:val="auto"/>
          <w:szCs w:val="21"/>
          <w:highlight w:val="none"/>
        </w:rPr>
        <w:t xml:space="preserve">    蒋超</w:t>
      </w:r>
      <w:r>
        <w:rPr>
          <w:rFonts w:eastAsia="仿宋_GB2312"/>
          <w:color w:val="auto"/>
          <w:szCs w:val="21"/>
          <w:highlight w:val="none"/>
        </w:rPr>
        <w:tab/>
      </w:r>
      <w:r>
        <w:rPr>
          <w:rFonts w:eastAsia="仿宋_GB2312"/>
          <w:color w:val="auto"/>
          <w:szCs w:val="21"/>
          <w:highlight w:val="none"/>
        </w:rPr>
        <w:t>室经理</w:t>
      </w:r>
      <w:r>
        <w:rPr>
          <w:rFonts w:eastAsia="仿宋_GB2312"/>
          <w:color w:val="auto"/>
          <w:szCs w:val="21"/>
          <w:highlight w:val="none"/>
        </w:rPr>
        <w:tab/>
      </w:r>
      <w:r>
        <w:rPr>
          <w:rFonts w:eastAsia="仿宋_GB2312"/>
          <w:color w:val="auto"/>
          <w:szCs w:val="21"/>
          <w:highlight w:val="none"/>
        </w:rPr>
        <w:t>029-65667366</w:t>
      </w:r>
      <w:r>
        <w:rPr>
          <w:rFonts w:eastAsia="仿宋_GB2312"/>
          <w:color w:val="auto"/>
          <w:szCs w:val="21"/>
          <w:highlight w:val="none"/>
        </w:rPr>
        <w:tab/>
      </w:r>
      <w:r>
        <w:rPr>
          <w:rFonts w:eastAsia="仿宋_GB2312"/>
          <w:color w:val="auto"/>
          <w:szCs w:val="21"/>
          <w:highlight w:val="none"/>
        </w:rPr>
        <w:t>15891737329</w:t>
      </w:r>
    </w:p>
    <w:p w14:paraId="202A1818">
      <w:pPr>
        <w:shd w:val="clear" w:color="auto" w:fill="auto"/>
        <w:ind w:firstLine="420" w:firstLineChars="200"/>
        <w:rPr>
          <w:rFonts w:eastAsia="仿宋_GB2312"/>
          <w:color w:val="auto"/>
          <w:szCs w:val="21"/>
          <w:highlight w:val="none"/>
        </w:rPr>
      </w:pPr>
      <w:r>
        <w:rPr>
          <w:rFonts w:eastAsia="仿宋_GB2312"/>
          <w:color w:val="auto"/>
          <w:szCs w:val="21"/>
          <w:highlight w:val="none"/>
        </w:rPr>
        <w:t>西安经济技术开发区支行</w:t>
      </w:r>
      <w:r>
        <w:rPr>
          <w:rFonts w:eastAsia="仿宋_GB2312"/>
          <w:color w:val="auto"/>
          <w:szCs w:val="21"/>
          <w:highlight w:val="none"/>
        </w:rPr>
        <w:tab/>
      </w:r>
      <w:r>
        <w:rPr>
          <w:rFonts w:eastAsia="仿宋_GB2312"/>
          <w:color w:val="auto"/>
          <w:szCs w:val="21"/>
          <w:highlight w:val="none"/>
        </w:rPr>
        <w:t>孟庆龙</w:t>
      </w:r>
      <w:r>
        <w:rPr>
          <w:rFonts w:eastAsia="仿宋_GB2312"/>
          <w:color w:val="auto"/>
          <w:szCs w:val="21"/>
          <w:highlight w:val="none"/>
        </w:rPr>
        <w:tab/>
      </w:r>
      <w:r>
        <w:rPr>
          <w:rFonts w:eastAsia="仿宋_GB2312"/>
          <w:color w:val="auto"/>
          <w:szCs w:val="21"/>
          <w:highlight w:val="none"/>
        </w:rPr>
        <w:t>行长助理</w:t>
      </w:r>
      <w:r>
        <w:rPr>
          <w:rFonts w:eastAsia="仿宋_GB2312"/>
          <w:color w:val="auto"/>
          <w:szCs w:val="21"/>
          <w:highlight w:val="none"/>
        </w:rPr>
        <w:tab/>
      </w:r>
      <w:r>
        <w:rPr>
          <w:rFonts w:eastAsia="仿宋_GB2312"/>
          <w:color w:val="auto"/>
          <w:szCs w:val="21"/>
          <w:highlight w:val="none"/>
        </w:rPr>
        <w:t>029-61828272</w:t>
      </w:r>
      <w:r>
        <w:rPr>
          <w:rFonts w:eastAsia="仿宋_GB2312"/>
          <w:color w:val="auto"/>
          <w:szCs w:val="21"/>
          <w:highlight w:val="none"/>
        </w:rPr>
        <w:tab/>
      </w:r>
      <w:r>
        <w:rPr>
          <w:rFonts w:eastAsia="仿宋_GB2312"/>
          <w:color w:val="auto"/>
          <w:szCs w:val="21"/>
          <w:highlight w:val="none"/>
        </w:rPr>
        <w:t>13991990373</w:t>
      </w:r>
    </w:p>
    <w:p w14:paraId="74F1DB8B">
      <w:pPr>
        <w:shd w:val="clear" w:color="auto" w:fill="auto"/>
        <w:ind w:firstLine="420" w:firstLineChars="200"/>
        <w:rPr>
          <w:rFonts w:eastAsia="仿宋_GB2312"/>
          <w:color w:val="auto"/>
          <w:szCs w:val="21"/>
          <w:highlight w:val="none"/>
        </w:rPr>
      </w:pPr>
      <w:r>
        <w:rPr>
          <w:rFonts w:eastAsia="仿宋_GB2312"/>
          <w:color w:val="auto"/>
          <w:szCs w:val="21"/>
          <w:highlight w:val="none"/>
        </w:rPr>
        <w:t>西安长缨路支行</w:t>
      </w:r>
      <w:r>
        <w:rPr>
          <w:rFonts w:eastAsia="仿宋_GB2312"/>
          <w:color w:val="auto"/>
          <w:szCs w:val="21"/>
          <w:highlight w:val="none"/>
        </w:rPr>
        <w:tab/>
      </w:r>
      <w:r>
        <w:rPr>
          <w:rFonts w:eastAsia="仿宋_GB2312"/>
          <w:color w:val="auto"/>
          <w:szCs w:val="21"/>
          <w:highlight w:val="none"/>
        </w:rPr>
        <w:t xml:space="preserve">        范凯</w:t>
      </w:r>
      <w:r>
        <w:rPr>
          <w:rFonts w:eastAsia="仿宋_GB2312"/>
          <w:color w:val="auto"/>
          <w:szCs w:val="21"/>
          <w:highlight w:val="none"/>
        </w:rPr>
        <w:tab/>
      </w:r>
      <w:r>
        <w:rPr>
          <w:rFonts w:eastAsia="仿宋_GB2312"/>
          <w:color w:val="auto"/>
          <w:szCs w:val="21"/>
          <w:highlight w:val="none"/>
        </w:rPr>
        <w:t>副行长</w:t>
      </w:r>
      <w:r>
        <w:rPr>
          <w:rFonts w:eastAsia="仿宋_GB2312"/>
          <w:color w:val="auto"/>
          <w:szCs w:val="21"/>
          <w:highlight w:val="none"/>
        </w:rPr>
        <w:tab/>
      </w:r>
      <w:r>
        <w:rPr>
          <w:rFonts w:eastAsia="仿宋_GB2312"/>
          <w:color w:val="auto"/>
          <w:szCs w:val="21"/>
          <w:highlight w:val="none"/>
        </w:rPr>
        <w:t>029-68717760</w:t>
      </w:r>
      <w:r>
        <w:rPr>
          <w:rFonts w:eastAsia="仿宋_GB2312"/>
          <w:color w:val="auto"/>
          <w:szCs w:val="21"/>
          <w:highlight w:val="none"/>
        </w:rPr>
        <w:tab/>
      </w:r>
      <w:r>
        <w:rPr>
          <w:rFonts w:eastAsia="仿宋_GB2312"/>
          <w:color w:val="auto"/>
          <w:szCs w:val="21"/>
          <w:highlight w:val="none"/>
        </w:rPr>
        <w:t>13991315609</w:t>
      </w:r>
    </w:p>
    <w:p w14:paraId="7696AEA8">
      <w:pPr>
        <w:shd w:val="clear" w:color="auto" w:fill="auto"/>
        <w:ind w:firstLine="420" w:firstLineChars="200"/>
        <w:rPr>
          <w:rFonts w:eastAsia="仿宋_GB2312"/>
          <w:color w:val="auto"/>
          <w:szCs w:val="21"/>
          <w:highlight w:val="none"/>
        </w:rPr>
      </w:pPr>
      <w:r>
        <w:rPr>
          <w:rFonts w:eastAsia="仿宋_GB2312"/>
          <w:color w:val="auto"/>
          <w:szCs w:val="21"/>
          <w:highlight w:val="none"/>
        </w:rPr>
        <w:t xml:space="preserve">长安区西长安街支行   </w:t>
      </w:r>
      <w:r>
        <w:rPr>
          <w:rFonts w:eastAsia="仿宋_GB2312"/>
          <w:color w:val="auto"/>
          <w:szCs w:val="21"/>
          <w:highlight w:val="none"/>
        </w:rPr>
        <w:tab/>
      </w:r>
      <w:r>
        <w:rPr>
          <w:rFonts w:eastAsia="仿宋_GB2312"/>
          <w:color w:val="auto"/>
          <w:szCs w:val="21"/>
          <w:highlight w:val="none"/>
        </w:rPr>
        <w:t>陈明</w:t>
      </w:r>
      <w:r>
        <w:rPr>
          <w:rFonts w:eastAsia="仿宋_GB2312"/>
          <w:color w:val="auto"/>
          <w:szCs w:val="21"/>
          <w:highlight w:val="none"/>
        </w:rPr>
        <w:tab/>
      </w:r>
      <w:r>
        <w:rPr>
          <w:rFonts w:eastAsia="仿宋_GB2312"/>
          <w:color w:val="auto"/>
          <w:szCs w:val="21"/>
          <w:highlight w:val="none"/>
        </w:rPr>
        <w:t>行长助理</w:t>
      </w:r>
      <w:r>
        <w:rPr>
          <w:rFonts w:eastAsia="仿宋_GB2312"/>
          <w:color w:val="auto"/>
          <w:szCs w:val="21"/>
          <w:highlight w:val="none"/>
        </w:rPr>
        <w:tab/>
      </w:r>
      <w:r>
        <w:rPr>
          <w:rFonts w:eastAsia="仿宋_GB2312"/>
          <w:color w:val="auto"/>
          <w:szCs w:val="21"/>
          <w:highlight w:val="none"/>
        </w:rPr>
        <w:t>029-85724301</w:t>
      </w:r>
      <w:r>
        <w:rPr>
          <w:rFonts w:eastAsia="仿宋_GB2312"/>
          <w:color w:val="auto"/>
          <w:szCs w:val="21"/>
          <w:highlight w:val="none"/>
        </w:rPr>
        <w:tab/>
      </w:r>
      <w:r>
        <w:rPr>
          <w:rFonts w:eastAsia="仿宋_GB2312"/>
          <w:color w:val="auto"/>
          <w:szCs w:val="21"/>
          <w:highlight w:val="none"/>
        </w:rPr>
        <w:t>18149209660</w:t>
      </w:r>
    </w:p>
    <w:p w14:paraId="4A4612CC">
      <w:pPr>
        <w:shd w:val="clear" w:color="auto" w:fill="auto"/>
        <w:ind w:firstLine="420" w:firstLineChars="200"/>
        <w:rPr>
          <w:rFonts w:eastAsia="仿宋_GB2312"/>
          <w:color w:val="auto"/>
          <w:szCs w:val="21"/>
          <w:highlight w:val="none"/>
        </w:rPr>
      </w:pPr>
      <w:r>
        <w:rPr>
          <w:rFonts w:eastAsia="仿宋_GB2312"/>
          <w:color w:val="auto"/>
          <w:szCs w:val="21"/>
          <w:highlight w:val="none"/>
        </w:rPr>
        <w:t>泾渭工业园支行</w:t>
      </w:r>
      <w:r>
        <w:rPr>
          <w:rFonts w:eastAsia="仿宋_GB2312"/>
          <w:color w:val="auto"/>
          <w:szCs w:val="21"/>
          <w:highlight w:val="none"/>
        </w:rPr>
        <w:tab/>
      </w:r>
      <w:r>
        <w:rPr>
          <w:rFonts w:eastAsia="仿宋_GB2312"/>
          <w:color w:val="auto"/>
          <w:szCs w:val="21"/>
          <w:highlight w:val="none"/>
        </w:rPr>
        <w:t xml:space="preserve">        杨奕</w:t>
      </w:r>
      <w:r>
        <w:rPr>
          <w:rFonts w:eastAsia="仿宋_GB2312"/>
          <w:color w:val="auto"/>
          <w:szCs w:val="21"/>
          <w:highlight w:val="none"/>
        </w:rPr>
        <w:tab/>
      </w:r>
      <w:r>
        <w:rPr>
          <w:rFonts w:eastAsia="仿宋_GB2312"/>
          <w:color w:val="auto"/>
          <w:szCs w:val="21"/>
          <w:highlight w:val="none"/>
        </w:rPr>
        <w:t>室经理</w:t>
      </w:r>
      <w:r>
        <w:rPr>
          <w:rFonts w:eastAsia="仿宋_GB2312"/>
          <w:color w:val="auto"/>
          <w:szCs w:val="21"/>
          <w:highlight w:val="none"/>
        </w:rPr>
        <w:tab/>
      </w:r>
      <w:r>
        <w:rPr>
          <w:rFonts w:eastAsia="仿宋_GB2312"/>
          <w:color w:val="auto"/>
          <w:szCs w:val="21"/>
          <w:highlight w:val="none"/>
        </w:rPr>
        <w:t>029-68213773</w:t>
      </w:r>
      <w:r>
        <w:rPr>
          <w:rFonts w:eastAsia="仿宋_GB2312"/>
          <w:color w:val="auto"/>
          <w:szCs w:val="21"/>
          <w:highlight w:val="none"/>
        </w:rPr>
        <w:tab/>
      </w:r>
      <w:r>
        <w:rPr>
          <w:rFonts w:eastAsia="仿宋_GB2312"/>
          <w:color w:val="auto"/>
          <w:szCs w:val="21"/>
          <w:highlight w:val="none"/>
        </w:rPr>
        <w:t>15934802021</w:t>
      </w:r>
    </w:p>
    <w:p w14:paraId="6147DEBF">
      <w:pPr>
        <w:shd w:val="clear" w:color="auto" w:fill="auto"/>
        <w:ind w:firstLine="420" w:firstLineChars="200"/>
        <w:rPr>
          <w:rFonts w:eastAsia="仿宋_GB2312"/>
          <w:color w:val="auto"/>
          <w:szCs w:val="21"/>
          <w:highlight w:val="none"/>
        </w:rPr>
      </w:pPr>
      <w:r>
        <w:rPr>
          <w:rFonts w:eastAsia="仿宋_GB2312"/>
          <w:color w:val="auto"/>
          <w:szCs w:val="21"/>
          <w:highlight w:val="none"/>
        </w:rPr>
        <w:t>北客站科技支行</w:t>
      </w:r>
      <w:r>
        <w:rPr>
          <w:rFonts w:eastAsia="仿宋_GB2312"/>
          <w:color w:val="auto"/>
          <w:szCs w:val="21"/>
          <w:highlight w:val="none"/>
        </w:rPr>
        <w:tab/>
      </w:r>
      <w:r>
        <w:rPr>
          <w:rFonts w:eastAsia="仿宋_GB2312"/>
          <w:color w:val="auto"/>
          <w:szCs w:val="21"/>
          <w:highlight w:val="none"/>
        </w:rPr>
        <w:t xml:space="preserve">        周洁</w:t>
      </w:r>
      <w:r>
        <w:rPr>
          <w:rFonts w:eastAsia="仿宋_GB2312"/>
          <w:color w:val="auto"/>
          <w:szCs w:val="21"/>
          <w:highlight w:val="none"/>
        </w:rPr>
        <w:tab/>
      </w:r>
      <w:r>
        <w:rPr>
          <w:rFonts w:eastAsia="仿宋_GB2312"/>
          <w:color w:val="auto"/>
          <w:szCs w:val="21"/>
          <w:highlight w:val="none"/>
        </w:rPr>
        <w:t>副行长</w:t>
      </w:r>
      <w:r>
        <w:rPr>
          <w:rFonts w:eastAsia="仿宋_GB2312"/>
          <w:color w:val="auto"/>
          <w:szCs w:val="21"/>
          <w:highlight w:val="none"/>
        </w:rPr>
        <w:tab/>
      </w:r>
      <w:r>
        <w:rPr>
          <w:rFonts w:eastAsia="仿宋_GB2312"/>
          <w:color w:val="auto"/>
          <w:szCs w:val="21"/>
          <w:highlight w:val="none"/>
        </w:rPr>
        <w:t>029-61828129</w:t>
      </w:r>
      <w:r>
        <w:rPr>
          <w:rFonts w:eastAsia="仿宋_GB2312"/>
          <w:color w:val="auto"/>
          <w:szCs w:val="21"/>
          <w:highlight w:val="none"/>
        </w:rPr>
        <w:tab/>
      </w:r>
      <w:r>
        <w:rPr>
          <w:rFonts w:eastAsia="仿宋_GB2312"/>
          <w:color w:val="auto"/>
          <w:szCs w:val="21"/>
          <w:highlight w:val="none"/>
        </w:rPr>
        <w:t>18629518636</w:t>
      </w:r>
    </w:p>
    <w:p w14:paraId="0361896F">
      <w:pPr>
        <w:shd w:val="clear" w:color="auto" w:fill="auto"/>
        <w:ind w:firstLine="420" w:firstLineChars="200"/>
        <w:rPr>
          <w:rFonts w:eastAsia="仿宋_GB2312"/>
          <w:color w:val="auto"/>
          <w:szCs w:val="21"/>
          <w:highlight w:val="none"/>
        </w:rPr>
      </w:pPr>
      <w:r>
        <w:rPr>
          <w:rFonts w:eastAsia="仿宋_GB2312"/>
          <w:color w:val="auto"/>
          <w:szCs w:val="21"/>
          <w:highlight w:val="none"/>
        </w:rPr>
        <w:t>解放路支行</w:t>
      </w:r>
      <w:r>
        <w:rPr>
          <w:rFonts w:eastAsia="仿宋_GB2312"/>
          <w:color w:val="auto"/>
          <w:szCs w:val="21"/>
          <w:highlight w:val="none"/>
        </w:rPr>
        <w:tab/>
      </w:r>
      <w:r>
        <w:rPr>
          <w:rFonts w:eastAsia="仿宋_GB2312"/>
          <w:color w:val="auto"/>
          <w:szCs w:val="21"/>
          <w:highlight w:val="none"/>
        </w:rPr>
        <w:t xml:space="preserve">            王莉</w:t>
      </w:r>
      <w:r>
        <w:rPr>
          <w:rFonts w:eastAsia="仿宋_GB2312"/>
          <w:color w:val="auto"/>
          <w:szCs w:val="21"/>
          <w:highlight w:val="none"/>
        </w:rPr>
        <w:tab/>
      </w:r>
      <w:r>
        <w:rPr>
          <w:rFonts w:eastAsia="仿宋_GB2312"/>
          <w:color w:val="auto"/>
          <w:szCs w:val="21"/>
          <w:highlight w:val="none"/>
        </w:rPr>
        <w:t>行长助理</w:t>
      </w:r>
      <w:r>
        <w:rPr>
          <w:rFonts w:eastAsia="仿宋_GB2312"/>
          <w:color w:val="auto"/>
          <w:szCs w:val="21"/>
          <w:highlight w:val="none"/>
        </w:rPr>
        <w:tab/>
      </w:r>
      <w:r>
        <w:rPr>
          <w:rFonts w:eastAsia="仿宋_GB2312"/>
          <w:color w:val="auto"/>
          <w:szCs w:val="21"/>
          <w:highlight w:val="none"/>
        </w:rPr>
        <w:t>029-61828185</w:t>
      </w:r>
      <w:r>
        <w:rPr>
          <w:rFonts w:eastAsia="仿宋_GB2312"/>
          <w:color w:val="auto"/>
          <w:szCs w:val="21"/>
          <w:highlight w:val="none"/>
        </w:rPr>
        <w:tab/>
      </w:r>
      <w:r>
        <w:rPr>
          <w:rFonts w:eastAsia="仿宋_GB2312"/>
          <w:color w:val="auto"/>
          <w:szCs w:val="21"/>
          <w:highlight w:val="none"/>
        </w:rPr>
        <w:t>15802966196</w:t>
      </w:r>
    </w:p>
    <w:p w14:paraId="357110E7">
      <w:pPr>
        <w:shd w:val="clear" w:color="auto" w:fill="auto"/>
        <w:ind w:firstLine="420" w:firstLineChars="200"/>
        <w:rPr>
          <w:rFonts w:eastAsia="仿宋_GB2312"/>
          <w:color w:val="auto"/>
          <w:szCs w:val="21"/>
          <w:highlight w:val="none"/>
        </w:rPr>
      </w:pPr>
      <w:r>
        <w:rPr>
          <w:rFonts w:eastAsia="仿宋_GB2312"/>
          <w:color w:val="auto"/>
          <w:szCs w:val="21"/>
          <w:highlight w:val="none"/>
        </w:rPr>
        <w:t>延安分行</w:t>
      </w:r>
      <w:r>
        <w:rPr>
          <w:rFonts w:eastAsia="仿宋_GB2312"/>
          <w:color w:val="auto"/>
          <w:szCs w:val="21"/>
          <w:highlight w:val="none"/>
        </w:rPr>
        <w:tab/>
      </w:r>
      <w:r>
        <w:rPr>
          <w:rFonts w:eastAsia="仿宋_GB2312"/>
          <w:color w:val="auto"/>
          <w:szCs w:val="21"/>
          <w:highlight w:val="none"/>
        </w:rPr>
        <w:t xml:space="preserve">            奥宝森</w:t>
      </w:r>
      <w:r>
        <w:rPr>
          <w:rFonts w:eastAsia="仿宋_GB2312"/>
          <w:color w:val="auto"/>
          <w:szCs w:val="21"/>
          <w:highlight w:val="none"/>
        </w:rPr>
        <w:tab/>
      </w:r>
      <w:r>
        <w:rPr>
          <w:rFonts w:eastAsia="仿宋_GB2312"/>
          <w:color w:val="auto"/>
          <w:szCs w:val="21"/>
          <w:highlight w:val="none"/>
        </w:rPr>
        <w:t>室经理</w:t>
      </w:r>
      <w:r>
        <w:rPr>
          <w:rFonts w:eastAsia="仿宋_GB2312"/>
          <w:color w:val="auto"/>
          <w:szCs w:val="21"/>
          <w:highlight w:val="none"/>
        </w:rPr>
        <w:tab/>
      </w:r>
      <w:r>
        <w:rPr>
          <w:rFonts w:eastAsia="仿宋_GB2312"/>
          <w:color w:val="auto"/>
          <w:szCs w:val="21"/>
          <w:highlight w:val="none"/>
        </w:rPr>
        <w:t>0911-8076038</w:t>
      </w:r>
      <w:r>
        <w:rPr>
          <w:rFonts w:eastAsia="仿宋_GB2312"/>
          <w:color w:val="auto"/>
          <w:szCs w:val="21"/>
          <w:highlight w:val="none"/>
        </w:rPr>
        <w:tab/>
      </w:r>
      <w:r>
        <w:rPr>
          <w:rFonts w:eastAsia="仿宋_GB2312"/>
          <w:color w:val="auto"/>
          <w:szCs w:val="21"/>
          <w:highlight w:val="none"/>
        </w:rPr>
        <w:t>15592925222</w:t>
      </w:r>
    </w:p>
    <w:p w14:paraId="30E39E24">
      <w:pPr>
        <w:shd w:val="clear" w:color="auto" w:fill="auto"/>
        <w:rPr>
          <w:rFonts w:eastAsia="仿宋_GB2312"/>
          <w:b/>
          <w:color w:val="auto"/>
          <w:szCs w:val="21"/>
          <w:highlight w:val="none"/>
        </w:rPr>
      </w:pPr>
      <w:r>
        <w:rPr>
          <w:rFonts w:eastAsia="仿宋_GB2312"/>
          <w:b/>
          <w:color w:val="auto"/>
          <w:szCs w:val="21"/>
          <w:highlight w:val="none"/>
        </w:rPr>
        <w:t>三、工商银行（政采贷）</w:t>
      </w:r>
    </w:p>
    <w:p w14:paraId="23006EF9">
      <w:pPr>
        <w:shd w:val="clear" w:color="auto" w:fill="auto"/>
        <w:ind w:firstLine="420" w:firstLineChars="200"/>
        <w:rPr>
          <w:rFonts w:eastAsia="仿宋_GB2312"/>
          <w:color w:val="auto"/>
          <w:szCs w:val="21"/>
          <w:highlight w:val="none"/>
        </w:rPr>
      </w:pPr>
      <w:r>
        <w:rPr>
          <w:rFonts w:eastAsia="仿宋_GB2312"/>
          <w:color w:val="auto"/>
          <w:szCs w:val="21"/>
          <w:highlight w:val="none"/>
        </w:rPr>
        <w:t>榆林分行</w:t>
      </w:r>
      <w:r>
        <w:rPr>
          <w:rFonts w:eastAsia="仿宋_GB2312"/>
          <w:color w:val="auto"/>
          <w:szCs w:val="21"/>
          <w:highlight w:val="none"/>
        </w:rPr>
        <w:tab/>
      </w:r>
      <w:r>
        <w:rPr>
          <w:rFonts w:eastAsia="仿宋_GB2312"/>
          <w:color w:val="auto"/>
          <w:szCs w:val="21"/>
          <w:highlight w:val="none"/>
        </w:rPr>
        <w:t>张岭</w:t>
      </w:r>
      <w:r>
        <w:rPr>
          <w:rFonts w:eastAsia="仿宋_GB2312"/>
          <w:color w:val="auto"/>
          <w:szCs w:val="21"/>
          <w:highlight w:val="none"/>
        </w:rPr>
        <w:tab/>
      </w:r>
      <w:r>
        <w:rPr>
          <w:rFonts w:eastAsia="仿宋_GB2312"/>
          <w:color w:val="auto"/>
          <w:szCs w:val="21"/>
          <w:highlight w:val="none"/>
        </w:rPr>
        <w:t>客户经理</w:t>
      </w:r>
      <w:r>
        <w:rPr>
          <w:rFonts w:eastAsia="仿宋_GB2312"/>
          <w:color w:val="auto"/>
          <w:szCs w:val="21"/>
          <w:highlight w:val="none"/>
        </w:rPr>
        <w:tab/>
      </w:r>
      <w:r>
        <w:rPr>
          <w:rFonts w:eastAsia="仿宋_GB2312"/>
          <w:color w:val="auto"/>
          <w:szCs w:val="21"/>
          <w:highlight w:val="none"/>
        </w:rPr>
        <w:t>0912-6183827</w:t>
      </w:r>
      <w:r>
        <w:rPr>
          <w:rFonts w:eastAsia="仿宋_GB2312"/>
          <w:color w:val="auto"/>
          <w:szCs w:val="21"/>
          <w:highlight w:val="none"/>
        </w:rPr>
        <w:tab/>
      </w:r>
      <w:r>
        <w:rPr>
          <w:rFonts w:eastAsia="仿宋_GB2312"/>
          <w:color w:val="auto"/>
          <w:szCs w:val="21"/>
          <w:highlight w:val="none"/>
        </w:rPr>
        <w:t>15353386777</w:t>
      </w:r>
    </w:p>
    <w:p w14:paraId="3B875874">
      <w:pPr>
        <w:shd w:val="clear" w:color="auto" w:fill="auto"/>
        <w:ind w:firstLine="420" w:firstLineChars="200"/>
        <w:rPr>
          <w:rFonts w:eastAsia="仿宋_GB2312"/>
          <w:color w:val="auto"/>
          <w:szCs w:val="21"/>
          <w:highlight w:val="none"/>
        </w:rPr>
      </w:pPr>
      <w:r>
        <w:rPr>
          <w:rFonts w:eastAsia="仿宋_GB2312"/>
          <w:color w:val="auto"/>
          <w:szCs w:val="21"/>
          <w:highlight w:val="none"/>
        </w:rPr>
        <w:t>宝鸡分行</w:t>
      </w:r>
      <w:r>
        <w:rPr>
          <w:rFonts w:eastAsia="仿宋_GB2312"/>
          <w:color w:val="auto"/>
          <w:szCs w:val="21"/>
          <w:highlight w:val="none"/>
        </w:rPr>
        <w:tab/>
      </w:r>
      <w:r>
        <w:rPr>
          <w:rFonts w:eastAsia="仿宋_GB2312"/>
          <w:color w:val="auto"/>
          <w:szCs w:val="21"/>
          <w:highlight w:val="none"/>
        </w:rPr>
        <w:t>郭进</w:t>
      </w:r>
      <w:r>
        <w:rPr>
          <w:rFonts w:eastAsia="仿宋_GB2312"/>
          <w:color w:val="auto"/>
          <w:szCs w:val="21"/>
          <w:highlight w:val="none"/>
        </w:rPr>
        <w:tab/>
      </w:r>
      <w:r>
        <w:rPr>
          <w:rFonts w:eastAsia="仿宋_GB2312"/>
          <w:color w:val="auto"/>
          <w:szCs w:val="21"/>
          <w:highlight w:val="none"/>
        </w:rPr>
        <w:t>客户经理</w:t>
      </w:r>
      <w:r>
        <w:rPr>
          <w:rFonts w:eastAsia="仿宋_GB2312"/>
          <w:color w:val="auto"/>
          <w:szCs w:val="21"/>
          <w:highlight w:val="none"/>
        </w:rPr>
        <w:tab/>
      </w:r>
      <w:r>
        <w:rPr>
          <w:rFonts w:eastAsia="仿宋_GB2312"/>
          <w:color w:val="auto"/>
          <w:szCs w:val="21"/>
          <w:highlight w:val="none"/>
        </w:rPr>
        <w:t>0917-3238282</w:t>
      </w:r>
      <w:r>
        <w:rPr>
          <w:rFonts w:eastAsia="仿宋_GB2312"/>
          <w:color w:val="auto"/>
          <w:szCs w:val="21"/>
          <w:highlight w:val="none"/>
        </w:rPr>
        <w:tab/>
      </w:r>
      <w:r>
        <w:rPr>
          <w:rFonts w:eastAsia="仿宋_GB2312"/>
          <w:color w:val="auto"/>
          <w:szCs w:val="21"/>
          <w:highlight w:val="none"/>
        </w:rPr>
        <w:t>18991749262</w:t>
      </w:r>
    </w:p>
    <w:p w14:paraId="60A74B57">
      <w:pPr>
        <w:shd w:val="clear" w:color="auto" w:fill="auto"/>
        <w:ind w:firstLine="420" w:firstLineChars="200"/>
        <w:rPr>
          <w:rFonts w:eastAsia="仿宋_GB2312"/>
          <w:color w:val="auto"/>
          <w:szCs w:val="21"/>
          <w:highlight w:val="none"/>
        </w:rPr>
      </w:pPr>
      <w:r>
        <w:rPr>
          <w:rFonts w:eastAsia="仿宋_GB2312"/>
          <w:color w:val="auto"/>
          <w:szCs w:val="21"/>
          <w:highlight w:val="none"/>
        </w:rPr>
        <w:t>安康分行</w:t>
      </w:r>
      <w:r>
        <w:rPr>
          <w:rFonts w:eastAsia="仿宋_GB2312"/>
          <w:color w:val="auto"/>
          <w:szCs w:val="21"/>
          <w:highlight w:val="none"/>
        </w:rPr>
        <w:tab/>
      </w:r>
      <w:r>
        <w:rPr>
          <w:rFonts w:eastAsia="仿宋_GB2312"/>
          <w:color w:val="auto"/>
          <w:szCs w:val="21"/>
          <w:highlight w:val="none"/>
        </w:rPr>
        <w:t>郑婕</w:t>
      </w:r>
      <w:r>
        <w:rPr>
          <w:rFonts w:eastAsia="仿宋_GB2312"/>
          <w:color w:val="auto"/>
          <w:szCs w:val="21"/>
          <w:highlight w:val="none"/>
        </w:rPr>
        <w:tab/>
      </w:r>
      <w:r>
        <w:rPr>
          <w:rFonts w:eastAsia="仿宋_GB2312"/>
          <w:color w:val="auto"/>
          <w:szCs w:val="21"/>
          <w:highlight w:val="none"/>
        </w:rPr>
        <w:t>客户经理</w:t>
      </w:r>
      <w:r>
        <w:rPr>
          <w:rFonts w:eastAsia="仿宋_GB2312"/>
          <w:color w:val="auto"/>
          <w:szCs w:val="21"/>
          <w:highlight w:val="none"/>
        </w:rPr>
        <w:tab/>
      </w:r>
      <w:r>
        <w:rPr>
          <w:rFonts w:eastAsia="仿宋_GB2312"/>
          <w:color w:val="auto"/>
          <w:szCs w:val="21"/>
          <w:highlight w:val="none"/>
        </w:rPr>
        <w:t>0915-3236275</w:t>
      </w:r>
      <w:r>
        <w:rPr>
          <w:rFonts w:eastAsia="仿宋_GB2312"/>
          <w:color w:val="auto"/>
          <w:szCs w:val="21"/>
          <w:highlight w:val="none"/>
        </w:rPr>
        <w:tab/>
      </w:r>
      <w:r>
        <w:rPr>
          <w:rFonts w:eastAsia="仿宋_GB2312"/>
          <w:color w:val="auto"/>
          <w:szCs w:val="21"/>
          <w:highlight w:val="none"/>
        </w:rPr>
        <w:t>15667856663</w:t>
      </w:r>
    </w:p>
    <w:p w14:paraId="1FE8A21B">
      <w:pPr>
        <w:shd w:val="clear" w:color="auto" w:fill="auto"/>
        <w:ind w:firstLine="420" w:firstLineChars="200"/>
        <w:rPr>
          <w:rFonts w:eastAsia="仿宋_GB2312"/>
          <w:color w:val="auto"/>
          <w:szCs w:val="21"/>
          <w:highlight w:val="none"/>
        </w:rPr>
      </w:pPr>
      <w:r>
        <w:rPr>
          <w:rFonts w:eastAsia="仿宋_GB2312"/>
          <w:color w:val="auto"/>
          <w:szCs w:val="21"/>
          <w:highlight w:val="none"/>
        </w:rPr>
        <w:t>铜川分行</w:t>
      </w:r>
      <w:r>
        <w:rPr>
          <w:rFonts w:eastAsia="仿宋_GB2312"/>
          <w:color w:val="auto"/>
          <w:szCs w:val="21"/>
          <w:highlight w:val="none"/>
        </w:rPr>
        <w:tab/>
      </w:r>
      <w:r>
        <w:rPr>
          <w:rFonts w:eastAsia="仿宋_GB2312"/>
          <w:color w:val="auto"/>
          <w:szCs w:val="21"/>
          <w:highlight w:val="none"/>
        </w:rPr>
        <w:t>彭东东</w:t>
      </w:r>
      <w:r>
        <w:rPr>
          <w:rFonts w:eastAsia="仿宋_GB2312"/>
          <w:color w:val="auto"/>
          <w:szCs w:val="21"/>
          <w:highlight w:val="none"/>
        </w:rPr>
        <w:tab/>
      </w:r>
      <w:r>
        <w:rPr>
          <w:rFonts w:eastAsia="仿宋_GB2312"/>
          <w:color w:val="auto"/>
          <w:szCs w:val="21"/>
          <w:highlight w:val="none"/>
        </w:rPr>
        <w:t>客户经理</w:t>
      </w:r>
      <w:r>
        <w:rPr>
          <w:rFonts w:eastAsia="仿宋_GB2312"/>
          <w:color w:val="auto"/>
          <w:szCs w:val="21"/>
          <w:highlight w:val="none"/>
        </w:rPr>
        <w:tab/>
      </w:r>
      <w:r>
        <w:rPr>
          <w:rFonts w:eastAsia="仿宋_GB2312"/>
          <w:color w:val="auto"/>
          <w:szCs w:val="21"/>
          <w:highlight w:val="none"/>
        </w:rPr>
        <w:t>0919-2151878</w:t>
      </w:r>
      <w:r>
        <w:rPr>
          <w:rFonts w:eastAsia="仿宋_GB2312"/>
          <w:color w:val="auto"/>
          <w:szCs w:val="21"/>
          <w:highlight w:val="none"/>
        </w:rPr>
        <w:tab/>
      </w:r>
      <w:r>
        <w:rPr>
          <w:rFonts w:eastAsia="仿宋_GB2312"/>
          <w:color w:val="auto"/>
          <w:szCs w:val="21"/>
          <w:highlight w:val="none"/>
        </w:rPr>
        <w:t>17392898832</w:t>
      </w:r>
    </w:p>
    <w:p w14:paraId="4114A373">
      <w:pPr>
        <w:shd w:val="clear" w:color="auto" w:fill="auto"/>
        <w:ind w:firstLine="420" w:firstLineChars="200"/>
        <w:rPr>
          <w:rFonts w:eastAsia="仿宋_GB2312"/>
          <w:color w:val="auto"/>
          <w:szCs w:val="21"/>
          <w:highlight w:val="none"/>
        </w:rPr>
      </w:pPr>
      <w:r>
        <w:rPr>
          <w:rFonts w:eastAsia="仿宋_GB2312"/>
          <w:color w:val="auto"/>
          <w:szCs w:val="21"/>
          <w:highlight w:val="none"/>
        </w:rPr>
        <w:t>延安分行</w:t>
      </w:r>
      <w:r>
        <w:rPr>
          <w:rFonts w:eastAsia="仿宋_GB2312"/>
          <w:color w:val="auto"/>
          <w:szCs w:val="21"/>
          <w:highlight w:val="none"/>
        </w:rPr>
        <w:tab/>
      </w:r>
      <w:r>
        <w:rPr>
          <w:rFonts w:eastAsia="仿宋_GB2312"/>
          <w:color w:val="auto"/>
          <w:szCs w:val="21"/>
          <w:highlight w:val="none"/>
        </w:rPr>
        <w:t>党莹</w:t>
      </w:r>
      <w:r>
        <w:rPr>
          <w:rFonts w:eastAsia="仿宋_GB2312"/>
          <w:color w:val="auto"/>
          <w:szCs w:val="21"/>
          <w:highlight w:val="none"/>
        </w:rPr>
        <w:tab/>
      </w:r>
      <w:r>
        <w:rPr>
          <w:rFonts w:eastAsia="仿宋_GB2312"/>
          <w:color w:val="auto"/>
          <w:szCs w:val="21"/>
          <w:highlight w:val="none"/>
        </w:rPr>
        <w:t>经理助理</w:t>
      </w:r>
      <w:r>
        <w:rPr>
          <w:rFonts w:eastAsia="仿宋_GB2312"/>
          <w:color w:val="auto"/>
          <w:szCs w:val="21"/>
          <w:highlight w:val="none"/>
        </w:rPr>
        <w:tab/>
      </w:r>
      <w:r>
        <w:rPr>
          <w:rFonts w:eastAsia="仿宋_GB2312"/>
          <w:color w:val="auto"/>
          <w:szCs w:val="21"/>
          <w:highlight w:val="none"/>
        </w:rPr>
        <w:t>0911-2380826</w:t>
      </w:r>
      <w:r>
        <w:rPr>
          <w:rFonts w:eastAsia="仿宋_GB2312"/>
          <w:color w:val="auto"/>
          <w:szCs w:val="21"/>
          <w:highlight w:val="none"/>
        </w:rPr>
        <w:tab/>
      </w:r>
      <w:r>
        <w:rPr>
          <w:rFonts w:eastAsia="仿宋_GB2312"/>
          <w:color w:val="auto"/>
          <w:szCs w:val="21"/>
          <w:highlight w:val="none"/>
        </w:rPr>
        <w:t>15291142933</w:t>
      </w:r>
    </w:p>
    <w:p w14:paraId="2F0B0160">
      <w:pPr>
        <w:shd w:val="clear" w:color="auto" w:fill="auto"/>
        <w:ind w:firstLine="420" w:firstLineChars="200"/>
        <w:rPr>
          <w:rFonts w:eastAsia="仿宋_GB2312"/>
          <w:color w:val="auto"/>
          <w:szCs w:val="21"/>
          <w:highlight w:val="none"/>
        </w:rPr>
      </w:pPr>
      <w:r>
        <w:rPr>
          <w:rFonts w:eastAsia="仿宋_GB2312"/>
          <w:color w:val="auto"/>
          <w:szCs w:val="21"/>
          <w:highlight w:val="none"/>
        </w:rPr>
        <w:t>汉中分行</w:t>
      </w:r>
      <w:r>
        <w:rPr>
          <w:rFonts w:eastAsia="仿宋_GB2312"/>
          <w:color w:val="auto"/>
          <w:szCs w:val="21"/>
          <w:highlight w:val="none"/>
        </w:rPr>
        <w:tab/>
      </w:r>
      <w:r>
        <w:rPr>
          <w:rFonts w:eastAsia="仿宋_GB2312"/>
          <w:color w:val="auto"/>
          <w:szCs w:val="21"/>
          <w:highlight w:val="none"/>
        </w:rPr>
        <w:t>杨薇薇</w:t>
      </w:r>
      <w:r>
        <w:rPr>
          <w:rFonts w:eastAsia="仿宋_GB2312"/>
          <w:color w:val="auto"/>
          <w:szCs w:val="21"/>
          <w:highlight w:val="none"/>
        </w:rPr>
        <w:tab/>
      </w:r>
      <w:r>
        <w:rPr>
          <w:rFonts w:eastAsia="仿宋_GB2312"/>
          <w:color w:val="auto"/>
          <w:szCs w:val="21"/>
          <w:highlight w:val="none"/>
        </w:rPr>
        <w:t>部门副经理</w:t>
      </w:r>
      <w:r>
        <w:rPr>
          <w:rFonts w:eastAsia="仿宋_GB2312"/>
          <w:color w:val="auto"/>
          <w:szCs w:val="21"/>
          <w:highlight w:val="none"/>
        </w:rPr>
        <w:tab/>
      </w:r>
      <w:r>
        <w:rPr>
          <w:rFonts w:eastAsia="仿宋_GB2312"/>
          <w:color w:val="auto"/>
          <w:szCs w:val="21"/>
          <w:highlight w:val="none"/>
        </w:rPr>
        <w:t>0916-2606773</w:t>
      </w:r>
      <w:r>
        <w:rPr>
          <w:rFonts w:eastAsia="仿宋_GB2312"/>
          <w:color w:val="auto"/>
          <w:szCs w:val="21"/>
          <w:highlight w:val="none"/>
        </w:rPr>
        <w:tab/>
      </w:r>
      <w:r>
        <w:rPr>
          <w:rFonts w:eastAsia="仿宋_GB2312"/>
          <w:color w:val="auto"/>
          <w:szCs w:val="21"/>
          <w:highlight w:val="none"/>
        </w:rPr>
        <w:t>18591607453</w:t>
      </w:r>
    </w:p>
    <w:p w14:paraId="1744C19E">
      <w:pPr>
        <w:shd w:val="clear" w:color="auto" w:fill="auto"/>
        <w:ind w:firstLine="420" w:firstLineChars="200"/>
        <w:rPr>
          <w:rFonts w:eastAsia="仿宋_GB2312"/>
          <w:color w:val="auto"/>
          <w:szCs w:val="21"/>
          <w:highlight w:val="none"/>
        </w:rPr>
      </w:pPr>
      <w:r>
        <w:rPr>
          <w:rFonts w:eastAsia="仿宋_GB2312"/>
          <w:color w:val="auto"/>
          <w:szCs w:val="21"/>
          <w:highlight w:val="none"/>
        </w:rPr>
        <w:t>渭南分行</w:t>
      </w:r>
      <w:r>
        <w:rPr>
          <w:rFonts w:eastAsia="仿宋_GB2312"/>
          <w:color w:val="auto"/>
          <w:szCs w:val="21"/>
          <w:highlight w:val="none"/>
        </w:rPr>
        <w:tab/>
      </w:r>
      <w:r>
        <w:rPr>
          <w:rFonts w:eastAsia="仿宋_GB2312"/>
          <w:color w:val="auto"/>
          <w:szCs w:val="21"/>
          <w:highlight w:val="none"/>
        </w:rPr>
        <w:t>张欢</w:t>
      </w:r>
      <w:r>
        <w:rPr>
          <w:rFonts w:eastAsia="仿宋_GB2312"/>
          <w:color w:val="auto"/>
          <w:szCs w:val="21"/>
          <w:highlight w:val="none"/>
        </w:rPr>
        <w:tab/>
      </w:r>
      <w:r>
        <w:rPr>
          <w:rFonts w:eastAsia="仿宋_GB2312"/>
          <w:color w:val="auto"/>
          <w:szCs w:val="21"/>
          <w:highlight w:val="none"/>
        </w:rPr>
        <w:t>客户经理</w:t>
      </w:r>
      <w:r>
        <w:rPr>
          <w:rFonts w:eastAsia="仿宋_GB2312"/>
          <w:color w:val="auto"/>
          <w:szCs w:val="21"/>
          <w:highlight w:val="none"/>
        </w:rPr>
        <w:tab/>
      </w:r>
      <w:r>
        <w:rPr>
          <w:rFonts w:eastAsia="仿宋_GB2312"/>
          <w:color w:val="auto"/>
          <w:szCs w:val="21"/>
          <w:highlight w:val="none"/>
        </w:rPr>
        <w:t>09132095066</w:t>
      </w:r>
      <w:r>
        <w:rPr>
          <w:rFonts w:eastAsia="仿宋_GB2312"/>
          <w:color w:val="auto"/>
          <w:szCs w:val="21"/>
          <w:highlight w:val="none"/>
        </w:rPr>
        <w:tab/>
      </w:r>
      <w:r>
        <w:rPr>
          <w:rFonts w:eastAsia="仿宋_GB2312"/>
          <w:color w:val="auto"/>
          <w:szCs w:val="21"/>
          <w:highlight w:val="none"/>
        </w:rPr>
        <w:t>15229730006</w:t>
      </w:r>
    </w:p>
    <w:p w14:paraId="376C46B6">
      <w:pPr>
        <w:shd w:val="clear" w:color="auto" w:fill="auto"/>
        <w:ind w:firstLine="420" w:firstLineChars="200"/>
        <w:rPr>
          <w:rFonts w:eastAsia="仿宋_GB2312"/>
          <w:color w:val="auto"/>
          <w:szCs w:val="21"/>
          <w:highlight w:val="none"/>
        </w:rPr>
      </w:pPr>
      <w:r>
        <w:rPr>
          <w:rFonts w:eastAsia="仿宋_GB2312"/>
          <w:color w:val="auto"/>
          <w:szCs w:val="21"/>
          <w:highlight w:val="none"/>
        </w:rPr>
        <w:t>咸阳分行</w:t>
      </w:r>
      <w:r>
        <w:rPr>
          <w:rFonts w:eastAsia="仿宋_GB2312"/>
          <w:color w:val="auto"/>
          <w:szCs w:val="21"/>
          <w:highlight w:val="none"/>
        </w:rPr>
        <w:tab/>
      </w:r>
      <w:r>
        <w:rPr>
          <w:rFonts w:eastAsia="仿宋_GB2312"/>
          <w:color w:val="auto"/>
          <w:szCs w:val="21"/>
          <w:highlight w:val="none"/>
        </w:rPr>
        <w:t>袁霖</w:t>
      </w:r>
      <w:r>
        <w:rPr>
          <w:rFonts w:eastAsia="仿宋_GB2312"/>
          <w:color w:val="auto"/>
          <w:szCs w:val="21"/>
          <w:highlight w:val="none"/>
        </w:rPr>
        <w:tab/>
      </w:r>
      <w:r>
        <w:rPr>
          <w:rFonts w:eastAsia="仿宋_GB2312"/>
          <w:color w:val="auto"/>
          <w:szCs w:val="21"/>
          <w:highlight w:val="none"/>
        </w:rPr>
        <w:t>客户经理</w:t>
      </w:r>
      <w:r>
        <w:rPr>
          <w:rFonts w:eastAsia="仿宋_GB2312"/>
          <w:color w:val="auto"/>
          <w:szCs w:val="21"/>
          <w:highlight w:val="none"/>
        </w:rPr>
        <w:tab/>
      </w:r>
      <w:r>
        <w:rPr>
          <w:rFonts w:eastAsia="仿宋_GB2312"/>
          <w:color w:val="auto"/>
          <w:szCs w:val="21"/>
          <w:highlight w:val="none"/>
        </w:rPr>
        <w:t>029-33259370</w:t>
      </w:r>
      <w:r>
        <w:rPr>
          <w:rFonts w:eastAsia="仿宋_GB2312"/>
          <w:color w:val="auto"/>
          <w:szCs w:val="21"/>
          <w:highlight w:val="none"/>
        </w:rPr>
        <w:tab/>
      </w:r>
      <w:r>
        <w:rPr>
          <w:rFonts w:eastAsia="仿宋_GB2312"/>
          <w:color w:val="auto"/>
          <w:szCs w:val="21"/>
          <w:highlight w:val="none"/>
        </w:rPr>
        <w:t>18591006506</w:t>
      </w:r>
    </w:p>
    <w:p w14:paraId="4876A30A">
      <w:pPr>
        <w:shd w:val="clear" w:color="auto" w:fill="auto"/>
        <w:ind w:firstLine="420" w:firstLineChars="200"/>
        <w:rPr>
          <w:rFonts w:eastAsia="仿宋_GB2312"/>
          <w:color w:val="auto"/>
          <w:szCs w:val="21"/>
          <w:highlight w:val="none"/>
        </w:rPr>
      </w:pPr>
      <w:r>
        <w:rPr>
          <w:rFonts w:eastAsia="仿宋_GB2312"/>
          <w:color w:val="auto"/>
          <w:szCs w:val="21"/>
          <w:highlight w:val="none"/>
        </w:rPr>
        <w:t>商洛分行</w:t>
      </w:r>
      <w:r>
        <w:rPr>
          <w:rFonts w:eastAsia="仿宋_GB2312"/>
          <w:color w:val="auto"/>
          <w:szCs w:val="21"/>
          <w:highlight w:val="none"/>
        </w:rPr>
        <w:tab/>
      </w:r>
      <w:r>
        <w:rPr>
          <w:rFonts w:eastAsia="仿宋_GB2312"/>
          <w:color w:val="auto"/>
          <w:szCs w:val="21"/>
          <w:highlight w:val="none"/>
        </w:rPr>
        <w:t>张铮</w:t>
      </w:r>
      <w:r>
        <w:rPr>
          <w:rFonts w:eastAsia="仿宋_GB2312"/>
          <w:color w:val="auto"/>
          <w:szCs w:val="21"/>
          <w:highlight w:val="none"/>
        </w:rPr>
        <w:tab/>
      </w:r>
      <w:r>
        <w:rPr>
          <w:rFonts w:eastAsia="仿宋_GB2312"/>
          <w:color w:val="auto"/>
          <w:szCs w:val="21"/>
          <w:highlight w:val="none"/>
        </w:rPr>
        <w:t>经理助理</w:t>
      </w:r>
      <w:r>
        <w:rPr>
          <w:rFonts w:eastAsia="仿宋_GB2312"/>
          <w:color w:val="auto"/>
          <w:szCs w:val="21"/>
          <w:highlight w:val="none"/>
        </w:rPr>
        <w:tab/>
      </w:r>
      <w:r>
        <w:rPr>
          <w:rFonts w:eastAsia="仿宋_GB2312"/>
          <w:color w:val="auto"/>
          <w:szCs w:val="21"/>
          <w:highlight w:val="none"/>
        </w:rPr>
        <w:t>0914-2310908</w:t>
      </w:r>
      <w:r>
        <w:rPr>
          <w:rFonts w:eastAsia="仿宋_GB2312"/>
          <w:color w:val="auto"/>
          <w:szCs w:val="21"/>
          <w:highlight w:val="none"/>
        </w:rPr>
        <w:tab/>
      </w:r>
      <w:r>
        <w:rPr>
          <w:rFonts w:eastAsia="仿宋_GB2312"/>
          <w:color w:val="auto"/>
          <w:szCs w:val="21"/>
          <w:highlight w:val="none"/>
        </w:rPr>
        <w:t>18691410305</w:t>
      </w:r>
    </w:p>
    <w:p w14:paraId="13C461CC">
      <w:pPr>
        <w:shd w:val="clear" w:color="auto" w:fill="auto"/>
        <w:ind w:firstLine="420" w:firstLineChars="200"/>
        <w:rPr>
          <w:rFonts w:eastAsia="仿宋_GB2312"/>
          <w:color w:val="auto"/>
          <w:szCs w:val="21"/>
          <w:highlight w:val="none"/>
        </w:rPr>
      </w:pPr>
      <w:r>
        <w:rPr>
          <w:rFonts w:eastAsia="仿宋_GB2312"/>
          <w:color w:val="auto"/>
          <w:szCs w:val="21"/>
          <w:highlight w:val="none"/>
        </w:rPr>
        <w:t>商洛分行</w:t>
      </w:r>
      <w:r>
        <w:rPr>
          <w:rFonts w:eastAsia="仿宋_GB2312"/>
          <w:color w:val="auto"/>
          <w:szCs w:val="21"/>
          <w:highlight w:val="none"/>
        </w:rPr>
        <w:tab/>
      </w:r>
      <w:r>
        <w:rPr>
          <w:rFonts w:eastAsia="仿宋_GB2312"/>
          <w:color w:val="auto"/>
          <w:szCs w:val="21"/>
          <w:highlight w:val="none"/>
        </w:rPr>
        <w:t>余勇博</w:t>
      </w:r>
      <w:r>
        <w:rPr>
          <w:rFonts w:eastAsia="仿宋_GB2312"/>
          <w:color w:val="auto"/>
          <w:szCs w:val="21"/>
          <w:highlight w:val="none"/>
        </w:rPr>
        <w:tab/>
      </w:r>
      <w:r>
        <w:rPr>
          <w:rFonts w:eastAsia="仿宋_GB2312"/>
          <w:color w:val="auto"/>
          <w:szCs w:val="21"/>
          <w:highlight w:val="none"/>
        </w:rPr>
        <w:t>客户经理</w:t>
      </w:r>
      <w:r>
        <w:rPr>
          <w:rFonts w:eastAsia="仿宋_GB2312"/>
          <w:color w:val="auto"/>
          <w:szCs w:val="21"/>
          <w:highlight w:val="none"/>
        </w:rPr>
        <w:tab/>
      </w:r>
      <w:r>
        <w:rPr>
          <w:rFonts w:eastAsia="仿宋_GB2312"/>
          <w:color w:val="auto"/>
          <w:szCs w:val="21"/>
          <w:highlight w:val="none"/>
        </w:rPr>
        <w:t>0914-2310908</w:t>
      </w:r>
      <w:r>
        <w:rPr>
          <w:rFonts w:eastAsia="仿宋_GB2312"/>
          <w:color w:val="auto"/>
          <w:szCs w:val="21"/>
          <w:highlight w:val="none"/>
        </w:rPr>
        <w:tab/>
      </w:r>
      <w:r>
        <w:rPr>
          <w:rFonts w:eastAsia="仿宋_GB2312"/>
          <w:color w:val="auto"/>
          <w:szCs w:val="21"/>
          <w:highlight w:val="none"/>
        </w:rPr>
        <w:t>18092802280</w:t>
      </w:r>
    </w:p>
    <w:p w14:paraId="539A931D">
      <w:pPr>
        <w:shd w:val="clear" w:color="auto" w:fill="auto"/>
        <w:ind w:firstLine="420" w:firstLineChars="200"/>
        <w:rPr>
          <w:rFonts w:eastAsia="仿宋_GB2312"/>
          <w:color w:val="auto"/>
          <w:szCs w:val="21"/>
          <w:highlight w:val="none"/>
        </w:rPr>
      </w:pPr>
      <w:r>
        <w:rPr>
          <w:rFonts w:eastAsia="仿宋_GB2312"/>
          <w:color w:val="auto"/>
          <w:szCs w:val="21"/>
          <w:highlight w:val="none"/>
        </w:rPr>
        <w:t>西安分行</w:t>
      </w:r>
      <w:r>
        <w:rPr>
          <w:rFonts w:eastAsia="仿宋_GB2312"/>
          <w:color w:val="auto"/>
          <w:szCs w:val="21"/>
          <w:highlight w:val="none"/>
        </w:rPr>
        <w:tab/>
      </w:r>
      <w:r>
        <w:rPr>
          <w:rFonts w:eastAsia="仿宋_GB2312"/>
          <w:color w:val="auto"/>
          <w:szCs w:val="21"/>
          <w:highlight w:val="none"/>
        </w:rPr>
        <w:t>巩越</w:t>
      </w:r>
      <w:r>
        <w:rPr>
          <w:rFonts w:eastAsia="仿宋_GB2312"/>
          <w:color w:val="auto"/>
          <w:szCs w:val="21"/>
          <w:highlight w:val="none"/>
        </w:rPr>
        <w:tab/>
      </w:r>
      <w:r>
        <w:rPr>
          <w:rFonts w:eastAsia="仿宋_GB2312"/>
          <w:color w:val="auto"/>
          <w:szCs w:val="21"/>
          <w:highlight w:val="none"/>
        </w:rPr>
        <w:t>客户经理</w:t>
      </w:r>
      <w:r>
        <w:rPr>
          <w:rFonts w:eastAsia="仿宋_GB2312"/>
          <w:color w:val="auto"/>
          <w:szCs w:val="21"/>
          <w:highlight w:val="none"/>
        </w:rPr>
        <w:tab/>
      </w:r>
      <w:r>
        <w:rPr>
          <w:rFonts w:eastAsia="仿宋_GB2312"/>
          <w:color w:val="auto"/>
          <w:szCs w:val="21"/>
          <w:highlight w:val="none"/>
        </w:rPr>
        <w:t>029-87609419</w:t>
      </w:r>
      <w:r>
        <w:rPr>
          <w:rFonts w:eastAsia="仿宋_GB2312"/>
          <w:color w:val="auto"/>
          <w:szCs w:val="21"/>
          <w:highlight w:val="none"/>
        </w:rPr>
        <w:tab/>
      </w:r>
      <w:r>
        <w:rPr>
          <w:rFonts w:eastAsia="仿宋_GB2312"/>
          <w:color w:val="auto"/>
          <w:szCs w:val="21"/>
          <w:highlight w:val="none"/>
        </w:rPr>
        <w:t>18629450680</w:t>
      </w:r>
    </w:p>
    <w:p w14:paraId="77D0D40B">
      <w:pPr>
        <w:shd w:val="clear" w:color="auto" w:fill="auto"/>
        <w:rPr>
          <w:rFonts w:eastAsia="仿宋_GB2312"/>
          <w:b/>
          <w:color w:val="auto"/>
          <w:szCs w:val="21"/>
          <w:highlight w:val="none"/>
        </w:rPr>
      </w:pPr>
      <w:r>
        <w:rPr>
          <w:rFonts w:eastAsia="仿宋_GB2312"/>
          <w:b/>
          <w:color w:val="auto"/>
          <w:szCs w:val="21"/>
          <w:highlight w:val="none"/>
        </w:rPr>
        <w:t>四、中信银行 （政采e贷）</w:t>
      </w:r>
    </w:p>
    <w:p w14:paraId="1CEF7C2C">
      <w:pPr>
        <w:shd w:val="clear" w:color="auto" w:fill="auto"/>
        <w:ind w:firstLine="420" w:firstLineChars="200"/>
        <w:rPr>
          <w:rFonts w:eastAsia="仿宋_GB2312"/>
          <w:color w:val="auto"/>
          <w:szCs w:val="21"/>
          <w:highlight w:val="none"/>
        </w:rPr>
      </w:pPr>
      <w:r>
        <w:rPr>
          <w:rFonts w:eastAsia="仿宋_GB2312"/>
          <w:color w:val="auto"/>
          <w:szCs w:val="21"/>
          <w:highlight w:val="none"/>
        </w:rPr>
        <w:t>西安分行</w:t>
      </w:r>
      <w:r>
        <w:rPr>
          <w:rFonts w:eastAsia="仿宋_GB2312"/>
          <w:color w:val="auto"/>
          <w:szCs w:val="21"/>
          <w:highlight w:val="none"/>
        </w:rPr>
        <w:tab/>
      </w:r>
      <w:r>
        <w:rPr>
          <w:rFonts w:eastAsia="仿宋_GB2312"/>
          <w:color w:val="auto"/>
          <w:szCs w:val="21"/>
          <w:highlight w:val="none"/>
        </w:rPr>
        <w:t>西安市朱雀大街中段1号</w:t>
      </w:r>
      <w:r>
        <w:rPr>
          <w:rFonts w:eastAsia="仿宋_GB2312"/>
          <w:color w:val="auto"/>
          <w:szCs w:val="21"/>
          <w:highlight w:val="none"/>
        </w:rPr>
        <w:tab/>
      </w:r>
      <w:r>
        <w:rPr>
          <w:rFonts w:eastAsia="仿宋_GB2312"/>
          <w:color w:val="auto"/>
          <w:szCs w:val="21"/>
          <w:highlight w:val="none"/>
        </w:rPr>
        <w:t xml:space="preserve">曹晓聪13759957407 </w:t>
      </w:r>
      <w:r>
        <w:rPr>
          <w:rFonts w:hint="eastAsia" w:eastAsia="仿宋_GB2312"/>
          <w:color w:val="auto"/>
          <w:szCs w:val="21"/>
          <w:highlight w:val="none"/>
        </w:rPr>
        <w:t>魏敏1</w:t>
      </w:r>
      <w:r>
        <w:rPr>
          <w:rFonts w:eastAsia="仿宋_GB2312"/>
          <w:color w:val="auto"/>
          <w:szCs w:val="21"/>
          <w:highlight w:val="none"/>
        </w:rPr>
        <w:t>8681897602</w:t>
      </w:r>
    </w:p>
    <w:p w14:paraId="2C65D4E0">
      <w:pPr>
        <w:shd w:val="clear" w:color="auto" w:fill="auto"/>
        <w:ind w:firstLine="420" w:firstLineChars="200"/>
        <w:rPr>
          <w:rFonts w:eastAsia="仿宋_GB2312"/>
          <w:color w:val="auto"/>
          <w:szCs w:val="21"/>
          <w:highlight w:val="none"/>
        </w:rPr>
      </w:pPr>
      <w:r>
        <w:rPr>
          <w:rFonts w:eastAsia="仿宋_GB2312"/>
          <w:color w:val="auto"/>
          <w:szCs w:val="21"/>
          <w:highlight w:val="none"/>
        </w:rPr>
        <w:t>咸阳分行</w:t>
      </w:r>
      <w:r>
        <w:rPr>
          <w:rFonts w:eastAsia="仿宋_GB2312"/>
          <w:color w:val="auto"/>
          <w:szCs w:val="21"/>
          <w:highlight w:val="none"/>
        </w:rPr>
        <w:tab/>
      </w:r>
      <w:r>
        <w:rPr>
          <w:rFonts w:eastAsia="仿宋_GB2312"/>
          <w:color w:val="auto"/>
          <w:szCs w:val="21"/>
          <w:highlight w:val="none"/>
        </w:rPr>
        <w:t>秦皇中路绿苑大厦</w:t>
      </w:r>
      <w:r>
        <w:rPr>
          <w:rFonts w:eastAsia="仿宋_GB2312"/>
          <w:color w:val="auto"/>
          <w:szCs w:val="21"/>
          <w:highlight w:val="none"/>
        </w:rPr>
        <w:tab/>
      </w:r>
      <w:r>
        <w:rPr>
          <w:rFonts w:eastAsia="仿宋_GB2312"/>
          <w:color w:val="auto"/>
          <w:szCs w:val="21"/>
          <w:highlight w:val="none"/>
        </w:rPr>
        <w:t>杭群13992016859</w:t>
      </w:r>
    </w:p>
    <w:p w14:paraId="14803BC4">
      <w:pPr>
        <w:shd w:val="clear" w:color="auto" w:fill="auto"/>
        <w:ind w:firstLine="420" w:firstLineChars="200"/>
        <w:rPr>
          <w:rFonts w:eastAsia="仿宋_GB2312"/>
          <w:color w:val="auto"/>
          <w:szCs w:val="21"/>
          <w:highlight w:val="none"/>
        </w:rPr>
      </w:pPr>
      <w:r>
        <w:rPr>
          <w:rFonts w:eastAsia="仿宋_GB2312"/>
          <w:color w:val="auto"/>
          <w:szCs w:val="21"/>
          <w:highlight w:val="none"/>
        </w:rPr>
        <w:t>宝鸡分行</w:t>
      </w:r>
      <w:r>
        <w:rPr>
          <w:rFonts w:eastAsia="仿宋_GB2312"/>
          <w:color w:val="auto"/>
          <w:szCs w:val="21"/>
          <w:highlight w:val="none"/>
        </w:rPr>
        <w:tab/>
      </w:r>
      <w:r>
        <w:rPr>
          <w:rFonts w:eastAsia="仿宋_GB2312"/>
          <w:color w:val="auto"/>
          <w:szCs w:val="21"/>
          <w:highlight w:val="none"/>
        </w:rPr>
        <w:t>宝鸡市高新大道50号财富大厦B座</w:t>
      </w:r>
      <w:r>
        <w:rPr>
          <w:rFonts w:eastAsia="仿宋_GB2312"/>
          <w:color w:val="auto"/>
          <w:szCs w:val="21"/>
          <w:highlight w:val="none"/>
        </w:rPr>
        <w:tab/>
      </w:r>
      <w:r>
        <w:rPr>
          <w:rFonts w:eastAsia="仿宋_GB2312"/>
          <w:color w:val="auto"/>
          <w:szCs w:val="21"/>
          <w:highlight w:val="none"/>
        </w:rPr>
        <w:t>王尧13636762976</w:t>
      </w:r>
    </w:p>
    <w:p w14:paraId="79576E13">
      <w:pPr>
        <w:shd w:val="clear" w:color="auto" w:fill="auto"/>
        <w:ind w:firstLine="420" w:firstLineChars="200"/>
        <w:rPr>
          <w:rFonts w:eastAsia="仿宋_GB2312"/>
          <w:color w:val="auto"/>
          <w:szCs w:val="21"/>
          <w:highlight w:val="none"/>
        </w:rPr>
      </w:pPr>
      <w:r>
        <w:rPr>
          <w:rFonts w:eastAsia="仿宋_GB2312"/>
          <w:color w:val="auto"/>
          <w:szCs w:val="21"/>
          <w:highlight w:val="none"/>
        </w:rPr>
        <w:t>渭南分行</w:t>
      </w:r>
      <w:r>
        <w:rPr>
          <w:rFonts w:eastAsia="仿宋_GB2312"/>
          <w:color w:val="auto"/>
          <w:szCs w:val="21"/>
          <w:highlight w:val="none"/>
        </w:rPr>
        <w:tab/>
      </w:r>
      <w:r>
        <w:rPr>
          <w:rFonts w:eastAsia="仿宋_GB2312"/>
          <w:color w:val="auto"/>
          <w:szCs w:val="21"/>
          <w:highlight w:val="none"/>
        </w:rPr>
        <w:t>渭南市朝阳大街中段信达广场世纪明珠大厦</w:t>
      </w:r>
      <w:r>
        <w:rPr>
          <w:rFonts w:eastAsia="仿宋_GB2312"/>
          <w:color w:val="auto"/>
          <w:szCs w:val="21"/>
          <w:highlight w:val="none"/>
        </w:rPr>
        <w:tab/>
      </w:r>
      <w:r>
        <w:rPr>
          <w:rFonts w:eastAsia="仿宋_GB2312"/>
          <w:color w:val="auto"/>
          <w:szCs w:val="21"/>
          <w:highlight w:val="none"/>
        </w:rPr>
        <w:t>杨阳</w:t>
      </w:r>
      <w:r>
        <w:rPr>
          <w:rFonts w:eastAsia="仿宋_GB2312"/>
          <w:color w:val="auto"/>
          <w:szCs w:val="21"/>
          <w:highlight w:val="none"/>
        </w:rPr>
        <w:tab/>
      </w:r>
      <w:r>
        <w:rPr>
          <w:rFonts w:eastAsia="仿宋_GB2312"/>
          <w:color w:val="auto"/>
          <w:szCs w:val="21"/>
          <w:highlight w:val="none"/>
        </w:rPr>
        <w:t>18191815559</w:t>
      </w:r>
    </w:p>
    <w:p w14:paraId="018B18A9">
      <w:pPr>
        <w:shd w:val="clear" w:color="auto" w:fill="auto"/>
        <w:ind w:firstLine="420" w:firstLineChars="200"/>
        <w:rPr>
          <w:rFonts w:eastAsia="仿宋_GB2312"/>
          <w:color w:val="auto"/>
          <w:szCs w:val="21"/>
          <w:highlight w:val="none"/>
        </w:rPr>
      </w:pPr>
      <w:r>
        <w:rPr>
          <w:rFonts w:eastAsia="仿宋_GB2312"/>
          <w:color w:val="auto"/>
          <w:szCs w:val="21"/>
          <w:highlight w:val="none"/>
        </w:rPr>
        <w:t>榆林分行</w:t>
      </w:r>
      <w:r>
        <w:rPr>
          <w:rFonts w:eastAsia="仿宋_GB2312"/>
          <w:color w:val="auto"/>
          <w:szCs w:val="21"/>
          <w:highlight w:val="none"/>
        </w:rPr>
        <w:tab/>
      </w:r>
      <w:r>
        <w:rPr>
          <w:rFonts w:eastAsia="仿宋_GB2312"/>
          <w:color w:val="auto"/>
          <w:szCs w:val="21"/>
          <w:highlight w:val="none"/>
        </w:rPr>
        <w:t>榆林市高新区长兴路248号中信银行</w:t>
      </w:r>
      <w:r>
        <w:rPr>
          <w:rFonts w:eastAsia="仿宋_GB2312"/>
          <w:color w:val="auto"/>
          <w:szCs w:val="21"/>
          <w:highlight w:val="none"/>
        </w:rPr>
        <w:tab/>
      </w:r>
      <w:r>
        <w:rPr>
          <w:rFonts w:eastAsia="仿宋_GB2312"/>
          <w:color w:val="auto"/>
          <w:szCs w:val="21"/>
          <w:highlight w:val="none"/>
        </w:rPr>
        <w:t>刘洪巍</w:t>
      </w:r>
      <w:r>
        <w:rPr>
          <w:rFonts w:eastAsia="仿宋_GB2312"/>
          <w:color w:val="auto"/>
          <w:szCs w:val="21"/>
          <w:highlight w:val="none"/>
        </w:rPr>
        <w:tab/>
      </w:r>
      <w:r>
        <w:rPr>
          <w:rFonts w:eastAsia="仿宋_GB2312"/>
          <w:color w:val="auto"/>
          <w:szCs w:val="21"/>
          <w:highlight w:val="none"/>
        </w:rPr>
        <w:t>13636885556</w:t>
      </w:r>
    </w:p>
    <w:p w14:paraId="2A7DF914">
      <w:pPr>
        <w:shd w:val="clear" w:color="auto" w:fill="auto"/>
        <w:ind w:left="1680" w:leftChars="200" w:hanging="1260" w:hangingChars="600"/>
        <w:rPr>
          <w:rFonts w:eastAsia="仿宋_GB2312"/>
          <w:color w:val="auto"/>
          <w:szCs w:val="21"/>
          <w:highlight w:val="none"/>
        </w:rPr>
      </w:pPr>
      <w:r>
        <w:rPr>
          <w:rFonts w:eastAsia="仿宋_GB2312"/>
          <w:color w:val="auto"/>
          <w:szCs w:val="21"/>
          <w:highlight w:val="none"/>
        </w:rPr>
        <w:t>汉中分行</w:t>
      </w:r>
      <w:r>
        <w:rPr>
          <w:rFonts w:eastAsia="仿宋_GB2312"/>
          <w:color w:val="auto"/>
          <w:szCs w:val="21"/>
          <w:highlight w:val="none"/>
        </w:rPr>
        <w:tab/>
      </w:r>
      <w:r>
        <w:rPr>
          <w:rFonts w:eastAsia="仿宋_GB2312"/>
          <w:color w:val="auto"/>
          <w:szCs w:val="21"/>
          <w:highlight w:val="none"/>
        </w:rPr>
        <w:t>汉中市汉台区西二环路与劳动西路东南汉中滨江•公园壹号（产业孵化区）3B号楼</w:t>
      </w:r>
      <w:r>
        <w:rPr>
          <w:rFonts w:eastAsia="仿宋_GB2312"/>
          <w:color w:val="auto"/>
          <w:szCs w:val="21"/>
          <w:highlight w:val="none"/>
        </w:rPr>
        <w:tab/>
      </w:r>
      <w:r>
        <w:rPr>
          <w:rFonts w:eastAsia="仿宋_GB2312"/>
          <w:color w:val="auto"/>
          <w:szCs w:val="21"/>
          <w:highlight w:val="none"/>
        </w:rPr>
        <w:t>陈真</w:t>
      </w:r>
      <w:r>
        <w:rPr>
          <w:rFonts w:eastAsia="仿宋_GB2312"/>
          <w:color w:val="auto"/>
          <w:szCs w:val="21"/>
          <w:highlight w:val="none"/>
        </w:rPr>
        <w:tab/>
      </w:r>
      <w:r>
        <w:rPr>
          <w:rFonts w:eastAsia="仿宋_GB2312"/>
          <w:color w:val="auto"/>
          <w:szCs w:val="21"/>
          <w:highlight w:val="none"/>
        </w:rPr>
        <w:t>18509165068</w:t>
      </w:r>
    </w:p>
    <w:p w14:paraId="4D1381A4">
      <w:pPr>
        <w:shd w:val="clear" w:color="auto" w:fill="auto"/>
        <w:rPr>
          <w:rFonts w:eastAsia="仿宋_GB2312"/>
          <w:b/>
          <w:color w:val="auto"/>
          <w:szCs w:val="21"/>
          <w:highlight w:val="none"/>
        </w:rPr>
      </w:pPr>
      <w:r>
        <w:rPr>
          <w:rFonts w:eastAsia="仿宋_GB2312"/>
          <w:b/>
          <w:color w:val="auto"/>
          <w:szCs w:val="21"/>
          <w:highlight w:val="none"/>
        </w:rPr>
        <w:t>五、中国光大银行（阳光政采贷）</w:t>
      </w:r>
      <w:r>
        <w:rPr>
          <w:rFonts w:eastAsia="仿宋_GB2312"/>
          <w:b/>
          <w:color w:val="auto"/>
          <w:szCs w:val="21"/>
          <w:highlight w:val="none"/>
        </w:rPr>
        <w:tab/>
      </w:r>
      <w:r>
        <w:rPr>
          <w:rFonts w:eastAsia="仿宋_GB2312"/>
          <w:b/>
          <w:color w:val="auto"/>
          <w:szCs w:val="21"/>
          <w:highlight w:val="none"/>
        </w:rPr>
        <w:tab/>
      </w:r>
      <w:r>
        <w:rPr>
          <w:rFonts w:eastAsia="仿宋_GB2312"/>
          <w:b/>
          <w:color w:val="auto"/>
          <w:szCs w:val="21"/>
          <w:highlight w:val="none"/>
        </w:rPr>
        <w:tab/>
      </w:r>
      <w:r>
        <w:rPr>
          <w:rFonts w:eastAsia="仿宋_GB2312"/>
          <w:b/>
          <w:color w:val="auto"/>
          <w:szCs w:val="21"/>
          <w:highlight w:val="none"/>
        </w:rPr>
        <w:tab/>
      </w:r>
    </w:p>
    <w:p w14:paraId="7CA02203">
      <w:pPr>
        <w:shd w:val="clear" w:color="auto" w:fill="auto"/>
        <w:ind w:firstLine="420" w:firstLineChars="200"/>
        <w:rPr>
          <w:rFonts w:eastAsia="仿宋_GB2312"/>
          <w:color w:val="auto"/>
          <w:szCs w:val="21"/>
          <w:highlight w:val="none"/>
        </w:rPr>
      </w:pPr>
      <w:r>
        <w:rPr>
          <w:rFonts w:eastAsia="仿宋_GB2312"/>
          <w:color w:val="auto"/>
          <w:szCs w:val="21"/>
          <w:highlight w:val="none"/>
        </w:rPr>
        <w:t>宝鸡分行</w:t>
      </w:r>
      <w:r>
        <w:rPr>
          <w:rFonts w:eastAsia="仿宋_GB2312"/>
          <w:color w:val="auto"/>
          <w:szCs w:val="21"/>
          <w:highlight w:val="none"/>
        </w:rPr>
        <w:tab/>
      </w:r>
      <w:r>
        <w:rPr>
          <w:rFonts w:eastAsia="仿宋_GB2312"/>
          <w:color w:val="auto"/>
          <w:szCs w:val="21"/>
          <w:highlight w:val="none"/>
        </w:rPr>
        <w:t>杨 欢</w:t>
      </w:r>
      <w:r>
        <w:rPr>
          <w:rFonts w:eastAsia="仿宋_GB2312"/>
          <w:color w:val="auto"/>
          <w:szCs w:val="21"/>
          <w:highlight w:val="none"/>
        </w:rPr>
        <w:tab/>
      </w:r>
      <w:r>
        <w:rPr>
          <w:rFonts w:eastAsia="仿宋_GB2312"/>
          <w:color w:val="auto"/>
          <w:szCs w:val="21"/>
          <w:highlight w:val="none"/>
        </w:rPr>
        <w:t>0917-3451055</w:t>
      </w:r>
      <w:r>
        <w:rPr>
          <w:rFonts w:eastAsia="仿宋_GB2312"/>
          <w:color w:val="auto"/>
          <w:szCs w:val="21"/>
          <w:highlight w:val="none"/>
        </w:rPr>
        <w:tab/>
      </w:r>
      <w:r>
        <w:rPr>
          <w:rFonts w:eastAsia="仿宋_GB2312"/>
          <w:color w:val="auto"/>
          <w:szCs w:val="21"/>
          <w:highlight w:val="none"/>
        </w:rPr>
        <w:t>18329677163</w:t>
      </w:r>
    </w:p>
    <w:p w14:paraId="3E6CB4E5">
      <w:pPr>
        <w:shd w:val="clear" w:color="auto" w:fill="auto"/>
        <w:ind w:firstLine="420" w:firstLineChars="200"/>
        <w:rPr>
          <w:rFonts w:eastAsia="仿宋_GB2312"/>
          <w:color w:val="auto"/>
          <w:szCs w:val="21"/>
          <w:highlight w:val="none"/>
        </w:rPr>
      </w:pPr>
      <w:r>
        <w:rPr>
          <w:rFonts w:eastAsia="仿宋_GB2312"/>
          <w:color w:val="auto"/>
          <w:szCs w:val="21"/>
          <w:highlight w:val="none"/>
        </w:rPr>
        <w:t>榆林分行</w:t>
      </w:r>
      <w:r>
        <w:rPr>
          <w:rFonts w:eastAsia="仿宋_GB2312"/>
          <w:color w:val="auto"/>
          <w:szCs w:val="21"/>
          <w:highlight w:val="none"/>
        </w:rPr>
        <w:tab/>
      </w:r>
      <w:r>
        <w:rPr>
          <w:rFonts w:eastAsia="仿宋_GB2312"/>
          <w:color w:val="auto"/>
          <w:szCs w:val="21"/>
          <w:highlight w:val="none"/>
        </w:rPr>
        <w:t>尚云鹏</w:t>
      </w:r>
      <w:r>
        <w:rPr>
          <w:rFonts w:eastAsia="仿宋_GB2312"/>
          <w:color w:val="auto"/>
          <w:szCs w:val="21"/>
          <w:highlight w:val="none"/>
        </w:rPr>
        <w:tab/>
      </w:r>
      <w:r>
        <w:rPr>
          <w:rFonts w:eastAsia="仿宋_GB2312"/>
          <w:color w:val="auto"/>
          <w:szCs w:val="21"/>
          <w:highlight w:val="none"/>
        </w:rPr>
        <w:t>0912-3548019</w:t>
      </w:r>
      <w:r>
        <w:rPr>
          <w:rFonts w:eastAsia="仿宋_GB2312"/>
          <w:color w:val="auto"/>
          <w:szCs w:val="21"/>
          <w:highlight w:val="none"/>
        </w:rPr>
        <w:tab/>
      </w:r>
      <w:r>
        <w:rPr>
          <w:rFonts w:eastAsia="仿宋_GB2312"/>
          <w:color w:val="auto"/>
          <w:szCs w:val="21"/>
          <w:highlight w:val="none"/>
        </w:rPr>
        <w:t>18690473126</w:t>
      </w:r>
    </w:p>
    <w:p w14:paraId="7C790B5B">
      <w:pPr>
        <w:shd w:val="clear" w:color="auto" w:fill="auto"/>
        <w:ind w:firstLine="420" w:firstLineChars="200"/>
        <w:rPr>
          <w:rFonts w:eastAsia="仿宋_GB2312"/>
          <w:color w:val="auto"/>
          <w:szCs w:val="21"/>
          <w:highlight w:val="none"/>
        </w:rPr>
      </w:pPr>
      <w:r>
        <w:rPr>
          <w:rFonts w:eastAsia="仿宋_GB2312"/>
          <w:color w:val="auto"/>
          <w:szCs w:val="21"/>
          <w:highlight w:val="none"/>
        </w:rPr>
        <w:t>延安分行</w:t>
      </w:r>
      <w:r>
        <w:rPr>
          <w:rFonts w:eastAsia="仿宋_GB2312"/>
          <w:color w:val="auto"/>
          <w:szCs w:val="21"/>
          <w:highlight w:val="none"/>
        </w:rPr>
        <w:tab/>
      </w:r>
      <w:r>
        <w:rPr>
          <w:rFonts w:eastAsia="仿宋_GB2312"/>
          <w:color w:val="auto"/>
          <w:szCs w:val="21"/>
          <w:highlight w:val="none"/>
        </w:rPr>
        <w:t>汪昊田</w:t>
      </w:r>
      <w:r>
        <w:rPr>
          <w:rFonts w:eastAsia="仿宋_GB2312"/>
          <w:color w:val="auto"/>
          <w:szCs w:val="21"/>
          <w:highlight w:val="none"/>
        </w:rPr>
        <w:tab/>
      </w:r>
      <w:r>
        <w:rPr>
          <w:rFonts w:eastAsia="仿宋_GB2312"/>
          <w:color w:val="auto"/>
          <w:szCs w:val="21"/>
          <w:highlight w:val="none"/>
        </w:rPr>
        <w:t>0911-8011831</w:t>
      </w:r>
      <w:r>
        <w:rPr>
          <w:rFonts w:eastAsia="仿宋_GB2312"/>
          <w:color w:val="auto"/>
          <w:szCs w:val="21"/>
          <w:highlight w:val="none"/>
        </w:rPr>
        <w:tab/>
      </w:r>
      <w:r>
        <w:rPr>
          <w:rFonts w:eastAsia="仿宋_GB2312"/>
          <w:color w:val="auto"/>
          <w:szCs w:val="21"/>
          <w:highlight w:val="none"/>
        </w:rPr>
        <w:t>13509115500</w:t>
      </w:r>
    </w:p>
    <w:p w14:paraId="48DD17D2">
      <w:pPr>
        <w:shd w:val="clear" w:color="auto" w:fill="auto"/>
        <w:ind w:firstLine="420" w:firstLineChars="200"/>
        <w:rPr>
          <w:rFonts w:eastAsia="仿宋_GB2312"/>
          <w:color w:val="auto"/>
          <w:szCs w:val="21"/>
          <w:highlight w:val="none"/>
        </w:rPr>
      </w:pPr>
      <w:r>
        <w:rPr>
          <w:rFonts w:eastAsia="仿宋_GB2312"/>
          <w:color w:val="auto"/>
          <w:szCs w:val="21"/>
          <w:highlight w:val="none"/>
        </w:rPr>
        <w:t>咸阳分行</w:t>
      </w:r>
      <w:r>
        <w:rPr>
          <w:rFonts w:eastAsia="仿宋_GB2312"/>
          <w:color w:val="auto"/>
          <w:szCs w:val="21"/>
          <w:highlight w:val="none"/>
        </w:rPr>
        <w:tab/>
      </w:r>
      <w:r>
        <w:rPr>
          <w:rFonts w:eastAsia="仿宋_GB2312"/>
          <w:color w:val="auto"/>
          <w:szCs w:val="21"/>
          <w:highlight w:val="none"/>
        </w:rPr>
        <w:t>侯 佳</w:t>
      </w:r>
      <w:r>
        <w:rPr>
          <w:rFonts w:eastAsia="仿宋_GB2312"/>
          <w:color w:val="auto"/>
          <w:szCs w:val="21"/>
          <w:highlight w:val="none"/>
        </w:rPr>
        <w:tab/>
      </w:r>
      <w:r>
        <w:rPr>
          <w:rFonts w:eastAsia="仿宋_GB2312"/>
          <w:color w:val="auto"/>
          <w:szCs w:val="21"/>
          <w:highlight w:val="none"/>
        </w:rPr>
        <w:t>32100021</w:t>
      </w:r>
      <w:r>
        <w:rPr>
          <w:rFonts w:eastAsia="仿宋_GB2312"/>
          <w:color w:val="auto"/>
          <w:szCs w:val="21"/>
          <w:highlight w:val="none"/>
        </w:rPr>
        <w:tab/>
      </w:r>
      <w:r>
        <w:rPr>
          <w:rFonts w:eastAsia="仿宋_GB2312"/>
          <w:color w:val="auto"/>
          <w:szCs w:val="21"/>
          <w:highlight w:val="none"/>
        </w:rPr>
        <w:t>15229500088</w:t>
      </w:r>
    </w:p>
    <w:p w14:paraId="42D91B30">
      <w:pPr>
        <w:shd w:val="clear" w:color="auto" w:fill="auto"/>
        <w:ind w:firstLine="420" w:firstLineChars="200"/>
        <w:rPr>
          <w:rFonts w:eastAsia="仿宋_GB2312"/>
          <w:color w:val="auto"/>
          <w:szCs w:val="21"/>
          <w:highlight w:val="none"/>
        </w:rPr>
      </w:pPr>
      <w:r>
        <w:rPr>
          <w:rFonts w:eastAsia="仿宋_GB2312"/>
          <w:color w:val="auto"/>
          <w:szCs w:val="21"/>
          <w:highlight w:val="none"/>
        </w:rPr>
        <w:t>营销一部</w:t>
      </w:r>
      <w:r>
        <w:rPr>
          <w:rFonts w:eastAsia="仿宋_GB2312"/>
          <w:color w:val="auto"/>
          <w:szCs w:val="21"/>
          <w:highlight w:val="none"/>
        </w:rPr>
        <w:tab/>
      </w:r>
      <w:r>
        <w:rPr>
          <w:rFonts w:eastAsia="仿宋_GB2312"/>
          <w:color w:val="auto"/>
          <w:szCs w:val="21"/>
          <w:highlight w:val="none"/>
        </w:rPr>
        <w:t>李 敏</w:t>
      </w:r>
      <w:r>
        <w:rPr>
          <w:rFonts w:eastAsia="仿宋_GB2312"/>
          <w:color w:val="auto"/>
          <w:szCs w:val="21"/>
          <w:highlight w:val="none"/>
        </w:rPr>
        <w:tab/>
      </w:r>
      <w:r>
        <w:rPr>
          <w:rFonts w:eastAsia="仿宋_GB2312"/>
          <w:color w:val="auto"/>
          <w:szCs w:val="21"/>
          <w:highlight w:val="none"/>
        </w:rPr>
        <w:t>87236311</w:t>
      </w:r>
      <w:r>
        <w:rPr>
          <w:rFonts w:eastAsia="仿宋_GB2312"/>
          <w:color w:val="auto"/>
          <w:szCs w:val="21"/>
          <w:highlight w:val="none"/>
        </w:rPr>
        <w:tab/>
      </w:r>
      <w:r>
        <w:rPr>
          <w:rFonts w:eastAsia="仿宋_GB2312"/>
          <w:color w:val="auto"/>
          <w:szCs w:val="21"/>
          <w:highlight w:val="none"/>
        </w:rPr>
        <w:t>13772031109</w:t>
      </w:r>
    </w:p>
    <w:p w14:paraId="6FC9F309">
      <w:pPr>
        <w:shd w:val="clear" w:color="auto" w:fill="auto"/>
        <w:ind w:firstLine="420" w:firstLineChars="200"/>
        <w:rPr>
          <w:rFonts w:eastAsia="仿宋_GB2312"/>
          <w:color w:val="auto"/>
          <w:szCs w:val="21"/>
          <w:highlight w:val="none"/>
        </w:rPr>
      </w:pPr>
      <w:r>
        <w:rPr>
          <w:rFonts w:eastAsia="仿宋_GB2312"/>
          <w:color w:val="auto"/>
          <w:szCs w:val="21"/>
          <w:highlight w:val="none"/>
        </w:rPr>
        <w:t>营销二部</w:t>
      </w:r>
      <w:r>
        <w:rPr>
          <w:rFonts w:eastAsia="仿宋_GB2312"/>
          <w:color w:val="auto"/>
          <w:szCs w:val="21"/>
          <w:highlight w:val="none"/>
        </w:rPr>
        <w:tab/>
      </w:r>
      <w:r>
        <w:rPr>
          <w:rFonts w:eastAsia="仿宋_GB2312"/>
          <w:color w:val="auto"/>
          <w:szCs w:val="21"/>
          <w:highlight w:val="none"/>
        </w:rPr>
        <w:t>朱翰辰</w:t>
      </w:r>
      <w:r>
        <w:rPr>
          <w:rFonts w:eastAsia="仿宋_GB2312"/>
          <w:color w:val="auto"/>
          <w:szCs w:val="21"/>
          <w:highlight w:val="none"/>
        </w:rPr>
        <w:tab/>
      </w:r>
      <w:r>
        <w:rPr>
          <w:rFonts w:eastAsia="仿宋_GB2312"/>
          <w:color w:val="auto"/>
          <w:szCs w:val="21"/>
          <w:highlight w:val="none"/>
        </w:rPr>
        <w:t>87236201</w:t>
      </w:r>
      <w:r>
        <w:rPr>
          <w:rFonts w:eastAsia="仿宋_GB2312"/>
          <w:color w:val="auto"/>
          <w:szCs w:val="21"/>
          <w:highlight w:val="none"/>
        </w:rPr>
        <w:tab/>
      </w:r>
      <w:r>
        <w:rPr>
          <w:rFonts w:eastAsia="仿宋_GB2312"/>
          <w:color w:val="auto"/>
          <w:szCs w:val="21"/>
          <w:highlight w:val="none"/>
        </w:rPr>
        <w:t>17791788078</w:t>
      </w:r>
    </w:p>
    <w:p w14:paraId="08DD6F43">
      <w:pPr>
        <w:shd w:val="clear" w:color="auto" w:fill="auto"/>
        <w:ind w:firstLine="420" w:firstLineChars="200"/>
        <w:rPr>
          <w:rFonts w:eastAsia="仿宋_GB2312"/>
          <w:color w:val="auto"/>
          <w:szCs w:val="21"/>
          <w:highlight w:val="none"/>
        </w:rPr>
      </w:pPr>
      <w:r>
        <w:rPr>
          <w:rFonts w:eastAsia="仿宋_GB2312"/>
          <w:color w:val="auto"/>
          <w:szCs w:val="21"/>
          <w:highlight w:val="none"/>
        </w:rPr>
        <w:t>营业部</w:t>
      </w:r>
      <w:r>
        <w:rPr>
          <w:rFonts w:eastAsia="仿宋_GB2312"/>
          <w:color w:val="auto"/>
          <w:szCs w:val="21"/>
          <w:highlight w:val="none"/>
        </w:rPr>
        <w:tab/>
      </w:r>
      <w:r>
        <w:rPr>
          <w:rFonts w:eastAsia="仿宋_GB2312"/>
          <w:color w:val="auto"/>
          <w:szCs w:val="21"/>
          <w:highlight w:val="none"/>
        </w:rPr>
        <w:t>张翔琮</w:t>
      </w:r>
      <w:r>
        <w:rPr>
          <w:rFonts w:eastAsia="仿宋_GB2312"/>
          <w:color w:val="auto"/>
          <w:szCs w:val="21"/>
          <w:highlight w:val="none"/>
        </w:rPr>
        <w:tab/>
      </w:r>
      <w:r>
        <w:rPr>
          <w:rFonts w:eastAsia="仿宋_GB2312"/>
          <w:color w:val="auto"/>
          <w:szCs w:val="21"/>
          <w:highlight w:val="none"/>
        </w:rPr>
        <w:t>87236306</w:t>
      </w:r>
      <w:r>
        <w:rPr>
          <w:rFonts w:eastAsia="仿宋_GB2312"/>
          <w:color w:val="auto"/>
          <w:szCs w:val="21"/>
          <w:highlight w:val="none"/>
        </w:rPr>
        <w:tab/>
      </w:r>
      <w:r>
        <w:rPr>
          <w:rFonts w:eastAsia="仿宋_GB2312"/>
          <w:color w:val="auto"/>
          <w:szCs w:val="21"/>
          <w:highlight w:val="none"/>
        </w:rPr>
        <w:t>18829235568</w:t>
      </w:r>
    </w:p>
    <w:p w14:paraId="20DC6372">
      <w:pPr>
        <w:shd w:val="clear" w:color="auto" w:fill="auto"/>
        <w:ind w:firstLine="420" w:firstLineChars="200"/>
        <w:rPr>
          <w:rFonts w:eastAsia="仿宋_GB2312"/>
          <w:color w:val="auto"/>
          <w:szCs w:val="21"/>
          <w:highlight w:val="none"/>
        </w:rPr>
      </w:pPr>
      <w:r>
        <w:rPr>
          <w:rFonts w:eastAsia="仿宋_GB2312"/>
          <w:color w:val="auto"/>
          <w:szCs w:val="21"/>
          <w:highlight w:val="none"/>
        </w:rPr>
        <w:t>电子城支行</w:t>
      </w:r>
      <w:r>
        <w:rPr>
          <w:rFonts w:eastAsia="仿宋_GB2312"/>
          <w:color w:val="auto"/>
          <w:szCs w:val="21"/>
          <w:highlight w:val="none"/>
        </w:rPr>
        <w:tab/>
      </w:r>
      <w:r>
        <w:rPr>
          <w:rFonts w:eastAsia="仿宋_GB2312"/>
          <w:color w:val="auto"/>
          <w:szCs w:val="21"/>
          <w:highlight w:val="none"/>
        </w:rPr>
        <w:t>张曼玉</w:t>
      </w:r>
      <w:r>
        <w:rPr>
          <w:rFonts w:eastAsia="仿宋_GB2312"/>
          <w:color w:val="auto"/>
          <w:szCs w:val="21"/>
          <w:highlight w:val="none"/>
        </w:rPr>
        <w:tab/>
      </w:r>
      <w:r>
        <w:rPr>
          <w:rFonts w:eastAsia="仿宋_GB2312"/>
          <w:color w:val="auto"/>
          <w:szCs w:val="21"/>
          <w:highlight w:val="none"/>
        </w:rPr>
        <w:t>88247071</w:t>
      </w:r>
      <w:r>
        <w:rPr>
          <w:rFonts w:eastAsia="仿宋_GB2312"/>
          <w:color w:val="auto"/>
          <w:szCs w:val="21"/>
          <w:highlight w:val="none"/>
        </w:rPr>
        <w:tab/>
      </w:r>
      <w:r>
        <w:rPr>
          <w:rFonts w:eastAsia="仿宋_GB2312"/>
          <w:color w:val="auto"/>
          <w:szCs w:val="21"/>
          <w:highlight w:val="none"/>
        </w:rPr>
        <w:t>18009298787</w:t>
      </w:r>
    </w:p>
    <w:p w14:paraId="691740BE">
      <w:pPr>
        <w:shd w:val="clear" w:color="auto" w:fill="auto"/>
        <w:ind w:firstLine="420" w:firstLineChars="200"/>
        <w:rPr>
          <w:rFonts w:eastAsia="仿宋_GB2312"/>
          <w:color w:val="auto"/>
          <w:szCs w:val="21"/>
          <w:highlight w:val="none"/>
        </w:rPr>
      </w:pPr>
      <w:r>
        <w:rPr>
          <w:rFonts w:eastAsia="仿宋_GB2312"/>
          <w:color w:val="auto"/>
          <w:szCs w:val="21"/>
          <w:highlight w:val="none"/>
        </w:rPr>
        <w:t>明德门支行</w:t>
      </w:r>
      <w:r>
        <w:rPr>
          <w:rFonts w:eastAsia="仿宋_GB2312"/>
          <w:color w:val="auto"/>
          <w:szCs w:val="21"/>
          <w:highlight w:val="none"/>
        </w:rPr>
        <w:tab/>
      </w:r>
      <w:r>
        <w:rPr>
          <w:rFonts w:eastAsia="仿宋_GB2312"/>
          <w:color w:val="auto"/>
          <w:szCs w:val="21"/>
          <w:highlight w:val="none"/>
        </w:rPr>
        <w:t>王 晨</w:t>
      </w:r>
      <w:r>
        <w:rPr>
          <w:rFonts w:eastAsia="仿宋_GB2312"/>
          <w:color w:val="auto"/>
          <w:szCs w:val="21"/>
          <w:highlight w:val="none"/>
        </w:rPr>
        <w:tab/>
      </w:r>
      <w:r>
        <w:rPr>
          <w:rFonts w:eastAsia="仿宋_GB2312"/>
          <w:color w:val="auto"/>
          <w:szCs w:val="21"/>
          <w:highlight w:val="none"/>
        </w:rPr>
        <w:t>85350770</w:t>
      </w:r>
      <w:r>
        <w:rPr>
          <w:rFonts w:eastAsia="仿宋_GB2312"/>
          <w:color w:val="auto"/>
          <w:szCs w:val="21"/>
          <w:highlight w:val="none"/>
        </w:rPr>
        <w:tab/>
      </w:r>
      <w:r>
        <w:rPr>
          <w:rFonts w:eastAsia="仿宋_GB2312"/>
          <w:color w:val="auto"/>
          <w:szCs w:val="21"/>
          <w:highlight w:val="none"/>
        </w:rPr>
        <w:t>13991249430</w:t>
      </w:r>
    </w:p>
    <w:p w14:paraId="557235A8">
      <w:pPr>
        <w:shd w:val="clear" w:color="auto" w:fill="auto"/>
        <w:ind w:firstLine="420" w:firstLineChars="200"/>
        <w:rPr>
          <w:rFonts w:eastAsia="仿宋_GB2312"/>
          <w:color w:val="auto"/>
          <w:szCs w:val="21"/>
          <w:highlight w:val="none"/>
        </w:rPr>
      </w:pPr>
      <w:r>
        <w:rPr>
          <w:rFonts w:eastAsia="仿宋_GB2312"/>
          <w:color w:val="auto"/>
          <w:szCs w:val="21"/>
          <w:highlight w:val="none"/>
        </w:rPr>
        <w:t>东大街支行</w:t>
      </w:r>
      <w:r>
        <w:rPr>
          <w:rFonts w:eastAsia="仿宋_GB2312"/>
          <w:color w:val="auto"/>
          <w:szCs w:val="21"/>
          <w:highlight w:val="none"/>
        </w:rPr>
        <w:tab/>
      </w:r>
      <w:r>
        <w:rPr>
          <w:rFonts w:eastAsia="仿宋_GB2312"/>
          <w:color w:val="auto"/>
          <w:szCs w:val="21"/>
          <w:highlight w:val="none"/>
        </w:rPr>
        <w:t>刘 林</w:t>
      </w:r>
      <w:r>
        <w:rPr>
          <w:rFonts w:eastAsia="仿宋_GB2312"/>
          <w:color w:val="auto"/>
          <w:szCs w:val="21"/>
          <w:highlight w:val="none"/>
        </w:rPr>
        <w:tab/>
      </w:r>
      <w:r>
        <w:rPr>
          <w:rFonts w:eastAsia="仿宋_GB2312"/>
          <w:color w:val="auto"/>
          <w:szCs w:val="21"/>
          <w:highlight w:val="none"/>
        </w:rPr>
        <w:t>87438914</w:t>
      </w:r>
      <w:r>
        <w:rPr>
          <w:rFonts w:eastAsia="仿宋_GB2312"/>
          <w:color w:val="auto"/>
          <w:szCs w:val="21"/>
          <w:highlight w:val="none"/>
        </w:rPr>
        <w:tab/>
      </w:r>
      <w:r>
        <w:rPr>
          <w:rFonts w:eastAsia="仿宋_GB2312"/>
          <w:color w:val="auto"/>
          <w:szCs w:val="21"/>
          <w:highlight w:val="none"/>
        </w:rPr>
        <w:t>15029673754</w:t>
      </w:r>
    </w:p>
    <w:p w14:paraId="1672AC9B">
      <w:pPr>
        <w:shd w:val="clear" w:color="auto" w:fill="auto"/>
        <w:ind w:firstLine="420" w:firstLineChars="200"/>
        <w:rPr>
          <w:rFonts w:eastAsia="仿宋_GB2312"/>
          <w:color w:val="auto"/>
          <w:szCs w:val="21"/>
          <w:highlight w:val="none"/>
        </w:rPr>
      </w:pPr>
      <w:r>
        <w:rPr>
          <w:rFonts w:eastAsia="仿宋_GB2312"/>
          <w:color w:val="auto"/>
          <w:szCs w:val="21"/>
          <w:highlight w:val="none"/>
        </w:rPr>
        <w:t>经济开发区支行</w:t>
      </w:r>
      <w:r>
        <w:rPr>
          <w:rFonts w:eastAsia="仿宋_GB2312"/>
          <w:color w:val="auto"/>
          <w:szCs w:val="21"/>
          <w:highlight w:val="none"/>
        </w:rPr>
        <w:tab/>
      </w:r>
      <w:r>
        <w:rPr>
          <w:rFonts w:eastAsia="仿宋_GB2312"/>
          <w:color w:val="auto"/>
          <w:szCs w:val="21"/>
          <w:highlight w:val="none"/>
        </w:rPr>
        <w:t>陆家俊</w:t>
      </w:r>
      <w:r>
        <w:rPr>
          <w:rFonts w:eastAsia="仿宋_GB2312"/>
          <w:color w:val="auto"/>
          <w:szCs w:val="21"/>
          <w:highlight w:val="none"/>
        </w:rPr>
        <w:tab/>
      </w:r>
      <w:r>
        <w:rPr>
          <w:rFonts w:eastAsia="仿宋_GB2312"/>
          <w:color w:val="auto"/>
          <w:szCs w:val="21"/>
          <w:highlight w:val="none"/>
        </w:rPr>
        <w:t>86525176</w:t>
      </w:r>
      <w:r>
        <w:rPr>
          <w:rFonts w:eastAsia="仿宋_GB2312"/>
          <w:color w:val="auto"/>
          <w:szCs w:val="21"/>
          <w:highlight w:val="none"/>
        </w:rPr>
        <w:tab/>
      </w:r>
      <w:r>
        <w:rPr>
          <w:rFonts w:eastAsia="仿宋_GB2312"/>
          <w:color w:val="auto"/>
          <w:szCs w:val="21"/>
          <w:highlight w:val="none"/>
        </w:rPr>
        <w:t>18629303397</w:t>
      </w:r>
    </w:p>
    <w:p w14:paraId="3E968522">
      <w:pPr>
        <w:shd w:val="clear" w:color="auto" w:fill="auto"/>
        <w:ind w:firstLine="420" w:firstLineChars="200"/>
        <w:rPr>
          <w:rFonts w:eastAsia="仿宋_GB2312"/>
          <w:color w:val="auto"/>
          <w:szCs w:val="21"/>
          <w:highlight w:val="none"/>
        </w:rPr>
      </w:pPr>
      <w:r>
        <w:rPr>
          <w:rFonts w:eastAsia="仿宋_GB2312"/>
          <w:color w:val="auto"/>
          <w:szCs w:val="21"/>
          <w:highlight w:val="none"/>
        </w:rPr>
        <w:t>凤城九路支行</w:t>
      </w:r>
      <w:r>
        <w:rPr>
          <w:rFonts w:eastAsia="仿宋_GB2312"/>
          <w:color w:val="auto"/>
          <w:szCs w:val="21"/>
          <w:highlight w:val="none"/>
        </w:rPr>
        <w:tab/>
      </w:r>
      <w:r>
        <w:rPr>
          <w:rFonts w:eastAsia="仿宋_GB2312"/>
          <w:color w:val="auto"/>
          <w:szCs w:val="21"/>
          <w:highlight w:val="none"/>
        </w:rPr>
        <w:t>宋 宜</w:t>
      </w:r>
      <w:r>
        <w:rPr>
          <w:rFonts w:eastAsia="仿宋_GB2312"/>
          <w:color w:val="auto"/>
          <w:szCs w:val="21"/>
          <w:highlight w:val="none"/>
        </w:rPr>
        <w:tab/>
      </w:r>
      <w:r>
        <w:rPr>
          <w:rFonts w:eastAsia="仿宋_GB2312"/>
          <w:color w:val="auto"/>
          <w:szCs w:val="21"/>
          <w:highlight w:val="none"/>
        </w:rPr>
        <w:t>89155022</w:t>
      </w:r>
      <w:r>
        <w:rPr>
          <w:rFonts w:eastAsia="仿宋_GB2312"/>
          <w:color w:val="auto"/>
          <w:szCs w:val="21"/>
          <w:highlight w:val="none"/>
        </w:rPr>
        <w:tab/>
      </w:r>
      <w:r>
        <w:rPr>
          <w:rFonts w:eastAsia="仿宋_GB2312"/>
          <w:color w:val="auto"/>
          <w:szCs w:val="21"/>
          <w:highlight w:val="none"/>
        </w:rPr>
        <w:t>18966911622</w:t>
      </w:r>
    </w:p>
    <w:p w14:paraId="3E1D5167">
      <w:pPr>
        <w:shd w:val="clear" w:color="auto" w:fill="auto"/>
        <w:ind w:firstLine="420" w:firstLineChars="200"/>
        <w:rPr>
          <w:rFonts w:eastAsia="仿宋_GB2312"/>
          <w:color w:val="auto"/>
          <w:szCs w:val="21"/>
          <w:highlight w:val="none"/>
        </w:rPr>
      </w:pPr>
      <w:r>
        <w:rPr>
          <w:rFonts w:eastAsia="仿宋_GB2312"/>
          <w:color w:val="auto"/>
          <w:szCs w:val="21"/>
          <w:highlight w:val="none"/>
        </w:rPr>
        <w:t>兴庆路支行</w:t>
      </w:r>
      <w:r>
        <w:rPr>
          <w:rFonts w:eastAsia="仿宋_GB2312"/>
          <w:color w:val="auto"/>
          <w:szCs w:val="21"/>
          <w:highlight w:val="none"/>
        </w:rPr>
        <w:tab/>
      </w:r>
      <w:r>
        <w:rPr>
          <w:rFonts w:eastAsia="仿宋_GB2312"/>
          <w:color w:val="auto"/>
          <w:szCs w:val="21"/>
          <w:highlight w:val="none"/>
        </w:rPr>
        <w:t>司 洋</w:t>
      </w:r>
      <w:r>
        <w:rPr>
          <w:rFonts w:eastAsia="仿宋_GB2312"/>
          <w:color w:val="auto"/>
          <w:szCs w:val="21"/>
          <w:highlight w:val="none"/>
        </w:rPr>
        <w:tab/>
      </w:r>
      <w:r>
        <w:rPr>
          <w:rFonts w:eastAsia="仿宋_GB2312"/>
          <w:color w:val="auto"/>
          <w:szCs w:val="21"/>
          <w:highlight w:val="none"/>
        </w:rPr>
        <w:t>83290033</w:t>
      </w:r>
      <w:r>
        <w:rPr>
          <w:rFonts w:eastAsia="仿宋_GB2312"/>
          <w:color w:val="auto"/>
          <w:szCs w:val="21"/>
          <w:highlight w:val="none"/>
        </w:rPr>
        <w:tab/>
      </w:r>
      <w:r>
        <w:rPr>
          <w:rFonts w:eastAsia="仿宋_GB2312"/>
          <w:color w:val="auto"/>
          <w:szCs w:val="21"/>
          <w:highlight w:val="none"/>
        </w:rPr>
        <w:t>18629251819</w:t>
      </w:r>
    </w:p>
    <w:p w14:paraId="7A3FC817">
      <w:pPr>
        <w:shd w:val="clear" w:color="auto" w:fill="auto"/>
        <w:ind w:firstLine="420" w:firstLineChars="200"/>
        <w:rPr>
          <w:rFonts w:eastAsia="仿宋_GB2312"/>
          <w:color w:val="auto"/>
          <w:szCs w:val="21"/>
          <w:highlight w:val="none"/>
        </w:rPr>
      </w:pPr>
      <w:r>
        <w:rPr>
          <w:rFonts w:eastAsia="仿宋_GB2312"/>
          <w:color w:val="auto"/>
          <w:szCs w:val="21"/>
          <w:highlight w:val="none"/>
        </w:rPr>
        <w:t>长乐西路支行</w:t>
      </w:r>
      <w:r>
        <w:rPr>
          <w:rFonts w:eastAsia="仿宋_GB2312"/>
          <w:color w:val="auto"/>
          <w:szCs w:val="21"/>
          <w:highlight w:val="none"/>
        </w:rPr>
        <w:tab/>
      </w:r>
      <w:r>
        <w:rPr>
          <w:rFonts w:eastAsia="仿宋_GB2312"/>
          <w:color w:val="auto"/>
          <w:szCs w:val="21"/>
          <w:highlight w:val="none"/>
        </w:rPr>
        <w:t>张 超</w:t>
      </w:r>
      <w:r>
        <w:rPr>
          <w:rFonts w:eastAsia="仿宋_GB2312"/>
          <w:color w:val="auto"/>
          <w:szCs w:val="21"/>
          <w:highlight w:val="none"/>
        </w:rPr>
        <w:tab/>
      </w:r>
      <w:r>
        <w:rPr>
          <w:rFonts w:eastAsia="仿宋_GB2312"/>
          <w:color w:val="auto"/>
          <w:szCs w:val="21"/>
          <w:highlight w:val="none"/>
        </w:rPr>
        <w:t>82566208</w:t>
      </w:r>
      <w:r>
        <w:rPr>
          <w:rFonts w:eastAsia="仿宋_GB2312"/>
          <w:color w:val="auto"/>
          <w:szCs w:val="21"/>
          <w:highlight w:val="none"/>
        </w:rPr>
        <w:tab/>
      </w:r>
      <w:r>
        <w:rPr>
          <w:rFonts w:eastAsia="仿宋_GB2312"/>
          <w:color w:val="auto"/>
          <w:szCs w:val="21"/>
          <w:highlight w:val="none"/>
        </w:rPr>
        <w:t>15877390201</w:t>
      </w:r>
    </w:p>
    <w:p w14:paraId="3DFF4EEF">
      <w:pPr>
        <w:shd w:val="clear" w:color="auto" w:fill="auto"/>
        <w:ind w:firstLine="420" w:firstLineChars="200"/>
        <w:rPr>
          <w:rFonts w:eastAsia="仿宋_GB2312"/>
          <w:color w:val="auto"/>
          <w:szCs w:val="21"/>
          <w:highlight w:val="none"/>
        </w:rPr>
      </w:pPr>
      <w:r>
        <w:rPr>
          <w:rFonts w:eastAsia="仿宋_GB2312"/>
          <w:color w:val="auto"/>
          <w:szCs w:val="21"/>
          <w:highlight w:val="none"/>
        </w:rPr>
        <w:t>友谊路支行</w:t>
      </w:r>
      <w:r>
        <w:rPr>
          <w:rFonts w:eastAsia="仿宋_GB2312"/>
          <w:color w:val="auto"/>
          <w:szCs w:val="21"/>
          <w:highlight w:val="none"/>
        </w:rPr>
        <w:tab/>
      </w:r>
      <w:r>
        <w:rPr>
          <w:rFonts w:eastAsia="仿宋_GB2312"/>
          <w:color w:val="auto"/>
          <w:szCs w:val="21"/>
          <w:highlight w:val="none"/>
        </w:rPr>
        <w:t>贠程敏</w:t>
      </w:r>
      <w:r>
        <w:rPr>
          <w:rFonts w:eastAsia="仿宋_GB2312"/>
          <w:color w:val="auto"/>
          <w:szCs w:val="21"/>
          <w:highlight w:val="none"/>
        </w:rPr>
        <w:tab/>
      </w:r>
      <w:r>
        <w:rPr>
          <w:rFonts w:eastAsia="仿宋_GB2312"/>
          <w:color w:val="auto"/>
          <w:szCs w:val="21"/>
          <w:highlight w:val="none"/>
        </w:rPr>
        <w:t>88422067</w:t>
      </w:r>
      <w:r>
        <w:rPr>
          <w:rFonts w:eastAsia="仿宋_GB2312"/>
          <w:color w:val="auto"/>
          <w:szCs w:val="21"/>
          <w:highlight w:val="none"/>
        </w:rPr>
        <w:tab/>
      </w:r>
      <w:r>
        <w:rPr>
          <w:rFonts w:eastAsia="仿宋_GB2312"/>
          <w:color w:val="auto"/>
          <w:szCs w:val="21"/>
          <w:highlight w:val="none"/>
        </w:rPr>
        <w:t>18792795210</w:t>
      </w:r>
    </w:p>
    <w:p w14:paraId="45A1797C">
      <w:pPr>
        <w:shd w:val="clear" w:color="auto" w:fill="auto"/>
        <w:ind w:firstLine="420" w:firstLineChars="200"/>
        <w:rPr>
          <w:rFonts w:eastAsia="仿宋_GB2312"/>
          <w:color w:val="auto"/>
          <w:szCs w:val="21"/>
          <w:highlight w:val="none"/>
        </w:rPr>
      </w:pPr>
      <w:r>
        <w:rPr>
          <w:rFonts w:eastAsia="仿宋_GB2312"/>
          <w:color w:val="auto"/>
          <w:szCs w:val="21"/>
          <w:highlight w:val="none"/>
        </w:rPr>
        <w:t>边家村支行</w:t>
      </w:r>
      <w:r>
        <w:rPr>
          <w:rFonts w:eastAsia="仿宋_GB2312"/>
          <w:color w:val="auto"/>
          <w:szCs w:val="21"/>
          <w:highlight w:val="none"/>
        </w:rPr>
        <w:tab/>
      </w:r>
      <w:r>
        <w:rPr>
          <w:rFonts w:eastAsia="仿宋_GB2312"/>
          <w:color w:val="auto"/>
          <w:szCs w:val="21"/>
          <w:highlight w:val="none"/>
        </w:rPr>
        <w:t>王 鹏</w:t>
      </w:r>
      <w:r>
        <w:rPr>
          <w:rFonts w:eastAsia="仿宋_GB2312"/>
          <w:color w:val="auto"/>
          <w:szCs w:val="21"/>
          <w:highlight w:val="none"/>
        </w:rPr>
        <w:tab/>
      </w:r>
      <w:r>
        <w:rPr>
          <w:rFonts w:eastAsia="仿宋_GB2312"/>
          <w:color w:val="auto"/>
          <w:szCs w:val="21"/>
          <w:highlight w:val="none"/>
        </w:rPr>
        <w:t>85251673</w:t>
      </w:r>
      <w:r>
        <w:rPr>
          <w:rFonts w:eastAsia="仿宋_GB2312"/>
          <w:color w:val="auto"/>
          <w:szCs w:val="21"/>
          <w:highlight w:val="none"/>
        </w:rPr>
        <w:tab/>
      </w:r>
      <w:r>
        <w:rPr>
          <w:rFonts w:eastAsia="仿宋_GB2312"/>
          <w:color w:val="auto"/>
          <w:szCs w:val="21"/>
          <w:highlight w:val="none"/>
        </w:rPr>
        <w:t>15309223048</w:t>
      </w:r>
    </w:p>
    <w:p w14:paraId="7C0F43D1">
      <w:pPr>
        <w:shd w:val="clear" w:color="auto" w:fill="auto"/>
        <w:ind w:firstLine="420" w:firstLineChars="200"/>
        <w:rPr>
          <w:rFonts w:eastAsia="仿宋_GB2312"/>
          <w:color w:val="auto"/>
          <w:szCs w:val="21"/>
          <w:highlight w:val="none"/>
        </w:rPr>
      </w:pPr>
      <w:r>
        <w:rPr>
          <w:rFonts w:eastAsia="仿宋_GB2312"/>
          <w:color w:val="auto"/>
          <w:szCs w:val="21"/>
          <w:highlight w:val="none"/>
        </w:rPr>
        <w:t>北关支行</w:t>
      </w:r>
      <w:r>
        <w:rPr>
          <w:rFonts w:eastAsia="仿宋_GB2312"/>
          <w:color w:val="auto"/>
          <w:szCs w:val="21"/>
          <w:highlight w:val="none"/>
        </w:rPr>
        <w:tab/>
      </w:r>
      <w:r>
        <w:rPr>
          <w:rFonts w:eastAsia="仿宋_GB2312"/>
          <w:color w:val="auto"/>
          <w:szCs w:val="21"/>
          <w:highlight w:val="none"/>
        </w:rPr>
        <w:t>菅新培</w:t>
      </w:r>
      <w:r>
        <w:rPr>
          <w:rFonts w:eastAsia="仿宋_GB2312"/>
          <w:color w:val="auto"/>
          <w:szCs w:val="21"/>
          <w:highlight w:val="none"/>
        </w:rPr>
        <w:tab/>
      </w:r>
      <w:r>
        <w:rPr>
          <w:rFonts w:eastAsia="仿宋_GB2312"/>
          <w:color w:val="auto"/>
          <w:szCs w:val="21"/>
          <w:highlight w:val="none"/>
        </w:rPr>
        <w:t>86248203</w:t>
      </w:r>
      <w:r>
        <w:rPr>
          <w:rFonts w:eastAsia="仿宋_GB2312"/>
          <w:color w:val="auto"/>
          <w:szCs w:val="21"/>
          <w:highlight w:val="none"/>
        </w:rPr>
        <w:tab/>
      </w:r>
      <w:r>
        <w:rPr>
          <w:rFonts w:eastAsia="仿宋_GB2312"/>
          <w:color w:val="auto"/>
          <w:szCs w:val="21"/>
          <w:highlight w:val="none"/>
        </w:rPr>
        <w:t>18092169361</w:t>
      </w:r>
    </w:p>
    <w:p w14:paraId="524A9D3F">
      <w:pPr>
        <w:shd w:val="clear" w:color="auto" w:fill="auto"/>
        <w:ind w:firstLine="420" w:firstLineChars="200"/>
        <w:rPr>
          <w:rFonts w:eastAsia="仿宋_GB2312"/>
          <w:color w:val="auto"/>
          <w:szCs w:val="21"/>
          <w:highlight w:val="none"/>
        </w:rPr>
      </w:pPr>
      <w:r>
        <w:rPr>
          <w:rFonts w:eastAsia="仿宋_GB2312"/>
          <w:color w:val="auto"/>
          <w:szCs w:val="21"/>
          <w:highlight w:val="none"/>
        </w:rPr>
        <w:t>南郊支行</w:t>
      </w:r>
      <w:r>
        <w:rPr>
          <w:rFonts w:eastAsia="仿宋_GB2312"/>
          <w:color w:val="auto"/>
          <w:szCs w:val="21"/>
          <w:highlight w:val="none"/>
        </w:rPr>
        <w:tab/>
      </w:r>
      <w:r>
        <w:rPr>
          <w:rFonts w:eastAsia="仿宋_GB2312"/>
          <w:color w:val="auto"/>
          <w:szCs w:val="21"/>
          <w:highlight w:val="none"/>
        </w:rPr>
        <w:t>程 拓</w:t>
      </w:r>
      <w:r>
        <w:rPr>
          <w:rFonts w:eastAsia="仿宋_GB2312"/>
          <w:color w:val="auto"/>
          <w:szCs w:val="21"/>
          <w:highlight w:val="none"/>
        </w:rPr>
        <w:tab/>
      </w:r>
      <w:r>
        <w:rPr>
          <w:rFonts w:eastAsia="仿宋_GB2312"/>
          <w:color w:val="auto"/>
          <w:szCs w:val="21"/>
          <w:highlight w:val="none"/>
        </w:rPr>
        <w:t>85265234</w:t>
      </w:r>
      <w:r>
        <w:rPr>
          <w:rFonts w:eastAsia="仿宋_GB2312"/>
          <w:color w:val="auto"/>
          <w:szCs w:val="21"/>
          <w:highlight w:val="none"/>
        </w:rPr>
        <w:tab/>
      </w:r>
      <w:r>
        <w:rPr>
          <w:rFonts w:eastAsia="仿宋_GB2312"/>
          <w:color w:val="auto"/>
          <w:szCs w:val="21"/>
          <w:highlight w:val="none"/>
        </w:rPr>
        <w:t>13772491661</w:t>
      </w:r>
    </w:p>
    <w:p w14:paraId="70697BF3">
      <w:pPr>
        <w:shd w:val="clear" w:color="auto" w:fill="auto"/>
        <w:ind w:firstLine="420" w:firstLineChars="200"/>
        <w:rPr>
          <w:rFonts w:eastAsia="仿宋_GB2312"/>
          <w:color w:val="auto"/>
          <w:szCs w:val="21"/>
          <w:highlight w:val="none"/>
        </w:rPr>
      </w:pPr>
      <w:r>
        <w:rPr>
          <w:rFonts w:eastAsia="仿宋_GB2312"/>
          <w:color w:val="auto"/>
          <w:szCs w:val="21"/>
          <w:highlight w:val="none"/>
        </w:rPr>
        <w:t>西关正街</w:t>
      </w:r>
      <w:r>
        <w:rPr>
          <w:rFonts w:eastAsia="仿宋_GB2312"/>
          <w:color w:val="auto"/>
          <w:szCs w:val="21"/>
          <w:highlight w:val="none"/>
        </w:rPr>
        <w:tab/>
      </w:r>
      <w:r>
        <w:rPr>
          <w:rFonts w:eastAsia="仿宋_GB2312"/>
          <w:color w:val="auto"/>
          <w:szCs w:val="21"/>
          <w:highlight w:val="none"/>
        </w:rPr>
        <w:t>马 瑜</w:t>
      </w:r>
      <w:r>
        <w:rPr>
          <w:rFonts w:eastAsia="仿宋_GB2312"/>
          <w:color w:val="auto"/>
          <w:szCs w:val="21"/>
          <w:highlight w:val="none"/>
        </w:rPr>
        <w:tab/>
      </w:r>
      <w:r>
        <w:rPr>
          <w:rFonts w:eastAsia="仿宋_GB2312"/>
          <w:color w:val="auto"/>
          <w:szCs w:val="21"/>
          <w:highlight w:val="none"/>
        </w:rPr>
        <w:t>89548109</w:t>
      </w:r>
      <w:r>
        <w:rPr>
          <w:rFonts w:eastAsia="仿宋_GB2312"/>
          <w:color w:val="auto"/>
          <w:szCs w:val="21"/>
          <w:highlight w:val="none"/>
        </w:rPr>
        <w:tab/>
      </w:r>
      <w:r>
        <w:rPr>
          <w:rFonts w:eastAsia="仿宋_GB2312"/>
          <w:color w:val="auto"/>
          <w:szCs w:val="21"/>
          <w:highlight w:val="none"/>
        </w:rPr>
        <w:t>13772337373</w:t>
      </w:r>
    </w:p>
    <w:p w14:paraId="7E2A4EE3">
      <w:pPr>
        <w:shd w:val="clear" w:color="auto" w:fill="auto"/>
        <w:ind w:firstLine="420" w:firstLineChars="200"/>
        <w:rPr>
          <w:rFonts w:eastAsia="仿宋_GB2312"/>
          <w:color w:val="auto"/>
          <w:szCs w:val="21"/>
          <w:highlight w:val="none"/>
        </w:rPr>
      </w:pPr>
      <w:r>
        <w:rPr>
          <w:rFonts w:eastAsia="仿宋_GB2312"/>
          <w:color w:val="auto"/>
          <w:szCs w:val="21"/>
          <w:highlight w:val="none"/>
        </w:rPr>
        <w:t>丈八东路支行</w:t>
      </w:r>
      <w:r>
        <w:rPr>
          <w:rFonts w:eastAsia="仿宋_GB2312"/>
          <w:color w:val="auto"/>
          <w:szCs w:val="21"/>
          <w:highlight w:val="none"/>
        </w:rPr>
        <w:tab/>
      </w:r>
      <w:r>
        <w:rPr>
          <w:rFonts w:eastAsia="仿宋_GB2312"/>
          <w:color w:val="auto"/>
          <w:szCs w:val="21"/>
          <w:highlight w:val="none"/>
        </w:rPr>
        <w:t>杨筱凡</w:t>
      </w:r>
      <w:r>
        <w:rPr>
          <w:rFonts w:eastAsia="仿宋_GB2312"/>
          <w:color w:val="auto"/>
          <w:szCs w:val="21"/>
          <w:highlight w:val="none"/>
        </w:rPr>
        <w:tab/>
      </w:r>
      <w:r>
        <w:rPr>
          <w:rFonts w:eastAsia="仿宋_GB2312"/>
          <w:color w:val="auto"/>
          <w:szCs w:val="21"/>
          <w:highlight w:val="none"/>
        </w:rPr>
        <w:t>81026910</w:t>
      </w:r>
      <w:r>
        <w:rPr>
          <w:rFonts w:eastAsia="仿宋_GB2312"/>
          <w:color w:val="auto"/>
          <w:szCs w:val="21"/>
          <w:highlight w:val="none"/>
        </w:rPr>
        <w:tab/>
      </w:r>
      <w:r>
        <w:rPr>
          <w:rFonts w:eastAsia="仿宋_GB2312"/>
          <w:color w:val="auto"/>
          <w:szCs w:val="21"/>
          <w:highlight w:val="none"/>
        </w:rPr>
        <w:t>15129044185</w:t>
      </w:r>
    </w:p>
    <w:p w14:paraId="054AA566">
      <w:pPr>
        <w:shd w:val="clear" w:color="auto" w:fill="auto"/>
        <w:ind w:firstLine="420" w:firstLineChars="200"/>
        <w:rPr>
          <w:rFonts w:eastAsia="仿宋_GB2312"/>
          <w:color w:val="auto"/>
          <w:szCs w:val="21"/>
          <w:highlight w:val="none"/>
        </w:rPr>
      </w:pPr>
      <w:r>
        <w:rPr>
          <w:rFonts w:eastAsia="仿宋_GB2312"/>
          <w:color w:val="auto"/>
          <w:szCs w:val="21"/>
          <w:highlight w:val="none"/>
        </w:rPr>
        <w:t>雁塔路支行</w:t>
      </w:r>
      <w:r>
        <w:rPr>
          <w:rFonts w:eastAsia="仿宋_GB2312"/>
          <w:color w:val="auto"/>
          <w:szCs w:val="21"/>
          <w:highlight w:val="none"/>
        </w:rPr>
        <w:tab/>
      </w:r>
      <w:r>
        <w:rPr>
          <w:rFonts w:eastAsia="仿宋_GB2312"/>
          <w:color w:val="auto"/>
          <w:szCs w:val="21"/>
          <w:highlight w:val="none"/>
        </w:rPr>
        <w:t>闫梓闶</w:t>
      </w:r>
      <w:r>
        <w:rPr>
          <w:rFonts w:eastAsia="仿宋_GB2312"/>
          <w:color w:val="auto"/>
          <w:szCs w:val="21"/>
          <w:highlight w:val="none"/>
        </w:rPr>
        <w:tab/>
      </w:r>
      <w:r>
        <w:rPr>
          <w:rFonts w:eastAsia="仿宋_GB2312"/>
          <w:color w:val="auto"/>
          <w:szCs w:val="21"/>
          <w:highlight w:val="none"/>
        </w:rPr>
        <w:t>82222501</w:t>
      </w:r>
      <w:r>
        <w:rPr>
          <w:rFonts w:eastAsia="仿宋_GB2312"/>
          <w:color w:val="auto"/>
          <w:szCs w:val="21"/>
          <w:highlight w:val="none"/>
        </w:rPr>
        <w:tab/>
      </w:r>
      <w:r>
        <w:rPr>
          <w:rFonts w:eastAsia="仿宋_GB2312"/>
          <w:color w:val="auto"/>
          <w:szCs w:val="21"/>
          <w:highlight w:val="none"/>
        </w:rPr>
        <w:t>18691561524</w:t>
      </w:r>
    </w:p>
    <w:p w14:paraId="554891C4">
      <w:pPr>
        <w:shd w:val="clear" w:color="auto" w:fill="auto"/>
        <w:ind w:firstLine="420" w:firstLineChars="200"/>
        <w:rPr>
          <w:rFonts w:eastAsia="仿宋_GB2312"/>
          <w:color w:val="auto"/>
          <w:szCs w:val="21"/>
          <w:highlight w:val="none"/>
        </w:rPr>
      </w:pPr>
      <w:r>
        <w:rPr>
          <w:rFonts w:eastAsia="仿宋_GB2312"/>
          <w:color w:val="auto"/>
          <w:szCs w:val="21"/>
          <w:highlight w:val="none"/>
        </w:rPr>
        <w:t>唐延路支行</w:t>
      </w:r>
      <w:r>
        <w:rPr>
          <w:rFonts w:eastAsia="仿宋_GB2312"/>
          <w:color w:val="auto"/>
          <w:szCs w:val="21"/>
          <w:highlight w:val="none"/>
        </w:rPr>
        <w:tab/>
      </w:r>
      <w:r>
        <w:rPr>
          <w:rFonts w:eastAsia="仿宋_GB2312"/>
          <w:color w:val="auto"/>
          <w:szCs w:val="21"/>
          <w:highlight w:val="none"/>
        </w:rPr>
        <w:t>尉二宝</w:t>
      </w:r>
      <w:r>
        <w:rPr>
          <w:rFonts w:eastAsia="仿宋_GB2312"/>
          <w:color w:val="auto"/>
          <w:szCs w:val="21"/>
          <w:highlight w:val="none"/>
        </w:rPr>
        <w:tab/>
      </w:r>
      <w:r>
        <w:rPr>
          <w:rFonts w:eastAsia="仿宋_GB2312"/>
          <w:color w:val="auto"/>
          <w:szCs w:val="21"/>
          <w:highlight w:val="none"/>
        </w:rPr>
        <w:t>88329478</w:t>
      </w:r>
      <w:r>
        <w:rPr>
          <w:rFonts w:eastAsia="仿宋_GB2312"/>
          <w:color w:val="auto"/>
          <w:szCs w:val="21"/>
          <w:highlight w:val="none"/>
        </w:rPr>
        <w:tab/>
      </w:r>
      <w:r>
        <w:rPr>
          <w:rFonts w:eastAsia="仿宋_GB2312"/>
          <w:color w:val="auto"/>
          <w:szCs w:val="21"/>
          <w:highlight w:val="none"/>
        </w:rPr>
        <w:t>13991930150</w:t>
      </w:r>
    </w:p>
    <w:p w14:paraId="1F7F32C8">
      <w:pPr>
        <w:shd w:val="clear" w:color="auto" w:fill="auto"/>
        <w:ind w:firstLine="420" w:firstLineChars="200"/>
        <w:rPr>
          <w:rFonts w:eastAsia="仿宋_GB2312"/>
          <w:color w:val="auto"/>
          <w:szCs w:val="21"/>
          <w:highlight w:val="none"/>
        </w:rPr>
      </w:pPr>
      <w:r>
        <w:rPr>
          <w:rFonts w:eastAsia="仿宋_GB2312"/>
          <w:color w:val="auto"/>
          <w:szCs w:val="21"/>
          <w:highlight w:val="none"/>
        </w:rPr>
        <w:t>枫林绿洲支行</w:t>
      </w:r>
      <w:r>
        <w:rPr>
          <w:rFonts w:eastAsia="仿宋_GB2312"/>
          <w:color w:val="auto"/>
          <w:szCs w:val="21"/>
          <w:highlight w:val="none"/>
        </w:rPr>
        <w:tab/>
      </w:r>
      <w:r>
        <w:rPr>
          <w:rFonts w:eastAsia="仿宋_GB2312"/>
          <w:color w:val="auto"/>
          <w:szCs w:val="21"/>
          <w:highlight w:val="none"/>
        </w:rPr>
        <w:t>杨 嘉</w:t>
      </w:r>
      <w:r>
        <w:rPr>
          <w:rFonts w:eastAsia="仿宋_GB2312"/>
          <w:color w:val="auto"/>
          <w:szCs w:val="21"/>
          <w:highlight w:val="none"/>
        </w:rPr>
        <w:tab/>
      </w:r>
      <w:r>
        <w:rPr>
          <w:rFonts w:eastAsia="仿宋_GB2312"/>
          <w:color w:val="auto"/>
          <w:szCs w:val="21"/>
          <w:highlight w:val="none"/>
        </w:rPr>
        <w:t>87302120</w:t>
      </w:r>
      <w:r>
        <w:rPr>
          <w:rFonts w:eastAsia="仿宋_GB2312"/>
          <w:color w:val="auto"/>
          <w:szCs w:val="21"/>
          <w:highlight w:val="none"/>
        </w:rPr>
        <w:tab/>
      </w:r>
      <w:r>
        <w:rPr>
          <w:rFonts w:eastAsia="仿宋_GB2312"/>
          <w:color w:val="auto"/>
          <w:szCs w:val="21"/>
          <w:highlight w:val="none"/>
        </w:rPr>
        <w:t>13609199490</w:t>
      </w:r>
    </w:p>
    <w:p w14:paraId="3321FF3F">
      <w:pPr>
        <w:shd w:val="clear" w:color="auto" w:fill="auto"/>
        <w:ind w:firstLine="420" w:firstLineChars="200"/>
        <w:rPr>
          <w:rFonts w:eastAsia="仿宋_GB2312"/>
          <w:color w:val="auto"/>
          <w:szCs w:val="21"/>
          <w:highlight w:val="none"/>
        </w:rPr>
      </w:pPr>
      <w:r>
        <w:rPr>
          <w:rFonts w:eastAsia="仿宋_GB2312"/>
          <w:color w:val="auto"/>
          <w:szCs w:val="21"/>
          <w:highlight w:val="none"/>
        </w:rPr>
        <w:t>南关正街支行</w:t>
      </w:r>
      <w:r>
        <w:rPr>
          <w:rFonts w:eastAsia="仿宋_GB2312"/>
          <w:color w:val="auto"/>
          <w:szCs w:val="21"/>
          <w:highlight w:val="none"/>
        </w:rPr>
        <w:tab/>
      </w:r>
      <w:r>
        <w:rPr>
          <w:rFonts w:eastAsia="仿宋_GB2312"/>
          <w:color w:val="auto"/>
          <w:szCs w:val="21"/>
          <w:highlight w:val="none"/>
        </w:rPr>
        <w:t>郭 敏</w:t>
      </w:r>
      <w:r>
        <w:rPr>
          <w:rFonts w:eastAsia="仿宋_GB2312"/>
          <w:color w:val="auto"/>
          <w:szCs w:val="21"/>
          <w:highlight w:val="none"/>
        </w:rPr>
        <w:tab/>
      </w:r>
      <w:r>
        <w:rPr>
          <w:rFonts w:eastAsia="仿宋_GB2312"/>
          <w:color w:val="auto"/>
          <w:szCs w:val="21"/>
          <w:highlight w:val="none"/>
        </w:rPr>
        <w:t>85230722</w:t>
      </w:r>
      <w:r>
        <w:rPr>
          <w:rFonts w:eastAsia="仿宋_GB2312"/>
          <w:color w:val="auto"/>
          <w:szCs w:val="21"/>
          <w:highlight w:val="none"/>
        </w:rPr>
        <w:tab/>
      </w:r>
      <w:r>
        <w:rPr>
          <w:rFonts w:eastAsia="仿宋_GB2312"/>
          <w:color w:val="auto"/>
          <w:szCs w:val="21"/>
          <w:highlight w:val="none"/>
        </w:rPr>
        <w:t>18066610983</w:t>
      </w:r>
    </w:p>
    <w:p w14:paraId="4C93B992">
      <w:pPr>
        <w:shd w:val="clear" w:color="auto" w:fill="auto"/>
        <w:ind w:firstLine="420" w:firstLineChars="200"/>
        <w:rPr>
          <w:rFonts w:eastAsia="仿宋_GB2312"/>
          <w:color w:val="auto"/>
          <w:szCs w:val="21"/>
          <w:highlight w:val="none"/>
        </w:rPr>
      </w:pPr>
      <w:r>
        <w:rPr>
          <w:rFonts w:eastAsia="仿宋_GB2312"/>
          <w:color w:val="auto"/>
          <w:szCs w:val="21"/>
          <w:highlight w:val="none"/>
        </w:rPr>
        <w:t>南二环支行</w:t>
      </w:r>
      <w:r>
        <w:rPr>
          <w:rFonts w:eastAsia="仿宋_GB2312"/>
          <w:color w:val="auto"/>
          <w:szCs w:val="21"/>
          <w:highlight w:val="none"/>
        </w:rPr>
        <w:tab/>
      </w:r>
      <w:r>
        <w:rPr>
          <w:rFonts w:eastAsia="仿宋_GB2312"/>
          <w:color w:val="auto"/>
          <w:szCs w:val="21"/>
          <w:highlight w:val="none"/>
        </w:rPr>
        <w:t>刘 超</w:t>
      </w:r>
      <w:r>
        <w:rPr>
          <w:rFonts w:eastAsia="仿宋_GB2312"/>
          <w:color w:val="auto"/>
          <w:szCs w:val="21"/>
          <w:highlight w:val="none"/>
        </w:rPr>
        <w:tab/>
      </w:r>
      <w:r>
        <w:rPr>
          <w:rFonts w:eastAsia="仿宋_GB2312"/>
          <w:color w:val="auto"/>
          <w:szCs w:val="21"/>
          <w:highlight w:val="none"/>
        </w:rPr>
        <w:t>88362861</w:t>
      </w:r>
      <w:r>
        <w:rPr>
          <w:rFonts w:eastAsia="仿宋_GB2312"/>
          <w:color w:val="auto"/>
          <w:szCs w:val="21"/>
          <w:highlight w:val="none"/>
        </w:rPr>
        <w:tab/>
      </w:r>
      <w:r>
        <w:rPr>
          <w:rFonts w:eastAsia="仿宋_GB2312"/>
          <w:color w:val="auto"/>
          <w:szCs w:val="21"/>
          <w:highlight w:val="none"/>
        </w:rPr>
        <w:t>18192080396</w:t>
      </w:r>
    </w:p>
    <w:p w14:paraId="68B26F89">
      <w:pPr>
        <w:shd w:val="clear" w:color="auto" w:fill="auto"/>
        <w:ind w:firstLine="420" w:firstLineChars="200"/>
        <w:rPr>
          <w:rFonts w:eastAsia="仿宋_GB2312"/>
          <w:color w:val="auto"/>
          <w:szCs w:val="21"/>
          <w:highlight w:val="none"/>
        </w:rPr>
      </w:pPr>
      <w:r>
        <w:rPr>
          <w:rFonts w:eastAsia="仿宋_GB2312"/>
          <w:color w:val="auto"/>
          <w:szCs w:val="21"/>
          <w:highlight w:val="none"/>
        </w:rPr>
        <w:t>曲江支行</w:t>
      </w:r>
      <w:r>
        <w:rPr>
          <w:rFonts w:eastAsia="仿宋_GB2312"/>
          <w:color w:val="auto"/>
          <w:szCs w:val="21"/>
          <w:highlight w:val="none"/>
        </w:rPr>
        <w:tab/>
      </w:r>
      <w:r>
        <w:rPr>
          <w:rFonts w:eastAsia="仿宋_GB2312"/>
          <w:color w:val="auto"/>
          <w:szCs w:val="21"/>
          <w:highlight w:val="none"/>
        </w:rPr>
        <w:t>田 鹏</w:t>
      </w:r>
      <w:r>
        <w:rPr>
          <w:rFonts w:eastAsia="仿宋_GB2312"/>
          <w:color w:val="auto"/>
          <w:szCs w:val="21"/>
          <w:highlight w:val="none"/>
        </w:rPr>
        <w:tab/>
      </w:r>
      <w:r>
        <w:rPr>
          <w:rFonts w:eastAsia="仿宋_GB2312"/>
          <w:color w:val="auto"/>
          <w:szCs w:val="21"/>
          <w:highlight w:val="none"/>
        </w:rPr>
        <w:t>81205890</w:t>
      </w:r>
      <w:r>
        <w:rPr>
          <w:rFonts w:eastAsia="仿宋_GB2312"/>
          <w:color w:val="auto"/>
          <w:szCs w:val="21"/>
          <w:highlight w:val="none"/>
        </w:rPr>
        <w:tab/>
      </w:r>
      <w:r>
        <w:rPr>
          <w:rFonts w:eastAsia="仿宋_GB2312"/>
          <w:color w:val="auto"/>
          <w:szCs w:val="21"/>
          <w:highlight w:val="none"/>
        </w:rPr>
        <w:t>13991937977</w:t>
      </w:r>
    </w:p>
    <w:p w14:paraId="58E76D99">
      <w:pPr>
        <w:shd w:val="clear" w:color="auto" w:fill="auto"/>
        <w:ind w:firstLine="420" w:firstLineChars="200"/>
        <w:rPr>
          <w:rFonts w:eastAsia="仿宋_GB2312"/>
          <w:color w:val="auto"/>
          <w:szCs w:val="21"/>
          <w:highlight w:val="none"/>
        </w:rPr>
      </w:pPr>
      <w:r>
        <w:rPr>
          <w:rFonts w:eastAsia="仿宋_GB2312"/>
          <w:color w:val="auto"/>
          <w:szCs w:val="21"/>
          <w:highlight w:val="none"/>
        </w:rPr>
        <w:t>太白路支行</w:t>
      </w:r>
      <w:r>
        <w:rPr>
          <w:rFonts w:eastAsia="仿宋_GB2312"/>
          <w:color w:val="auto"/>
          <w:szCs w:val="21"/>
          <w:highlight w:val="none"/>
        </w:rPr>
        <w:tab/>
      </w:r>
      <w:r>
        <w:rPr>
          <w:rFonts w:eastAsia="仿宋_GB2312"/>
          <w:color w:val="auto"/>
          <w:szCs w:val="21"/>
          <w:highlight w:val="none"/>
        </w:rPr>
        <w:t>马振林</w:t>
      </w:r>
      <w:r>
        <w:rPr>
          <w:rFonts w:eastAsia="仿宋_GB2312"/>
          <w:color w:val="auto"/>
          <w:szCs w:val="21"/>
          <w:highlight w:val="none"/>
        </w:rPr>
        <w:tab/>
      </w:r>
      <w:r>
        <w:rPr>
          <w:rFonts w:eastAsia="仿宋_GB2312"/>
          <w:color w:val="auto"/>
          <w:szCs w:val="21"/>
          <w:highlight w:val="none"/>
        </w:rPr>
        <w:t>68912880</w:t>
      </w:r>
      <w:r>
        <w:rPr>
          <w:rFonts w:eastAsia="仿宋_GB2312"/>
          <w:color w:val="auto"/>
          <w:szCs w:val="21"/>
          <w:highlight w:val="none"/>
        </w:rPr>
        <w:tab/>
      </w:r>
      <w:r>
        <w:rPr>
          <w:rFonts w:eastAsia="仿宋_GB2312"/>
          <w:color w:val="auto"/>
          <w:szCs w:val="21"/>
          <w:highlight w:val="none"/>
        </w:rPr>
        <w:t>15353736656</w:t>
      </w:r>
    </w:p>
    <w:p w14:paraId="445D4739">
      <w:pPr>
        <w:shd w:val="clear" w:color="auto" w:fill="auto"/>
        <w:ind w:firstLine="420" w:firstLineChars="200"/>
        <w:rPr>
          <w:rFonts w:eastAsia="仿宋_GB2312"/>
          <w:color w:val="auto"/>
          <w:szCs w:val="21"/>
          <w:highlight w:val="none"/>
        </w:rPr>
      </w:pPr>
      <w:r>
        <w:rPr>
          <w:rFonts w:eastAsia="仿宋_GB2312"/>
          <w:color w:val="auto"/>
          <w:szCs w:val="21"/>
          <w:highlight w:val="none"/>
        </w:rPr>
        <w:t>明光路支行</w:t>
      </w:r>
      <w:r>
        <w:rPr>
          <w:rFonts w:eastAsia="仿宋_GB2312"/>
          <w:color w:val="auto"/>
          <w:szCs w:val="21"/>
          <w:highlight w:val="none"/>
        </w:rPr>
        <w:tab/>
      </w:r>
      <w:r>
        <w:rPr>
          <w:rFonts w:eastAsia="仿宋_GB2312"/>
          <w:color w:val="auto"/>
          <w:szCs w:val="21"/>
          <w:highlight w:val="none"/>
        </w:rPr>
        <w:t>刘二渭</w:t>
      </w:r>
      <w:r>
        <w:rPr>
          <w:rFonts w:eastAsia="仿宋_GB2312"/>
          <w:color w:val="auto"/>
          <w:szCs w:val="21"/>
          <w:highlight w:val="none"/>
        </w:rPr>
        <w:tab/>
      </w:r>
      <w:r>
        <w:rPr>
          <w:rFonts w:eastAsia="仿宋_GB2312"/>
          <w:color w:val="auto"/>
          <w:szCs w:val="21"/>
          <w:highlight w:val="none"/>
        </w:rPr>
        <w:t>81623506</w:t>
      </w:r>
      <w:r>
        <w:rPr>
          <w:rFonts w:eastAsia="仿宋_GB2312"/>
          <w:color w:val="auto"/>
          <w:szCs w:val="21"/>
          <w:highlight w:val="none"/>
        </w:rPr>
        <w:tab/>
      </w:r>
      <w:r>
        <w:rPr>
          <w:rFonts w:eastAsia="仿宋_GB2312"/>
          <w:color w:val="auto"/>
          <w:szCs w:val="21"/>
          <w:highlight w:val="none"/>
        </w:rPr>
        <w:t>13201793405</w:t>
      </w:r>
    </w:p>
    <w:p w14:paraId="07C5159F">
      <w:pPr>
        <w:shd w:val="clear" w:color="auto" w:fill="auto"/>
        <w:ind w:firstLine="420" w:firstLineChars="200"/>
        <w:rPr>
          <w:rFonts w:eastAsia="仿宋_GB2312"/>
          <w:color w:val="auto"/>
          <w:szCs w:val="21"/>
          <w:highlight w:val="none"/>
        </w:rPr>
      </w:pPr>
      <w:r>
        <w:rPr>
          <w:rFonts w:eastAsia="仿宋_GB2312"/>
          <w:color w:val="auto"/>
          <w:szCs w:val="21"/>
          <w:highlight w:val="none"/>
        </w:rPr>
        <w:t>凤城二路支行</w:t>
      </w:r>
      <w:r>
        <w:rPr>
          <w:rFonts w:eastAsia="仿宋_GB2312"/>
          <w:color w:val="auto"/>
          <w:szCs w:val="21"/>
          <w:highlight w:val="none"/>
        </w:rPr>
        <w:tab/>
      </w:r>
      <w:r>
        <w:rPr>
          <w:rFonts w:eastAsia="仿宋_GB2312"/>
          <w:color w:val="auto"/>
          <w:szCs w:val="21"/>
          <w:highlight w:val="none"/>
        </w:rPr>
        <w:t>张 洋</w:t>
      </w:r>
      <w:r>
        <w:rPr>
          <w:rFonts w:eastAsia="仿宋_GB2312"/>
          <w:color w:val="auto"/>
          <w:szCs w:val="21"/>
          <w:highlight w:val="none"/>
        </w:rPr>
        <w:tab/>
      </w:r>
      <w:r>
        <w:rPr>
          <w:rFonts w:eastAsia="仿宋_GB2312"/>
          <w:color w:val="auto"/>
          <w:szCs w:val="21"/>
          <w:highlight w:val="none"/>
        </w:rPr>
        <w:t>86680267</w:t>
      </w:r>
      <w:r>
        <w:rPr>
          <w:rFonts w:eastAsia="仿宋_GB2312"/>
          <w:color w:val="auto"/>
          <w:szCs w:val="21"/>
          <w:highlight w:val="none"/>
        </w:rPr>
        <w:tab/>
      </w:r>
      <w:r>
        <w:rPr>
          <w:rFonts w:eastAsia="仿宋_GB2312"/>
          <w:color w:val="auto"/>
          <w:szCs w:val="21"/>
          <w:highlight w:val="none"/>
        </w:rPr>
        <w:t>13720423343</w:t>
      </w:r>
    </w:p>
    <w:p w14:paraId="4555C239">
      <w:pPr>
        <w:shd w:val="clear" w:color="auto" w:fill="auto"/>
        <w:ind w:firstLine="420" w:firstLineChars="200"/>
        <w:rPr>
          <w:rFonts w:eastAsia="仿宋_GB2312"/>
          <w:color w:val="auto"/>
          <w:szCs w:val="21"/>
          <w:highlight w:val="none"/>
        </w:rPr>
      </w:pPr>
      <w:r>
        <w:rPr>
          <w:rFonts w:eastAsia="仿宋_GB2312"/>
          <w:color w:val="auto"/>
          <w:szCs w:val="21"/>
          <w:highlight w:val="none"/>
        </w:rPr>
        <w:t>昆明路支行</w:t>
      </w:r>
      <w:r>
        <w:rPr>
          <w:rFonts w:eastAsia="仿宋_GB2312"/>
          <w:color w:val="auto"/>
          <w:szCs w:val="21"/>
          <w:highlight w:val="none"/>
        </w:rPr>
        <w:tab/>
      </w:r>
      <w:r>
        <w:rPr>
          <w:rFonts w:eastAsia="仿宋_GB2312"/>
          <w:color w:val="auto"/>
          <w:szCs w:val="21"/>
          <w:highlight w:val="none"/>
        </w:rPr>
        <w:t>张 洁</w:t>
      </w:r>
      <w:r>
        <w:rPr>
          <w:rFonts w:eastAsia="仿宋_GB2312"/>
          <w:color w:val="auto"/>
          <w:szCs w:val="21"/>
          <w:highlight w:val="none"/>
        </w:rPr>
        <w:tab/>
      </w:r>
      <w:r>
        <w:rPr>
          <w:rFonts w:eastAsia="仿宋_GB2312"/>
          <w:color w:val="auto"/>
          <w:szCs w:val="21"/>
          <w:highlight w:val="none"/>
        </w:rPr>
        <w:t>84592506</w:t>
      </w:r>
      <w:r>
        <w:rPr>
          <w:rFonts w:eastAsia="仿宋_GB2312"/>
          <w:color w:val="auto"/>
          <w:szCs w:val="21"/>
          <w:highlight w:val="none"/>
        </w:rPr>
        <w:tab/>
      </w:r>
      <w:r>
        <w:rPr>
          <w:rFonts w:eastAsia="仿宋_GB2312"/>
          <w:color w:val="auto"/>
          <w:szCs w:val="21"/>
          <w:highlight w:val="none"/>
        </w:rPr>
        <w:t>13991821278</w:t>
      </w:r>
    </w:p>
    <w:p w14:paraId="18F898D4">
      <w:pPr>
        <w:shd w:val="clear" w:color="auto" w:fill="auto"/>
        <w:ind w:firstLine="420" w:firstLineChars="200"/>
        <w:rPr>
          <w:rFonts w:eastAsia="仿宋_GB2312"/>
          <w:color w:val="auto"/>
          <w:szCs w:val="21"/>
          <w:highlight w:val="none"/>
        </w:rPr>
      </w:pPr>
      <w:r>
        <w:rPr>
          <w:rFonts w:eastAsia="仿宋_GB2312"/>
          <w:color w:val="auto"/>
          <w:szCs w:val="21"/>
          <w:highlight w:val="none"/>
        </w:rPr>
        <w:t>丈八北路支行</w:t>
      </w:r>
      <w:r>
        <w:rPr>
          <w:rFonts w:eastAsia="仿宋_GB2312"/>
          <w:color w:val="auto"/>
          <w:szCs w:val="21"/>
          <w:highlight w:val="none"/>
        </w:rPr>
        <w:tab/>
      </w:r>
      <w:r>
        <w:rPr>
          <w:rFonts w:eastAsia="仿宋_GB2312"/>
          <w:color w:val="auto"/>
          <w:szCs w:val="21"/>
          <w:highlight w:val="none"/>
        </w:rPr>
        <w:t>郭 浩</w:t>
      </w:r>
      <w:r>
        <w:rPr>
          <w:rFonts w:eastAsia="仿宋_GB2312"/>
          <w:color w:val="auto"/>
          <w:szCs w:val="21"/>
          <w:highlight w:val="none"/>
        </w:rPr>
        <w:tab/>
      </w:r>
      <w:r>
        <w:rPr>
          <w:rFonts w:eastAsia="仿宋_GB2312"/>
          <w:color w:val="auto"/>
          <w:szCs w:val="21"/>
          <w:highlight w:val="none"/>
        </w:rPr>
        <w:t>81875192</w:t>
      </w:r>
      <w:r>
        <w:rPr>
          <w:rFonts w:eastAsia="仿宋_GB2312"/>
          <w:color w:val="auto"/>
          <w:szCs w:val="21"/>
          <w:highlight w:val="none"/>
        </w:rPr>
        <w:tab/>
      </w:r>
      <w:r>
        <w:rPr>
          <w:rFonts w:eastAsia="仿宋_GB2312"/>
          <w:color w:val="auto"/>
          <w:szCs w:val="21"/>
          <w:highlight w:val="none"/>
        </w:rPr>
        <w:t>15667087662</w:t>
      </w:r>
    </w:p>
    <w:p w14:paraId="1CBD5536">
      <w:pPr>
        <w:shd w:val="clear" w:color="auto" w:fill="auto"/>
        <w:ind w:firstLine="420" w:firstLineChars="200"/>
        <w:rPr>
          <w:rFonts w:eastAsia="仿宋_GB2312"/>
          <w:color w:val="auto"/>
          <w:szCs w:val="21"/>
          <w:highlight w:val="none"/>
        </w:rPr>
      </w:pPr>
      <w:r>
        <w:rPr>
          <w:rFonts w:eastAsia="仿宋_GB2312"/>
          <w:color w:val="auto"/>
          <w:szCs w:val="21"/>
          <w:highlight w:val="none"/>
        </w:rPr>
        <w:t>新城支行</w:t>
      </w:r>
      <w:r>
        <w:rPr>
          <w:rFonts w:eastAsia="仿宋_GB2312"/>
          <w:color w:val="auto"/>
          <w:szCs w:val="21"/>
          <w:highlight w:val="none"/>
        </w:rPr>
        <w:tab/>
      </w:r>
      <w:r>
        <w:rPr>
          <w:rFonts w:eastAsia="仿宋_GB2312"/>
          <w:color w:val="auto"/>
          <w:szCs w:val="21"/>
          <w:highlight w:val="none"/>
        </w:rPr>
        <w:t>余振东</w:t>
      </w:r>
      <w:r>
        <w:rPr>
          <w:rFonts w:eastAsia="仿宋_GB2312"/>
          <w:color w:val="auto"/>
          <w:szCs w:val="21"/>
          <w:highlight w:val="none"/>
        </w:rPr>
        <w:tab/>
      </w:r>
      <w:r>
        <w:rPr>
          <w:rFonts w:eastAsia="仿宋_GB2312"/>
          <w:color w:val="auto"/>
          <w:szCs w:val="21"/>
          <w:highlight w:val="none"/>
        </w:rPr>
        <w:t>87251680</w:t>
      </w:r>
      <w:r>
        <w:rPr>
          <w:rFonts w:eastAsia="仿宋_GB2312"/>
          <w:color w:val="auto"/>
          <w:szCs w:val="21"/>
          <w:highlight w:val="none"/>
        </w:rPr>
        <w:tab/>
      </w:r>
      <w:r>
        <w:rPr>
          <w:rFonts w:eastAsia="仿宋_GB2312"/>
          <w:color w:val="auto"/>
          <w:szCs w:val="21"/>
          <w:highlight w:val="none"/>
        </w:rPr>
        <w:t>18066617238</w:t>
      </w:r>
    </w:p>
    <w:p w14:paraId="3FE91A58">
      <w:pPr>
        <w:shd w:val="clear" w:color="auto" w:fill="auto"/>
        <w:rPr>
          <w:rFonts w:eastAsia="仿宋_GB2312"/>
          <w:b/>
          <w:color w:val="auto"/>
          <w:szCs w:val="21"/>
          <w:highlight w:val="none"/>
        </w:rPr>
      </w:pPr>
      <w:r>
        <w:rPr>
          <w:rFonts w:eastAsia="仿宋_GB2312"/>
          <w:b/>
          <w:color w:val="auto"/>
          <w:szCs w:val="21"/>
          <w:highlight w:val="none"/>
        </w:rPr>
        <w:t>六、浦发银行 （政采e贷）</w:t>
      </w:r>
    </w:p>
    <w:p w14:paraId="5EADC631">
      <w:pPr>
        <w:shd w:val="clear" w:color="auto" w:fill="auto"/>
        <w:ind w:firstLine="420" w:firstLineChars="200"/>
        <w:rPr>
          <w:rFonts w:eastAsia="仿宋_GB2312"/>
          <w:color w:val="auto"/>
          <w:szCs w:val="21"/>
          <w:highlight w:val="none"/>
        </w:rPr>
      </w:pPr>
      <w:r>
        <w:rPr>
          <w:rFonts w:eastAsia="仿宋_GB2312"/>
          <w:color w:val="auto"/>
          <w:szCs w:val="21"/>
          <w:highlight w:val="none"/>
        </w:rPr>
        <w:t>西安分行</w:t>
      </w:r>
      <w:r>
        <w:rPr>
          <w:rFonts w:eastAsia="仿宋_GB2312"/>
          <w:color w:val="auto"/>
          <w:szCs w:val="21"/>
          <w:highlight w:val="none"/>
        </w:rPr>
        <w:tab/>
      </w:r>
      <w:r>
        <w:rPr>
          <w:rFonts w:eastAsia="仿宋_GB2312"/>
          <w:color w:val="auto"/>
          <w:szCs w:val="21"/>
          <w:highlight w:val="none"/>
        </w:rPr>
        <w:t>吴晨雨</w:t>
      </w:r>
      <w:r>
        <w:rPr>
          <w:rFonts w:eastAsia="仿宋_GB2312"/>
          <w:color w:val="auto"/>
          <w:szCs w:val="21"/>
          <w:highlight w:val="none"/>
        </w:rPr>
        <w:tab/>
      </w:r>
      <w:r>
        <w:rPr>
          <w:rFonts w:eastAsia="仿宋_GB2312"/>
          <w:color w:val="auto"/>
          <w:szCs w:val="21"/>
          <w:highlight w:val="none"/>
        </w:rPr>
        <w:t>客户经理</w:t>
      </w:r>
      <w:r>
        <w:rPr>
          <w:rFonts w:eastAsia="仿宋_GB2312"/>
          <w:color w:val="auto"/>
          <w:szCs w:val="21"/>
          <w:highlight w:val="none"/>
        </w:rPr>
        <w:tab/>
      </w:r>
      <w:r>
        <w:rPr>
          <w:rFonts w:eastAsia="仿宋_GB2312"/>
          <w:color w:val="auto"/>
          <w:szCs w:val="21"/>
          <w:highlight w:val="none"/>
        </w:rPr>
        <w:t>029-63603803</w:t>
      </w:r>
      <w:r>
        <w:rPr>
          <w:rFonts w:eastAsia="仿宋_GB2312"/>
          <w:color w:val="auto"/>
          <w:szCs w:val="21"/>
          <w:highlight w:val="none"/>
        </w:rPr>
        <w:tab/>
      </w:r>
      <w:r>
        <w:rPr>
          <w:rFonts w:eastAsia="仿宋_GB2312"/>
          <w:color w:val="auto"/>
          <w:szCs w:val="21"/>
          <w:highlight w:val="none"/>
        </w:rPr>
        <w:t>15991724645</w:t>
      </w:r>
    </w:p>
    <w:p w14:paraId="2091D07D">
      <w:pPr>
        <w:shd w:val="clear" w:color="auto" w:fill="auto"/>
        <w:ind w:firstLine="420" w:firstLineChars="200"/>
        <w:rPr>
          <w:rFonts w:eastAsia="仿宋_GB2312"/>
          <w:color w:val="auto"/>
          <w:szCs w:val="21"/>
          <w:highlight w:val="none"/>
        </w:rPr>
      </w:pPr>
      <w:r>
        <w:rPr>
          <w:rFonts w:eastAsia="仿宋_GB2312"/>
          <w:color w:val="auto"/>
          <w:szCs w:val="21"/>
          <w:highlight w:val="none"/>
        </w:rPr>
        <w:t>西安分行</w:t>
      </w:r>
      <w:r>
        <w:rPr>
          <w:rFonts w:eastAsia="仿宋_GB2312"/>
          <w:color w:val="auto"/>
          <w:szCs w:val="21"/>
          <w:highlight w:val="none"/>
        </w:rPr>
        <w:tab/>
      </w:r>
      <w:r>
        <w:rPr>
          <w:rFonts w:eastAsia="仿宋_GB2312"/>
          <w:color w:val="auto"/>
          <w:szCs w:val="21"/>
          <w:highlight w:val="none"/>
        </w:rPr>
        <w:t>陈福全</w:t>
      </w:r>
      <w:r>
        <w:rPr>
          <w:rFonts w:eastAsia="仿宋_GB2312"/>
          <w:color w:val="auto"/>
          <w:szCs w:val="21"/>
          <w:highlight w:val="none"/>
        </w:rPr>
        <w:tab/>
      </w:r>
      <w:r>
        <w:rPr>
          <w:rFonts w:eastAsia="仿宋_GB2312"/>
          <w:color w:val="auto"/>
          <w:szCs w:val="21"/>
          <w:highlight w:val="none"/>
        </w:rPr>
        <w:t>客户经理</w:t>
      </w:r>
      <w:r>
        <w:rPr>
          <w:rFonts w:eastAsia="仿宋_GB2312"/>
          <w:color w:val="auto"/>
          <w:szCs w:val="21"/>
          <w:highlight w:val="none"/>
        </w:rPr>
        <w:tab/>
      </w:r>
      <w:r>
        <w:rPr>
          <w:rFonts w:eastAsia="仿宋_GB2312"/>
          <w:color w:val="auto"/>
          <w:szCs w:val="21"/>
          <w:highlight w:val="none"/>
        </w:rPr>
        <w:t>029-63603441</w:t>
      </w:r>
      <w:r>
        <w:rPr>
          <w:rFonts w:eastAsia="仿宋_GB2312"/>
          <w:color w:val="auto"/>
          <w:szCs w:val="21"/>
          <w:highlight w:val="none"/>
        </w:rPr>
        <w:tab/>
      </w:r>
      <w:r>
        <w:rPr>
          <w:rFonts w:eastAsia="仿宋_GB2312"/>
          <w:color w:val="auto"/>
          <w:szCs w:val="21"/>
          <w:highlight w:val="none"/>
        </w:rPr>
        <w:t>17782511994</w:t>
      </w:r>
    </w:p>
    <w:p w14:paraId="4FD8403F">
      <w:pPr>
        <w:shd w:val="clear" w:color="auto" w:fill="auto"/>
        <w:ind w:firstLine="420" w:firstLineChars="200"/>
        <w:rPr>
          <w:rFonts w:eastAsia="仿宋_GB2312"/>
          <w:color w:val="auto"/>
          <w:szCs w:val="21"/>
          <w:highlight w:val="none"/>
        </w:rPr>
      </w:pPr>
      <w:r>
        <w:rPr>
          <w:rFonts w:eastAsia="仿宋_GB2312"/>
          <w:color w:val="auto"/>
          <w:szCs w:val="21"/>
          <w:highlight w:val="none"/>
        </w:rPr>
        <w:t>西安分行</w:t>
      </w:r>
      <w:r>
        <w:rPr>
          <w:rFonts w:eastAsia="仿宋_GB2312"/>
          <w:color w:val="auto"/>
          <w:szCs w:val="21"/>
          <w:highlight w:val="none"/>
        </w:rPr>
        <w:tab/>
      </w:r>
      <w:r>
        <w:rPr>
          <w:rFonts w:eastAsia="仿宋_GB2312"/>
          <w:color w:val="auto"/>
          <w:szCs w:val="21"/>
          <w:highlight w:val="none"/>
        </w:rPr>
        <w:t>韩瑾</w:t>
      </w:r>
      <w:r>
        <w:rPr>
          <w:rFonts w:eastAsia="仿宋_GB2312"/>
          <w:color w:val="auto"/>
          <w:szCs w:val="21"/>
          <w:highlight w:val="none"/>
        </w:rPr>
        <w:tab/>
      </w:r>
      <w:r>
        <w:rPr>
          <w:rFonts w:eastAsia="仿宋_GB2312"/>
          <w:color w:val="auto"/>
          <w:szCs w:val="21"/>
          <w:highlight w:val="none"/>
        </w:rPr>
        <w:t>客户经理</w:t>
      </w:r>
      <w:r>
        <w:rPr>
          <w:rFonts w:eastAsia="仿宋_GB2312"/>
          <w:color w:val="auto"/>
          <w:szCs w:val="21"/>
          <w:highlight w:val="none"/>
        </w:rPr>
        <w:tab/>
      </w:r>
      <w:r>
        <w:rPr>
          <w:rFonts w:eastAsia="仿宋_GB2312"/>
          <w:color w:val="auto"/>
          <w:szCs w:val="21"/>
          <w:highlight w:val="none"/>
        </w:rPr>
        <w:t>029-63603443</w:t>
      </w:r>
      <w:r>
        <w:rPr>
          <w:rFonts w:eastAsia="仿宋_GB2312"/>
          <w:color w:val="auto"/>
          <w:szCs w:val="21"/>
          <w:highlight w:val="none"/>
        </w:rPr>
        <w:tab/>
      </w:r>
      <w:r>
        <w:rPr>
          <w:rFonts w:eastAsia="仿宋_GB2312"/>
          <w:color w:val="auto"/>
          <w:szCs w:val="21"/>
          <w:highlight w:val="none"/>
        </w:rPr>
        <w:t>18202909790</w:t>
      </w:r>
    </w:p>
    <w:p w14:paraId="3582C8C0">
      <w:pPr>
        <w:shd w:val="clear" w:color="auto" w:fill="auto"/>
        <w:ind w:firstLine="420" w:firstLineChars="200"/>
        <w:rPr>
          <w:rFonts w:eastAsia="仿宋_GB2312"/>
          <w:color w:val="auto"/>
          <w:szCs w:val="21"/>
          <w:highlight w:val="none"/>
        </w:rPr>
      </w:pPr>
      <w:r>
        <w:rPr>
          <w:rFonts w:eastAsia="仿宋_GB2312"/>
          <w:color w:val="auto"/>
          <w:szCs w:val="21"/>
          <w:highlight w:val="none"/>
        </w:rPr>
        <w:t>西安分行</w:t>
      </w:r>
      <w:r>
        <w:rPr>
          <w:rFonts w:eastAsia="仿宋_GB2312"/>
          <w:color w:val="auto"/>
          <w:szCs w:val="21"/>
          <w:highlight w:val="none"/>
        </w:rPr>
        <w:tab/>
      </w:r>
      <w:r>
        <w:rPr>
          <w:rFonts w:eastAsia="仿宋_GB2312"/>
          <w:color w:val="auto"/>
          <w:szCs w:val="21"/>
          <w:highlight w:val="none"/>
        </w:rPr>
        <w:t>李瑞雪</w:t>
      </w:r>
      <w:r>
        <w:rPr>
          <w:rFonts w:eastAsia="仿宋_GB2312"/>
          <w:color w:val="auto"/>
          <w:szCs w:val="21"/>
          <w:highlight w:val="none"/>
        </w:rPr>
        <w:tab/>
      </w:r>
      <w:r>
        <w:rPr>
          <w:rFonts w:eastAsia="仿宋_GB2312"/>
          <w:color w:val="auto"/>
          <w:szCs w:val="21"/>
          <w:highlight w:val="none"/>
        </w:rPr>
        <w:t>客户经理</w:t>
      </w:r>
      <w:r>
        <w:rPr>
          <w:rFonts w:eastAsia="仿宋_GB2312"/>
          <w:color w:val="auto"/>
          <w:szCs w:val="21"/>
          <w:highlight w:val="none"/>
        </w:rPr>
        <w:tab/>
      </w:r>
      <w:r>
        <w:rPr>
          <w:rFonts w:eastAsia="仿宋_GB2312"/>
          <w:color w:val="auto"/>
          <w:szCs w:val="21"/>
          <w:highlight w:val="none"/>
        </w:rPr>
        <w:t>029-63603445</w:t>
      </w:r>
      <w:r>
        <w:rPr>
          <w:rFonts w:eastAsia="仿宋_GB2312"/>
          <w:color w:val="auto"/>
          <w:szCs w:val="21"/>
          <w:highlight w:val="none"/>
        </w:rPr>
        <w:tab/>
      </w:r>
      <w:r>
        <w:rPr>
          <w:rFonts w:eastAsia="仿宋_GB2312"/>
          <w:color w:val="auto"/>
          <w:szCs w:val="21"/>
          <w:highlight w:val="none"/>
        </w:rPr>
        <w:t>18220862398</w:t>
      </w:r>
    </w:p>
    <w:p w14:paraId="4D60D55B">
      <w:pPr>
        <w:shd w:val="clear" w:color="auto" w:fill="auto"/>
        <w:ind w:firstLine="420" w:firstLineChars="200"/>
        <w:rPr>
          <w:rFonts w:eastAsia="仿宋_GB2312"/>
          <w:color w:val="auto"/>
          <w:szCs w:val="21"/>
          <w:highlight w:val="none"/>
        </w:rPr>
      </w:pPr>
      <w:r>
        <w:rPr>
          <w:rFonts w:eastAsia="仿宋_GB2312"/>
          <w:color w:val="auto"/>
          <w:szCs w:val="21"/>
          <w:highlight w:val="none"/>
        </w:rPr>
        <w:t>榆林分行</w:t>
      </w:r>
      <w:r>
        <w:rPr>
          <w:rFonts w:eastAsia="仿宋_GB2312"/>
          <w:color w:val="auto"/>
          <w:szCs w:val="21"/>
          <w:highlight w:val="none"/>
        </w:rPr>
        <w:tab/>
      </w:r>
      <w:r>
        <w:rPr>
          <w:rFonts w:eastAsia="仿宋_GB2312"/>
          <w:color w:val="auto"/>
          <w:szCs w:val="21"/>
          <w:highlight w:val="none"/>
        </w:rPr>
        <w:t>陈晓晓</w:t>
      </w:r>
      <w:r>
        <w:rPr>
          <w:rFonts w:eastAsia="仿宋_GB2312"/>
          <w:color w:val="auto"/>
          <w:szCs w:val="21"/>
          <w:highlight w:val="none"/>
        </w:rPr>
        <w:tab/>
      </w:r>
      <w:r>
        <w:rPr>
          <w:rFonts w:eastAsia="仿宋_GB2312"/>
          <w:color w:val="auto"/>
          <w:szCs w:val="21"/>
          <w:highlight w:val="none"/>
        </w:rPr>
        <w:t>公司业务部</w:t>
      </w:r>
      <w:r>
        <w:rPr>
          <w:rFonts w:eastAsia="仿宋_GB2312"/>
          <w:color w:val="auto"/>
          <w:szCs w:val="21"/>
          <w:highlight w:val="none"/>
        </w:rPr>
        <w:tab/>
      </w:r>
      <w:r>
        <w:rPr>
          <w:rFonts w:eastAsia="仿宋_GB2312"/>
          <w:color w:val="auto"/>
          <w:szCs w:val="21"/>
          <w:highlight w:val="none"/>
        </w:rPr>
        <w:t>0912-2216068</w:t>
      </w:r>
      <w:r>
        <w:rPr>
          <w:rFonts w:eastAsia="仿宋_GB2312"/>
          <w:color w:val="auto"/>
          <w:szCs w:val="21"/>
          <w:highlight w:val="none"/>
        </w:rPr>
        <w:tab/>
      </w:r>
      <w:r>
        <w:rPr>
          <w:rFonts w:eastAsia="仿宋_GB2312"/>
          <w:color w:val="auto"/>
          <w:szCs w:val="21"/>
          <w:highlight w:val="none"/>
        </w:rPr>
        <w:t>15691269965</w:t>
      </w:r>
    </w:p>
    <w:p w14:paraId="0BDD6E59">
      <w:pPr>
        <w:shd w:val="clear" w:color="auto" w:fill="auto"/>
        <w:ind w:firstLine="420" w:firstLineChars="200"/>
        <w:rPr>
          <w:rFonts w:eastAsia="仿宋_GB2312"/>
          <w:color w:val="auto"/>
          <w:szCs w:val="21"/>
          <w:highlight w:val="none"/>
        </w:rPr>
      </w:pPr>
      <w:r>
        <w:rPr>
          <w:rFonts w:eastAsia="仿宋_GB2312"/>
          <w:color w:val="auto"/>
          <w:szCs w:val="21"/>
          <w:highlight w:val="none"/>
        </w:rPr>
        <w:t>榆林分行</w:t>
      </w:r>
      <w:r>
        <w:rPr>
          <w:rFonts w:eastAsia="仿宋_GB2312"/>
          <w:color w:val="auto"/>
          <w:szCs w:val="21"/>
          <w:highlight w:val="none"/>
        </w:rPr>
        <w:tab/>
      </w:r>
      <w:r>
        <w:rPr>
          <w:rFonts w:eastAsia="仿宋_GB2312"/>
          <w:color w:val="auto"/>
          <w:szCs w:val="21"/>
          <w:highlight w:val="none"/>
        </w:rPr>
        <w:t>郭小东</w:t>
      </w:r>
      <w:r>
        <w:rPr>
          <w:rFonts w:eastAsia="仿宋_GB2312"/>
          <w:color w:val="auto"/>
          <w:szCs w:val="21"/>
          <w:highlight w:val="none"/>
        </w:rPr>
        <w:tab/>
      </w:r>
      <w:r>
        <w:rPr>
          <w:rFonts w:eastAsia="仿宋_GB2312"/>
          <w:color w:val="auto"/>
          <w:szCs w:val="21"/>
          <w:highlight w:val="none"/>
        </w:rPr>
        <w:t>公司业务部</w:t>
      </w:r>
      <w:r>
        <w:rPr>
          <w:rFonts w:eastAsia="仿宋_GB2312"/>
          <w:color w:val="auto"/>
          <w:szCs w:val="21"/>
          <w:highlight w:val="none"/>
        </w:rPr>
        <w:tab/>
      </w:r>
      <w:r>
        <w:rPr>
          <w:rFonts w:eastAsia="仿宋_GB2312"/>
          <w:color w:val="auto"/>
          <w:szCs w:val="21"/>
          <w:highlight w:val="none"/>
        </w:rPr>
        <w:t>0912-2216008</w:t>
      </w:r>
      <w:r>
        <w:rPr>
          <w:rFonts w:eastAsia="仿宋_GB2312"/>
          <w:color w:val="auto"/>
          <w:szCs w:val="21"/>
          <w:highlight w:val="none"/>
        </w:rPr>
        <w:tab/>
      </w:r>
      <w:r>
        <w:rPr>
          <w:rFonts w:eastAsia="仿宋_GB2312"/>
          <w:color w:val="auto"/>
          <w:szCs w:val="21"/>
          <w:highlight w:val="none"/>
        </w:rPr>
        <w:t>15291820586</w:t>
      </w:r>
    </w:p>
    <w:p w14:paraId="368E3A1C">
      <w:pPr>
        <w:shd w:val="clear" w:color="auto" w:fill="auto"/>
        <w:ind w:firstLine="420" w:firstLineChars="200"/>
        <w:rPr>
          <w:rFonts w:eastAsia="仿宋_GB2312"/>
          <w:color w:val="auto"/>
          <w:szCs w:val="21"/>
          <w:highlight w:val="none"/>
        </w:rPr>
      </w:pPr>
      <w:r>
        <w:rPr>
          <w:rFonts w:eastAsia="仿宋_GB2312"/>
          <w:color w:val="auto"/>
          <w:szCs w:val="21"/>
          <w:highlight w:val="none"/>
        </w:rPr>
        <w:t>宝鸡分行</w:t>
      </w:r>
      <w:r>
        <w:rPr>
          <w:rFonts w:eastAsia="仿宋_GB2312"/>
          <w:color w:val="auto"/>
          <w:szCs w:val="21"/>
          <w:highlight w:val="none"/>
        </w:rPr>
        <w:tab/>
      </w:r>
      <w:r>
        <w:rPr>
          <w:rFonts w:eastAsia="仿宋_GB2312"/>
          <w:color w:val="auto"/>
          <w:szCs w:val="21"/>
          <w:highlight w:val="none"/>
        </w:rPr>
        <w:t>张一岚</w:t>
      </w:r>
      <w:r>
        <w:rPr>
          <w:rFonts w:eastAsia="仿宋_GB2312"/>
          <w:color w:val="auto"/>
          <w:szCs w:val="21"/>
          <w:highlight w:val="none"/>
        </w:rPr>
        <w:tab/>
      </w:r>
      <w:r>
        <w:rPr>
          <w:rFonts w:eastAsia="仿宋_GB2312"/>
          <w:color w:val="auto"/>
          <w:szCs w:val="21"/>
          <w:highlight w:val="none"/>
        </w:rPr>
        <w:t>公司业务部</w:t>
      </w:r>
      <w:r>
        <w:rPr>
          <w:rFonts w:eastAsia="仿宋_GB2312"/>
          <w:color w:val="auto"/>
          <w:szCs w:val="21"/>
          <w:highlight w:val="none"/>
        </w:rPr>
        <w:tab/>
      </w:r>
      <w:r>
        <w:rPr>
          <w:rFonts w:eastAsia="仿宋_GB2312"/>
          <w:color w:val="auto"/>
          <w:szCs w:val="21"/>
          <w:highlight w:val="none"/>
        </w:rPr>
        <w:t xml:space="preserve">0917-8662919 </w:t>
      </w:r>
      <w:r>
        <w:rPr>
          <w:rFonts w:eastAsia="仿宋_GB2312"/>
          <w:color w:val="auto"/>
          <w:szCs w:val="21"/>
          <w:highlight w:val="none"/>
        </w:rPr>
        <w:tab/>
      </w:r>
      <w:r>
        <w:rPr>
          <w:rFonts w:eastAsia="仿宋_GB2312"/>
          <w:color w:val="auto"/>
          <w:szCs w:val="21"/>
          <w:highlight w:val="none"/>
        </w:rPr>
        <w:t>18690008816</w:t>
      </w:r>
    </w:p>
    <w:p w14:paraId="7340B5AE">
      <w:pPr>
        <w:shd w:val="clear" w:color="auto" w:fill="auto"/>
        <w:ind w:firstLine="420" w:firstLineChars="200"/>
        <w:rPr>
          <w:rFonts w:eastAsia="仿宋_GB2312"/>
          <w:color w:val="auto"/>
          <w:szCs w:val="21"/>
          <w:highlight w:val="none"/>
        </w:rPr>
      </w:pPr>
      <w:r>
        <w:rPr>
          <w:rFonts w:eastAsia="仿宋_GB2312"/>
          <w:color w:val="auto"/>
          <w:szCs w:val="21"/>
          <w:highlight w:val="none"/>
        </w:rPr>
        <w:t>宝鸡分行</w:t>
      </w:r>
      <w:r>
        <w:rPr>
          <w:rFonts w:eastAsia="仿宋_GB2312"/>
          <w:color w:val="auto"/>
          <w:szCs w:val="21"/>
          <w:highlight w:val="none"/>
        </w:rPr>
        <w:tab/>
      </w:r>
      <w:r>
        <w:rPr>
          <w:rFonts w:eastAsia="仿宋_GB2312"/>
          <w:color w:val="auto"/>
          <w:szCs w:val="21"/>
          <w:highlight w:val="none"/>
        </w:rPr>
        <w:t>朱强</w:t>
      </w:r>
      <w:r>
        <w:rPr>
          <w:rFonts w:eastAsia="仿宋_GB2312"/>
          <w:color w:val="auto"/>
          <w:szCs w:val="21"/>
          <w:highlight w:val="none"/>
        </w:rPr>
        <w:tab/>
      </w:r>
      <w:r>
        <w:rPr>
          <w:rFonts w:eastAsia="仿宋_GB2312"/>
          <w:color w:val="auto"/>
          <w:szCs w:val="21"/>
          <w:highlight w:val="none"/>
        </w:rPr>
        <w:t>公司业务部</w:t>
      </w:r>
      <w:r>
        <w:rPr>
          <w:rFonts w:eastAsia="仿宋_GB2312"/>
          <w:color w:val="auto"/>
          <w:szCs w:val="21"/>
          <w:highlight w:val="none"/>
        </w:rPr>
        <w:tab/>
      </w:r>
      <w:r>
        <w:rPr>
          <w:rFonts w:eastAsia="仿宋_GB2312"/>
          <w:color w:val="auto"/>
          <w:szCs w:val="21"/>
          <w:highlight w:val="none"/>
        </w:rPr>
        <w:t xml:space="preserve">0917-8662926 </w:t>
      </w:r>
      <w:r>
        <w:rPr>
          <w:rFonts w:eastAsia="仿宋_GB2312"/>
          <w:color w:val="auto"/>
          <w:szCs w:val="21"/>
          <w:highlight w:val="none"/>
        </w:rPr>
        <w:tab/>
      </w:r>
      <w:r>
        <w:rPr>
          <w:rFonts w:eastAsia="仿宋_GB2312"/>
          <w:color w:val="auto"/>
          <w:szCs w:val="21"/>
          <w:highlight w:val="none"/>
        </w:rPr>
        <w:t>13909176381</w:t>
      </w:r>
    </w:p>
    <w:p w14:paraId="29D2CDCF">
      <w:pPr>
        <w:shd w:val="clear" w:color="auto" w:fill="auto"/>
        <w:ind w:firstLine="420" w:firstLineChars="200"/>
        <w:rPr>
          <w:rFonts w:eastAsia="仿宋_GB2312"/>
          <w:color w:val="auto"/>
          <w:szCs w:val="21"/>
          <w:highlight w:val="none"/>
        </w:rPr>
      </w:pPr>
      <w:r>
        <w:rPr>
          <w:rFonts w:eastAsia="仿宋_GB2312"/>
          <w:color w:val="auto"/>
          <w:szCs w:val="21"/>
          <w:highlight w:val="none"/>
        </w:rPr>
        <w:t>渭南分行</w:t>
      </w:r>
      <w:r>
        <w:rPr>
          <w:rFonts w:eastAsia="仿宋_GB2312"/>
          <w:color w:val="auto"/>
          <w:szCs w:val="21"/>
          <w:highlight w:val="none"/>
        </w:rPr>
        <w:tab/>
      </w:r>
      <w:r>
        <w:rPr>
          <w:rFonts w:eastAsia="仿宋_GB2312"/>
          <w:color w:val="auto"/>
          <w:szCs w:val="21"/>
          <w:highlight w:val="none"/>
        </w:rPr>
        <w:t>王晓峰</w:t>
      </w:r>
      <w:r>
        <w:rPr>
          <w:rFonts w:eastAsia="仿宋_GB2312"/>
          <w:color w:val="auto"/>
          <w:szCs w:val="21"/>
          <w:highlight w:val="none"/>
        </w:rPr>
        <w:tab/>
      </w:r>
      <w:r>
        <w:rPr>
          <w:rFonts w:eastAsia="仿宋_GB2312"/>
          <w:color w:val="auto"/>
          <w:szCs w:val="21"/>
          <w:highlight w:val="none"/>
        </w:rPr>
        <w:t>公司业务部</w:t>
      </w:r>
      <w:r>
        <w:rPr>
          <w:rFonts w:eastAsia="仿宋_GB2312"/>
          <w:color w:val="auto"/>
          <w:szCs w:val="21"/>
          <w:highlight w:val="none"/>
        </w:rPr>
        <w:tab/>
      </w:r>
      <w:r>
        <w:rPr>
          <w:rFonts w:eastAsia="仿宋_GB2312"/>
          <w:color w:val="auto"/>
          <w:szCs w:val="21"/>
          <w:highlight w:val="none"/>
        </w:rPr>
        <w:t>0913-3357080</w:t>
      </w:r>
      <w:r>
        <w:rPr>
          <w:rFonts w:eastAsia="仿宋_GB2312"/>
          <w:color w:val="auto"/>
          <w:szCs w:val="21"/>
          <w:highlight w:val="none"/>
        </w:rPr>
        <w:tab/>
      </w:r>
      <w:r>
        <w:rPr>
          <w:rFonts w:eastAsia="仿宋_GB2312"/>
          <w:color w:val="auto"/>
          <w:szCs w:val="21"/>
          <w:highlight w:val="none"/>
        </w:rPr>
        <w:t>13992363166</w:t>
      </w:r>
    </w:p>
    <w:p w14:paraId="76CE1272">
      <w:pPr>
        <w:shd w:val="clear" w:color="auto" w:fill="auto"/>
        <w:ind w:firstLine="420" w:firstLineChars="200"/>
        <w:rPr>
          <w:rFonts w:eastAsia="仿宋_GB2312"/>
          <w:color w:val="auto"/>
          <w:szCs w:val="21"/>
          <w:highlight w:val="none"/>
        </w:rPr>
      </w:pPr>
      <w:r>
        <w:rPr>
          <w:rFonts w:eastAsia="仿宋_GB2312"/>
          <w:color w:val="auto"/>
          <w:szCs w:val="21"/>
          <w:highlight w:val="none"/>
        </w:rPr>
        <w:t>咸阳分行</w:t>
      </w:r>
      <w:r>
        <w:rPr>
          <w:rFonts w:eastAsia="仿宋_GB2312"/>
          <w:color w:val="auto"/>
          <w:szCs w:val="21"/>
          <w:highlight w:val="none"/>
        </w:rPr>
        <w:tab/>
      </w:r>
      <w:r>
        <w:rPr>
          <w:rFonts w:eastAsia="仿宋_GB2312"/>
          <w:color w:val="auto"/>
          <w:szCs w:val="21"/>
          <w:highlight w:val="none"/>
        </w:rPr>
        <w:t>薛晗</w:t>
      </w:r>
      <w:r>
        <w:rPr>
          <w:rFonts w:eastAsia="仿宋_GB2312"/>
          <w:color w:val="auto"/>
          <w:szCs w:val="21"/>
          <w:highlight w:val="none"/>
        </w:rPr>
        <w:tab/>
      </w:r>
      <w:r>
        <w:rPr>
          <w:rFonts w:eastAsia="仿宋_GB2312"/>
          <w:color w:val="auto"/>
          <w:szCs w:val="21"/>
          <w:highlight w:val="none"/>
        </w:rPr>
        <w:t>公司业务部</w:t>
      </w:r>
      <w:r>
        <w:rPr>
          <w:rFonts w:eastAsia="仿宋_GB2312"/>
          <w:color w:val="auto"/>
          <w:szCs w:val="21"/>
          <w:highlight w:val="none"/>
        </w:rPr>
        <w:tab/>
      </w:r>
      <w:r>
        <w:rPr>
          <w:rFonts w:eastAsia="仿宋_GB2312"/>
          <w:color w:val="auto"/>
          <w:szCs w:val="21"/>
          <w:highlight w:val="none"/>
        </w:rPr>
        <w:t>029-32083788</w:t>
      </w:r>
      <w:r>
        <w:rPr>
          <w:rFonts w:eastAsia="仿宋_GB2312"/>
          <w:color w:val="auto"/>
          <w:szCs w:val="21"/>
          <w:highlight w:val="none"/>
        </w:rPr>
        <w:tab/>
      </w:r>
      <w:r>
        <w:rPr>
          <w:rFonts w:eastAsia="仿宋_GB2312"/>
          <w:color w:val="auto"/>
          <w:szCs w:val="21"/>
          <w:highlight w:val="none"/>
        </w:rPr>
        <w:t>15109226216</w:t>
      </w:r>
    </w:p>
    <w:p w14:paraId="3217D40C">
      <w:pPr>
        <w:shd w:val="clear" w:color="auto" w:fill="auto"/>
        <w:rPr>
          <w:rFonts w:eastAsia="仿宋_GB2312"/>
          <w:color w:val="auto"/>
          <w:szCs w:val="21"/>
          <w:highlight w:val="none"/>
        </w:rPr>
      </w:pPr>
    </w:p>
    <w:p w14:paraId="595E0595">
      <w:pPr>
        <w:shd w:val="clear" w:color="auto" w:fill="auto"/>
        <w:rPr>
          <w:rFonts w:eastAsia="仿宋_GB2312"/>
          <w:b/>
          <w:color w:val="auto"/>
          <w:szCs w:val="21"/>
          <w:highlight w:val="none"/>
        </w:rPr>
      </w:pPr>
      <w:r>
        <w:rPr>
          <w:rFonts w:eastAsia="仿宋_GB2312"/>
          <w:b/>
          <w:color w:val="auto"/>
          <w:szCs w:val="21"/>
          <w:highlight w:val="none"/>
        </w:rPr>
        <w:t>七、兴业银行（政采贷）</w:t>
      </w:r>
    </w:p>
    <w:p w14:paraId="28DC8D3C">
      <w:pPr>
        <w:shd w:val="clear" w:color="auto" w:fill="auto"/>
        <w:ind w:firstLine="420" w:firstLineChars="200"/>
        <w:rPr>
          <w:rFonts w:eastAsia="仿宋_GB2312"/>
          <w:color w:val="auto"/>
          <w:szCs w:val="21"/>
          <w:highlight w:val="none"/>
        </w:rPr>
      </w:pPr>
      <w:r>
        <w:rPr>
          <w:rFonts w:eastAsia="仿宋_GB2312"/>
          <w:color w:val="auto"/>
          <w:szCs w:val="21"/>
          <w:highlight w:val="none"/>
        </w:rPr>
        <w:t>西安分行</w:t>
      </w:r>
      <w:r>
        <w:rPr>
          <w:rFonts w:eastAsia="仿宋_GB2312"/>
          <w:color w:val="auto"/>
          <w:szCs w:val="21"/>
          <w:highlight w:val="none"/>
        </w:rPr>
        <w:tab/>
      </w:r>
      <w:r>
        <w:rPr>
          <w:rFonts w:eastAsia="仿宋_GB2312"/>
          <w:color w:val="auto"/>
          <w:szCs w:val="21"/>
          <w:highlight w:val="none"/>
        </w:rPr>
        <w:t>朱靖</w:t>
      </w:r>
      <w:r>
        <w:rPr>
          <w:rFonts w:eastAsia="仿宋_GB2312"/>
          <w:color w:val="auto"/>
          <w:szCs w:val="21"/>
          <w:highlight w:val="none"/>
        </w:rPr>
        <w:tab/>
      </w:r>
      <w:r>
        <w:rPr>
          <w:rFonts w:eastAsia="仿宋_GB2312"/>
          <w:color w:val="auto"/>
          <w:szCs w:val="21"/>
          <w:highlight w:val="none"/>
        </w:rPr>
        <w:t>总监</w:t>
      </w:r>
      <w:r>
        <w:rPr>
          <w:rFonts w:eastAsia="仿宋_GB2312"/>
          <w:color w:val="auto"/>
          <w:szCs w:val="21"/>
          <w:highlight w:val="none"/>
        </w:rPr>
        <w:tab/>
      </w:r>
      <w:r>
        <w:rPr>
          <w:rFonts w:eastAsia="仿宋_GB2312"/>
          <w:color w:val="auto"/>
          <w:szCs w:val="21"/>
          <w:highlight w:val="none"/>
        </w:rPr>
        <w:t>029-87482998</w:t>
      </w:r>
      <w:r>
        <w:rPr>
          <w:rFonts w:eastAsia="仿宋_GB2312"/>
          <w:color w:val="auto"/>
          <w:szCs w:val="21"/>
          <w:highlight w:val="none"/>
        </w:rPr>
        <w:tab/>
      </w:r>
      <w:r>
        <w:rPr>
          <w:rFonts w:eastAsia="仿宋_GB2312"/>
          <w:color w:val="auto"/>
          <w:szCs w:val="21"/>
          <w:highlight w:val="none"/>
        </w:rPr>
        <w:t>13363979983</w:t>
      </w:r>
    </w:p>
    <w:p w14:paraId="16493661">
      <w:pPr>
        <w:shd w:val="clear" w:color="auto" w:fill="auto"/>
        <w:rPr>
          <w:rFonts w:eastAsia="仿宋_GB2312"/>
          <w:b/>
          <w:color w:val="auto"/>
          <w:szCs w:val="21"/>
          <w:highlight w:val="none"/>
        </w:rPr>
      </w:pPr>
      <w:r>
        <w:rPr>
          <w:rFonts w:eastAsia="仿宋_GB2312"/>
          <w:b/>
          <w:color w:val="auto"/>
          <w:szCs w:val="21"/>
          <w:highlight w:val="none"/>
        </w:rPr>
        <w:t>八、中国民生银行（政采贷）</w:t>
      </w:r>
    </w:p>
    <w:p w14:paraId="3CF18DE5">
      <w:pPr>
        <w:shd w:val="clear" w:color="auto" w:fill="auto"/>
        <w:ind w:left="2310" w:leftChars="200" w:hanging="1890" w:hangingChars="900"/>
        <w:rPr>
          <w:rFonts w:hint="eastAsia" w:eastAsia="仿宋_GB2312"/>
          <w:color w:val="auto"/>
          <w:szCs w:val="21"/>
          <w:highlight w:val="none"/>
        </w:rPr>
      </w:pPr>
      <w:r>
        <w:rPr>
          <w:rFonts w:eastAsia="仿宋_GB2312"/>
          <w:color w:val="auto"/>
          <w:szCs w:val="21"/>
          <w:highlight w:val="none"/>
        </w:rPr>
        <w:t>民生银行西安分行  联系人：陈经理 联系电话：61815275 /18821669199</w:t>
      </w:r>
    </w:p>
    <w:p w14:paraId="10B3099E">
      <w:pPr>
        <w:shd w:val="clear" w:color="auto" w:fill="auto"/>
        <w:ind w:left="2310" w:leftChars="200" w:hanging="1890" w:hangingChars="900"/>
        <w:rPr>
          <w:rFonts w:eastAsia="仿宋_GB2312"/>
          <w:color w:val="auto"/>
          <w:szCs w:val="21"/>
          <w:highlight w:val="none"/>
        </w:rPr>
      </w:pPr>
      <w:r>
        <w:rPr>
          <w:rFonts w:eastAsia="仿宋_GB2312"/>
          <w:color w:val="auto"/>
          <w:szCs w:val="21"/>
          <w:highlight w:val="none"/>
        </w:rPr>
        <w:t xml:space="preserve">联系人：王经理 联系电话：61815280 /18591953690 </w:t>
      </w:r>
    </w:p>
    <w:p w14:paraId="17EF7264">
      <w:pPr>
        <w:shd w:val="clear" w:color="auto" w:fill="auto"/>
        <w:rPr>
          <w:rFonts w:eastAsia="仿宋_GB2312"/>
          <w:b/>
          <w:color w:val="auto"/>
          <w:szCs w:val="21"/>
          <w:highlight w:val="none"/>
        </w:rPr>
      </w:pPr>
      <w:r>
        <w:rPr>
          <w:rFonts w:eastAsia="仿宋_GB2312"/>
          <w:b/>
          <w:color w:val="auto"/>
          <w:szCs w:val="21"/>
          <w:highlight w:val="none"/>
        </w:rPr>
        <w:t>九、浙商银行 （政采贷）</w:t>
      </w:r>
    </w:p>
    <w:p w14:paraId="0A93925D">
      <w:pPr>
        <w:shd w:val="clear" w:color="auto" w:fill="auto"/>
        <w:ind w:firstLine="420" w:firstLineChars="200"/>
        <w:rPr>
          <w:rFonts w:eastAsia="仿宋_GB2312"/>
          <w:color w:val="auto"/>
          <w:szCs w:val="21"/>
          <w:highlight w:val="none"/>
        </w:rPr>
      </w:pPr>
      <w:r>
        <w:rPr>
          <w:rFonts w:eastAsia="仿宋_GB2312"/>
          <w:color w:val="auto"/>
          <w:szCs w:val="21"/>
          <w:highlight w:val="none"/>
        </w:rPr>
        <w:t>西安分行</w:t>
      </w:r>
      <w:r>
        <w:rPr>
          <w:rFonts w:eastAsia="仿宋_GB2312"/>
          <w:color w:val="auto"/>
          <w:szCs w:val="21"/>
          <w:highlight w:val="none"/>
        </w:rPr>
        <w:tab/>
      </w:r>
      <w:r>
        <w:rPr>
          <w:rFonts w:eastAsia="仿宋_GB2312"/>
          <w:color w:val="auto"/>
          <w:szCs w:val="21"/>
          <w:highlight w:val="none"/>
        </w:rPr>
        <w:t>西安市雁塔区科技路259号</w:t>
      </w:r>
      <w:r>
        <w:rPr>
          <w:rFonts w:eastAsia="仿宋_GB2312"/>
          <w:color w:val="auto"/>
          <w:szCs w:val="21"/>
          <w:highlight w:val="none"/>
        </w:rPr>
        <w:tab/>
      </w:r>
      <w:r>
        <w:rPr>
          <w:rFonts w:eastAsia="仿宋_GB2312"/>
          <w:color w:val="auto"/>
          <w:szCs w:val="21"/>
          <w:highlight w:val="none"/>
        </w:rPr>
        <w:t>曹金辉</w:t>
      </w:r>
      <w:r>
        <w:rPr>
          <w:rFonts w:eastAsia="仿宋_GB2312"/>
          <w:color w:val="auto"/>
          <w:szCs w:val="21"/>
          <w:highlight w:val="none"/>
        </w:rPr>
        <w:tab/>
      </w:r>
      <w:r>
        <w:rPr>
          <w:rFonts w:eastAsia="仿宋_GB2312"/>
          <w:color w:val="auto"/>
          <w:szCs w:val="21"/>
          <w:highlight w:val="none"/>
        </w:rPr>
        <w:t>18710993980</w:t>
      </w:r>
    </w:p>
    <w:p w14:paraId="33229B30">
      <w:pPr>
        <w:shd w:val="clear" w:color="auto" w:fill="auto"/>
        <w:rPr>
          <w:rFonts w:eastAsia="仿宋_GB2312"/>
          <w:b/>
          <w:color w:val="auto"/>
          <w:szCs w:val="21"/>
          <w:highlight w:val="none"/>
        </w:rPr>
      </w:pPr>
      <w:r>
        <w:rPr>
          <w:rFonts w:eastAsia="仿宋_GB2312"/>
          <w:b/>
          <w:color w:val="auto"/>
          <w:szCs w:val="21"/>
          <w:highlight w:val="none"/>
        </w:rPr>
        <w:t xml:space="preserve">十、 招商银行（政采贷） </w:t>
      </w:r>
    </w:p>
    <w:p w14:paraId="7981E42A">
      <w:pPr>
        <w:shd w:val="clear" w:color="auto" w:fill="auto"/>
        <w:ind w:firstLine="420" w:firstLineChars="200"/>
        <w:rPr>
          <w:rFonts w:eastAsia="仿宋_GB2312"/>
          <w:color w:val="auto"/>
          <w:szCs w:val="21"/>
          <w:highlight w:val="none"/>
        </w:rPr>
      </w:pPr>
      <w:r>
        <w:rPr>
          <w:rFonts w:eastAsia="仿宋_GB2312"/>
          <w:color w:val="auto"/>
          <w:szCs w:val="21"/>
          <w:highlight w:val="none"/>
        </w:rPr>
        <w:t>招商银行西安分行   联系人：任瑾；85438988</w:t>
      </w:r>
    </w:p>
    <w:p w14:paraId="25F66601">
      <w:pPr>
        <w:shd w:val="clear" w:color="auto" w:fill="auto"/>
        <w:rPr>
          <w:rFonts w:eastAsia="仿宋_GB2312"/>
          <w:b/>
          <w:color w:val="auto"/>
          <w:szCs w:val="21"/>
          <w:highlight w:val="none"/>
        </w:rPr>
      </w:pPr>
      <w:r>
        <w:rPr>
          <w:rFonts w:eastAsia="仿宋_GB2312"/>
          <w:b/>
          <w:color w:val="auto"/>
          <w:szCs w:val="21"/>
          <w:highlight w:val="none"/>
        </w:rPr>
        <w:t xml:space="preserve">十一、 长安银行（小微贷） </w:t>
      </w:r>
    </w:p>
    <w:p w14:paraId="48B07915">
      <w:pPr>
        <w:shd w:val="clear" w:color="auto" w:fill="auto"/>
        <w:ind w:firstLine="420" w:firstLineChars="200"/>
        <w:rPr>
          <w:rFonts w:eastAsia="仿宋_GB2312"/>
          <w:color w:val="auto"/>
          <w:szCs w:val="21"/>
          <w:highlight w:val="none"/>
        </w:rPr>
      </w:pPr>
      <w:r>
        <w:rPr>
          <w:rFonts w:eastAsia="仿宋_GB2312"/>
          <w:color w:val="auto"/>
          <w:szCs w:val="21"/>
          <w:highlight w:val="none"/>
        </w:rPr>
        <w:t xml:space="preserve">长安银行西安曲江新区支行 地址：西安市曲江新区雁南一路3号  </w:t>
      </w:r>
    </w:p>
    <w:p w14:paraId="3C906414">
      <w:pPr>
        <w:shd w:val="clear" w:color="auto" w:fill="auto"/>
        <w:ind w:firstLine="420" w:firstLineChars="200"/>
        <w:rPr>
          <w:rFonts w:eastAsia="仿宋_GB2312"/>
          <w:color w:val="auto"/>
          <w:szCs w:val="21"/>
          <w:highlight w:val="none"/>
        </w:rPr>
      </w:pPr>
      <w:r>
        <w:rPr>
          <w:rFonts w:eastAsia="仿宋_GB2312"/>
          <w:color w:val="auto"/>
          <w:szCs w:val="21"/>
          <w:highlight w:val="none"/>
        </w:rPr>
        <w:t xml:space="preserve">联系人：陈瑶 13629266833 </w:t>
      </w:r>
    </w:p>
    <w:p w14:paraId="6D05C7CE">
      <w:pPr>
        <w:shd w:val="clear" w:color="auto" w:fill="auto"/>
        <w:rPr>
          <w:rFonts w:hint="eastAsia" w:ascii="仿宋_GB2312" w:hAnsi="仿宋_GB2312" w:eastAsia="仿宋_GB2312" w:cs="仿宋_GB2312"/>
          <w:b/>
          <w:color w:val="auto"/>
          <w:szCs w:val="21"/>
          <w:highlight w:val="none"/>
        </w:rPr>
      </w:pPr>
      <w:r>
        <w:rPr>
          <w:rFonts w:hint="eastAsia" w:ascii="仿宋_GB2312" w:hAnsi="仿宋_GB2312" w:eastAsia="仿宋_GB2312" w:cs="仿宋_GB2312"/>
          <w:b/>
          <w:color w:val="auto"/>
          <w:szCs w:val="21"/>
          <w:highlight w:val="none"/>
        </w:rPr>
        <w:t>十二、网商银行（合同贷）</w:t>
      </w:r>
    </w:p>
    <w:p w14:paraId="31E414CB">
      <w:pPr>
        <w:shd w:val="clear" w:color="auto" w:fill="auto"/>
        <w:rPr>
          <w:rFonts w:hint="eastAsia" w:ascii="仿宋_GB2312" w:hAnsi="仿宋_GB2312" w:eastAsia="仿宋_GB2312" w:cs="仿宋_GB2312"/>
          <w:b/>
          <w:color w:val="auto"/>
          <w:szCs w:val="21"/>
          <w:highlight w:val="none"/>
        </w:rPr>
      </w:pPr>
      <w:r>
        <w:rPr>
          <w:rFonts w:hint="eastAsia" w:ascii="仿宋_GB2312" w:hAnsi="仿宋_GB2312" w:eastAsia="仿宋_GB2312" w:cs="仿宋_GB2312"/>
          <w:b/>
          <w:color w:val="auto"/>
          <w:szCs w:val="21"/>
          <w:highlight w:val="none"/>
        </w:rPr>
        <w:t>十三、中国邮政储蓄银行陕西省分行（政采贷）</w:t>
      </w:r>
    </w:p>
    <w:p w14:paraId="6685625F">
      <w:pPr>
        <w:pStyle w:val="14"/>
        <w:shd w:val="clear" w:color="auto" w:fill="auto"/>
        <w:rPr>
          <w:rFonts w:hint="eastAsia" w:ascii="Times New Roman" w:hAnsi="Times New Roman" w:eastAsia="仿宋_GB2312"/>
          <w:color w:val="auto"/>
          <w:highlight w:val="none"/>
        </w:rPr>
      </w:pPr>
      <w:r>
        <w:rPr>
          <w:rFonts w:hint="eastAsia" w:ascii="Times New Roman" w:hAnsi="Times New Roman" w:eastAsia="仿宋_GB2312"/>
          <w:color w:val="auto"/>
          <w:highlight w:val="none"/>
        </w:rPr>
        <w:t>渭南市政府采购贷款银行信息：</w:t>
      </w:r>
    </w:p>
    <w:tbl>
      <w:tblPr>
        <w:tblStyle w:val="36"/>
        <w:tblW w:w="4733" w:type="pct"/>
        <w:tblInd w:w="108" w:type="dxa"/>
        <w:tblLayout w:type="autofit"/>
        <w:tblCellMar>
          <w:top w:w="0" w:type="dxa"/>
          <w:left w:w="108" w:type="dxa"/>
          <w:bottom w:w="0" w:type="dxa"/>
          <w:right w:w="108" w:type="dxa"/>
        </w:tblCellMar>
      </w:tblPr>
      <w:tblGrid>
        <w:gridCol w:w="1221"/>
        <w:gridCol w:w="2208"/>
        <w:gridCol w:w="2873"/>
        <w:gridCol w:w="2488"/>
      </w:tblGrid>
      <w:tr w14:paraId="413D6FC5">
        <w:tblPrEx>
          <w:tblCellMar>
            <w:top w:w="0" w:type="dxa"/>
            <w:left w:w="108" w:type="dxa"/>
            <w:bottom w:w="0" w:type="dxa"/>
            <w:right w:w="108" w:type="dxa"/>
          </w:tblCellMar>
        </w:tblPrEx>
        <w:trPr>
          <w:wBefore w:w="0" w:type="dxa"/>
          <w:wAfter w:w="0" w:type="dxa"/>
          <w:trHeight w:val="558" w:hRule="atLeast"/>
        </w:trPr>
        <w:tc>
          <w:tcPr>
            <w:tcW w:w="695" w:type="pct"/>
            <w:tcBorders>
              <w:top w:val="single" w:color="000000" w:sz="4" w:space="0"/>
              <w:left w:val="single" w:color="000000" w:sz="4" w:space="0"/>
              <w:bottom w:val="single" w:color="000000" w:sz="4" w:space="0"/>
              <w:right w:val="single" w:color="000000" w:sz="4" w:space="0"/>
            </w:tcBorders>
            <w:noWrap/>
            <w:vAlign w:val="center"/>
          </w:tcPr>
          <w:p w14:paraId="375985EE">
            <w:pPr>
              <w:widowControl/>
              <w:shd w:val="clear" w:color="auto" w:fill="auto"/>
              <w:spacing w:line="240" w:lineRule="exact"/>
              <w:jc w:val="center"/>
              <w:textAlignment w:val="center"/>
              <w:rPr>
                <w:rFonts w:hint="eastAsia" w:ascii="仿宋_GB2312" w:hAnsi="仿宋_GB2312" w:eastAsia="仿宋_GB2312" w:cs="仿宋_GB2312"/>
                <w:b/>
                <w:bCs/>
                <w:color w:val="auto"/>
                <w:szCs w:val="21"/>
                <w:highlight w:val="none"/>
              </w:rPr>
            </w:pPr>
            <w:r>
              <w:rPr>
                <w:rFonts w:hint="eastAsia" w:ascii="仿宋_GB2312" w:hAnsi="仿宋_GB2312" w:eastAsia="仿宋_GB2312" w:cs="仿宋_GB2312"/>
                <w:b/>
                <w:bCs/>
                <w:color w:val="auto"/>
                <w:kern w:val="0"/>
                <w:szCs w:val="21"/>
                <w:highlight w:val="none"/>
                <w:lang w:bidi="ar"/>
              </w:rPr>
              <w:t>序号</w:t>
            </w:r>
          </w:p>
        </w:tc>
        <w:tc>
          <w:tcPr>
            <w:tcW w:w="1256" w:type="pct"/>
            <w:tcBorders>
              <w:top w:val="single" w:color="000000" w:sz="4" w:space="0"/>
              <w:left w:val="single" w:color="000000" w:sz="4" w:space="0"/>
              <w:bottom w:val="single" w:color="000000" w:sz="4" w:space="0"/>
              <w:right w:val="single" w:color="000000" w:sz="4" w:space="0"/>
            </w:tcBorders>
            <w:noWrap/>
            <w:vAlign w:val="center"/>
          </w:tcPr>
          <w:p w14:paraId="5FD25632">
            <w:pPr>
              <w:widowControl/>
              <w:shd w:val="clear" w:color="auto" w:fill="auto"/>
              <w:spacing w:line="240" w:lineRule="exact"/>
              <w:jc w:val="center"/>
              <w:textAlignment w:val="center"/>
              <w:rPr>
                <w:rFonts w:hint="eastAsia" w:ascii="仿宋_GB2312" w:hAnsi="仿宋_GB2312" w:eastAsia="仿宋_GB2312" w:cs="仿宋_GB2312"/>
                <w:b/>
                <w:bCs/>
                <w:color w:val="auto"/>
                <w:szCs w:val="21"/>
                <w:highlight w:val="none"/>
              </w:rPr>
            </w:pPr>
            <w:r>
              <w:rPr>
                <w:rFonts w:hint="eastAsia" w:ascii="仿宋_GB2312" w:hAnsi="仿宋_GB2312" w:eastAsia="仿宋_GB2312" w:cs="仿宋_GB2312"/>
                <w:b/>
                <w:bCs/>
                <w:color w:val="auto"/>
                <w:kern w:val="0"/>
                <w:szCs w:val="21"/>
                <w:highlight w:val="none"/>
                <w:lang w:bidi="ar"/>
              </w:rPr>
              <w:t>单位名称</w:t>
            </w:r>
          </w:p>
        </w:tc>
        <w:tc>
          <w:tcPr>
            <w:tcW w:w="1634" w:type="pct"/>
            <w:tcBorders>
              <w:top w:val="single" w:color="000000" w:sz="4" w:space="0"/>
              <w:left w:val="single" w:color="000000" w:sz="4" w:space="0"/>
              <w:bottom w:val="single" w:color="000000" w:sz="4" w:space="0"/>
              <w:right w:val="single" w:color="000000" w:sz="4" w:space="0"/>
            </w:tcBorders>
            <w:noWrap/>
            <w:vAlign w:val="center"/>
          </w:tcPr>
          <w:p w14:paraId="4AA4C1AF">
            <w:pPr>
              <w:widowControl/>
              <w:shd w:val="clear" w:color="auto" w:fill="auto"/>
              <w:spacing w:line="240" w:lineRule="exact"/>
              <w:jc w:val="center"/>
              <w:textAlignment w:val="center"/>
              <w:rPr>
                <w:rFonts w:hint="eastAsia" w:ascii="仿宋_GB2312" w:hAnsi="仿宋_GB2312" w:eastAsia="仿宋_GB2312" w:cs="仿宋_GB2312"/>
                <w:b/>
                <w:bCs/>
                <w:color w:val="auto"/>
                <w:szCs w:val="21"/>
                <w:highlight w:val="none"/>
              </w:rPr>
            </w:pPr>
            <w:r>
              <w:rPr>
                <w:rFonts w:hint="eastAsia" w:ascii="仿宋_GB2312" w:hAnsi="仿宋_GB2312" w:eastAsia="仿宋_GB2312" w:cs="仿宋_GB2312"/>
                <w:b/>
                <w:bCs/>
                <w:color w:val="auto"/>
                <w:kern w:val="0"/>
                <w:szCs w:val="21"/>
                <w:highlight w:val="none"/>
                <w:lang w:bidi="ar"/>
              </w:rPr>
              <w:t>联系人</w:t>
            </w:r>
          </w:p>
        </w:tc>
        <w:tc>
          <w:tcPr>
            <w:tcW w:w="1415" w:type="pct"/>
            <w:tcBorders>
              <w:top w:val="single" w:color="000000" w:sz="4" w:space="0"/>
              <w:left w:val="single" w:color="000000" w:sz="4" w:space="0"/>
              <w:bottom w:val="single" w:color="000000" w:sz="4" w:space="0"/>
              <w:right w:val="single" w:color="000000" w:sz="4" w:space="0"/>
            </w:tcBorders>
            <w:noWrap/>
            <w:vAlign w:val="center"/>
          </w:tcPr>
          <w:p w14:paraId="41944F53">
            <w:pPr>
              <w:widowControl/>
              <w:shd w:val="clear" w:color="auto" w:fill="auto"/>
              <w:spacing w:line="240" w:lineRule="exact"/>
              <w:jc w:val="center"/>
              <w:textAlignment w:val="center"/>
              <w:rPr>
                <w:rFonts w:hint="eastAsia" w:ascii="仿宋_GB2312" w:hAnsi="仿宋_GB2312" w:eastAsia="仿宋_GB2312" w:cs="仿宋_GB2312"/>
                <w:b/>
                <w:bCs/>
                <w:color w:val="auto"/>
                <w:szCs w:val="21"/>
                <w:highlight w:val="none"/>
              </w:rPr>
            </w:pPr>
            <w:r>
              <w:rPr>
                <w:rFonts w:hint="eastAsia" w:ascii="仿宋_GB2312" w:hAnsi="仿宋_GB2312" w:eastAsia="仿宋_GB2312" w:cs="仿宋_GB2312"/>
                <w:b/>
                <w:bCs/>
                <w:color w:val="auto"/>
                <w:kern w:val="0"/>
                <w:szCs w:val="21"/>
                <w:highlight w:val="none"/>
                <w:lang w:bidi="ar"/>
              </w:rPr>
              <w:t>联系电话</w:t>
            </w:r>
          </w:p>
        </w:tc>
      </w:tr>
      <w:tr w14:paraId="60143CF3">
        <w:tblPrEx>
          <w:tblCellMar>
            <w:top w:w="0" w:type="dxa"/>
            <w:left w:w="108" w:type="dxa"/>
            <w:bottom w:w="0" w:type="dxa"/>
            <w:right w:w="108" w:type="dxa"/>
          </w:tblCellMar>
        </w:tblPrEx>
        <w:trPr>
          <w:wBefore w:w="0" w:type="dxa"/>
          <w:wAfter w:w="0" w:type="dxa"/>
          <w:trHeight w:val="285" w:hRule="atLeast"/>
        </w:trPr>
        <w:tc>
          <w:tcPr>
            <w:tcW w:w="695" w:type="pct"/>
            <w:vMerge w:val="restart"/>
            <w:tcBorders>
              <w:top w:val="single" w:color="000000" w:sz="4" w:space="0"/>
              <w:left w:val="single" w:color="000000" w:sz="4" w:space="0"/>
              <w:bottom w:val="single" w:color="000000" w:sz="4" w:space="0"/>
              <w:right w:val="single" w:color="000000" w:sz="4" w:space="0"/>
            </w:tcBorders>
            <w:noWrap/>
            <w:vAlign w:val="center"/>
          </w:tcPr>
          <w:p w14:paraId="61EEF5EC">
            <w:pPr>
              <w:widowControl/>
              <w:shd w:val="clear" w:color="auto" w:fill="auto"/>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1</w:t>
            </w:r>
          </w:p>
        </w:tc>
        <w:tc>
          <w:tcPr>
            <w:tcW w:w="1256" w:type="pct"/>
            <w:vMerge w:val="restart"/>
            <w:tcBorders>
              <w:top w:val="single" w:color="000000" w:sz="4" w:space="0"/>
              <w:left w:val="single" w:color="000000" w:sz="4" w:space="0"/>
              <w:bottom w:val="single" w:color="000000" w:sz="4" w:space="0"/>
              <w:right w:val="single" w:color="000000" w:sz="4" w:space="0"/>
            </w:tcBorders>
            <w:noWrap/>
            <w:vAlign w:val="center"/>
          </w:tcPr>
          <w:p w14:paraId="627ADACD">
            <w:pPr>
              <w:widowControl/>
              <w:shd w:val="clear" w:color="auto" w:fill="auto"/>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建设银行</w:t>
            </w:r>
          </w:p>
        </w:tc>
        <w:tc>
          <w:tcPr>
            <w:tcW w:w="1634" w:type="pct"/>
            <w:vMerge w:val="restart"/>
            <w:tcBorders>
              <w:top w:val="single" w:color="000000" w:sz="4" w:space="0"/>
              <w:left w:val="single" w:color="000000" w:sz="4" w:space="0"/>
              <w:bottom w:val="single" w:color="000000" w:sz="4" w:space="0"/>
              <w:right w:val="single" w:color="000000" w:sz="4" w:space="0"/>
            </w:tcBorders>
            <w:noWrap w:val="0"/>
            <w:vAlign w:val="center"/>
          </w:tcPr>
          <w:p w14:paraId="499A7A73">
            <w:pPr>
              <w:widowControl/>
              <w:shd w:val="clear" w:color="auto" w:fill="auto"/>
              <w:spacing w:line="240" w:lineRule="exact"/>
              <w:jc w:val="center"/>
              <w:textAlignment w:val="top"/>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郭煜庆 田宇</w:t>
            </w:r>
          </w:p>
        </w:tc>
        <w:tc>
          <w:tcPr>
            <w:tcW w:w="1415" w:type="pct"/>
            <w:vMerge w:val="restart"/>
            <w:tcBorders>
              <w:top w:val="single" w:color="000000" w:sz="4" w:space="0"/>
              <w:left w:val="single" w:color="000000" w:sz="4" w:space="0"/>
              <w:bottom w:val="single" w:color="000000" w:sz="4" w:space="0"/>
              <w:right w:val="single" w:color="000000" w:sz="4" w:space="0"/>
            </w:tcBorders>
            <w:noWrap w:val="0"/>
            <w:vAlign w:val="center"/>
          </w:tcPr>
          <w:p w14:paraId="69FDA0A3">
            <w:pPr>
              <w:widowControl/>
              <w:shd w:val="clear" w:color="auto" w:fill="auto"/>
              <w:spacing w:line="240" w:lineRule="exact"/>
              <w:jc w:val="center"/>
              <w:textAlignment w:val="top"/>
              <w:rPr>
                <w:rFonts w:hint="eastAsia" w:ascii="仿宋_GB2312" w:hAnsi="仿宋_GB2312" w:eastAsia="仿宋_GB2312" w:cs="仿宋_GB2312"/>
                <w:color w:val="auto"/>
                <w:kern w:val="0"/>
                <w:szCs w:val="21"/>
                <w:highlight w:val="none"/>
                <w:lang w:bidi="ar"/>
              </w:rPr>
            </w:pPr>
            <w:r>
              <w:rPr>
                <w:rFonts w:hint="eastAsia" w:ascii="仿宋_GB2312" w:hAnsi="仿宋_GB2312" w:eastAsia="仿宋_GB2312" w:cs="仿宋_GB2312"/>
                <w:color w:val="auto"/>
                <w:kern w:val="0"/>
                <w:szCs w:val="21"/>
                <w:highlight w:val="none"/>
                <w:lang w:bidi="ar"/>
              </w:rPr>
              <w:t>13892535580</w:t>
            </w:r>
          </w:p>
          <w:p w14:paraId="78AC304F">
            <w:pPr>
              <w:widowControl/>
              <w:shd w:val="clear" w:color="auto" w:fill="auto"/>
              <w:spacing w:line="240" w:lineRule="exact"/>
              <w:jc w:val="center"/>
              <w:textAlignment w:val="top"/>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17797059890</w:t>
            </w:r>
          </w:p>
        </w:tc>
      </w:tr>
      <w:tr w14:paraId="60962376">
        <w:tblPrEx>
          <w:tblCellMar>
            <w:top w:w="0" w:type="dxa"/>
            <w:left w:w="108" w:type="dxa"/>
            <w:bottom w:w="0" w:type="dxa"/>
            <w:right w:w="108" w:type="dxa"/>
          </w:tblCellMar>
        </w:tblPrEx>
        <w:trPr>
          <w:wBefore w:w="0" w:type="dxa"/>
          <w:wAfter w:w="0" w:type="dxa"/>
          <w:trHeight w:val="285" w:hRule="atLeast"/>
        </w:trPr>
        <w:tc>
          <w:tcPr>
            <w:tcW w:w="695" w:type="pct"/>
            <w:vMerge w:val="continue"/>
            <w:tcBorders>
              <w:top w:val="single" w:color="000000" w:sz="4" w:space="0"/>
              <w:left w:val="single" w:color="000000" w:sz="4" w:space="0"/>
              <w:bottom w:val="single" w:color="000000" w:sz="4" w:space="0"/>
              <w:right w:val="single" w:color="000000" w:sz="4" w:space="0"/>
            </w:tcBorders>
            <w:noWrap/>
            <w:vAlign w:val="center"/>
          </w:tcPr>
          <w:p w14:paraId="3384DDEE">
            <w:pPr>
              <w:shd w:val="clear" w:color="auto" w:fill="auto"/>
              <w:spacing w:line="240" w:lineRule="exact"/>
              <w:jc w:val="center"/>
              <w:rPr>
                <w:rFonts w:hint="eastAsia" w:ascii="仿宋_GB2312" w:hAnsi="仿宋_GB2312" w:eastAsia="仿宋_GB2312" w:cs="仿宋_GB2312"/>
                <w:color w:val="auto"/>
                <w:szCs w:val="21"/>
                <w:highlight w:val="none"/>
              </w:rPr>
            </w:pPr>
          </w:p>
        </w:tc>
        <w:tc>
          <w:tcPr>
            <w:tcW w:w="1256" w:type="pct"/>
            <w:vMerge w:val="continue"/>
            <w:tcBorders>
              <w:top w:val="single" w:color="000000" w:sz="4" w:space="0"/>
              <w:left w:val="single" w:color="000000" w:sz="4" w:space="0"/>
              <w:bottom w:val="single" w:color="000000" w:sz="4" w:space="0"/>
              <w:right w:val="single" w:color="000000" w:sz="4" w:space="0"/>
            </w:tcBorders>
            <w:noWrap/>
            <w:vAlign w:val="center"/>
          </w:tcPr>
          <w:p w14:paraId="298D42BE">
            <w:pPr>
              <w:shd w:val="clear" w:color="auto" w:fill="auto"/>
              <w:spacing w:line="240" w:lineRule="exact"/>
              <w:jc w:val="center"/>
              <w:rPr>
                <w:rFonts w:hint="eastAsia" w:ascii="仿宋_GB2312" w:hAnsi="仿宋_GB2312" w:eastAsia="仿宋_GB2312" w:cs="仿宋_GB2312"/>
                <w:color w:val="auto"/>
                <w:szCs w:val="21"/>
                <w:highlight w:val="none"/>
              </w:rPr>
            </w:pPr>
          </w:p>
        </w:tc>
        <w:tc>
          <w:tcPr>
            <w:tcW w:w="1634" w:type="pct"/>
            <w:vMerge w:val="continue"/>
            <w:tcBorders>
              <w:top w:val="single" w:color="000000" w:sz="4" w:space="0"/>
              <w:left w:val="single" w:color="000000" w:sz="4" w:space="0"/>
              <w:bottom w:val="single" w:color="000000" w:sz="4" w:space="0"/>
              <w:right w:val="single" w:color="000000" w:sz="4" w:space="0"/>
            </w:tcBorders>
            <w:noWrap w:val="0"/>
            <w:vAlign w:val="center"/>
          </w:tcPr>
          <w:p w14:paraId="60EC5198">
            <w:pPr>
              <w:shd w:val="clear" w:color="auto" w:fill="auto"/>
              <w:spacing w:line="240" w:lineRule="exact"/>
              <w:jc w:val="center"/>
              <w:rPr>
                <w:rFonts w:hint="eastAsia" w:ascii="仿宋_GB2312" w:hAnsi="仿宋_GB2312" w:eastAsia="仿宋_GB2312" w:cs="仿宋_GB2312"/>
                <w:color w:val="auto"/>
                <w:szCs w:val="21"/>
                <w:highlight w:val="none"/>
              </w:rPr>
            </w:pPr>
          </w:p>
        </w:tc>
        <w:tc>
          <w:tcPr>
            <w:tcW w:w="141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BD9687C">
            <w:pPr>
              <w:shd w:val="clear" w:color="auto" w:fill="auto"/>
              <w:spacing w:line="240" w:lineRule="exact"/>
              <w:jc w:val="center"/>
              <w:rPr>
                <w:rFonts w:hint="eastAsia" w:ascii="仿宋_GB2312" w:hAnsi="仿宋_GB2312" w:eastAsia="仿宋_GB2312" w:cs="仿宋_GB2312"/>
                <w:color w:val="auto"/>
                <w:szCs w:val="21"/>
                <w:highlight w:val="none"/>
              </w:rPr>
            </w:pPr>
          </w:p>
        </w:tc>
      </w:tr>
      <w:tr w14:paraId="0608F129">
        <w:tblPrEx>
          <w:tblCellMar>
            <w:top w:w="0" w:type="dxa"/>
            <w:left w:w="108" w:type="dxa"/>
            <w:bottom w:w="0" w:type="dxa"/>
            <w:right w:w="108" w:type="dxa"/>
          </w:tblCellMar>
        </w:tblPrEx>
        <w:trPr>
          <w:wBefore w:w="0" w:type="dxa"/>
          <w:wAfter w:w="0" w:type="dxa"/>
          <w:trHeight w:val="285" w:hRule="atLeast"/>
        </w:trPr>
        <w:tc>
          <w:tcPr>
            <w:tcW w:w="695" w:type="pct"/>
            <w:vMerge w:val="restart"/>
            <w:tcBorders>
              <w:top w:val="single" w:color="000000" w:sz="4" w:space="0"/>
              <w:left w:val="single" w:color="000000" w:sz="4" w:space="0"/>
              <w:bottom w:val="single" w:color="000000" w:sz="4" w:space="0"/>
              <w:right w:val="single" w:color="000000" w:sz="4" w:space="0"/>
            </w:tcBorders>
            <w:noWrap/>
            <w:vAlign w:val="center"/>
          </w:tcPr>
          <w:p w14:paraId="13FE39EF">
            <w:pPr>
              <w:widowControl/>
              <w:shd w:val="clear" w:color="auto" w:fill="auto"/>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2</w:t>
            </w:r>
          </w:p>
        </w:tc>
        <w:tc>
          <w:tcPr>
            <w:tcW w:w="1256" w:type="pct"/>
            <w:vMerge w:val="restart"/>
            <w:tcBorders>
              <w:top w:val="single" w:color="000000" w:sz="4" w:space="0"/>
              <w:left w:val="single" w:color="000000" w:sz="4" w:space="0"/>
              <w:bottom w:val="single" w:color="000000" w:sz="4" w:space="0"/>
              <w:right w:val="single" w:color="000000" w:sz="4" w:space="0"/>
            </w:tcBorders>
            <w:noWrap/>
            <w:vAlign w:val="center"/>
          </w:tcPr>
          <w:p w14:paraId="6CCBA5DE">
            <w:pPr>
              <w:widowControl/>
              <w:shd w:val="clear" w:color="auto" w:fill="auto"/>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浦发银行</w:t>
            </w:r>
          </w:p>
        </w:tc>
        <w:tc>
          <w:tcPr>
            <w:tcW w:w="1634" w:type="pct"/>
            <w:vMerge w:val="restart"/>
            <w:tcBorders>
              <w:top w:val="single" w:color="000000" w:sz="4" w:space="0"/>
              <w:left w:val="single" w:color="000000" w:sz="4" w:space="0"/>
              <w:bottom w:val="single" w:color="000000" w:sz="4" w:space="0"/>
              <w:right w:val="single" w:color="000000" w:sz="4" w:space="0"/>
            </w:tcBorders>
            <w:noWrap w:val="0"/>
            <w:vAlign w:val="center"/>
          </w:tcPr>
          <w:p w14:paraId="0C22216C">
            <w:pPr>
              <w:widowControl/>
              <w:shd w:val="clear" w:color="auto" w:fill="auto"/>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孙哲龙 蒙波</w:t>
            </w:r>
          </w:p>
        </w:tc>
        <w:tc>
          <w:tcPr>
            <w:tcW w:w="1415" w:type="pct"/>
            <w:vMerge w:val="restart"/>
            <w:tcBorders>
              <w:top w:val="single" w:color="000000" w:sz="4" w:space="0"/>
              <w:left w:val="single" w:color="000000" w:sz="4" w:space="0"/>
              <w:bottom w:val="single" w:color="000000" w:sz="4" w:space="0"/>
              <w:right w:val="single" w:color="000000" w:sz="4" w:space="0"/>
            </w:tcBorders>
            <w:noWrap w:val="0"/>
            <w:vAlign w:val="center"/>
          </w:tcPr>
          <w:p w14:paraId="620CA033">
            <w:pPr>
              <w:widowControl/>
              <w:shd w:val="clear" w:color="auto" w:fill="auto"/>
              <w:spacing w:line="240" w:lineRule="exact"/>
              <w:jc w:val="center"/>
              <w:textAlignment w:val="center"/>
              <w:rPr>
                <w:rFonts w:hint="eastAsia" w:ascii="仿宋_GB2312" w:hAnsi="仿宋_GB2312" w:eastAsia="仿宋_GB2312" w:cs="仿宋_GB2312"/>
                <w:color w:val="auto"/>
                <w:kern w:val="0"/>
                <w:szCs w:val="21"/>
                <w:highlight w:val="none"/>
                <w:lang w:bidi="ar"/>
              </w:rPr>
            </w:pPr>
            <w:r>
              <w:rPr>
                <w:rFonts w:hint="eastAsia" w:ascii="仿宋_GB2312" w:hAnsi="仿宋_GB2312" w:eastAsia="仿宋_GB2312" w:cs="仿宋_GB2312"/>
                <w:color w:val="auto"/>
                <w:kern w:val="0"/>
                <w:szCs w:val="21"/>
                <w:highlight w:val="none"/>
                <w:lang w:bidi="ar"/>
              </w:rPr>
              <w:t>13892383911</w:t>
            </w:r>
          </w:p>
          <w:p w14:paraId="2DA7CCB1">
            <w:pPr>
              <w:widowControl/>
              <w:shd w:val="clear" w:color="auto" w:fill="auto"/>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15249035320</w:t>
            </w:r>
          </w:p>
        </w:tc>
      </w:tr>
      <w:tr w14:paraId="0982ED9F">
        <w:tblPrEx>
          <w:tblCellMar>
            <w:top w:w="0" w:type="dxa"/>
            <w:left w:w="108" w:type="dxa"/>
            <w:bottom w:w="0" w:type="dxa"/>
            <w:right w:w="108" w:type="dxa"/>
          </w:tblCellMar>
        </w:tblPrEx>
        <w:trPr>
          <w:wBefore w:w="0" w:type="dxa"/>
          <w:wAfter w:w="0" w:type="dxa"/>
          <w:trHeight w:val="285" w:hRule="atLeast"/>
        </w:trPr>
        <w:tc>
          <w:tcPr>
            <w:tcW w:w="695" w:type="pct"/>
            <w:vMerge w:val="continue"/>
            <w:tcBorders>
              <w:top w:val="single" w:color="000000" w:sz="4" w:space="0"/>
              <w:left w:val="single" w:color="000000" w:sz="4" w:space="0"/>
              <w:bottom w:val="single" w:color="000000" w:sz="4" w:space="0"/>
              <w:right w:val="single" w:color="000000" w:sz="4" w:space="0"/>
            </w:tcBorders>
            <w:noWrap/>
            <w:vAlign w:val="center"/>
          </w:tcPr>
          <w:p w14:paraId="7CE21E37">
            <w:pPr>
              <w:shd w:val="clear" w:color="auto" w:fill="auto"/>
              <w:spacing w:line="240" w:lineRule="exact"/>
              <w:jc w:val="center"/>
              <w:rPr>
                <w:rFonts w:hint="eastAsia" w:ascii="仿宋_GB2312" w:hAnsi="仿宋_GB2312" w:eastAsia="仿宋_GB2312" w:cs="仿宋_GB2312"/>
                <w:color w:val="auto"/>
                <w:szCs w:val="21"/>
                <w:highlight w:val="none"/>
              </w:rPr>
            </w:pPr>
          </w:p>
        </w:tc>
        <w:tc>
          <w:tcPr>
            <w:tcW w:w="1256" w:type="pct"/>
            <w:vMerge w:val="continue"/>
            <w:tcBorders>
              <w:top w:val="single" w:color="000000" w:sz="4" w:space="0"/>
              <w:left w:val="single" w:color="000000" w:sz="4" w:space="0"/>
              <w:bottom w:val="single" w:color="000000" w:sz="4" w:space="0"/>
              <w:right w:val="single" w:color="000000" w:sz="4" w:space="0"/>
            </w:tcBorders>
            <w:noWrap/>
            <w:vAlign w:val="center"/>
          </w:tcPr>
          <w:p w14:paraId="0035446C">
            <w:pPr>
              <w:shd w:val="clear" w:color="auto" w:fill="auto"/>
              <w:spacing w:line="240" w:lineRule="exact"/>
              <w:jc w:val="center"/>
              <w:rPr>
                <w:rFonts w:hint="eastAsia" w:ascii="仿宋_GB2312" w:hAnsi="仿宋_GB2312" w:eastAsia="仿宋_GB2312" w:cs="仿宋_GB2312"/>
                <w:color w:val="auto"/>
                <w:szCs w:val="21"/>
                <w:highlight w:val="none"/>
              </w:rPr>
            </w:pPr>
          </w:p>
        </w:tc>
        <w:tc>
          <w:tcPr>
            <w:tcW w:w="1634" w:type="pct"/>
            <w:vMerge w:val="continue"/>
            <w:tcBorders>
              <w:top w:val="single" w:color="000000" w:sz="4" w:space="0"/>
              <w:left w:val="single" w:color="000000" w:sz="4" w:space="0"/>
              <w:bottom w:val="single" w:color="000000" w:sz="4" w:space="0"/>
              <w:right w:val="single" w:color="000000" w:sz="4" w:space="0"/>
            </w:tcBorders>
            <w:noWrap w:val="0"/>
            <w:vAlign w:val="center"/>
          </w:tcPr>
          <w:p w14:paraId="3B648C9A">
            <w:pPr>
              <w:shd w:val="clear" w:color="auto" w:fill="auto"/>
              <w:spacing w:line="240" w:lineRule="exact"/>
              <w:jc w:val="center"/>
              <w:rPr>
                <w:rFonts w:hint="eastAsia" w:ascii="仿宋_GB2312" w:hAnsi="仿宋_GB2312" w:eastAsia="仿宋_GB2312" w:cs="仿宋_GB2312"/>
                <w:color w:val="auto"/>
                <w:szCs w:val="21"/>
                <w:highlight w:val="none"/>
              </w:rPr>
            </w:pPr>
          </w:p>
        </w:tc>
        <w:tc>
          <w:tcPr>
            <w:tcW w:w="141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AA99BE0">
            <w:pPr>
              <w:shd w:val="clear" w:color="auto" w:fill="auto"/>
              <w:spacing w:line="240" w:lineRule="exact"/>
              <w:jc w:val="center"/>
              <w:rPr>
                <w:rFonts w:hint="eastAsia" w:ascii="仿宋_GB2312" w:hAnsi="仿宋_GB2312" w:eastAsia="仿宋_GB2312" w:cs="仿宋_GB2312"/>
                <w:color w:val="auto"/>
                <w:szCs w:val="21"/>
                <w:highlight w:val="none"/>
              </w:rPr>
            </w:pPr>
          </w:p>
        </w:tc>
      </w:tr>
      <w:tr w14:paraId="35AF72AA">
        <w:tblPrEx>
          <w:tblCellMar>
            <w:top w:w="0" w:type="dxa"/>
            <w:left w:w="108" w:type="dxa"/>
            <w:bottom w:w="0" w:type="dxa"/>
            <w:right w:w="108" w:type="dxa"/>
          </w:tblCellMar>
        </w:tblPrEx>
        <w:trPr>
          <w:wBefore w:w="0" w:type="dxa"/>
          <w:wAfter w:w="0" w:type="dxa"/>
          <w:trHeight w:val="285" w:hRule="atLeast"/>
        </w:trPr>
        <w:tc>
          <w:tcPr>
            <w:tcW w:w="695" w:type="pct"/>
            <w:vMerge w:val="restart"/>
            <w:tcBorders>
              <w:top w:val="single" w:color="000000" w:sz="4" w:space="0"/>
              <w:left w:val="single" w:color="000000" w:sz="4" w:space="0"/>
              <w:bottom w:val="single" w:color="000000" w:sz="4" w:space="0"/>
              <w:right w:val="single" w:color="000000" w:sz="4" w:space="0"/>
            </w:tcBorders>
            <w:noWrap/>
            <w:vAlign w:val="center"/>
          </w:tcPr>
          <w:p w14:paraId="1ECFDB1F">
            <w:pPr>
              <w:widowControl/>
              <w:shd w:val="clear" w:color="auto" w:fill="auto"/>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3</w:t>
            </w:r>
          </w:p>
        </w:tc>
        <w:tc>
          <w:tcPr>
            <w:tcW w:w="1256" w:type="pct"/>
            <w:vMerge w:val="restart"/>
            <w:tcBorders>
              <w:top w:val="single" w:color="000000" w:sz="4" w:space="0"/>
              <w:left w:val="single" w:color="000000" w:sz="4" w:space="0"/>
              <w:bottom w:val="single" w:color="000000" w:sz="4" w:space="0"/>
              <w:right w:val="single" w:color="000000" w:sz="4" w:space="0"/>
            </w:tcBorders>
            <w:noWrap/>
            <w:vAlign w:val="center"/>
          </w:tcPr>
          <w:p w14:paraId="1E0E931D">
            <w:pPr>
              <w:widowControl/>
              <w:shd w:val="clear" w:color="auto" w:fill="auto"/>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中信银行</w:t>
            </w:r>
          </w:p>
        </w:tc>
        <w:tc>
          <w:tcPr>
            <w:tcW w:w="1634" w:type="pct"/>
            <w:vMerge w:val="restart"/>
            <w:tcBorders>
              <w:top w:val="single" w:color="000000" w:sz="4" w:space="0"/>
              <w:left w:val="single" w:color="000000" w:sz="4" w:space="0"/>
              <w:bottom w:val="single" w:color="000000" w:sz="4" w:space="0"/>
              <w:right w:val="single" w:color="000000" w:sz="4" w:space="0"/>
            </w:tcBorders>
            <w:noWrap w:val="0"/>
            <w:vAlign w:val="center"/>
          </w:tcPr>
          <w:p w14:paraId="3C9168F5">
            <w:pPr>
              <w:widowControl/>
              <w:shd w:val="clear" w:color="auto" w:fill="auto"/>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杨洋 耿浩</w:t>
            </w:r>
          </w:p>
        </w:tc>
        <w:tc>
          <w:tcPr>
            <w:tcW w:w="1415" w:type="pct"/>
            <w:vMerge w:val="restart"/>
            <w:tcBorders>
              <w:top w:val="single" w:color="000000" w:sz="4" w:space="0"/>
              <w:left w:val="single" w:color="000000" w:sz="4" w:space="0"/>
              <w:bottom w:val="single" w:color="000000" w:sz="4" w:space="0"/>
              <w:right w:val="single" w:color="000000" w:sz="4" w:space="0"/>
            </w:tcBorders>
            <w:noWrap w:val="0"/>
            <w:vAlign w:val="center"/>
          </w:tcPr>
          <w:p w14:paraId="43D69105">
            <w:pPr>
              <w:widowControl/>
              <w:shd w:val="clear" w:color="auto" w:fill="auto"/>
              <w:spacing w:line="240" w:lineRule="exact"/>
              <w:jc w:val="center"/>
              <w:textAlignment w:val="center"/>
              <w:rPr>
                <w:rFonts w:hint="eastAsia" w:ascii="仿宋_GB2312" w:hAnsi="仿宋_GB2312" w:eastAsia="仿宋_GB2312" w:cs="仿宋_GB2312"/>
                <w:color w:val="auto"/>
                <w:kern w:val="0"/>
                <w:szCs w:val="21"/>
                <w:highlight w:val="none"/>
                <w:lang w:bidi="ar"/>
              </w:rPr>
            </w:pPr>
            <w:r>
              <w:rPr>
                <w:rFonts w:hint="eastAsia" w:ascii="仿宋_GB2312" w:hAnsi="仿宋_GB2312" w:eastAsia="仿宋_GB2312" w:cs="仿宋_GB2312"/>
                <w:color w:val="auto"/>
                <w:kern w:val="0"/>
                <w:szCs w:val="21"/>
                <w:highlight w:val="none"/>
                <w:lang w:bidi="ar"/>
              </w:rPr>
              <w:t>18191815559</w:t>
            </w:r>
          </w:p>
          <w:p w14:paraId="21B375B0">
            <w:pPr>
              <w:widowControl/>
              <w:shd w:val="clear" w:color="auto" w:fill="auto"/>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13193388328</w:t>
            </w:r>
          </w:p>
        </w:tc>
      </w:tr>
      <w:tr w14:paraId="11C0A96D">
        <w:tblPrEx>
          <w:tblCellMar>
            <w:top w:w="0" w:type="dxa"/>
            <w:left w:w="108" w:type="dxa"/>
            <w:bottom w:w="0" w:type="dxa"/>
            <w:right w:w="108" w:type="dxa"/>
          </w:tblCellMar>
        </w:tblPrEx>
        <w:trPr>
          <w:wBefore w:w="0" w:type="dxa"/>
          <w:wAfter w:w="0" w:type="dxa"/>
          <w:trHeight w:val="285" w:hRule="atLeast"/>
        </w:trPr>
        <w:tc>
          <w:tcPr>
            <w:tcW w:w="695" w:type="pct"/>
            <w:vMerge w:val="continue"/>
            <w:tcBorders>
              <w:top w:val="single" w:color="000000" w:sz="4" w:space="0"/>
              <w:left w:val="single" w:color="000000" w:sz="4" w:space="0"/>
              <w:bottom w:val="single" w:color="000000" w:sz="4" w:space="0"/>
              <w:right w:val="single" w:color="000000" w:sz="4" w:space="0"/>
            </w:tcBorders>
            <w:noWrap/>
            <w:vAlign w:val="center"/>
          </w:tcPr>
          <w:p w14:paraId="1540BB74">
            <w:pPr>
              <w:shd w:val="clear" w:color="auto" w:fill="auto"/>
              <w:spacing w:line="240" w:lineRule="exact"/>
              <w:jc w:val="center"/>
              <w:rPr>
                <w:rFonts w:hint="eastAsia" w:ascii="仿宋_GB2312" w:hAnsi="仿宋_GB2312" w:eastAsia="仿宋_GB2312" w:cs="仿宋_GB2312"/>
                <w:color w:val="auto"/>
                <w:szCs w:val="21"/>
                <w:highlight w:val="none"/>
              </w:rPr>
            </w:pPr>
          </w:p>
        </w:tc>
        <w:tc>
          <w:tcPr>
            <w:tcW w:w="1256" w:type="pct"/>
            <w:vMerge w:val="continue"/>
            <w:tcBorders>
              <w:top w:val="single" w:color="000000" w:sz="4" w:space="0"/>
              <w:left w:val="single" w:color="000000" w:sz="4" w:space="0"/>
              <w:bottom w:val="single" w:color="000000" w:sz="4" w:space="0"/>
              <w:right w:val="single" w:color="000000" w:sz="4" w:space="0"/>
            </w:tcBorders>
            <w:noWrap/>
            <w:vAlign w:val="center"/>
          </w:tcPr>
          <w:p w14:paraId="7AF94289">
            <w:pPr>
              <w:shd w:val="clear" w:color="auto" w:fill="auto"/>
              <w:spacing w:line="240" w:lineRule="exact"/>
              <w:jc w:val="center"/>
              <w:rPr>
                <w:rFonts w:hint="eastAsia" w:ascii="仿宋_GB2312" w:hAnsi="仿宋_GB2312" w:eastAsia="仿宋_GB2312" w:cs="仿宋_GB2312"/>
                <w:color w:val="auto"/>
                <w:szCs w:val="21"/>
                <w:highlight w:val="none"/>
              </w:rPr>
            </w:pPr>
          </w:p>
        </w:tc>
        <w:tc>
          <w:tcPr>
            <w:tcW w:w="1634" w:type="pct"/>
            <w:vMerge w:val="continue"/>
            <w:tcBorders>
              <w:top w:val="single" w:color="000000" w:sz="4" w:space="0"/>
              <w:left w:val="single" w:color="000000" w:sz="4" w:space="0"/>
              <w:bottom w:val="single" w:color="000000" w:sz="4" w:space="0"/>
              <w:right w:val="single" w:color="000000" w:sz="4" w:space="0"/>
            </w:tcBorders>
            <w:noWrap w:val="0"/>
            <w:vAlign w:val="center"/>
          </w:tcPr>
          <w:p w14:paraId="7A246C50">
            <w:pPr>
              <w:shd w:val="clear" w:color="auto" w:fill="auto"/>
              <w:spacing w:line="240" w:lineRule="exact"/>
              <w:jc w:val="center"/>
              <w:rPr>
                <w:rFonts w:hint="eastAsia" w:ascii="仿宋_GB2312" w:hAnsi="仿宋_GB2312" w:eastAsia="仿宋_GB2312" w:cs="仿宋_GB2312"/>
                <w:color w:val="auto"/>
                <w:szCs w:val="21"/>
                <w:highlight w:val="none"/>
              </w:rPr>
            </w:pPr>
          </w:p>
        </w:tc>
        <w:tc>
          <w:tcPr>
            <w:tcW w:w="141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AA8C7E1">
            <w:pPr>
              <w:shd w:val="clear" w:color="auto" w:fill="auto"/>
              <w:spacing w:line="240" w:lineRule="exact"/>
              <w:jc w:val="center"/>
              <w:rPr>
                <w:rFonts w:hint="eastAsia" w:ascii="仿宋_GB2312" w:hAnsi="仿宋_GB2312" w:eastAsia="仿宋_GB2312" w:cs="仿宋_GB2312"/>
                <w:color w:val="auto"/>
                <w:szCs w:val="21"/>
                <w:highlight w:val="none"/>
              </w:rPr>
            </w:pPr>
          </w:p>
        </w:tc>
      </w:tr>
      <w:tr w14:paraId="66329D06">
        <w:tblPrEx>
          <w:tblCellMar>
            <w:top w:w="0" w:type="dxa"/>
            <w:left w:w="108" w:type="dxa"/>
            <w:bottom w:w="0" w:type="dxa"/>
            <w:right w:w="108" w:type="dxa"/>
          </w:tblCellMar>
        </w:tblPrEx>
        <w:trPr>
          <w:wBefore w:w="0" w:type="dxa"/>
          <w:wAfter w:w="0" w:type="dxa"/>
          <w:trHeight w:val="285" w:hRule="atLeast"/>
        </w:trPr>
        <w:tc>
          <w:tcPr>
            <w:tcW w:w="695" w:type="pct"/>
            <w:vMerge w:val="restart"/>
            <w:tcBorders>
              <w:top w:val="single" w:color="000000" w:sz="4" w:space="0"/>
              <w:left w:val="single" w:color="000000" w:sz="4" w:space="0"/>
              <w:bottom w:val="single" w:color="000000" w:sz="4" w:space="0"/>
              <w:right w:val="single" w:color="000000" w:sz="4" w:space="0"/>
            </w:tcBorders>
            <w:noWrap/>
            <w:vAlign w:val="center"/>
          </w:tcPr>
          <w:p w14:paraId="0A3D3250">
            <w:pPr>
              <w:widowControl/>
              <w:shd w:val="clear" w:color="auto" w:fill="auto"/>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4</w:t>
            </w:r>
          </w:p>
        </w:tc>
        <w:tc>
          <w:tcPr>
            <w:tcW w:w="1256" w:type="pct"/>
            <w:vMerge w:val="restart"/>
            <w:tcBorders>
              <w:top w:val="single" w:color="000000" w:sz="4" w:space="0"/>
              <w:left w:val="single" w:color="000000" w:sz="4" w:space="0"/>
              <w:bottom w:val="single" w:color="000000" w:sz="4" w:space="0"/>
              <w:right w:val="single" w:color="000000" w:sz="4" w:space="0"/>
            </w:tcBorders>
            <w:noWrap/>
            <w:vAlign w:val="center"/>
          </w:tcPr>
          <w:p w14:paraId="563DFA1C">
            <w:pPr>
              <w:widowControl/>
              <w:shd w:val="clear" w:color="auto" w:fill="auto"/>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兴业银行</w:t>
            </w:r>
          </w:p>
        </w:tc>
        <w:tc>
          <w:tcPr>
            <w:tcW w:w="1634" w:type="pct"/>
            <w:vMerge w:val="restart"/>
            <w:tcBorders>
              <w:top w:val="single" w:color="000000" w:sz="4" w:space="0"/>
              <w:left w:val="single" w:color="000000" w:sz="4" w:space="0"/>
              <w:bottom w:val="single" w:color="000000" w:sz="4" w:space="0"/>
              <w:right w:val="single" w:color="000000" w:sz="4" w:space="0"/>
            </w:tcBorders>
            <w:noWrap/>
            <w:vAlign w:val="center"/>
          </w:tcPr>
          <w:p w14:paraId="584A838A">
            <w:pPr>
              <w:widowControl/>
              <w:shd w:val="clear" w:color="auto" w:fill="auto"/>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权奥星</w:t>
            </w:r>
          </w:p>
        </w:tc>
        <w:tc>
          <w:tcPr>
            <w:tcW w:w="1415" w:type="pct"/>
            <w:vMerge w:val="restart"/>
            <w:tcBorders>
              <w:top w:val="single" w:color="000000" w:sz="4" w:space="0"/>
              <w:left w:val="single" w:color="000000" w:sz="4" w:space="0"/>
              <w:bottom w:val="single" w:color="000000" w:sz="4" w:space="0"/>
              <w:right w:val="single" w:color="000000" w:sz="4" w:space="0"/>
            </w:tcBorders>
            <w:noWrap/>
            <w:vAlign w:val="center"/>
          </w:tcPr>
          <w:p w14:paraId="5FCE2044">
            <w:pPr>
              <w:widowControl/>
              <w:shd w:val="clear" w:color="auto" w:fill="auto"/>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15706090239</w:t>
            </w:r>
          </w:p>
        </w:tc>
      </w:tr>
      <w:tr w14:paraId="709CDE09">
        <w:tblPrEx>
          <w:tblCellMar>
            <w:top w:w="0" w:type="dxa"/>
            <w:left w:w="108" w:type="dxa"/>
            <w:bottom w:w="0" w:type="dxa"/>
            <w:right w:w="108" w:type="dxa"/>
          </w:tblCellMar>
        </w:tblPrEx>
        <w:trPr>
          <w:wBefore w:w="0" w:type="dxa"/>
          <w:wAfter w:w="0" w:type="dxa"/>
          <w:trHeight w:val="285" w:hRule="atLeast"/>
        </w:trPr>
        <w:tc>
          <w:tcPr>
            <w:tcW w:w="695" w:type="pct"/>
            <w:vMerge w:val="continue"/>
            <w:tcBorders>
              <w:top w:val="single" w:color="000000" w:sz="4" w:space="0"/>
              <w:left w:val="single" w:color="000000" w:sz="4" w:space="0"/>
              <w:bottom w:val="single" w:color="000000" w:sz="4" w:space="0"/>
              <w:right w:val="single" w:color="000000" w:sz="4" w:space="0"/>
            </w:tcBorders>
            <w:noWrap/>
            <w:vAlign w:val="center"/>
          </w:tcPr>
          <w:p w14:paraId="7B571072">
            <w:pPr>
              <w:shd w:val="clear" w:color="auto" w:fill="auto"/>
              <w:spacing w:line="240" w:lineRule="exact"/>
              <w:jc w:val="center"/>
              <w:rPr>
                <w:rFonts w:hint="eastAsia" w:ascii="仿宋_GB2312" w:hAnsi="仿宋_GB2312" w:eastAsia="仿宋_GB2312" w:cs="仿宋_GB2312"/>
                <w:color w:val="auto"/>
                <w:szCs w:val="21"/>
                <w:highlight w:val="none"/>
              </w:rPr>
            </w:pPr>
          </w:p>
        </w:tc>
        <w:tc>
          <w:tcPr>
            <w:tcW w:w="1256" w:type="pct"/>
            <w:vMerge w:val="continue"/>
            <w:tcBorders>
              <w:top w:val="single" w:color="000000" w:sz="4" w:space="0"/>
              <w:left w:val="single" w:color="000000" w:sz="4" w:space="0"/>
              <w:bottom w:val="single" w:color="000000" w:sz="4" w:space="0"/>
              <w:right w:val="single" w:color="000000" w:sz="4" w:space="0"/>
            </w:tcBorders>
            <w:noWrap/>
            <w:vAlign w:val="center"/>
          </w:tcPr>
          <w:p w14:paraId="0B2CC881">
            <w:pPr>
              <w:shd w:val="clear" w:color="auto" w:fill="auto"/>
              <w:spacing w:line="240" w:lineRule="exact"/>
              <w:jc w:val="center"/>
              <w:rPr>
                <w:rFonts w:hint="eastAsia" w:ascii="仿宋_GB2312" w:hAnsi="仿宋_GB2312" w:eastAsia="仿宋_GB2312" w:cs="仿宋_GB2312"/>
                <w:color w:val="auto"/>
                <w:szCs w:val="21"/>
                <w:highlight w:val="none"/>
              </w:rPr>
            </w:pPr>
          </w:p>
        </w:tc>
        <w:tc>
          <w:tcPr>
            <w:tcW w:w="1634" w:type="pct"/>
            <w:vMerge w:val="continue"/>
            <w:tcBorders>
              <w:top w:val="single" w:color="000000" w:sz="4" w:space="0"/>
              <w:left w:val="single" w:color="000000" w:sz="4" w:space="0"/>
              <w:bottom w:val="single" w:color="000000" w:sz="4" w:space="0"/>
              <w:right w:val="single" w:color="000000" w:sz="4" w:space="0"/>
            </w:tcBorders>
            <w:noWrap/>
            <w:vAlign w:val="center"/>
          </w:tcPr>
          <w:p w14:paraId="3A451B61">
            <w:pPr>
              <w:shd w:val="clear" w:color="auto" w:fill="auto"/>
              <w:spacing w:line="240" w:lineRule="exact"/>
              <w:jc w:val="center"/>
              <w:rPr>
                <w:rFonts w:hint="eastAsia" w:ascii="仿宋_GB2312" w:hAnsi="仿宋_GB2312" w:eastAsia="仿宋_GB2312" w:cs="仿宋_GB2312"/>
                <w:color w:val="auto"/>
                <w:szCs w:val="21"/>
                <w:highlight w:val="none"/>
              </w:rPr>
            </w:pPr>
          </w:p>
        </w:tc>
        <w:tc>
          <w:tcPr>
            <w:tcW w:w="1415" w:type="pct"/>
            <w:vMerge w:val="continue"/>
            <w:tcBorders>
              <w:top w:val="single" w:color="000000" w:sz="4" w:space="0"/>
              <w:left w:val="single" w:color="000000" w:sz="4" w:space="0"/>
              <w:bottom w:val="single" w:color="000000" w:sz="4" w:space="0"/>
              <w:right w:val="single" w:color="000000" w:sz="4" w:space="0"/>
            </w:tcBorders>
            <w:noWrap/>
            <w:vAlign w:val="center"/>
          </w:tcPr>
          <w:p w14:paraId="5490E37C">
            <w:pPr>
              <w:shd w:val="clear" w:color="auto" w:fill="auto"/>
              <w:spacing w:line="240" w:lineRule="exact"/>
              <w:jc w:val="center"/>
              <w:rPr>
                <w:rFonts w:hint="eastAsia" w:ascii="仿宋_GB2312" w:hAnsi="仿宋_GB2312" w:eastAsia="仿宋_GB2312" w:cs="仿宋_GB2312"/>
                <w:color w:val="auto"/>
                <w:szCs w:val="21"/>
                <w:highlight w:val="none"/>
              </w:rPr>
            </w:pPr>
          </w:p>
        </w:tc>
      </w:tr>
      <w:tr w14:paraId="651CE34C">
        <w:tblPrEx>
          <w:tblCellMar>
            <w:top w:w="0" w:type="dxa"/>
            <w:left w:w="108" w:type="dxa"/>
            <w:bottom w:w="0" w:type="dxa"/>
            <w:right w:w="108" w:type="dxa"/>
          </w:tblCellMar>
        </w:tblPrEx>
        <w:trPr>
          <w:wBefore w:w="0" w:type="dxa"/>
          <w:wAfter w:w="0" w:type="dxa"/>
          <w:trHeight w:val="285" w:hRule="atLeast"/>
        </w:trPr>
        <w:tc>
          <w:tcPr>
            <w:tcW w:w="695" w:type="pct"/>
            <w:vMerge w:val="restart"/>
            <w:tcBorders>
              <w:top w:val="single" w:color="000000" w:sz="4" w:space="0"/>
              <w:left w:val="single" w:color="000000" w:sz="4" w:space="0"/>
              <w:bottom w:val="single" w:color="000000" w:sz="4" w:space="0"/>
              <w:right w:val="single" w:color="000000" w:sz="4" w:space="0"/>
            </w:tcBorders>
            <w:noWrap/>
            <w:vAlign w:val="center"/>
          </w:tcPr>
          <w:p w14:paraId="53BB7938">
            <w:pPr>
              <w:widowControl/>
              <w:shd w:val="clear" w:color="auto" w:fill="auto"/>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5</w:t>
            </w:r>
          </w:p>
        </w:tc>
        <w:tc>
          <w:tcPr>
            <w:tcW w:w="1256" w:type="pct"/>
            <w:vMerge w:val="restart"/>
            <w:tcBorders>
              <w:top w:val="single" w:color="000000" w:sz="4" w:space="0"/>
              <w:left w:val="single" w:color="000000" w:sz="4" w:space="0"/>
              <w:bottom w:val="single" w:color="000000" w:sz="4" w:space="0"/>
              <w:right w:val="single" w:color="000000" w:sz="4" w:space="0"/>
            </w:tcBorders>
            <w:noWrap/>
            <w:vAlign w:val="center"/>
          </w:tcPr>
          <w:p w14:paraId="5B1CF7FC">
            <w:pPr>
              <w:widowControl/>
              <w:shd w:val="clear" w:color="auto" w:fill="auto"/>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工商银行</w:t>
            </w:r>
          </w:p>
        </w:tc>
        <w:tc>
          <w:tcPr>
            <w:tcW w:w="1634" w:type="pct"/>
            <w:vMerge w:val="restart"/>
            <w:tcBorders>
              <w:top w:val="single" w:color="000000" w:sz="4" w:space="0"/>
              <w:left w:val="single" w:color="000000" w:sz="4" w:space="0"/>
              <w:bottom w:val="single" w:color="000000" w:sz="4" w:space="0"/>
              <w:right w:val="single" w:color="000000" w:sz="4" w:space="0"/>
            </w:tcBorders>
            <w:noWrap w:val="0"/>
            <w:vAlign w:val="center"/>
          </w:tcPr>
          <w:p w14:paraId="14BB42C5">
            <w:pPr>
              <w:widowControl/>
              <w:shd w:val="clear" w:color="auto" w:fill="auto"/>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张剑 张欢</w:t>
            </w:r>
          </w:p>
        </w:tc>
        <w:tc>
          <w:tcPr>
            <w:tcW w:w="1415" w:type="pct"/>
            <w:vMerge w:val="restart"/>
            <w:tcBorders>
              <w:top w:val="single" w:color="000000" w:sz="4" w:space="0"/>
              <w:left w:val="single" w:color="000000" w:sz="4" w:space="0"/>
              <w:bottom w:val="single" w:color="000000" w:sz="4" w:space="0"/>
              <w:right w:val="single" w:color="000000" w:sz="4" w:space="0"/>
            </w:tcBorders>
            <w:noWrap w:val="0"/>
            <w:vAlign w:val="center"/>
          </w:tcPr>
          <w:p w14:paraId="4382619C">
            <w:pPr>
              <w:widowControl/>
              <w:shd w:val="clear" w:color="auto" w:fill="auto"/>
              <w:spacing w:line="240" w:lineRule="exact"/>
              <w:jc w:val="center"/>
              <w:textAlignment w:val="center"/>
              <w:rPr>
                <w:rFonts w:hint="eastAsia" w:ascii="仿宋_GB2312" w:hAnsi="仿宋_GB2312" w:eastAsia="仿宋_GB2312" w:cs="仿宋_GB2312"/>
                <w:color w:val="auto"/>
                <w:kern w:val="0"/>
                <w:szCs w:val="21"/>
                <w:highlight w:val="none"/>
                <w:lang w:bidi="ar"/>
              </w:rPr>
            </w:pPr>
            <w:r>
              <w:rPr>
                <w:rFonts w:hint="eastAsia" w:ascii="仿宋_GB2312" w:hAnsi="仿宋_GB2312" w:eastAsia="仿宋_GB2312" w:cs="仿宋_GB2312"/>
                <w:color w:val="auto"/>
                <w:kern w:val="0"/>
                <w:szCs w:val="21"/>
                <w:highlight w:val="none"/>
                <w:lang w:bidi="ar"/>
              </w:rPr>
              <w:t>18191356300</w:t>
            </w:r>
          </w:p>
          <w:p w14:paraId="340CB572">
            <w:pPr>
              <w:widowControl/>
              <w:shd w:val="clear" w:color="auto" w:fill="auto"/>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15229730006</w:t>
            </w:r>
          </w:p>
        </w:tc>
      </w:tr>
      <w:tr w14:paraId="4A5F0959">
        <w:tblPrEx>
          <w:tblCellMar>
            <w:top w:w="0" w:type="dxa"/>
            <w:left w:w="108" w:type="dxa"/>
            <w:bottom w:w="0" w:type="dxa"/>
            <w:right w:w="108" w:type="dxa"/>
          </w:tblCellMar>
        </w:tblPrEx>
        <w:trPr>
          <w:wBefore w:w="0" w:type="dxa"/>
          <w:wAfter w:w="0" w:type="dxa"/>
          <w:trHeight w:val="285" w:hRule="atLeast"/>
        </w:trPr>
        <w:tc>
          <w:tcPr>
            <w:tcW w:w="695" w:type="pct"/>
            <w:vMerge w:val="continue"/>
            <w:tcBorders>
              <w:top w:val="single" w:color="000000" w:sz="4" w:space="0"/>
              <w:left w:val="single" w:color="000000" w:sz="4" w:space="0"/>
              <w:bottom w:val="single" w:color="000000" w:sz="4" w:space="0"/>
              <w:right w:val="single" w:color="000000" w:sz="4" w:space="0"/>
            </w:tcBorders>
            <w:noWrap/>
            <w:vAlign w:val="center"/>
          </w:tcPr>
          <w:p w14:paraId="6C07DA72">
            <w:pPr>
              <w:shd w:val="clear" w:color="auto" w:fill="auto"/>
              <w:spacing w:line="240" w:lineRule="exact"/>
              <w:jc w:val="center"/>
              <w:rPr>
                <w:rFonts w:hint="eastAsia" w:ascii="仿宋_GB2312" w:hAnsi="仿宋_GB2312" w:eastAsia="仿宋_GB2312" w:cs="仿宋_GB2312"/>
                <w:color w:val="auto"/>
                <w:szCs w:val="21"/>
                <w:highlight w:val="none"/>
              </w:rPr>
            </w:pPr>
          </w:p>
        </w:tc>
        <w:tc>
          <w:tcPr>
            <w:tcW w:w="1256" w:type="pct"/>
            <w:vMerge w:val="continue"/>
            <w:tcBorders>
              <w:top w:val="single" w:color="000000" w:sz="4" w:space="0"/>
              <w:left w:val="single" w:color="000000" w:sz="4" w:space="0"/>
              <w:bottom w:val="single" w:color="000000" w:sz="4" w:space="0"/>
              <w:right w:val="single" w:color="000000" w:sz="4" w:space="0"/>
            </w:tcBorders>
            <w:noWrap/>
            <w:vAlign w:val="center"/>
          </w:tcPr>
          <w:p w14:paraId="19013003">
            <w:pPr>
              <w:shd w:val="clear" w:color="auto" w:fill="auto"/>
              <w:spacing w:line="240" w:lineRule="exact"/>
              <w:jc w:val="center"/>
              <w:rPr>
                <w:rFonts w:hint="eastAsia" w:ascii="仿宋_GB2312" w:hAnsi="仿宋_GB2312" w:eastAsia="仿宋_GB2312" w:cs="仿宋_GB2312"/>
                <w:color w:val="auto"/>
                <w:szCs w:val="21"/>
                <w:highlight w:val="none"/>
              </w:rPr>
            </w:pPr>
          </w:p>
        </w:tc>
        <w:tc>
          <w:tcPr>
            <w:tcW w:w="1634" w:type="pct"/>
            <w:vMerge w:val="continue"/>
            <w:tcBorders>
              <w:top w:val="single" w:color="000000" w:sz="4" w:space="0"/>
              <w:left w:val="single" w:color="000000" w:sz="4" w:space="0"/>
              <w:bottom w:val="single" w:color="000000" w:sz="4" w:space="0"/>
              <w:right w:val="single" w:color="000000" w:sz="4" w:space="0"/>
            </w:tcBorders>
            <w:noWrap w:val="0"/>
            <w:vAlign w:val="center"/>
          </w:tcPr>
          <w:p w14:paraId="21333AFD">
            <w:pPr>
              <w:shd w:val="clear" w:color="auto" w:fill="auto"/>
              <w:spacing w:line="240" w:lineRule="exact"/>
              <w:jc w:val="center"/>
              <w:rPr>
                <w:rFonts w:hint="eastAsia" w:ascii="仿宋_GB2312" w:hAnsi="仿宋_GB2312" w:eastAsia="仿宋_GB2312" w:cs="仿宋_GB2312"/>
                <w:color w:val="auto"/>
                <w:szCs w:val="21"/>
                <w:highlight w:val="none"/>
              </w:rPr>
            </w:pPr>
          </w:p>
        </w:tc>
        <w:tc>
          <w:tcPr>
            <w:tcW w:w="141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0C78B87">
            <w:pPr>
              <w:shd w:val="clear" w:color="auto" w:fill="auto"/>
              <w:spacing w:line="240" w:lineRule="exact"/>
              <w:jc w:val="center"/>
              <w:rPr>
                <w:rFonts w:hint="eastAsia" w:ascii="仿宋_GB2312" w:hAnsi="仿宋_GB2312" w:eastAsia="仿宋_GB2312" w:cs="仿宋_GB2312"/>
                <w:color w:val="auto"/>
                <w:szCs w:val="21"/>
                <w:highlight w:val="none"/>
              </w:rPr>
            </w:pPr>
          </w:p>
        </w:tc>
      </w:tr>
      <w:tr w14:paraId="6B0B810A">
        <w:tblPrEx>
          <w:tblCellMar>
            <w:top w:w="0" w:type="dxa"/>
            <w:left w:w="108" w:type="dxa"/>
            <w:bottom w:w="0" w:type="dxa"/>
            <w:right w:w="108" w:type="dxa"/>
          </w:tblCellMar>
        </w:tblPrEx>
        <w:trPr>
          <w:wBefore w:w="0" w:type="dxa"/>
          <w:wAfter w:w="0" w:type="dxa"/>
          <w:trHeight w:val="285" w:hRule="atLeast"/>
        </w:trPr>
        <w:tc>
          <w:tcPr>
            <w:tcW w:w="695" w:type="pct"/>
            <w:vMerge w:val="restart"/>
            <w:tcBorders>
              <w:top w:val="single" w:color="000000" w:sz="4" w:space="0"/>
              <w:left w:val="single" w:color="000000" w:sz="4" w:space="0"/>
              <w:bottom w:val="single" w:color="000000" w:sz="4" w:space="0"/>
              <w:right w:val="single" w:color="000000" w:sz="4" w:space="0"/>
            </w:tcBorders>
            <w:noWrap/>
            <w:vAlign w:val="center"/>
          </w:tcPr>
          <w:p w14:paraId="069BAAA7">
            <w:pPr>
              <w:widowControl/>
              <w:shd w:val="clear" w:color="auto" w:fill="auto"/>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6</w:t>
            </w:r>
          </w:p>
        </w:tc>
        <w:tc>
          <w:tcPr>
            <w:tcW w:w="1256" w:type="pct"/>
            <w:vMerge w:val="restart"/>
            <w:tcBorders>
              <w:top w:val="single" w:color="000000" w:sz="4" w:space="0"/>
              <w:left w:val="single" w:color="000000" w:sz="4" w:space="0"/>
              <w:bottom w:val="single" w:color="000000" w:sz="4" w:space="0"/>
              <w:right w:val="single" w:color="000000" w:sz="4" w:space="0"/>
            </w:tcBorders>
            <w:noWrap/>
            <w:vAlign w:val="center"/>
          </w:tcPr>
          <w:p w14:paraId="184B7FB3">
            <w:pPr>
              <w:widowControl/>
              <w:shd w:val="clear" w:color="auto" w:fill="auto"/>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长安银行</w:t>
            </w:r>
          </w:p>
        </w:tc>
        <w:tc>
          <w:tcPr>
            <w:tcW w:w="1634" w:type="pct"/>
            <w:vMerge w:val="restart"/>
            <w:tcBorders>
              <w:top w:val="single" w:color="000000" w:sz="4" w:space="0"/>
              <w:left w:val="single" w:color="000000" w:sz="4" w:space="0"/>
              <w:bottom w:val="single" w:color="000000" w:sz="4" w:space="0"/>
              <w:right w:val="single" w:color="000000" w:sz="4" w:space="0"/>
            </w:tcBorders>
            <w:noWrap/>
            <w:vAlign w:val="center"/>
          </w:tcPr>
          <w:p w14:paraId="3E33AE88">
            <w:pPr>
              <w:widowControl/>
              <w:shd w:val="clear" w:color="auto" w:fill="auto"/>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李华</w:t>
            </w:r>
          </w:p>
        </w:tc>
        <w:tc>
          <w:tcPr>
            <w:tcW w:w="1415" w:type="pct"/>
            <w:vMerge w:val="restart"/>
            <w:tcBorders>
              <w:top w:val="single" w:color="000000" w:sz="4" w:space="0"/>
              <w:left w:val="single" w:color="000000" w:sz="4" w:space="0"/>
              <w:bottom w:val="single" w:color="000000" w:sz="4" w:space="0"/>
              <w:right w:val="single" w:color="000000" w:sz="4" w:space="0"/>
            </w:tcBorders>
            <w:noWrap/>
            <w:vAlign w:val="center"/>
          </w:tcPr>
          <w:p w14:paraId="0A60EF91">
            <w:pPr>
              <w:widowControl/>
              <w:shd w:val="clear" w:color="auto" w:fill="auto"/>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13335331958</w:t>
            </w:r>
          </w:p>
        </w:tc>
      </w:tr>
      <w:tr w14:paraId="21051438">
        <w:tblPrEx>
          <w:tblCellMar>
            <w:top w:w="0" w:type="dxa"/>
            <w:left w:w="108" w:type="dxa"/>
            <w:bottom w:w="0" w:type="dxa"/>
            <w:right w:w="108" w:type="dxa"/>
          </w:tblCellMar>
        </w:tblPrEx>
        <w:trPr>
          <w:wBefore w:w="0" w:type="dxa"/>
          <w:wAfter w:w="0" w:type="dxa"/>
          <w:trHeight w:val="312" w:hRule="atLeast"/>
        </w:trPr>
        <w:tc>
          <w:tcPr>
            <w:tcW w:w="695" w:type="pct"/>
            <w:vMerge w:val="continue"/>
            <w:tcBorders>
              <w:top w:val="single" w:color="000000" w:sz="4" w:space="0"/>
              <w:left w:val="single" w:color="000000" w:sz="4" w:space="0"/>
              <w:bottom w:val="single" w:color="000000" w:sz="4" w:space="0"/>
              <w:right w:val="single" w:color="000000" w:sz="4" w:space="0"/>
            </w:tcBorders>
            <w:noWrap/>
            <w:vAlign w:val="center"/>
          </w:tcPr>
          <w:p w14:paraId="0C932705">
            <w:pPr>
              <w:shd w:val="clear" w:color="auto" w:fill="auto"/>
              <w:spacing w:line="240" w:lineRule="exact"/>
              <w:jc w:val="center"/>
              <w:rPr>
                <w:rFonts w:hint="eastAsia" w:ascii="仿宋_GB2312" w:hAnsi="仿宋_GB2312" w:eastAsia="仿宋_GB2312" w:cs="仿宋_GB2312"/>
                <w:color w:val="auto"/>
                <w:szCs w:val="21"/>
                <w:highlight w:val="none"/>
              </w:rPr>
            </w:pPr>
          </w:p>
        </w:tc>
        <w:tc>
          <w:tcPr>
            <w:tcW w:w="1256" w:type="pct"/>
            <w:vMerge w:val="continue"/>
            <w:tcBorders>
              <w:top w:val="single" w:color="000000" w:sz="4" w:space="0"/>
              <w:left w:val="single" w:color="000000" w:sz="4" w:space="0"/>
              <w:bottom w:val="single" w:color="000000" w:sz="4" w:space="0"/>
              <w:right w:val="single" w:color="000000" w:sz="4" w:space="0"/>
            </w:tcBorders>
            <w:noWrap/>
            <w:vAlign w:val="center"/>
          </w:tcPr>
          <w:p w14:paraId="4E7380A8">
            <w:pPr>
              <w:shd w:val="clear" w:color="auto" w:fill="auto"/>
              <w:spacing w:line="240" w:lineRule="exact"/>
              <w:jc w:val="center"/>
              <w:rPr>
                <w:rFonts w:hint="eastAsia" w:ascii="仿宋_GB2312" w:hAnsi="仿宋_GB2312" w:eastAsia="仿宋_GB2312" w:cs="仿宋_GB2312"/>
                <w:color w:val="auto"/>
                <w:szCs w:val="21"/>
                <w:highlight w:val="none"/>
              </w:rPr>
            </w:pPr>
          </w:p>
        </w:tc>
        <w:tc>
          <w:tcPr>
            <w:tcW w:w="1634" w:type="pct"/>
            <w:vMerge w:val="continue"/>
            <w:tcBorders>
              <w:top w:val="single" w:color="000000" w:sz="4" w:space="0"/>
              <w:left w:val="single" w:color="000000" w:sz="4" w:space="0"/>
              <w:bottom w:val="single" w:color="000000" w:sz="4" w:space="0"/>
              <w:right w:val="single" w:color="000000" w:sz="4" w:space="0"/>
            </w:tcBorders>
            <w:noWrap/>
            <w:vAlign w:val="center"/>
          </w:tcPr>
          <w:p w14:paraId="051C325D">
            <w:pPr>
              <w:shd w:val="clear" w:color="auto" w:fill="auto"/>
              <w:spacing w:line="240" w:lineRule="exact"/>
              <w:jc w:val="center"/>
              <w:rPr>
                <w:rFonts w:hint="eastAsia" w:ascii="仿宋_GB2312" w:hAnsi="仿宋_GB2312" w:eastAsia="仿宋_GB2312" w:cs="仿宋_GB2312"/>
                <w:color w:val="auto"/>
                <w:szCs w:val="21"/>
                <w:highlight w:val="none"/>
              </w:rPr>
            </w:pPr>
          </w:p>
        </w:tc>
        <w:tc>
          <w:tcPr>
            <w:tcW w:w="1415" w:type="pct"/>
            <w:vMerge w:val="continue"/>
            <w:tcBorders>
              <w:top w:val="single" w:color="000000" w:sz="4" w:space="0"/>
              <w:left w:val="single" w:color="000000" w:sz="4" w:space="0"/>
              <w:bottom w:val="single" w:color="000000" w:sz="4" w:space="0"/>
              <w:right w:val="single" w:color="000000" w:sz="4" w:space="0"/>
            </w:tcBorders>
            <w:noWrap/>
            <w:vAlign w:val="center"/>
          </w:tcPr>
          <w:p w14:paraId="72C21A14">
            <w:pPr>
              <w:shd w:val="clear" w:color="auto" w:fill="auto"/>
              <w:spacing w:line="240" w:lineRule="exact"/>
              <w:jc w:val="center"/>
              <w:rPr>
                <w:rFonts w:hint="eastAsia" w:ascii="仿宋_GB2312" w:hAnsi="仿宋_GB2312" w:eastAsia="仿宋_GB2312" w:cs="仿宋_GB2312"/>
                <w:color w:val="auto"/>
                <w:szCs w:val="21"/>
                <w:highlight w:val="none"/>
              </w:rPr>
            </w:pPr>
          </w:p>
        </w:tc>
      </w:tr>
      <w:tr w14:paraId="14FA105A">
        <w:tblPrEx>
          <w:tblCellMar>
            <w:top w:w="0" w:type="dxa"/>
            <w:left w:w="108" w:type="dxa"/>
            <w:bottom w:w="0" w:type="dxa"/>
            <w:right w:w="108" w:type="dxa"/>
          </w:tblCellMar>
        </w:tblPrEx>
        <w:trPr>
          <w:wBefore w:w="0" w:type="dxa"/>
          <w:wAfter w:w="0" w:type="dxa"/>
          <w:trHeight w:val="570" w:hRule="atLeast"/>
        </w:trPr>
        <w:tc>
          <w:tcPr>
            <w:tcW w:w="695" w:type="pct"/>
            <w:tcBorders>
              <w:top w:val="single" w:color="000000" w:sz="4" w:space="0"/>
              <w:left w:val="single" w:color="000000" w:sz="4" w:space="0"/>
              <w:bottom w:val="single" w:color="000000" w:sz="4" w:space="0"/>
              <w:right w:val="single" w:color="000000" w:sz="4" w:space="0"/>
            </w:tcBorders>
            <w:noWrap/>
            <w:vAlign w:val="center"/>
          </w:tcPr>
          <w:p w14:paraId="6173B0F3">
            <w:pPr>
              <w:widowControl/>
              <w:shd w:val="clear" w:color="auto" w:fill="auto"/>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7</w:t>
            </w:r>
          </w:p>
        </w:tc>
        <w:tc>
          <w:tcPr>
            <w:tcW w:w="1256" w:type="pct"/>
            <w:tcBorders>
              <w:top w:val="single" w:color="000000" w:sz="4" w:space="0"/>
              <w:left w:val="single" w:color="000000" w:sz="4" w:space="0"/>
              <w:bottom w:val="single" w:color="000000" w:sz="4" w:space="0"/>
              <w:right w:val="single" w:color="000000" w:sz="4" w:space="0"/>
            </w:tcBorders>
            <w:noWrap/>
            <w:vAlign w:val="center"/>
          </w:tcPr>
          <w:p w14:paraId="6CF5D60C">
            <w:pPr>
              <w:widowControl/>
              <w:shd w:val="clear" w:color="auto" w:fill="auto"/>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邮储银行</w:t>
            </w:r>
          </w:p>
        </w:tc>
        <w:tc>
          <w:tcPr>
            <w:tcW w:w="1634" w:type="pct"/>
            <w:tcBorders>
              <w:top w:val="single" w:color="000000" w:sz="4" w:space="0"/>
              <w:left w:val="single" w:color="000000" w:sz="4" w:space="0"/>
              <w:bottom w:val="single" w:color="000000" w:sz="4" w:space="0"/>
              <w:right w:val="single" w:color="000000" w:sz="4" w:space="0"/>
            </w:tcBorders>
            <w:noWrap/>
            <w:vAlign w:val="center"/>
          </w:tcPr>
          <w:p w14:paraId="616CBB5B">
            <w:pPr>
              <w:widowControl/>
              <w:shd w:val="clear" w:color="auto" w:fill="auto"/>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张萱</w:t>
            </w:r>
          </w:p>
        </w:tc>
        <w:tc>
          <w:tcPr>
            <w:tcW w:w="1415" w:type="pct"/>
            <w:tcBorders>
              <w:top w:val="single" w:color="000000" w:sz="4" w:space="0"/>
              <w:left w:val="single" w:color="000000" w:sz="4" w:space="0"/>
              <w:bottom w:val="single" w:color="000000" w:sz="4" w:space="0"/>
              <w:right w:val="single" w:color="000000" w:sz="4" w:space="0"/>
            </w:tcBorders>
            <w:noWrap w:val="0"/>
            <w:vAlign w:val="center"/>
          </w:tcPr>
          <w:p w14:paraId="0FB15851">
            <w:pPr>
              <w:widowControl/>
              <w:shd w:val="clear" w:color="auto" w:fill="auto"/>
              <w:spacing w:line="240" w:lineRule="exact"/>
              <w:jc w:val="center"/>
              <w:textAlignment w:val="center"/>
              <w:rPr>
                <w:rFonts w:hint="eastAsia" w:ascii="仿宋_GB2312" w:hAnsi="仿宋_GB2312" w:eastAsia="仿宋_GB2312" w:cs="仿宋_GB2312"/>
                <w:color w:val="auto"/>
                <w:kern w:val="0"/>
                <w:szCs w:val="21"/>
                <w:highlight w:val="none"/>
                <w:lang w:bidi="ar"/>
              </w:rPr>
            </w:pPr>
            <w:r>
              <w:rPr>
                <w:rFonts w:hint="eastAsia" w:ascii="仿宋_GB2312" w:hAnsi="仿宋_GB2312" w:eastAsia="仿宋_GB2312" w:cs="仿宋_GB2312"/>
                <w:color w:val="auto"/>
                <w:kern w:val="0"/>
                <w:szCs w:val="21"/>
                <w:highlight w:val="none"/>
                <w:lang w:bidi="ar"/>
              </w:rPr>
              <w:t>13028431555</w:t>
            </w:r>
          </w:p>
          <w:p w14:paraId="33F39409">
            <w:pPr>
              <w:widowControl/>
              <w:shd w:val="clear" w:color="auto" w:fill="auto"/>
              <w:spacing w:line="24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18091365182</w:t>
            </w:r>
          </w:p>
        </w:tc>
      </w:tr>
    </w:tbl>
    <w:p w14:paraId="5FD48DFF">
      <w:pPr>
        <w:pStyle w:val="14"/>
        <w:shd w:val="clear" w:color="auto" w:fill="auto"/>
        <w:rPr>
          <w:rFonts w:hint="eastAsia" w:ascii="仿宋_GB2312" w:hAnsi="仿宋_GB2312" w:eastAsia="仿宋_GB2312" w:cs="仿宋_GB2312"/>
          <w:color w:val="auto"/>
          <w:sz w:val="21"/>
          <w:szCs w:val="21"/>
          <w:highlight w:val="none"/>
        </w:rPr>
      </w:pPr>
    </w:p>
    <w:p w14:paraId="6ACCAEBD">
      <w:pPr>
        <w:pStyle w:val="14"/>
        <w:shd w:val="clear" w:color="auto" w:fill="auto"/>
        <w:rPr>
          <w:rFonts w:hint="eastAsia" w:ascii="Times New Roman" w:hAnsi="Times New Roman" w:eastAsia="仿宋_GB2312"/>
          <w:color w:val="auto"/>
          <w:highlight w:val="none"/>
        </w:rPr>
      </w:pPr>
      <w:r>
        <w:rPr>
          <w:rFonts w:hint="eastAsia" w:ascii="Times New Roman" w:hAnsi="Times New Roman" w:eastAsia="仿宋_GB2312"/>
          <w:color w:val="auto"/>
          <w:highlight w:val="none"/>
        </w:rPr>
        <w:t>延安市政府采购贷款银行信息：</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2041"/>
        <w:gridCol w:w="3640"/>
        <w:gridCol w:w="946"/>
        <w:gridCol w:w="1574"/>
      </w:tblGrid>
      <w:tr w14:paraId="1B6C3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55" w:type="dxa"/>
            <w:noWrap w:val="0"/>
            <w:vAlign w:val="center"/>
          </w:tcPr>
          <w:p w14:paraId="0D850906">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bCs/>
                <w:i w:val="0"/>
                <w:caps w:val="0"/>
                <w:color w:val="auto"/>
                <w:spacing w:val="0"/>
                <w:kern w:val="0"/>
                <w:sz w:val="24"/>
                <w:szCs w:val="24"/>
                <w:highlight w:val="none"/>
                <w:shd w:val="clear" w:color="auto" w:fill="FFFFFF"/>
                <w:vertAlign w:val="baseline"/>
                <w:lang w:val="en-US" w:eastAsia="zh-CN" w:bidi="ar-SA"/>
              </w:rPr>
            </w:pPr>
            <w:r>
              <w:rPr>
                <w:rFonts w:hint="eastAsia" w:ascii="仿宋_GB2312" w:hAnsi="仿宋_GB2312" w:eastAsia="仿宋_GB2312" w:cs="仿宋_GB2312"/>
                <w:b/>
                <w:bCs/>
                <w:i w:val="0"/>
                <w:caps w:val="0"/>
                <w:color w:val="auto"/>
                <w:spacing w:val="0"/>
                <w:kern w:val="0"/>
                <w:sz w:val="24"/>
                <w:szCs w:val="24"/>
                <w:highlight w:val="none"/>
                <w:shd w:val="clear" w:color="auto" w:fill="FFFFFF"/>
                <w:vertAlign w:val="baseline"/>
                <w:lang w:val="en-US" w:eastAsia="zh-CN" w:bidi="ar-SA"/>
              </w:rPr>
              <w:t>序号</w:t>
            </w:r>
          </w:p>
        </w:tc>
        <w:tc>
          <w:tcPr>
            <w:tcW w:w="2041" w:type="dxa"/>
            <w:noWrap w:val="0"/>
            <w:vAlign w:val="center"/>
          </w:tcPr>
          <w:p w14:paraId="208976AE">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bCs/>
                <w:i w:val="0"/>
                <w:caps w:val="0"/>
                <w:color w:val="auto"/>
                <w:spacing w:val="0"/>
                <w:kern w:val="0"/>
                <w:sz w:val="24"/>
                <w:szCs w:val="24"/>
                <w:highlight w:val="none"/>
                <w:shd w:val="clear" w:color="auto" w:fill="FFFFFF"/>
                <w:vertAlign w:val="baseline"/>
                <w:lang w:val="en-US" w:eastAsia="zh-CN" w:bidi="ar-SA"/>
              </w:rPr>
            </w:pPr>
            <w:r>
              <w:rPr>
                <w:rFonts w:hint="eastAsia" w:ascii="仿宋_GB2312" w:hAnsi="仿宋_GB2312" w:eastAsia="仿宋_GB2312" w:cs="仿宋_GB2312"/>
                <w:b/>
                <w:bCs/>
                <w:i w:val="0"/>
                <w:caps w:val="0"/>
                <w:color w:val="auto"/>
                <w:spacing w:val="0"/>
                <w:kern w:val="0"/>
                <w:sz w:val="24"/>
                <w:szCs w:val="24"/>
                <w:highlight w:val="none"/>
                <w:shd w:val="clear" w:color="auto" w:fill="FFFFFF"/>
                <w:vertAlign w:val="baseline"/>
                <w:lang w:val="en-US" w:eastAsia="zh-CN" w:bidi="ar-SA"/>
              </w:rPr>
              <w:t>银行</w:t>
            </w:r>
          </w:p>
        </w:tc>
        <w:tc>
          <w:tcPr>
            <w:tcW w:w="3640" w:type="dxa"/>
            <w:noWrap w:val="0"/>
            <w:vAlign w:val="center"/>
          </w:tcPr>
          <w:p w14:paraId="239BB7AB">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bCs/>
                <w:i w:val="0"/>
                <w:caps w:val="0"/>
                <w:color w:val="auto"/>
                <w:spacing w:val="0"/>
                <w:kern w:val="0"/>
                <w:sz w:val="24"/>
                <w:szCs w:val="24"/>
                <w:highlight w:val="none"/>
                <w:shd w:val="clear" w:color="auto" w:fill="FFFFFF"/>
                <w:vertAlign w:val="baseline"/>
                <w:lang w:val="en-US" w:eastAsia="zh-CN" w:bidi="ar-SA"/>
              </w:rPr>
            </w:pPr>
            <w:r>
              <w:rPr>
                <w:rFonts w:hint="eastAsia" w:ascii="仿宋_GB2312" w:hAnsi="仿宋_GB2312" w:eastAsia="仿宋_GB2312" w:cs="仿宋_GB2312"/>
                <w:b/>
                <w:bCs/>
                <w:i w:val="0"/>
                <w:caps w:val="0"/>
                <w:color w:val="auto"/>
                <w:spacing w:val="0"/>
                <w:kern w:val="0"/>
                <w:sz w:val="24"/>
                <w:szCs w:val="24"/>
                <w:highlight w:val="none"/>
                <w:shd w:val="clear" w:color="auto" w:fill="FFFFFF"/>
                <w:vertAlign w:val="baseline"/>
                <w:lang w:val="en-US" w:eastAsia="zh-CN" w:bidi="ar-SA"/>
              </w:rPr>
              <w:t>地址</w:t>
            </w:r>
          </w:p>
        </w:tc>
        <w:tc>
          <w:tcPr>
            <w:tcW w:w="946" w:type="dxa"/>
            <w:noWrap w:val="0"/>
            <w:vAlign w:val="center"/>
          </w:tcPr>
          <w:p w14:paraId="45710090">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bCs/>
                <w:i w:val="0"/>
                <w:caps w:val="0"/>
                <w:color w:val="auto"/>
                <w:spacing w:val="0"/>
                <w:kern w:val="0"/>
                <w:sz w:val="24"/>
                <w:szCs w:val="24"/>
                <w:highlight w:val="none"/>
                <w:shd w:val="clear" w:color="auto" w:fill="FFFFFF"/>
                <w:vertAlign w:val="baseline"/>
                <w:lang w:val="en-US" w:eastAsia="zh-CN" w:bidi="ar-SA"/>
              </w:rPr>
            </w:pPr>
            <w:r>
              <w:rPr>
                <w:rFonts w:hint="eastAsia" w:ascii="仿宋_GB2312" w:hAnsi="仿宋_GB2312" w:eastAsia="仿宋_GB2312" w:cs="仿宋_GB2312"/>
                <w:b/>
                <w:bCs/>
                <w:i w:val="0"/>
                <w:caps w:val="0"/>
                <w:color w:val="auto"/>
                <w:spacing w:val="0"/>
                <w:kern w:val="0"/>
                <w:sz w:val="24"/>
                <w:szCs w:val="24"/>
                <w:highlight w:val="none"/>
                <w:shd w:val="clear" w:color="auto" w:fill="FFFFFF"/>
                <w:vertAlign w:val="baseline"/>
                <w:lang w:val="en-US" w:eastAsia="zh-CN" w:bidi="ar-SA"/>
              </w:rPr>
              <w:t>联系人</w:t>
            </w:r>
          </w:p>
        </w:tc>
        <w:tc>
          <w:tcPr>
            <w:tcW w:w="1574" w:type="dxa"/>
            <w:noWrap w:val="0"/>
            <w:vAlign w:val="center"/>
          </w:tcPr>
          <w:p w14:paraId="00901F8C">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bCs/>
                <w:i w:val="0"/>
                <w:caps w:val="0"/>
                <w:color w:val="auto"/>
                <w:spacing w:val="0"/>
                <w:kern w:val="0"/>
                <w:sz w:val="24"/>
                <w:szCs w:val="24"/>
                <w:highlight w:val="none"/>
                <w:shd w:val="clear" w:color="auto" w:fill="FFFFFF"/>
                <w:vertAlign w:val="baseline"/>
                <w:lang w:val="en-US" w:eastAsia="zh-CN" w:bidi="ar-SA"/>
              </w:rPr>
            </w:pPr>
            <w:r>
              <w:rPr>
                <w:rFonts w:hint="eastAsia" w:ascii="仿宋_GB2312" w:hAnsi="仿宋_GB2312" w:eastAsia="仿宋_GB2312" w:cs="仿宋_GB2312"/>
                <w:b/>
                <w:bCs/>
                <w:i w:val="0"/>
                <w:caps w:val="0"/>
                <w:color w:val="auto"/>
                <w:spacing w:val="0"/>
                <w:kern w:val="0"/>
                <w:sz w:val="24"/>
                <w:szCs w:val="24"/>
                <w:highlight w:val="none"/>
                <w:shd w:val="clear" w:color="auto" w:fill="FFFFFF"/>
                <w:vertAlign w:val="baseline"/>
                <w:lang w:val="en-US" w:eastAsia="zh-CN" w:bidi="ar-SA"/>
              </w:rPr>
              <w:t>电话</w:t>
            </w:r>
          </w:p>
        </w:tc>
      </w:tr>
      <w:tr w14:paraId="04CC0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755" w:type="dxa"/>
            <w:noWrap w:val="0"/>
            <w:vAlign w:val="center"/>
          </w:tcPr>
          <w:p w14:paraId="5090DD4F">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w:t>
            </w:r>
          </w:p>
        </w:tc>
        <w:tc>
          <w:tcPr>
            <w:tcW w:w="2041" w:type="dxa"/>
            <w:noWrap w:val="0"/>
            <w:vAlign w:val="center"/>
          </w:tcPr>
          <w:p w14:paraId="7F44C75A">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lang w:val="en-US" w:eastAsia="zh-CN" w:bidi="ar-SA"/>
              </w:rPr>
              <w:t>中国建设银行延安分行</w:t>
            </w:r>
          </w:p>
        </w:tc>
        <w:tc>
          <w:tcPr>
            <w:tcW w:w="3640" w:type="dxa"/>
            <w:noWrap w:val="0"/>
            <w:vAlign w:val="center"/>
          </w:tcPr>
          <w:p w14:paraId="6E60B729">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lang w:val="en-US" w:eastAsia="zh-CN" w:bidi="ar-SA"/>
              </w:rPr>
              <w:t>延安市宝塔区中心街</w:t>
            </w:r>
          </w:p>
        </w:tc>
        <w:tc>
          <w:tcPr>
            <w:tcW w:w="946" w:type="dxa"/>
            <w:noWrap w:val="0"/>
            <w:vAlign w:val="center"/>
          </w:tcPr>
          <w:p w14:paraId="13701537">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徐欣蕾</w:t>
            </w:r>
          </w:p>
        </w:tc>
        <w:tc>
          <w:tcPr>
            <w:tcW w:w="1574" w:type="dxa"/>
            <w:noWrap w:val="0"/>
            <w:vAlign w:val="center"/>
          </w:tcPr>
          <w:p w14:paraId="364246FF">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15891686951</w:t>
            </w:r>
          </w:p>
        </w:tc>
      </w:tr>
      <w:tr w14:paraId="7523C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55" w:type="dxa"/>
            <w:noWrap w:val="0"/>
            <w:vAlign w:val="center"/>
          </w:tcPr>
          <w:p w14:paraId="5273669B">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2</w:t>
            </w:r>
          </w:p>
        </w:tc>
        <w:tc>
          <w:tcPr>
            <w:tcW w:w="2041" w:type="dxa"/>
            <w:noWrap w:val="0"/>
            <w:vAlign w:val="center"/>
          </w:tcPr>
          <w:p w14:paraId="6B3F6FBC">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中国工商银行延安分行</w:t>
            </w:r>
          </w:p>
        </w:tc>
        <w:tc>
          <w:tcPr>
            <w:tcW w:w="3640" w:type="dxa"/>
            <w:noWrap w:val="0"/>
            <w:vAlign w:val="center"/>
          </w:tcPr>
          <w:p w14:paraId="60190003">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延安市宝塔区师范路</w:t>
            </w:r>
          </w:p>
        </w:tc>
        <w:tc>
          <w:tcPr>
            <w:tcW w:w="946" w:type="dxa"/>
            <w:noWrap w:val="0"/>
            <w:vAlign w:val="center"/>
          </w:tcPr>
          <w:p w14:paraId="6830BD61">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姬悦</w:t>
            </w:r>
          </w:p>
        </w:tc>
        <w:tc>
          <w:tcPr>
            <w:tcW w:w="1574" w:type="dxa"/>
            <w:noWrap w:val="0"/>
            <w:vAlign w:val="center"/>
          </w:tcPr>
          <w:p w14:paraId="37044BA9">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18391156580</w:t>
            </w:r>
          </w:p>
        </w:tc>
      </w:tr>
      <w:tr w14:paraId="5D1D7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52FAF59D">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3</w:t>
            </w:r>
          </w:p>
        </w:tc>
        <w:tc>
          <w:tcPr>
            <w:tcW w:w="2041" w:type="dxa"/>
            <w:noWrap w:val="0"/>
            <w:vAlign w:val="center"/>
          </w:tcPr>
          <w:p w14:paraId="259FA35D">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北京银行延安分行</w:t>
            </w:r>
          </w:p>
        </w:tc>
        <w:tc>
          <w:tcPr>
            <w:tcW w:w="3640" w:type="dxa"/>
            <w:noWrap w:val="0"/>
            <w:vAlign w:val="center"/>
          </w:tcPr>
          <w:p w14:paraId="283106A5">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延安市宝塔区双拥大道</w:t>
            </w:r>
          </w:p>
        </w:tc>
        <w:tc>
          <w:tcPr>
            <w:tcW w:w="946" w:type="dxa"/>
            <w:noWrap w:val="0"/>
            <w:vAlign w:val="center"/>
          </w:tcPr>
          <w:p w14:paraId="73D14581">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奥宝森</w:t>
            </w:r>
          </w:p>
        </w:tc>
        <w:tc>
          <w:tcPr>
            <w:tcW w:w="1574" w:type="dxa"/>
            <w:noWrap w:val="0"/>
            <w:vAlign w:val="center"/>
          </w:tcPr>
          <w:p w14:paraId="209E2DC3">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15592925222</w:t>
            </w:r>
          </w:p>
        </w:tc>
      </w:tr>
      <w:tr w14:paraId="0591E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55" w:type="dxa"/>
            <w:noWrap w:val="0"/>
            <w:vAlign w:val="center"/>
          </w:tcPr>
          <w:p w14:paraId="59206E28">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4</w:t>
            </w:r>
          </w:p>
        </w:tc>
        <w:tc>
          <w:tcPr>
            <w:tcW w:w="2041" w:type="dxa"/>
            <w:noWrap w:val="0"/>
            <w:vAlign w:val="center"/>
          </w:tcPr>
          <w:p w14:paraId="026C5FDC">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邮储银行延安分行</w:t>
            </w:r>
          </w:p>
        </w:tc>
        <w:tc>
          <w:tcPr>
            <w:tcW w:w="3640" w:type="dxa"/>
            <w:noWrap w:val="0"/>
            <w:vAlign w:val="center"/>
          </w:tcPr>
          <w:p w14:paraId="2747E3AF">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宝塔区枣园路志丹大厦</w:t>
            </w:r>
          </w:p>
        </w:tc>
        <w:tc>
          <w:tcPr>
            <w:tcW w:w="946" w:type="dxa"/>
            <w:noWrap w:val="0"/>
            <w:vAlign w:val="center"/>
          </w:tcPr>
          <w:p w14:paraId="22D38BE5">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刘凯</w:t>
            </w:r>
          </w:p>
        </w:tc>
        <w:tc>
          <w:tcPr>
            <w:tcW w:w="1574" w:type="dxa"/>
            <w:noWrap w:val="0"/>
            <w:vAlign w:val="center"/>
          </w:tcPr>
          <w:p w14:paraId="0CEA359B">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18691114222</w:t>
            </w:r>
          </w:p>
        </w:tc>
      </w:tr>
      <w:tr w14:paraId="2BBF3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755" w:type="dxa"/>
            <w:noWrap w:val="0"/>
            <w:vAlign w:val="center"/>
          </w:tcPr>
          <w:p w14:paraId="5FE647B2">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5</w:t>
            </w:r>
          </w:p>
        </w:tc>
        <w:tc>
          <w:tcPr>
            <w:tcW w:w="2041" w:type="dxa"/>
            <w:noWrap w:val="0"/>
            <w:vAlign w:val="center"/>
          </w:tcPr>
          <w:p w14:paraId="40698A7E">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光大银行延安分行</w:t>
            </w:r>
          </w:p>
        </w:tc>
        <w:tc>
          <w:tcPr>
            <w:tcW w:w="3640" w:type="dxa"/>
            <w:noWrap w:val="0"/>
            <w:vAlign w:val="center"/>
          </w:tcPr>
          <w:p w14:paraId="52BBA060">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宝塔区卷烟厂东信时代一、二层</w:t>
            </w:r>
          </w:p>
        </w:tc>
        <w:tc>
          <w:tcPr>
            <w:tcW w:w="946" w:type="dxa"/>
            <w:noWrap w:val="0"/>
            <w:vAlign w:val="center"/>
          </w:tcPr>
          <w:p w14:paraId="2B697476">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汪昊田</w:t>
            </w:r>
          </w:p>
        </w:tc>
        <w:tc>
          <w:tcPr>
            <w:tcW w:w="1574" w:type="dxa"/>
            <w:noWrap w:val="0"/>
            <w:vAlign w:val="center"/>
          </w:tcPr>
          <w:p w14:paraId="50AC4818">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13509115500</w:t>
            </w:r>
          </w:p>
        </w:tc>
      </w:tr>
      <w:tr w14:paraId="7A01C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1F27032B">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6</w:t>
            </w:r>
          </w:p>
        </w:tc>
        <w:tc>
          <w:tcPr>
            <w:tcW w:w="2041" w:type="dxa"/>
            <w:noWrap w:val="0"/>
            <w:vAlign w:val="center"/>
          </w:tcPr>
          <w:p w14:paraId="4246DFFB">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交通银行延安分行</w:t>
            </w:r>
          </w:p>
        </w:tc>
        <w:tc>
          <w:tcPr>
            <w:tcW w:w="3640" w:type="dxa"/>
            <w:noWrap w:val="0"/>
            <w:vAlign w:val="center"/>
          </w:tcPr>
          <w:p w14:paraId="5ED22B79">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延安市宝塔区北大街95号</w:t>
            </w:r>
          </w:p>
        </w:tc>
        <w:tc>
          <w:tcPr>
            <w:tcW w:w="946" w:type="dxa"/>
            <w:noWrap w:val="0"/>
            <w:vAlign w:val="center"/>
          </w:tcPr>
          <w:p w14:paraId="55E9D9C7">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王瑶</w:t>
            </w:r>
          </w:p>
        </w:tc>
        <w:tc>
          <w:tcPr>
            <w:tcW w:w="1574" w:type="dxa"/>
            <w:noWrap w:val="0"/>
            <w:vAlign w:val="center"/>
          </w:tcPr>
          <w:p w14:paraId="70E76E25">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13389119518</w:t>
            </w:r>
          </w:p>
        </w:tc>
      </w:tr>
      <w:tr w14:paraId="2ABAB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54DC2C47">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7</w:t>
            </w:r>
          </w:p>
        </w:tc>
        <w:tc>
          <w:tcPr>
            <w:tcW w:w="2041" w:type="dxa"/>
            <w:noWrap w:val="0"/>
            <w:vAlign w:val="center"/>
          </w:tcPr>
          <w:p w14:paraId="72D9CD79">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延安农商行</w:t>
            </w:r>
          </w:p>
        </w:tc>
        <w:tc>
          <w:tcPr>
            <w:tcW w:w="3640" w:type="dxa"/>
            <w:noWrap w:val="0"/>
            <w:vAlign w:val="center"/>
          </w:tcPr>
          <w:p w14:paraId="438010E6">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延安市宝塔区百米大道永兴路农商银行大厦</w:t>
            </w:r>
          </w:p>
        </w:tc>
        <w:tc>
          <w:tcPr>
            <w:tcW w:w="946" w:type="dxa"/>
            <w:noWrap w:val="0"/>
            <w:vAlign w:val="center"/>
          </w:tcPr>
          <w:p w14:paraId="3FEB2E41">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段田瑞</w:t>
            </w:r>
          </w:p>
        </w:tc>
        <w:tc>
          <w:tcPr>
            <w:tcW w:w="1574" w:type="dxa"/>
            <w:noWrap w:val="0"/>
            <w:vAlign w:val="center"/>
          </w:tcPr>
          <w:p w14:paraId="605C35E8">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18700166012</w:t>
            </w:r>
          </w:p>
        </w:tc>
      </w:tr>
      <w:tr w14:paraId="7C938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12B0A429">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8</w:t>
            </w:r>
          </w:p>
        </w:tc>
        <w:tc>
          <w:tcPr>
            <w:tcW w:w="2041" w:type="dxa"/>
            <w:noWrap w:val="0"/>
            <w:vAlign w:val="center"/>
          </w:tcPr>
          <w:p w14:paraId="2D58D60E">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甘泉农商行</w:t>
            </w:r>
          </w:p>
        </w:tc>
        <w:tc>
          <w:tcPr>
            <w:tcW w:w="3640" w:type="dxa"/>
            <w:noWrap w:val="0"/>
            <w:vAlign w:val="center"/>
          </w:tcPr>
          <w:p w14:paraId="72C82B8B">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甘泉县中心街019号</w:t>
            </w:r>
          </w:p>
        </w:tc>
        <w:tc>
          <w:tcPr>
            <w:tcW w:w="946" w:type="dxa"/>
            <w:noWrap w:val="0"/>
            <w:vAlign w:val="center"/>
          </w:tcPr>
          <w:p w14:paraId="6A3843A3">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白晶晶</w:t>
            </w:r>
          </w:p>
        </w:tc>
        <w:tc>
          <w:tcPr>
            <w:tcW w:w="1574" w:type="dxa"/>
            <w:noWrap w:val="0"/>
            <w:vAlign w:val="center"/>
          </w:tcPr>
          <w:p w14:paraId="599DC0E5">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15129872940</w:t>
            </w:r>
          </w:p>
        </w:tc>
      </w:tr>
      <w:tr w14:paraId="4C1EB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759A7762">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9</w:t>
            </w:r>
          </w:p>
        </w:tc>
        <w:tc>
          <w:tcPr>
            <w:tcW w:w="2041" w:type="dxa"/>
            <w:noWrap w:val="0"/>
            <w:vAlign w:val="center"/>
          </w:tcPr>
          <w:p w14:paraId="0BE0FCB9">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延长联社</w:t>
            </w:r>
          </w:p>
        </w:tc>
        <w:tc>
          <w:tcPr>
            <w:tcW w:w="3640" w:type="dxa"/>
            <w:noWrap w:val="0"/>
            <w:vAlign w:val="center"/>
          </w:tcPr>
          <w:p w14:paraId="7A066977">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延长县七里村镇街道城区中街</w:t>
            </w:r>
          </w:p>
        </w:tc>
        <w:tc>
          <w:tcPr>
            <w:tcW w:w="946" w:type="dxa"/>
            <w:noWrap w:val="0"/>
            <w:vAlign w:val="center"/>
          </w:tcPr>
          <w:p w14:paraId="3D1C8295">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白永卿</w:t>
            </w:r>
          </w:p>
        </w:tc>
        <w:tc>
          <w:tcPr>
            <w:tcW w:w="1574" w:type="dxa"/>
            <w:noWrap w:val="0"/>
            <w:vAlign w:val="center"/>
          </w:tcPr>
          <w:p w14:paraId="7316A080">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18109119635</w:t>
            </w:r>
          </w:p>
        </w:tc>
      </w:tr>
      <w:tr w14:paraId="5A733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0CEC70A9">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10</w:t>
            </w:r>
          </w:p>
        </w:tc>
        <w:tc>
          <w:tcPr>
            <w:tcW w:w="2041" w:type="dxa"/>
            <w:noWrap w:val="0"/>
            <w:vAlign w:val="center"/>
          </w:tcPr>
          <w:p w14:paraId="48E1796B">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延川联社</w:t>
            </w:r>
          </w:p>
        </w:tc>
        <w:tc>
          <w:tcPr>
            <w:tcW w:w="3640" w:type="dxa"/>
            <w:noWrap w:val="0"/>
            <w:vAlign w:val="center"/>
          </w:tcPr>
          <w:p w14:paraId="6F7B62D5">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延川县大禹街道北关信用合作联社</w:t>
            </w:r>
          </w:p>
        </w:tc>
        <w:tc>
          <w:tcPr>
            <w:tcW w:w="946" w:type="dxa"/>
            <w:noWrap w:val="0"/>
            <w:vAlign w:val="center"/>
          </w:tcPr>
          <w:p w14:paraId="6C7F49A4">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张沛兴</w:t>
            </w:r>
          </w:p>
        </w:tc>
        <w:tc>
          <w:tcPr>
            <w:tcW w:w="1574" w:type="dxa"/>
            <w:noWrap w:val="0"/>
            <w:vAlign w:val="center"/>
          </w:tcPr>
          <w:p w14:paraId="0E15A623">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15129756920</w:t>
            </w:r>
          </w:p>
        </w:tc>
      </w:tr>
      <w:tr w14:paraId="63AA9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5D20A774">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11</w:t>
            </w:r>
          </w:p>
        </w:tc>
        <w:tc>
          <w:tcPr>
            <w:tcW w:w="2041" w:type="dxa"/>
            <w:noWrap w:val="0"/>
            <w:vAlign w:val="center"/>
          </w:tcPr>
          <w:p w14:paraId="040742D6">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子长农商行</w:t>
            </w:r>
          </w:p>
        </w:tc>
        <w:tc>
          <w:tcPr>
            <w:tcW w:w="3640" w:type="dxa"/>
            <w:noWrap w:val="0"/>
            <w:vAlign w:val="center"/>
          </w:tcPr>
          <w:p w14:paraId="7A9FFA78">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子长市长兴街</w:t>
            </w:r>
          </w:p>
        </w:tc>
        <w:tc>
          <w:tcPr>
            <w:tcW w:w="946" w:type="dxa"/>
            <w:noWrap w:val="0"/>
            <w:vAlign w:val="center"/>
          </w:tcPr>
          <w:p w14:paraId="6EBBE0D9">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王莉</w:t>
            </w:r>
          </w:p>
        </w:tc>
        <w:tc>
          <w:tcPr>
            <w:tcW w:w="1574" w:type="dxa"/>
            <w:noWrap w:val="0"/>
            <w:vAlign w:val="center"/>
          </w:tcPr>
          <w:p w14:paraId="130A655F">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13992153010</w:t>
            </w:r>
          </w:p>
        </w:tc>
      </w:tr>
      <w:tr w14:paraId="02325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55" w:type="dxa"/>
            <w:noWrap w:val="0"/>
            <w:vAlign w:val="center"/>
          </w:tcPr>
          <w:p w14:paraId="74044145">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12</w:t>
            </w:r>
          </w:p>
        </w:tc>
        <w:tc>
          <w:tcPr>
            <w:tcW w:w="2041" w:type="dxa"/>
            <w:noWrap w:val="0"/>
            <w:vAlign w:val="center"/>
          </w:tcPr>
          <w:p w14:paraId="3FCF2C7F">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安塞农商行</w:t>
            </w:r>
          </w:p>
        </w:tc>
        <w:tc>
          <w:tcPr>
            <w:tcW w:w="3640" w:type="dxa"/>
            <w:noWrap w:val="0"/>
            <w:vAlign w:val="center"/>
          </w:tcPr>
          <w:p w14:paraId="00C02112">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延安市安塞区富民街22号</w:t>
            </w:r>
          </w:p>
        </w:tc>
        <w:tc>
          <w:tcPr>
            <w:tcW w:w="946" w:type="dxa"/>
            <w:noWrap w:val="0"/>
            <w:vAlign w:val="center"/>
          </w:tcPr>
          <w:p w14:paraId="080AD754">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王平</w:t>
            </w:r>
          </w:p>
        </w:tc>
        <w:tc>
          <w:tcPr>
            <w:tcW w:w="1574" w:type="dxa"/>
            <w:noWrap w:val="0"/>
            <w:vAlign w:val="center"/>
          </w:tcPr>
          <w:p w14:paraId="56CD6A74">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15991569027</w:t>
            </w:r>
          </w:p>
        </w:tc>
      </w:tr>
      <w:tr w14:paraId="193F9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5" w:type="dxa"/>
            <w:noWrap w:val="0"/>
            <w:vAlign w:val="center"/>
          </w:tcPr>
          <w:p w14:paraId="27006D5E">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13</w:t>
            </w:r>
          </w:p>
        </w:tc>
        <w:tc>
          <w:tcPr>
            <w:tcW w:w="2041" w:type="dxa"/>
            <w:noWrap w:val="0"/>
            <w:vAlign w:val="center"/>
          </w:tcPr>
          <w:p w14:paraId="09FE8D84">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志丹联社</w:t>
            </w:r>
          </w:p>
        </w:tc>
        <w:tc>
          <w:tcPr>
            <w:tcW w:w="3640" w:type="dxa"/>
            <w:noWrap w:val="0"/>
            <w:vAlign w:val="center"/>
          </w:tcPr>
          <w:p w14:paraId="7E3F8C37">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延安市志丹县保安街134号信合大厦</w:t>
            </w:r>
          </w:p>
        </w:tc>
        <w:tc>
          <w:tcPr>
            <w:tcW w:w="946" w:type="dxa"/>
            <w:noWrap w:val="0"/>
            <w:vAlign w:val="center"/>
          </w:tcPr>
          <w:p w14:paraId="43D31D16">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李倩</w:t>
            </w:r>
          </w:p>
        </w:tc>
        <w:tc>
          <w:tcPr>
            <w:tcW w:w="1574" w:type="dxa"/>
            <w:noWrap w:val="0"/>
            <w:vAlign w:val="center"/>
          </w:tcPr>
          <w:p w14:paraId="784D6ECC">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18792408171</w:t>
            </w:r>
          </w:p>
        </w:tc>
      </w:tr>
      <w:tr w14:paraId="3A29B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73827A4B">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14</w:t>
            </w:r>
          </w:p>
        </w:tc>
        <w:tc>
          <w:tcPr>
            <w:tcW w:w="2041" w:type="dxa"/>
            <w:noWrap w:val="0"/>
            <w:vAlign w:val="center"/>
          </w:tcPr>
          <w:p w14:paraId="7B179E29">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吴起农合行</w:t>
            </w:r>
          </w:p>
        </w:tc>
        <w:tc>
          <w:tcPr>
            <w:tcW w:w="3640" w:type="dxa"/>
            <w:noWrap w:val="0"/>
            <w:vAlign w:val="center"/>
          </w:tcPr>
          <w:p w14:paraId="6D9A5776">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陕西省延安市吴起县北苑东路26号</w:t>
            </w:r>
          </w:p>
        </w:tc>
        <w:tc>
          <w:tcPr>
            <w:tcW w:w="946" w:type="dxa"/>
            <w:noWrap w:val="0"/>
            <w:vAlign w:val="center"/>
          </w:tcPr>
          <w:p w14:paraId="10B9694A">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李娜玲</w:t>
            </w:r>
          </w:p>
        </w:tc>
        <w:tc>
          <w:tcPr>
            <w:tcW w:w="1574" w:type="dxa"/>
            <w:noWrap w:val="0"/>
            <w:vAlign w:val="center"/>
          </w:tcPr>
          <w:p w14:paraId="4EE1DC6A">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15591103321</w:t>
            </w:r>
          </w:p>
        </w:tc>
      </w:tr>
      <w:tr w14:paraId="19258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7ED841F0">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15</w:t>
            </w:r>
          </w:p>
        </w:tc>
        <w:tc>
          <w:tcPr>
            <w:tcW w:w="2041" w:type="dxa"/>
            <w:noWrap w:val="0"/>
            <w:vAlign w:val="center"/>
          </w:tcPr>
          <w:p w14:paraId="1CA16D8E">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洛川农商行</w:t>
            </w:r>
          </w:p>
        </w:tc>
        <w:tc>
          <w:tcPr>
            <w:tcW w:w="3640" w:type="dxa"/>
            <w:noWrap w:val="0"/>
            <w:vAlign w:val="center"/>
          </w:tcPr>
          <w:p w14:paraId="3D329890">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陕西省延安市洛川县中心街</w:t>
            </w:r>
          </w:p>
        </w:tc>
        <w:tc>
          <w:tcPr>
            <w:tcW w:w="946" w:type="dxa"/>
            <w:noWrap w:val="0"/>
            <w:vAlign w:val="center"/>
          </w:tcPr>
          <w:p w14:paraId="2DCA3416">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史云云</w:t>
            </w:r>
          </w:p>
        </w:tc>
        <w:tc>
          <w:tcPr>
            <w:tcW w:w="1574" w:type="dxa"/>
            <w:noWrap w:val="0"/>
            <w:vAlign w:val="center"/>
          </w:tcPr>
          <w:p w14:paraId="301E5457">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15291172848</w:t>
            </w:r>
          </w:p>
        </w:tc>
      </w:tr>
      <w:tr w14:paraId="1CF23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40D8F69F">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16</w:t>
            </w:r>
          </w:p>
        </w:tc>
        <w:tc>
          <w:tcPr>
            <w:tcW w:w="2041" w:type="dxa"/>
            <w:noWrap w:val="0"/>
            <w:vAlign w:val="center"/>
          </w:tcPr>
          <w:p w14:paraId="6F16FD9C">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富县农合行</w:t>
            </w:r>
          </w:p>
        </w:tc>
        <w:tc>
          <w:tcPr>
            <w:tcW w:w="3640" w:type="dxa"/>
            <w:noWrap w:val="0"/>
            <w:vAlign w:val="center"/>
          </w:tcPr>
          <w:p w14:paraId="1F619DB9">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富县富城镇正街8号</w:t>
            </w:r>
          </w:p>
        </w:tc>
        <w:tc>
          <w:tcPr>
            <w:tcW w:w="946" w:type="dxa"/>
            <w:noWrap w:val="0"/>
            <w:vAlign w:val="center"/>
          </w:tcPr>
          <w:p w14:paraId="15A5C2D4">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逯其玲</w:t>
            </w:r>
          </w:p>
        </w:tc>
        <w:tc>
          <w:tcPr>
            <w:tcW w:w="1574" w:type="dxa"/>
            <w:noWrap w:val="0"/>
            <w:vAlign w:val="center"/>
          </w:tcPr>
          <w:p w14:paraId="54873634">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18091126065</w:t>
            </w:r>
          </w:p>
        </w:tc>
      </w:tr>
      <w:tr w14:paraId="50709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2A397359">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17</w:t>
            </w:r>
          </w:p>
        </w:tc>
        <w:tc>
          <w:tcPr>
            <w:tcW w:w="2041" w:type="dxa"/>
            <w:noWrap w:val="0"/>
            <w:vAlign w:val="center"/>
          </w:tcPr>
          <w:p w14:paraId="7814C43A">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黄陵联社</w:t>
            </w:r>
          </w:p>
        </w:tc>
        <w:tc>
          <w:tcPr>
            <w:tcW w:w="3640" w:type="dxa"/>
            <w:noWrap w:val="0"/>
            <w:vAlign w:val="center"/>
          </w:tcPr>
          <w:p w14:paraId="09E9A871">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黄陵县桥山大厦</w:t>
            </w:r>
          </w:p>
        </w:tc>
        <w:tc>
          <w:tcPr>
            <w:tcW w:w="946" w:type="dxa"/>
            <w:noWrap w:val="0"/>
            <w:vAlign w:val="center"/>
          </w:tcPr>
          <w:p w14:paraId="54B53AE1">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曹涛</w:t>
            </w:r>
          </w:p>
        </w:tc>
        <w:tc>
          <w:tcPr>
            <w:tcW w:w="1574" w:type="dxa"/>
            <w:noWrap w:val="0"/>
            <w:vAlign w:val="center"/>
          </w:tcPr>
          <w:p w14:paraId="1618927E">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13772255164</w:t>
            </w:r>
          </w:p>
        </w:tc>
      </w:tr>
      <w:tr w14:paraId="009B6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0CD6A977">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18</w:t>
            </w:r>
          </w:p>
        </w:tc>
        <w:tc>
          <w:tcPr>
            <w:tcW w:w="2041" w:type="dxa"/>
            <w:noWrap w:val="0"/>
            <w:vAlign w:val="center"/>
          </w:tcPr>
          <w:p w14:paraId="01A398D9">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宜川联社</w:t>
            </w:r>
          </w:p>
        </w:tc>
        <w:tc>
          <w:tcPr>
            <w:tcW w:w="3640" w:type="dxa"/>
            <w:noWrap w:val="0"/>
            <w:vAlign w:val="center"/>
          </w:tcPr>
          <w:p w14:paraId="33D05569">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宜川县党湾街65号</w:t>
            </w:r>
          </w:p>
        </w:tc>
        <w:tc>
          <w:tcPr>
            <w:tcW w:w="946" w:type="dxa"/>
            <w:noWrap w:val="0"/>
            <w:vAlign w:val="center"/>
          </w:tcPr>
          <w:p w14:paraId="1F068210">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毛永良</w:t>
            </w:r>
          </w:p>
        </w:tc>
        <w:tc>
          <w:tcPr>
            <w:tcW w:w="1574" w:type="dxa"/>
            <w:noWrap w:val="0"/>
            <w:vAlign w:val="center"/>
          </w:tcPr>
          <w:p w14:paraId="32FE3308">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15009118628</w:t>
            </w:r>
          </w:p>
        </w:tc>
      </w:tr>
      <w:tr w14:paraId="1CAC7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31668191">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19</w:t>
            </w:r>
          </w:p>
        </w:tc>
        <w:tc>
          <w:tcPr>
            <w:tcW w:w="2041" w:type="dxa"/>
            <w:noWrap w:val="0"/>
            <w:vAlign w:val="center"/>
          </w:tcPr>
          <w:p w14:paraId="5947F184">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黄龙联社</w:t>
            </w:r>
          </w:p>
        </w:tc>
        <w:tc>
          <w:tcPr>
            <w:tcW w:w="3640" w:type="dxa"/>
            <w:noWrap w:val="0"/>
            <w:vAlign w:val="center"/>
          </w:tcPr>
          <w:p w14:paraId="52523262">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黄龙县石堡镇广场大街40号</w:t>
            </w:r>
          </w:p>
        </w:tc>
        <w:tc>
          <w:tcPr>
            <w:tcW w:w="946" w:type="dxa"/>
            <w:noWrap w:val="0"/>
            <w:vAlign w:val="center"/>
          </w:tcPr>
          <w:p w14:paraId="65E07416">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郑国强</w:t>
            </w:r>
          </w:p>
        </w:tc>
        <w:tc>
          <w:tcPr>
            <w:tcW w:w="1574" w:type="dxa"/>
            <w:noWrap w:val="0"/>
            <w:vAlign w:val="center"/>
          </w:tcPr>
          <w:p w14:paraId="1636054B">
            <w:pPr>
              <w:keepNext w:val="0"/>
              <w:keepLines w:val="0"/>
              <w:pageBreakBefore w:val="0"/>
              <w:widowControl w:val="0"/>
              <w:shd w:val="clear" w:color="auto" w:fill="auto"/>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pPr>
            <w:r>
              <w:rPr>
                <w:rFonts w:hint="eastAsia" w:ascii="仿宋_GB2312" w:hAnsi="仿宋_GB2312" w:eastAsia="仿宋_GB2312" w:cs="仿宋_GB2312"/>
                <w:i w:val="0"/>
                <w:caps w:val="0"/>
                <w:color w:val="auto"/>
                <w:spacing w:val="0"/>
                <w:kern w:val="0"/>
                <w:sz w:val="18"/>
                <w:szCs w:val="18"/>
                <w:highlight w:val="none"/>
                <w:shd w:val="clear" w:color="auto" w:fill="FFFFFF"/>
                <w:vertAlign w:val="baseline"/>
                <w:lang w:val="en-US" w:eastAsia="zh-CN" w:bidi="ar-SA"/>
              </w:rPr>
              <w:t>15991595662</w:t>
            </w:r>
          </w:p>
        </w:tc>
      </w:tr>
    </w:tbl>
    <w:p w14:paraId="794B4BD3">
      <w:pPr>
        <w:pStyle w:val="6"/>
        <w:keepNext/>
        <w:keepLines/>
        <w:pageBreakBefore w:val="0"/>
        <w:widowControl w:val="0"/>
        <w:shd w:val="clear" w:color="auto" w:fill="auto"/>
        <w:kinsoku/>
        <w:wordWrap/>
        <w:overflowPunct/>
        <w:topLinePunct w:val="0"/>
        <w:autoSpaceDE w:val="0"/>
        <w:autoSpaceDN w:val="0"/>
        <w:bidi w:val="0"/>
        <w:adjustRightInd w:val="0"/>
        <w:snapToGrid/>
        <w:spacing w:before="157" w:beforeLines="50"/>
        <w:ind w:firstLine="0" w:firstLineChars="0"/>
        <w:textAlignment w:val="auto"/>
        <w:rPr>
          <w:rFonts w:ascii="Times New Roman" w:hAnsi="Times New Roman" w:eastAsia="仿宋_GB2312"/>
          <w:color w:val="auto"/>
          <w:sz w:val="24"/>
          <w:szCs w:val="24"/>
          <w:highlight w:val="none"/>
        </w:rPr>
      </w:pPr>
      <w:bookmarkStart w:id="308" w:name="_Toc2583661"/>
      <w:bookmarkStart w:id="309" w:name="_Toc62194336"/>
      <w:bookmarkStart w:id="310" w:name="_Toc30381"/>
      <w:bookmarkStart w:id="311" w:name="_Toc518923100"/>
      <w:r>
        <w:rPr>
          <w:rFonts w:ascii="Times New Roman" w:hAnsi="Times New Roman" w:eastAsia="仿宋_GB2312"/>
          <w:color w:val="auto"/>
          <w:sz w:val="24"/>
          <w:szCs w:val="24"/>
          <w:highlight w:val="none"/>
        </w:rPr>
        <w:t>35.    廉洁自律规定</w:t>
      </w:r>
      <w:bookmarkEnd w:id="308"/>
      <w:bookmarkEnd w:id="309"/>
      <w:bookmarkEnd w:id="310"/>
      <w:bookmarkEnd w:id="311"/>
    </w:p>
    <w:p w14:paraId="7631EDC0">
      <w:pPr>
        <w:shd w:val="clear" w:color="auto" w:fill="auto"/>
        <w:spacing w:line="360" w:lineRule="auto"/>
        <w:ind w:left="840" w:hanging="840" w:hangingChars="350"/>
        <w:rPr>
          <w:rFonts w:eastAsia="仿宋_GB2312"/>
          <w:color w:val="auto"/>
          <w:sz w:val="24"/>
          <w:highlight w:val="none"/>
        </w:rPr>
      </w:pPr>
      <w:r>
        <w:rPr>
          <w:rFonts w:eastAsia="仿宋_GB2312"/>
          <w:color w:val="auto"/>
          <w:sz w:val="24"/>
          <w:highlight w:val="none"/>
        </w:rPr>
        <w:t>35.1   采购代理机构工作人员不得以不正当手段获取政府采购代理业务，不得与采购人、</w:t>
      </w:r>
      <w:r>
        <w:rPr>
          <w:rFonts w:hint="eastAsia" w:eastAsia="仿宋_GB2312"/>
          <w:color w:val="auto"/>
          <w:sz w:val="24"/>
          <w:highlight w:val="none"/>
        </w:rPr>
        <w:t>投标人</w:t>
      </w:r>
      <w:r>
        <w:rPr>
          <w:rFonts w:eastAsia="仿宋_GB2312"/>
          <w:color w:val="auto"/>
          <w:sz w:val="24"/>
          <w:highlight w:val="none"/>
        </w:rPr>
        <w:t>恶意串通。</w:t>
      </w:r>
    </w:p>
    <w:p w14:paraId="07967813">
      <w:pPr>
        <w:shd w:val="clear" w:color="auto" w:fill="auto"/>
        <w:spacing w:line="360" w:lineRule="auto"/>
        <w:ind w:left="840" w:hanging="840" w:hangingChars="350"/>
        <w:rPr>
          <w:rFonts w:eastAsia="仿宋_GB2312"/>
          <w:color w:val="auto"/>
          <w:sz w:val="24"/>
          <w:highlight w:val="none"/>
        </w:rPr>
      </w:pPr>
      <w:r>
        <w:rPr>
          <w:rFonts w:eastAsia="仿宋_GB2312"/>
          <w:color w:val="auto"/>
          <w:sz w:val="24"/>
          <w:highlight w:val="none"/>
        </w:rPr>
        <w:t>35.2   采购代理机构工作人员不得接受采购人或者</w:t>
      </w:r>
      <w:r>
        <w:rPr>
          <w:rFonts w:hint="eastAsia" w:eastAsia="仿宋_GB2312"/>
          <w:color w:val="auto"/>
          <w:sz w:val="24"/>
          <w:highlight w:val="none"/>
        </w:rPr>
        <w:t>投标人</w:t>
      </w:r>
      <w:r>
        <w:rPr>
          <w:rFonts w:eastAsia="仿宋_GB2312"/>
          <w:color w:val="auto"/>
          <w:sz w:val="24"/>
          <w:highlight w:val="none"/>
        </w:rPr>
        <w:t>组织的宴请、旅游、娱乐，不得收受礼品、现金、有价证券等，不得向采购人或者</w:t>
      </w:r>
      <w:r>
        <w:rPr>
          <w:rFonts w:hint="eastAsia" w:eastAsia="仿宋_GB2312"/>
          <w:color w:val="auto"/>
          <w:sz w:val="24"/>
          <w:highlight w:val="none"/>
        </w:rPr>
        <w:t>投标人</w:t>
      </w:r>
      <w:r>
        <w:rPr>
          <w:rFonts w:eastAsia="仿宋_GB2312"/>
          <w:color w:val="auto"/>
          <w:sz w:val="24"/>
          <w:highlight w:val="none"/>
        </w:rPr>
        <w:t>报销应当由个人承担的费用。</w:t>
      </w:r>
    </w:p>
    <w:p w14:paraId="4DAAE890">
      <w:pPr>
        <w:pStyle w:val="6"/>
        <w:shd w:val="clear" w:color="auto" w:fill="auto"/>
        <w:ind w:firstLine="0" w:firstLineChars="0"/>
        <w:rPr>
          <w:rFonts w:ascii="Times New Roman" w:hAnsi="Times New Roman" w:eastAsia="仿宋_GB2312"/>
          <w:color w:val="auto"/>
          <w:sz w:val="24"/>
          <w:szCs w:val="24"/>
          <w:highlight w:val="none"/>
        </w:rPr>
      </w:pPr>
      <w:bookmarkStart w:id="312" w:name="_Toc62194337"/>
      <w:bookmarkStart w:id="313" w:name="_Toc2583662"/>
      <w:bookmarkStart w:id="314" w:name="_Toc11865"/>
      <w:bookmarkStart w:id="315" w:name="_Toc518923101"/>
      <w:r>
        <w:rPr>
          <w:rFonts w:ascii="Times New Roman" w:hAnsi="Times New Roman" w:eastAsia="仿宋_GB2312"/>
          <w:color w:val="auto"/>
          <w:sz w:val="24"/>
          <w:szCs w:val="24"/>
          <w:highlight w:val="none"/>
        </w:rPr>
        <w:t>36.    人员回避</w:t>
      </w:r>
      <w:bookmarkEnd w:id="312"/>
      <w:bookmarkEnd w:id="313"/>
      <w:bookmarkEnd w:id="314"/>
      <w:bookmarkEnd w:id="315"/>
    </w:p>
    <w:p w14:paraId="3A3A10B8">
      <w:pPr>
        <w:shd w:val="clear" w:color="auto" w:fill="auto"/>
        <w:spacing w:line="360" w:lineRule="auto"/>
        <w:ind w:left="840" w:leftChars="400"/>
        <w:rPr>
          <w:rFonts w:eastAsia="仿宋_GB2312"/>
          <w:color w:val="auto"/>
          <w:sz w:val="24"/>
          <w:highlight w:val="none"/>
        </w:rPr>
      </w:pPr>
      <w:r>
        <w:rPr>
          <w:rFonts w:eastAsia="仿宋_GB2312"/>
          <w:color w:val="auto"/>
          <w:sz w:val="24"/>
          <w:highlight w:val="none"/>
        </w:rPr>
        <w:t>潜在投标人认为招标文件使自己的权益受到损害的，投标人认为采购人员及其相关人员有法律法规所列与其他</w:t>
      </w:r>
      <w:r>
        <w:rPr>
          <w:rFonts w:hint="eastAsia" w:eastAsia="仿宋_GB2312"/>
          <w:color w:val="auto"/>
          <w:sz w:val="24"/>
          <w:highlight w:val="none"/>
        </w:rPr>
        <w:t>投标人</w:t>
      </w:r>
      <w:r>
        <w:rPr>
          <w:rFonts w:eastAsia="仿宋_GB2312"/>
          <w:color w:val="auto"/>
          <w:sz w:val="24"/>
          <w:highlight w:val="none"/>
        </w:rPr>
        <w:t>有利害关系的，均可以向采购人或采购代理机构书面提出回避申请，并说明理由。</w:t>
      </w:r>
    </w:p>
    <w:p w14:paraId="166E7AD4">
      <w:pPr>
        <w:pStyle w:val="6"/>
        <w:shd w:val="clear" w:color="auto" w:fill="auto"/>
        <w:ind w:firstLine="0" w:firstLineChars="0"/>
        <w:rPr>
          <w:rFonts w:ascii="Times New Roman" w:hAnsi="Times New Roman" w:eastAsia="仿宋_GB2312"/>
          <w:color w:val="auto"/>
          <w:sz w:val="24"/>
          <w:szCs w:val="24"/>
          <w:highlight w:val="none"/>
        </w:rPr>
      </w:pPr>
      <w:bookmarkStart w:id="316" w:name="_Toc2583663"/>
      <w:bookmarkStart w:id="317" w:name="_Toc27677"/>
      <w:bookmarkStart w:id="318" w:name="_Toc518923102"/>
      <w:bookmarkStart w:id="319" w:name="_Toc62194338"/>
      <w:r>
        <w:rPr>
          <w:rFonts w:ascii="Times New Roman" w:hAnsi="Times New Roman" w:eastAsia="仿宋_GB2312"/>
          <w:color w:val="auto"/>
          <w:sz w:val="24"/>
          <w:szCs w:val="24"/>
          <w:highlight w:val="none"/>
        </w:rPr>
        <w:t>37.    质疑的提出与接收</w:t>
      </w:r>
      <w:bookmarkEnd w:id="316"/>
      <w:bookmarkEnd w:id="317"/>
      <w:bookmarkEnd w:id="318"/>
      <w:bookmarkEnd w:id="319"/>
    </w:p>
    <w:p w14:paraId="03882214">
      <w:pPr>
        <w:shd w:val="clear" w:color="auto" w:fill="auto"/>
        <w:spacing w:line="360" w:lineRule="auto"/>
        <w:ind w:left="840" w:hanging="840" w:hangingChars="350"/>
        <w:rPr>
          <w:rFonts w:eastAsia="仿宋_GB2312"/>
          <w:color w:val="auto"/>
          <w:sz w:val="24"/>
          <w:highlight w:val="none"/>
        </w:rPr>
      </w:pPr>
      <w:r>
        <w:rPr>
          <w:rFonts w:eastAsia="仿宋_GB2312"/>
          <w:color w:val="auto"/>
          <w:sz w:val="24"/>
          <w:highlight w:val="none"/>
        </w:rPr>
        <w:t>37.1   投标人认为招标文件、招标过程和中标结果使自己的权益受到损害的，可以根据《中华人民共和国政府采购法》、《中华人民共和国政府采购法实施条例》和《政府采购质疑和投诉办法》的有关规定，依法向采购人或其委托的采购代理机构提出质疑。</w:t>
      </w:r>
    </w:p>
    <w:p w14:paraId="41043154">
      <w:pPr>
        <w:shd w:val="clear" w:color="auto" w:fill="auto"/>
        <w:spacing w:line="360" w:lineRule="auto"/>
        <w:ind w:left="840" w:hanging="840" w:hangingChars="350"/>
        <w:rPr>
          <w:rFonts w:eastAsia="仿宋_GB2312"/>
          <w:color w:val="auto"/>
          <w:sz w:val="24"/>
          <w:highlight w:val="none"/>
        </w:rPr>
      </w:pPr>
      <w:r>
        <w:rPr>
          <w:rFonts w:eastAsia="仿宋_GB2312"/>
          <w:color w:val="auto"/>
          <w:sz w:val="24"/>
          <w:highlight w:val="none"/>
        </w:rPr>
        <w:t xml:space="preserve">37.2   </w:t>
      </w:r>
      <w:r>
        <w:rPr>
          <w:rFonts w:hint="eastAsia" w:eastAsia="仿宋_GB2312"/>
          <w:color w:val="auto"/>
          <w:sz w:val="24"/>
          <w:highlight w:val="none"/>
          <w:lang w:val="en-US" w:eastAsia="zh-CN"/>
        </w:rPr>
        <w:t>投标</w:t>
      </w:r>
      <w:r>
        <w:rPr>
          <w:rFonts w:hint="eastAsia" w:eastAsia="仿宋_GB2312"/>
          <w:color w:val="auto"/>
          <w:sz w:val="24"/>
          <w:highlight w:val="none"/>
        </w:rPr>
        <w:t>人</w:t>
      </w:r>
      <w:r>
        <w:rPr>
          <w:rFonts w:eastAsia="仿宋_GB2312"/>
          <w:color w:val="auto"/>
          <w:sz w:val="24"/>
          <w:highlight w:val="none"/>
        </w:rPr>
        <w:t>应按照财政部制定的《政府采购质疑函范本》格式（可从</w:t>
      </w:r>
      <w:r>
        <w:rPr>
          <w:rFonts w:hint="eastAsia" w:eastAsia="仿宋_GB2312"/>
          <w:color w:val="auto"/>
          <w:sz w:val="24"/>
          <w:highlight w:val="none"/>
          <w:lang w:val="en-US" w:eastAsia="zh-CN"/>
        </w:rPr>
        <w:t>中国政府采购网首页下载专区</w:t>
      </w:r>
      <w:r>
        <w:rPr>
          <w:rFonts w:eastAsia="仿宋_GB2312"/>
          <w:color w:val="auto"/>
          <w:sz w:val="24"/>
          <w:highlight w:val="none"/>
        </w:rPr>
        <w:t>下载）和《政府采购质疑和投诉办法》的要求，在法定质疑期内以书面形式提出质疑，针对同一采购程序环节的质疑应一次性提出。</w:t>
      </w:r>
    </w:p>
    <w:p w14:paraId="078DE775">
      <w:pPr>
        <w:shd w:val="clear" w:color="auto" w:fill="auto"/>
        <w:spacing w:line="360" w:lineRule="auto"/>
        <w:ind w:left="840" w:leftChars="400"/>
        <w:rPr>
          <w:rFonts w:eastAsia="仿宋_GB2312"/>
          <w:color w:val="auto"/>
          <w:sz w:val="24"/>
          <w:highlight w:val="none"/>
        </w:rPr>
      </w:pPr>
      <w:r>
        <w:rPr>
          <w:rFonts w:eastAsia="仿宋_GB2312"/>
          <w:color w:val="auto"/>
          <w:sz w:val="24"/>
          <w:highlight w:val="none"/>
        </w:rPr>
        <w:t>超出法定质疑期提交的质疑将被拒绝。</w:t>
      </w:r>
    </w:p>
    <w:p w14:paraId="3887ED1B">
      <w:pPr>
        <w:shd w:val="clear" w:color="auto" w:fill="auto"/>
        <w:spacing w:line="360" w:lineRule="auto"/>
        <w:ind w:left="851" w:leftChars="405" w:hanging="1"/>
        <w:rPr>
          <w:rFonts w:eastAsia="仿宋_GB2312"/>
          <w:color w:val="auto"/>
          <w:sz w:val="24"/>
          <w:highlight w:val="none"/>
        </w:rPr>
      </w:pPr>
      <w:r>
        <w:rPr>
          <w:rFonts w:eastAsia="仿宋_GB2312"/>
          <w:color w:val="auto"/>
          <w:sz w:val="24"/>
          <w:highlight w:val="none"/>
        </w:rPr>
        <w:t>重复或分次提出的、内容或形式不符合《政府采购质疑和投诉办法》的，质疑</w:t>
      </w:r>
      <w:r>
        <w:rPr>
          <w:rFonts w:hint="eastAsia" w:eastAsia="仿宋_GB2312"/>
          <w:color w:val="auto"/>
          <w:sz w:val="24"/>
          <w:highlight w:val="none"/>
        </w:rPr>
        <w:t>投标人</w:t>
      </w:r>
      <w:r>
        <w:rPr>
          <w:rFonts w:eastAsia="仿宋_GB2312"/>
          <w:color w:val="auto"/>
          <w:sz w:val="24"/>
          <w:highlight w:val="none"/>
        </w:rPr>
        <w:t>将依法承担不利后果。</w:t>
      </w:r>
    </w:p>
    <w:p w14:paraId="49F22A4F">
      <w:pPr>
        <w:shd w:val="clear" w:color="auto" w:fill="auto"/>
        <w:spacing w:line="360" w:lineRule="auto"/>
        <w:rPr>
          <w:rFonts w:eastAsia="仿宋_GB2312"/>
          <w:color w:val="auto"/>
          <w:sz w:val="24"/>
          <w:highlight w:val="none"/>
        </w:rPr>
      </w:pPr>
      <w:r>
        <w:rPr>
          <w:rFonts w:eastAsia="仿宋_GB2312"/>
          <w:color w:val="auto"/>
          <w:sz w:val="24"/>
          <w:highlight w:val="none"/>
        </w:rPr>
        <w:t xml:space="preserve">37.3   </w:t>
      </w:r>
      <w:r>
        <w:rPr>
          <w:rFonts w:hint="eastAsia" w:eastAsia="仿宋_GB2312"/>
          <w:color w:val="auto"/>
          <w:sz w:val="24"/>
          <w:highlight w:val="none"/>
        </w:rPr>
        <w:t>投标人</w:t>
      </w:r>
      <w:r>
        <w:rPr>
          <w:rFonts w:eastAsia="仿宋_GB2312"/>
          <w:color w:val="auto"/>
          <w:sz w:val="24"/>
          <w:highlight w:val="none"/>
        </w:rPr>
        <w:t>提交质疑函的要求</w:t>
      </w:r>
    </w:p>
    <w:p w14:paraId="08FE5077">
      <w:pPr>
        <w:shd w:val="clear" w:color="auto" w:fill="auto"/>
        <w:spacing w:line="360" w:lineRule="auto"/>
        <w:rPr>
          <w:rFonts w:eastAsia="仿宋_GB2312"/>
          <w:color w:val="auto"/>
          <w:sz w:val="24"/>
          <w:highlight w:val="none"/>
        </w:rPr>
      </w:pPr>
      <w:r>
        <w:rPr>
          <w:rFonts w:eastAsia="仿宋_GB2312"/>
          <w:color w:val="auto"/>
          <w:sz w:val="24"/>
          <w:highlight w:val="none"/>
        </w:rPr>
        <w:t xml:space="preserve">37.3.1 </w:t>
      </w:r>
      <w:r>
        <w:rPr>
          <w:rFonts w:hint="eastAsia" w:eastAsia="仿宋_GB2312"/>
          <w:color w:val="auto"/>
          <w:sz w:val="24"/>
          <w:highlight w:val="none"/>
          <w:lang w:val="en-US" w:eastAsia="zh-CN"/>
        </w:rPr>
        <w:t xml:space="preserve"> </w:t>
      </w:r>
      <w:r>
        <w:rPr>
          <w:rFonts w:hint="eastAsia" w:eastAsia="仿宋_GB2312"/>
          <w:color w:val="auto"/>
          <w:sz w:val="24"/>
          <w:highlight w:val="none"/>
        </w:rPr>
        <w:t>投标人</w:t>
      </w:r>
      <w:r>
        <w:rPr>
          <w:rFonts w:eastAsia="仿宋_GB2312"/>
          <w:color w:val="auto"/>
          <w:sz w:val="24"/>
          <w:highlight w:val="none"/>
        </w:rPr>
        <w:t>提出质疑时，应提交质疑函和必要的证明材料。</w:t>
      </w:r>
    </w:p>
    <w:p w14:paraId="73A1B949">
      <w:pPr>
        <w:shd w:val="clear" w:color="auto" w:fill="auto"/>
        <w:spacing w:line="360" w:lineRule="auto"/>
        <w:ind w:left="850" w:hanging="849" w:hangingChars="354"/>
        <w:rPr>
          <w:rFonts w:eastAsia="仿宋_GB2312"/>
          <w:color w:val="auto"/>
          <w:sz w:val="24"/>
          <w:highlight w:val="none"/>
        </w:rPr>
      </w:pPr>
      <w:r>
        <w:rPr>
          <w:rFonts w:eastAsia="仿宋_GB2312"/>
          <w:color w:val="auto"/>
          <w:sz w:val="24"/>
          <w:highlight w:val="none"/>
        </w:rPr>
        <w:t xml:space="preserve">37.3.2 </w:t>
      </w:r>
      <w:r>
        <w:rPr>
          <w:rFonts w:hint="eastAsia" w:eastAsia="仿宋_GB2312"/>
          <w:color w:val="auto"/>
          <w:sz w:val="24"/>
          <w:highlight w:val="none"/>
          <w:lang w:val="en-US" w:eastAsia="zh-CN"/>
        </w:rPr>
        <w:t xml:space="preserve"> </w:t>
      </w:r>
      <w:r>
        <w:rPr>
          <w:rFonts w:eastAsia="仿宋_GB2312"/>
          <w:color w:val="auto"/>
          <w:sz w:val="24"/>
          <w:highlight w:val="none"/>
        </w:rPr>
        <w:t>质疑</w:t>
      </w:r>
      <w:r>
        <w:rPr>
          <w:rFonts w:hint="eastAsia" w:eastAsia="仿宋_GB2312"/>
          <w:color w:val="auto"/>
          <w:sz w:val="24"/>
          <w:highlight w:val="none"/>
        </w:rPr>
        <w:t>投标人</w:t>
      </w:r>
      <w:r>
        <w:rPr>
          <w:rFonts w:eastAsia="仿宋_GB2312"/>
          <w:color w:val="auto"/>
          <w:sz w:val="24"/>
          <w:highlight w:val="none"/>
        </w:rPr>
        <w:t>若委托代理人进行质疑的，质疑函应按要求列明“授权代表”的有关内容，并在附件中提交由质疑</w:t>
      </w:r>
      <w:r>
        <w:rPr>
          <w:rFonts w:hint="eastAsia" w:eastAsia="仿宋_GB2312"/>
          <w:color w:val="auto"/>
          <w:sz w:val="24"/>
          <w:highlight w:val="none"/>
        </w:rPr>
        <w:t>投标人</w:t>
      </w:r>
      <w:r>
        <w:rPr>
          <w:rFonts w:eastAsia="仿宋_GB2312"/>
          <w:color w:val="auto"/>
          <w:sz w:val="24"/>
          <w:highlight w:val="none"/>
        </w:rPr>
        <w:t>签署的授权委托书。授权委托书应载明代理人的姓名、代理事项、具体权限、期限和相关事项。</w:t>
      </w:r>
    </w:p>
    <w:p w14:paraId="2241ADDA">
      <w:pPr>
        <w:shd w:val="clear" w:color="auto" w:fill="auto"/>
        <w:spacing w:line="360" w:lineRule="auto"/>
        <w:rPr>
          <w:rFonts w:eastAsia="仿宋_GB2312"/>
          <w:color w:val="auto"/>
          <w:sz w:val="24"/>
          <w:highlight w:val="none"/>
        </w:rPr>
      </w:pPr>
      <w:r>
        <w:rPr>
          <w:rFonts w:eastAsia="仿宋_GB2312"/>
          <w:color w:val="auto"/>
          <w:sz w:val="24"/>
          <w:highlight w:val="none"/>
        </w:rPr>
        <w:t xml:space="preserve">37.3.3 </w:t>
      </w:r>
      <w:r>
        <w:rPr>
          <w:rFonts w:hint="eastAsia" w:eastAsia="仿宋_GB2312"/>
          <w:color w:val="auto"/>
          <w:sz w:val="24"/>
          <w:highlight w:val="none"/>
          <w:lang w:val="en-US" w:eastAsia="zh-CN"/>
        </w:rPr>
        <w:t xml:space="preserve"> </w:t>
      </w:r>
      <w:r>
        <w:rPr>
          <w:rFonts w:eastAsia="仿宋_GB2312"/>
          <w:color w:val="auto"/>
          <w:sz w:val="24"/>
          <w:highlight w:val="none"/>
        </w:rPr>
        <w:t>质疑</w:t>
      </w:r>
      <w:r>
        <w:rPr>
          <w:rFonts w:hint="eastAsia" w:eastAsia="仿宋_GB2312"/>
          <w:color w:val="auto"/>
          <w:sz w:val="24"/>
          <w:highlight w:val="none"/>
        </w:rPr>
        <w:t>投标人</w:t>
      </w:r>
      <w:r>
        <w:rPr>
          <w:rFonts w:eastAsia="仿宋_GB2312"/>
          <w:color w:val="auto"/>
          <w:sz w:val="24"/>
          <w:highlight w:val="none"/>
        </w:rPr>
        <w:t>若对项目的某一分包进行质疑，质疑函中应列明具体分包号。</w:t>
      </w:r>
    </w:p>
    <w:p w14:paraId="46F195D6">
      <w:pPr>
        <w:shd w:val="clear" w:color="auto" w:fill="auto"/>
        <w:spacing w:line="360" w:lineRule="auto"/>
        <w:rPr>
          <w:rFonts w:eastAsia="仿宋_GB2312"/>
          <w:color w:val="auto"/>
          <w:sz w:val="24"/>
          <w:highlight w:val="none"/>
        </w:rPr>
      </w:pPr>
      <w:r>
        <w:rPr>
          <w:rFonts w:eastAsia="仿宋_GB2312"/>
          <w:color w:val="auto"/>
          <w:sz w:val="24"/>
          <w:highlight w:val="none"/>
        </w:rPr>
        <w:t xml:space="preserve">37.3.4 </w:t>
      </w:r>
      <w:r>
        <w:rPr>
          <w:rFonts w:hint="eastAsia" w:eastAsia="仿宋_GB2312"/>
          <w:color w:val="auto"/>
          <w:sz w:val="24"/>
          <w:highlight w:val="none"/>
          <w:lang w:val="en-US" w:eastAsia="zh-CN"/>
        </w:rPr>
        <w:t xml:space="preserve"> </w:t>
      </w:r>
      <w:r>
        <w:rPr>
          <w:rFonts w:eastAsia="仿宋_GB2312"/>
          <w:color w:val="auto"/>
          <w:sz w:val="24"/>
          <w:highlight w:val="none"/>
        </w:rPr>
        <w:t>质疑函的质疑请求应与质疑事项相关。</w:t>
      </w:r>
    </w:p>
    <w:p w14:paraId="7C590C75">
      <w:pPr>
        <w:shd w:val="clear" w:color="auto" w:fill="auto"/>
        <w:spacing w:line="360" w:lineRule="auto"/>
        <w:rPr>
          <w:rFonts w:eastAsia="仿宋_GB2312"/>
          <w:color w:val="auto"/>
          <w:sz w:val="24"/>
          <w:highlight w:val="none"/>
        </w:rPr>
      </w:pPr>
      <w:r>
        <w:rPr>
          <w:rFonts w:eastAsia="仿宋_GB2312"/>
          <w:color w:val="auto"/>
          <w:sz w:val="24"/>
          <w:highlight w:val="none"/>
        </w:rPr>
        <w:t xml:space="preserve">37.3.5 </w:t>
      </w:r>
      <w:r>
        <w:rPr>
          <w:rFonts w:hint="eastAsia" w:eastAsia="仿宋_GB2312"/>
          <w:color w:val="auto"/>
          <w:sz w:val="24"/>
          <w:highlight w:val="none"/>
          <w:lang w:val="en-US" w:eastAsia="zh-CN"/>
        </w:rPr>
        <w:t xml:space="preserve"> </w:t>
      </w:r>
      <w:r>
        <w:rPr>
          <w:rFonts w:eastAsia="仿宋_GB2312"/>
          <w:color w:val="auto"/>
          <w:sz w:val="24"/>
          <w:highlight w:val="none"/>
        </w:rPr>
        <w:t>质疑函的质疑事项应具体、明确，并有必要的事实依据。</w:t>
      </w:r>
    </w:p>
    <w:p w14:paraId="69F910CD">
      <w:pPr>
        <w:shd w:val="clear" w:color="auto" w:fill="auto"/>
        <w:spacing w:line="360" w:lineRule="auto"/>
        <w:ind w:left="840" w:hanging="840" w:hangingChars="350"/>
        <w:rPr>
          <w:rFonts w:eastAsia="仿宋_GB2312"/>
          <w:color w:val="auto"/>
          <w:sz w:val="24"/>
          <w:highlight w:val="none"/>
        </w:rPr>
      </w:pPr>
      <w:r>
        <w:rPr>
          <w:rFonts w:eastAsia="仿宋_GB2312"/>
          <w:color w:val="auto"/>
          <w:sz w:val="24"/>
          <w:highlight w:val="none"/>
        </w:rPr>
        <w:t xml:space="preserve">37.3.6 </w:t>
      </w:r>
      <w:r>
        <w:rPr>
          <w:rFonts w:hint="eastAsia" w:eastAsia="仿宋_GB2312"/>
          <w:color w:val="auto"/>
          <w:sz w:val="24"/>
          <w:highlight w:val="none"/>
          <w:lang w:val="en-US" w:eastAsia="zh-CN"/>
        </w:rPr>
        <w:t xml:space="preserve"> </w:t>
      </w:r>
      <w:r>
        <w:rPr>
          <w:rFonts w:eastAsia="仿宋_GB2312"/>
          <w:color w:val="auto"/>
          <w:sz w:val="24"/>
          <w:highlight w:val="none"/>
        </w:rPr>
        <w:t>质疑</w:t>
      </w:r>
      <w:r>
        <w:rPr>
          <w:rFonts w:hint="eastAsia" w:eastAsia="仿宋_GB2312"/>
          <w:color w:val="auto"/>
          <w:sz w:val="24"/>
          <w:highlight w:val="none"/>
        </w:rPr>
        <w:t>投标人</w:t>
      </w:r>
      <w:r>
        <w:rPr>
          <w:rFonts w:eastAsia="仿宋_GB2312"/>
          <w:color w:val="auto"/>
          <w:sz w:val="24"/>
          <w:highlight w:val="none"/>
        </w:rPr>
        <w:t>为自然人的，质疑函应由本人签字，质疑</w:t>
      </w:r>
      <w:r>
        <w:rPr>
          <w:rFonts w:hint="eastAsia" w:eastAsia="仿宋_GB2312"/>
          <w:color w:val="auto"/>
          <w:sz w:val="24"/>
          <w:highlight w:val="none"/>
        </w:rPr>
        <w:t>投标人</w:t>
      </w:r>
      <w:r>
        <w:rPr>
          <w:rFonts w:eastAsia="仿宋_GB2312"/>
          <w:color w:val="auto"/>
          <w:sz w:val="24"/>
          <w:highlight w:val="none"/>
        </w:rPr>
        <w:t>为法人或其他组织的，质疑函应由法定代表人、主要负责人，或者其授权代表签字或盖章，并加盖公章。授权代表签字的需提供相应的授权书。</w:t>
      </w:r>
    </w:p>
    <w:p w14:paraId="2CE4DA3D">
      <w:pPr>
        <w:shd w:val="clear" w:color="auto" w:fill="auto"/>
        <w:spacing w:line="360" w:lineRule="auto"/>
        <w:rPr>
          <w:rFonts w:eastAsia="仿宋_GB2312"/>
          <w:color w:val="auto"/>
          <w:sz w:val="24"/>
          <w:highlight w:val="none"/>
          <w:u w:val="single"/>
        </w:rPr>
        <w:sectPr>
          <w:footerReference r:id="rId5" w:type="default"/>
          <w:pgSz w:w="11906" w:h="16838"/>
          <w:pgMar w:top="1418" w:right="1418" w:bottom="1418" w:left="1418" w:header="851" w:footer="992" w:gutter="0"/>
          <w:pgNumType w:start="1"/>
          <w:cols w:space="720" w:num="1"/>
          <w:docGrid w:type="linesAndChars" w:linePitch="312" w:charSpace="0"/>
        </w:sectPr>
      </w:pPr>
      <w:r>
        <w:rPr>
          <w:rFonts w:eastAsia="仿宋_GB2312"/>
          <w:color w:val="auto"/>
          <w:sz w:val="24"/>
          <w:highlight w:val="none"/>
        </w:rPr>
        <w:t>37.4   质疑函接收部门、联系电话和通讯地址</w:t>
      </w:r>
      <w:r>
        <w:rPr>
          <w:rFonts w:hint="eastAsia" w:eastAsia="仿宋_GB2312"/>
          <w:color w:val="auto"/>
          <w:sz w:val="24"/>
          <w:highlight w:val="none"/>
        </w:rPr>
        <w:t>，</w:t>
      </w:r>
      <w:r>
        <w:rPr>
          <w:rFonts w:eastAsia="仿宋_GB2312"/>
          <w:color w:val="auto"/>
          <w:sz w:val="24"/>
          <w:highlight w:val="none"/>
        </w:rPr>
        <w:t xml:space="preserve"> 见</w:t>
      </w:r>
      <w:r>
        <w:rPr>
          <w:rFonts w:eastAsia="仿宋_GB2312"/>
          <w:color w:val="auto"/>
          <w:sz w:val="24"/>
          <w:highlight w:val="none"/>
          <w:u w:val="single"/>
        </w:rPr>
        <w:t>投标人须知前附表。</w:t>
      </w:r>
      <w:bookmarkEnd w:id="297"/>
      <w:bookmarkEnd w:id="298"/>
      <w:bookmarkEnd w:id="299"/>
      <w:bookmarkEnd w:id="300"/>
      <w:bookmarkEnd w:id="301"/>
      <w:bookmarkStart w:id="320" w:name="_Toc62194339"/>
    </w:p>
    <w:p w14:paraId="5622A9B3">
      <w:pPr>
        <w:pStyle w:val="3"/>
        <w:shd w:val="clear" w:color="auto" w:fill="auto"/>
        <w:jc w:val="both"/>
        <w:rPr>
          <w:rFonts w:ascii="Times New Roman" w:hAnsi="Times New Roman"/>
          <w:color w:val="auto"/>
          <w:szCs w:val="24"/>
          <w:highlight w:val="none"/>
        </w:rPr>
      </w:pPr>
      <w:bookmarkStart w:id="321" w:name="_Toc12710"/>
      <w:r>
        <w:rPr>
          <w:rStyle w:val="54"/>
          <w:rFonts w:ascii="Times New Roman" w:hAnsi="Times New Roman" w:eastAsia="仿宋_GB2312"/>
          <w:bCs/>
          <w:color w:val="auto"/>
          <w:sz w:val="28"/>
          <w:szCs w:val="22"/>
          <w:highlight w:val="none"/>
        </w:rPr>
        <w:t>附件1：投标担保函</w:t>
      </w:r>
      <w:bookmarkEnd w:id="320"/>
      <w:bookmarkEnd w:id="321"/>
    </w:p>
    <w:p w14:paraId="3E853FFF">
      <w:pPr>
        <w:pStyle w:val="7"/>
        <w:shd w:val="clear" w:color="auto" w:fill="auto"/>
        <w:snapToGrid w:val="0"/>
        <w:spacing w:line="288" w:lineRule="auto"/>
        <w:jc w:val="center"/>
        <w:rPr>
          <w:rFonts w:ascii="Times New Roman" w:eastAsia="仿宋_GB2312"/>
          <w:color w:val="auto"/>
          <w:szCs w:val="24"/>
          <w:highlight w:val="none"/>
        </w:rPr>
      </w:pPr>
      <w:r>
        <w:rPr>
          <w:rFonts w:ascii="Times New Roman" w:eastAsia="仿宋_GB2312"/>
          <w:bCs/>
          <w:color w:val="auto"/>
          <w:szCs w:val="24"/>
          <w:highlight w:val="none"/>
        </w:rPr>
        <w:t>（适用于投标保证金保函）</w:t>
      </w:r>
    </w:p>
    <w:p w14:paraId="3CE1FAAC">
      <w:pPr>
        <w:shd w:val="clear" w:color="auto" w:fill="auto"/>
        <w:snapToGrid w:val="0"/>
        <w:spacing w:line="288" w:lineRule="auto"/>
        <w:ind w:right="480"/>
        <w:jc w:val="center"/>
        <w:rPr>
          <w:rFonts w:eastAsia="仿宋_GB2312"/>
          <w:color w:val="auto"/>
          <w:sz w:val="24"/>
          <w:highlight w:val="none"/>
        </w:rPr>
      </w:pPr>
      <w:r>
        <w:rPr>
          <w:rFonts w:eastAsia="仿宋_GB2312"/>
          <w:color w:val="auto"/>
          <w:sz w:val="24"/>
          <w:highlight w:val="none"/>
        </w:rPr>
        <w:t xml:space="preserve">                                             保函编号:</w:t>
      </w:r>
    </w:p>
    <w:p w14:paraId="2E830E60">
      <w:pPr>
        <w:shd w:val="clear" w:color="auto" w:fill="auto"/>
        <w:snapToGrid w:val="0"/>
        <w:spacing w:line="288" w:lineRule="auto"/>
        <w:jc w:val="left"/>
        <w:rPr>
          <w:rFonts w:hint="eastAsia" w:eastAsia="仿宋_GB2312"/>
          <w:color w:val="auto"/>
          <w:sz w:val="24"/>
          <w:highlight w:val="none"/>
          <w:u w:val="single"/>
        </w:rPr>
      </w:pPr>
    </w:p>
    <w:p w14:paraId="30FB2ABC">
      <w:pPr>
        <w:shd w:val="clear" w:color="auto" w:fill="auto"/>
        <w:snapToGrid w:val="0"/>
        <w:spacing w:line="288" w:lineRule="auto"/>
        <w:jc w:val="left"/>
        <w:rPr>
          <w:rFonts w:eastAsia="仿宋_GB2312"/>
          <w:color w:val="auto"/>
          <w:sz w:val="24"/>
          <w:highlight w:val="none"/>
        </w:rPr>
      </w:pPr>
      <w:r>
        <w:rPr>
          <w:rFonts w:eastAsia="仿宋_GB2312"/>
          <w:color w:val="auto"/>
          <w:sz w:val="24"/>
          <w:highlight w:val="none"/>
          <w:u w:val="single"/>
        </w:rPr>
        <w:t>陕西省采购招标有限责任公司</w:t>
      </w:r>
      <w:r>
        <w:rPr>
          <w:rFonts w:hint="eastAsia" w:eastAsia="仿宋_GB2312"/>
          <w:color w:val="auto"/>
          <w:sz w:val="24"/>
          <w:highlight w:val="none"/>
        </w:rPr>
        <w:t>（</w:t>
      </w:r>
      <w:r>
        <w:rPr>
          <w:rFonts w:eastAsia="仿宋_GB2312"/>
          <w:color w:val="auto"/>
          <w:sz w:val="24"/>
          <w:highlight w:val="none"/>
        </w:rPr>
        <w:t>下称受益人</w:t>
      </w:r>
      <w:r>
        <w:rPr>
          <w:rFonts w:hint="eastAsia" w:eastAsia="仿宋_GB2312"/>
          <w:color w:val="auto"/>
          <w:sz w:val="24"/>
          <w:highlight w:val="none"/>
        </w:rPr>
        <w:t>）</w:t>
      </w:r>
      <w:r>
        <w:rPr>
          <w:rFonts w:eastAsia="仿宋_GB2312"/>
          <w:color w:val="auto"/>
          <w:sz w:val="24"/>
          <w:highlight w:val="none"/>
        </w:rPr>
        <w:t>:</w:t>
      </w:r>
    </w:p>
    <w:p w14:paraId="2F88BDB9">
      <w:pPr>
        <w:shd w:val="clear" w:color="auto" w:fill="auto"/>
        <w:snapToGrid w:val="0"/>
        <w:spacing w:line="288" w:lineRule="auto"/>
        <w:jc w:val="left"/>
        <w:rPr>
          <w:rFonts w:eastAsia="仿宋_GB2312"/>
          <w:color w:val="auto"/>
          <w:sz w:val="24"/>
          <w:highlight w:val="none"/>
        </w:rPr>
      </w:pPr>
      <w:r>
        <w:rPr>
          <w:rFonts w:eastAsia="仿宋_GB2312"/>
          <w:color w:val="auto"/>
          <w:sz w:val="24"/>
          <w:highlight w:val="none"/>
        </w:rPr>
        <w:t xml:space="preserve">    鉴于</w:t>
      </w:r>
      <w:r>
        <w:rPr>
          <w:rFonts w:hint="eastAsia" w:eastAsia="仿宋_GB2312"/>
          <w:color w:val="auto"/>
          <w:sz w:val="24"/>
          <w:highlight w:val="none"/>
          <w:u w:val="single"/>
        </w:rPr>
        <w:t xml:space="preserve">   </w:t>
      </w:r>
      <w:r>
        <w:rPr>
          <w:rFonts w:eastAsia="仿宋_GB2312"/>
          <w:color w:val="auto"/>
          <w:sz w:val="24"/>
          <w:highlight w:val="none"/>
          <w:u w:val="single"/>
        </w:rPr>
        <w:t xml:space="preserve"> </w:t>
      </w:r>
      <w:r>
        <w:rPr>
          <w:rFonts w:hint="eastAsia" w:eastAsia="仿宋_GB2312"/>
          <w:color w:val="auto"/>
          <w:sz w:val="24"/>
          <w:highlight w:val="none"/>
        </w:rPr>
        <w:t>（</w:t>
      </w:r>
      <w:r>
        <w:rPr>
          <w:rFonts w:eastAsia="仿宋_GB2312"/>
          <w:color w:val="auto"/>
          <w:sz w:val="24"/>
          <w:highlight w:val="none"/>
        </w:rPr>
        <w:t>下称被保证人</w:t>
      </w:r>
      <w:r>
        <w:rPr>
          <w:rFonts w:hint="eastAsia" w:eastAsia="仿宋_GB2312"/>
          <w:color w:val="auto"/>
          <w:sz w:val="24"/>
          <w:highlight w:val="none"/>
        </w:rPr>
        <w:t>）</w:t>
      </w:r>
      <w:r>
        <w:rPr>
          <w:rFonts w:eastAsia="仿宋_GB2312"/>
          <w:color w:val="auto"/>
          <w:sz w:val="24"/>
          <w:highlight w:val="none"/>
        </w:rPr>
        <w:t>将于</w:t>
      </w:r>
      <w:r>
        <w:rPr>
          <w:rFonts w:eastAsia="仿宋_GB2312"/>
          <w:color w:val="auto"/>
          <w:sz w:val="24"/>
          <w:highlight w:val="none"/>
          <w:u w:val="single"/>
        </w:rPr>
        <w:t>    年 月 日</w:t>
      </w:r>
      <w:r>
        <w:rPr>
          <w:rFonts w:eastAsia="仿宋_GB2312"/>
          <w:color w:val="auto"/>
          <w:sz w:val="24"/>
          <w:highlight w:val="none"/>
        </w:rPr>
        <w:t>参加贵方招标编号为</w:t>
      </w:r>
      <w:r>
        <w:rPr>
          <w:rFonts w:eastAsia="仿宋_GB2312"/>
          <w:color w:val="auto"/>
          <w:sz w:val="24"/>
          <w:highlight w:val="none"/>
          <w:u w:val="single"/>
        </w:rPr>
        <w:t> （采购项目编号）</w:t>
      </w:r>
      <w:r>
        <w:rPr>
          <w:rFonts w:eastAsia="仿宋_GB2312"/>
          <w:color w:val="auto"/>
          <w:sz w:val="24"/>
          <w:highlight w:val="none"/>
        </w:rPr>
        <w:t>的</w:t>
      </w:r>
      <w:r>
        <w:rPr>
          <w:rFonts w:eastAsia="仿宋_GB2312"/>
          <w:color w:val="auto"/>
          <w:sz w:val="24"/>
          <w:highlight w:val="none"/>
          <w:u w:val="single"/>
        </w:rPr>
        <w:t xml:space="preserve"> （项目名称） </w:t>
      </w:r>
      <w:r>
        <w:rPr>
          <w:rFonts w:eastAsia="仿宋_GB2312"/>
          <w:color w:val="auto"/>
          <w:sz w:val="24"/>
          <w:highlight w:val="none"/>
        </w:rPr>
        <w:t>的投标</w:t>
      </w:r>
      <w:r>
        <w:rPr>
          <w:rFonts w:hint="eastAsia" w:eastAsia="仿宋_GB2312"/>
          <w:color w:val="auto"/>
          <w:sz w:val="24"/>
          <w:highlight w:val="none"/>
        </w:rPr>
        <w:t>，</w:t>
      </w:r>
      <w:r>
        <w:rPr>
          <w:rFonts w:eastAsia="仿宋_GB2312"/>
          <w:color w:val="auto"/>
          <w:sz w:val="24"/>
          <w:highlight w:val="none"/>
        </w:rPr>
        <w:t>我方接受被保证人的委托</w:t>
      </w:r>
      <w:r>
        <w:rPr>
          <w:rFonts w:hint="eastAsia" w:eastAsia="仿宋_GB2312"/>
          <w:color w:val="auto"/>
          <w:sz w:val="24"/>
          <w:highlight w:val="none"/>
        </w:rPr>
        <w:t>，</w:t>
      </w:r>
      <w:r>
        <w:rPr>
          <w:rFonts w:eastAsia="仿宋_GB2312"/>
          <w:color w:val="auto"/>
          <w:sz w:val="24"/>
          <w:highlight w:val="none"/>
        </w:rPr>
        <w:t>在此向受益人提供不可撤销的投标保证：</w:t>
      </w:r>
    </w:p>
    <w:p w14:paraId="10E9E836">
      <w:pPr>
        <w:shd w:val="clear" w:color="auto" w:fill="auto"/>
        <w:snapToGrid w:val="0"/>
        <w:spacing w:line="288" w:lineRule="auto"/>
        <w:ind w:firstLine="480" w:firstLineChars="200"/>
        <w:rPr>
          <w:rFonts w:eastAsia="仿宋_GB2312"/>
          <w:color w:val="auto"/>
          <w:sz w:val="24"/>
          <w:highlight w:val="none"/>
        </w:rPr>
      </w:pPr>
      <w:r>
        <w:rPr>
          <w:rFonts w:hint="eastAsia" w:eastAsia="仿宋_GB2312"/>
          <w:color w:val="auto"/>
          <w:sz w:val="24"/>
          <w:highlight w:val="none"/>
        </w:rPr>
        <w:t>一、</w:t>
      </w:r>
      <w:r>
        <w:rPr>
          <w:rFonts w:eastAsia="仿宋_GB2312"/>
          <w:color w:val="auto"/>
          <w:sz w:val="24"/>
          <w:highlight w:val="none"/>
        </w:rPr>
        <w:t>本保证担保的担保金额为</w:t>
      </w:r>
      <w:r>
        <w:rPr>
          <w:rFonts w:eastAsia="仿宋_GB2312"/>
          <w:color w:val="auto"/>
          <w:sz w:val="24"/>
          <w:highlight w:val="none"/>
          <w:u w:val="single"/>
        </w:rPr>
        <w:t>人民币</w:t>
      </w:r>
      <w:r>
        <w:rPr>
          <w:rFonts w:hint="eastAsia" w:eastAsia="仿宋_GB2312"/>
          <w:color w:val="auto"/>
          <w:sz w:val="24"/>
          <w:highlight w:val="none"/>
        </w:rPr>
        <w:t>（</w:t>
      </w:r>
      <w:r>
        <w:rPr>
          <w:rFonts w:eastAsia="仿宋_GB2312"/>
          <w:color w:val="auto"/>
          <w:sz w:val="24"/>
          <w:highlight w:val="none"/>
        </w:rPr>
        <w:t>币种</w:t>
      </w:r>
      <w:r>
        <w:rPr>
          <w:rFonts w:hint="eastAsia" w:eastAsia="仿宋_GB2312"/>
          <w:color w:val="auto"/>
          <w:sz w:val="24"/>
          <w:highlight w:val="none"/>
          <w:u w:val="single"/>
        </w:rPr>
        <w:t>）</w:t>
      </w:r>
      <w:r>
        <w:rPr>
          <w:rFonts w:eastAsia="仿宋_GB2312"/>
          <w:color w:val="auto"/>
          <w:sz w:val="24"/>
          <w:highlight w:val="none"/>
          <w:u w:val="single"/>
        </w:rPr>
        <w:t xml:space="preserve">     </w:t>
      </w:r>
      <w:r>
        <w:rPr>
          <w:rFonts w:eastAsia="仿宋_GB2312"/>
          <w:color w:val="auto"/>
          <w:sz w:val="24"/>
          <w:highlight w:val="none"/>
        </w:rPr>
        <w:t>元</w:t>
      </w:r>
      <w:r>
        <w:rPr>
          <w:rFonts w:hint="eastAsia" w:eastAsia="仿宋_GB2312"/>
          <w:color w:val="auto"/>
          <w:sz w:val="24"/>
          <w:highlight w:val="none"/>
        </w:rPr>
        <w:t>（</w:t>
      </w:r>
      <w:r>
        <w:rPr>
          <w:rFonts w:eastAsia="仿宋_GB2312"/>
          <w:color w:val="auto"/>
          <w:sz w:val="24"/>
          <w:highlight w:val="none"/>
        </w:rPr>
        <w:t>小写</w:t>
      </w:r>
      <w:r>
        <w:rPr>
          <w:rFonts w:hint="eastAsia" w:eastAsia="仿宋_GB2312"/>
          <w:color w:val="auto"/>
          <w:sz w:val="24"/>
          <w:highlight w:val="none"/>
        </w:rPr>
        <w:t>）</w:t>
      </w:r>
      <w:r>
        <w:rPr>
          <w:rFonts w:eastAsia="仿宋_GB2312"/>
          <w:color w:val="auto"/>
          <w:sz w:val="24"/>
          <w:highlight w:val="none"/>
          <w:u w:val="single"/>
        </w:rPr>
        <w:t xml:space="preserve">     元整</w:t>
      </w:r>
      <w:r>
        <w:rPr>
          <w:rFonts w:hint="eastAsia" w:eastAsia="仿宋_GB2312"/>
          <w:color w:val="auto"/>
          <w:sz w:val="24"/>
          <w:highlight w:val="none"/>
        </w:rPr>
        <w:t>（</w:t>
      </w:r>
      <w:r>
        <w:rPr>
          <w:rFonts w:eastAsia="仿宋_GB2312"/>
          <w:color w:val="auto"/>
          <w:sz w:val="24"/>
          <w:highlight w:val="none"/>
        </w:rPr>
        <w:t>大写）。</w:t>
      </w:r>
    </w:p>
    <w:p w14:paraId="0AE0C6EB">
      <w:pPr>
        <w:shd w:val="clear" w:color="auto" w:fill="auto"/>
        <w:snapToGrid w:val="0"/>
        <w:spacing w:line="288" w:lineRule="auto"/>
        <w:rPr>
          <w:rFonts w:eastAsia="仿宋_GB2312"/>
          <w:color w:val="auto"/>
          <w:sz w:val="24"/>
          <w:highlight w:val="none"/>
        </w:rPr>
      </w:pPr>
      <w:r>
        <w:rPr>
          <w:rFonts w:eastAsia="仿宋_GB2312"/>
          <w:color w:val="auto"/>
          <w:sz w:val="24"/>
          <w:highlight w:val="none"/>
        </w:rPr>
        <w:t xml:space="preserve">    二、本保证担保的保证期间为该项目的投标有效期</w:t>
      </w:r>
      <w:r>
        <w:rPr>
          <w:rFonts w:hint="eastAsia" w:eastAsia="仿宋_GB2312"/>
          <w:color w:val="auto"/>
          <w:sz w:val="24"/>
          <w:highlight w:val="none"/>
        </w:rPr>
        <w:t>（</w:t>
      </w:r>
      <w:r>
        <w:rPr>
          <w:rFonts w:eastAsia="仿宋_GB2312"/>
          <w:color w:val="auto"/>
          <w:sz w:val="24"/>
          <w:highlight w:val="none"/>
        </w:rPr>
        <w:t>或延长的投标有效期</w:t>
      </w:r>
      <w:r>
        <w:rPr>
          <w:rFonts w:hint="eastAsia" w:eastAsia="仿宋_GB2312"/>
          <w:color w:val="auto"/>
          <w:sz w:val="24"/>
          <w:highlight w:val="none"/>
        </w:rPr>
        <w:t>）</w:t>
      </w:r>
      <w:r>
        <w:rPr>
          <w:rFonts w:eastAsia="仿宋_GB2312"/>
          <w:color w:val="auto"/>
          <w:sz w:val="24"/>
          <w:highlight w:val="none"/>
        </w:rPr>
        <w:t>后28日</w:t>
      </w:r>
      <w:r>
        <w:rPr>
          <w:rFonts w:hint="eastAsia" w:eastAsia="仿宋_GB2312"/>
          <w:color w:val="auto"/>
          <w:sz w:val="24"/>
          <w:highlight w:val="none"/>
        </w:rPr>
        <w:t>（</w:t>
      </w:r>
      <w:r>
        <w:rPr>
          <w:rFonts w:eastAsia="仿宋_GB2312"/>
          <w:color w:val="auto"/>
          <w:sz w:val="24"/>
          <w:highlight w:val="none"/>
        </w:rPr>
        <w:t>含28日</w:t>
      </w:r>
      <w:r>
        <w:rPr>
          <w:rFonts w:hint="eastAsia" w:eastAsia="仿宋_GB2312"/>
          <w:color w:val="auto"/>
          <w:sz w:val="24"/>
          <w:highlight w:val="none"/>
        </w:rPr>
        <w:t>），</w:t>
      </w:r>
      <w:r>
        <w:rPr>
          <w:rFonts w:eastAsia="仿宋_GB2312"/>
          <w:color w:val="auto"/>
          <w:sz w:val="24"/>
          <w:highlight w:val="none"/>
        </w:rPr>
        <w:t>延长投标有效期无须通知我方。</w:t>
      </w:r>
    </w:p>
    <w:p w14:paraId="5E6F80C7">
      <w:pPr>
        <w:shd w:val="clear" w:color="auto" w:fill="auto"/>
        <w:snapToGrid w:val="0"/>
        <w:spacing w:line="288" w:lineRule="auto"/>
        <w:rPr>
          <w:rFonts w:eastAsia="仿宋_GB2312"/>
          <w:color w:val="auto"/>
          <w:sz w:val="24"/>
          <w:highlight w:val="none"/>
        </w:rPr>
      </w:pPr>
      <w:r>
        <w:rPr>
          <w:rFonts w:eastAsia="仿宋_GB2312"/>
          <w:color w:val="auto"/>
          <w:sz w:val="24"/>
          <w:highlight w:val="none"/>
        </w:rPr>
        <w:t xml:space="preserve">    三、在本保证担保的保证期间内</w:t>
      </w:r>
      <w:r>
        <w:rPr>
          <w:rFonts w:hint="eastAsia" w:eastAsia="仿宋_GB2312"/>
          <w:color w:val="auto"/>
          <w:sz w:val="24"/>
          <w:highlight w:val="none"/>
        </w:rPr>
        <w:t>，</w:t>
      </w:r>
      <w:r>
        <w:rPr>
          <w:rFonts w:eastAsia="仿宋_GB2312"/>
          <w:color w:val="auto"/>
          <w:sz w:val="24"/>
          <w:highlight w:val="none"/>
        </w:rPr>
        <w:t>如果被保证人出现下列情形之一</w:t>
      </w:r>
      <w:r>
        <w:rPr>
          <w:rFonts w:hint="eastAsia" w:eastAsia="仿宋_GB2312"/>
          <w:color w:val="auto"/>
          <w:sz w:val="24"/>
          <w:highlight w:val="none"/>
        </w:rPr>
        <w:t>，</w:t>
      </w:r>
      <w:r>
        <w:rPr>
          <w:rFonts w:eastAsia="仿宋_GB2312"/>
          <w:color w:val="auto"/>
          <w:sz w:val="24"/>
          <w:highlight w:val="none"/>
        </w:rPr>
        <w:t>受益人可以向我方提起索赔：</w:t>
      </w:r>
    </w:p>
    <w:p w14:paraId="5E4B9A21">
      <w:pPr>
        <w:shd w:val="clear" w:color="auto" w:fill="auto"/>
        <w:snapToGrid w:val="0"/>
        <w:spacing w:line="288" w:lineRule="auto"/>
        <w:rPr>
          <w:rFonts w:eastAsia="仿宋_GB2312"/>
          <w:color w:val="auto"/>
          <w:sz w:val="24"/>
          <w:highlight w:val="none"/>
        </w:rPr>
      </w:pPr>
      <w:r>
        <w:rPr>
          <w:rFonts w:eastAsia="仿宋_GB2312"/>
          <w:color w:val="auto"/>
          <w:sz w:val="24"/>
          <w:highlight w:val="none"/>
        </w:rPr>
        <w:t xml:space="preserve">    1.</w:t>
      </w:r>
      <w:r>
        <w:rPr>
          <w:rFonts w:hint="eastAsia" w:eastAsia="仿宋_GB2312"/>
          <w:color w:val="auto"/>
          <w:sz w:val="24"/>
          <w:highlight w:val="none"/>
        </w:rPr>
        <w:t xml:space="preserve"> </w:t>
      </w:r>
      <w:r>
        <w:rPr>
          <w:rFonts w:eastAsia="仿宋_GB2312"/>
          <w:color w:val="auto"/>
          <w:sz w:val="24"/>
          <w:highlight w:val="none"/>
        </w:rPr>
        <w:t>被保证人在招标文件规定的投标有效期内撤</w:t>
      </w:r>
      <w:r>
        <w:rPr>
          <w:rFonts w:hint="eastAsia" w:eastAsia="仿宋_GB2312"/>
          <w:color w:val="auto"/>
          <w:sz w:val="24"/>
          <w:highlight w:val="none"/>
          <w:lang w:val="en-US" w:eastAsia="zh-CN"/>
        </w:rPr>
        <w:t>销</w:t>
      </w:r>
      <w:r>
        <w:rPr>
          <w:rFonts w:eastAsia="仿宋_GB2312"/>
          <w:color w:val="auto"/>
          <w:sz w:val="24"/>
          <w:highlight w:val="none"/>
        </w:rPr>
        <w:t>其投标；</w:t>
      </w:r>
    </w:p>
    <w:p w14:paraId="2F3918DF">
      <w:pPr>
        <w:shd w:val="clear" w:color="auto" w:fill="auto"/>
        <w:snapToGrid w:val="0"/>
        <w:spacing w:line="288" w:lineRule="auto"/>
        <w:rPr>
          <w:rFonts w:eastAsia="仿宋_GB2312"/>
          <w:color w:val="auto"/>
          <w:sz w:val="24"/>
          <w:highlight w:val="none"/>
        </w:rPr>
      </w:pPr>
      <w:r>
        <w:rPr>
          <w:rFonts w:eastAsia="仿宋_GB2312"/>
          <w:color w:val="auto"/>
          <w:sz w:val="24"/>
          <w:highlight w:val="none"/>
        </w:rPr>
        <w:t xml:space="preserve">    2.</w:t>
      </w:r>
      <w:r>
        <w:rPr>
          <w:rFonts w:hint="eastAsia" w:eastAsia="仿宋_GB2312"/>
          <w:color w:val="auto"/>
          <w:sz w:val="24"/>
          <w:highlight w:val="none"/>
        </w:rPr>
        <w:t xml:space="preserve"> </w:t>
      </w:r>
      <w:r>
        <w:rPr>
          <w:rFonts w:eastAsia="仿宋_GB2312"/>
          <w:color w:val="auto"/>
          <w:sz w:val="24"/>
          <w:highlight w:val="none"/>
        </w:rPr>
        <w:t>被保证人在投标有效期内收到受益人发出的中标通知书后</w:t>
      </w:r>
      <w:r>
        <w:rPr>
          <w:rFonts w:hint="eastAsia" w:eastAsia="仿宋_GB2312"/>
          <w:color w:val="auto"/>
          <w:sz w:val="24"/>
          <w:highlight w:val="none"/>
        </w:rPr>
        <w:t>，</w:t>
      </w:r>
      <w:r>
        <w:rPr>
          <w:rFonts w:eastAsia="仿宋_GB2312"/>
          <w:color w:val="auto"/>
          <w:sz w:val="24"/>
          <w:highlight w:val="none"/>
        </w:rPr>
        <w:t>不能或拒绝按招标文件的要求签署合同；</w:t>
      </w:r>
    </w:p>
    <w:p w14:paraId="5E5FC1FE">
      <w:pPr>
        <w:shd w:val="clear" w:color="auto" w:fill="auto"/>
        <w:snapToGrid w:val="0"/>
        <w:spacing w:line="288" w:lineRule="auto"/>
        <w:rPr>
          <w:rFonts w:eastAsia="仿宋_GB2312"/>
          <w:color w:val="auto"/>
          <w:sz w:val="24"/>
          <w:highlight w:val="none"/>
        </w:rPr>
      </w:pPr>
      <w:r>
        <w:rPr>
          <w:rFonts w:eastAsia="仿宋_GB2312"/>
          <w:color w:val="auto"/>
          <w:sz w:val="24"/>
          <w:highlight w:val="none"/>
        </w:rPr>
        <w:t xml:space="preserve">    3.</w:t>
      </w:r>
      <w:r>
        <w:rPr>
          <w:rFonts w:hint="eastAsia" w:eastAsia="仿宋_GB2312"/>
          <w:color w:val="auto"/>
          <w:sz w:val="24"/>
          <w:highlight w:val="none"/>
        </w:rPr>
        <w:t xml:space="preserve"> </w:t>
      </w:r>
      <w:r>
        <w:rPr>
          <w:rFonts w:eastAsia="仿宋_GB2312"/>
          <w:color w:val="auto"/>
          <w:sz w:val="24"/>
          <w:highlight w:val="none"/>
        </w:rPr>
        <w:t>被保证人在投标有效期内收到受益人发出的中标通知书后</w:t>
      </w:r>
      <w:r>
        <w:rPr>
          <w:rFonts w:hint="eastAsia" w:eastAsia="仿宋_GB2312"/>
          <w:color w:val="auto"/>
          <w:sz w:val="24"/>
          <w:highlight w:val="none"/>
        </w:rPr>
        <w:t>，</w:t>
      </w:r>
      <w:r>
        <w:rPr>
          <w:rFonts w:eastAsia="仿宋_GB2312"/>
          <w:color w:val="auto"/>
          <w:sz w:val="24"/>
          <w:highlight w:val="none"/>
        </w:rPr>
        <w:t>不能或拒绝按招标文件的规定提交履约担保；</w:t>
      </w:r>
    </w:p>
    <w:p w14:paraId="6C06B49C">
      <w:pPr>
        <w:shd w:val="clear" w:color="auto" w:fill="auto"/>
        <w:snapToGrid w:val="0"/>
        <w:spacing w:line="288" w:lineRule="auto"/>
        <w:ind w:firstLine="480"/>
        <w:rPr>
          <w:rFonts w:eastAsia="仿宋_GB2312"/>
          <w:color w:val="auto"/>
          <w:sz w:val="24"/>
          <w:highlight w:val="none"/>
        </w:rPr>
      </w:pPr>
      <w:r>
        <w:rPr>
          <w:rFonts w:eastAsia="仿宋_GB2312"/>
          <w:color w:val="auto"/>
          <w:sz w:val="24"/>
          <w:highlight w:val="none"/>
        </w:rPr>
        <w:t>4.</w:t>
      </w:r>
      <w:r>
        <w:rPr>
          <w:rFonts w:hint="eastAsia" w:eastAsia="仿宋_GB2312"/>
          <w:color w:val="auto"/>
          <w:sz w:val="24"/>
          <w:highlight w:val="none"/>
        </w:rPr>
        <w:t xml:space="preserve"> </w:t>
      </w:r>
      <w:r>
        <w:rPr>
          <w:rFonts w:eastAsia="仿宋_GB2312"/>
          <w:color w:val="auto"/>
          <w:sz w:val="24"/>
          <w:highlight w:val="none"/>
        </w:rPr>
        <w:t>被保证人中标后未按照招标文件规定交纳招标代理服务费。</w:t>
      </w:r>
    </w:p>
    <w:p w14:paraId="169CA16B">
      <w:pPr>
        <w:shd w:val="clear" w:color="auto" w:fill="auto"/>
        <w:snapToGrid w:val="0"/>
        <w:spacing w:line="288" w:lineRule="auto"/>
        <w:ind w:firstLine="480"/>
        <w:rPr>
          <w:rFonts w:hint="eastAsia" w:eastAsia="仿宋_GB2312"/>
          <w:color w:val="auto"/>
          <w:sz w:val="24"/>
          <w:highlight w:val="none"/>
          <w:lang w:val="en-US" w:eastAsia="zh-CN"/>
        </w:rPr>
      </w:pPr>
      <w:r>
        <w:rPr>
          <w:rFonts w:hint="eastAsia" w:eastAsia="仿宋_GB2312"/>
          <w:color w:val="auto"/>
          <w:sz w:val="24"/>
          <w:highlight w:val="none"/>
          <w:lang w:val="en-US" w:eastAsia="zh-CN"/>
        </w:rPr>
        <w:t>5. 被保证人投标过程中提供虚假材料。</w:t>
      </w:r>
    </w:p>
    <w:p w14:paraId="58835A9F">
      <w:pPr>
        <w:shd w:val="clear" w:color="auto" w:fill="auto"/>
        <w:snapToGrid w:val="0"/>
        <w:spacing w:line="288" w:lineRule="auto"/>
        <w:ind w:firstLine="480"/>
        <w:rPr>
          <w:rFonts w:hint="default" w:eastAsia="仿宋_GB2312"/>
          <w:color w:val="auto"/>
          <w:sz w:val="24"/>
          <w:highlight w:val="none"/>
          <w:lang w:val="en-US" w:eastAsia="zh-CN"/>
        </w:rPr>
      </w:pPr>
      <w:r>
        <w:rPr>
          <w:rFonts w:hint="eastAsia" w:eastAsia="仿宋_GB2312"/>
          <w:color w:val="auto"/>
          <w:sz w:val="24"/>
          <w:highlight w:val="none"/>
          <w:lang w:val="en-US" w:eastAsia="zh-CN"/>
        </w:rPr>
        <w:t>6. 被保证人与采购人、其他供应商、采购代理机构恶意串通。</w:t>
      </w:r>
    </w:p>
    <w:p w14:paraId="760219AB">
      <w:pPr>
        <w:shd w:val="clear" w:color="auto" w:fill="auto"/>
        <w:snapToGrid w:val="0"/>
        <w:spacing w:line="288" w:lineRule="auto"/>
        <w:rPr>
          <w:rFonts w:eastAsia="仿宋_GB2312"/>
          <w:color w:val="auto"/>
          <w:sz w:val="24"/>
          <w:highlight w:val="none"/>
        </w:rPr>
      </w:pPr>
      <w:r>
        <w:rPr>
          <w:rFonts w:eastAsia="仿宋_GB2312"/>
          <w:color w:val="auto"/>
          <w:sz w:val="24"/>
          <w:highlight w:val="none"/>
        </w:rPr>
        <w:t xml:space="preserve">    四、在本保证担保的保证期间内</w:t>
      </w:r>
      <w:r>
        <w:rPr>
          <w:rFonts w:hint="eastAsia" w:eastAsia="仿宋_GB2312"/>
          <w:color w:val="auto"/>
          <w:sz w:val="24"/>
          <w:highlight w:val="none"/>
        </w:rPr>
        <w:t>，</w:t>
      </w:r>
      <w:r>
        <w:rPr>
          <w:rFonts w:eastAsia="仿宋_GB2312"/>
          <w:color w:val="auto"/>
          <w:sz w:val="24"/>
          <w:highlight w:val="none"/>
        </w:rPr>
        <w:t>我方收到受益人经法定代表人或其授权委托代理人签字并加盖公章的书面索赔通知后</w:t>
      </w:r>
      <w:r>
        <w:rPr>
          <w:rFonts w:hint="eastAsia" w:eastAsia="仿宋_GB2312"/>
          <w:color w:val="auto"/>
          <w:sz w:val="24"/>
          <w:highlight w:val="none"/>
        </w:rPr>
        <w:t>，</w:t>
      </w:r>
      <w:r>
        <w:rPr>
          <w:rFonts w:eastAsia="仿宋_GB2312"/>
          <w:color w:val="auto"/>
          <w:sz w:val="24"/>
          <w:highlight w:val="none"/>
        </w:rPr>
        <w:t>将不争辩、不挑剔、不可撤销地立即向受益人支付本保证担保的担保金额。</w:t>
      </w:r>
    </w:p>
    <w:p w14:paraId="284F18D9">
      <w:pPr>
        <w:shd w:val="clear" w:color="auto" w:fill="auto"/>
        <w:snapToGrid w:val="0"/>
        <w:spacing w:line="288" w:lineRule="auto"/>
        <w:rPr>
          <w:rFonts w:eastAsia="仿宋_GB2312"/>
          <w:color w:val="auto"/>
          <w:sz w:val="24"/>
          <w:highlight w:val="none"/>
        </w:rPr>
      </w:pPr>
      <w:r>
        <w:rPr>
          <w:rFonts w:eastAsia="仿宋_GB2312"/>
          <w:color w:val="auto"/>
          <w:sz w:val="24"/>
          <w:highlight w:val="none"/>
        </w:rPr>
        <w:t xml:space="preserve">    五、受益人的索赔通知应当说明索赔理由</w:t>
      </w:r>
      <w:r>
        <w:rPr>
          <w:rFonts w:hint="eastAsia" w:eastAsia="仿宋_GB2312"/>
          <w:color w:val="auto"/>
          <w:sz w:val="24"/>
          <w:highlight w:val="none"/>
        </w:rPr>
        <w:t>，</w:t>
      </w:r>
      <w:r>
        <w:rPr>
          <w:rFonts w:eastAsia="仿宋_GB2312"/>
          <w:color w:val="auto"/>
          <w:sz w:val="24"/>
          <w:highlight w:val="none"/>
        </w:rPr>
        <w:t>并必须在本保证担保的保证期间内送达我方。</w:t>
      </w:r>
    </w:p>
    <w:p w14:paraId="1D309C8D">
      <w:pPr>
        <w:shd w:val="clear" w:color="auto" w:fill="auto"/>
        <w:snapToGrid w:val="0"/>
        <w:spacing w:line="288" w:lineRule="auto"/>
        <w:rPr>
          <w:rFonts w:eastAsia="仿宋_GB2312"/>
          <w:color w:val="auto"/>
          <w:sz w:val="24"/>
          <w:highlight w:val="none"/>
        </w:rPr>
      </w:pPr>
      <w:r>
        <w:rPr>
          <w:rFonts w:eastAsia="仿宋_GB2312"/>
          <w:color w:val="auto"/>
          <w:sz w:val="24"/>
          <w:highlight w:val="none"/>
        </w:rPr>
        <w:t xml:space="preserve">    六、本保证担保项下的权利不得转让。</w:t>
      </w:r>
    </w:p>
    <w:p w14:paraId="57EBB804">
      <w:pPr>
        <w:shd w:val="clear" w:color="auto" w:fill="auto"/>
        <w:snapToGrid w:val="0"/>
        <w:spacing w:line="288" w:lineRule="auto"/>
        <w:rPr>
          <w:rFonts w:eastAsia="仿宋_GB2312"/>
          <w:color w:val="auto"/>
          <w:sz w:val="24"/>
          <w:highlight w:val="none"/>
        </w:rPr>
      </w:pPr>
      <w:r>
        <w:rPr>
          <w:rFonts w:eastAsia="仿宋_GB2312"/>
          <w:color w:val="auto"/>
          <w:sz w:val="24"/>
          <w:highlight w:val="none"/>
        </w:rPr>
        <w:t xml:space="preserve">    七、本保证担保的保证期间届满</w:t>
      </w:r>
      <w:r>
        <w:rPr>
          <w:rFonts w:hint="eastAsia" w:eastAsia="仿宋_GB2312"/>
          <w:color w:val="auto"/>
          <w:sz w:val="24"/>
          <w:highlight w:val="none"/>
        </w:rPr>
        <w:t>，</w:t>
      </w:r>
      <w:r>
        <w:rPr>
          <w:rFonts w:eastAsia="仿宋_GB2312"/>
          <w:color w:val="auto"/>
          <w:sz w:val="24"/>
          <w:highlight w:val="none"/>
        </w:rPr>
        <w:t>或我方已向受益人支付本保证担保的担保金额</w:t>
      </w:r>
      <w:r>
        <w:rPr>
          <w:rFonts w:hint="eastAsia" w:eastAsia="仿宋_GB2312"/>
          <w:color w:val="auto"/>
          <w:sz w:val="24"/>
          <w:highlight w:val="none"/>
        </w:rPr>
        <w:t>，</w:t>
      </w:r>
      <w:r>
        <w:rPr>
          <w:rFonts w:eastAsia="仿宋_GB2312"/>
          <w:color w:val="auto"/>
          <w:sz w:val="24"/>
          <w:highlight w:val="none"/>
        </w:rPr>
        <w:t>我方的保证责任免除。</w:t>
      </w:r>
    </w:p>
    <w:p w14:paraId="27CE13A8">
      <w:pPr>
        <w:shd w:val="clear" w:color="auto" w:fill="auto"/>
        <w:snapToGrid w:val="0"/>
        <w:spacing w:line="288" w:lineRule="auto"/>
        <w:rPr>
          <w:rFonts w:eastAsia="仿宋_GB2312"/>
          <w:color w:val="auto"/>
          <w:sz w:val="24"/>
          <w:highlight w:val="none"/>
        </w:rPr>
      </w:pPr>
      <w:r>
        <w:rPr>
          <w:rFonts w:eastAsia="仿宋_GB2312"/>
          <w:color w:val="auto"/>
          <w:sz w:val="24"/>
          <w:highlight w:val="none"/>
        </w:rPr>
        <w:t xml:space="preserve">    八、本保证担保适用中华人民共和国法律。</w:t>
      </w:r>
    </w:p>
    <w:p w14:paraId="1A3505E8">
      <w:pPr>
        <w:shd w:val="clear" w:color="auto" w:fill="auto"/>
        <w:snapToGrid w:val="0"/>
        <w:spacing w:line="288" w:lineRule="auto"/>
        <w:rPr>
          <w:rFonts w:eastAsia="仿宋_GB2312"/>
          <w:color w:val="auto"/>
          <w:sz w:val="24"/>
          <w:highlight w:val="none"/>
        </w:rPr>
      </w:pPr>
      <w:r>
        <w:rPr>
          <w:rFonts w:eastAsia="仿宋_GB2312"/>
          <w:color w:val="auto"/>
          <w:sz w:val="24"/>
          <w:highlight w:val="none"/>
        </w:rPr>
        <w:t xml:space="preserve">    九、本保证担保以中文文本为准</w:t>
      </w:r>
      <w:r>
        <w:rPr>
          <w:rFonts w:hint="eastAsia" w:eastAsia="仿宋_GB2312"/>
          <w:color w:val="auto"/>
          <w:sz w:val="24"/>
          <w:highlight w:val="none"/>
        </w:rPr>
        <w:t>，</w:t>
      </w:r>
      <w:r>
        <w:rPr>
          <w:rFonts w:eastAsia="仿宋_GB2312"/>
          <w:color w:val="auto"/>
          <w:sz w:val="24"/>
          <w:highlight w:val="none"/>
        </w:rPr>
        <w:t>涂改无效。</w:t>
      </w:r>
    </w:p>
    <w:p w14:paraId="7BCECD02">
      <w:pPr>
        <w:shd w:val="clear" w:color="auto" w:fill="auto"/>
        <w:snapToGrid w:val="0"/>
        <w:spacing w:line="288" w:lineRule="auto"/>
        <w:rPr>
          <w:rFonts w:hint="eastAsia" w:eastAsia="仿宋_GB2312"/>
          <w:color w:val="auto"/>
          <w:sz w:val="24"/>
          <w:highlight w:val="none"/>
        </w:rPr>
      </w:pPr>
    </w:p>
    <w:p w14:paraId="54731588">
      <w:pPr>
        <w:shd w:val="clear" w:color="auto" w:fill="auto"/>
        <w:snapToGrid w:val="0"/>
        <w:spacing w:line="480" w:lineRule="exact"/>
        <w:rPr>
          <w:rFonts w:eastAsia="仿宋_GB2312"/>
          <w:color w:val="auto"/>
          <w:sz w:val="24"/>
          <w:highlight w:val="none"/>
          <w:u w:val="single"/>
        </w:rPr>
      </w:pPr>
      <w:r>
        <w:rPr>
          <w:rFonts w:eastAsia="仿宋_GB2312"/>
          <w:color w:val="auto"/>
          <w:sz w:val="24"/>
          <w:highlight w:val="none"/>
        </w:rPr>
        <w:t>保证人</w:t>
      </w:r>
      <w:r>
        <w:rPr>
          <w:rFonts w:hint="eastAsia" w:eastAsia="仿宋_GB2312"/>
          <w:color w:val="auto"/>
          <w:sz w:val="24"/>
          <w:highlight w:val="none"/>
        </w:rPr>
        <w:t>（</w:t>
      </w:r>
      <w:r>
        <w:rPr>
          <w:rFonts w:eastAsia="仿宋_GB2312"/>
          <w:color w:val="auto"/>
          <w:sz w:val="24"/>
          <w:highlight w:val="none"/>
        </w:rPr>
        <w:t>盖章</w:t>
      </w:r>
      <w:r>
        <w:rPr>
          <w:rFonts w:hint="eastAsia" w:eastAsia="仿宋_GB2312"/>
          <w:color w:val="auto"/>
          <w:sz w:val="24"/>
          <w:highlight w:val="none"/>
        </w:rPr>
        <w:t>）：</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p>
    <w:p w14:paraId="2A6BA76C">
      <w:pPr>
        <w:shd w:val="clear" w:color="auto" w:fill="auto"/>
        <w:snapToGrid w:val="0"/>
        <w:spacing w:line="480" w:lineRule="exact"/>
        <w:rPr>
          <w:rFonts w:hint="eastAsia" w:eastAsia="仿宋_GB2312"/>
          <w:color w:val="auto"/>
          <w:sz w:val="24"/>
          <w:highlight w:val="none"/>
          <w:u w:val="single"/>
        </w:rPr>
      </w:pPr>
      <w:r>
        <w:rPr>
          <w:rFonts w:eastAsia="仿宋_GB2312"/>
          <w:color w:val="auto"/>
          <w:sz w:val="24"/>
          <w:highlight w:val="none"/>
        </w:rPr>
        <w:t>法定代表人或其授权委托代理人</w:t>
      </w:r>
      <w:r>
        <w:rPr>
          <w:rFonts w:hint="eastAsia" w:eastAsia="仿宋_GB2312"/>
          <w:color w:val="auto"/>
          <w:sz w:val="24"/>
          <w:highlight w:val="none"/>
        </w:rPr>
        <w:t>（</w:t>
      </w:r>
      <w:r>
        <w:rPr>
          <w:rFonts w:eastAsia="仿宋_GB2312"/>
          <w:color w:val="auto"/>
          <w:sz w:val="24"/>
          <w:highlight w:val="none"/>
        </w:rPr>
        <w:t>签字）</w:t>
      </w:r>
      <w:r>
        <w:rPr>
          <w:rFonts w:hint="eastAsia" w:eastAsia="仿宋_GB2312"/>
          <w:color w:val="auto"/>
          <w:sz w:val="24"/>
          <w:highlight w:val="none"/>
        </w:rPr>
        <w:t>：</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r>
        <w:rPr>
          <w:rFonts w:eastAsia="仿宋_GB2312"/>
          <w:color w:val="auto"/>
          <w:sz w:val="24"/>
          <w:highlight w:val="none"/>
          <w:u w:val="single"/>
        </w:rPr>
        <w:t xml:space="preserve">        </w:t>
      </w:r>
    </w:p>
    <w:p w14:paraId="4CF046E2">
      <w:pPr>
        <w:shd w:val="clear" w:color="auto" w:fill="auto"/>
        <w:snapToGrid w:val="0"/>
        <w:spacing w:line="480" w:lineRule="exact"/>
        <w:rPr>
          <w:rFonts w:hint="eastAsia" w:eastAsia="仿宋_GB2312"/>
          <w:color w:val="auto"/>
          <w:sz w:val="24"/>
          <w:highlight w:val="none"/>
          <w:u w:val="single"/>
        </w:rPr>
      </w:pPr>
      <w:r>
        <w:rPr>
          <w:rFonts w:eastAsia="仿宋_GB2312"/>
          <w:color w:val="auto"/>
          <w:sz w:val="24"/>
          <w:highlight w:val="none"/>
        </w:rPr>
        <w:t>单位地址</w:t>
      </w:r>
      <w:r>
        <w:rPr>
          <w:rFonts w:hint="eastAsia" w:eastAsia="仿宋_GB2312"/>
          <w:color w:val="auto"/>
          <w:sz w:val="24"/>
          <w:highlight w:val="none"/>
        </w:rPr>
        <w:t>：</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r>
        <w:rPr>
          <w:rFonts w:eastAsia="仿宋_GB2312"/>
          <w:color w:val="auto"/>
          <w:sz w:val="24"/>
          <w:highlight w:val="none"/>
          <w:u w:val="single"/>
        </w:rPr>
        <w:t>    </w:t>
      </w:r>
    </w:p>
    <w:p w14:paraId="5CD9A546">
      <w:pPr>
        <w:shd w:val="clear" w:color="auto" w:fill="auto"/>
        <w:snapToGrid w:val="0"/>
        <w:spacing w:line="480" w:lineRule="exact"/>
        <w:rPr>
          <w:rFonts w:eastAsia="仿宋_GB2312"/>
          <w:color w:val="auto"/>
          <w:sz w:val="24"/>
          <w:highlight w:val="none"/>
          <w:u w:val="single"/>
        </w:rPr>
      </w:pPr>
      <w:r>
        <w:rPr>
          <w:rFonts w:eastAsia="仿宋_GB2312"/>
          <w:color w:val="auto"/>
          <w:sz w:val="24"/>
          <w:highlight w:val="none"/>
        </w:rPr>
        <w:t>电话</w:t>
      </w:r>
      <w:r>
        <w:rPr>
          <w:rFonts w:hint="eastAsia" w:eastAsia="仿宋_GB2312"/>
          <w:color w:val="auto"/>
          <w:sz w:val="24"/>
          <w:highlight w:val="none"/>
        </w:rPr>
        <w:t>：</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r>
        <w:rPr>
          <w:rFonts w:eastAsia="仿宋_GB2312"/>
          <w:color w:val="auto"/>
          <w:sz w:val="24"/>
          <w:highlight w:val="none"/>
          <w:u w:val="single"/>
        </w:rPr>
        <w:t>  </w:t>
      </w:r>
    </w:p>
    <w:p w14:paraId="5B5104CE">
      <w:pPr>
        <w:pStyle w:val="31"/>
        <w:shd w:val="clear" w:color="auto" w:fill="auto"/>
        <w:snapToGrid w:val="0"/>
        <w:spacing w:before="0" w:beforeAutospacing="0" w:after="0" w:afterAutospacing="0" w:line="480" w:lineRule="exact"/>
        <w:jc w:val="both"/>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日期</w:t>
      </w:r>
      <w:r>
        <w:rPr>
          <w:rFonts w:hint="eastAsia" w:ascii="Times New Roman" w:hAnsi="Times New Roman" w:eastAsia="仿宋_GB2312" w:cs="Times New Roman"/>
          <w:color w:val="auto"/>
          <w:highlight w:val="none"/>
        </w:rPr>
        <w:t>：</w:t>
      </w:r>
      <w:r>
        <w:rPr>
          <w:rFonts w:ascii="Times New Roman" w:hAnsi="Times New Roman" w:eastAsia="仿宋_GB2312" w:cs="Times New Roman"/>
          <w:color w:val="auto"/>
          <w:highlight w:val="none"/>
          <w:u w:val="single"/>
        </w:rPr>
        <w:t xml:space="preserve">   </w:t>
      </w:r>
      <w:r>
        <w:rPr>
          <w:rFonts w:hint="eastAsia" w:ascii="Times New Roman" w:hAnsi="Times New Roman" w:eastAsia="仿宋_GB2312" w:cs="Times New Roman"/>
          <w:color w:val="auto"/>
          <w:highlight w:val="none"/>
          <w:u w:val="single"/>
        </w:rPr>
        <w:t xml:space="preserve">  </w:t>
      </w:r>
      <w:r>
        <w:rPr>
          <w:rFonts w:ascii="Times New Roman" w:hAnsi="Times New Roman" w:eastAsia="仿宋_GB2312" w:cs="Times New Roman"/>
          <w:color w:val="auto"/>
          <w:highlight w:val="none"/>
          <w:u w:val="single"/>
        </w:rPr>
        <w:t>  年  </w:t>
      </w:r>
      <w:r>
        <w:rPr>
          <w:rFonts w:hint="eastAsia" w:ascii="Times New Roman" w:hAnsi="Times New Roman" w:eastAsia="仿宋_GB2312" w:cs="Times New Roman"/>
          <w:color w:val="auto"/>
          <w:highlight w:val="none"/>
          <w:u w:val="single"/>
        </w:rPr>
        <w:t xml:space="preserve">  </w:t>
      </w:r>
      <w:r>
        <w:rPr>
          <w:rFonts w:ascii="Times New Roman" w:hAnsi="Times New Roman" w:eastAsia="仿宋_GB2312" w:cs="Times New Roman"/>
          <w:color w:val="auto"/>
          <w:highlight w:val="none"/>
          <w:u w:val="single"/>
        </w:rPr>
        <w:t>  月  </w:t>
      </w:r>
      <w:r>
        <w:rPr>
          <w:rFonts w:hint="eastAsia" w:ascii="Times New Roman" w:hAnsi="Times New Roman" w:eastAsia="仿宋_GB2312" w:cs="Times New Roman"/>
          <w:color w:val="auto"/>
          <w:highlight w:val="none"/>
          <w:u w:val="single"/>
        </w:rPr>
        <w:t xml:space="preserve">  </w:t>
      </w:r>
      <w:r>
        <w:rPr>
          <w:rFonts w:ascii="Times New Roman" w:hAnsi="Times New Roman" w:eastAsia="仿宋_GB2312" w:cs="Times New Roman"/>
          <w:color w:val="auto"/>
          <w:highlight w:val="none"/>
          <w:u w:val="single"/>
        </w:rPr>
        <w:t>  日</w:t>
      </w:r>
    </w:p>
    <w:p w14:paraId="0EECA936">
      <w:pPr>
        <w:pStyle w:val="3"/>
        <w:shd w:val="clear" w:color="auto" w:fill="auto"/>
        <w:spacing w:before="0" w:line="360" w:lineRule="auto"/>
        <w:jc w:val="both"/>
        <w:rPr>
          <w:rFonts w:ascii="Times New Roman" w:hAnsi="Times New Roman"/>
          <w:color w:val="auto"/>
          <w:szCs w:val="24"/>
          <w:highlight w:val="none"/>
        </w:rPr>
      </w:pPr>
      <w:bookmarkStart w:id="322" w:name="_Toc532473491"/>
      <w:bookmarkStart w:id="323" w:name="_Toc21748"/>
      <w:bookmarkStart w:id="324" w:name="_Toc16186"/>
      <w:bookmarkStart w:id="325" w:name="_Toc515647799"/>
      <w:r>
        <w:rPr>
          <w:rFonts w:ascii="Times New Roman" w:hAnsi="Times New Roman" w:eastAsia="仿宋_GB2312"/>
          <w:color w:val="auto"/>
          <w:szCs w:val="24"/>
          <w:highlight w:val="none"/>
        </w:rPr>
        <w:br w:type="page"/>
      </w:r>
      <w:bookmarkEnd w:id="322"/>
      <w:bookmarkEnd w:id="323"/>
      <w:bookmarkEnd w:id="324"/>
      <w:bookmarkEnd w:id="325"/>
      <w:bookmarkStart w:id="326" w:name="_Toc6548"/>
      <w:bookmarkStart w:id="327" w:name="_Toc7425"/>
      <w:bookmarkStart w:id="328" w:name="_Toc532473492"/>
      <w:bookmarkStart w:id="329" w:name="_Toc62194340"/>
      <w:bookmarkStart w:id="330" w:name="_Toc10951"/>
      <w:bookmarkStart w:id="331" w:name="_Toc515647800"/>
      <w:r>
        <w:rPr>
          <w:rFonts w:ascii="Times New Roman" w:hAnsi="Times New Roman" w:eastAsia="仿宋_GB2312"/>
          <w:b w:val="0"/>
          <w:bCs/>
          <w:color w:val="auto"/>
          <w:sz w:val="28"/>
          <w:szCs w:val="22"/>
          <w:highlight w:val="none"/>
        </w:rPr>
        <w:t>附件2：履约担保函格式</w:t>
      </w:r>
      <w:bookmarkEnd w:id="326"/>
      <w:bookmarkEnd w:id="327"/>
      <w:bookmarkEnd w:id="328"/>
      <w:bookmarkEnd w:id="329"/>
      <w:bookmarkEnd w:id="330"/>
      <w:bookmarkEnd w:id="331"/>
    </w:p>
    <w:p w14:paraId="7291DDEC">
      <w:pPr>
        <w:shd w:val="clear" w:color="auto" w:fill="auto"/>
        <w:snapToGrid w:val="0"/>
        <w:spacing w:line="336" w:lineRule="auto"/>
        <w:jc w:val="center"/>
        <w:rPr>
          <w:rFonts w:eastAsia="仿宋_GB2312"/>
          <w:color w:val="auto"/>
          <w:sz w:val="24"/>
          <w:highlight w:val="none"/>
        </w:rPr>
      </w:pPr>
      <w:r>
        <w:rPr>
          <w:rFonts w:eastAsia="仿宋_GB2312"/>
          <w:color w:val="auto"/>
          <w:sz w:val="24"/>
          <w:highlight w:val="none"/>
        </w:rPr>
        <w:t xml:space="preserve">                             编号：</w:t>
      </w:r>
    </w:p>
    <w:p w14:paraId="593CC453">
      <w:pPr>
        <w:shd w:val="clear" w:color="auto" w:fill="auto"/>
        <w:snapToGrid w:val="0"/>
        <w:spacing w:line="336" w:lineRule="auto"/>
        <w:rPr>
          <w:rFonts w:eastAsia="仿宋_GB2312"/>
          <w:color w:val="auto"/>
          <w:sz w:val="24"/>
          <w:highlight w:val="none"/>
        </w:rPr>
      </w:pPr>
    </w:p>
    <w:p w14:paraId="3C2BFDA5">
      <w:pPr>
        <w:shd w:val="clear" w:color="auto" w:fill="auto"/>
        <w:snapToGrid w:val="0"/>
        <w:spacing w:line="336" w:lineRule="auto"/>
        <w:rPr>
          <w:rFonts w:eastAsia="仿宋_GB2312"/>
          <w:color w:val="auto"/>
          <w:sz w:val="24"/>
          <w:highlight w:val="none"/>
        </w:rPr>
      </w:pPr>
      <w:r>
        <w:rPr>
          <w:rFonts w:eastAsia="仿宋_GB2312"/>
          <w:color w:val="auto"/>
          <w:sz w:val="24"/>
          <w:highlight w:val="none"/>
          <w:u w:val="single"/>
        </w:rPr>
        <w:t xml:space="preserve">                  </w:t>
      </w:r>
      <w:r>
        <w:rPr>
          <w:rFonts w:eastAsia="仿宋_GB2312"/>
          <w:color w:val="auto"/>
          <w:sz w:val="24"/>
          <w:highlight w:val="none"/>
        </w:rPr>
        <w:t>（采购人名称）：</w:t>
      </w:r>
    </w:p>
    <w:p w14:paraId="412F8A8D">
      <w:pPr>
        <w:shd w:val="clear" w:color="auto" w:fill="auto"/>
        <w:snapToGrid w:val="0"/>
        <w:spacing w:line="336" w:lineRule="auto"/>
        <w:ind w:firstLine="480" w:firstLineChars="200"/>
        <w:rPr>
          <w:rFonts w:eastAsia="仿宋_GB2312"/>
          <w:color w:val="auto"/>
          <w:sz w:val="24"/>
          <w:highlight w:val="none"/>
        </w:rPr>
      </w:pPr>
      <w:r>
        <w:rPr>
          <w:rFonts w:eastAsia="仿宋_GB2312"/>
          <w:color w:val="auto"/>
          <w:sz w:val="24"/>
          <w:highlight w:val="none"/>
        </w:rPr>
        <w:t>鉴于你方与</w:t>
      </w:r>
      <w:r>
        <w:rPr>
          <w:rFonts w:eastAsia="仿宋_GB2312"/>
          <w:color w:val="auto"/>
          <w:sz w:val="24"/>
          <w:highlight w:val="none"/>
          <w:u w:val="single"/>
        </w:rPr>
        <w:t xml:space="preserve">                    </w:t>
      </w:r>
      <w:r>
        <w:rPr>
          <w:rFonts w:eastAsia="仿宋_GB2312"/>
          <w:color w:val="auto"/>
          <w:sz w:val="24"/>
          <w:highlight w:val="none"/>
        </w:rPr>
        <w:t>（以下简称供应商）于</w:t>
      </w:r>
      <w:r>
        <w:rPr>
          <w:rFonts w:eastAsia="仿宋_GB2312"/>
          <w:color w:val="auto"/>
          <w:sz w:val="24"/>
          <w:highlight w:val="none"/>
          <w:u w:val="single"/>
        </w:rPr>
        <w:t xml:space="preserve">   </w:t>
      </w:r>
      <w:r>
        <w:rPr>
          <w:rFonts w:eastAsia="仿宋_GB2312"/>
          <w:color w:val="auto"/>
          <w:sz w:val="24"/>
          <w:highlight w:val="none"/>
        </w:rPr>
        <w:t>年</w:t>
      </w:r>
      <w:r>
        <w:rPr>
          <w:rFonts w:eastAsia="仿宋_GB2312"/>
          <w:color w:val="auto"/>
          <w:sz w:val="24"/>
          <w:highlight w:val="none"/>
          <w:u w:val="single"/>
        </w:rPr>
        <w:t xml:space="preserve">  </w:t>
      </w:r>
      <w:r>
        <w:rPr>
          <w:rFonts w:eastAsia="仿宋_GB2312"/>
          <w:color w:val="auto"/>
          <w:sz w:val="24"/>
          <w:highlight w:val="none"/>
        </w:rPr>
        <w:t>月</w:t>
      </w:r>
      <w:r>
        <w:rPr>
          <w:rFonts w:eastAsia="仿宋_GB2312"/>
          <w:color w:val="auto"/>
          <w:sz w:val="24"/>
          <w:highlight w:val="none"/>
          <w:u w:val="single"/>
        </w:rPr>
        <w:t xml:space="preserve">  </w:t>
      </w:r>
      <w:r>
        <w:rPr>
          <w:rFonts w:eastAsia="仿宋_GB2312"/>
          <w:color w:val="auto"/>
          <w:sz w:val="24"/>
          <w:highlight w:val="none"/>
        </w:rPr>
        <w:t>日签定编号为   的《</w:t>
      </w:r>
      <w:r>
        <w:rPr>
          <w:rFonts w:eastAsia="仿宋_GB2312"/>
          <w:color w:val="auto"/>
          <w:sz w:val="24"/>
          <w:highlight w:val="none"/>
          <w:u w:val="single"/>
        </w:rPr>
        <w:t xml:space="preserve">           </w:t>
      </w:r>
      <w:r>
        <w:rPr>
          <w:rFonts w:eastAsia="仿宋_GB2312"/>
          <w:color w:val="auto"/>
          <w:sz w:val="24"/>
          <w:highlight w:val="none"/>
        </w:rPr>
        <w:t>政府采购合同》（以下简称主合同），且依据该合同的约定，供应商应在</w:t>
      </w:r>
      <w:r>
        <w:rPr>
          <w:rFonts w:eastAsia="仿宋_GB2312"/>
          <w:color w:val="auto"/>
          <w:sz w:val="24"/>
          <w:highlight w:val="none"/>
          <w:u w:val="single"/>
        </w:rPr>
        <w:t xml:space="preserve">    </w:t>
      </w:r>
      <w:r>
        <w:rPr>
          <w:rFonts w:eastAsia="仿宋_GB2312"/>
          <w:color w:val="auto"/>
          <w:sz w:val="24"/>
          <w:highlight w:val="none"/>
        </w:rPr>
        <w:t>年</w:t>
      </w:r>
      <w:r>
        <w:rPr>
          <w:rFonts w:eastAsia="仿宋_GB2312"/>
          <w:color w:val="auto"/>
          <w:sz w:val="24"/>
          <w:highlight w:val="none"/>
          <w:u w:val="single"/>
        </w:rPr>
        <w:t xml:space="preserve">     </w:t>
      </w:r>
      <w:r>
        <w:rPr>
          <w:rFonts w:eastAsia="仿宋_GB2312"/>
          <w:color w:val="auto"/>
          <w:sz w:val="24"/>
          <w:highlight w:val="none"/>
        </w:rPr>
        <w:t>月</w:t>
      </w:r>
      <w:r>
        <w:rPr>
          <w:rFonts w:eastAsia="仿宋_GB2312"/>
          <w:color w:val="auto"/>
          <w:sz w:val="24"/>
          <w:highlight w:val="none"/>
          <w:u w:val="single"/>
        </w:rPr>
        <w:t xml:space="preserve">    </w:t>
      </w:r>
      <w:r>
        <w:rPr>
          <w:rFonts w:eastAsia="仿宋_GB2312"/>
          <w:color w:val="auto"/>
          <w:sz w:val="24"/>
          <w:highlight w:val="none"/>
        </w:rPr>
        <w:t>日前向你方交纳履约保证金，且可以履约担保函的形式交纳履约保证金。应供应商的申请，我方以保证的方式向你方提供如下履约保证金担保：</w:t>
      </w:r>
    </w:p>
    <w:p w14:paraId="4059633D">
      <w:pPr>
        <w:shd w:val="clear" w:color="auto" w:fill="auto"/>
        <w:snapToGrid w:val="0"/>
        <w:spacing w:line="336" w:lineRule="auto"/>
        <w:ind w:firstLine="480" w:firstLineChars="200"/>
        <w:rPr>
          <w:rFonts w:eastAsia="仿宋_GB2312"/>
          <w:color w:val="auto"/>
          <w:sz w:val="24"/>
          <w:highlight w:val="none"/>
        </w:rPr>
      </w:pPr>
      <w:r>
        <w:rPr>
          <w:rFonts w:eastAsia="仿宋_GB2312"/>
          <w:color w:val="auto"/>
          <w:sz w:val="24"/>
          <w:highlight w:val="none"/>
        </w:rPr>
        <w:t>一、保证责任的情形及保证金额</w:t>
      </w:r>
    </w:p>
    <w:p w14:paraId="01310A63">
      <w:pPr>
        <w:shd w:val="clear" w:color="auto" w:fill="auto"/>
        <w:snapToGrid w:val="0"/>
        <w:spacing w:line="336" w:lineRule="auto"/>
        <w:ind w:firstLine="480" w:firstLineChars="200"/>
        <w:rPr>
          <w:rFonts w:eastAsia="仿宋_GB2312"/>
          <w:color w:val="auto"/>
          <w:sz w:val="24"/>
          <w:highlight w:val="none"/>
        </w:rPr>
      </w:pPr>
      <w:r>
        <w:rPr>
          <w:rFonts w:eastAsia="仿宋_GB2312"/>
          <w:color w:val="auto"/>
          <w:sz w:val="24"/>
          <w:highlight w:val="none"/>
        </w:rPr>
        <w:t>（一）在供应商出现下列情形之一时，我方承担保证责任：</w:t>
      </w:r>
    </w:p>
    <w:p w14:paraId="7F551627">
      <w:pPr>
        <w:shd w:val="clear" w:color="auto" w:fill="auto"/>
        <w:snapToGrid w:val="0"/>
        <w:spacing w:line="336" w:lineRule="auto"/>
        <w:ind w:firstLine="480" w:firstLineChars="200"/>
        <w:rPr>
          <w:rFonts w:eastAsia="仿宋_GB2312"/>
          <w:color w:val="auto"/>
          <w:sz w:val="24"/>
          <w:highlight w:val="none"/>
        </w:rPr>
      </w:pPr>
      <w:r>
        <w:rPr>
          <w:rFonts w:eastAsia="仿宋_GB2312"/>
          <w:color w:val="auto"/>
          <w:sz w:val="24"/>
          <w:highlight w:val="none"/>
        </w:rPr>
        <w:t>1．将中标项目转让给他人，或者在投标文件中未说明，且未经采购招标机构人同意，将中标项目分包给他人的；</w:t>
      </w:r>
    </w:p>
    <w:p w14:paraId="6D2CD42C">
      <w:pPr>
        <w:shd w:val="clear" w:color="auto" w:fill="auto"/>
        <w:snapToGrid w:val="0"/>
        <w:spacing w:line="336" w:lineRule="auto"/>
        <w:rPr>
          <w:rFonts w:eastAsia="仿宋_GB2312"/>
          <w:color w:val="auto"/>
          <w:sz w:val="24"/>
          <w:highlight w:val="none"/>
        </w:rPr>
      </w:pPr>
      <w:r>
        <w:rPr>
          <w:rFonts w:eastAsia="仿宋_GB2312"/>
          <w:color w:val="auto"/>
          <w:sz w:val="24"/>
          <w:highlight w:val="none"/>
        </w:rPr>
        <w:t xml:space="preserve">　　2．主合同约定的应当缴纳履约保证金的情形: </w:t>
      </w:r>
    </w:p>
    <w:p w14:paraId="51AC88ED">
      <w:pPr>
        <w:shd w:val="clear" w:color="auto" w:fill="auto"/>
        <w:snapToGrid w:val="0"/>
        <w:spacing w:line="336" w:lineRule="auto"/>
        <w:ind w:firstLine="480" w:firstLineChars="200"/>
        <w:rPr>
          <w:rFonts w:eastAsia="仿宋_GB2312"/>
          <w:color w:val="auto"/>
          <w:sz w:val="24"/>
          <w:highlight w:val="none"/>
        </w:rPr>
      </w:pPr>
      <w:r>
        <w:rPr>
          <w:rFonts w:eastAsia="仿宋_GB2312"/>
          <w:color w:val="auto"/>
          <w:sz w:val="24"/>
          <w:highlight w:val="none"/>
        </w:rPr>
        <w:t>（1）未按主合同约定的质量、数量和期限供应货物/提供服务/完成工程的；</w:t>
      </w:r>
    </w:p>
    <w:p w14:paraId="5D7F97EB">
      <w:pPr>
        <w:shd w:val="clear" w:color="auto" w:fill="auto"/>
        <w:snapToGrid w:val="0"/>
        <w:spacing w:line="336" w:lineRule="auto"/>
        <w:ind w:firstLine="480" w:firstLineChars="200"/>
        <w:rPr>
          <w:rFonts w:eastAsia="仿宋_GB2312"/>
          <w:color w:val="auto"/>
          <w:sz w:val="24"/>
          <w:highlight w:val="none"/>
        </w:rPr>
      </w:pPr>
      <w:r>
        <w:rPr>
          <w:rFonts w:eastAsia="仿宋_GB2312"/>
          <w:color w:val="auto"/>
          <w:sz w:val="24"/>
          <w:highlight w:val="none"/>
        </w:rPr>
        <w:t>（2）</w:t>
      </w:r>
      <w:r>
        <w:rPr>
          <w:rFonts w:eastAsia="仿宋_GB2312"/>
          <w:color w:val="auto"/>
          <w:sz w:val="24"/>
          <w:highlight w:val="none"/>
          <w:u w:val="single"/>
        </w:rPr>
        <w:t xml:space="preserve">                                                           </w:t>
      </w:r>
      <w:r>
        <w:rPr>
          <w:rFonts w:eastAsia="仿宋_GB2312"/>
          <w:color w:val="auto"/>
          <w:sz w:val="24"/>
          <w:highlight w:val="none"/>
        </w:rPr>
        <w:t>。</w:t>
      </w:r>
    </w:p>
    <w:p w14:paraId="440B9EBB">
      <w:pPr>
        <w:shd w:val="clear" w:color="auto" w:fill="auto"/>
        <w:snapToGrid w:val="0"/>
        <w:spacing w:line="336" w:lineRule="auto"/>
        <w:ind w:firstLine="480" w:firstLineChars="200"/>
        <w:rPr>
          <w:rFonts w:eastAsia="仿宋_GB2312"/>
          <w:color w:val="auto"/>
          <w:sz w:val="24"/>
          <w:highlight w:val="none"/>
        </w:rPr>
      </w:pPr>
      <w:r>
        <w:rPr>
          <w:rFonts w:eastAsia="仿宋_GB2312"/>
          <w:color w:val="auto"/>
          <w:sz w:val="24"/>
          <w:highlight w:val="none"/>
        </w:rPr>
        <w:t>（二）我方的保证范围是主合同约定的合同价款总额的</w:t>
      </w:r>
      <w:r>
        <w:rPr>
          <w:rFonts w:eastAsia="仿宋_GB2312"/>
          <w:color w:val="auto"/>
          <w:sz w:val="24"/>
          <w:highlight w:val="none"/>
          <w:u w:val="single"/>
        </w:rPr>
        <w:t xml:space="preserve">        </w:t>
      </w:r>
      <w:r>
        <w:rPr>
          <w:rFonts w:eastAsia="仿宋_GB2312"/>
          <w:color w:val="auto"/>
          <w:sz w:val="24"/>
          <w:highlight w:val="none"/>
        </w:rPr>
        <w:t>%数额为</w:t>
      </w:r>
      <w:r>
        <w:rPr>
          <w:rFonts w:eastAsia="仿宋_GB2312"/>
          <w:color w:val="auto"/>
          <w:sz w:val="24"/>
          <w:highlight w:val="none"/>
          <w:u w:val="single"/>
        </w:rPr>
        <w:t xml:space="preserve">         </w:t>
      </w:r>
      <w:r>
        <w:rPr>
          <w:rFonts w:eastAsia="仿宋_GB2312"/>
          <w:color w:val="auto"/>
          <w:sz w:val="24"/>
          <w:highlight w:val="none"/>
        </w:rPr>
        <w:t>元（大写</w:t>
      </w:r>
      <w:r>
        <w:rPr>
          <w:rFonts w:eastAsia="仿宋_GB2312"/>
          <w:color w:val="auto"/>
          <w:sz w:val="24"/>
          <w:highlight w:val="none"/>
          <w:u w:val="single"/>
        </w:rPr>
        <w:t xml:space="preserve">           </w:t>
      </w:r>
      <w:r>
        <w:rPr>
          <w:rFonts w:eastAsia="仿宋_GB2312"/>
          <w:color w:val="auto"/>
          <w:sz w:val="24"/>
          <w:highlight w:val="none"/>
        </w:rPr>
        <w:t>），币种为</w:t>
      </w:r>
      <w:r>
        <w:rPr>
          <w:rFonts w:eastAsia="仿宋_GB2312"/>
          <w:color w:val="auto"/>
          <w:sz w:val="24"/>
          <w:highlight w:val="none"/>
          <w:u w:val="single"/>
        </w:rPr>
        <w:t xml:space="preserve">        </w:t>
      </w:r>
      <w:r>
        <w:rPr>
          <w:rFonts w:eastAsia="仿宋_GB2312"/>
          <w:color w:val="auto"/>
          <w:sz w:val="24"/>
          <w:highlight w:val="none"/>
        </w:rPr>
        <w:t>。（即主合同履约保证金金额）</w:t>
      </w:r>
    </w:p>
    <w:p w14:paraId="445EBD08">
      <w:pPr>
        <w:shd w:val="clear" w:color="auto" w:fill="auto"/>
        <w:snapToGrid w:val="0"/>
        <w:spacing w:line="336" w:lineRule="auto"/>
        <w:ind w:firstLine="480" w:firstLineChars="200"/>
        <w:rPr>
          <w:rFonts w:eastAsia="仿宋_GB2312"/>
          <w:color w:val="auto"/>
          <w:sz w:val="24"/>
          <w:highlight w:val="none"/>
        </w:rPr>
      </w:pPr>
      <w:r>
        <w:rPr>
          <w:rFonts w:eastAsia="仿宋_GB2312"/>
          <w:color w:val="auto"/>
          <w:sz w:val="24"/>
          <w:highlight w:val="none"/>
        </w:rPr>
        <w:t>二、保证的方式及保证期间</w:t>
      </w:r>
    </w:p>
    <w:p w14:paraId="1B3B558C">
      <w:pPr>
        <w:shd w:val="clear" w:color="auto" w:fill="auto"/>
        <w:snapToGrid w:val="0"/>
        <w:spacing w:line="336" w:lineRule="auto"/>
        <w:ind w:firstLine="480" w:firstLineChars="200"/>
        <w:rPr>
          <w:rFonts w:eastAsia="仿宋_GB2312"/>
          <w:color w:val="auto"/>
          <w:sz w:val="24"/>
          <w:highlight w:val="none"/>
        </w:rPr>
      </w:pPr>
      <w:r>
        <w:rPr>
          <w:rFonts w:eastAsia="仿宋_GB2312"/>
          <w:color w:val="auto"/>
          <w:sz w:val="24"/>
          <w:highlight w:val="none"/>
        </w:rPr>
        <w:t>我方保证的方式为：连带责任保证。</w:t>
      </w:r>
    </w:p>
    <w:p w14:paraId="7B51E10C">
      <w:pPr>
        <w:shd w:val="clear" w:color="auto" w:fill="auto"/>
        <w:snapToGrid w:val="0"/>
        <w:spacing w:line="336" w:lineRule="auto"/>
        <w:ind w:firstLine="480" w:firstLineChars="200"/>
        <w:rPr>
          <w:rFonts w:eastAsia="仿宋_GB2312"/>
          <w:color w:val="auto"/>
          <w:sz w:val="24"/>
          <w:highlight w:val="none"/>
        </w:rPr>
      </w:pPr>
      <w:r>
        <w:rPr>
          <w:rFonts w:eastAsia="仿宋_GB2312"/>
          <w:color w:val="auto"/>
          <w:sz w:val="24"/>
          <w:highlight w:val="none"/>
        </w:rPr>
        <w:t>我方保证的期间为：自本合同生效之日起至供应商按照主合同约定的供货/完工期限届满后</w:t>
      </w:r>
      <w:r>
        <w:rPr>
          <w:rFonts w:eastAsia="仿宋_GB2312"/>
          <w:color w:val="auto"/>
          <w:sz w:val="24"/>
          <w:highlight w:val="none"/>
          <w:u w:val="single"/>
        </w:rPr>
        <w:t xml:space="preserve">     </w:t>
      </w:r>
      <w:r>
        <w:rPr>
          <w:rFonts w:eastAsia="仿宋_GB2312"/>
          <w:color w:val="auto"/>
          <w:sz w:val="24"/>
          <w:highlight w:val="none"/>
        </w:rPr>
        <w:t>日内。</w:t>
      </w:r>
    </w:p>
    <w:p w14:paraId="2DD448E1">
      <w:pPr>
        <w:shd w:val="clear" w:color="auto" w:fill="auto"/>
        <w:snapToGrid w:val="0"/>
        <w:spacing w:line="336" w:lineRule="auto"/>
        <w:ind w:firstLine="480" w:firstLineChars="200"/>
        <w:rPr>
          <w:rFonts w:eastAsia="仿宋_GB2312"/>
          <w:color w:val="auto"/>
          <w:sz w:val="24"/>
          <w:highlight w:val="none"/>
        </w:rPr>
      </w:pPr>
      <w:r>
        <w:rPr>
          <w:rFonts w:eastAsia="仿宋_GB2312"/>
          <w:color w:val="auto"/>
          <w:sz w:val="24"/>
          <w:highlight w:val="none"/>
        </w:rPr>
        <w:t>如果供应商未按主合同约定向贵方供应货物/提供服务/完成工程的，由我方在保证金额内向你方支付上述款项。</w:t>
      </w:r>
    </w:p>
    <w:p w14:paraId="26101654">
      <w:pPr>
        <w:shd w:val="clear" w:color="auto" w:fill="auto"/>
        <w:snapToGrid w:val="0"/>
        <w:spacing w:line="336" w:lineRule="auto"/>
        <w:ind w:firstLine="480" w:firstLineChars="200"/>
        <w:rPr>
          <w:rFonts w:eastAsia="仿宋_GB2312"/>
          <w:color w:val="auto"/>
          <w:sz w:val="24"/>
          <w:highlight w:val="none"/>
        </w:rPr>
      </w:pPr>
      <w:r>
        <w:rPr>
          <w:rFonts w:eastAsia="仿宋_GB2312"/>
          <w:color w:val="auto"/>
          <w:sz w:val="24"/>
          <w:highlight w:val="none"/>
        </w:rPr>
        <w:t>三、承担保证责任的程序</w:t>
      </w:r>
    </w:p>
    <w:p w14:paraId="415B6B28">
      <w:pPr>
        <w:shd w:val="clear" w:color="auto" w:fill="auto"/>
        <w:snapToGrid w:val="0"/>
        <w:spacing w:line="336" w:lineRule="auto"/>
        <w:ind w:firstLine="480" w:firstLineChars="200"/>
        <w:rPr>
          <w:rFonts w:eastAsia="仿宋_GB2312"/>
          <w:color w:val="auto"/>
          <w:sz w:val="24"/>
          <w:highlight w:val="none"/>
        </w:rPr>
      </w:pPr>
      <w:r>
        <w:rPr>
          <w:rFonts w:eastAsia="仿宋_GB2312"/>
          <w:color w:val="auto"/>
          <w:sz w:val="24"/>
          <w:highlight w:val="none"/>
        </w:rPr>
        <w:t>1．你方要求我方承担保证责任的，应在本保函保证期间内向我方发出书面索赔通知。索赔通知应写明要求索赔的金额，支付款项应到达的账号。并附有证明供应商违约事实的证明材料。</w:t>
      </w:r>
    </w:p>
    <w:p w14:paraId="3F215EF4">
      <w:pPr>
        <w:shd w:val="clear" w:color="auto" w:fill="auto"/>
        <w:snapToGrid w:val="0"/>
        <w:spacing w:line="336" w:lineRule="auto"/>
        <w:ind w:firstLine="480" w:firstLineChars="200"/>
        <w:rPr>
          <w:rFonts w:eastAsia="仿宋_GB2312"/>
          <w:color w:val="auto"/>
          <w:sz w:val="24"/>
          <w:highlight w:val="none"/>
        </w:rPr>
      </w:pPr>
      <w:r>
        <w:rPr>
          <w:rFonts w:eastAsia="仿宋_GB2312"/>
          <w:color w:val="auto"/>
          <w:sz w:val="24"/>
          <w:highlight w:val="none"/>
        </w:rPr>
        <w:t>如果你方与供应商因货物质量问题产生争议，你方还需同时提供</w:t>
      </w:r>
      <w:r>
        <w:rPr>
          <w:rFonts w:eastAsia="仿宋_GB2312"/>
          <w:color w:val="auto"/>
          <w:sz w:val="24"/>
          <w:highlight w:val="none"/>
          <w:u w:val="single"/>
        </w:rPr>
        <w:t xml:space="preserve">        </w:t>
      </w:r>
      <w:r>
        <w:rPr>
          <w:rFonts w:eastAsia="仿宋_GB2312"/>
          <w:color w:val="auto"/>
          <w:sz w:val="24"/>
          <w:highlight w:val="none"/>
        </w:rPr>
        <w:t>部门出具的质量检测报告，或经诉讼（仲裁）程序裁决后的裁决书、调解书，本保证人即按照检测结果或裁决书、调解书决定是否承担保证责任。</w:t>
      </w:r>
    </w:p>
    <w:p w14:paraId="03D663A8">
      <w:pPr>
        <w:shd w:val="clear" w:color="auto" w:fill="auto"/>
        <w:snapToGrid w:val="0"/>
        <w:spacing w:line="336" w:lineRule="auto"/>
        <w:ind w:firstLine="480" w:firstLineChars="200"/>
        <w:rPr>
          <w:rFonts w:eastAsia="仿宋_GB2312"/>
          <w:color w:val="auto"/>
          <w:sz w:val="24"/>
          <w:highlight w:val="none"/>
        </w:rPr>
      </w:pPr>
      <w:r>
        <w:rPr>
          <w:rFonts w:eastAsia="仿宋_GB2312"/>
          <w:color w:val="auto"/>
          <w:sz w:val="24"/>
          <w:highlight w:val="none"/>
        </w:rPr>
        <w:t>2． 我方收到你方的书面索赔通知及相应证明材料，在</w:t>
      </w:r>
      <w:r>
        <w:rPr>
          <w:rFonts w:eastAsia="仿宋_GB2312"/>
          <w:color w:val="auto"/>
          <w:sz w:val="24"/>
          <w:highlight w:val="none"/>
          <w:u w:val="single"/>
        </w:rPr>
        <w:t xml:space="preserve">     </w:t>
      </w:r>
      <w:r>
        <w:rPr>
          <w:rFonts w:eastAsia="仿宋_GB2312"/>
          <w:color w:val="auto"/>
          <w:sz w:val="24"/>
          <w:highlight w:val="none"/>
        </w:rPr>
        <w:t>工作日内进行核定后按照本保函的承诺承担保证责任。</w:t>
      </w:r>
    </w:p>
    <w:p w14:paraId="3CC78047">
      <w:pPr>
        <w:shd w:val="clear" w:color="auto" w:fill="auto"/>
        <w:snapToGrid w:val="0"/>
        <w:spacing w:line="336" w:lineRule="auto"/>
        <w:ind w:firstLine="480" w:firstLineChars="200"/>
        <w:rPr>
          <w:rFonts w:eastAsia="仿宋_GB2312"/>
          <w:color w:val="auto"/>
          <w:sz w:val="24"/>
          <w:highlight w:val="none"/>
        </w:rPr>
      </w:pPr>
      <w:r>
        <w:rPr>
          <w:rFonts w:eastAsia="仿宋_GB2312"/>
          <w:color w:val="auto"/>
          <w:sz w:val="24"/>
          <w:highlight w:val="none"/>
        </w:rPr>
        <w:t>四、保证责任的终止</w:t>
      </w:r>
    </w:p>
    <w:p w14:paraId="44073646">
      <w:pPr>
        <w:shd w:val="clear" w:color="auto" w:fill="auto"/>
        <w:snapToGrid w:val="0"/>
        <w:spacing w:line="336" w:lineRule="auto"/>
        <w:ind w:firstLine="480" w:firstLineChars="200"/>
        <w:rPr>
          <w:rFonts w:eastAsia="仿宋_GB2312"/>
          <w:color w:val="auto"/>
          <w:sz w:val="24"/>
          <w:highlight w:val="none"/>
        </w:rPr>
      </w:pPr>
      <w:r>
        <w:rPr>
          <w:rFonts w:eastAsia="仿宋_GB2312"/>
          <w:color w:val="auto"/>
          <w:sz w:val="24"/>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380916E2">
      <w:pPr>
        <w:shd w:val="clear" w:color="auto" w:fill="auto"/>
        <w:snapToGrid w:val="0"/>
        <w:spacing w:line="336" w:lineRule="auto"/>
        <w:ind w:firstLine="480" w:firstLineChars="200"/>
        <w:rPr>
          <w:rFonts w:eastAsia="仿宋_GB2312"/>
          <w:color w:val="auto"/>
          <w:sz w:val="24"/>
          <w:highlight w:val="none"/>
        </w:rPr>
      </w:pPr>
      <w:r>
        <w:rPr>
          <w:rFonts w:eastAsia="仿宋_GB2312"/>
          <w:color w:val="auto"/>
          <w:sz w:val="24"/>
          <w:highlight w:val="none"/>
        </w:rPr>
        <w:t>2．我方按照本保函向你方履行了保证责任后，自我方向你方支付款项（支付款项从我方账户划出）之日起，保证责任即终止。</w:t>
      </w:r>
    </w:p>
    <w:p w14:paraId="2C50AD04">
      <w:pPr>
        <w:shd w:val="clear" w:color="auto" w:fill="auto"/>
        <w:snapToGrid w:val="0"/>
        <w:spacing w:line="336" w:lineRule="auto"/>
        <w:ind w:firstLine="480" w:firstLineChars="200"/>
        <w:rPr>
          <w:rFonts w:eastAsia="仿宋_GB2312"/>
          <w:color w:val="auto"/>
          <w:sz w:val="24"/>
          <w:highlight w:val="none"/>
        </w:rPr>
      </w:pPr>
      <w:r>
        <w:rPr>
          <w:rFonts w:eastAsia="仿宋_GB2312"/>
          <w:color w:val="auto"/>
          <w:sz w:val="24"/>
          <w:highlight w:val="none"/>
        </w:rPr>
        <w:t>3．按照法律法规的规定或出现应终止我方保证责任的其它情形的，我方在本保函项下的保证责任亦终止。</w:t>
      </w:r>
    </w:p>
    <w:p w14:paraId="2DB3E277">
      <w:pPr>
        <w:shd w:val="clear" w:color="auto" w:fill="auto"/>
        <w:snapToGrid w:val="0"/>
        <w:spacing w:line="336" w:lineRule="auto"/>
        <w:ind w:firstLine="480" w:firstLineChars="200"/>
        <w:rPr>
          <w:rFonts w:eastAsia="仿宋_GB2312"/>
          <w:color w:val="auto"/>
          <w:sz w:val="24"/>
          <w:highlight w:val="none"/>
        </w:rPr>
      </w:pPr>
      <w:r>
        <w:rPr>
          <w:rFonts w:eastAsia="仿宋_GB2312"/>
          <w:color w:val="auto"/>
          <w:sz w:val="24"/>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776B725B">
      <w:pPr>
        <w:shd w:val="clear" w:color="auto" w:fill="auto"/>
        <w:snapToGrid w:val="0"/>
        <w:spacing w:line="336" w:lineRule="auto"/>
        <w:ind w:firstLine="480" w:firstLineChars="200"/>
        <w:rPr>
          <w:rFonts w:eastAsia="仿宋_GB2312"/>
          <w:color w:val="auto"/>
          <w:sz w:val="24"/>
          <w:highlight w:val="none"/>
        </w:rPr>
      </w:pPr>
      <w:r>
        <w:rPr>
          <w:rFonts w:eastAsia="仿宋_GB2312"/>
          <w:color w:val="auto"/>
          <w:sz w:val="24"/>
          <w:highlight w:val="none"/>
        </w:rPr>
        <w:t>五、免责条款</w:t>
      </w:r>
    </w:p>
    <w:p w14:paraId="470E8AED">
      <w:pPr>
        <w:shd w:val="clear" w:color="auto" w:fill="auto"/>
        <w:snapToGrid w:val="0"/>
        <w:spacing w:line="336" w:lineRule="auto"/>
        <w:ind w:firstLine="480" w:firstLineChars="200"/>
        <w:rPr>
          <w:rFonts w:eastAsia="仿宋_GB2312"/>
          <w:color w:val="auto"/>
          <w:sz w:val="24"/>
          <w:highlight w:val="none"/>
        </w:rPr>
      </w:pPr>
      <w:r>
        <w:rPr>
          <w:rFonts w:eastAsia="仿宋_GB2312"/>
          <w:color w:val="auto"/>
          <w:sz w:val="24"/>
          <w:highlight w:val="none"/>
        </w:rPr>
        <w:t>1．因你方违反主合同约定致使供应商不能履行义务的，我方不承担保证责任。</w:t>
      </w:r>
    </w:p>
    <w:p w14:paraId="16839908">
      <w:pPr>
        <w:shd w:val="clear" w:color="auto" w:fill="auto"/>
        <w:snapToGrid w:val="0"/>
        <w:spacing w:line="336" w:lineRule="auto"/>
        <w:ind w:firstLine="480" w:firstLineChars="200"/>
        <w:rPr>
          <w:rFonts w:eastAsia="仿宋_GB2312"/>
          <w:color w:val="auto"/>
          <w:sz w:val="24"/>
          <w:highlight w:val="none"/>
        </w:rPr>
      </w:pPr>
      <w:r>
        <w:rPr>
          <w:rFonts w:eastAsia="仿宋_GB2312"/>
          <w:color w:val="auto"/>
          <w:sz w:val="24"/>
          <w:highlight w:val="none"/>
        </w:rPr>
        <w:t>2．依照法律法规的规定或你方与供应商的另行约定，全部或者部分免除供应商应缴纳的保证金义务的，我方亦免除相应的保证责任。</w:t>
      </w:r>
    </w:p>
    <w:p w14:paraId="29C3B942">
      <w:pPr>
        <w:shd w:val="clear" w:color="auto" w:fill="auto"/>
        <w:snapToGrid w:val="0"/>
        <w:spacing w:line="336" w:lineRule="auto"/>
        <w:ind w:firstLine="480" w:firstLineChars="200"/>
        <w:rPr>
          <w:rFonts w:eastAsia="仿宋_GB2312"/>
          <w:color w:val="auto"/>
          <w:sz w:val="24"/>
          <w:highlight w:val="none"/>
        </w:rPr>
      </w:pPr>
      <w:r>
        <w:rPr>
          <w:rFonts w:eastAsia="仿宋_GB2312"/>
          <w:color w:val="auto"/>
          <w:sz w:val="24"/>
          <w:highlight w:val="none"/>
        </w:rPr>
        <w:t>3．因不可抗力造成供应商不能履行供货义务的，我方不承担保证责任。</w:t>
      </w:r>
    </w:p>
    <w:p w14:paraId="43AC33BE">
      <w:pPr>
        <w:shd w:val="clear" w:color="auto" w:fill="auto"/>
        <w:snapToGrid w:val="0"/>
        <w:spacing w:line="336" w:lineRule="auto"/>
        <w:ind w:firstLine="480" w:firstLineChars="200"/>
        <w:rPr>
          <w:rFonts w:eastAsia="仿宋_GB2312"/>
          <w:color w:val="auto"/>
          <w:sz w:val="24"/>
          <w:highlight w:val="none"/>
        </w:rPr>
      </w:pPr>
      <w:r>
        <w:rPr>
          <w:rFonts w:eastAsia="仿宋_GB2312"/>
          <w:color w:val="auto"/>
          <w:sz w:val="24"/>
          <w:highlight w:val="none"/>
        </w:rPr>
        <w:t>六、争议的解决</w:t>
      </w:r>
    </w:p>
    <w:p w14:paraId="3408DA9D">
      <w:pPr>
        <w:shd w:val="clear" w:color="auto" w:fill="auto"/>
        <w:snapToGrid w:val="0"/>
        <w:spacing w:line="336" w:lineRule="auto"/>
        <w:ind w:firstLine="480" w:firstLineChars="200"/>
        <w:rPr>
          <w:rFonts w:eastAsia="仿宋_GB2312"/>
          <w:color w:val="auto"/>
          <w:sz w:val="24"/>
          <w:highlight w:val="none"/>
        </w:rPr>
      </w:pPr>
      <w:r>
        <w:rPr>
          <w:rFonts w:eastAsia="仿宋_GB2312"/>
          <w:color w:val="auto"/>
          <w:sz w:val="24"/>
          <w:highlight w:val="none"/>
        </w:rPr>
        <w:t>因本保函发生的纠纷，由你我双方协商解决，协商不成的，通过诉讼程序解决，诉讼管辖地法院为</w:t>
      </w:r>
      <w:r>
        <w:rPr>
          <w:rFonts w:eastAsia="仿宋_GB2312"/>
          <w:color w:val="auto"/>
          <w:sz w:val="24"/>
          <w:highlight w:val="none"/>
          <w:u w:val="single"/>
        </w:rPr>
        <w:t xml:space="preserve">        </w:t>
      </w:r>
      <w:r>
        <w:rPr>
          <w:rFonts w:eastAsia="仿宋_GB2312"/>
          <w:color w:val="auto"/>
          <w:sz w:val="24"/>
          <w:highlight w:val="none"/>
        </w:rPr>
        <w:t>法院。</w:t>
      </w:r>
    </w:p>
    <w:p w14:paraId="552853BE">
      <w:pPr>
        <w:shd w:val="clear" w:color="auto" w:fill="auto"/>
        <w:snapToGrid w:val="0"/>
        <w:spacing w:line="336" w:lineRule="auto"/>
        <w:ind w:firstLine="480" w:firstLineChars="200"/>
        <w:rPr>
          <w:rFonts w:eastAsia="仿宋_GB2312"/>
          <w:color w:val="auto"/>
          <w:sz w:val="24"/>
          <w:highlight w:val="none"/>
        </w:rPr>
      </w:pPr>
      <w:r>
        <w:rPr>
          <w:rFonts w:eastAsia="仿宋_GB2312"/>
          <w:color w:val="auto"/>
          <w:sz w:val="24"/>
          <w:highlight w:val="none"/>
        </w:rPr>
        <w:t>七、保函的生效</w:t>
      </w:r>
    </w:p>
    <w:p w14:paraId="63D0FB6D">
      <w:pPr>
        <w:shd w:val="clear" w:color="auto" w:fill="auto"/>
        <w:snapToGrid w:val="0"/>
        <w:spacing w:line="336" w:lineRule="auto"/>
        <w:ind w:firstLine="480" w:firstLineChars="200"/>
        <w:rPr>
          <w:rFonts w:eastAsia="仿宋_GB2312"/>
          <w:color w:val="auto"/>
          <w:sz w:val="24"/>
          <w:highlight w:val="none"/>
        </w:rPr>
      </w:pPr>
      <w:r>
        <w:rPr>
          <w:rFonts w:eastAsia="仿宋_GB2312"/>
          <w:color w:val="auto"/>
          <w:sz w:val="24"/>
          <w:highlight w:val="none"/>
        </w:rPr>
        <w:t>本保函自我方加盖公章之日起生效。</w:t>
      </w:r>
    </w:p>
    <w:p w14:paraId="368CB32F">
      <w:pPr>
        <w:shd w:val="clear" w:color="auto" w:fill="auto"/>
        <w:snapToGrid w:val="0"/>
        <w:spacing w:line="336" w:lineRule="auto"/>
        <w:rPr>
          <w:rFonts w:eastAsia="仿宋_GB2312"/>
          <w:color w:val="auto"/>
          <w:sz w:val="24"/>
          <w:highlight w:val="none"/>
        </w:rPr>
      </w:pPr>
    </w:p>
    <w:p w14:paraId="6CB4E460">
      <w:pPr>
        <w:shd w:val="clear" w:color="auto" w:fill="auto"/>
        <w:snapToGrid w:val="0"/>
        <w:spacing w:line="336" w:lineRule="auto"/>
        <w:rPr>
          <w:rFonts w:eastAsia="仿宋_GB2312"/>
          <w:color w:val="auto"/>
          <w:sz w:val="24"/>
          <w:highlight w:val="none"/>
        </w:rPr>
      </w:pPr>
      <w:r>
        <w:rPr>
          <w:rFonts w:eastAsia="仿宋_GB2312"/>
          <w:color w:val="auto"/>
          <w:sz w:val="24"/>
          <w:highlight w:val="none"/>
        </w:rPr>
        <w:t xml:space="preserve">                                      </w:t>
      </w:r>
    </w:p>
    <w:p w14:paraId="0AF2780B">
      <w:pPr>
        <w:pStyle w:val="18"/>
        <w:shd w:val="clear" w:color="auto" w:fill="auto"/>
        <w:spacing w:line="360" w:lineRule="auto"/>
        <w:ind w:left="1079" w:leftChars="257" w:hanging="540"/>
        <w:rPr>
          <w:rFonts w:ascii="Times New Roman" w:hAnsi="Times New Roman" w:eastAsia="仿宋_GB2312"/>
          <w:color w:val="auto"/>
          <w:sz w:val="24"/>
          <w:highlight w:val="none"/>
        </w:rPr>
      </w:pPr>
      <w:r>
        <w:rPr>
          <w:rFonts w:ascii="Times New Roman" w:hAnsi="Times New Roman" w:eastAsia="仿宋_GB2312"/>
          <w:color w:val="auto"/>
          <w:sz w:val="24"/>
          <w:highlight w:val="none"/>
        </w:rPr>
        <w:t>出具保函单位名称（盖公章）：</w:t>
      </w:r>
      <w:r>
        <w:rPr>
          <w:rFonts w:ascii="Times New Roman" w:hAnsi="Times New Roman" w:eastAsia="仿宋_GB2312"/>
          <w:color w:val="auto"/>
          <w:sz w:val="24"/>
          <w:highlight w:val="none"/>
          <w:u w:val="single"/>
        </w:rPr>
        <w:t xml:space="preserve">                   </w:t>
      </w:r>
    </w:p>
    <w:p w14:paraId="087F8CE3">
      <w:pPr>
        <w:pStyle w:val="18"/>
        <w:shd w:val="clear" w:color="auto" w:fill="auto"/>
        <w:spacing w:line="360" w:lineRule="auto"/>
        <w:ind w:left="1079" w:leftChars="257" w:hanging="540"/>
        <w:rPr>
          <w:rFonts w:ascii="Times New Roman" w:hAnsi="Times New Roman" w:eastAsia="仿宋_GB2312"/>
          <w:color w:val="auto"/>
          <w:sz w:val="24"/>
          <w:highlight w:val="none"/>
          <w:u w:val="single"/>
        </w:rPr>
      </w:pPr>
      <w:r>
        <w:rPr>
          <w:rFonts w:ascii="Times New Roman" w:hAnsi="Times New Roman" w:eastAsia="仿宋_GB2312"/>
          <w:color w:val="auto"/>
          <w:sz w:val="24"/>
          <w:highlight w:val="none"/>
        </w:rPr>
        <w:t>签字人姓名和职务：</w:t>
      </w:r>
      <w:r>
        <w:rPr>
          <w:rFonts w:ascii="Times New Roman" w:hAnsi="Times New Roman" w:eastAsia="仿宋_GB2312"/>
          <w:color w:val="auto"/>
          <w:sz w:val="24"/>
          <w:highlight w:val="none"/>
          <w:u w:val="single"/>
        </w:rPr>
        <w:t xml:space="preserve">                             </w:t>
      </w:r>
    </w:p>
    <w:p w14:paraId="30D85FCE">
      <w:pPr>
        <w:pStyle w:val="18"/>
        <w:shd w:val="clear" w:color="auto" w:fill="auto"/>
        <w:spacing w:line="360" w:lineRule="auto"/>
        <w:ind w:left="1079" w:leftChars="257" w:hanging="540"/>
        <w:rPr>
          <w:rFonts w:ascii="Times New Roman" w:hAnsi="Times New Roman" w:eastAsia="仿宋_GB2312"/>
          <w:color w:val="auto"/>
          <w:sz w:val="24"/>
          <w:highlight w:val="none"/>
        </w:rPr>
      </w:pPr>
      <w:r>
        <w:rPr>
          <w:rFonts w:ascii="Times New Roman" w:hAnsi="Times New Roman" w:eastAsia="仿宋_GB2312"/>
          <w:color w:val="auto"/>
          <w:sz w:val="24"/>
          <w:highlight w:val="none"/>
        </w:rPr>
        <w:t>签字人签名：</w:t>
      </w:r>
      <w:r>
        <w:rPr>
          <w:rFonts w:ascii="Times New Roman" w:hAnsi="Times New Roman" w:eastAsia="仿宋_GB2312"/>
          <w:color w:val="auto"/>
          <w:sz w:val="24"/>
          <w:highlight w:val="none"/>
          <w:u w:val="single"/>
        </w:rPr>
        <w:t xml:space="preserve">                                   </w:t>
      </w:r>
    </w:p>
    <w:p w14:paraId="79355AD9">
      <w:pPr>
        <w:pStyle w:val="18"/>
        <w:shd w:val="clear" w:color="auto" w:fill="auto"/>
        <w:spacing w:line="360" w:lineRule="auto"/>
        <w:ind w:left="1079" w:leftChars="257" w:hanging="540"/>
        <w:rPr>
          <w:rFonts w:ascii="Times New Roman" w:hAnsi="Times New Roman" w:eastAsia="仿宋_GB2312"/>
          <w:color w:val="auto"/>
          <w:sz w:val="24"/>
          <w:highlight w:val="none"/>
          <w:u w:val="single"/>
        </w:rPr>
      </w:pPr>
      <w:r>
        <w:rPr>
          <w:rFonts w:ascii="Times New Roman" w:hAnsi="Times New Roman" w:eastAsia="仿宋_GB2312"/>
          <w:color w:val="auto"/>
          <w:sz w:val="24"/>
          <w:highlight w:val="none"/>
        </w:rPr>
        <w:t>时间：</w:t>
      </w:r>
      <w:r>
        <w:rPr>
          <w:rFonts w:ascii="Times New Roman" w:hAnsi="Times New Roman" w:eastAsia="仿宋_GB2312"/>
          <w:color w:val="auto"/>
          <w:sz w:val="24"/>
          <w:highlight w:val="none"/>
          <w:u w:val="single"/>
        </w:rPr>
        <w:t xml:space="preserve">         年      月      日              </w:t>
      </w:r>
    </w:p>
    <w:p w14:paraId="20D2179E">
      <w:pPr>
        <w:pStyle w:val="18"/>
        <w:shd w:val="clear" w:color="auto" w:fill="auto"/>
        <w:spacing w:line="360" w:lineRule="auto"/>
        <w:ind w:left="1079" w:leftChars="257" w:hanging="540"/>
        <w:rPr>
          <w:rFonts w:ascii="Times New Roman" w:hAnsi="Times New Roman" w:eastAsia="仿宋_GB2312"/>
          <w:color w:val="auto"/>
          <w:sz w:val="24"/>
          <w:highlight w:val="none"/>
          <w:u w:val="single"/>
        </w:rPr>
      </w:pPr>
    </w:p>
    <w:p w14:paraId="1C842396">
      <w:pPr>
        <w:pStyle w:val="7"/>
        <w:shd w:val="clear" w:color="auto" w:fill="auto"/>
        <w:spacing w:line="360" w:lineRule="auto"/>
        <w:ind w:firstLine="0"/>
        <w:rPr>
          <w:rFonts w:ascii="Times New Roman" w:eastAsia="仿宋_GB2312"/>
          <w:color w:val="auto"/>
          <w:kern w:val="2"/>
          <w:szCs w:val="24"/>
          <w:highlight w:val="none"/>
        </w:rPr>
      </w:pPr>
    </w:p>
    <w:p w14:paraId="22DC8364">
      <w:pPr>
        <w:pStyle w:val="33"/>
        <w:shd w:val="clear" w:color="auto" w:fill="auto"/>
        <w:rPr>
          <w:rFonts w:ascii="Times New Roman" w:hAnsi="Times New Roman"/>
          <w:color w:val="auto"/>
          <w:highlight w:val="none"/>
        </w:rPr>
      </w:pPr>
      <w:bookmarkStart w:id="332" w:name="_Toc507399907"/>
      <w:bookmarkStart w:id="333" w:name="_Toc7971"/>
      <w:bookmarkStart w:id="334" w:name="_Toc515647832"/>
      <w:bookmarkStart w:id="335" w:name="_Toc532473756"/>
      <w:bookmarkStart w:id="336" w:name="_Toc532044540"/>
      <w:bookmarkStart w:id="337" w:name="_Toc32647"/>
      <w:bookmarkStart w:id="338" w:name="_Toc216582812"/>
      <w:bookmarkStart w:id="339" w:name="_Toc702"/>
      <w:bookmarkStart w:id="340" w:name="_Toc728"/>
      <w:bookmarkStart w:id="341" w:name="_Toc515647802"/>
      <w:bookmarkStart w:id="342" w:name="_Toc532473493"/>
      <w:r>
        <w:rPr>
          <w:rFonts w:ascii="Times New Roman" w:hAnsi="Times New Roman" w:eastAsia="仿宋_GB2312"/>
          <w:color w:val="auto"/>
          <w:highlight w:val="none"/>
        </w:rPr>
        <w:br w:type="page"/>
      </w:r>
      <w:bookmarkStart w:id="343" w:name="_Toc15805"/>
      <w:r>
        <w:rPr>
          <w:rFonts w:ascii="Times New Roman" w:hAnsi="Times New Roman" w:eastAsia="仿宋_GB2312"/>
          <w:color w:val="auto"/>
          <w:highlight w:val="none"/>
        </w:rPr>
        <w:t>第三章  评标方法和标准</w:t>
      </w:r>
      <w:bookmarkEnd w:id="332"/>
      <w:bookmarkEnd w:id="333"/>
      <w:bookmarkEnd w:id="334"/>
      <w:bookmarkEnd w:id="335"/>
      <w:bookmarkEnd w:id="336"/>
      <w:bookmarkEnd w:id="337"/>
      <w:bookmarkEnd w:id="343"/>
    </w:p>
    <w:p w14:paraId="4CAD68EB">
      <w:pPr>
        <w:pStyle w:val="14"/>
        <w:shd w:val="clear" w:color="auto" w:fill="auto"/>
        <w:tabs>
          <w:tab w:val="clear" w:pos="567"/>
        </w:tabs>
        <w:spacing w:before="0" w:line="360" w:lineRule="auto"/>
        <w:ind w:firstLine="540" w:firstLineChars="225"/>
        <w:rPr>
          <w:rFonts w:ascii="Times New Roman" w:hAnsi="Times New Roman" w:eastAsia="仿宋_GB2312"/>
          <w:color w:val="auto"/>
          <w:highlight w:val="none"/>
        </w:rPr>
      </w:pPr>
      <w:r>
        <w:rPr>
          <w:rFonts w:ascii="Times New Roman" w:hAnsi="Times New Roman" w:eastAsia="仿宋_GB2312"/>
          <w:color w:val="auto"/>
          <w:highlight w:val="none"/>
        </w:rPr>
        <w:t>采购人委托采购代理机构负责组织本项目的评标工作。资格审查由采购人或者采购代理机构负责，评标工作由评标委员会负责。工作程序如下：</w:t>
      </w:r>
    </w:p>
    <w:p w14:paraId="5632F0C2">
      <w:pPr>
        <w:pStyle w:val="14"/>
        <w:shd w:val="clear" w:color="auto" w:fill="auto"/>
        <w:tabs>
          <w:tab w:val="clear" w:pos="567"/>
        </w:tabs>
        <w:spacing w:before="0" w:line="360" w:lineRule="auto"/>
        <w:ind w:firstLine="540" w:firstLineChars="225"/>
        <w:outlineLvl w:val="1"/>
        <w:rPr>
          <w:rFonts w:hint="eastAsia" w:ascii="Times New Roman" w:hAnsi="Times New Roman" w:eastAsia="仿宋_GB2312"/>
          <w:color w:val="auto"/>
          <w:highlight w:val="none"/>
        </w:rPr>
      </w:pPr>
      <w:bookmarkStart w:id="344" w:name="_Toc12047"/>
      <w:r>
        <w:rPr>
          <w:rFonts w:ascii="Times New Roman" w:hAnsi="Times New Roman" w:eastAsia="仿宋_GB2312"/>
          <w:color w:val="auto"/>
          <w:highlight w:val="none"/>
        </w:rPr>
        <w:t>一、由</w:t>
      </w:r>
      <w:r>
        <w:rPr>
          <w:rFonts w:ascii="Times New Roman" w:hAnsi="Times New Roman" w:eastAsia="仿宋_GB2312"/>
          <w:b/>
          <w:color w:val="auto"/>
          <w:highlight w:val="none"/>
        </w:rPr>
        <w:t>采购人或者采购代理机构</w:t>
      </w:r>
      <w:r>
        <w:rPr>
          <w:rFonts w:ascii="Times New Roman" w:hAnsi="Times New Roman" w:eastAsia="仿宋_GB2312"/>
          <w:color w:val="auto"/>
          <w:highlight w:val="none"/>
        </w:rPr>
        <w:t>负责资格审查工作。资格审查标准见</w:t>
      </w:r>
      <w:r>
        <w:rPr>
          <w:rFonts w:hint="eastAsia" w:ascii="Times New Roman" w:hAnsi="Times New Roman" w:eastAsia="仿宋_GB2312"/>
          <w:color w:val="auto"/>
          <w:highlight w:val="none"/>
        </w:rPr>
        <w:t>本章</w:t>
      </w:r>
      <w:r>
        <w:rPr>
          <w:rFonts w:ascii="Times New Roman" w:hAnsi="Times New Roman" w:eastAsia="仿宋_GB2312"/>
          <w:color w:val="auto"/>
          <w:highlight w:val="none"/>
        </w:rPr>
        <w:t>附表一</w:t>
      </w:r>
      <w:r>
        <w:rPr>
          <w:rFonts w:hint="eastAsia" w:ascii="Times New Roman" w:hAnsi="Times New Roman" w:eastAsia="仿宋_GB2312"/>
          <w:color w:val="auto"/>
          <w:highlight w:val="none"/>
        </w:rPr>
        <w:t>。</w:t>
      </w:r>
      <w:bookmarkEnd w:id="344"/>
    </w:p>
    <w:p w14:paraId="3AE1B004">
      <w:pPr>
        <w:pStyle w:val="14"/>
        <w:shd w:val="clear" w:color="auto" w:fill="auto"/>
        <w:tabs>
          <w:tab w:val="clear" w:pos="567"/>
        </w:tabs>
        <w:spacing w:before="0" w:line="360" w:lineRule="auto"/>
        <w:ind w:firstLine="480" w:firstLineChars="200"/>
        <w:rPr>
          <w:rFonts w:ascii="Times New Roman" w:hAnsi="Times New Roman" w:eastAsia="仿宋_GB2312"/>
          <w:color w:val="auto"/>
          <w:highlight w:val="none"/>
        </w:rPr>
      </w:pPr>
      <w:r>
        <w:rPr>
          <w:rFonts w:ascii="Times New Roman" w:hAnsi="Times New Roman" w:eastAsia="仿宋_GB2312"/>
          <w:color w:val="auto"/>
          <w:highlight w:val="none"/>
        </w:rPr>
        <w:t>投标文件中的资格证明文件出现下列情况者（但不限于），按无效投标处理：</w:t>
      </w:r>
    </w:p>
    <w:p w14:paraId="33C3C323">
      <w:pPr>
        <w:shd w:val="clear" w:color="auto" w:fill="auto"/>
        <w:autoSpaceDE w:val="0"/>
        <w:autoSpaceDN w:val="0"/>
        <w:spacing w:line="360" w:lineRule="auto"/>
        <w:ind w:firstLine="480" w:firstLineChars="200"/>
        <w:rPr>
          <w:rFonts w:eastAsia="仿宋_GB2312"/>
          <w:color w:val="auto"/>
          <w:sz w:val="24"/>
          <w:highlight w:val="none"/>
        </w:rPr>
      </w:pPr>
      <w:r>
        <w:rPr>
          <w:rFonts w:eastAsia="仿宋_GB2312"/>
          <w:color w:val="auto"/>
          <w:sz w:val="24"/>
          <w:highlight w:val="none"/>
        </w:rPr>
        <w:t>1、投标人资格证明文件的完整性、有效性或符合性不符合要求的。</w:t>
      </w:r>
    </w:p>
    <w:p w14:paraId="3B85D931">
      <w:pPr>
        <w:shd w:val="clear" w:color="auto" w:fill="auto"/>
        <w:autoSpaceDE w:val="0"/>
        <w:autoSpaceDN w:val="0"/>
        <w:spacing w:line="360" w:lineRule="auto"/>
        <w:ind w:firstLine="480" w:firstLineChars="200"/>
        <w:rPr>
          <w:rFonts w:eastAsia="仿宋_GB2312"/>
          <w:color w:val="auto"/>
          <w:sz w:val="24"/>
          <w:highlight w:val="none"/>
        </w:rPr>
      </w:pPr>
      <w:r>
        <w:rPr>
          <w:rFonts w:eastAsia="仿宋_GB2312"/>
          <w:color w:val="auto"/>
          <w:sz w:val="24"/>
          <w:highlight w:val="none"/>
        </w:rPr>
        <w:t>2、投标人法定代表人授权书的完整性、有效性、符合性不符合要求的。</w:t>
      </w:r>
    </w:p>
    <w:p w14:paraId="6525793B">
      <w:pPr>
        <w:pStyle w:val="14"/>
        <w:shd w:val="clear" w:color="auto" w:fill="auto"/>
        <w:tabs>
          <w:tab w:val="clear" w:pos="567"/>
        </w:tabs>
        <w:spacing w:before="0" w:line="360" w:lineRule="auto"/>
        <w:ind w:firstLine="480" w:firstLineChars="200"/>
        <w:rPr>
          <w:rFonts w:ascii="Times New Roman" w:hAnsi="Times New Roman" w:eastAsia="仿宋_GB2312"/>
          <w:color w:val="auto"/>
          <w:highlight w:val="none"/>
        </w:rPr>
      </w:pPr>
      <w:r>
        <w:rPr>
          <w:rFonts w:ascii="Times New Roman" w:hAnsi="Times New Roman" w:eastAsia="仿宋_GB2312"/>
          <w:color w:val="auto"/>
          <w:highlight w:val="none"/>
        </w:rPr>
        <w:t>3、信用查询不符合要求的。</w:t>
      </w:r>
    </w:p>
    <w:p w14:paraId="0E105ED3">
      <w:pPr>
        <w:pStyle w:val="14"/>
        <w:shd w:val="clear" w:color="auto" w:fill="auto"/>
        <w:tabs>
          <w:tab w:val="clear" w:pos="567"/>
        </w:tabs>
        <w:spacing w:before="0" w:line="360" w:lineRule="auto"/>
        <w:ind w:firstLine="480" w:firstLineChars="200"/>
        <w:outlineLvl w:val="1"/>
        <w:rPr>
          <w:rFonts w:ascii="Times New Roman" w:hAnsi="Times New Roman" w:eastAsia="仿宋_GB2312"/>
          <w:color w:val="auto"/>
          <w:highlight w:val="none"/>
        </w:rPr>
      </w:pPr>
      <w:bookmarkStart w:id="345" w:name="_Toc11448"/>
      <w:r>
        <w:rPr>
          <w:rFonts w:ascii="Times New Roman" w:hAnsi="Times New Roman" w:eastAsia="仿宋_GB2312"/>
          <w:color w:val="auto"/>
          <w:highlight w:val="none"/>
        </w:rPr>
        <w:t>二、由</w:t>
      </w:r>
      <w:r>
        <w:rPr>
          <w:rFonts w:ascii="Times New Roman" w:hAnsi="Times New Roman" w:eastAsia="仿宋_GB2312"/>
          <w:b/>
          <w:color w:val="auto"/>
          <w:highlight w:val="none"/>
        </w:rPr>
        <w:t>评标委员会</w:t>
      </w:r>
      <w:r>
        <w:rPr>
          <w:rFonts w:ascii="Times New Roman" w:hAnsi="Times New Roman" w:eastAsia="仿宋_GB2312"/>
          <w:color w:val="auto"/>
          <w:highlight w:val="none"/>
        </w:rPr>
        <w:t>负责的审查评审工作。</w:t>
      </w:r>
      <w:bookmarkEnd w:id="345"/>
    </w:p>
    <w:p w14:paraId="7FEC01FA">
      <w:pPr>
        <w:pStyle w:val="14"/>
        <w:shd w:val="clear" w:color="auto" w:fill="auto"/>
        <w:tabs>
          <w:tab w:val="clear" w:pos="567"/>
        </w:tabs>
        <w:spacing w:before="0" w:line="360" w:lineRule="auto"/>
        <w:ind w:firstLine="480" w:firstLineChars="200"/>
        <w:rPr>
          <w:rFonts w:ascii="Times New Roman" w:hAnsi="Times New Roman" w:eastAsia="仿宋_GB2312"/>
          <w:color w:val="auto"/>
          <w:highlight w:val="none"/>
        </w:rPr>
      </w:pPr>
      <w:r>
        <w:rPr>
          <w:rFonts w:ascii="Times New Roman" w:hAnsi="Times New Roman" w:eastAsia="仿宋_GB2312"/>
          <w:color w:val="auto"/>
          <w:highlight w:val="none"/>
        </w:rPr>
        <w:t>1、符合性审查是指评标委员会依据招标文件的规定，从商务和技术角度对投标文件的有效性和完整性进行审查，以确定是否对招标文件的实质性要求做出响应。符合性</w:t>
      </w:r>
      <w:r>
        <w:rPr>
          <w:rFonts w:hint="eastAsia" w:ascii="Times New Roman" w:hAnsi="Times New Roman" w:eastAsia="仿宋_GB2312"/>
          <w:color w:val="auto"/>
          <w:highlight w:val="none"/>
        </w:rPr>
        <w:t>审查</w:t>
      </w:r>
      <w:r>
        <w:rPr>
          <w:rFonts w:ascii="Times New Roman" w:hAnsi="Times New Roman" w:eastAsia="仿宋_GB2312"/>
          <w:color w:val="auto"/>
          <w:highlight w:val="none"/>
        </w:rPr>
        <w:t>标准见</w:t>
      </w:r>
      <w:r>
        <w:rPr>
          <w:rFonts w:hint="eastAsia" w:ascii="Times New Roman" w:hAnsi="Times New Roman" w:eastAsia="仿宋_GB2312"/>
          <w:color w:val="auto"/>
          <w:highlight w:val="none"/>
        </w:rPr>
        <w:t>本章</w:t>
      </w:r>
      <w:r>
        <w:rPr>
          <w:rFonts w:ascii="Times New Roman" w:hAnsi="Times New Roman" w:eastAsia="仿宋_GB2312"/>
          <w:color w:val="auto"/>
          <w:highlight w:val="none"/>
        </w:rPr>
        <w:t>附表</w:t>
      </w:r>
      <w:r>
        <w:rPr>
          <w:rFonts w:hint="eastAsia" w:ascii="Times New Roman" w:hAnsi="Times New Roman" w:eastAsia="仿宋_GB2312"/>
          <w:color w:val="auto"/>
          <w:highlight w:val="none"/>
        </w:rPr>
        <w:t>二。</w:t>
      </w:r>
      <w:r>
        <w:rPr>
          <w:rFonts w:ascii="Times New Roman" w:hAnsi="Times New Roman" w:eastAsia="仿宋_GB2312"/>
          <w:color w:val="auto"/>
          <w:highlight w:val="none"/>
        </w:rPr>
        <w:t>出现下列情况者（但不限于），按无效投标处理。</w:t>
      </w:r>
    </w:p>
    <w:p w14:paraId="7CFB150A">
      <w:pPr>
        <w:shd w:val="clear" w:color="auto" w:fill="auto"/>
        <w:autoSpaceDE w:val="0"/>
        <w:autoSpaceDN w:val="0"/>
        <w:spacing w:line="360" w:lineRule="auto"/>
        <w:ind w:firstLine="480" w:firstLineChars="200"/>
        <w:rPr>
          <w:rFonts w:eastAsia="仿宋_GB2312"/>
          <w:color w:val="auto"/>
          <w:sz w:val="24"/>
          <w:highlight w:val="none"/>
        </w:rPr>
      </w:pPr>
      <w:r>
        <w:rPr>
          <w:rFonts w:eastAsia="仿宋_GB2312"/>
          <w:color w:val="auto"/>
          <w:sz w:val="24"/>
          <w:highlight w:val="none"/>
        </w:rPr>
        <w:t>1.1 投标文件未按招标文件要求签署、盖章的。</w:t>
      </w:r>
    </w:p>
    <w:p w14:paraId="3EC11797">
      <w:pPr>
        <w:shd w:val="clear" w:color="auto" w:fill="auto"/>
        <w:autoSpaceDE w:val="0"/>
        <w:autoSpaceDN w:val="0"/>
        <w:spacing w:line="360" w:lineRule="auto"/>
        <w:ind w:firstLine="480" w:firstLineChars="200"/>
        <w:rPr>
          <w:rFonts w:eastAsia="仿宋_GB2312"/>
          <w:color w:val="auto"/>
          <w:sz w:val="24"/>
          <w:highlight w:val="none"/>
        </w:rPr>
      </w:pPr>
      <w:r>
        <w:rPr>
          <w:rFonts w:eastAsia="仿宋_GB2312"/>
          <w:color w:val="auto"/>
          <w:sz w:val="24"/>
          <w:highlight w:val="none"/>
        </w:rPr>
        <w:t>1.2 投标人投标报价超出采购预算或最高限价的</w:t>
      </w:r>
      <w:r>
        <w:rPr>
          <w:rFonts w:hint="eastAsia" w:eastAsia="仿宋_GB2312"/>
          <w:color w:val="auto"/>
          <w:sz w:val="24"/>
          <w:highlight w:val="none"/>
          <w:lang w:val="en-US" w:eastAsia="zh-CN"/>
        </w:rPr>
        <w:t>或单价最高限价</w:t>
      </w:r>
      <w:r>
        <w:rPr>
          <w:rFonts w:eastAsia="仿宋_GB2312"/>
          <w:color w:val="auto"/>
          <w:sz w:val="24"/>
          <w:highlight w:val="none"/>
        </w:rPr>
        <w:t>。</w:t>
      </w:r>
    </w:p>
    <w:p w14:paraId="235FCE1A">
      <w:pPr>
        <w:shd w:val="clear" w:color="auto" w:fill="auto"/>
        <w:autoSpaceDE w:val="0"/>
        <w:autoSpaceDN w:val="0"/>
        <w:spacing w:line="360" w:lineRule="auto"/>
        <w:ind w:firstLine="480" w:firstLineChars="200"/>
        <w:rPr>
          <w:rFonts w:eastAsia="仿宋_GB2312"/>
          <w:color w:val="auto"/>
          <w:sz w:val="24"/>
          <w:highlight w:val="none"/>
        </w:rPr>
      </w:pPr>
      <w:r>
        <w:rPr>
          <w:rFonts w:eastAsia="仿宋_GB2312"/>
          <w:color w:val="auto"/>
          <w:sz w:val="24"/>
          <w:highlight w:val="none"/>
        </w:rPr>
        <w:t>1.3 投标人的报价明显低于其他通过符合性审查投标人的报价，有可能影响产品质量或者不能诚信履约的，且投标人不能证明其报价合理性的。</w:t>
      </w:r>
    </w:p>
    <w:p w14:paraId="5A59D4BA">
      <w:pPr>
        <w:shd w:val="clear" w:color="auto" w:fill="auto"/>
        <w:autoSpaceDE w:val="0"/>
        <w:autoSpaceDN w:val="0"/>
        <w:spacing w:line="360" w:lineRule="auto"/>
        <w:ind w:firstLine="480" w:firstLineChars="200"/>
        <w:rPr>
          <w:rFonts w:eastAsia="仿宋"/>
          <w:color w:val="auto"/>
          <w:sz w:val="24"/>
          <w:highlight w:val="none"/>
        </w:rPr>
      </w:pPr>
      <w:r>
        <w:rPr>
          <w:rFonts w:eastAsia="仿宋"/>
          <w:color w:val="auto"/>
          <w:sz w:val="24"/>
          <w:highlight w:val="none"/>
        </w:rPr>
        <w:t>1.4 投标保证金未提交或金额、形式不符合招标文件要求的。</w:t>
      </w:r>
    </w:p>
    <w:p w14:paraId="597B2843">
      <w:pPr>
        <w:shd w:val="clear" w:color="auto" w:fill="auto"/>
        <w:autoSpaceDE w:val="0"/>
        <w:autoSpaceDN w:val="0"/>
        <w:spacing w:line="360" w:lineRule="auto"/>
        <w:ind w:firstLine="480" w:firstLineChars="200"/>
        <w:rPr>
          <w:rFonts w:eastAsia="仿宋"/>
          <w:color w:val="auto"/>
          <w:sz w:val="24"/>
          <w:highlight w:val="none"/>
        </w:rPr>
      </w:pPr>
      <w:r>
        <w:rPr>
          <w:rFonts w:eastAsia="仿宋"/>
          <w:color w:val="auto"/>
          <w:sz w:val="24"/>
          <w:highlight w:val="none"/>
        </w:rPr>
        <w:t xml:space="preserve">1.5 </w:t>
      </w:r>
      <w:r>
        <w:rPr>
          <w:rFonts w:hint="eastAsia" w:eastAsia="仿宋"/>
          <w:color w:val="auto"/>
          <w:sz w:val="24"/>
          <w:highlight w:val="none"/>
        </w:rPr>
        <w:t>未满足招标文件中商务要求或投标内容出现漏项或数量与要求不符</w:t>
      </w:r>
      <w:r>
        <w:rPr>
          <w:rFonts w:eastAsia="仿宋"/>
          <w:color w:val="auto"/>
          <w:sz w:val="24"/>
          <w:highlight w:val="none"/>
        </w:rPr>
        <w:t>。</w:t>
      </w:r>
    </w:p>
    <w:p w14:paraId="7453A355">
      <w:pPr>
        <w:pStyle w:val="14"/>
        <w:shd w:val="clear" w:color="auto" w:fill="auto"/>
        <w:tabs>
          <w:tab w:val="clear" w:pos="567"/>
        </w:tabs>
        <w:spacing w:before="0" w:line="360" w:lineRule="auto"/>
        <w:ind w:firstLine="360" w:firstLineChars="150"/>
        <w:rPr>
          <w:rFonts w:ascii="Times New Roman" w:hAnsi="Times New Roman" w:eastAsia="仿宋_GB2312"/>
          <w:color w:val="auto"/>
          <w:highlight w:val="none"/>
        </w:rPr>
      </w:pPr>
      <w:r>
        <w:rPr>
          <w:rFonts w:ascii="Times New Roman" w:hAnsi="Times New Roman" w:eastAsia="仿宋_GB2312"/>
          <w:color w:val="auto"/>
          <w:highlight w:val="none"/>
        </w:rPr>
        <w:t>2、如有必要，要求投标人对投标文件有关事项作出书面澄清或者说明。</w:t>
      </w:r>
    </w:p>
    <w:p w14:paraId="04126D98">
      <w:pPr>
        <w:pStyle w:val="14"/>
        <w:shd w:val="clear" w:color="auto" w:fill="auto"/>
        <w:tabs>
          <w:tab w:val="clear" w:pos="567"/>
        </w:tabs>
        <w:spacing w:before="0" w:line="360" w:lineRule="auto"/>
        <w:ind w:left="120" w:firstLine="240" w:firstLineChars="100"/>
        <w:rPr>
          <w:rFonts w:ascii="Times New Roman" w:hAnsi="Times New Roman" w:eastAsia="仿宋_GB2312"/>
          <w:color w:val="auto"/>
          <w:highlight w:val="none"/>
        </w:rPr>
      </w:pPr>
      <w:r>
        <w:rPr>
          <w:rFonts w:ascii="Times New Roman" w:hAnsi="Times New Roman" w:eastAsia="仿宋_GB2312"/>
          <w:color w:val="auto"/>
          <w:highlight w:val="none"/>
        </w:rPr>
        <w:t>3、对投标文件进行比较和评价</w:t>
      </w:r>
      <w:r>
        <w:rPr>
          <w:rFonts w:hint="eastAsia" w:ascii="Times New Roman" w:hAnsi="Times New Roman" w:eastAsia="仿宋_GB2312"/>
          <w:color w:val="auto"/>
          <w:highlight w:val="none"/>
        </w:rPr>
        <w:t>。评审要素和标准见本章附表三。</w:t>
      </w:r>
    </w:p>
    <w:p w14:paraId="591250B2">
      <w:pPr>
        <w:pStyle w:val="14"/>
        <w:shd w:val="clear" w:color="auto" w:fill="auto"/>
        <w:tabs>
          <w:tab w:val="clear" w:pos="567"/>
        </w:tabs>
        <w:spacing w:before="0" w:line="360" w:lineRule="auto"/>
        <w:ind w:firstLine="480" w:firstLineChars="200"/>
        <w:rPr>
          <w:rFonts w:ascii="Times New Roman" w:hAnsi="Times New Roman" w:eastAsia="仿宋_GB2312"/>
          <w:color w:val="auto"/>
          <w:highlight w:val="none"/>
        </w:rPr>
      </w:pPr>
      <w:r>
        <w:rPr>
          <w:rFonts w:ascii="Times New Roman" w:hAnsi="Times New Roman" w:eastAsia="仿宋_GB2312"/>
          <w:color w:val="auto"/>
          <w:highlight w:val="none"/>
        </w:rPr>
        <w:t>本项目评标方法为综合评分法，评标委员会对满足招标文件全部实质性要求的投标文件，按照招标文件规定的评审因素的量化指标进行评审打分，以评审得分从高到低顺序确定中标候选人。</w:t>
      </w:r>
    </w:p>
    <w:p w14:paraId="689178F7">
      <w:pPr>
        <w:pStyle w:val="14"/>
        <w:shd w:val="clear" w:color="auto" w:fill="auto"/>
        <w:tabs>
          <w:tab w:val="clear" w:pos="567"/>
        </w:tabs>
        <w:spacing w:before="0" w:line="360" w:lineRule="auto"/>
        <w:ind w:firstLine="540" w:firstLineChars="225"/>
        <w:rPr>
          <w:rFonts w:ascii="Times New Roman" w:hAnsi="Times New Roman" w:eastAsia="仿宋_GB2312"/>
          <w:color w:val="auto"/>
          <w:highlight w:val="none"/>
        </w:rPr>
      </w:pPr>
      <w:r>
        <w:rPr>
          <w:rFonts w:ascii="Times New Roman" w:hAnsi="Times New Roman" w:eastAsia="仿宋_GB2312"/>
          <w:color w:val="auto"/>
          <w:highlight w:val="none"/>
        </w:rPr>
        <w:t>评标委员会每位成员独立对每个有效投标人的投标文件进行评价、打分；然后汇总每个投标人的得分，计算得分平均值，以平均值由高到低进行排序，按排序顺序推荐中标候选人。分值计算保留小数点后</w:t>
      </w:r>
      <w:r>
        <w:rPr>
          <w:rFonts w:hint="eastAsia" w:ascii="Times New Roman" w:hAnsi="Times New Roman" w:eastAsia="仿宋_GB2312"/>
          <w:color w:val="auto"/>
          <w:highlight w:val="none"/>
          <w:lang w:val="en-US" w:eastAsia="zh-CN"/>
        </w:rPr>
        <w:t>两</w:t>
      </w:r>
      <w:r>
        <w:rPr>
          <w:rFonts w:ascii="Times New Roman" w:hAnsi="Times New Roman" w:eastAsia="仿宋_GB2312"/>
          <w:color w:val="auto"/>
          <w:highlight w:val="none"/>
        </w:rPr>
        <w:t>位，第二位四舍五入。</w:t>
      </w:r>
    </w:p>
    <w:p w14:paraId="2AA71F32">
      <w:pPr>
        <w:pStyle w:val="14"/>
        <w:shd w:val="clear" w:color="auto" w:fill="auto"/>
        <w:tabs>
          <w:tab w:val="clear" w:pos="567"/>
        </w:tabs>
        <w:spacing w:before="0" w:line="360" w:lineRule="auto"/>
        <w:ind w:firstLine="480" w:firstLineChars="200"/>
        <w:rPr>
          <w:rFonts w:ascii="Times New Roman" w:hAnsi="Times New Roman" w:eastAsia="仿宋_GB2312"/>
          <w:color w:val="auto"/>
          <w:highlight w:val="none"/>
        </w:rPr>
      </w:pPr>
      <w:r>
        <w:rPr>
          <w:rFonts w:ascii="Times New Roman" w:hAnsi="Times New Roman" w:eastAsia="仿宋_GB2312"/>
          <w:color w:val="auto"/>
          <w:highlight w:val="none"/>
        </w:rPr>
        <w:t>4、推荐中标候选人名单，或者根据采购人委托直接确定中标人。</w:t>
      </w:r>
    </w:p>
    <w:p w14:paraId="649007FE">
      <w:pPr>
        <w:pStyle w:val="14"/>
        <w:shd w:val="clear" w:color="auto" w:fill="auto"/>
        <w:tabs>
          <w:tab w:val="clear" w:pos="567"/>
        </w:tabs>
        <w:spacing w:before="0" w:line="360" w:lineRule="auto"/>
        <w:ind w:firstLine="480" w:firstLineChars="200"/>
        <w:rPr>
          <w:rFonts w:ascii="Times New Roman" w:hAnsi="Times New Roman" w:eastAsia="仿宋_GB2312"/>
          <w:color w:val="auto"/>
          <w:highlight w:val="none"/>
        </w:rPr>
      </w:pPr>
      <w:r>
        <w:rPr>
          <w:rFonts w:ascii="Times New Roman" w:hAnsi="Times New Roman" w:eastAsia="仿宋_GB2312"/>
          <w:color w:val="auto"/>
          <w:highlight w:val="none"/>
        </w:rPr>
        <w:t>5、采购代理机构核对评标结果。</w:t>
      </w:r>
    </w:p>
    <w:p w14:paraId="2934C76D">
      <w:pPr>
        <w:pStyle w:val="14"/>
        <w:shd w:val="clear" w:color="auto" w:fill="auto"/>
        <w:tabs>
          <w:tab w:val="clear" w:pos="567"/>
        </w:tabs>
        <w:spacing w:before="0" w:line="360" w:lineRule="auto"/>
        <w:ind w:firstLine="480" w:firstLineChars="200"/>
        <w:outlineLvl w:val="1"/>
        <w:rPr>
          <w:rFonts w:ascii="Times New Roman" w:hAnsi="Times New Roman" w:eastAsia="仿宋_GB2312"/>
          <w:color w:val="auto"/>
          <w:highlight w:val="none"/>
        </w:rPr>
      </w:pPr>
      <w:bookmarkStart w:id="346" w:name="_Toc6733"/>
      <w:r>
        <w:rPr>
          <w:rFonts w:ascii="Times New Roman" w:hAnsi="Times New Roman" w:eastAsia="仿宋_GB2312"/>
          <w:color w:val="auto"/>
          <w:highlight w:val="none"/>
        </w:rPr>
        <w:t>三、评审标准中应考虑下列因素：</w:t>
      </w:r>
      <w:bookmarkEnd w:id="346"/>
    </w:p>
    <w:p w14:paraId="6121AB87">
      <w:pPr>
        <w:pStyle w:val="14"/>
        <w:shd w:val="clear" w:color="auto" w:fill="auto"/>
        <w:tabs>
          <w:tab w:val="clear" w:pos="567"/>
        </w:tabs>
        <w:spacing w:before="0" w:line="360" w:lineRule="auto"/>
        <w:ind w:firstLine="540" w:firstLineChars="225"/>
        <w:rPr>
          <w:rFonts w:ascii="Times New Roman" w:hAnsi="Times New Roman" w:eastAsia="仿宋_GB2312"/>
          <w:color w:val="auto"/>
          <w:highlight w:val="none"/>
        </w:rPr>
      </w:pPr>
      <w:r>
        <w:rPr>
          <w:rFonts w:ascii="Times New Roman" w:hAnsi="Times New Roman" w:eastAsia="仿宋_GB2312"/>
          <w:color w:val="auto"/>
          <w:highlight w:val="none"/>
        </w:rPr>
        <w:t>1、根据《关于进一步加大政府采购支持中小企业力度的通知》（财库〔2022〕19号）、《政府采购促进中小企业发展管理办法》（财库〔2020〕46号）、《财政部 司法部关于政府采购支持监狱企业发展有关问题的通知》（财库〔2014〕68号）和《</w:t>
      </w:r>
      <w:r>
        <w:rPr>
          <w:rFonts w:hint="eastAsia" w:ascii="Times New Roman" w:hAnsi="Times New Roman" w:eastAsia="仿宋_GB2312"/>
          <w:color w:val="auto"/>
          <w:highlight w:val="none"/>
        </w:rPr>
        <w:t>财政部 民政部 中国残疾人联合会</w:t>
      </w:r>
      <w:r>
        <w:rPr>
          <w:rFonts w:ascii="Times New Roman" w:hAnsi="Times New Roman" w:eastAsia="仿宋_GB2312"/>
          <w:color w:val="auto"/>
          <w:highlight w:val="none"/>
        </w:rPr>
        <w:t>关于促进残疾人就业政府采购政策的通知》（财库〔2017〕141号）的规定，对满足价格扣除条件且在投标文件中提交了《</w:t>
      </w:r>
      <w:r>
        <w:rPr>
          <w:rFonts w:hint="eastAsia" w:ascii="Times New Roman" w:hAnsi="Times New Roman" w:eastAsia="仿宋_GB2312"/>
          <w:color w:val="auto"/>
          <w:highlight w:val="none"/>
        </w:rPr>
        <w:t>中小企业</w:t>
      </w:r>
      <w:r>
        <w:rPr>
          <w:rFonts w:ascii="Times New Roman" w:hAnsi="Times New Roman" w:eastAsia="仿宋_GB2312"/>
          <w:color w:val="auto"/>
          <w:highlight w:val="none"/>
        </w:rPr>
        <w:t>声明函》、《残疾人福利性单位声明函》或省级以上监狱管理局、戒毒管理局（含新疆生产建设兵团）出具的属于监狱企业的证明文件的投标人，其投标报价扣除</w:t>
      </w:r>
      <w:r>
        <w:rPr>
          <w:rFonts w:ascii="Times New Roman" w:hAnsi="Times New Roman" w:eastAsia="仿宋_GB2312"/>
          <w:i w:val="0"/>
          <w:iCs/>
          <w:color w:val="auto"/>
          <w:highlight w:val="none"/>
          <w:u w:val="single"/>
        </w:rPr>
        <w:t>10%</w:t>
      </w:r>
      <w:r>
        <w:rPr>
          <w:rFonts w:ascii="Times New Roman" w:hAnsi="Times New Roman" w:eastAsia="仿宋_GB2312"/>
          <w:color w:val="auto"/>
          <w:highlight w:val="none"/>
        </w:rPr>
        <w:t>后参与评审。对于同时属于小微企业、监狱企业或残疾人福利性单位的，不重复进行投标报价扣除。</w:t>
      </w:r>
    </w:p>
    <w:p w14:paraId="7BB22397">
      <w:pPr>
        <w:pStyle w:val="14"/>
        <w:shd w:val="clear" w:color="auto" w:fill="auto"/>
        <w:tabs>
          <w:tab w:val="clear" w:pos="567"/>
        </w:tabs>
        <w:spacing w:before="0" w:line="360" w:lineRule="auto"/>
        <w:ind w:firstLine="540" w:firstLineChars="225"/>
        <w:rPr>
          <w:rFonts w:ascii="Times New Roman" w:hAnsi="Times New Roman" w:eastAsia="仿宋_GB2312"/>
          <w:color w:val="auto"/>
          <w:highlight w:val="none"/>
        </w:rPr>
      </w:pPr>
      <w:r>
        <w:rPr>
          <w:rFonts w:hint="eastAsia" w:ascii="Times New Roman" w:hAnsi="Times New Roman" w:eastAsia="仿宋_GB2312"/>
          <w:color w:val="auto"/>
          <w:highlight w:val="none"/>
        </w:rPr>
        <w:t>如项目专门面向中小企业采购，则不再进行价格扣除。</w:t>
      </w:r>
    </w:p>
    <w:p w14:paraId="438DB8C7">
      <w:pPr>
        <w:pStyle w:val="14"/>
        <w:shd w:val="clear" w:color="auto" w:fill="auto"/>
        <w:tabs>
          <w:tab w:val="clear" w:pos="567"/>
        </w:tabs>
        <w:spacing w:before="0" w:line="360" w:lineRule="auto"/>
        <w:ind w:firstLine="540" w:firstLineChars="225"/>
        <w:rPr>
          <w:rFonts w:ascii="Times New Roman" w:hAnsi="Times New Roman" w:eastAsia="仿宋_GB2312"/>
          <w:color w:val="auto"/>
          <w:highlight w:val="none"/>
        </w:rPr>
      </w:pPr>
      <w:r>
        <w:rPr>
          <w:rFonts w:ascii="Times New Roman" w:hAnsi="Times New Roman" w:eastAsia="仿宋_GB2312"/>
          <w:color w:val="auto"/>
          <w:highlight w:val="none"/>
        </w:rPr>
        <w:t>2、联合协议或分包意向协议（如有）中约定，小型、微型企业的合同金额占到合同总金额30%以上的，可给予联合体</w:t>
      </w:r>
      <w:r>
        <w:rPr>
          <w:rFonts w:ascii="Times New Roman" w:hAnsi="Times New Roman" w:eastAsia="仿宋_GB2312"/>
          <w:color w:val="auto"/>
          <w:highlight w:val="none"/>
          <w:u w:val="single"/>
        </w:rPr>
        <w:t>4%</w:t>
      </w:r>
      <w:r>
        <w:rPr>
          <w:rFonts w:ascii="Times New Roman" w:hAnsi="Times New Roman" w:eastAsia="仿宋_GB2312"/>
          <w:color w:val="auto"/>
          <w:highlight w:val="none"/>
        </w:rPr>
        <w:t>的价格扣除。</w:t>
      </w:r>
    </w:p>
    <w:p w14:paraId="11F9546A">
      <w:pPr>
        <w:pStyle w:val="14"/>
        <w:shd w:val="clear" w:color="auto" w:fill="auto"/>
        <w:tabs>
          <w:tab w:val="clear" w:pos="567"/>
        </w:tabs>
        <w:spacing w:before="0" w:line="360" w:lineRule="auto"/>
        <w:ind w:firstLine="540" w:firstLineChars="225"/>
        <w:rPr>
          <w:rFonts w:ascii="Times New Roman" w:hAnsi="Times New Roman" w:eastAsia="仿宋_GB2312"/>
          <w:color w:val="auto"/>
          <w:highlight w:val="none"/>
        </w:rPr>
      </w:pPr>
      <w:r>
        <w:rPr>
          <w:rFonts w:ascii="Times New Roman" w:hAnsi="Times New Roman" w:eastAsia="仿宋_GB2312"/>
          <w:color w:val="auto"/>
          <w:highlight w:val="none"/>
        </w:rPr>
        <w:t>联合体各方均为小型、微型企业和监狱企业的，联合体视同为小型、微型企业和监狱企业。</w:t>
      </w:r>
    </w:p>
    <w:p w14:paraId="50E1148B">
      <w:pPr>
        <w:pStyle w:val="14"/>
        <w:shd w:val="clear" w:color="auto" w:fill="auto"/>
        <w:tabs>
          <w:tab w:val="clear" w:pos="567"/>
        </w:tabs>
        <w:spacing w:before="0" w:line="360" w:lineRule="auto"/>
        <w:ind w:firstLine="540" w:firstLineChars="225"/>
        <w:rPr>
          <w:rFonts w:ascii="Times New Roman" w:hAnsi="Times New Roman" w:eastAsia="仿宋_GB2312"/>
          <w:color w:val="auto"/>
          <w:highlight w:val="none"/>
        </w:rPr>
      </w:pPr>
      <w:r>
        <w:rPr>
          <w:rFonts w:ascii="Times New Roman" w:hAnsi="Times New Roman" w:eastAsia="仿宋_GB2312"/>
          <w:color w:val="auto"/>
          <w:highlight w:val="none"/>
        </w:rPr>
        <w:t>3、根据《关于调整优化节能产品、环境标志产品政府采购执行机制的通知》（财库〔2019〕9号）的规定，投标人</w:t>
      </w:r>
      <w:r>
        <w:rPr>
          <w:rFonts w:hint="eastAsia" w:ascii="Times New Roman" w:hAnsi="Times New Roman" w:eastAsia="仿宋_GB2312"/>
          <w:color w:val="auto"/>
          <w:highlight w:val="none"/>
          <w:lang w:val="en-US" w:eastAsia="zh-CN"/>
        </w:rPr>
        <w:t>所投产品</w:t>
      </w:r>
      <w:r>
        <w:rPr>
          <w:rFonts w:ascii="Times New Roman" w:hAnsi="Times New Roman" w:eastAsia="仿宋_GB2312"/>
          <w:color w:val="auto"/>
          <w:highlight w:val="none"/>
        </w:rPr>
        <w:t>属于节能产品、环境标志产品品目清单范围内，且投标人所投产品具有有效期内的产品认证证书，在评标时予以优先采购，具体见评审因素和指标内容。</w:t>
      </w:r>
    </w:p>
    <w:p w14:paraId="24BB8309">
      <w:pPr>
        <w:pStyle w:val="14"/>
        <w:shd w:val="clear" w:color="auto" w:fill="auto"/>
        <w:tabs>
          <w:tab w:val="clear" w:pos="567"/>
        </w:tabs>
        <w:spacing w:before="0" w:line="360" w:lineRule="auto"/>
        <w:ind w:firstLine="540" w:firstLineChars="225"/>
        <w:rPr>
          <w:rFonts w:ascii="Times New Roman" w:hAnsi="Times New Roman" w:eastAsia="仿宋_GB2312"/>
          <w:color w:val="auto"/>
          <w:highlight w:val="none"/>
        </w:rPr>
      </w:pPr>
      <w:r>
        <w:rPr>
          <w:rFonts w:ascii="Times New Roman" w:hAnsi="Times New Roman" w:eastAsia="仿宋_GB2312"/>
          <w:color w:val="auto"/>
          <w:highlight w:val="none"/>
        </w:rPr>
        <w:t>4、如投标人</w:t>
      </w:r>
      <w:r>
        <w:rPr>
          <w:rFonts w:hint="eastAsia" w:ascii="Times New Roman" w:hAnsi="Times New Roman" w:eastAsia="仿宋_GB2312"/>
          <w:color w:val="auto"/>
          <w:highlight w:val="none"/>
          <w:lang w:val="en-US" w:eastAsia="zh-CN"/>
        </w:rPr>
        <w:t>所投产品</w:t>
      </w:r>
      <w:r>
        <w:rPr>
          <w:rFonts w:ascii="Times New Roman" w:hAnsi="Times New Roman" w:eastAsia="仿宋_GB2312"/>
          <w:color w:val="auto"/>
          <w:highlight w:val="none"/>
        </w:rPr>
        <w:t>为政府强制采购的节能产品，</w:t>
      </w:r>
      <w:r>
        <w:rPr>
          <w:rFonts w:hint="eastAsia" w:ascii="Times New Roman" w:hAnsi="Times New Roman" w:eastAsia="仿宋_GB2312"/>
          <w:color w:val="auto"/>
          <w:highlight w:val="none"/>
        </w:rPr>
        <w:t>投标人应提供有效期内的认证证书或相关证明，否则其投标将被认定为投标无效</w:t>
      </w:r>
      <w:r>
        <w:rPr>
          <w:rFonts w:ascii="Times New Roman" w:hAnsi="Times New Roman" w:eastAsia="仿宋_GB2312"/>
          <w:color w:val="auto"/>
          <w:highlight w:val="none"/>
        </w:rPr>
        <w:t>。</w:t>
      </w:r>
    </w:p>
    <w:p w14:paraId="7C20AB57">
      <w:pPr>
        <w:pStyle w:val="14"/>
        <w:shd w:val="clear" w:color="auto" w:fill="auto"/>
        <w:tabs>
          <w:tab w:val="clear" w:pos="567"/>
        </w:tabs>
        <w:spacing w:before="0" w:line="360" w:lineRule="auto"/>
        <w:ind w:firstLine="540" w:firstLineChars="225"/>
        <w:rPr>
          <w:rFonts w:ascii="Times New Roman" w:hAnsi="Times New Roman" w:eastAsia="仿宋_GB2312"/>
          <w:color w:val="auto"/>
          <w:highlight w:val="none"/>
        </w:rPr>
      </w:pPr>
      <w:r>
        <w:rPr>
          <w:rFonts w:hint="eastAsia" w:ascii="Times New Roman" w:hAnsi="Times New Roman" w:eastAsia="仿宋_GB2312"/>
          <w:color w:val="auto"/>
          <w:highlight w:val="none"/>
        </w:rPr>
        <w:t>如投标人所投产品属于网络关键设备和网络安全专用产品的，投标人所投产品应为经具备资格的机构安全认证合格或者安全检测符合要求的产品。投标人应提供相关证明，否则其投标将被认定为投标无效。</w:t>
      </w:r>
    </w:p>
    <w:p w14:paraId="10DE07FE">
      <w:pPr>
        <w:pStyle w:val="14"/>
        <w:shd w:val="clear" w:color="auto" w:fill="auto"/>
        <w:spacing w:line="360" w:lineRule="auto"/>
        <w:ind w:firstLine="540" w:firstLineChars="225"/>
        <w:rPr>
          <w:rFonts w:ascii="Times New Roman" w:hAnsi="Times New Roman" w:eastAsia="仿宋_GB2312"/>
          <w:color w:val="auto"/>
          <w:highlight w:val="none"/>
        </w:rPr>
      </w:pPr>
      <w:r>
        <w:rPr>
          <w:rFonts w:ascii="Times New Roman" w:hAnsi="Times New Roman" w:eastAsia="仿宋_GB2312"/>
          <w:color w:val="auto"/>
          <w:highlight w:val="none"/>
        </w:rPr>
        <w:t>5、使用综合评分法的采购项目，提供相同品牌产品</w:t>
      </w:r>
      <w:r>
        <w:rPr>
          <w:rFonts w:hint="eastAsia" w:ascii="Times New Roman" w:hAnsi="Times New Roman" w:eastAsia="仿宋_GB2312"/>
          <w:color w:val="auto"/>
          <w:highlight w:val="none"/>
          <w:lang w:eastAsia="zh-CN"/>
        </w:rPr>
        <w:t>（</w:t>
      </w:r>
      <w:r>
        <w:rPr>
          <w:rFonts w:hint="eastAsia" w:ascii="Times New Roman" w:hAnsi="Times New Roman" w:eastAsia="仿宋_GB2312"/>
          <w:color w:val="auto"/>
          <w:highlight w:val="none"/>
          <w:lang w:val="en-US" w:eastAsia="zh-CN"/>
        </w:rPr>
        <w:t>单一产品或核心产品品牌相同。核心产品超过一种产品的，核心产品中只要有一种产品为相同品牌，即认定为核心产品为相同品牌</w:t>
      </w:r>
      <w:r>
        <w:rPr>
          <w:rFonts w:hint="eastAsia" w:ascii="Times New Roman" w:hAnsi="Times New Roman" w:eastAsia="仿宋_GB2312"/>
          <w:color w:val="auto"/>
          <w:highlight w:val="none"/>
          <w:lang w:eastAsia="zh-CN"/>
        </w:rPr>
        <w:t>）</w:t>
      </w:r>
      <w:r>
        <w:rPr>
          <w:rFonts w:ascii="Times New Roman" w:hAnsi="Times New Roman" w:eastAsia="仿宋_GB2312"/>
          <w:color w:val="auto"/>
          <w:highlight w:val="none"/>
        </w:rPr>
        <w:t>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w:t>
      </w:r>
      <w:r>
        <w:rPr>
          <w:rFonts w:hint="eastAsia" w:ascii="Times New Roman" w:hAnsi="Times New Roman" w:eastAsia="仿宋_GB2312"/>
          <w:color w:val="auto"/>
          <w:highlight w:val="none"/>
        </w:rPr>
        <w:t>招标文件未规定的采取随机抽取方式确定，其他同品牌投标人不作为中标候选人。</w:t>
      </w:r>
    </w:p>
    <w:p w14:paraId="7D06ABD6">
      <w:pPr>
        <w:pStyle w:val="14"/>
        <w:shd w:val="clear" w:color="auto" w:fill="auto"/>
        <w:tabs>
          <w:tab w:val="clear" w:pos="567"/>
        </w:tabs>
        <w:spacing w:before="0" w:line="360" w:lineRule="auto"/>
        <w:ind w:left="-180" w:leftChars="-86" w:firstLine="660" w:firstLineChars="275"/>
        <w:rPr>
          <w:rFonts w:hint="eastAsia" w:ascii="Times New Roman" w:hAnsi="Times New Roman" w:eastAsia="仿宋_GB2312"/>
          <w:color w:val="auto"/>
          <w:highlight w:val="none"/>
          <w:lang w:eastAsia="zh-CN"/>
        </w:rPr>
      </w:pPr>
      <w:r>
        <w:rPr>
          <w:rFonts w:ascii="Times New Roman" w:hAnsi="Times New Roman" w:eastAsia="仿宋_GB2312"/>
          <w:color w:val="auto"/>
          <w:highlight w:val="none"/>
        </w:rPr>
        <w:t>6、中标候选人并列时的处理方式</w:t>
      </w:r>
    </w:p>
    <w:p w14:paraId="0B1B8920">
      <w:pPr>
        <w:pStyle w:val="14"/>
        <w:shd w:val="clear" w:color="auto" w:fill="auto"/>
        <w:tabs>
          <w:tab w:val="clear" w:pos="567"/>
        </w:tabs>
        <w:spacing w:before="0" w:line="360" w:lineRule="auto"/>
        <w:ind w:left="-180" w:leftChars="-86" w:firstLine="660" w:firstLineChars="275"/>
        <w:rPr>
          <w:rFonts w:ascii="Times New Roman" w:hAnsi="Times New Roman" w:eastAsia="仿宋_GB2312"/>
          <w:color w:val="auto"/>
          <w:highlight w:val="none"/>
        </w:rPr>
      </w:pPr>
      <w:r>
        <w:rPr>
          <w:rFonts w:ascii="Times New Roman" w:hAnsi="Times New Roman" w:eastAsia="仿宋_GB2312"/>
          <w:color w:val="auto"/>
          <w:highlight w:val="none"/>
        </w:rPr>
        <w:t>采用综合评</w:t>
      </w:r>
      <w:r>
        <w:rPr>
          <w:rFonts w:hint="eastAsia" w:ascii="Times New Roman" w:hAnsi="Times New Roman" w:eastAsia="仿宋_GB2312"/>
          <w:color w:val="auto"/>
          <w:highlight w:val="none"/>
        </w:rPr>
        <w:t>分</w:t>
      </w:r>
      <w:r>
        <w:rPr>
          <w:rFonts w:ascii="Times New Roman" w:hAnsi="Times New Roman" w:eastAsia="仿宋_GB2312"/>
          <w:color w:val="auto"/>
          <w:highlight w:val="none"/>
        </w:rPr>
        <w:t>法，则：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1EFD768F">
      <w:pPr>
        <w:pStyle w:val="14"/>
        <w:shd w:val="clear" w:color="auto" w:fill="auto"/>
        <w:tabs>
          <w:tab w:val="clear" w:pos="567"/>
        </w:tabs>
        <w:spacing w:before="0" w:line="360" w:lineRule="auto"/>
        <w:ind w:left="-180" w:leftChars="-86" w:firstLine="660" w:firstLineChars="275"/>
        <w:rPr>
          <w:rFonts w:ascii="Times New Roman" w:hAnsi="Times New Roman" w:eastAsia="仿宋_GB2312"/>
          <w:color w:val="auto"/>
          <w:highlight w:val="none"/>
        </w:rPr>
      </w:pPr>
    </w:p>
    <w:p w14:paraId="4A4B28FF">
      <w:pPr>
        <w:pStyle w:val="14"/>
        <w:shd w:val="clear" w:color="auto" w:fill="auto"/>
        <w:tabs>
          <w:tab w:val="clear" w:pos="567"/>
        </w:tabs>
        <w:spacing w:before="0" w:line="360" w:lineRule="auto"/>
        <w:ind w:left="-180" w:leftChars="-86" w:firstLine="660" w:firstLineChars="275"/>
        <w:rPr>
          <w:rFonts w:ascii="Times New Roman" w:hAnsi="Times New Roman" w:eastAsia="仿宋_GB2312"/>
          <w:color w:val="auto"/>
          <w:highlight w:val="none"/>
        </w:rPr>
      </w:pPr>
    </w:p>
    <w:p w14:paraId="5AF449E4">
      <w:pPr>
        <w:pStyle w:val="14"/>
        <w:shd w:val="clear" w:color="auto" w:fill="auto"/>
        <w:tabs>
          <w:tab w:val="clear" w:pos="567"/>
        </w:tabs>
        <w:spacing w:before="0" w:line="360" w:lineRule="auto"/>
        <w:jc w:val="center"/>
        <w:outlineLvl w:val="1"/>
        <w:rPr>
          <w:rFonts w:hint="eastAsia" w:ascii="Times New Roman" w:hAnsi="Times New Roman" w:eastAsia="仿宋_GB2312"/>
          <w:b/>
          <w:color w:val="auto"/>
          <w:sz w:val="32"/>
          <w:szCs w:val="32"/>
          <w:highlight w:val="none"/>
        </w:rPr>
      </w:pPr>
      <w:r>
        <w:rPr>
          <w:rFonts w:ascii="Times New Roman" w:hAnsi="Times New Roman" w:eastAsia="仿宋_GB2312"/>
          <w:color w:val="auto"/>
          <w:highlight w:val="none"/>
        </w:rPr>
        <w:br w:type="page"/>
      </w:r>
      <w:bookmarkStart w:id="347" w:name="_Toc19345"/>
      <w:r>
        <w:rPr>
          <w:rFonts w:hint="eastAsia" w:ascii="Times New Roman" w:hAnsi="Times New Roman" w:eastAsia="仿宋_GB2312"/>
          <w:b/>
          <w:color w:val="auto"/>
          <w:sz w:val="32"/>
          <w:szCs w:val="32"/>
          <w:highlight w:val="none"/>
        </w:rPr>
        <w:t>附表一  资格审查标准</w:t>
      </w:r>
      <w:bookmarkEnd w:id="347"/>
    </w:p>
    <w:tbl>
      <w:tblPr>
        <w:tblStyle w:val="192"/>
        <w:tblW w:w="90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862"/>
        <w:gridCol w:w="5269"/>
        <w:gridCol w:w="1200"/>
      </w:tblGrid>
      <w:tr w14:paraId="3B55C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blHeader/>
        </w:trPr>
        <w:tc>
          <w:tcPr>
            <w:tcW w:w="708" w:type="dxa"/>
            <w:noWrap w:val="0"/>
            <w:vAlign w:val="center"/>
          </w:tcPr>
          <w:p w14:paraId="3FF418F1">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17" w:right="111" w:firstLine="17"/>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b/>
                <w:bCs/>
                <w:color w:val="auto"/>
                <w:spacing w:val="-17"/>
                <w:sz w:val="24"/>
                <w:szCs w:val="24"/>
                <w:highlight w:val="none"/>
                <w:lang w:val="en-US" w:eastAsia="zh-CN"/>
              </w:rPr>
              <w:t>序号</w:t>
            </w:r>
          </w:p>
        </w:tc>
        <w:tc>
          <w:tcPr>
            <w:tcW w:w="1862" w:type="dxa"/>
            <w:noWrap w:val="0"/>
            <w:vAlign w:val="center"/>
          </w:tcPr>
          <w:p w14:paraId="34943A41">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pacing w:val="-5"/>
                <w:sz w:val="24"/>
                <w:szCs w:val="24"/>
                <w:highlight w:val="none"/>
                <w:lang w:val="en-US" w:eastAsia="zh-CN"/>
              </w:rPr>
              <w:t>审查要素</w:t>
            </w:r>
          </w:p>
        </w:tc>
        <w:tc>
          <w:tcPr>
            <w:tcW w:w="5269" w:type="dxa"/>
            <w:noWrap w:val="0"/>
            <w:vAlign w:val="center"/>
          </w:tcPr>
          <w:p w14:paraId="49AFFBAA">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pacing w:val="-4"/>
                <w:sz w:val="24"/>
                <w:szCs w:val="24"/>
                <w:highlight w:val="none"/>
                <w:lang w:val="en-US" w:eastAsia="zh-CN"/>
              </w:rPr>
              <w:t>审查</w:t>
            </w:r>
            <w:r>
              <w:rPr>
                <w:rFonts w:hint="eastAsia" w:ascii="仿宋_GB2312" w:hAnsi="仿宋_GB2312" w:eastAsia="仿宋_GB2312" w:cs="仿宋_GB2312"/>
                <w:b/>
                <w:bCs/>
                <w:color w:val="auto"/>
                <w:spacing w:val="-4"/>
                <w:sz w:val="24"/>
                <w:szCs w:val="24"/>
                <w:highlight w:val="none"/>
              </w:rPr>
              <w:t>标准</w:t>
            </w:r>
          </w:p>
        </w:tc>
        <w:tc>
          <w:tcPr>
            <w:tcW w:w="1200" w:type="dxa"/>
            <w:noWrap w:val="0"/>
            <w:vAlign w:val="center"/>
          </w:tcPr>
          <w:p w14:paraId="257F3E86">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b/>
                <w:bCs/>
                <w:color w:val="auto"/>
                <w:spacing w:val="-4"/>
                <w:sz w:val="24"/>
                <w:szCs w:val="24"/>
                <w:highlight w:val="none"/>
                <w:lang w:val="en-US" w:eastAsia="zh-CN"/>
              </w:rPr>
            </w:pPr>
            <w:r>
              <w:rPr>
                <w:rFonts w:hint="eastAsia" w:ascii="仿宋_GB2312" w:hAnsi="仿宋_GB2312" w:eastAsia="仿宋_GB2312" w:cs="仿宋_GB2312"/>
                <w:b/>
                <w:bCs/>
                <w:color w:val="auto"/>
                <w:spacing w:val="-4"/>
                <w:sz w:val="24"/>
                <w:szCs w:val="24"/>
                <w:highlight w:val="none"/>
                <w:lang w:val="en-US" w:eastAsia="zh-CN"/>
              </w:rPr>
              <w:t>审查结果</w:t>
            </w:r>
          </w:p>
        </w:tc>
      </w:tr>
      <w:tr w14:paraId="5D88E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3" w:hRule="atLeast"/>
        </w:trPr>
        <w:tc>
          <w:tcPr>
            <w:tcW w:w="708" w:type="dxa"/>
            <w:noWrap w:val="0"/>
            <w:vAlign w:val="center"/>
          </w:tcPr>
          <w:p w14:paraId="73F95085">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1862" w:type="dxa"/>
            <w:noWrap w:val="0"/>
            <w:vAlign w:val="center"/>
          </w:tcPr>
          <w:p w14:paraId="4FB90668">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right="279"/>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法人或者其他组织、自然人的营业执照等证明</w:t>
            </w:r>
            <w:r>
              <w:rPr>
                <w:rFonts w:hint="eastAsia" w:ascii="仿宋_GB2312" w:hAnsi="仿宋_GB2312" w:eastAsia="仿宋_GB2312" w:cs="仿宋_GB2312"/>
                <w:color w:val="auto"/>
                <w:spacing w:val="-3"/>
                <w:sz w:val="24"/>
                <w:szCs w:val="24"/>
                <w:highlight w:val="none"/>
              </w:rPr>
              <w:t>文件</w:t>
            </w:r>
          </w:p>
        </w:tc>
        <w:tc>
          <w:tcPr>
            <w:tcW w:w="5269" w:type="dxa"/>
            <w:noWrap w:val="0"/>
            <w:vAlign w:val="top"/>
          </w:tcPr>
          <w:p w14:paraId="188CC834">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05" w:leftChars="50" w:right="119"/>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lang w:val="en-US" w:eastAsia="zh-CN"/>
              </w:rPr>
              <w:t>1</w:t>
            </w: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rPr>
              <w:t>投标人是企业（包括合伙企业）的，应提供其在市场监督管理部门注册的有效“营业执照 ”的复印件；</w:t>
            </w:r>
          </w:p>
          <w:p w14:paraId="0C42E8E7">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05" w:leftChars="50" w:right="239"/>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lang w:val="en-US" w:eastAsia="zh-CN"/>
              </w:rPr>
              <w:t>（2）投标人</w:t>
            </w:r>
            <w:r>
              <w:rPr>
                <w:rFonts w:hint="eastAsia" w:ascii="仿宋_GB2312" w:hAnsi="仿宋_GB2312" w:eastAsia="仿宋_GB2312" w:cs="仿宋_GB2312"/>
                <w:color w:val="auto"/>
                <w:spacing w:val="0"/>
                <w:sz w:val="24"/>
                <w:szCs w:val="24"/>
                <w:highlight w:val="none"/>
              </w:rPr>
              <w:t>是事业单位的，应提供其有效的“事业单位法人证书”复印件；</w:t>
            </w:r>
          </w:p>
          <w:p w14:paraId="3C1E5CD2">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05" w:leftChars="50" w:right="239"/>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lang w:val="en-US" w:eastAsia="zh-CN"/>
              </w:rPr>
              <w:t>3</w:t>
            </w: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rPr>
              <w:t>投标人是非企业专业服务机构的，应提供其有效的“执业许可证”复印件；</w:t>
            </w:r>
          </w:p>
          <w:p w14:paraId="21393C98">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05" w:leftChars="50" w:right="239"/>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lang w:val="en-US" w:eastAsia="zh-CN"/>
              </w:rPr>
              <w:t>4</w:t>
            </w: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rPr>
              <w:t>投标人是民办非企业单位的，应提供其有效的登记证书复印件；</w:t>
            </w:r>
          </w:p>
          <w:p w14:paraId="6DAF7AE3">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05" w:leftChars="50" w:right="239"/>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lang w:val="en-US" w:eastAsia="zh-CN"/>
              </w:rPr>
              <w:t>5</w:t>
            </w: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rPr>
              <w:t>投标人是个体工商户的，应提供其有效的“营业执照”复印件；</w:t>
            </w:r>
          </w:p>
          <w:p w14:paraId="028D89A3">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05" w:leftChars="50" w:right="239"/>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lang w:val="en-US" w:eastAsia="zh-CN"/>
              </w:rPr>
              <w:t>6</w:t>
            </w: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rPr>
              <w:t>投标人是自然人的，应提供其有效的自然人身份证明复印件。</w:t>
            </w:r>
          </w:p>
        </w:tc>
        <w:tc>
          <w:tcPr>
            <w:tcW w:w="1200" w:type="dxa"/>
            <w:noWrap w:val="0"/>
            <w:vAlign w:val="top"/>
          </w:tcPr>
          <w:p w14:paraId="5F3E7FA3">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531" w:right="239" w:hanging="409"/>
              <w:textAlignment w:val="auto"/>
              <w:rPr>
                <w:rFonts w:hint="eastAsia" w:ascii="仿宋_GB2312" w:hAnsi="仿宋_GB2312" w:eastAsia="仿宋_GB2312" w:cs="仿宋_GB2312"/>
                <w:color w:val="auto"/>
                <w:spacing w:val="0"/>
                <w:position w:val="-5"/>
                <w:sz w:val="24"/>
                <w:szCs w:val="24"/>
                <w:highlight w:val="none"/>
              </w:rPr>
            </w:pPr>
          </w:p>
        </w:tc>
      </w:tr>
      <w:tr w14:paraId="3C7BD2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708" w:type="dxa"/>
            <w:vMerge w:val="restart"/>
            <w:noWrap w:val="0"/>
            <w:vAlign w:val="center"/>
          </w:tcPr>
          <w:p w14:paraId="19BD863A">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1862" w:type="dxa"/>
            <w:vMerge w:val="restart"/>
            <w:noWrap w:val="0"/>
            <w:vAlign w:val="center"/>
          </w:tcPr>
          <w:p w14:paraId="4A0E46A1">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财务状况报告：提供（1）或提供（2）</w:t>
            </w:r>
          </w:p>
        </w:tc>
        <w:tc>
          <w:tcPr>
            <w:tcW w:w="5269" w:type="dxa"/>
            <w:noWrap w:val="0"/>
            <w:vAlign w:val="top"/>
          </w:tcPr>
          <w:p w14:paraId="3B7A9836">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05" w:leftChars="50" w:right="179"/>
              <w:jc w:val="both"/>
              <w:textAlignment w:val="auto"/>
              <w:rPr>
                <w:rFonts w:hint="eastAsia" w:ascii="仿宋_GB2312" w:hAnsi="仿宋_GB2312" w:eastAsia="仿宋_GB2312" w:cs="仿宋_GB2312"/>
                <w:b/>
                <w:bCs/>
                <w:color w:val="auto"/>
                <w:spacing w:val="0"/>
                <w:sz w:val="24"/>
                <w:szCs w:val="24"/>
                <w:highlight w:val="none"/>
              </w:rPr>
            </w:pPr>
            <w:r>
              <w:rPr>
                <w:rFonts w:hint="eastAsia" w:ascii="仿宋_GB2312" w:hAnsi="仿宋_GB2312" w:eastAsia="仿宋_GB2312" w:cs="仿宋_GB2312"/>
                <w:b/>
                <w:bCs/>
                <w:color w:val="auto"/>
                <w:spacing w:val="0"/>
                <w:sz w:val="24"/>
                <w:szCs w:val="24"/>
                <w:highlight w:val="none"/>
              </w:rPr>
              <w:t>（1）提供</w:t>
            </w:r>
            <w:r>
              <w:rPr>
                <w:rFonts w:hint="eastAsia" w:ascii="仿宋_GB2312" w:hAnsi="仿宋_GB2312" w:eastAsia="仿宋_GB2312" w:cs="仿宋_GB2312"/>
                <w:b/>
                <w:bCs/>
                <w:color w:val="auto"/>
                <w:spacing w:val="0"/>
                <w:sz w:val="24"/>
                <w:szCs w:val="24"/>
                <w:highlight w:val="none"/>
                <w:lang w:eastAsia="zh-CN"/>
              </w:rPr>
              <w:t>202</w:t>
            </w:r>
            <w:r>
              <w:rPr>
                <w:rFonts w:hint="eastAsia" w:ascii="仿宋_GB2312" w:hAnsi="仿宋_GB2312" w:eastAsia="仿宋_GB2312" w:cs="仿宋_GB2312"/>
                <w:b/>
                <w:bCs/>
                <w:color w:val="auto"/>
                <w:spacing w:val="0"/>
                <w:sz w:val="24"/>
                <w:szCs w:val="24"/>
                <w:highlight w:val="none"/>
                <w:lang w:val="en-US" w:eastAsia="zh-CN"/>
              </w:rPr>
              <w:t>4</w:t>
            </w:r>
            <w:r>
              <w:rPr>
                <w:rFonts w:hint="eastAsia" w:ascii="仿宋_GB2312" w:hAnsi="仿宋_GB2312" w:eastAsia="仿宋_GB2312" w:cs="仿宋_GB2312"/>
                <w:b/>
                <w:bCs/>
                <w:color w:val="auto"/>
                <w:spacing w:val="0"/>
                <w:sz w:val="24"/>
                <w:szCs w:val="24"/>
                <w:highlight w:val="none"/>
              </w:rPr>
              <w:t>年度经审计的财务报告，应满足以下要求：</w:t>
            </w:r>
          </w:p>
          <w:p w14:paraId="59D84D2B">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05" w:leftChars="50" w:right="239"/>
              <w:jc w:val="both"/>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rPr>
              <w:t>①投标人是企业的，财务</w:t>
            </w:r>
            <w:r>
              <w:rPr>
                <w:rFonts w:hint="eastAsia" w:ascii="仿宋_GB2312" w:hAnsi="仿宋_GB2312" w:eastAsia="仿宋_GB2312" w:cs="仿宋_GB2312"/>
                <w:color w:val="auto"/>
                <w:spacing w:val="0"/>
                <w:sz w:val="24"/>
                <w:szCs w:val="24"/>
                <w:highlight w:val="none"/>
                <w:lang w:val="en-US" w:eastAsia="zh-CN"/>
              </w:rPr>
              <w:t>报告</w:t>
            </w:r>
            <w:r>
              <w:rPr>
                <w:rFonts w:hint="eastAsia" w:ascii="仿宋_GB2312" w:hAnsi="仿宋_GB2312" w:eastAsia="仿宋_GB2312" w:cs="仿宋_GB2312"/>
                <w:color w:val="auto"/>
                <w:spacing w:val="0"/>
                <w:sz w:val="24"/>
                <w:szCs w:val="24"/>
                <w:highlight w:val="none"/>
              </w:rPr>
              <w:t>是指经会计师事务所审计的上述指定年度整个会计年度财务报表（须提供会计师事务所出具的审计报告复印件）,复印件至少须包括</w:t>
            </w:r>
            <w:r>
              <w:rPr>
                <w:rFonts w:hint="eastAsia" w:ascii="仿宋_GB2312" w:hAnsi="仿宋_GB2312" w:eastAsia="仿宋_GB2312" w:cs="仿宋_GB2312"/>
                <w:color w:val="auto"/>
                <w:sz w:val="24"/>
                <w:highlight w:val="none"/>
                <w:lang w:val="en-US" w:eastAsia="zh-CN"/>
              </w:rPr>
              <w:t>报告正文、</w:t>
            </w:r>
            <w:r>
              <w:rPr>
                <w:rFonts w:hint="eastAsia" w:ascii="仿宋_GB2312" w:hAnsi="仿宋_GB2312" w:eastAsia="仿宋_GB2312" w:cs="仿宋_GB2312"/>
                <w:color w:val="auto"/>
                <w:sz w:val="24"/>
                <w:highlight w:val="none"/>
              </w:rPr>
              <w:t>资产负债表、现金流量表、利润表</w:t>
            </w:r>
            <w:r>
              <w:rPr>
                <w:rFonts w:hint="eastAsia" w:ascii="仿宋_GB2312" w:hAnsi="仿宋_GB2312" w:eastAsia="仿宋_GB2312" w:cs="仿宋_GB2312"/>
                <w:color w:val="auto"/>
                <w:sz w:val="24"/>
                <w:highlight w:val="none"/>
                <w:lang w:val="en-US" w:eastAsia="zh-CN"/>
              </w:rPr>
              <w:t>、附注和会计师事务所营业执照，报告正文应当有会计师事务所公章和2名注册会计师的签字及盖章。且出具的审计报告应当经过注册会计师行业统一监管平台备案赋码。</w:t>
            </w:r>
          </w:p>
          <w:p w14:paraId="275D8B87">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05" w:leftChars="50" w:right="239"/>
              <w:jc w:val="both"/>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rPr>
              <w:t>②投标人适用《事业单位会计准则》的，财务报</w:t>
            </w:r>
            <w:r>
              <w:rPr>
                <w:rFonts w:hint="eastAsia" w:ascii="仿宋_GB2312" w:hAnsi="仿宋_GB2312" w:eastAsia="仿宋_GB2312" w:cs="仿宋_GB2312"/>
                <w:color w:val="auto"/>
                <w:spacing w:val="0"/>
                <w:sz w:val="24"/>
                <w:szCs w:val="24"/>
                <w:highlight w:val="none"/>
                <w:lang w:val="en-US" w:eastAsia="zh-CN"/>
              </w:rPr>
              <w:t>告</w:t>
            </w:r>
            <w:r>
              <w:rPr>
                <w:rFonts w:hint="eastAsia" w:ascii="仿宋_GB2312" w:hAnsi="仿宋_GB2312" w:eastAsia="仿宋_GB2312" w:cs="仿宋_GB2312"/>
                <w:color w:val="auto"/>
                <w:spacing w:val="0"/>
                <w:sz w:val="24"/>
                <w:szCs w:val="24"/>
                <w:highlight w:val="none"/>
              </w:rPr>
              <w:t>是指上述指定年度整个会计年度财务报表（不要求必须是经审计的），复印件至少须包括资产负债表、收入支出表（或收入费用表）、财政补助收入支出表。</w:t>
            </w:r>
          </w:p>
          <w:p w14:paraId="4118C016">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05" w:leftChars="50" w:right="239"/>
              <w:jc w:val="both"/>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rPr>
              <w:t>③投标人适用《政府会计准则》的，财务报</w:t>
            </w:r>
            <w:r>
              <w:rPr>
                <w:rFonts w:hint="eastAsia" w:ascii="仿宋_GB2312" w:hAnsi="仿宋_GB2312" w:eastAsia="仿宋_GB2312" w:cs="仿宋_GB2312"/>
                <w:color w:val="auto"/>
                <w:spacing w:val="0"/>
                <w:sz w:val="24"/>
                <w:szCs w:val="24"/>
                <w:highlight w:val="none"/>
                <w:lang w:val="en-US" w:eastAsia="zh-CN"/>
              </w:rPr>
              <w:t>告</w:t>
            </w:r>
            <w:r>
              <w:rPr>
                <w:rFonts w:hint="eastAsia" w:ascii="仿宋_GB2312" w:hAnsi="仿宋_GB2312" w:eastAsia="仿宋_GB2312" w:cs="仿宋_GB2312"/>
                <w:color w:val="auto"/>
                <w:spacing w:val="0"/>
                <w:sz w:val="24"/>
                <w:szCs w:val="24"/>
                <w:highlight w:val="none"/>
              </w:rPr>
              <w:t>是指上述指定年度整个会计年度财务报表（不要求必须是经审计的），复印件至少须包括资产负债表、收入费用表。</w:t>
            </w:r>
          </w:p>
          <w:p w14:paraId="76D52558">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05" w:leftChars="50"/>
              <w:jc w:val="both"/>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rPr>
              <w:t>④投标人适用《民间非营利组织会计制度》的，</w:t>
            </w:r>
            <w:r>
              <w:rPr>
                <w:rFonts w:hint="eastAsia" w:ascii="仿宋_GB2312" w:hAnsi="仿宋_GB2312" w:eastAsia="仿宋_GB2312" w:cs="仿宋_GB2312"/>
                <w:color w:val="auto"/>
                <w:spacing w:val="0"/>
                <w:sz w:val="24"/>
                <w:szCs w:val="24"/>
                <w:highlight w:val="none"/>
                <w:lang w:val="en-US" w:eastAsia="zh-CN"/>
              </w:rPr>
              <w:t>财</w:t>
            </w:r>
            <w:r>
              <w:rPr>
                <w:rFonts w:hint="eastAsia" w:ascii="仿宋_GB2312" w:hAnsi="仿宋_GB2312" w:eastAsia="仿宋_GB2312" w:cs="仿宋_GB2312"/>
                <w:color w:val="auto"/>
                <w:spacing w:val="0"/>
                <w:sz w:val="24"/>
                <w:szCs w:val="24"/>
                <w:highlight w:val="none"/>
              </w:rPr>
              <w:t>务报</w:t>
            </w:r>
            <w:r>
              <w:rPr>
                <w:rFonts w:hint="eastAsia" w:ascii="仿宋_GB2312" w:hAnsi="仿宋_GB2312" w:eastAsia="仿宋_GB2312" w:cs="仿宋_GB2312"/>
                <w:color w:val="auto"/>
                <w:spacing w:val="0"/>
                <w:sz w:val="24"/>
                <w:szCs w:val="24"/>
                <w:highlight w:val="none"/>
                <w:lang w:val="en-US" w:eastAsia="zh-CN"/>
              </w:rPr>
              <w:t>告</w:t>
            </w:r>
            <w:r>
              <w:rPr>
                <w:rFonts w:hint="eastAsia" w:ascii="仿宋_GB2312" w:hAnsi="仿宋_GB2312" w:eastAsia="仿宋_GB2312" w:cs="仿宋_GB2312"/>
                <w:color w:val="auto"/>
                <w:spacing w:val="0"/>
                <w:sz w:val="24"/>
                <w:szCs w:val="24"/>
                <w:highlight w:val="none"/>
              </w:rPr>
              <w:t>是指上述指定年度整个会计年度财务报表（不要求必须是经审计的），复印件至少须包括资产负债表、业务活动表、现金流量表。</w:t>
            </w:r>
          </w:p>
          <w:p w14:paraId="43BAC4C2">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05" w:leftChars="50" w:right="238"/>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0"/>
                <w:sz w:val="24"/>
                <w:szCs w:val="24"/>
                <w:highlight w:val="none"/>
              </w:rPr>
              <w:t>⑤投标人是上述四种情况以外情况的，按照其依法适用的会计制度、财务规则或会计准则提供财务报表复印件（不要求必须是经审计的）。</w:t>
            </w:r>
          </w:p>
        </w:tc>
        <w:tc>
          <w:tcPr>
            <w:tcW w:w="1200" w:type="dxa"/>
            <w:noWrap w:val="0"/>
            <w:vAlign w:val="top"/>
          </w:tcPr>
          <w:p w14:paraId="2C95571A">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533" w:right="238" w:hanging="408"/>
              <w:jc w:val="both"/>
              <w:textAlignment w:val="auto"/>
              <w:rPr>
                <w:rFonts w:hint="eastAsia" w:ascii="仿宋_GB2312" w:hAnsi="仿宋_GB2312" w:eastAsia="仿宋_GB2312" w:cs="仿宋_GB2312"/>
                <w:color w:val="auto"/>
                <w:spacing w:val="0"/>
                <w:position w:val="-5"/>
                <w:sz w:val="24"/>
                <w:szCs w:val="24"/>
                <w:highlight w:val="none"/>
              </w:rPr>
            </w:pPr>
          </w:p>
        </w:tc>
      </w:tr>
      <w:tr w14:paraId="2030D3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08" w:type="dxa"/>
            <w:vMerge w:val="continue"/>
            <w:noWrap w:val="0"/>
            <w:vAlign w:val="top"/>
          </w:tcPr>
          <w:p w14:paraId="2C5F4AC2">
            <w:pPr>
              <w:keepNext w:val="0"/>
              <w:keepLines w:val="0"/>
              <w:pageBreakBefore w:val="0"/>
              <w:widowControl w:val="0"/>
              <w:shd w:val="clear" w:color="auto" w:fill="auto"/>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24"/>
                <w:szCs w:val="24"/>
                <w:highlight w:val="none"/>
              </w:rPr>
            </w:pPr>
          </w:p>
        </w:tc>
        <w:tc>
          <w:tcPr>
            <w:tcW w:w="1862" w:type="dxa"/>
            <w:vMerge w:val="continue"/>
            <w:noWrap w:val="0"/>
            <w:vAlign w:val="top"/>
          </w:tcPr>
          <w:p w14:paraId="725C26B0">
            <w:pPr>
              <w:keepNext w:val="0"/>
              <w:keepLines w:val="0"/>
              <w:pageBreakBefore w:val="0"/>
              <w:widowControl w:val="0"/>
              <w:shd w:val="clear" w:color="auto" w:fill="auto"/>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24"/>
                <w:szCs w:val="24"/>
                <w:highlight w:val="none"/>
              </w:rPr>
            </w:pPr>
          </w:p>
        </w:tc>
        <w:tc>
          <w:tcPr>
            <w:tcW w:w="5269" w:type="dxa"/>
            <w:noWrap w:val="0"/>
            <w:vAlign w:val="top"/>
          </w:tcPr>
          <w:p w14:paraId="0A13431B">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05" w:leftChars="50" w:right="311"/>
              <w:textAlignment w:val="auto"/>
              <w:rPr>
                <w:rFonts w:hint="eastAsia" w:ascii="仿宋_GB2312" w:hAnsi="仿宋_GB2312" w:eastAsia="仿宋_GB2312" w:cs="仿宋_GB2312"/>
                <w:color w:val="auto"/>
                <w:spacing w:val="-2"/>
                <w:sz w:val="24"/>
                <w:szCs w:val="24"/>
                <w:highlight w:val="none"/>
              </w:rPr>
            </w:pPr>
            <w:r>
              <w:rPr>
                <w:rFonts w:hint="eastAsia" w:ascii="仿宋_GB2312" w:hAnsi="仿宋_GB2312" w:eastAsia="仿宋_GB2312" w:cs="仿宋_GB2312"/>
                <w:color w:val="auto"/>
                <w:spacing w:val="-2"/>
                <w:sz w:val="24"/>
                <w:szCs w:val="24"/>
                <w:highlight w:val="none"/>
              </w:rPr>
              <w:t>（2）提供资信证明原件或复印件，应满足以下要</w:t>
            </w:r>
            <w:r>
              <w:rPr>
                <w:rFonts w:hint="eastAsia" w:ascii="仿宋_GB2312" w:hAnsi="仿宋_GB2312" w:eastAsia="仿宋_GB2312" w:cs="仿宋_GB2312"/>
                <w:color w:val="auto"/>
                <w:spacing w:val="-17"/>
                <w:sz w:val="24"/>
                <w:szCs w:val="24"/>
                <w:highlight w:val="none"/>
              </w:rPr>
              <w:t>求：</w:t>
            </w:r>
          </w:p>
          <w:p w14:paraId="7325F804">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05" w:leftChars="50" w:right="239"/>
              <w:jc w:val="both"/>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rPr>
              <w:t>①资信证明须为</w:t>
            </w:r>
            <w:r>
              <w:rPr>
                <w:rFonts w:hint="eastAsia" w:ascii="仿宋_GB2312" w:hAnsi="仿宋_GB2312" w:eastAsia="仿宋_GB2312" w:cs="仿宋_GB2312"/>
                <w:color w:val="auto"/>
                <w:spacing w:val="0"/>
                <w:sz w:val="24"/>
                <w:szCs w:val="24"/>
                <w:highlight w:val="none"/>
                <w:lang w:val="en-US" w:eastAsia="zh-CN"/>
              </w:rPr>
              <w:t>递交</w:t>
            </w:r>
            <w:r>
              <w:rPr>
                <w:rFonts w:hint="eastAsia" w:ascii="仿宋_GB2312" w:hAnsi="仿宋_GB2312" w:eastAsia="仿宋_GB2312" w:cs="仿宋_GB2312"/>
                <w:color w:val="auto"/>
                <w:spacing w:val="0"/>
                <w:sz w:val="24"/>
                <w:szCs w:val="24"/>
                <w:highlight w:val="none"/>
                <w:lang w:eastAsia="zh-CN"/>
              </w:rPr>
              <w:t>投标</w:t>
            </w:r>
            <w:r>
              <w:rPr>
                <w:rFonts w:hint="eastAsia" w:ascii="仿宋_GB2312" w:hAnsi="仿宋_GB2312" w:eastAsia="仿宋_GB2312" w:cs="仿宋_GB2312"/>
                <w:color w:val="auto"/>
                <w:spacing w:val="0"/>
                <w:sz w:val="24"/>
                <w:szCs w:val="24"/>
                <w:highlight w:val="none"/>
                <w:lang w:val="en-US" w:eastAsia="zh-CN"/>
              </w:rPr>
              <w:t>文件</w:t>
            </w:r>
            <w:r>
              <w:rPr>
                <w:rFonts w:hint="eastAsia" w:ascii="仿宋_GB2312" w:hAnsi="仿宋_GB2312" w:eastAsia="仿宋_GB2312" w:cs="仿宋_GB2312"/>
                <w:color w:val="auto"/>
                <w:spacing w:val="0"/>
                <w:sz w:val="24"/>
                <w:szCs w:val="24"/>
                <w:highlight w:val="none"/>
                <w:lang w:eastAsia="zh-CN"/>
              </w:rPr>
              <w:t>截止</w:t>
            </w:r>
            <w:r>
              <w:rPr>
                <w:rFonts w:hint="eastAsia" w:ascii="仿宋_GB2312" w:hAnsi="仿宋_GB2312" w:eastAsia="仿宋_GB2312" w:cs="仿宋_GB2312"/>
                <w:color w:val="auto"/>
                <w:spacing w:val="0"/>
                <w:sz w:val="24"/>
                <w:szCs w:val="24"/>
                <w:highlight w:val="none"/>
                <w:lang w:val="en-US" w:eastAsia="zh-CN"/>
              </w:rPr>
              <w:t>时间</w:t>
            </w:r>
            <w:r>
              <w:rPr>
                <w:rFonts w:hint="eastAsia" w:ascii="仿宋_GB2312" w:hAnsi="仿宋_GB2312" w:eastAsia="仿宋_GB2312" w:cs="仿宋_GB2312"/>
                <w:color w:val="auto"/>
                <w:spacing w:val="0"/>
                <w:sz w:val="24"/>
                <w:szCs w:val="24"/>
                <w:highlight w:val="none"/>
              </w:rPr>
              <w:t>前三个月内由投标人</w:t>
            </w:r>
            <w:r>
              <w:rPr>
                <w:rFonts w:hint="eastAsia" w:ascii="仿宋_GB2312" w:hAnsi="仿宋_GB2312" w:eastAsia="仿宋_GB2312" w:cs="仿宋_GB2312"/>
                <w:color w:val="auto"/>
                <w:spacing w:val="0"/>
                <w:sz w:val="24"/>
                <w:szCs w:val="24"/>
                <w:highlight w:val="none"/>
                <w:lang w:val="en-US" w:eastAsia="zh-CN"/>
              </w:rPr>
              <w:t>基本账户</w:t>
            </w:r>
            <w:r>
              <w:rPr>
                <w:rFonts w:hint="eastAsia" w:ascii="仿宋_GB2312" w:hAnsi="仿宋_GB2312" w:eastAsia="仿宋_GB2312" w:cs="仿宋_GB2312"/>
                <w:color w:val="auto"/>
                <w:spacing w:val="0"/>
                <w:sz w:val="24"/>
                <w:szCs w:val="24"/>
                <w:highlight w:val="none"/>
              </w:rPr>
              <w:t>开户银行出具。</w:t>
            </w:r>
          </w:p>
          <w:p w14:paraId="45E48B74">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05" w:leftChars="50" w:right="14"/>
              <w:jc w:val="both"/>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rPr>
              <w:t>②无论开具银行是否标明“复印无效”，投标人提供的复印件在本次投标中予以认可（即不因“复印无效”字样而认定资信证明复印件无效）</w:t>
            </w:r>
            <w:r>
              <w:rPr>
                <w:rFonts w:hint="eastAsia" w:ascii="仿宋_GB2312" w:hAnsi="仿宋_GB2312" w:eastAsia="仿宋_GB2312" w:cs="仿宋_GB2312"/>
                <w:color w:val="auto"/>
                <w:spacing w:val="0"/>
                <w:position w:val="1"/>
                <w:sz w:val="24"/>
                <w:szCs w:val="24"/>
                <w:highlight w:val="none"/>
              </w:rPr>
              <w:t>。</w:t>
            </w:r>
          </w:p>
          <w:p w14:paraId="0AFCD5BB">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05" w:leftChars="50"/>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rPr>
              <w:t>③银行出具的存款证明不能替代银行资信证明。</w:t>
            </w:r>
          </w:p>
        </w:tc>
        <w:tc>
          <w:tcPr>
            <w:tcW w:w="1200" w:type="dxa"/>
            <w:noWrap w:val="0"/>
            <w:vAlign w:val="top"/>
          </w:tcPr>
          <w:p w14:paraId="58566BFB">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13" w:right="311" w:firstLine="4"/>
              <w:textAlignment w:val="auto"/>
              <w:rPr>
                <w:rFonts w:hint="eastAsia" w:ascii="仿宋_GB2312" w:hAnsi="仿宋_GB2312" w:eastAsia="仿宋_GB2312" w:cs="仿宋_GB2312"/>
                <w:color w:val="auto"/>
                <w:spacing w:val="-2"/>
                <w:sz w:val="24"/>
                <w:szCs w:val="24"/>
                <w:highlight w:val="none"/>
              </w:rPr>
            </w:pPr>
          </w:p>
        </w:tc>
      </w:tr>
      <w:tr w14:paraId="1979BE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7" w:hRule="atLeast"/>
        </w:trPr>
        <w:tc>
          <w:tcPr>
            <w:tcW w:w="708" w:type="dxa"/>
            <w:noWrap w:val="0"/>
            <w:vAlign w:val="center"/>
          </w:tcPr>
          <w:p w14:paraId="518A6315">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4"/>
                <w:sz w:val="24"/>
                <w:szCs w:val="24"/>
                <w:highlight w:val="none"/>
              </w:rPr>
              <w:t>3</w:t>
            </w:r>
          </w:p>
        </w:tc>
        <w:tc>
          <w:tcPr>
            <w:tcW w:w="1862" w:type="dxa"/>
            <w:noWrap w:val="0"/>
            <w:vAlign w:val="center"/>
          </w:tcPr>
          <w:p w14:paraId="5DC82525">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right="279"/>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依法缴纳税收的相关材</w:t>
            </w:r>
            <w:r>
              <w:rPr>
                <w:rFonts w:hint="eastAsia" w:ascii="仿宋_GB2312" w:hAnsi="仿宋_GB2312" w:eastAsia="仿宋_GB2312" w:cs="仿宋_GB2312"/>
                <w:color w:val="auto"/>
                <w:sz w:val="24"/>
                <w:szCs w:val="24"/>
                <w:highlight w:val="none"/>
              </w:rPr>
              <w:t>料</w:t>
            </w:r>
          </w:p>
        </w:tc>
        <w:tc>
          <w:tcPr>
            <w:tcW w:w="5269" w:type="dxa"/>
            <w:noWrap w:val="0"/>
            <w:vAlign w:val="top"/>
          </w:tcPr>
          <w:p w14:paraId="17A89E26">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05" w:leftChars="50" w:right="119"/>
              <w:textAlignment w:val="auto"/>
              <w:rPr>
                <w:rFonts w:hint="eastAsia" w:ascii="仿宋_GB2312" w:hAnsi="仿宋_GB2312" w:eastAsia="仿宋_GB2312" w:cs="仿宋_GB2312"/>
                <w:color w:val="auto"/>
                <w:spacing w:val="0"/>
                <w:sz w:val="24"/>
                <w:szCs w:val="24"/>
                <w:highlight w:val="none"/>
                <w:lang w:eastAsia="zh-CN"/>
              </w:rPr>
            </w:pPr>
            <w:r>
              <w:rPr>
                <w:rFonts w:hint="eastAsia" w:eastAsia="仿宋_GB2312"/>
                <w:color w:val="auto"/>
                <w:sz w:val="24"/>
                <w:highlight w:val="none"/>
                <w:lang w:eastAsia="zh-CN"/>
              </w:rPr>
              <w:t>（</w:t>
            </w:r>
            <w:r>
              <w:rPr>
                <w:rFonts w:hint="eastAsia" w:eastAsia="仿宋_GB2312"/>
                <w:color w:val="auto"/>
                <w:sz w:val="24"/>
                <w:highlight w:val="none"/>
                <w:lang w:val="en-US" w:eastAsia="zh-CN"/>
              </w:rPr>
              <w:t>1</w:t>
            </w:r>
            <w:r>
              <w:rPr>
                <w:rFonts w:hint="eastAsia" w:eastAsia="仿宋_GB2312"/>
                <w:color w:val="auto"/>
                <w:sz w:val="24"/>
                <w:highlight w:val="none"/>
                <w:lang w:eastAsia="zh-CN"/>
              </w:rPr>
              <w:t>）</w:t>
            </w:r>
            <w:r>
              <w:rPr>
                <w:rFonts w:hint="eastAsia" w:eastAsia="仿宋_GB2312"/>
                <w:color w:val="auto"/>
                <w:sz w:val="24"/>
                <w:highlight w:val="none"/>
              </w:rPr>
              <w:t>投标人</w:t>
            </w:r>
            <w:r>
              <w:rPr>
                <w:rFonts w:eastAsia="仿宋_GB2312"/>
                <w:color w:val="auto"/>
                <w:sz w:val="24"/>
                <w:highlight w:val="none"/>
              </w:rPr>
              <w:t>应提供</w:t>
            </w:r>
            <w:r>
              <w:rPr>
                <w:rFonts w:hint="eastAsia" w:eastAsia="仿宋_GB2312"/>
                <w:color w:val="auto"/>
                <w:sz w:val="24"/>
                <w:highlight w:val="none"/>
              </w:rPr>
              <w:t>投标截止时间前</w:t>
            </w:r>
            <w:r>
              <w:rPr>
                <w:rFonts w:eastAsia="仿宋_GB2312"/>
                <w:color w:val="auto"/>
                <w:sz w:val="24"/>
                <w:highlight w:val="none"/>
              </w:rPr>
              <w:t>近六个月中任何一个月</w:t>
            </w:r>
            <w:r>
              <w:rPr>
                <w:rFonts w:hint="eastAsia" w:eastAsia="仿宋_GB2312"/>
                <w:color w:val="auto"/>
                <w:sz w:val="24"/>
                <w:highlight w:val="none"/>
              </w:rPr>
              <w:t>缴税凭证，时间以税款所属时期为准</w:t>
            </w:r>
            <w:r>
              <w:rPr>
                <w:rFonts w:eastAsia="仿宋_GB2312"/>
                <w:color w:val="auto"/>
                <w:sz w:val="24"/>
                <w:highlight w:val="none"/>
              </w:rPr>
              <w:t>（银行出具的缴税凭证或税务机关出具的证明的复印件，并加盖本单位公章）</w:t>
            </w:r>
            <w:r>
              <w:rPr>
                <w:rFonts w:hint="eastAsia" w:ascii="仿宋_GB2312" w:hAnsi="仿宋_GB2312" w:eastAsia="仿宋_GB2312" w:cs="仿宋_GB2312"/>
                <w:color w:val="auto"/>
                <w:spacing w:val="0"/>
                <w:sz w:val="24"/>
                <w:szCs w:val="24"/>
                <w:highlight w:val="none"/>
                <w:lang w:eastAsia="zh-CN"/>
              </w:rPr>
              <w:t>。</w:t>
            </w:r>
          </w:p>
          <w:p w14:paraId="340764F0">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05" w:leftChars="50" w:right="179"/>
              <w:jc w:val="both"/>
              <w:textAlignment w:val="auto"/>
              <w:rPr>
                <w:rFonts w:hint="eastAsia" w:ascii="仿宋_GB2312" w:hAnsi="仿宋_GB2312" w:eastAsia="仿宋_GB2312" w:cs="仿宋_GB2312"/>
                <w:color w:val="auto"/>
                <w:spacing w:val="0"/>
                <w:sz w:val="24"/>
                <w:szCs w:val="24"/>
                <w:highlight w:val="none"/>
                <w:lang w:eastAsia="zh-CN"/>
              </w:rPr>
            </w:pP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lang w:val="en-US" w:eastAsia="zh-CN"/>
              </w:rPr>
              <w:t>2</w:t>
            </w: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rPr>
              <w:t>缴纳凭证复印件须清晰可辨，并能显示出投标人名称和所缴纳税种种类，单位代扣代缴的个人所得税不能作为单位纳税的凭证</w:t>
            </w:r>
            <w:r>
              <w:rPr>
                <w:rFonts w:hint="eastAsia" w:ascii="仿宋_GB2312" w:hAnsi="仿宋_GB2312" w:eastAsia="仿宋_GB2312" w:cs="仿宋_GB2312"/>
                <w:color w:val="auto"/>
                <w:spacing w:val="0"/>
                <w:sz w:val="24"/>
                <w:szCs w:val="24"/>
                <w:highlight w:val="none"/>
                <w:lang w:eastAsia="zh-CN"/>
              </w:rPr>
              <w:t>。</w:t>
            </w:r>
          </w:p>
          <w:p w14:paraId="4A7595C0">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05" w:leftChars="50" w:right="179"/>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lang w:val="en-US" w:eastAsia="zh-CN"/>
              </w:rPr>
              <w:t>3</w:t>
            </w: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rPr>
              <w:t>依法免税的投标人，应提供相应文件证明其依法免税。</w:t>
            </w:r>
          </w:p>
        </w:tc>
        <w:tc>
          <w:tcPr>
            <w:tcW w:w="1200" w:type="dxa"/>
            <w:noWrap w:val="0"/>
            <w:vAlign w:val="top"/>
          </w:tcPr>
          <w:p w14:paraId="5E352256">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10" w:right="179" w:firstLine="2"/>
              <w:textAlignment w:val="auto"/>
              <w:rPr>
                <w:rFonts w:hint="eastAsia" w:ascii="仿宋_GB2312" w:hAnsi="仿宋_GB2312" w:eastAsia="仿宋_GB2312" w:cs="仿宋_GB2312"/>
                <w:color w:val="auto"/>
                <w:spacing w:val="0"/>
                <w:sz w:val="24"/>
                <w:szCs w:val="24"/>
                <w:highlight w:val="none"/>
              </w:rPr>
            </w:pPr>
          </w:p>
        </w:tc>
      </w:tr>
      <w:tr w14:paraId="35491B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4" w:hRule="atLeast"/>
        </w:trPr>
        <w:tc>
          <w:tcPr>
            <w:tcW w:w="708" w:type="dxa"/>
            <w:noWrap w:val="0"/>
            <w:vAlign w:val="center"/>
          </w:tcPr>
          <w:p w14:paraId="27E8F5EA">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4"/>
                <w:sz w:val="24"/>
                <w:szCs w:val="24"/>
                <w:highlight w:val="none"/>
              </w:rPr>
              <w:t>4</w:t>
            </w:r>
          </w:p>
        </w:tc>
        <w:tc>
          <w:tcPr>
            <w:tcW w:w="1862" w:type="dxa"/>
            <w:noWrap w:val="0"/>
            <w:vAlign w:val="center"/>
          </w:tcPr>
          <w:p w14:paraId="2F897B56">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right="279"/>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依法缴纳社会保障资金</w:t>
            </w:r>
            <w:r>
              <w:rPr>
                <w:rFonts w:hint="eastAsia" w:ascii="仿宋_GB2312" w:hAnsi="仿宋_GB2312" w:eastAsia="仿宋_GB2312" w:cs="仿宋_GB2312"/>
                <w:color w:val="auto"/>
                <w:spacing w:val="-5"/>
                <w:sz w:val="24"/>
                <w:szCs w:val="24"/>
                <w:highlight w:val="none"/>
              </w:rPr>
              <w:t>的相关材料</w:t>
            </w:r>
          </w:p>
        </w:tc>
        <w:tc>
          <w:tcPr>
            <w:tcW w:w="5269" w:type="dxa"/>
            <w:noWrap w:val="0"/>
            <w:vAlign w:val="top"/>
          </w:tcPr>
          <w:p w14:paraId="0531D177">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05" w:leftChars="50" w:right="119"/>
              <w:jc w:val="both"/>
              <w:textAlignment w:val="auto"/>
              <w:rPr>
                <w:rFonts w:hint="eastAsia" w:ascii="仿宋_GB2312" w:hAnsi="仿宋_GB2312" w:eastAsia="仿宋_GB2312" w:cs="仿宋_GB2312"/>
                <w:color w:val="auto"/>
                <w:spacing w:val="0"/>
                <w:sz w:val="24"/>
                <w:szCs w:val="24"/>
                <w:highlight w:val="none"/>
                <w:lang w:val="en-US" w:eastAsia="zh-CN"/>
              </w:rPr>
            </w:pPr>
            <w:r>
              <w:rPr>
                <w:rFonts w:hint="eastAsia" w:eastAsia="仿宋_GB2312"/>
                <w:color w:val="auto"/>
                <w:sz w:val="24"/>
                <w:highlight w:val="none"/>
                <w:lang w:eastAsia="zh-CN"/>
              </w:rPr>
              <w:t>（</w:t>
            </w:r>
            <w:r>
              <w:rPr>
                <w:rFonts w:hint="eastAsia" w:eastAsia="仿宋_GB2312"/>
                <w:color w:val="auto"/>
                <w:sz w:val="24"/>
                <w:highlight w:val="none"/>
                <w:lang w:val="en-US" w:eastAsia="zh-CN"/>
              </w:rPr>
              <w:t>1</w:t>
            </w:r>
            <w:r>
              <w:rPr>
                <w:rFonts w:hint="eastAsia" w:eastAsia="仿宋_GB2312"/>
                <w:color w:val="auto"/>
                <w:sz w:val="24"/>
                <w:highlight w:val="none"/>
                <w:lang w:eastAsia="zh-CN"/>
              </w:rPr>
              <w:t>）</w:t>
            </w:r>
            <w:r>
              <w:rPr>
                <w:rFonts w:hint="eastAsia" w:eastAsia="仿宋_GB2312"/>
                <w:color w:val="auto"/>
                <w:sz w:val="24"/>
                <w:highlight w:val="none"/>
              </w:rPr>
              <w:t>投标人</w:t>
            </w:r>
            <w:r>
              <w:rPr>
                <w:rFonts w:eastAsia="仿宋_GB2312"/>
                <w:color w:val="auto"/>
                <w:sz w:val="24"/>
                <w:highlight w:val="none"/>
              </w:rPr>
              <w:t>应提供</w:t>
            </w:r>
            <w:r>
              <w:rPr>
                <w:rFonts w:hint="eastAsia" w:eastAsia="仿宋_GB2312"/>
                <w:color w:val="auto"/>
                <w:sz w:val="24"/>
                <w:highlight w:val="none"/>
              </w:rPr>
              <w:t>投标截止时间前</w:t>
            </w:r>
            <w:r>
              <w:rPr>
                <w:rFonts w:eastAsia="仿宋_GB2312"/>
                <w:color w:val="auto"/>
                <w:sz w:val="24"/>
                <w:highlight w:val="none"/>
              </w:rPr>
              <w:t>近六个月中至少一个月的缴纳社会保险的凭据（专用收据或社会保险缴纳清单），并加盖本单位公章</w:t>
            </w:r>
            <w:r>
              <w:rPr>
                <w:rFonts w:hint="eastAsia" w:eastAsia="仿宋_GB2312"/>
                <w:color w:val="auto"/>
                <w:sz w:val="24"/>
                <w:highlight w:val="none"/>
                <w:lang w:eastAsia="zh-CN"/>
              </w:rPr>
              <w:t>。</w:t>
            </w:r>
          </w:p>
          <w:p w14:paraId="7C65B498">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05" w:leftChars="50" w:right="119"/>
              <w:jc w:val="both"/>
              <w:textAlignment w:val="auto"/>
              <w:rPr>
                <w:rFonts w:hint="eastAsia" w:ascii="仿宋_GB2312" w:hAnsi="仿宋_GB2312" w:eastAsia="仿宋_GB2312" w:cs="仿宋_GB2312"/>
                <w:color w:val="auto"/>
                <w:spacing w:val="0"/>
                <w:sz w:val="24"/>
                <w:szCs w:val="24"/>
                <w:highlight w:val="none"/>
                <w:lang w:eastAsia="zh-CN"/>
              </w:rPr>
            </w:pP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lang w:val="en-US" w:eastAsia="zh-CN"/>
              </w:rPr>
              <w:t>2</w:t>
            </w: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rPr>
              <w:t>凭证复印件须清晰可辨，并能显示出投标人名称和所缴纳的社保的种类</w:t>
            </w:r>
            <w:r>
              <w:rPr>
                <w:rFonts w:hint="eastAsia" w:ascii="仿宋_GB2312" w:hAnsi="仿宋_GB2312" w:eastAsia="仿宋_GB2312" w:cs="仿宋_GB2312"/>
                <w:color w:val="auto"/>
                <w:spacing w:val="0"/>
                <w:sz w:val="24"/>
                <w:szCs w:val="24"/>
                <w:highlight w:val="none"/>
                <w:lang w:eastAsia="zh-CN"/>
              </w:rPr>
              <w:t>。</w:t>
            </w:r>
          </w:p>
          <w:p w14:paraId="64B1F875">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05" w:leftChars="50" w:right="179"/>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lang w:val="en-US" w:eastAsia="zh-CN"/>
              </w:rPr>
              <w:t>3</w:t>
            </w: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rPr>
              <w:t>依法不需要缴纳社会保障资金的，应提供相应文件说明其依法不需要缴纳的证明材料复印件</w:t>
            </w:r>
            <w:r>
              <w:rPr>
                <w:rFonts w:hint="eastAsia" w:ascii="仿宋_GB2312" w:hAnsi="仿宋_GB2312" w:eastAsia="仿宋_GB2312" w:cs="仿宋_GB2312"/>
                <w:color w:val="auto"/>
                <w:spacing w:val="0"/>
                <w:sz w:val="24"/>
                <w:szCs w:val="24"/>
                <w:highlight w:val="none"/>
                <w:lang w:eastAsia="zh-CN"/>
              </w:rPr>
              <w:t>，</w:t>
            </w:r>
            <w:r>
              <w:rPr>
                <w:rFonts w:hint="eastAsia" w:ascii="仿宋_GB2312" w:hAnsi="仿宋_GB2312" w:eastAsia="仿宋_GB2312" w:cs="仿宋_GB2312"/>
                <w:color w:val="auto"/>
                <w:spacing w:val="0"/>
                <w:sz w:val="24"/>
                <w:szCs w:val="24"/>
                <w:highlight w:val="none"/>
                <w:lang w:val="en-US" w:eastAsia="zh-CN"/>
              </w:rPr>
              <w:t>并加盖本单位公章</w:t>
            </w:r>
            <w:r>
              <w:rPr>
                <w:rFonts w:hint="eastAsia" w:ascii="仿宋_GB2312" w:hAnsi="仿宋_GB2312" w:eastAsia="仿宋_GB2312" w:cs="仿宋_GB2312"/>
                <w:color w:val="auto"/>
                <w:spacing w:val="0"/>
                <w:sz w:val="24"/>
                <w:szCs w:val="24"/>
                <w:highlight w:val="none"/>
                <w:lang w:eastAsia="zh-CN"/>
              </w:rPr>
              <w:t>。</w:t>
            </w:r>
          </w:p>
        </w:tc>
        <w:tc>
          <w:tcPr>
            <w:tcW w:w="1200" w:type="dxa"/>
            <w:noWrap w:val="0"/>
            <w:vAlign w:val="top"/>
          </w:tcPr>
          <w:p w14:paraId="4F6A30AB">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13" w:right="179"/>
              <w:textAlignment w:val="auto"/>
              <w:rPr>
                <w:rFonts w:hint="eastAsia" w:ascii="仿宋_GB2312" w:hAnsi="仿宋_GB2312" w:eastAsia="仿宋_GB2312" w:cs="仿宋_GB2312"/>
                <w:color w:val="auto"/>
                <w:spacing w:val="0"/>
                <w:sz w:val="24"/>
                <w:szCs w:val="24"/>
                <w:highlight w:val="none"/>
              </w:rPr>
            </w:pPr>
          </w:p>
        </w:tc>
      </w:tr>
      <w:tr w14:paraId="124FE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708" w:type="dxa"/>
            <w:noWrap w:val="0"/>
            <w:vAlign w:val="center"/>
          </w:tcPr>
          <w:p w14:paraId="233F5AA2">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4"/>
                <w:sz w:val="24"/>
                <w:szCs w:val="24"/>
                <w:highlight w:val="none"/>
              </w:rPr>
              <w:t>5</w:t>
            </w:r>
          </w:p>
        </w:tc>
        <w:tc>
          <w:tcPr>
            <w:tcW w:w="1862" w:type="dxa"/>
            <w:noWrap w:val="0"/>
            <w:vAlign w:val="center"/>
          </w:tcPr>
          <w:p w14:paraId="3B203069">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08" w:right="279" w:firstLine="4"/>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具备履行合同所必需的</w:t>
            </w:r>
            <w:r>
              <w:rPr>
                <w:rFonts w:hint="eastAsia" w:ascii="仿宋_GB2312" w:hAnsi="仿宋_GB2312" w:eastAsia="仿宋_GB2312" w:cs="仿宋_GB2312"/>
                <w:color w:val="auto"/>
                <w:spacing w:val="-1"/>
                <w:sz w:val="24"/>
                <w:szCs w:val="24"/>
                <w:highlight w:val="none"/>
              </w:rPr>
              <w:t>设备和专业技术能力的</w:t>
            </w:r>
            <w:r>
              <w:rPr>
                <w:rFonts w:hint="eastAsia" w:ascii="仿宋_GB2312" w:hAnsi="仿宋_GB2312" w:eastAsia="仿宋_GB2312" w:cs="仿宋_GB2312"/>
                <w:color w:val="auto"/>
                <w:spacing w:val="-2"/>
                <w:sz w:val="24"/>
                <w:szCs w:val="24"/>
                <w:highlight w:val="none"/>
              </w:rPr>
              <w:t>证明材料</w:t>
            </w:r>
          </w:p>
        </w:tc>
        <w:tc>
          <w:tcPr>
            <w:tcW w:w="5269" w:type="dxa"/>
            <w:noWrap w:val="0"/>
            <w:vAlign w:val="center"/>
          </w:tcPr>
          <w:p w14:paraId="11F4345D">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05" w:leftChars="50" w:right="179"/>
              <w:jc w:val="both"/>
              <w:textAlignment w:val="auto"/>
              <w:rPr>
                <w:rFonts w:hint="eastAsia" w:ascii="仿宋_GB2312" w:hAnsi="仿宋_GB2312" w:eastAsia="仿宋_GB2312" w:cs="仿宋_GB2312"/>
                <w:color w:val="auto"/>
                <w:spacing w:val="0"/>
                <w:sz w:val="24"/>
                <w:szCs w:val="24"/>
                <w:highlight w:val="none"/>
                <w:lang w:eastAsia="zh-CN"/>
              </w:rPr>
            </w:pPr>
            <w:r>
              <w:rPr>
                <w:rFonts w:hint="eastAsia" w:ascii="仿宋_GB2312" w:hAnsi="仿宋_GB2312" w:eastAsia="仿宋_GB2312" w:cs="仿宋_GB2312"/>
                <w:color w:val="auto"/>
                <w:spacing w:val="0"/>
                <w:sz w:val="24"/>
                <w:szCs w:val="24"/>
                <w:highlight w:val="none"/>
              </w:rPr>
              <w:t>按照</w:t>
            </w:r>
            <w:r>
              <w:rPr>
                <w:rFonts w:hint="eastAsia" w:ascii="仿宋_GB2312" w:hAnsi="仿宋_GB2312" w:eastAsia="仿宋_GB2312" w:cs="仿宋_GB2312"/>
                <w:color w:val="auto"/>
                <w:spacing w:val="0"/>
                <w:sz w:val="24"/>
                <w:szCs w:val="24"/>
                <w:highlight w:val="none"/>
                <w:lang w:val="en-US" w:eastAsia="zh-CN"/>
              </w:rPr>
              <w:t>资格证明文件附件</w:t>
            </w:r>
            <w:r>
              <w:rPr>
                <w:rFonts w:hint="eastAsia" w:ascii="仿宋_GB2312" w:hAnsi="仿宋_GB2312" w:eastAsia="仿宋_GB2312" w:cs="仿宋_GB2312"/>
                <w:color w:val="auto"/>
                <w:spacing w:val="0"/>
                <w:sz w:val="24"/>
                <w:szCs w:val="24"/>
                <w:highlight w:val="none"/>
              </w:rPr>
              <w:t>格式作出相关承诺</w:t>
            </w:r>
            <w:r>
              <w:rPr>
                <w:rFonts w:hint="eastAsia" w:ascii="仿宋_GB2312" w:hAnsi="仿宋_GB2312" w:eastAsia="仿宋_GB2312" w:cs="仿宋_GB2312"/>
                <w:color w:val="auto"/>
                <w:spacing w:val="0"/>
                <w:sz w:val="24"/>
                <w:szCs w:val="24"/>
                <w:highlight w:val="none"/>
                <w:lang w:eastAsia="zh-CN"/>
              </w:rPr>
              <w:t>。</w:t>
            </w:r>
          </w:p>
        </w:tc>
        <w:tc>
          <w:tcPr>
            <w:tcW w:w="1200" w:type="dxa"/>
            <w:noWrap w:val="0"/>
            <w:vAlign w:val="center"/>
          </w:tcPr>
          <w:p w14:paraId="11314FB0">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right="179"/>
              <w:jc w:val="both"/>
              <w:textAlignment w:val="auto"/>
              <w:rPr>
                <w:rFonts w:hint="eastAsia" w:ascii="仿宋_GB2312" w:hAnsi="仿宋_GB2312" w:eastAsia="仿宋_GB2312" w:cs="仿宋_GB2312"/>
                <w:color w:val="auto"/>
                <w:spacing w:val="0"/>
                <w:sz w:val="24"/>
                <w:szCs w:val="24"/>
                <w:highlight w:val="none"/>
              </w:rPr>
            </w:pPr>
          </w:p>
        </w:tc>
      </w:tr>
      <w:tr w14:paraId="069CF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708" w:type="dxa"/>
            <w:noWrap w:val="0"/>
            <w:vAlign w:val="center"/>
          </w:tcPr>
          <w:p w14:paraId="3B91CB70">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4"/>
                <w:sz w:val="24"/>
                <w:szCs w:val="24"/>
                <w:highlight w:val="none"/>
              </w:rPr>
              <w:t>6</w:t>
            </w:r>
          </w:p>
        </w:tc>
        <w:tc>
          <w:tcPr>
            <w:tcW w:w="1862" w:type="dxa"/>
            <w:noWrap w:val="0"/>
            <w:vAlign w:val="center"/>
          </w:tcPr>
          <w:p w14:paraId="06AAFB37">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参加政府采购活动前3年内在经营活动中没有重大违法记录的书面</w:t>
            </w:r>
            <w:r>
              <w:rPr>
                <w:rFonts w:hint="eastAsia" w:ascii="仿宋_GB2312" w:hAnsi="仿宋_GB2312" w:eastAsia="仿宋_GB2312" w:cs="仿宋_GB2312"/>
                <w:color w:val="auto"/>
                <w:spacing w:val="-3"/>
                <w:sz w:val="24"/>
                <w:szCs w:val="24"/>
                <w:highlight w:val="none"/>
              </w:rPr>
              <w:t>声明</w:t>
            </w:r>
          </w:p>
        </w:tc>
        <w:tc>
          <w:tcPr>
            <w:tcW w:w="5269" w:type="dxa"/>
            <w:noWrap w:val="0"/>
            <w:vAlign w:val="center"/>
          </w:tcPr>
          <w:p w14:paraId="29715A5A">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05" w:leftChars="50" w:right="179"/>
              <w:jc w:val="both"/>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rPr>
              <w:t>按照</w:t>
            </w:r>
            <w:r>
              <w:rPr>
                <w:rFonts w:hint="eastAsia" w:ascii="仿宋_GB2312" w:hAnsi="仿宋_GB2312" w:eastAsia="仿宋_GB2312" w:cs="仿宋_GB2312"/>
                <w:color w:val="auto"/>
                <w:spacing w:val="0"/>
                <w:sz w:val="24"/>
                <w:szCs w:val="24"/>
                <w:highlight w:val="none"/>
                <w:lang w:val="en-US" w:eastAsia="zh-CN"/>
              </w:rPr>
              <w:t>资格证明文件附件</w:t>
            </w:r>
            <w:r>
              <w:rPr>
                <w:rFonts w:hint="eastAsia" w:ascii="仿宋_GB2312" w:hAnsi="仿宋_GB2312" w:eastAsia="仿宋_GB2312" w:cs="仿宋_GB2312"/>
                <w:color w:val="auto"/>
                <w:spacing w:val="0"/>
                <w:sz w:val="24"/>
                <w:szCs w:val="24"/>
                <w:highlight w:val="none"/>
              </w:rPr>
              <w:t>格式作出相关承诺。</w:t>
            </w:r>
          </w:p>
        </w:tc>
        <w:tc>
          <w:tcPr>
            <w:tcW w:w="1200" w:type="dxa"/>
            <w:noWrap w:val="0"/>
            <w:vAlign w:val="center"/>
          </w:tcPr>
          <w:p w14:paraId="7C33CF97">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right="179"/>
              <w:jc w:val="both"/>
              <w:textAlignment w:val="auto"/>
              <w:rPr>
                <w:rFonts w:hint="eastAsia" w:ascii="仿宋_GB2312" w:hAnsi="仿宋_GB2312" w:eastAsia="仿宋_GB2312" w:cs="仿宋_GB2312"/>
                <w:color w:val="auto"/>
                <w:spacing w:val="0"/>
                <w:sz w:val="24"/>
                <w:szCs w:val="24"/>
                <w:highlight w:val="none"/>
              </w:rPr>
            </w:pPr>
          </w:p>
        </w:tc>
      </w:tr>
      <w:tr w14:paraId="12FB37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3" w:hRule="atLeast"/>
        </w:trPr>
        <w:tc>
          <w:tcPr>
            <w:tcW w:w="708" w:type="dxa"/>
            <w:noWrap w:val="0"/>
            <w:vAlign w:val="center"/>
          </w:tcPr>
          <w:p w14:paraId="0D0AC78F">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4"/>
                <w:sz w:val="24"/>
                <w:szCs w:val="24"/>
                <w:highlight w:val="none"/>
              </w:rPr>
              <w:t>7</w:t>
            </w:r>
          </w:p>
        </w:tc>
        <w:tc>
          <w:tcPr>
            <w:tcW w:w="1862" w:type="dxa"/>
            <w:noWrap w:val="0"/>
            <w:vAlign w:val="center"/>
          </w:tcPr>
          <w:p w14:paraId="4D376312">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right="237"/>
              <w:jc w:val="both"/>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信用信息</w:t>
            </w:r>
          </w:p>
        </w:tc>
        <w:tc>
          <w:tcPr>
            <w:tcW w:w="5269" w:type="dxa"/>
            <w:noWrap w:val="0"/>
            <w:vAlign w:val="top"/>
          </w:tcPr>
          <w:p w14:paraId="7CC2E8B4">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05" w:leftChars="50" w:right="237"/>
              <w:jc w:val="both"/>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lang w:val="en-US" w:eastAsia="zh-CN"/>
              </w:rPr>
              <w:t>投标人</w:t>
            </w:r>
            <w:r>
              <w:rPr>
                <w:rFonts w:hint="eastAsia" w:ascii="仿宋_GB2312" w:hAnsi="仿宋_GB2312" w:eastAsia="仿宋_GB2312" w:cs="仿宋_GB2312"/>
                <w:color w:val="auto"/>
                <w:spacing w:val="0"/>
                <w:sz w:val="24"/>
                <w:szCs w:val="24"/>
                <w:highlight w:val="none"/>
              </w:rPr>
              <w:t>在递交投标文件截止时间前被“信用中国”网站（www.creditchina.gov.cn）和中国政府采购网（www.ccgp.gov.cn）上被列入失信被执行人、重大税收违法失信主体、政府采购严重违法失信行为信息记录名单的，不得参加投标；</w:t>
            </w:r>
          </w:p>
          <w:p w14:paraId="0949D38A">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05" w:leftChars="50" w:right="237"/>
              <w:jc w:val="both"/>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rPr>
              <w:t>（以</w:t>
            </w:r>
            <w:r>
              <w:rPr>
                <w:rFonts w:hint="eastAsia" w:ascii="仿宋_GB2312" w:hAnsi="仿宋_GB2312" w:eastAsia="仿宋_GB2312" w:cs="仿宋_GB2312"/>
                <w:color w:val="auto"/>
                <w:spacing w:val="0"/>
                <w:sz w:val="24"/>
                <w:szCs w:val="24"/>
                <w:highlight w:val="none"/>
                <w:lang w:val="en-US" w:eastAsia="zh-CN"/>
              </w:rPr>
              <w:t>采购</w:t>
            </w:r>
            <w:r>
              <w:rPr>
                <w:rFonts w:hint="eastAsia" w:ascii="仿宋_GB2312" w:hAnsi="仿宋_GB2312" w:eastAsia="仿宋_GB2312" w:cs="仿宋_GB2312"/>
                <w:color w:val="auto"/>
                <w:spacing w:val="0"/>
                <w:sz w:val="24"/>
                <w:szCs w:val="24"/>
                <w:highlight w:val="none"/>
              </w:rPr>
              <w:t>代理机构于</w:t>
            </w:r>
            <w:r>
              <w:rPr>
                <w:rFonts w:hint="eastAsia" w:ascii="仿宋_GB2312" w:hAnsi="仿宋_GB2312" w:eastAsia="仿宋_GB2312" w:cs="仿宋_GB2312"/>
                <w:color w:val="auto"/>
                <w:spacing w:val="0"/>
                <w:sz w:val="24"/>
                <w:szCs w:val="24"/>
                <w:highlight w:val="none"/>
                <w:lang w:val="en-US" w:eastAsia="zh-CN"/>
              </w:rPr>
              <w:t>递交投标文件</w:t>
            </w:r>
            <w:r>
              <w:rPr>
                <w:rFonts w:hint="eastAsia" w:ascii="仿宋_GB2312" w:hAnsi="仿宋_GB2312" w:eastAsia="仿宋_GB2312" w:cs="仿宋_GB2312"/>
                <w:color w:val="auto"/>
                <w:spacing w:val="0"/>
                <w:sz w:val="24"/>
                <w:szCs w:val="24"/>
                <w:highlight w:val="none"/>
              </w:rPr>
              <w:t>截止</w:t>
            </w:r>
            <w:r>
              <w:rPr>
                <w:rFonts w:hint="eastAsia" w:ascii="仿宋_GB2312" w:hAnsi="仿宋_GB2312" w:eastAsia="仿宋_GB2312" w:cs="仿宋_GB2312"/>
                <w:color w:val="auto"/>
                <w:spacing w:val="0"/>
                <w:sz w:val="24"/>
                <w:szCs w:val="24"/>
                <w:highlight w:val="none"/>
                <w:lang w:val="en-US" w:eastAsia="zh-CN"/>
              </w:rPr>
              <w:t>时间</w:t>
            </w:r>
            <w:r>
              <w:rPr>
                <w:rFonts w:hint="eastAsia" w:ascii="仿宋_GB2312" w:hAnsi="仿宋_GB2312" w:eastAsia="仿宋_GB2312" w:cs="仿宋_GB2312"/>
                <w:color w:val="auto"/>
                <w:spacing w:val="0"/>
                <w:sz w:val="24"/>
                <w:szCs w:val="24"/>
                <w:highlight w:val="none"/>
              </w:rPr>
              <w:t>当天</w:t>
            </w:r>
            <w:r>
              <w:rPr>
                <w:rFonts w:hint="eastAsia" w:ascii="仿宋_GB2312" w:hAnsi="仿宋_GB2312" w:eastAsia="仿宋_GB2312" w:cs="仿宋_GB2312"/>
                <w:color w:val="auto"/>
                <w:spacing w:val="0"/>
                <w:sz w:val="24"/>
                <w:szCs w:val="24"/>
                <w:highlight w:val="none"/>
                <w:lang w:val="en-US" w:eastAsia="zh-CN"/>
              </w:rPr>
              <w:t>进行资格审查时</w:t>
            </w:r>
            <w:r>
              <w:rPr>
                <w:rFonts w:hint="eastAsia" w:ascii="仿宋_GB2312" w:hAnsi="仿宋_GB2312" w:eastAsia="仿宋_GB2312" w:cs="仿宋_GB2312"/>
                <w:color w:val="auto"/>
                <w:spacing w:val="0"/>
                <w:sz w:val="24"/>
                <w:szCs w:val="24"/>
                <w:highlight w:val="none"/>
              </w:rPr>
              <w:t>在“信用中国”网站（www.creditchina.gov.cn）及中国政府采购网(www.ccgp.gov.cn)查询结果为准）。</w:t>
            </w:r>
          </w:p>
        </w:tc>
        <w:tc>
          <w:tcPr>
            <w:tcW w:w="1200" w:type="dxa"/>
            <w:noWrap w:val="0"/>
            <w:vAlign w:val="top"/>
          </w:tcPr>
          <w:p w14:paraId="2C724960">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color w:val="auto"/>
                <w:spacing w:val="0"/>
                <w:sz w:val="24"/>
                <w:szCs w:val="24"/>
                <w:highlight w:val="none"/>
              </w:rPr>
            </w:pPr>
          </w:p>
        </w:tc>
      </w:tr>
      <w:tr w14:paraId="59191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0" w:hRule="atLeast"/>
        </w:trPr>
        <w:tc>
          <w:tcPr>
            <w:tcW w:w="708" w:type="dxa"/>
            <w:noWrap w:val="0"/>
            <w:vAlign w:val="center"/>
          </w:tcPr>
          <w:p w14:paraId="6C03F032">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pacing w:val="-4"/>
                <w:sz w:val="24"/>
                <w:szCs w:val="24"/>
                <w:highlight w:val="none"/>
                <w:lang w:val="en-US" w:eastAsia="zh-CN"/>
              </w:rPr>
            </w:pPr>
            <w:r>
              <w:rPr>
                <w:rFonts w:hint="eastAsia" w:ascii="仿宋_GB2312" w:hAnsi="仿宋_GB2312" w:eastAsia="仿宋_GB2312" w:cs="仿宋_GB2312"/>
                <w:color w:val="auto"/>
                <w:spacing w:val="-4"/>
                <w:sz w:val="24"/>
                <w:szCs w:val="24"/>
                <w:highlight w:val="none"/>
                <w:lang w:val="en-US" w:eastAsia="zh-CN"/>
              </w:rPr>
              <w:t>8</w:t>
            </w:r>
          </w:p>
        </w:tc>
        <w:tc>
          <w:tcPr>
            <w:tcW w:w="1862" w:type="dxa"/>
            <w:noWrap w:val="0"/>
            <w:vAlign w:val="center"/>
          </w:tcPr>
          <w:p w14:paraId="3504C665">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单位负责人为同一人或者存在直接控股、管理关系的不同投标人，不得参加同一合同项下的政府采购活动</w:t>
            </w:r>
          </w:p>
        </w:tc>
        <w:tc>
          <w:tcPr>
            <w:tcW w:w="5269" w:type="dxa"/>
            <w:noWrap w:val="0"/>
            <w:vAlign w:val="center"/>
          </w:tcPr>
          <w:p w14:paraId="7C5B7563">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05" w:leftChars="50" w:right="237"/>
              <w:jc w:val="both"/>
              <w:textAlignment w:val="auto"/>
              <w:rPr>
                <w:rFonts w:hint="default" w:ascii="仿宋_GB2312" w:hAnsi="仿宋_GB2312" w:eastAsia="仿宋_GB2312" w:cs="仿宋_GB2312"/>
                <w:color w:val="auto"/>
                <w:spacing w:val="0"/>
                <w:sz w:val="24"/>
                <w:szCs w:val="24"/>
                <w:highlight w:val="none"/>
                <w:lang w:val="en-US" w:eastAsia="zh-CN"/>
              </w:rPr>
            </w:pPr>
            <w:r>
              <w:rPr>
                <w:rFonts w:hint="eastAsia" w:ascii="仿宋_GB2312" w:hAnsi="仿宋_GB2312" w:eastAsia="仿宋_GB2312" w:cs="仿宋_GB2312"/>
                <w:color w:val="auto"/>
                <w:spacing w:val="0"/>
                <w:sz w:val="24"/>
                <w:szCs w:val="24"/>
                <w:highlight w:val="none"/>
              </w:rPr>
              <w:t>按照</w:t>
            </w:r>
            <w:r>
              <w:rPr>
                <w:rFonts w:hint="eastAsia" w:ascii="仿宋_GB2312" w:hAnsi="仿宋_GB2312" w:eastAsia="仿宋_GB2312" w:cs="仿宋_GB2312"/>
                <w:color w:val="auto"/>
                <w:spacing w:val="0"/>
                <w:sz w:val="24"/>
                <w:szCs w:val="24"/>
                <w:highlight w:val="none"/>
                <w:lang w:val="en-US" w:eastAsia="zh-CN"/>
              </w:rPr>
              <w:t>资格证明文件附件</w:t>
            </w:r>
            <w:r>
              <w:rPr>
                <w:rFonts w:hint="eastAsia" w:ascii="仿宋_GB2312" w:hAnsi="仿宋_GB2312" w:eastAsia="仿宋_GB2312" w:cs="仿宋_GB2312"/>
                <w:color w:val="auto"/>
                <w:spacing w:val="0"/>
                <w:sz w:val="24"/>
                <w:szCs w:val="24"/>
                <w:highlight w:val="none"/>
              </w:rPr>
              <w:t>格式</w:t>
            </w:r>
            <w:r>
              <w:rPr>
                <w:rFonts w:hint="eastAsia" w:ascii="仿宋_GB2312" w:hAnsi="仿宋_GB2312" w:eastAsia="仿宋_GB2312" w:cs="仿宋_GB2312"/>
                <w:color w:val="auto"/>
                <w:spacing w:val="0"/>
                <w:sz w:val="24"/>
                <w:szCs w:val="24"/>
                <w:highlight w:val="none"/>
                <w:lang w:val="en-US" w:eastAsia="zh-CN"/>
              </w:rPr>
              <w:t>做出说明</w:t>
            </w:r>
          </w:p>
        </w:tc>
        <w:tc>
          <w:tcPr>
            <w:tcW w:w="1200" w:type="dxa"/>
            <w:noWrap w:val="0"/>
            <w:vAlign w:val="center"/>
          </w:tcPr>
          <w:p w14:paraId="59632B2C">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color w:val="auto"/>
                <w:spacing w:val="0"/>
                <w:sz w:val="24"/>
                <w:szCs w:val="24"/>
                <w:highlight w:val="none"/>
              </w:rPr>
            </w:pPr>
          </w:p>
        </w:tc>
      </w:tr>
      <w:tr w14:paraId="2B584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6" w:hRule="atLeast"/>
        </w:trPr>
        <w:tc>
          <w:tcPr>
            <w:tcW w:w="708" w:type="dxa"/>
            <w:noWrap w:val="0"/>
            <w:vAlign w:val="center"/>
          </w:tcPr>
          <w:p w14:paraId="4893F844">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auto"/>
                <w:spacing w:val="-4"/>
                <w:sz w:val="24"/>
                <w:szCs w:val="24"/>
                <w:highlight w:val="none"/>
                <w:lang w:val="en-US" w:eastAsia="zh-CN"/>
              </w:rPr>
            </w:pPr>
            <w:r>
              <w:rPr>
                <w:rFonts w:hint="eastAsia" w:ascii="仿宋_GB2312" w:hAnsi="仿宋_GB2312" w:eastAsia="仿宋_GB2312" w:cs="仿宋_GB2312"/>
                <w:color w:val="auto"/>
                <w:spacing w:val="-4"/>
                <w:sz w:val="24"/>
                <w:szCs w:val="24"/>
                <w:highlight w:val="none"/>
                <w:lang w:val="en-US" w:eastAsia="zh-CN"/>
              </w:rPr>
              <w:t>9</w:t>
            </w:r>
          </w:p>
        </w:tc>
        <w:tc>
          <w:tcPr>
            <w:tcW w:w="1862" w:type="dxa"/>
            <w:noWrap w:val="0"/>
            <w:vAlign w:val="center"/>
          </w:tcPr>
          <w:p w14:paraId="0A040A37">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为本项目提供整体设计、规范编制或者项目管理、监理、检测等服务的投标人，不得再参加该采购项目的其他采购活动</w:t>
            </w:r>
          </w:p>
        </w:tc>
        <w:tc>
          <w:tcPr>
            <w:tcW w:w="5269" w:type="dxa"/>
            <w:noWrap w:val="0"/>
            <w:vAlign w:val="center"/>
          </w:tcPr>
          <w:p w14:paraId="2B36E23C">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05" w:leftChars="50" w:right="237"/>
              <w:jc w:val="both"/>
              <w:textAlignment w:val="auto"/>
              <w:rPr>
                <w:rFonts w:hint="default" w:ascii="仿宋_GB2312" w:hAnsi="仿宋_GB2312" w:eastAsia="仿宋_GB2312" w:cs="仿宋_GB2312"/>
                <w:color w:val="auto"/>
                <w:spacing w:val="0"/>
                <w:sz w:val="24"/>
                <w:szCs w:val="24"/>
                <w:highlight w:val="none"/>
                <w:lang w:val="en-US"/>
              </w:rPr>
            </w:pPr>
            <w:r>
              <w:rPr>
                <w:rFonts w:hint="eastAsia" w:ascii="仿宋_GB2312" w:hAnsi="仿宋_GB2312" w:eastAsia="仿宋_GB2312" w:cs="仿宋_GB2312"/>
                <w:color w:val="auto"/>
                <w:spacing w:val="0"/>
                <w:sz w:val="24"/>
                <w:szCs w:val="24"/>
                <w:highlight w:val="none"/>
              </w:rPr>
              <w:t>按照</w:t>
            </w:r>
            <w:r>
              <w:rPr>
                <w:rFonts w:hint="eastAsia" w:ascii="仿宋_GB2312" w:hAnsi="仿宋_GB2312" w:eastAsia="仿宋_GB2312" w:cs="仿宋_GB2312"/>
                <w:color w:val="auto"/>
                <w:spacing w:val="0"/>
                <w:sz w:val="24"/>
                <w:szCs w:val="24"/>
                <w:highlight w:val="none"/>
                <w:lang w:val="en-US" w:eastAsia="zh-CN"/>
              </w:rPr>
              <w:t>资格证明文件附件</w:t>
            </w:r>
            <w:r>
              <w:rPr>
                <w:rFonts w:hint="eastAsia" w:ascii="仿宋_GB2312" w:hAnsi="仿宋_GB2312" w:eastAsia="仿宋_GB2312" w:cs="仿宋_GB2312"/>
                <w:color w:val="auto"/>
                <w:spacing w:val="0"/>
                <w:sz w:val="24"/>
                <w:szCs w:val="24"/>
                <w:highlight w:val="none"/>
              </w:rPr>
              <w:t>格式</w:t>
            </w:r>
            <w:r>
              <w:rPr>
                <w:rFonts w:hint="eastAsia" w:ascii="仿宋_GB2312" w:hAnsi="仿宋_GB2312" w:eastAsia="仿宋_GB2312" w:cs="仿宋_GB2312"/>
                <w:color w:val="auto"/>
                <w:spacing w:val="0"/>
                <w:sz w:val="24"/>
                <w:szCs w:val="24"/>
                <w:highlight w:val="none"/>
                <w:lang w:val="en-US" w:eastAsia="zh-CN"/>
              </w:rPr>
              <w:t>做出声明。投标人不属于</w:t>
            </w:r>
            <w:r>
              <w:rPr>
                <w:rFonts w:hint="eastAsia" w:ascii="仿宋_GB2312" w:hAnsi="仿宋_GB2312" w:eastAsia="仿宋_GB2312" w:cs="仿宋_GB2312"/>
                <w:color w:val="auto"/>
                <w:sz w:val="24"/>
                <w:szCs w:val="24"/>
                <w:highlight w:val="none"/>
                <w:lang w:val="en-US" w:eastAsia="zh-CN"/>
              </w:rPr>
              <w:t>为本项目提供整体设计、规范编制或者项目管理、监理、检测等服务的供应商。</w:t>
            </w:r>
          </w:p>
        </w:tc>
        <w:tc>
          <w:tcPr>
            <w:tcW w:w="1200" w:type="dxa"/>
            <w:noWrap w:val="0"/>
            <w:vAlign w:val="center"/>
          </w:tcPr>
          <w:p w14:paraId="29D64B1B">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color w:val="auto"/>
                <w:spacing w:val="0"/>
                <w:sz w:val="24"/>
                <w:szCs w:val="24"/>
                <w:highlight w:val="none"/>
              </w:rPr>
            </w:pPr>
          </w:p>
        </w:tc>
      </w:tr>
      <w:tr w14:paraId="4C382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noWrap w:val="0"/>
            <w:vAlign w:val="center"/>
          </w:tcPr>
          <w:p w14:paraId="521B0465">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auto"/>
                <w:spacing w:val="-4"/>
                <w:sz w:val="24"/>
                <w:szCs w:val="24"/>
                <w:highlight w:val="none"/>
                <w:lang w:val="en-US" w:eastAsia="zh-CN"/>
              </w:rPr>
            </w:pPr>
            <w:r>
              <w:rPr>
                <w:rFonts w:hint="eastAsia" w:ascii="仿宋_GB2312" w:hAnsi="仿宋_GB2312" w:eastAsia="仿宋_GB2312" w:cs="仿宋_GB2312"/>
                <w:color w:val="auto"/>
                <w:spacing w:val="-4"/>
                <w:sz w:val="24"/>
                <w:szCs w:val="24"/>
                <w:highlight w:val="none"/>
                <w:lang w:val="en-US" w:eastAsia="zh-CN"/>
              </w:rPr>
              <w:t>10</w:t>
            </w:r>
          </w:p>
        </w:tc>
        <w:tc>
          <w:tcPr>
            <w:tcW w:w="1862" w:type="dxa"/>
            <w:noWrap w:val="0"/>
            <w:vAlign w:val="center"/>
          </w:tcPr>
          <w:p w14:paraId="517AC703">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11" w:right="237"/>
              <w:jc w:val="both"/>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已向采购代理机构获取招标文件</w:t>
            </w:r>
          </w:p>
        </w:tc>
        <w:tc>
          <w:tcPr>
            <w:tcW w:w="5269" w:type="dxa"/>
            <w:noWrap w:val="0"/>
            <w:vAlign w:val="center"/>
          </w:tcPr>
          <w:p w14:paraId="24218419">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05" w:leftChars="50" w:right="237"/>
              <w:jc w:val="both"/>
              <w:textAlignment w:val="auto"/>
              <w:rPr>
                <w:rFonts w:hint="eastAsia" w:ascii="仿宋_GB2312" w:hAnsi="仿宋_GB2312" w:eastAsia="仿宋_GB2312" w:cs="仿宋_GB2312"/>
                <w:color w:val="auto"/>
                <w:spacing w:val="0"/>
                <w:sz w:val="24"/>
                <w:szCs w:val="24"/>
                <w:highlight w:val="none"/>
              </w:rPr>
            </w:pPr>
            <w:r>
              <w:rPr>
                <w:rFonts w:hint="eastAsia" w:ascii="仿宋_GB2312" w:hAnsi="仿宋_GB2312" w:eastAsia="仿宋_GB2312" w:cs="仿宋_GB2312"/>
                <w:color w:val="auto"/>
                <w:spacing w:val="0"/>
                <w:sz w:val="24"/>
                <w:szCs w:val="24"/>
                <w:highlight w:val="none"/>
              </w:rPr>
              <w:t>需向采购代理机构获取招标文件，未向采购代理机构获取招标文件的</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pacing w:val="0"/>
                <w:sz w:val="24"/>
                <w:szCs w:val="24"/>
                <w:highlight w:val="none"/>
              </w:rPr>
              <w:t>均无资格参加投标。</w:t>
            </w:r>
          </w:p>
        </w:tc>
        <w:tc>
          <w:tcPr>
            <w:tcW w:w="1200" w:type="dxa"/>
            <w:noWrap w:val="0"/>
            <w:vAlign w:val="center"/>
          </w:tcPr>
          <w:p w14:paraId="711F828A">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color w:val="auto"/>
                <w:spacing w:val="0"/>
                <w:sz w:val="24"/>
                <w:szCs w:val="24"/>
                <w:highlight w:val="none"/>
              </w:rPr>
            </w:pPr>
          </w:p>
        </w:tc>
      </w:tr>
      <w:tr w14:paraId="20D51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noWrap w:val="0"/>
            <w:vAlign w:val="center"/>
          </w:tcPr>
          <w:p w14:paraId="1BA08759">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auto"/>
                <w:spacing w:val="-4"/>
                <w:sz w:val="24"/>
                <w:szCs w:val="24"/>
                <w:highlight w:val="none"/>
                <w:lang w:val="en-US" w:eastAsia="zh-CN"/>
              </w:rPr>
            </w:pPr>
            <w:r>
              <w:rPr>
                <w:rFonts w:hint="eastAsia" w:ascii="仿宋_GB2312" w:hAnsi="仿宋_GB2312" w:eastAsia="仿宋_GB2312" w:cs="仿宋_GB2312"/>
                <w:color w:val="auto"/>
                <w:spacing w:val="-4"/>
                <w:sz w:val="24"/>
                <w:szCs w:val="24"/>
                <w:highlight w:val="none"/>
                <w:lang w:val="en-US" w:eastAsia="zh-CN"/>
              </w:rPr>
              <w:t>12</w:t>
            </w:r>
          </w:p>
        </w:tc>
        <w:tc>
          <w:tcPr>
            <w:tcW w:w="1862" w:type="dxa"/>
            <w:noWrap w:val="0"/>
            <w:vAlign w:val="center"/>
          </w:tcPr>
          <w:p w14:paraId="25001805">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11" w:right="237"/>
              <w:jc w:val="both"/>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法定代表人/单位负责人身份证明书、授权委托书及授权代表在本单位缴纳养老保险证明</w:t>
            </w:r>
          </w:p>
        </w:tc>
        <w:tc>
          <w:tcPr>
            <w:tcW w:w="5269" w:type="dxa"/>
            <w:noWrap w:val="0"/>
            <w:vAlign w:val="center"/>
          </w:tcPr>
          <w:p w14:paraId="531B21CF">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05" w:leftChars="50" w:right="237"/>
              <w:jc w:val="both"/>
              <w:textAlignment w:val="auto"/>
              <w:rPr>
                <w:rFonts w:hint="eastAsia" w:ascii="仿宋_GB2312" w:hAnsi="仿宋_GB2312" w:eastAsia="仿宋_GB2312" w:cs="仿宋_GB2312"/>
                <w:color w:val="auto"/>
                <w:spacing w:val="0"/>
                <w:sz w:val="24"/>
                <w:szCs w:val="24"/>
                <w:highlight w:val="none"/>
                <w:lang w:val="en-US" w:eastAsia="zh-CN"/>
              </w:rPr>
            </w:pPr>
            <w:r>
              <w:rPr>
                <w:rFonts w:hint="eastAsia" w:ascii="仿宋_GB2312" w:hAnsi="仿宋_GB2312" w:eastAsia="仿宋_GB2312" w:cs="仿宋_GB2312"/>
                <w:color w:val="auto"/>
                <w:spacing w:val="0"/>
                <w:sz w:val="24"/>
                <w:szCs w:val="24"/>
                <w:highlight w:val="none"/>
                <w:lang w:val="en-US" w:eastAsia="zh-CN"/>
              </w:rPr>
              <w:t>（1）法定代表人或单位负责人投标的，应提供法定代表人或单位负责人身份证明；</w:t>
            </w:r>
          </w:p>
          <w:p w14:paraId="02CAAEB1">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05" w:leftChars="50" w:right="237"/>
              <w:jc w:val="both"/>
              <w:textAlignment w:val="auto"/>
              <w:rPr>
                <w:rFonts w:hint="default" w:ascii="仿宋_GB2312" w:hAnsi="仿宋_GB2312" w:eastAsia="仿宋_GB2312" w:cs="仿宋_GB2312"/>
                <w:color w:val="auto"/>
                <w:spacing w:val="0"/>
                <w:sz w:val="24"/>
                <w:szCs w:val="24"/>
                <w:highlight w:val="none"/>
                <w:lang w:val="en-US" w:eastAsia="zh-CN"/>
              </w:rPr>
            </w:pPr>
            <w:r>
              <w:rPr>
                <w:rFonts w:hint="eastAsia" w:ascii="仿宋_GB2312" w:hAnsi="仿宋_GB2312" w:eastAsia="仿宋_GB2312" w:cs="仿宋_GB2312"/>
                <w:color w:val="auto"/>
                <w:spacing w:val="0"/>
                <w:sz w:val="24"/>
                <w:szCs w:val="24"/>
                <w:highlight w:val="none"/>
                <w:lang w:val="en-US" w:eastAsia="zh-CN"/>
              </w:rPr>
              <w:t>（2）授权代表投标的，应提供法定代表人或单位负责人身份证明、</w:t>
            </w:r>
            <w:r>
              <w:rPr>
                <w:rFonts w:hint="eastAsia" w:ascii="仿宋_GB2312" w:hAnsi="仿宋_GB2312" w:eastAsia="仿宋_GB2312" w:cs="仿宋_GB2312"/>
                <w:color w:val="auto"/>
                <w:sz w:val="24"/>
                <w:szCs w:val="24"/>
                <w:highlight w:val="none"/>
                <w:lang w:val="en-US" w:eastAsia="zh-CN"/>
              </w:rPr>
              <w:t>授权委托书及授权代表在本单位缴纳养老保险证明。</w:t>
            </w:r>
          </w:p>
        </w:tc>
        <w:tc>
          <w:tcPr>
            <w:tcW w:w="1200" w:type="dxa"/>
            <w:noWrap w:val="0"/>
            <w:vAlign w:val="center"/>
          </w:tcPr>
          <w:p w14:paraId="067ACB8B">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color w:val="auto"/>
                <w:spacing w:val="0"/>
                <w:sz w:val="24"/>
                <w:szCs w:val="24"/>
                <w:highlight w:val="none"/>
                <w:lang w:val="en-US" w:eastAsia="zh-CN"/>
              </w:rPr>
            </w:pPr>
          </w:p>
        </w:tc>
      </w:tr>
      <w:tr w14:paraId="5B498E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noWrap w:val="0"/>
            <w:vAlign w:val="center"/>
          </w:tcPr>
          <w:p w14:paraId="34D8AF34">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auto"/>
                <w:spacing w:val="-4"/>
                <w:sz w:val="24"/>
                <w:szCs w:val="24"/>
                <w:highlight w:val="none"/>
                <w:lang w:val="en-US" w:eastAsia="zh-CN"/>
              </w:rPr>
            </w:pPr>
            <w:r>
              <w:rPr>
                <w:rFonts w:hint="eastAsia" w:ascii="仿宋_GB2312" w:hAnsi="仿宋_GB2312" w:eastAsia="仿宋_GB2312" w:cs="仿宋_GB2312"/>
                <w:color w:val="auto"/>
                <w:spacing w:val="-4"/>
                <w:sz w:val="24"/>
                <w:szCs w:val="24"/>
                <w:highlight w:val="none"/>
                <w:lang w:val="en-US" w:eastAsia="zh-CN"/>
              </w:rPr>
              <w:t>13</w:t>
            </w:r>
          </w:p>
        </w:tc>
        <w:tc>
          <w:tcPr>
            <w:tcW w:w="1862" w:type="dxa"/>
            <w:noWrap w:val="0"/>
            <w:vAlign w:val="center"/>
          </w:tcPr>
          <w:p w14:paraId="35CD5452">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11" w:right="237"/>
              <w:jc w:val="both"/>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特定资格要求</w:t>
            </w:r>
          </w:p>
        </w:tc>
        <w:tc>
          <w:tcPr>
            <w:tcW w:w="5269" w:type="dxa"/>
            <w:noWrap w:val="0"/>
            <w:vAlign w:val="center"/>
          </w:tcPr>
          <w:p w14:paraId="3B7BB98F">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05" w:leftChars="50" w:right="237"/>
              <w:jc w:val="both"/>
              <w:textAlignment w:val="auto"/>
              <w:rPr>
                <w:rFonts w:hint="default" w:ascii="仿宋_GB2312" w:hAnsi="仿宋_GB2312" w:eastAsia="仿宋_GB2312" w:cs="仿宋_GB2312"/>
                <w:color w:val="auto"/>
                <w:spacing w:val="0"/>
                <w:sz w:val="24"/>
                <w:szCs w:val="24"/>
                <w:highlight w:val="none"/>
                <w:lang w:val="en-US" w:eastAsia="zh-CN"/>
              </w:rPr>
            </w:pPr>
            <w:r>
              <w:rPr>
                <w:rFonts w:hint="default" w:ascii="仿宋_GB2312" w:hAnsi="仿宋_GB2312" w:eastAsia="仿宋_GB2312" w:cs="仿宋_GB2312"/>
                <w:color w:val="auto"/>
                <w:spacing w:val="0"/>
                <w:sz w:val="24"/>
                <w:szCs w:val="24"/>
                <w:highlight w:val="none"/>
                <w:lang w:val="en-US" w:eastAsia="zh-CN"/>
              </w:rPr>
              <w:t>符合</w:t>
            </w:r>
            <w:r>
              <w:rPr>
                <w:rFonts w:hint="eastAsia" w:ascii="仿宋_GB2312" w:hAnsi="仿宋_GB2312" w:eastAsia="仿宋_GB2312" w:cs="仿宋_GB2312"/>
                <w:color w:val="auto"/>
                <w:spacing w:val="0"/>
                <w:sz w:val="24"/>
                <w:szCs w:val="24"/>
                <w:highlight w:val="none"/>
                <w:lang w:val="en-US" w:eastAsia="zh-CN"/>
              </w:rPr>
              <w:t>招标文件</w:t>
            </w:r>
            <w:r>
              <w:rPr>
                <w:rFonts w:hint="default" w:ascii="仿宋_GB2312" w:hAnsi="仿宋_GB2312" w:eastAsia="仿宋_GB2312" w:cs="仿宋_GB2312"/>
                <w:color w:val="auto"/>
                <w:spacing w:val="0"/>
                <w:sz w:val="24"/>
                <w:szCs w:val="24"/>
                <w:highlight w:val="none"/>
                <w:lang w:val="en-US" w:eastAsia="zh-CN"/>
              </w:rPr>
              <w:t>规定的特定资格要求。</w:t>
            </w:r>
          </w:p>
        </w:tc>
        <w:tc>
          <w:tcPr>
            <w:tcW w:w="1200" w:type="dxa"/>
            <w:noWrap w:val="0"/>
            <w:vAlign w:val="center"/>
          </w:tcPr>
          <w:p w14:paraId="3E9E40B2">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color w:val="auto"/>
                <w:spacing w:val="0"/>
                <w:sz w:val="24"/>
                <w:szCs w:val="24"/>
                <w:highlight w:val="none"/>
                <w:lang w:val="en-US" w:eastAsia="zh-CN"/>
              </w:rPr>
            </w:pPr>
          </w:p>
        </w:tc>
      </w:tr>
      <w:tr w14:paraId="5EBBFA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noWrap w:val="0"/>
            <w:vAlign w:val="center"/>
          </w:tcPr>
          <w:p w14:paraId="4041AFC0">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auto"/>
                <w:spacing w:val="-4"/>
                <w:sz w:val="24"/>
                <w:szCs w:val="24"/>
                <w:highlight w:val="none"/>
                <w:lang w:val="en-US" w:eastAsia="zh-CN"/>
              </w:rPr>
            </w:pPr>
            <w:r>
              <w:rPr>
                <w:rFonts w:hint="eastAsia" w:ascii="仿宋_GB2312" w:hAnsi="仿宋_GB2312" w:eastAsia="仿宋_GB2312" w:cs="仿宋_GB2312"/>
                <w:color w:val="auto"/>
                <w:spacing w:val="-4"/>
                <w:sz w:val="24"/>
                <w:szCs w:val="24"/>
                <w:highlight w:val="none"/>
                <w:lang w:val="en-US" w:eastAsia="zh-CN"/>
              </w:rPr>
              <w:t>14</w:t>
            </w:r>
          </w:p>
        </w:tc>
        <w:tc>
          <w:tcPr>
            <w:tcW w:w="1862" w:type="dxa"/>
            <w:noWrap w:val="0"/>
            <w:vAlign w:val="center"/>
          </w:tcPr>
          <w:p w14:paraId="39A11C79">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法律、行政法规规定的其他条件</w:t>
            </w:r>
          </w:p>
        </w:tc>
        <w:tc>
          <w:tcPr>
            <w:tcW w:w="5269" w:type="dxa"/>
            <w:noWrap w:val="0"/>
            <w:vAlign w:val="center"/>
          </w:tcPr>
          <w:p w14:paraId="07B3E011">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05" w:leftChars="50" w:right="237"/>
              <w:jc w:val="both"/>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不存在违反法律法规的情况</w:t>
            </w:r>
          </w:p>
        </w:tc>
        <w:tc>
          <w:tcPr>
            <w:tcW w:w="1200" w:type="dxa"/>
            <w:noWrap w:val="0"/>
            <w:vAlign w:val="center"/>
          </w:tcPr>
          <w:p w14:paraId="3F57B73F">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color w:val="auto"/>
                <w:sz w:val="24"/>
                <w:szCs w:val="24"/>
                <w:highlight w:val="none"/>
                <w:lang w:val="en-US" w:eastAsia="zh-CN"/>
              </w:rPr>
            </w:pPr>
          </w:p>
        </w:tc>
      </w:tr>
      <w:tr w14:paraId="23C60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570" w:type="dxa"/>
            <w:gridSpan w:val="2"/>
            <w:noWrap w:val="0"/>
            <w:vAlign w:val="center"/>
          </w:tcPr>
          <w:p w14:paraId="5A394F8E">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11" w:right="237"/>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审查结论</w:t>
            </w:r>
          </w:p>
        </w:tc>
        <w:tc>
          <w:tcPr>
            <w:tcW w:w="6469" w:type="dxa"/>
            <w:gridSpan w:val="2"/>
            <w:noWrap w:val="0"/>
            <w:vAlign w:val="center"/>
          </w:tcPr>
          <w:p w14:paraId="726DA4A9">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05" w:leftChars="50" w:right="237"/>
              <w:jc w:val="both"/>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通过/不通过</w:t>
            </w:r>
          </w:p>
        </w:tc>
      </w:tr>
      <w:tr w14:paraId="04C89C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570" w:type="dxa"/>
            <w:gridSpan w:val="2"/>
            <w:noWrap w:val="0"/>
            <w:vAlign w:val="center"/>
          </w:tcPr>
          <w:p w14:paraId="2924A0C2">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11" w:right="237"/>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不通过原因说明</w:t>
            </w:r>
          </w:p>
        </w:tc>
        <w:tc>
          <w:tcPr>
            <w:tcW w:w="6469" w:type="dxa"/>
            <w:gridSpan w:val="2"/>
            <w:noWrap w:val="0"/>
            <w:vAlign w:val="center"/>
          </w:tcPr>
          <w:p w14:paraId="177780E7">
            <w:pPr>
              <w:pStyle w:val="191"/>
              <w:keepNext w:val="0"/>
              <w:keepLines w:val="0"/>
              <w:pageBreakBefore w:val="0"/>
              <w:widowControl w:val="0"/>
              <w:shd w:val="clear" w:color="auto" w:fill="auto"/>
              <w:kinsoku/>
              <w:wordWrap/>
              <w:overflowPunct/>
              <w:topLinePunct w:val="0"/>
              <w:autoSpaceDE/>
              <w:autoSpaceDN/>
              <w:bidi w:val="0"/>
              <w:adjustRightInd/>
              <w:snapToGrid/>
              <w:spacing w:line="240" w:lineRule="auto"/>
              <w:ind w:left="111" w:right="237"/>
              <w:jc w:val="both"/>
              <w:textAlignment w:val="auto"/>
              <w:rPr>
                <w:rFonts w:hint="eastAsia" w:ascii="仿宋_GB2312" w:hAnsi="仿宋_GB2312" w:eastAsia="仿宋_GB2312" w:cs="仿宋_GB2312"/>
                <w:color w:val="auto"/>
                <w:sz w:val="24"/>
                <w:szCs w:val="24"/>
                <w:highlight w:val="none"/>
                <w:lang w:val="en-US" w:eastAsia="zh-CN"/>
              </w:rPr>
            </w:pPr>
          </w:p>
        </w:tc>
      </w:tr>
    </w:tbl>
    <w:p w14:paraId="34FAFA3F">
      <w:pPr>
        <w:pStyle w:val="14"/>
        <w:shd w:val="clear" w:color="auto" w:fill="auto"/>
        <w:bidi w:val="0"/>
        <w:rPr>
          <w:rFonts w:hint="default"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注</w:t>
      </w:r>
      <w:r>
        <w:rPr>
          <w:rFonts w:hint="default" w:ascii="Times New Roman" w:hAnsi="Times New Roman" w:eastAsia="仿宋_GB2312" w:cs="Times New Roman"/>
          <w:color w:val="auto"/>
          <w:highlight w:val="none"/>
          <w:lang w:val="en-US" w:eastAsia="zh-CN"/>
        </w:rPr>
        <w:t>：</w:t>
      </w:r>
    </w:p>
    <w:p w14:paraId="4ED3E508">
      <w:pPr>
        <w:pStyle w:val="14"/>
        <w:shd w:val="clear" w:color="auto" w:fill="auto"/>
        <w:bidi w:val="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1．采购人或采购代理机构对投标</w:t>
      </w:r>
      <w:r>
        <w:rPr>
          <w:rFonts w:hint="eastAsia" w:ascii="Times New Roman" w:hAnsi="Times New Roman" w:eastAsia="仿宋_GB2312" w:cs="Times New Roman"/>
          <w:color w:val="auto"/>
          <w:highlight w:val="none"/>
          <w:lang w:val="en-US" w:eastAsia="zh-CN"/>
        </w:rPr>
        <w:t>文件</w:t>
      </w:r>
      <w:r>
        <w:rPr>
          <w:rFonts w:hint="default" w:ascii="Times New Roman" w:hAnsi="Times New Roman" w:eastAsia="仿宋_GB2312" w:cs="Times New Roman"/>
          <w:color w:val="auto"/>
          <w:highlight w:val="none"/>
        </w:rPr>
        <w:t>是否满足要求逐条标注</w:t>
      </w:r>
      <w:r>
        <w:rPr>
          <w:rFonts w:hint="eastAsia" w:ascii="Times New Roman" w:hAnsi="Times New Roman" w:eastAsia="仿宋_GB2312" w:cs="Times New Roman"/>
          <w:color w:val="auto"/>
          <w:highlight w:val="none"/>
          <w:lang w:val="en-US" w:eastAsia="zh-CN"/>
        </w:rPr>
        <w:t>审查</w:t>
      </w:r>
      <w:r>
        <w:rPr>
          <w:rFonts w:hint="default" w:ascii="Times New Roman" w:hAnsi="Times New Roman" w:eastAsia="仿宋_GB2312" w:cs="Times New Roman"/>
          <w:color w:val="auto"/>
          <w:highlight w:val="none"/>
        </w:rPr>
        <w:t>意见，</w:t>
      </w:r>
      <w:r>
        <w:rPr>
          <w:rFonts w:hint="default" w:ascii="Times New Roman" w:hAnsi="Times New Roman" w:eastAsia="仿宋_GB2312" w:cs="Times New Roman"/>
          <w:color w:val="auto"/>
          <w:highlight w:val="none"/>
          <w:lang w:val="en-US" w:eastAsia="zh-CN"/>
        </w:rPr>
        <w:t>符合的</w:t>
      </w:r>
      <w:r>
        <w:rPr>
          <w:rFonts w:hint="default" w:ascii="Times New Roman" w:hAnsi="Times New Roman" w:eastAsia="仿宋_GB2312" w:cs="Times New Roman"/>
          <w:color w:val="auto"/>
          <w:highlight w:val="none"/>
        </w:rPr>
        <w:t>标记为“√”，</w:t>
      </w:r>
      <w:r>
        <w:rPr>
          <w:rFonts w:hint="default" w:ascii="Times New Roman" w:hAnsi="Times New Roman" w:eastAsia="仿宋_GB2312" w:cs="Times New Roman"/>
          <w:color w:val="auto"/>
          <w:highlight w:val="none"/>
          <w:lang w:val="en-US" w:eastAsia="zh-CN"/>
        </w:rPr>
        <w:t>不符合的</w:t>
      </w:r>
      <w:r>
        <w:rPr>
          <w:rFonts w:hint="default" w:ascii="Times New Roman" w:hAnsi="Times New Roman" w:eastAsia="仿宋_GB2312" w:cs="Times New Roman"/>
          <w:color w:val="auto"/>
          <w:highlight w:val="none"/>
        </w:rPr>
        <w:t>标记为“×”；</w:t>
      </w:r>
    </w:p>
    <w:p w14:paraId="4EAB62F3">
      <w:pPr>
        <w:pStyle w:val="14"/>
        <w:shd w:val="clear" w:color="auto" w:fill="auto"/>
        <w:bidi w:val="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2．</w:t>
      </w:r>
      <w:r>
        <w:rPr>
          <w:rFonts w:hint="default" w:ascii="Times New Roman" w:hAnsi="Times New Roman" w:eastAsia="仿宋_GB2312" w:cs="Times New Roman"/>
          <w:color w:val="auto"/>
          <w:highlight w:val="none"/>
          <w:lang w:val="en-US" w:eastAsia="zh-CN"/>
        </w:rPr>
        <w:t>审查</w:t>
      </w:r>
      <w:r>
        <w:rPr>
          <w:rFonts w:hint="default" w:ascii="Times New Roman" w:hAnsi="Times New Roman" w:eastAsia="仿宋_GB2312" w:cs="Times New Roman"/>
          <w:color w:val="auto"/>
          <w:highlight w:val="none"/>
        </w:rPr>
        <w:t>结论栏统一填写为“通过”或“不通过” ，出现一个“×”为“不通过”</w:t>
      </w:r>
      <w:r>
        <w:rPr>
          <w:rFonts w:hint="default" w:ascii="Times New Roman" w:hAnsi="Times New Roman" w:eastAsia="仿宋_GB2312" w:cs="Times New Roman"/>
          <w:color w:val="auto"/>
          <w:highlight w:val="none"/>
          <w:lang w:eastAsia="zh-CN"/>
        </w:rPr>
        <w:t>，不进入后续评审</w:t>
      </w:r>
      <w:r>
        <w:rPr>
          <w:rFonts w:hint="default" w:ascii="Times New Roman" w:hAnsi="Times New Roman" w:eastAsia="仿宋_GB2312" w:cs="Times New Roman"/>
          <w:color w:val="auto"/>
          <w:highlight w:val="none"/>
        </w:rPr>
        <w:t>；</w:t>
      </w:r>
    </w:p>
    <w:p w14:paraId="2DDFA20D">
      <w:pPr>
        <w:pStyle w:val="14"/>
        <w:shd w:val="clear" w:color="auto" w:fill="auto"/>
        <w:bidi w:val="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3．对</w:t>
      </w:r>
      <w:r>
        <w:rPr>
          <w:rFonts w:hint="default" w:ascii="Times New Roman" w:hAnsi="Times New Roman" w:eastAsia="仿宋_GB2312" w:cs="Times New Roman"/>
          <w:color w:val="auto"/>
          <w:highlight w:val="none"/>
          <w:lang w:val="en-US" w:eastAsia="zh-CN"/>
        </w:rPr>
        <w:t>审查</w:t>
      </w:r>
      <w:r>
        <w:rPr>
          <w:rFonts w:hint="default" w:ascii="Times New Roman" w:hAnsi="Times New Roman" w:eastAsia="仿宋_GB2312" w:cs="Times New Roman"/>
          <w:color w:val="auto"/>
          <w:highlight w:val="none"/>
        </w:rPr>
        <w:t>结论为“不通过”的，要说明原因。</w:t>
      </w:r>
    </w:p>
    <w:p w14:paraId="110D9A6D">
      <w:pPr>
        <w:pStyle w:val="14"/>
        <w:shd w:val="clear" w:color="auto" w:fill="auto"/>
        <w:tabs>
          <w:tab w:val="clear" w:pos="567"/>
        </w:tabs>
        <w:spacing w:before="0" w:line="360" w:lineRule="auto"/>
        <w:jc w:val="center"/>
        <w:outlineLvl w:val="1"/>
        <w:rPr>
          <w:rFonts w:hint="eastAsia" w:ascii="Times New Roman" w:hAnsi="Times New Roman" w:eastAsia="仿宋_GB2312"/>
          <w:color w:val="auto"/>
          <w:highlight w:val="none"/>
        </w:rPr>
      </w:pPr>
      <w:r>
        <w:rPr>
          <w:rFonts w:hint="default" w:ascii="Times New Roman" w:hAnsi="Times New Roman" w:eastAsia="仿宋_GB2312" w:cs="Times New Roman"/>
          <w:b w:val="0"/>
          <w:bCs/>
          <w:color w:val="auto"/>
          <w:sz w:val="24"/>
          <w:szCs w:val="24"/>
          <w:highlight w:val="none"/>
        </w:rPr>
        <w:br w:type="page"/>
      </w:r>
      <w:bookmarkStart w:id="348" w:name="_Toc177"/>
      <w:r>
        <w:rPr>
          <w:rFonts w:hint="eastAsia" w:ascii="Times New Roman" w:hAnsi="Times New Roman" w:eastAsia="仿宋_GB2312"/>
          <w:b/>
          <w:color w:val="auto"/>
          <w:sz w:val="32"/>
          <w:szCs w:val="32"/>
          <w:highlight w:val="none"/>
        </w:rPr>
        <w:t>附表二  符合性审查标准</w:t>
      </w:r>
      <w:bookmarkEnd w:id="348"/>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638"/>
        <w:gridCol w:w="5244"/>
        <w:gridCol w:w="1623"/>
      </w:tblGrid>
      <w:tr w14:paraId="435F5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64EB3C99">
            <w:pPr>
              <w:pStyle w:val="14"/>
              <w:shd w:val="clear" w:color="auto" w:fill="auto"/>
              <w:spacing w:before="0" w:line="240" w:lineRule="auto"/>
              <w:jc w:val="center"/>
              <w:rPr>
                <w:rFonts w:hint="eastAsia" w:ascii="仿宋_GB2312" w:eastAsia="仿宋_GB2312"/>
                <w:b/>
                <w:bCs/>
                <w:color w:val="auto"/>
                <w:highlight w:val="none"/>
              </w:rPr>
            </w:pPr>
            <w:r>
              <w:rPr>
                <w:rFonts w:hint="eastAsia" w:ascii="仿宋_GB2312" w:eastAsia="仿宋_GB2312"/>
                <w:b/>
                <w:bCs/>
                <w:color w:val="auto"/>
                <w:highlight w:val="none"/>
              </w:rPr>
              <w:t>序号</w:t>
            </w:r>
          </w:p>
        </w:tc>
        <w:tc>
          <w:tcPr>
            <w:tcW w:w="1638" w:type="dxa"/>
            <w:noWrap w:val="0"/>
            <w:vAlign w:val="center"/>
          </w:tcPr>
          <w:p w14:paraId="6AEE1AFA">
            <w:pPr>
              <w:pStyle w:val="14"/>
              <w:shd w:val="clear" w:color="auto" w:fill="auto"/>
              <w:spacing w:before="0" w:line="240" w:lineRule="auto"/>
              <w:jc w:val="center"/>
              <w:rPr>
                <w:rFonts w:hint="eastAsia" w:ascii="仿宋_GB2312" w:eastAsia="仿宋_GB2312"/>
                <w:b/>
                <w:bCs/>
                <w:color w:val="auto"/>
                <w:highlight w:val="none"/>
                <w:lang w:val="en-US" w:eastAsia="zh-CN"/>
              </w:rPr>
            </w:pPr>
            <w:r>
              <w:rPr>
                <w:rFonts w:hint="eastAsia" w:ascii="仿宋_GB2312" w:eastAsia="仿宋_GB2312"/>
                <w:b/>
                <w:bCs/>
                <w:color w:val="auto"/>
                <w:highlight w:val="none"/>
              </w:rPr>
              <w:t>审查</w:t>
            </w:r>
            <w:r>
              <w:rPr>
                <w:rFonts w:hint="eastAsia" w:ascii="仿宋_GB2312" w:eastAsia="仿宋_GB2312"/>
                <w:b/>
                <w:bCs/>
                <w:color w:val="auto"/>
                <w:highlight w:val="none"/>
                <w:lang w:val="en-US" w:eastAsia="zh-CN"/>
              </w:rPr>
              <w:t>要素</w:t>
            </w:r>
          </w:p>
        </w:tc>
        <w:tc>
          <w:tcPr>
            <w:tcW w:w="5244" w:type="dxa"/>
            <w:noWrap w:val="0"/>
            <w:vAlign w:val="center"/>
          </w:tcPr>
          <w:p w14:paraId="0BA51643">
            <w:pPr>
              <w:pStyle w:val="14"/>
              <w:shd w:val="clear" w:color="auto" w:fill="auto"/>
              <w:spacing w:before="0" w:line="240" w:lineRule="auto"/>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审查标准</w:t>
            </w:r>
          </w:p>
        </w:tc>
        <w:tc>
          <w:tcPr>
            <w:tcW w:w="1623" w:type="dxa"/>
            <w:noWrap w:val="0"/>
            <w:vAlign w:val="center"/>
          </w:tcPr>
          <w:p w14:paraId="4E497386">
            <w:pPr>
              <w:pStyle w:val="14"/>
              <w:shd w:val="clear" w:color="auto" w:fill="auto"/>
              <w:spacing w:before="0" w:line="240" w:lineRule="auto"/>
              <w:jc w:val="center"/>
              <w:rPr>
                <w:rFonts w:hint="default" w:ascii="仿宋_GB2312" w:eastAsia="仿宋_GB2312"/>
                <w:b/>
                <w:bCs/>
                <w:color w:val="auto"/>
                <w:highlight w:val="none"/>
                <w:lang w:val="en-US" w:eastAsia="zh-CN"/>
              </w:rPr>
            </w:pPr>
            <w:r>
              <w:rPr>
                <w:rFonts w:hint="eastAsia" w:ascii="仿宋_GB2312" w:eastAsia="仿宋_GB2312"/>
                <w:b/>
                <w:bCs/>
                <w:color w:val="auto"/>
                <w:highlight w:val="none"/>
                <w:lang w:val="en-US" w:eastAsia="zh-CN"/>
              </w:rPr>
              <w:t>审查结果</w:t>
            </w:r>
          </w:p>
        </w:tc>
      </w:tr>
      <w:tr w14:paraId="40ED5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07CBAF20">
            <w:pPr>
              <w:pStyle w:val="14"/>
              <w:shd w:val="clear" w:color="auto" w:fill="auto"/>
              <w:spacing w:before="0" w:line="240" w:lineRule="auto"/>
              <w:jc w:val="center"/>
              <w:rPr>
                <w:rFonts w:hint="eastAsia" w:ascii="仿宋_GB2312" w:eastAsia="仿宋_GB2312"/>
                <w:color w:val="auto"/>
                <w:highlight w:val="none"/>
              </w:rPr>
            </w:pPr>
            <w:r>
              <w:rPr>
                <w:rFonts w:hint="eastAsia" w:ascii="仿宋_GB2312" w:eastAsia="仿宋_GB2312"/>
                <w:color w:val="auto"/>
                <w:highlight w:val="none"/>
              </w:rPr>
              <w:t>1</w:t>
            </w:r>
          </w:p>
        </w:tc>
        <w:tc>
          <w:tcPr>
            <w:tcW w:w="1638" w:type="dxa"/>
            <w:noWrap w:val="0"/>
            <w:vAlign w:val="center"/>
          </w:tcPr>
          <w:p w14:paraId="56012A17">
            <w:pPr>
              <w:pStyle w:val="14"/>
              <w:shd w:val="clear" w:color="auto" w:fill="auto"/>
              <w:spacing w:before="0" w:line="240" w:lineRule="auto"/>
              <w:jc w:val="center"/>
              <w:rPr>
                <w:rFonts w:hint="eastAsia" w:ascii="仿宋_GB2312" w:eastAsia="仿宋_GB2312"/>
                <w:color w:val="auto"/>
                <w:highlight w:val="none"/>
              </w:rPr>
            </w:pPr>
            <w:r>
              <w:rPr>
                <w:rFonts w:hint="eastAsia" w:ascii="仿宋_GB2312" w:eastAsia="仿宋_GB2312"/>
                <w:color w:val="auto"/>
                <w:highlight w:val="none"/>
                <w:lang w:val="en-US" w:eastAsia="zh-CN"/>
              </w:rPr>
              <w:t>投标文件</w:t>
            </w:r>
            <w:r>
              <w:rPr>
                <w:rFonts w:hint="eastAsia" w:ascii="仿宋_GB2312" w:eastAsia="仿宋_GB2312"/>
                <w:color w:val="auto"/>
                <w:highlight w:val="none"/>
              </w:rPr>
              <w:t>签署、盖章</w:t>
            </w:r>
          </w:p>
        </w:tc>
        <w:tc>
          <w:tcPr>
            <w:tcW w:w="5244" w:type="dxa"/>
            <w:noWrap w:val="0"/>
            <w:vAlign w:val="center"/>
          </w:tcPr>
          <w:p w14:paraId="7B71A5E2">
            <w:pPr>
              <w:pStyle w:val="14"/>
              <w:shd w:val="clear" w:color="auto" w:fill="auto"/>
              <w:spacing w:line="240" w:lineRule="auto"/>
              <w:rPr>
                <w:rFonts w:hint="eastAsia" w:ascii="仿宋_GB2312" w:eastAsia="仿宋_GB2312"/>
                <w:color w:val="auto"/>
                <w:highlight w:val="none"/>
              </w:rPr>
            </w:pPr>
            <w:r>
              <w:rPr>
                <w:rFonts w:hint="eastAsia" w:ascii="仿宋_GB2312" w:eastAsia="仿宋_GB2312"/>
                <w:color w:val="auto"/>
                <w:highlight w:val="none"/>
              </w:rPr>
              <w:t>投标文件按招标文件要求签署、盖章</w:t>
            </w:r>
          </w:p>
        </w:tc>
        <w:tc>
          <w:tcPr>
            <w:tcW w:w="1623" w:type="dxa"/>
            <w:noWrap w:val="0"/>
            <w:vAlign w:val="center"/>
          </w:tcPr>
          <w:p w14:paraId="0B8DB1BC">
            <w:pPr>
              <w:pStyle w:val="14"/>
              <w:shd w:val="clear" w:color="auto" w:fill="auto"/>
              <w:spacing w:line="240" w:lineRule="auto"/>
              <w:rPr>
                <w:rFonts w:hint="eastAsia" w:ascii="仿宋_GB2312" w:eastAsia="仿宋_GB2312"/>
                <w:color w:val="auto"/>
                <w:highlight w:val="none"/>
              </w:rPr>
            </w:pPr>
          </w:p>
        </w:tc>
      </w:tr>
      <w:tr w14:paraId="5D14D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468D5AD0">
            <w:pPr>
              <w:pStyle w:val="14"/>
              <w:shd w:val="clear" w:color="auto" w:fill="auto"/>
              <w:spacing w:before="0" w:line="240" w:lineRule="auto"/>
              <w:jc w:val="center"/>
              <w:rPr>
                <w:rFonts w:hint="eastAsia" w:ascii="仿宋_GB2312" w:hAnsi="宋体" w:eastAsia="仿宋_GB2312"/>
                <w:color w:val="auto"/>
                <w:kern w:val="2"/>
                <w:sz w:val="24"/>
                <w:szCs w:val="24"/>
                <w:highlight w:val="none"/>
                <w:lang w:val="en-US" w:eastAsia="zh-CN" w:bidi="ar-SA"/>
              </w:rPr>
            </w:pPr>
            <w:r>
              <w:rPr>
                <w:rFonts w:hint="eastAsia" w:ascii="仿宋_GB2312" w:eastAsia="仿宋_GB2312"/>
                <w:color w:val="auto"/>
                <w:highlight w:val="none"/>
              </w:rPr>
              <w:t>2</w:t>
            </w:r>
          </w:p>
        </w:tc>
        <w:tc>
          <w:tcPr>
            <w:tcW w:w="1638" w:type="dxa"/>
            <w:noWrap w:val="0"/>
            <w:vAlign w:val="center"/>
          </w:tcPr>
          <w:p w14:paraId="39C13BE3">
            <w:pPr>
              <w:pStyle w:val="14"/>
              <w:shd w:val="clear" w:color="auto" w:fill="auto"/>
              <w:spacing w:before="0" w:line="240" w:lineRule="auto"/>
              <w:jc w:val="center"/>
              <w:rPr>
                <w:rFonts w:hint="default" w:ascii="仿宋_GB2312" w:eastAsia="仿宋_GB2312"/>
                <w:color w:val="auto"/>
                <w:highlight w:val="none"/>
                <w:lang w:val="en-US" w:eastAsia="zh-CN"/>
              </w:rPr>
            </w:pPr>
            <w:r>
              <w:rPr>
                <w:rFonts w:hint="eastAsia" w:ascii="仿宋_GB2312" w:eastAsia="仿宋_GB2312"/>
                <w:color w:val="auto"/>
                <w:highlight w:val="none"/>
                <w:lang w:val="en-US" w:eastAsia="zh-CN"/>
              </w:rPr>
              <w:t>投标有效期</w:t>
            </w:r>
          </w:p>
        </w:tc>
        <w:tc>
          <w:tcPr>
            <w:tcW w:w="5244" w:type="dxa"/>
            <w:noWrap w:val="0"/>
            <w:vAlign w:val="center"/>
          </w:tcPr>
          <w:p w14:paraId="22308E37">
            <w:pPr>
              <w:pStyle w:val="14"/>
              <w:shd w:val="clear" w:color="auto" w:fill="auto"/>
              <w:spacing w:line="240" w:lineRule="auto"/>
              <w:rPr>
                <w:rFonts w:hint="eastAsia" w:ascii="仿宋_GB2312" w:eastAsia="仿宋_GB2312"/>
                <w:color w:val="auto"/>
                <w:highlight w:val="none"/>
                <w:lang w:eastAsia="zh-CN"/>
              </w:rPr>
            </w:pPr>
            <w:r>
              <w:rPr>
                <w:rFonts w:hint="eastAsia" w:ascii="仿宋_GB2312" w:eastAsia="仿宋_GB2312"/>
                <w:color w:val="auto"/>
                <w:highlight w:val="none"/>
              </w:rPr>
              <w:t>投标有效期</w:t>
            </w:r>
            <w:r>
              <w:rPr>
                <w:rFonts w:hint="eastAsia" w:ascii="仿宋_GB2312" w:eastAsia="仿宋_GB2312"/>
                <w:color w:val="auto"/>
                <w:highlight w:val="none"/>
                <w:lang w:val="en-US" w:eastAsia="zh-CN"/>
              </w:rPr>
              <w:t>满足</w:t>
            </w:r>
            <w:r>
              <w:rPr>
                <w:rFonts w:hint="eastAsia" w:ascii="仿宋_GB2312" w:eastAsia="仿宋_GB2312"/>
                <w:color w:val="auto"/>
                <w:highlight w:val="none"/>
              </w:rPr>
              <w:t>招标文件要求</w:t>
            </w:r>
            <w:r>
              <w:rPr>
                <w:rFonts w:hint="eastAsia" w:ascii="仿宋_GB2312" w:eastAsia="仿宋_GB2312"/>
                <w:color w:val="auto"/>
                <w:highlight w:val="none"/>
                <w:lang w:eastAsia="zh-CN"/>
              </w:rPr>
              <w:t>的</w:t>
            </w:r>
          </w:p>
        </w:tc>
        <w:tc>
          <w:tcPr>
            <w:tcW w:w="1623" w:type="dxa"/>
            <w:noWrap w:val="0"/>
            <w:vAlign w:val="center"/>
          </w:tcPr>
          <w:p w14:paraId="695D74F9">
            <w:pPr>
              <w:pStyle w:val="14"/>
              <w:shd w:val="clear" w:color="auto" w:fill="auto"/>
              <w:spacing w:line="240" w:lineRule="auto"/>
              <w:rPr>
                <w:rFonts w:hint="eastAsia" w:ascii="仿宋_GB2312" w:eastAsia="仿宋_GB2312"/>
                <w:color w:val="auto"/>
                <w:highlight w:val="none"/>
              </w:rPr>
            </w:pPr>
          </w:p>
        </w:tc>
      </w:tr>
      <w:tr w14:paraId="0F235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246F059E">
            <w:pPr>
              <w:pStyle w:val="14"/>
              <w:shd w:val="clear" w:color="auto" w:fill="auto"/>
              <w:spacing w:before="0" w:line="240" w:lineRule="auto"/>
              <w:jc w:val="center"/>
              <w:rPr>
                <w:rFonts w:hint="eastAsia" w:ascii="仿宋_GB2312" w:hAnsi="宋体" w:eastAsia="仿宋_GB2312"/>
                <w:color w:val="auto"/>
                <w:kern w:val="2"/>
                <w:sz w:val="24"/>
                <w:szCs w:val="24"/>
                <w:highlight w:val="none"/>
                <w:lang w:val="en-US" w:eastAsia="zh-CN" w:bidi="ar-SA"/>
              </w:rPr>
            </w:pPr>
            <w:r>
              <w:rPr>
                <w:rFonts w:hint="eastAsia" w:ascii="仿宋_GB2312" w:eastAsia="仿宋_GB2312"/>
                <w:color w:val="auto"/>
                <w:highlight w:val="none"/>
              </w:rPr>
              <w:t>3</w:t>
            </w:r>
          </w:p>
        </w:tc>
        <w:tc>
          <w:tcPr>
            <w:tcW w:w="1638" w:type="dxa"/>
            <w:noWrap w:val="0"/>
            <w:vAlign w:val="center"/>
          </w:tcPr>
          <w:p w14:paraId="4464C3D7">
            <w:pPr>
              <w:pStyle w:val="14"/>
              <w:shd w:val="clear" w:color="auto" w:fill="auto"/>
              <w:spacing w:before="0" w:line="240" w:lineRule="auto"/>
              <w:jc w:val="center"/>
              <w:rPr>
                <w:rFonts w:hint="eastAsia" w:ascii="仿宋_GB2312" w:eastAsia="仿宋_GB2312"/>
                <w:color w:val="auto"/>
                <w:highlight w:val="none"/>
              </w:rPr>
            </w:pPr>
            <w:r>
              <w:rPr>
                <w:rFonts w:hint="eastAsia" w:ascii="仿宋_GB2312" w:eastAsia="仿宋_GB2312"/>
                <w:color w:val="auto"/>
                <w:highlight w:val="none"/>
              </w:rPr>
              <w:t>投标报价</w:t>
            </w:r>
          </w:p>
        </w:tc>
        <w:tc>
          <w:tcPr>
            <w:tcW w:w="5244" w:type="dxa"/>
            <w:noWrap w:val="0"/>
            <w:vAlign w:val="center"/>
          </w:tcPr>
          <w:p w14:paraId="18757484">
            <w:pPr>
              <w:pStyle w:val="14"/>
              <w:shd w:val="clear" w:color="auto" w:fill="auto"/>
              <w:spacing w:before="0" w:line="240" w:lineRule="auto"/>
              <w:rPr>
                <w:rFonts w:hint="default" w:ascii="仿宋_GB2312" w:eastAsia="仿宋_GB2312"/>
                <w:color w:val="auto"/>
                <w:highlight w:val="none"/>
                <w:lang w:val="en-US" w:eastAsia="zh-CN"/>
              </w:rPr>
            </w:pPr>
            <w:r>
              <w:rPr>
                <w:rFonts w:hint="eastAsia" w:ascii="仿宋_GB2312" w:eastAsia="仿宋_GB2312"/>
                <w:color w:val="auto"/>
                <w:highlight w:val="none"/>
              </w:rPr>
              <w:t>投标人投标报价</w:t>
            </w:r>
            <w:r>
              <w:rPr>
                <w:rFonts w:hint="eastAsia" w:ascii="仿宋_GB2312" w:eastAsia="仿宋_GB2312"/>
                <w:color w:val="auto"/>
                <w:highlight w:val="none"/>
                <w:lang w:val="en-US" w:eastAsia="zh-CN"/>
              </w:rPr>
              <w:t>没有</w:t>
            </w:r>
            <w:r>
              <w:rPr>
                <w:rFonts w:hint="eastAsia" w:ascii="仿宋_GB2312" w:eastAsia="仿宋_GB2312"/>
                <w:color w:val="auto"/>
                <w:highlight w:val="none"/>
              </w:rPr>
              <w:t>超出采购预算或最高限价</w:t>
            </w:r>
            <w:r>
              <w:rPr>
                <w:rFonts w:hint="eastAsia" w:ascii="仿宋_GB2312" w:eastAsia="仿宋_GB2312"/>
                <w:color w:val="auto"/>
                <w:highlight w:val="none"/>
                <w:lang w:val="en-US" w:eastAsia="zh-CN"/>
              </w:rPr>
              <w:t>或单项最高限价</w:t>
            </w:r>
          </w:p>
        </w:tc>
        <w:tc>
          <w:tcPr>
            <w:tcW w:w="1623" w:type="dxa"/>
            <w:noWrap w:val="0"/>
            <w:vAlign w:val="center"/>
          </w:tcPr>
          <w:p w14:paraId="1A262DF4">
            <w:pPr>
              <w:pStyle w:val="14"/>
              <w:shd w:val="clear" w:color="auto" w:fill="auto"/>
              <w:spacing w:before="0" w:line="240" w:lineRule="auto"/>
              <w:rPr>
                <w:rFonts w:hint="eastAsia" w:ascii="仿宋_GB2312" w:eastAsia="仿宋_GB2312"/>
                <w:color w:val="auto"/>
                <w:highlight w:val="none"/>
              </w:rPr>
            </w:pPr>
          </w:p>
        </w:tc>
      </w:tr>
      <w:tr w14:paraId="0CE00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780" w:type="dxa"/>
            <w:noWrap w:val="0"/>
            <w:vAlign w:val="center"/>
          </w:tcPr>
          <w:p w14:paraId="6F1DB229">
            <w:pPr>
              <w:pStyle w:val="14"/>
              <w:shd w:val="clear" w:color="auto" w:fill="auto"/>
              <w:spacing w:before="0" w:line="240" w:lineRule="auto"/>
              <w:jc w:val="center"/>
              <w:rPr>
                <w:rFonts w:hint="eastAsia" w:ascii="仿宋_GB2312" w:hAnsi="宋体" w:eastAsia="仿宋_GB2312"/>
                <w:color w:val="auto"/>
                <w:kern w:val="2"/>
                <w:sz w:val="24"/>
                <w:szCs w:val="24"/>
                <w:highlight w:val="none"/>
                <w:lang w:val="en-US" w:eastAsia="zh-CN" w:bidi="ar-SA"/>
              </w:rPr>
            </w:pPr>
            <w:r>
              <w:rPr>
                <w:rFonts w:hint="eastAsia" w:ascii="仿宋_GB2312" w:eastAsia="仿宋_GB2312"/>
                <w:color w:val="auto"/>
                <w:highlight w:val="none"/>
              </w:rPr>
              <w:t>4</w:t>
            </w:r>
          </w:p>
        </w:tc>
        <w:tc>
          <w:tcPr>
            <w:tcW w:w="1638" w:type="dxa"/>
            <w:noWrap w:val="0"/>
            <w:vAlign w:val="center"/>
          </w:tcPr>
          <w:p w14:paraId="25E0FDA0">
            <w:pPr>
              <w:pStyle w:val="14"/>
              <w:shd w:val="clear" w:color="auto" w:fill="auto"/>
              <w:spacing w:before="0" w:line="240" w:lineRule="auto"/>
              <w:jc w:val="center"/>
              <w:rPr>
                <w:rFonts w:hint="default" w:ascii="仿宋_GB2312" w:eastAsia="仿宋_GB2312"/>
                <w:color w:val="auto"/>
                <w:highlight w:val="none"/>
                <w:lang w:val="en-US" w:eastAsia="zh-CN"/>
              </w:rPr>
            </w:pPr>
            <w:r>
              <w:rPr>
                <w:rFonts w:hint="eastAsia" w:ascii="仿宋_GB2312" w:eastAsia="仿宋_GB2312"/>
                <w:color w:val="auto"/>
                <w:highlight w:val="none"/>
                <w:lang w:val="en-US" w:eastAsia="zh-CN"/>
              </w:rPr>
              <w:t>预防不正当竞争</w:t>
            </w:r>
          </w:p>
        </w:tc>
        <w:tc>
          <w:tcPr>
            <w:tcW w:w="5244" w:type="dxa"/>
            <w:noWrap w:val="0"/>
            <w:vAlign w:val="center"/>
          </w:tcPr>
          <w:p w14:paraId="133FF740">
            <w:pPr>
              <w:pStyle w:val="14"/>
              <w:shd w:val="clear" w:color="auto" w:fill="auto"/>
              <w:spacing w:before="0" w:line="240" w:lineRule="auto"/>
              <w:rPr>
                <w:rFonts w:hint="eastAsia" w:ascii="仿宋_GB2312" w:eastAsia="仿宋_GB2312"/>
                <w:color w:val="auto"/>
                <w:highlight w:val="none"/>
                <w:lang w:val="en-US" w:eastAsia="zh-CN"/>
              </w:rPr>
            </w:pPr>
            <w:r>
              <w:rPr>
                <w:rFonts w:hint="eastAsia" w:ascii="仿宋_GB2312" w:eastAsia="仿宋_GB2312"/>
                <w:color w:val="auto"/>
                <w:highlight w:val="none"/>
              </w:rPr>
              <w:t>投标人的报价</w:t>
            </w:r>
            <w:r>
              <w:rPr>
                <w:rFonts w:hint="eastAsia" w:ascii="仿宋_GB2312" w:eastAsia="仿宋_GB2312"/>
                <w:color w:val="auto"/>
                <w:highlight w:val="none"/>
                <w:lang w:val="en-US" w:eastAsia="zh-CN"/>
              </w:rPr>
              <w:t>不存在</w:t>
            </w:r>
            <w:r>
              <w:rPr>
                <w:rFonts w:hint="eastAsia" w:ascii="仿宋_GB2312" w:eastAsia="仿宋_GB2312"/>
                <w:color w:val="auto"/>
                <w:highlight w:val="none"/>
              </w:rPr>
              <w:t>明显低于其他通过符合性审查投标人的报价，有可能影响产品质量或者不能诚信履约的，且投标人不能证明其报价合理性的</w:t>
            </w:r>
            <w:r>
              <w:rPr>
                <w:rFonts w:hint="eastAsia" w:ascii="仿宋_GB2312" w:eastAsia="仿宋_GB2312"/>
                <w:color w:val="auto"/>
                <w:highlight w:val="none"/>
                <w:lang w:val="en-US" w:eastAsia="zh-CN"/>
              </w:rPr>
              <w:t>情况</w:t>
            </w:r>
          </w:p>
        </w:tc>
        <w:tc>
          <w:tcPr>
            <w:tcW w:w="1623" w:type="dxa"/>
            <w:noWrap w:val="0"/>
            <w:vAlign w:val="center"/>
          </w:tcPr>
          <w:p w14:paraId="59B9D7C6">
            <w:pPr>
              <w:pStyle w:val="14"/>
              <w:shd w:val="clear" w:color="auto" w:fill="auto"/>
              <w:spacing w:before="0" w:line="240" w:lineRule="auto"/>
              <w:rPr>
                <w:rFonts w:hint="eastAsia" w:ascii="仿宋_GB2312" w:eastAsia="仿宋_GB2312"/>
                <w:color w:val="auto"/>
                <w:highlight w:val="none"/>
              </w:rPr>
            </w:pPr>
          </w:p>
        </w:tc>
      </w:tr>
      <w:tr w14:paraId="57515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noWrap w:val="0"/>
            <w:vAlign w:val="center"/>
          </w:tcPr>
          <w:p w14:paraId="2F9FAA3B">
            <w:pPr>
              <w:pStyle w:val="14"/>
              <w:shd w:val="clear" w:color="auto" w:fill="auto"/>
              <w:spacing w:before="0" w:line="240" w:lineRule="auto"/>
              <w:jc w:val="center"/>
              <w:rPr>
                <w:rFonts w:hint="eastAsia" w:ascii="仿宋_GB2312" w:hAnsi="宋体" w:eastAsia="仿宋_GB2312"/>
                <w:color w:val="auto"/>
                <w:kern w:val="2"/>
                <w:sz w:val="24"/>
                <w:szCs w:val="24"/>
                <w:highlight w:val="none"/>
                <w:lang w:val="en-US" w:eastAsia="zh-CN" w:bidi="ar-SA"/>
              </w:rPr>
            </w:pPr>
            <w:r>
              <w:rPr>
                <w:rFonts w:hint="eastAsia" w:ascii="仿宋_GB2312" w:eastAsia="仿宋_GB2312"/>
                <w:color w:val="auto"/>
                <w:highlight w:val="none"/>
              </w:rPr>
              <w:t>5</w:t>
            </w:r>
          </w:p>
        </w:tc>
        <w:tc>
          <w:tcPr>
            <w:tcW w:w="1638" w:type="dxa"/>
            <w:noWrap w:val="0"/>
            <w:vAlign w:val="center"/>
          </w:tcPr>
          <w:p w14:paraId="02AB667F">
            <w:pPr>
              <w:pStyle w:val="14"/>
              <w:shd w:val="clear" w:color="auto" w:fill="auto"/>
              <w:spacing w:before="0" w:line="240" w:lineRule="auto"/>
              <w:jc w:val="center"/>
              <w:rPr>
                <w:rFonts w:hint="eastAsia" w:ascii="仿宋_GB2312" w:hAnsi="宋体" w:eastAsia="仿宋_GB2312"/>
                <w:color w:val="auto"/>
                <w:kern w:val="2"/>
                <w:sz w:val="24"/>
                <w:szCs w:val="24"/>
                <w:highlight w:val="none"/>
                <w:lang w:val="en-US" w:eastAsia="zh-CN" w:bidi="ar-SA"/>
              </w:rPr>
            </w:pPr>
            <w:r>
              <w:rPr>
                <w:rFonts w:hint="eastAsia" w:ascii="仿宋_GB2312" w:eastAsia="仿宋_GB2312"/>
                <w:color w:val="auto"/>
                <w:highlight w:val="none"/>
              </w:rPr>
              <w:t>投标保证金</w:t>
            </w:r>
          </w:p>
        </w:tc>
        <w:tc>
          <w:tcPr>
            <w:tcW w:w="5244" w:type="dxa"/>
            <w:noWrap w:val="0"/>
            <w:vAlign w:val="center"/>
          </w:tcPr>
          <w:p w14:paraId="5F0A68CB">
            <w:pPr>
              <w:pStyle w:val="14"/>
              <w:shd w:val="clear" w:color="auto" w:fill="auto"/>
              <w:spacing w:before="0" w:line="240" w:lineRule="auto"/>
              <w:rPr>
                <w:rFonts w:hint="default" w:ascii="仿宋_GB2312" w:hAnsi="宋体" w:eastAsia="仿宋_GB2312"/>
                <w:color w:val="auto"/>
                <w:kern w:val="2"/>
                <w:sz w:val="24"/>
                <w:szCs w:val="24"/>
                <w:highlight w:val="none"/>
                <w:lang w:val="en-US" w:eastAsia="zh-CN" w:bidi="ar-SA"/>
              </w:rPr>
            </w:pPr>
            <w:r>
              <w:rPr>
                <w:rFonts w:hint="eastAsia" w:ascii="仿宋_GB2312" w:eastAsia="仿宋_GB2312"/>
                <w:color w:val="auto"/>
                <w:highlight w:val="none"/>
              </w:rPr>
              <w:t>投标保证金</w:t>
            </w:r>
            <w:r>
              <w:rPr>
                <w:rFonts w:hint="eastAsia" w:ascii="仿宋_GB2312" w:eastAsia="仿宋_GB2312"/>
                <w:color w:val="auto"/>
                <w:highlight w:val="none"/>
                <w:lang w:val="en-US" w:eastAsia="zh-CN"/>
              </w:rPr>
              <w:t>已按招标文件规定</w:t>
            </w:r>
            <w:r>
              <w:rPr>
                <w:rFonts w:hint="eastAsia" w:ascii="仿宋_GB2312" w:eastAsia="仿宋_GB2312"/>
                <w:color w:val="auto"/>
                <w:highlight w:val="none"/>
              </w:rPr>
              <w:t>提交</w:t>
            </w:r>
            <w:r>
              <w:rPr>
                <w:rFonts w:hint="eastAsia" w:ascii="仿宋_GB2312" w:eastAsia="仿宋_GB2312"/>
                <w:color w:val="auto"/>
                <w:highlight w:val="none"/>
                <w:lang w:val="en-US" w:eastAsia="zh-CN"/>
              </w:rPr>
              <w:t>且</w:t>
            </w:r>
            <w:r>
              <w:rPr>
                <w:rFonts w:hint="eastAsia" w:ascii="仿宋_GB2312" w:eastAsia="仿宋_GB2312"/>
                <w:color w:val="auto"/>
                <w:highlight w:val="none"/>
              </w:rPr>
              <w:t>金额、形式符合招标文件要求</w:t>
            </w:r>
          </w:p>
        </w:tc>
        <w:tc>
          <w:tcPr>
            <w:tcW w:w="1623" w:type="dxa"/>
            <w:noWrap w:val="0"/>
            <w:vAlign w:val="center"/>
          </w:tcPr>
          <w:p w14:paraId="5D55F7E0">
            <w:pPr>
              <w:pStyle w:val="14"/>
              <w:shd w:val="clear" w:color="auto" w:fill="auto"/>
              <w:spacing w:before="0" w:line="240" w:lineRule="auto"/>
              <w:rPr>
                <w:rFonts w:hint="eastAsia" w:ascii="仿宋_GB2312" w:eastAsia="仿宋_GB2312"/>
                <w:color w:val="auto"/>
                <w:highlight w:val="none"/>
              </w:rPr>
            </w:pPr>
          </w:p>
        </w:tc>
      </w:tr>
      <w:tr w14:paraId="67063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noWrap w:val="0"/>
            <w:vAlign w:val="center"/>
          </w:tcPr>
          <w:p w14:paraId="2AAE2D73">
            <w:pPr>
              <w:pStyle w:val="14"/>
              <w:shd w:val="clear" w:color="auto" w:fill="auto"/>
              <w:spacing w:before="0" w:line="240" w:lineRule="auto"/>
              <w:jc w:val="center"/>
              <w:rPr>
                <w:rFonts w:hint="eastAsia" w:ascii="仿宋_GB2312" w:hAnsi="宋体" w:eastAsia="仿宋_GB2312"/>
                <w:color w:val="auto"/>
                <w:kern w:val="2"/>
                <w:sz w:val="24"/>
                <w:szCs w:val="24"/>
                <w:highlight w:val="none"/>
                <w:lang w:val="en-US" w:eastAsia="zh-CN" w:bidi="ar-SA"/>
              </w:rPr>
            </w:pPr>
            <w:r>
              <w:rPr>
                <w:rFonts w:hint="eastAsia" w:ascii="仿宋_GB2312" w:eastAsia="仿宋_GB2312"/>
                <w:color w:val="auto"/>
                <w:highlight w:val="none"/>
                <w:lang w:val="en-US" w:eastAsia="zh-CN"/>
              </w:rPr>
              <w:t>6</w:t>
            </w:r>
          </w:p>
        </w:tc>
        <w:tc>
          <w:tcPr>
            <w:tcW w:w="1638" w:type="dxa"/>
            <w:noWrap w:val="0"/>
            <w:vAlign w:val="center"/>
          </w:tcPr>
          <w:p w14:paraId="3E776278">
            <w:pPr>
              <w:pStyle w:val="14"/>
              <w:shd w:val="clear" w:color="auto" w:fill="auto"/>
              <w:spacing w:before="0" w:line="240" w:lineRule="auto"/>
              <w:jc w:val="center"/>
              <w:rPr>
                <w:rFonts w:hint="eastAsia" w:ascii="仿宋_GB2312" w:eastAsia="仿宋_GB2312"/>
                <w:color w:val="auto"/>
                <w:highlight w:val="none"/>
              </w:rPr>
            </w:pPr>
            <w:r>
              <w:rPr>
                <w:rFonts w:hint="eastAsia" w:ascii="仿宋_GB2312" w:eastAsia="仿宋_GB2312"/>
                <w:color w:val="auto"/>
                <w:highlight w:val="none"/>
              </w:rPr>
              <w:t>投标内容</w:t>
            </w:r>
          </w:p>
        </w:tc>
        <w:tc>
          <w:tcPr>
            <w:tcW w:w="5244" w:type="dxa"/>
            <w:noWrap w:val="0"/>
            <w:vAlign w:val="center"/>
          </w:tcPr>
          <w:p w14:paraId="66B05559">
            <w:pPr>
              <w:pStyle w:val="14"/>
              <w:shd w:val="clear" w:color="auto" w:fill="auto"/>
              <w:spacing w:before="0" w:line="240" w:lineRule="auto"/>
              <w:rPr>
                <w:rFonts w:hint="default" w:ascii="仿宋_GB2312" w:eastAsia="仿宋_GB2312"/>
                <w:color w:val="auto"/>
                <w:highlight w:val="none"/>
                <w:lang w:val="en-US" w:eastAsia="zh-CN"/>
              </w:rPr>
            </w:pPr>
            <w:r>
              <w:rPr>
                <w:rFonts w:hint="default" w:ascii="仿宋_GB2312" w:eastAsia="仿宋_GB2312"/>
                <w:color w:val="auto"/>
                <w:highlight w:val="none"/>
                <w:lang w:val="en-US" w:eastAsia="zh-CN"/>
              </w:rPr>
              <w:t>投标内容满足招标文件的商务要求、不存在漏项或数量不符合招标文件规定情形</w:t>
            </w:r>
          </w:p>
        </w:tc>
        <w:tc>
          <w:tcPr>
            <w:tcW w:w="1623" w:type="dxa"/>
            <w:noWrap w:val="0"/>
            <w:vAlign w:val="center"/>
          </w:tcPr>
          <w:p w14:paraId="03D88C92">
            <w:pPr>
              <w:pStyle w:val="14"/>
              <w:shd w:val="clear" w:color="auto" w:fill="auto"/>
              <w:spacing w:before="0" w:line="240" w:lineRule="auto"/>
              <w:rPr>
                <w:rFonts w:hint="eastAsia" w:ascii="仿宋_GB2312" w:eastAsia="仿宋_GB2312"/>
                <w:color w:val="auto"/>
                <w:highlight w:val="none"/>
              </w:rPr>
            </w:pPr>
          </w:p>
        </w:tc>
      </w:tr>
      <w:tr w14:paraId="776D2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0B79A8CC">
            <w:pPr>
              <w:pStyle w:val="14"/>
              <w:shd w:val="clear" w:color="auto" w:fill="auto"/>
              <w:spacing w:before="0" w:line="240" w:lineRule="auto"/>
              <w:jc w:val="center"/>
              <w:rPr>
                <w:rFonts w:hint="eastAsia" w:ascii="仿宋_GB2312" w:hAnsi="宋体" w:eastAsia="仿宋_GB2312"/>
                <w:color w:val="auto"/>
                <w:kern w:val="2"/>
                <w:sz w:val="24"/>
                <w:szCs w:val="24"/>
                <w:highlight w:val="none"/>
                <w:lang w:val="en-US" w:eastAsia="zh-CN" w:bidi="ar-SA"/>
              </w:rPr>
            </w:pPr>
            <w:r>
              <w:rPr>
                <w:rFonts w:hint="eastAsia" w:ascii="仿宋_GB2312" w:eastAsia="仿宋_GB2312"/>
                <w:color w:val="auto"/>
                <w:highlight w:val="none"/>
                <w:lang w:val="en-US" w:eastAsia="zh-CN"/>
              </w:rPr>
              <w:t>7</w:t>
            </w:r>
          </w:p>
        </w:tc>
        <w:tc>
          <w:tcPr>
            <w:tcW w:w="1638" w:type="dxa"/>
            <w:noWrap w:val="0"/>
            <w:vAlign w:val="center"/>
          </w:tcPr>
          <w:p w14:paraId="1D36351F">
            <w:pPr>
              <w:pStyle w:val="14"/>
              <w:shd w:val="clear" w:color="auto" w:fill="auto"/>
              <w:spacing w:before="0" w:line="240" w:lineRule="auto"/>
              <w:jc w:val="center"/>
              <w:rPr>
                <w:rFonts w:hint="eastAsia" w:ascii="仿宋_GB2312" w:eastAsia="仿宋_GB2312"/>
                <w:color w:val="auto"/>
                <w:highlight w:val="none"/>
                <w:lang w:val="en-US" w:eastAsia="zh-CN"/>
              </w:rPr>
            </w:pPr>
            <w:r>
              <w:rPr>
                <w:rFonts w:hint="eastAsia" w:ascii="仿宋_GB2312" w:eastAsia="仿宋_GB2312"/>
                <w:color w:val="auto"/>
                <w:highlight w:val="none"/>
                <w:lang w:val="en-US" w:eastAsia="zh-CN"/>
              </w:rPr>
              <w:t>公平竞争</w:t>
            </w:r>
          </w:p>
        </w:tc>
        <w:tc>
          <w:tcPr>
            <w:tcW w:w="5244" w:type="dxa"/>
            <w:noWrap w:val="0"/>
            <w:vAlign w:val="center"/>
          </w:tcPr>
          <w:p w14:paraId="0D99A415">
            <w:pPr>
              <w:pStyle w:val="14"/>
              <w:shd w:val="clear" w:color="auto" w:fill="auto"/>
              <w:spacing w:before="0" w:line="240" w:lineRule="auto"/>
              <w:rPr>
                <w:rFonts w:hint="eastAsia" w:ascii="仿宋_GB2312" w:eastAsia="仿宋_GB2312"/>
                <w:color w:val="auto"/>
                <w:highlight w:val="none"/>
              </w:rPr>
            </w:pPr>
            <w:r>
              <w:rPr>
                <w:rFonts w:hint="eastAsia" w:ascii="仿宋_GB2312" w:eastAsia="仿宋_GB2312"/>
                <w:color w:val="auto"/>
                <w:highlight w:val="none"/>
              </w:rPr>
              <w:t>遵循公平竞争的原则，没有弄虚作假、恶意串通或妨碍其他投标人的竞争行为，损害采购人或者其他投标人的合法权益。</w:t>
            </w:r>
          </w:p>
          <w:p w14:paraId="441C6852">
            <w:pPr>
              <w:pStyle w:val="14"/>
              <w:shd w:val="clear" w:color="auto" w:fill="auto"/>
              <w:spacing w:before="0" w:line="240" w:lineRule="auto"/>
              <w:rPr>
                <w:rFonts w:hint="eastAsia" w:ascii="仿宋_GB2312" w:eastAsia="仿宋_GB2312"/>
                <w:color w:val="auto"/>
                <w:highlight w:val="none"/>
              </w:rPr>
            </w:pPr>
            <w:r>
              <w:rPr>
                <w:rFonts w:hint="eastAsia" w:ascii="仿宋_GB2312" w:eastAsia="仿宋_GB2312"/>
                <w:color w:val="auto"/>
                <w:highlight w:val="none"/>
                <w:lang w:eastAsia="zh-CN"/>
              </w:rPr>
              <w:t>（</w:t>
            </w:r>
            <w:r>
              <w:rPr>
                <w:rFonts w:hint="eastAsia" w:ascii="仿宋_GB2312" w:eastAsia="仿宋_GB2312"/>
                <w:color w:val="auto"/>
                <w:highlight w:val="none"/>
              </w:rPr>
              <w:t>弄虚作假、串通投标的情形见附注</w:t>
            </w:r>
            <w:r>
              <w:rPr>
                <w:rFonts w:hint="eastAsia" w:ascii="仿宋_GB2312" w:eastAsia="仿宋_GB2312"/>
                <w:color w:val="auto"/>
                <w:highlight w:val="none"/>
                <w:lang w:eastAsia="zh-CN"/>
              </w:rPr>
              <w:t>）</w:t>
            </w:r>
          </w:p>
        </w:tc>
        <w:tc>
          <w:tcPr>
            <w:tcW w:w="1623" w:type="dxa"/>
            <w:noWrap w:val="0"/>
            <w:vAlign w:val="center"/>
          </w:tcPr>
          <w:p w14:paraId="1F225443">
            <w:pPr>
              <w:pStyle w:val="14"/>
              <w:shd w:val="clear" w:color="auto" w:fill="auto"/>
              <w:spacing w:before="0" w:line="240" w:lineRule="auto"/>
              <w:rPr>
                <w:rFonts w:hint="eastAsia" w:ascii="仿宋_GB2312" w:eastAsia="仿宋_GB2312"/>
                <w:color w:val="auto"/>
                <w:highlight w:val="none"/>
              </w:rPr>
            </w:pPr>
          </w:p>
        </w:tc>
      </w:tr>
      <w:tr w14:paraId="006C5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4593DD1A">
            <w:pPr>
              <w:pStyle w:val="14"/>
              <w:shd w:val="clear" w:color="auto" w:fill="auto"/>
              <w:spacing w:before="0" w:line="240" w:lineRule="auto"/>
              <w:jc w:val="center"/>
              <w:rPr>
                <w:rFonts w:hint="default" w:ascii="仿宋_GB2312" w:eastAsia="仿宋_GB2312"/>
                <w:color w:val="auto"/>
                <w:highlight w:val="none"/>
                <w:lang w:val="en-US" w:eastAsia="zh-CN"/>
              </w:rPr>
            </w:pPr>
            <w:r>
              <w:rPr>
                <w:rFonts w:hint="eastAsia" w:ascii="仿宋_GB2312" w:eastAsia="仿宋_GB2312"/>
                <w:color w:val="auto"/>
                <w:highlight w:val="none"/>
                <w:lang w:val="en-US" w:eastAsia="zh-CN"/>
              </w:rPr>
              <w:t>8</w:t>
            </w:r>
          </w:p>
        </w:tc>
        <w:tc>
          <w:tcPr>
            <w:tcW w:w="1638" w:type="dxa"/>
            <w:noWrap w:val="0"/>
            <w:vAlign w:val="center"/>
          </w:tcPr>
          <w:p w14:paraId="79BD9C17">
            <w:pPr>
              <w:pStyle w:val="14"/>
              <w:shd w:val="clear" w:color="auto" w:fill="auto"/>
              <w:spacing w:before="0" w:line="240" w:lineRule="auto"/>
              <w:jc w:val="center"/>
              <w:rPr>
                <w:rFonts w:hint="eastAsia" w:ascii="仿宋_GB2312" w:eastAsia="仿宋_GB2312"/>
                <w:color w:val="auto"/>
                <w:highlight w:val="none"/>
              </w:rPr>
            </w:pPr>
            <w:r>
              <w:rPr>
                <w:rFonts w:hint="eastAsia" w:ascii="仿宋_GB2312" w:eastAsia="仿宋_GB2312"/>
                <w:color w:val="auto"/>
                <w:highlight w:val="none"/>
              </w:rPr>
              <w:t>其它</w:t>
            </w:r>
          </w:p>
        </w:tc>
        <w:tc>
          <w:tcPr>
            <w:tcW w:w="5244" w:type="dxa"/>
            <w:noWrap w:val="0"/>
            <w:vAlign w:val="center"/>
          </w:tcPr>
          <w:p w14:paraId="2A294538">
            <w:pPr>
              <w:pStyle w:val="14"/>
              <w:shd w:val="clear" w:color="auto" w:fill="auto"/>
              <w:spacing w:before="0" w:line="240" w:lineRule="auto"/>
              <w:rPr>
                <w:rFonts w:hint="default" w:ascii="仿宋_GB2312" w:eastAsia="仿宋_GB2312"/>
                <w:color w:val="auto"/>
                <w:highlight w:val="none"/>
                <w:lang w:val="en-US" w:eastAsia="zh-CN"/>
              </w:rPr>
            </w:pPr>
            <w:r>
              <w:rPr>
                <w:rFonts w:hint="eastAsia" w:ascii="仿宋_GB2312" w:eastAsia="仿宋_GB2312"/>
                <w:color w:val="auto"/>
                <w:highlight w:val="none"/>
                <w:lang w:val="en-US" w:eastAsia="zh-CN"/>
              </w:rPr>
              <w:t>不</w:t>
            </w:r>
            <w:r>
              <w:rPr>
                <w:rFonts w:hint="eastAsia" w:ascii="仿宋_GB2312" w:eastAsia="仿宋_GB2312"/>
                <w:color w:val="auto"/>
                <w:highlight w:val="none"/>
              </w:rPr>
              <w:t>存在其它不符合法律法规或招标文件规定的投标无效条款</w:t>
            </w:r>
            <w:r>
              <w:rPr>
                <w:rFonts w:hint="eastAsia" w:ascii="仿宋_GB2312" w:eastAsia="仿宋_GB2312"/>
                <w:color w:val="auto"/>
                <w:highlight w:val="none"/>
                <w:lang w:eastAsia="zh-CN"/>
              </w:rPr>
              <w:t>的</w:t>
            </w:r>
            <w:r>
              <w:rPr>
                <w:rFonts w:hint="eastAsia" w:ascii="仿宋_GB2312" w:eastAsia="仿宋_GB2312"/>
                <w:color w:val="auto"/>
                <w:highlight w:val="none"/>
                <w:lang w:val="en-US" w:eastAsia="zh-CN"/>
              </w:rPr>
              <w:t>情形</w:t>
            </w:r>
          </w:p>
        </w:tc>
        <w:tc>
          <w:tcPr>
            <w:tcW w:w="1623" w:type="dxa"/>
            <w:noWrap w:val="0"/>
            <w:vAlign w:val="center"/>
          </w:tcPr>
          <w:p w14:paraId="03BD6061">
            <w:pPr>
              <w:pStyle w:val="14"/>
              <w:shd w:val="clear" w:color="auto" w:fill="auto"/>
              <w:spacing w:before="0" w:line="240" w:lineRule="auto"/>
              <w:rPr>
                <w:rFonts w:hint="eastAsia" w:ascii="仿宋_GB2312" w:eastAsia="仿宋_GB2312"/>
                <w:color w:val="auto"/>
                <w:highlight w:val="none"/>
              </w:rPr>
            </w:pPr>
          </w:p>
        </w:tc>
      </w:tr>
      <w:tr w14:paraId="27121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18" w:type="dxa"/>
            <w:gridSpan w:val="2"/>
            <w:noWrap w:val="0"/>
            <w:vAlign w:val="center"/>
          </w:tcPr>
          <w:p w14:paraId="50ED1562">
            <w:pPr>
              <w:pStyle w:val="14"/>
              <w:shd w:val="clear" w:color="auto" w:fill="auto"/>
              <w:spacing w:before="0" w:line="240" w:lineRule="auto"/>
              <w:jc w:val="center"/>
              <w:rPr>
                <w:rFonts w:hint="default" w:ascii="仿宋_GB2312" w:eastAsia="仿宋_GB2312"/>
                <w:color w:val="auto"/>
                <w:highlight w:val="none"/>
                <w:lang w:val="en-US" w:eastAsia="zh-CN"/>
              </w:rPr>
            </w:pPr>
            <w:r>
              <w:rPr>
                <w:rFonts w:hint="eastAsia" w:ascii="仿宋_GB2312" w:eastAsia="仿宋_GB2312"/>
                <w:b/>
                <w:bCs/>
                <w:color w:val="auto"/>
                <w:highlight w:val="none"/>
                <w:lang w:val="en-US" w:eastAsia="zh-CN"/>
              </w:rPr>
              <w:t>审查结论</w:t>
            </w:r>
          </w:p>
        </w:tc>
        <w:tc>
          <w:tcPr>
            <w:tcW w:w="6867" w:type="dxa"/>
            <w:gridSpan w:val="2"/>
            <w:noWrap w:val="0"/>
            <w:vAlign w:val="center"/>
          </w:tcPr>
          <w:p w14:paraId="16A4FE52">
            <w:pPr>
              <w:pStyle w:val="14"/>
              <w:shd w:val="clear" w:color="auto" w:fill="auto"/>
              <w:spacing w:before="0" w:line="240" w:lineRule="auto"/>
              <w:rPr>
                <w:rFonts w:hint="eastAsia" w:ascii="仿宋_GB2312" w:eastAsia="仿宋_GB2312"/>
                <w:color w:val="auto"/>
                <w:highlight w:val="none"/>
              </w:rPr>
            </w:pPr>
            <w:r>
              <w:rPr>
                <w:rFonts w:hint="eastAsia" w:ascii="仿宋_GB2312" w:eastAsia="仿宋_GB2312"/>
                <w:color w:val="auto"/>
                <w:highlight w:val="none"/>
                <w:lang w:val="en-US" w:eastAsia="zh-CN"/>
              </w:rPr>
              <w:t>通过/不通过</w:t>
            </w:r>
          </w:p>
        </w:tc>
      </w:tr>
      <w:tr w14:paraId="163A3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18" w:type="dxa"/>
            <w:gridSpan w:val="2"/>
            <w:noWrap w:val="0"/>
            <w:vAlign w:val="center"/>
          </w:tcPr>
          <w:p w14:paraId="34F38EA0">
            <w:pPr>
              <w:pStyle w:val="14"/>
              <w:shd w:val="clear" w:color="auto" w:fill="auto"/>
              <w:spacing w:before="0" w:line="240" w:lineRule="auto"/>
              <w:jc w:val="center"/>
              <w:rPr>
                <w:rFonts w:hint="eastAsia" w:ascii="仿宋_GB2312" w:eastAsia="仿宋_GB2312"/>
                <w:color w:val="auto"/>
                <w:highlight w:val="none"/>
              </w:rPr>
            </w:pPr>
            <w:r>
              <w:rPr>
                <w:rFonts w:hint="eastAsia" w:ascii="仿宋_GB2312" w:hAnsi="仿宋_GB2312" w:eastAsia="仿宋_GB2312" w:cs="仿宋_GB2312"/>
                <w:color w:val="auto"/>
                <w:sz w:val="24"/>
                <w:szCs w:val="24"/>
                <w:highlight w:val="none"/>
                <w:lang w:val="en-US" w:eastAsia="zh-CN"/>
              </w:rPr>
              <w:t>不通过原因说明</w:t>
            </w:r>
          </w:p>
        </w:tc>
        <w:tc>
          <w:tcPr>
            <w:tcW w:w="6867" w:type="dxa"/>
            <w:gridSpan w:val="2"/>
            <w:noWrap w:val="0"/>
            <w:vAlign w:val="center"/>
          </w:tcPr>
          <w:p w14:paraId="4E4A6F10">
            <w:pPr>
              <w:pStyle w:val="14"/>
              <w:shd w:val="clear" w:color="auto" w:fill="auto"/>
              <w:spacing w:before="0" w:line="240" w:lineRule="auto"/>
              <w:rPr>
                <w:rFonts w:hint="eastAsia" w:ascii="仿宋_GB2312" w:eastAsia="仿宋_GB2312"/>
                <w:color w:val="auto"/>
                <w:highlight w:val="none"/>
              </w:rPr>
            </w:pPr>
          </w:p>
        </w:tc>
      </w:tr>
    </w:tbl>
    <w:p w14:paraId="3A3C99F7">
      <w:pPr>
        <w:pStyle w:val="14"/>
        <w:shd w:val="clear" w:color="auto" w:fill="auto"/>
        <w:bidi w:val="0"/>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注：</w:t>
      </w:r>
    </w:p>
    <w:p w14:paraId="5AFAB078">
      <w:pPr>
        <w:pStyle w:val="14"/>
        <w:shd w:val="clear" w:color="auto" w:fill="auto"/>
        <w:bidi w:val="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1．</w:t>
      </w:r>
      <w:r>
        <w:rPr>
          <w:rFonts w:hint="eastAsia" w:ascii="Times New Roman" w:hAnsi="Times New Roman" w:eastAsia="仿宋_GB2312" w:cs="Times New Roman"/>
          <w:color w:val="auto"/>
          <w:highlight w:val="none"/>
          <w:lang w:val="en-US" w:eastAsia="zh-CN"/>
        </w:rPr>
        <w:t>评审委员会</w:t>
      </w:r>
      <w:r>
        <w:rPr>
          <w:rFonts w:hint="default" w:ascii="Times New Roman" w:hAnsi="Times New Roman" w:eastAsia="仿宋_GB2312" w:cs="Times New Roman"/>
          <w:color w:val="auto"/>
          <w:highlight w:val="none"/>
        </w:rPr>
        <w:t>对投标</w:t>
      </w:r>
      <w:r>
        <w:rPr>
          <w:rFonts w:hint="eastAsia" w:ascii="Times New Roman" w:hAnsi="Times New Roman" w:eastAsia="仿宋_GB2312" w:cs="Times New Roman"/>
          <w:color w:val="auto"/>
          <w:highlight w:val="none"/>
          <w:lang w:val="en-US" w:eastAsia="zh-CN"/>
        </w:rPr>
        <w:t>文件</w:t>
      </w:r>
      <w:r>
        <w:rPr>
          <w:rFonts w:hint="default" w:ascii="Times New Roman" w:hAnsi="Times New Roman" w:eastAsia="仿宋_GB2312" w:cs="Times New Roman"/>
          <w:color w:val="auto"/>
          <w:highlight w:val="none"/>
        </w:rPr>
        <w:t>是否满足要求逐条标注</w:t>
      </w:r>
      <w:r>
        <w:rPr>
          <w:rFonts w:hint="eastAsia" w:ascii="Times New Roman" w:hAnsi="Times New Roman" w:eastAsia="仿宋_GB2312" w:cs="Times New Roman"/>
          <w:color w:val="auto"/>
          <w:highlight w:val="none"/>
          <w:lang w:val="en-US" w:eastAsia="zh-CN"/>
        </w:rPr>
        <w:t>审查</w:t>
      </w:r>
      <w:r>
        <w:rPr>
          <w:rFonts w:hint="default" w:ascii="Times New Roman" w:hAnsi="Times New Roman" w:eastAsia="仿宋_GB2312" w:cs="Times New Roman"/>
          <w:color w:val="auto"/>
          <w:highlight w:val="none"/>
        </w:rPr>
        <w:t>意见，</w:t>
      </w:r>
      <w:r>
        <w:rPr>
          <w:rFonts w:hint="default" w:ascii="Times New Roman" w:hAnsi="Times New Roman" w:eastAsia="仿宋_GB2312" w:cs="Times New Roman"/>
          <w:color w:val="auto"/>
          <w:highlight w:val="none"/>
          <w:lang w:val="en-US" w:eastAsia="zh-CN"/>
        </w:rPr>
        <w:t>符合的</w:t>
      </w:r>
      <w:r>
        <w:rPr>
          <w:rFonts w:hint="default" w:ascii="Times New Roman" w:hAnsi="Times New Roman" w:eastAsia="仿宋_GB2312" w:cs="Times New Roman"/>
          <w:color w:val="auto"/>
          <w:highlight w:val="none"/>
        </w:rPr>
        <w:t>标记为“√”，</w:t>
      </w:r>
      <w:r>
        <w:rPr>
          <w:rFonts w:hint="default" w:ascii="Times New Roman" w:hAnsi="Times New Roman" w:eastAsia="仿宋_GB2312" w:cs="Times New Roman"/>
          <w:color w:val="auto"/>
          <w:highlight w:val="none"/>
          <w:lang w:val="en-US" w:eastAsia="zh-CN"/>
        </w:rPr>
        <w:t>不符合的</w:t>
      </w:r>
      <w:r>
        <w:rPr>
          <w:rFonts w:hint="default" w:ascii="Times New Roman" w:hAnsi="Times New Roman" w:eastAsia="仿宋_GB2312" w:cs="Times New Roman"/>
          <w:color w:val="auto"/>
          <w:highlight w:val="none"/>
        </w:rPr>
        <w:t>标记为“×”；</w:t>
      </w:r>
      <w:r>
        <w:rPr>
          <w:rFonts w:hint="default" w:ascii="Times New Roman" w:hAnsi="Times New Roman" w:eastAsia="仿宋_GB2312" w:cs="Times New Roman"/>
          <w:color w:val="auto"/>
          <w:highlight w:val="none"/>
          <w:lang w:val="en-US" w:eastAsia="zh-CN"/>
        </w:rPr>
        <w:t>审查</w:t>
      </w:r>
      <w:r>
        <w:rPr>
          <w:rFonts w:hint="default" w:ascii="Times New Roman" w:hAnsi="Times New Roman" w:eastAsia="仿宋_GB2312" w:cs="Times New Roman"/>
          <w:color w:val="auto"/>
          <w:highlight w:val="none"/>
        </w:rPr>
        <w:t>结论栏统一填写为“通过”或“不通过” ，出现一个“×”为“不通过”</w:t>
      </w:r>
      <w:r>
        <w:rPr>
          <w:rFonts w:hint="default" w:ascii="Times New Roman" w:hAnsi="Times New Roman" w:eastAsia="仿宋_GB2312" w:cs="Times New Roman"/>
          <w:color w:val="auto"/>
          <w:highlight w:val="none"/>
          <w:lang w:eastAsia="zh-CN"/>
        </w:rPr>
        <w:t>，不进入后续评审</w:t>
      </w:r>
      <w:r>
        <w:rPr>
          <w:rFonts w:hint="default" w:ascii="Times New Roman" w:hAnsi="Times New Roman" w:eastAsia="仿宋_GB2312" w:cs="Times New Roman"/>
          <w:color w:val="auto"/>
          <w:highlight w:val="none"/>
        </w:rPr>
        <w:t>；对</w:t>
      </w:r>
      <w:r>
        <w:rPr>
          <w:rFonts w:hint="default" w:ascii="Times New Roman" w:hAnsi="Times New Roman" w:eastAsia="仿宋_GB2312" w:cs="Times New Roman"/>
          <w:color w:val="auto"/>
          <w:highlight w:val="none"/>
          <w:lang w:val="en-US" w:eastAsia="zh-CN"/>
        </w:rPr>
        <w:t>审查</w:t>
      </w:r>
      <w:r>
        <w:rPr>
          <w:rFonts w:hint="default" w:ascii="Times New Roman" w:hAnsi="Times New Roman" w:eastAsia="仿宋_GB2312" w:cs="Times New Roman"/>
          <w:color w:val="auto"/>
          <w:highlight w:val="none"/>
        </w:rPr>
        <w:t>结论为“不通过”的，要说明原因。</w:t>
      </w:r>
    </w:p>
    <w:p w14:paraId="08221251">
      <w:pPr>
        <w:pStyle w:val="14"/>
        <w:shd w:val="clear" w:color="auto" w:fill="auto"/>
        <w:bidi w:val="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2、有下列情形之一的，视为投标人相互串通投标：</w:t>
      </w:r>
    </w:p>
    <w:p w14:paraId="034017AF">
      <w:pPr>
        <w:pStyle w:val="14"/>
        <w:shd w:val="clear" w:color="auto" w:fill="auto"/>
        <w:bidi w:val="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（1）不同投标人的投标文件由同一单位或者个人编制；</w:t>
      </w:r>
    </w:p>
    <w:p w14:paraId="728679DF">
      <w:pPr>
        <w:pStyle w:val="14"/>
        <w:shd w:val="clear" w:color="auto" w:fill="auto"/>
        <w:bidi w:val="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（2）不同投标人委托同一单位或者个人办理投标事宜；</w:t>
      </w:r>
    </w:p>
    <w:p w14:paraId="0E08CC84">
      <w:pPr>
        <w:pStyle w:val="14"/>
        <w:shd w:val="clear" w:color="auto" w:fill="auto"/>
        <w:bidi w:val="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（3）不同投标人的投标文件载明的项目管理成员或者联系人员为同一人；</w:t>
      </w:r>
    </w:p>
    <w:p w14:paraId="6C2C1AE2">
      <w:pPr>
        <w:pStyle w:val="14"/>
        <w:shd w:val="clear" w:color="auto" w:fill="auto"/>
        <w:bidi w:val="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（4）不同投标人的投标文件异常一致或者投标报价呈规律性差异；</w:t>
      </w:r>
    </w:p>
    <w:p w14:paraId="1C7BFD68">
      <w:pPr>
        <w:pStyle w:val="14"/>
        <w:shd w:val="clear" w:color="auto" w:fill="auto"/>
        <w:bidi w:val="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（5）不同投标人的投标文件相互混装；</w:t>
      </w:r>
    </w:p>
    <w:p w14:paraId="6FD0A1A3">
      <w:pPr>
        <w:pStyle w:val="14"/>
        <w:shd w:val="clear" w:color="auto" w:fill="auto"/>
        <w:bidi w:val="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（6）不同投标人的投标保证金从同一单位或者个人的账户转出。</w:t>
      </w:r>
    </w:p>
    <w:p w14:paraId="165653CD">
      <w:pPr>
        <w:pStyle w:val="14"/>
        <w:shd w:val="clear" w:color="auto" w:fill="auto"/>
        <w:bidi w:val="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3、有下列情形之一的，属于提供虚假材料谋取中标的行为：</w:t>
      </w:r>
    </w:p>
    <w:p w14:paraId="1D12B755">
      <w:pPr>
        <w:pStyle w:val="14"/>
        <w:shd w:val="clear" w:color="auto" w:fill="auto"/>
        <w:bidi w:val="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（1）使用伪造、变造的许可证件；</w:t>
      </w:r>
    </w:p>
    <w:p w14:paraId="3106BFA6">
      <w:pPr>
        <w:pStyle w:val="14"/>
        <w:shd w:val="clear" w:color="auto" w:fill="auto"/>
        <w:bidi w:val="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（2）提供虚假的财务状况或者业绩；</w:t>
      </w:r>
    </w:p>
    <w:p w14:paraId="560FD3EA">
      <w:pPr>
        <w:pStyle w:val="14"/>
        <w:shd w:val="clear" w:color="auto" w:fill="auto"/>
        <w:bidi w:val="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（3）提供虚假的项目负责人或者主要技术人员简历、劳动关系证明；</w:t>
      </w:r>
    </w:p>
    <w:p w14:paraId="2DDE0827">
      <w:pPr>
        <w:pStyle w:val="14"/>
        <w:shd w:val="clear" w:color="auto" w:fill="auto"/>
        <w:bidi w:val="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（4）提供虚假的信用状况；</w:t>
      </w:r>
    </w:p>
    <w:p w14:paraId="3FA35486">
      <w:pPr>
        <w:pStyle w:val="14"/>
        <w:shd w:val="clear" w:color="auto" w:fill="auto"/>
        <w:bidi w:val="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（5）其他弄虚作假的行为。</w:t>
      </w:r>
    </w:p>
    <w:p w14:paraId="45C1695F">
      <w:pPr>
        <w:pStyle w:val="14"/>
        <w:shd w:val="clear" w:color="auto" w:fill="auto"/>
        <w:tabs>
          <w:tab w:val="clear" w:pos="567"/>
        </w:tabs>
        <w:spacing w:before="0" w:line="360" w:lineRule="auto"/>
        <w:jc w:val="center"/>
        <w:outlineLvl w:val="1"/>
        <w:rPr>
          <w:rFonts w:hint="eastAsia" w:ascii="Times New Roman" w:hAnsi="Times New Roman" w:eastAsia="仿宋_GB2312"/>
          <w:b/>
          <w:color w:val="auto"/>
          <w:sz w:val="32"/>
          <w:szCs w:val="32"/>
          <w:highlight w:val="none"/>
          <w:lang w:eastAsia="zh-CN"/>
        </w:rPr>
      </w:pPr>
      <w:bookmarkStart w:id="499" w:name="_GoBack"/>
      <w:bookmarkEnd w:id="499"/>
      <w:r>
        <w:rPr>
          <w:rFonts w:hint="default" w:ascii="Times New Roman" w:hAnsi="Times New Roman" w:eastAsia="仿宋_GB2312" w:cs="Times New Roman"/>
          <w:color w:val="auto"/>
          <w:highlight w:val="none"/>
        </w:rPr>
        <w:br w:type="page"/>
      </w:r>
      <w:bookmarkStart w:id="349" w:name="_Toc8634"/>
      <w:r>
        <w:rPr>
          <w:rFonts w:hint="eastAsia" w:ascii="Times New Roman" w:hAnsi="Times New Roman" w:eastAsia="仿宋_GB2312" w:cs="Times New Roman"/>
          <w:b/>
          <w:color w:val="auto"/>
          <w:sz w:val="32"/>
          <w:szCs w:val="32"/>
          <w:highlight w:val="none"/>
        </w:rPr>
        <w:t>附表三  评审</w:t>
      </w:r>
      <w:r>
        <w:rPr>
          <w:rFonts w:hint="eastAsia" w:ascii="Times New Roman" w:hAnsi="Times New Roman" w:eastAsia="仿宋_GB2312" w:cs="Times New Roman"/>
          <w:b/>
          <w:color w:val="auto"/>
          <w:sz w:val="32"/>
          <w:szCs w:val="32"/>
          <w:highlight w:val="none"/>
          <w:lang w:val="en-US" w:eastAsia="zh-CN"/>
        </w:rPr>
        <w:t>标准</w:t>
      </w:r>
      <w:bookmarkEnd w:id="349"/>
    </w:p>
    <w:p w14:paraId="640AC393">
      <w:pPr>
        <w:widowControl/>
        <w:shd w:val="clear" w:color="auto" w:fill="auto"/>
        <w:spacing w:line="360" w:lineRule="auto"/>
        <w:jc w:val="center"/>
        <w:rPr>
          <w:rFonts w:eastAsia="仿宋_GB2312"/>
          <w:b/>
          <w:color w:val="auto"/>
          <w:sz w:val="32"/>
          <w:szCs w:val="32"/>
          <w:highlight w:val="none"/>
        </w:rPr>
      </w:pPr>
      <w:r>
        <w:rPr>
          <w:rFonts w:eastAsia="仿宋_GB2312"/>
          <w:color w:val="auto"/>
          <w:sz w:val="28"/>
          <w:szCs w:val="28"/>
          <w:highlight w:val="none"/>
        </w:rPr>
        <w:t>（采用综合评分法时适用）</w:t>
      </w:r>
    </w:p>
    <w:tbl>
      <w:tblPr>
        <w:tblStyle w:val="36"/>
        <w:tblW w:w="9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1450"/>
        <w:gridCol w:w="6163"/>
      </w:tblGrid>
      <w:tr w14:paraId="27F0C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587" w:type="dxa"/>
            <w:tcBorders>
              <w:top w:val="single" w:color="auto" w:sz="4" w:space="0"/>
              <w:left w:val="single" w:color="auto" w:sz="4" w:space="0"/>
              <w:bottom w:val="single" w:color="auto" w:sz="4" w:space="0"/>
              <w:right w:val="single" w:color="auto" w:sz="4" w:space="0"/>
            </w:tcBorders>
            <w:noWrap w:val="0"/>
            <w:vAlign w:val="center"/>
          </w:tcPr>
          <w:p w14:paraId="11FA9EAD">
            <w:pPr>
              <w:shd w:val="clear" w:color="auto" w:fill="auto"/>
              <w:adjustRightInd w:val="0"/>
              <w:snapToGrid w:val="0"/>
              <w:jc w:val="center"/>
              <w:rPr>
                <w:rFonts w:hint="eastAsia" w:ascii="黑体" w:hAnsi="黑体" w:eastAsia="黑体" w:cs="黑体"/>
                <w:color w:val="auto"/>
                <w:sz w:val="24"/>
                <w:highlight w:val="none"/>
              </w:rPr>
            </w:pPr>
            <w:r>
              <w:rPr>
                <w:rFonts w:hint="eastAsia" w:ascii="黑体" w:hAnsi="黑体" w:eastAsia="黑体" w:cs="黑体"/>
                <w:color w:val="auto"/>
                <w:sz w:val="24"/>
                <w:highlight w:val="none"/>
              </w:rPr>
              <w:t>评标要素</w:t>
            </w:r>
          </w:p>
        </w:tc>
        <w:tc>
          <w:tcPr>
            <w:tcW w:w="1450" w:type="dxa"/>
            <w:tcBorders>
              <w:top w:val="single" w:color="auto" w:sz="4" w:space="0"/>
              <w:left w:val="single" w:color="auto" w:sz="4" w:space="0"/>
              <w:right w:val="single" w:color="auto" w:sz="4" w:space="0"/>
            </w:tcBorders>
            <w:noWrap w:val="0"/>
            <w:vAlign w:val="center"/>
          </w:tcPr>
          <w:p w14:paraId="2448308C">
            <w:pPr>
              <w:shd w:val="clear" w:color="auto" w:fill="auto"/>
              <w:adjustRightInd w:val="0"/>
              <w:snapToGrid w:val="0"/>
              <w:jc w:val="center"/>
              <w:rPr>
                <w:rFonts w:hint="eastAsia" w:ascii="黑体" w:hAnsi="黑体" w:eastAsia="黑体" w:cs="黑体"/>
                <w:color w:val="auto"/>
                <w:sz w:val="24"/>
                <w:highlight w:val="none"/>
                <w:lang w:eastAsia="zh-CN"/>
              </w:rPr>
            </w:pPr>
            <w:r>
              <w:rPr>
                <w:rFonts w:hint="eastAsia" w:ascii="黑体" w:hAnsi="黑体" w:eastAsia="黑体" w:cs="黑体"/>
                <w:color w:val="auto"/>
                <w:sz w:val="24"/>
                <w:highlight w:val="none"/>
                <w:lang w:val="en-US" w:eastAsia="zh-CN"/>
              </w:rPr>
              <w:t>分值</w:t>
            </w:r>
          </w:p>
        </w:tc>
        <w:tc>
          <w:tcPr>
            <w:tcW w:w="6163" w:type="dxa"/>
            <w:tcBorders>
              <w:top w:val="single" w:color="auto" w:sz="4" w:space="0"/>
              <w:left w:val="single" w:color="auto" w:sz="4" w:space="0"/>
              <w:bottom w:val="single" w:color="auto" w:sz="4" w:space="0"/>
              <w:right w:val="single" w:color="auto" w:sz="4" w:space="0"/>
            </w:tcBorders>
            <w:noWrap w:val="0"/>
            <w:vAlign w:val="center"/>
          </w:tcPr>
          <w:p w14:paraId="5F4DC6C2">
            <w:pPr>
              <w:shd w:val="clear" w:color="auto" w:fill="auto"/>
              <w:adjustRightInd w:val="0"/>
              <w:snapToGrid w:val="0"/>
              <w:jc w:val="center"/>
              <w:rPr>
                <w:rFonts w:hint="eastAsia" w:ascii="黑体" w:hAnsi="黑体" w:eastAsia="黑体" w:cs="黑体"/>
                <w:color w:val="auto"/>
                <w:sz w:val="24"/>
                <w:highlight w:val="none"/>
              </w:rPr>
            </w:pPr>
            <w:r>
              <w:rPr>
                <w:rFonts w:hint="eastAsia" w:ascii="黑体" w:hAnsi="黑体" w:eastAsia="黑体" w:cs="黑体"/>
                <w:color w:val="auto"/>
                <w:sz w:val="24"/>
                <w:highlight w:val="none"/>
              </w:rPr>
              <w:t>评标标准</w:t>
            </w:r>
          </w:p>
        </w:tc>
      </w:tr>
      <w:tr w14:paraId="65A4E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1587" w:type="dxa"/>
            <w:tcBorders>
              <w:top w:val="single" w:color="auto" w:sz="4" w:space="0"/>
              <w:left w:val="single" w:color="auto" w:sz="4" w:space="0"/>
              <w:bottom w:val="single" w:color="auto" w:sz="4" w:space="0"/>
              <w:right w:val="single" w:color="auto" w:sz="4" w:space="0"/>
            </w:tcBorders>
            <w:noWrap w:val="0"/>
            <w:vAlign w:val="center"/>
          </w:tcPr>
          <w:p w14:paraId="172DD709">
            <w:pPr>
              <w:shd w:val="clear" w:color="auto" w:fill="auto"/>
              <w:adjustRightInd w:val="0"/>
              <w:snapToGrid w:val="0"/>
              <w:spacing w:line="360" w:lineRule="auto"/>
              <w:jc w:val="center"/>
              <w:rPr>
                <w:rFonts w:eastAsia="仿宋_GB2312"/>
                <w:color w:val="auto"/>
                <w:sz w:val="24"/>
                <w:highlight w:val="none"/>
              </w:rPr>
            </w:pPr>
            <w:r>
              <w:rPr>
                <w:rFonts w:eastAsia="仿宋_GB2312"/>
                <w:color w:val="auto"/>
                <w:sz w:val="24"/>
                <w:highlight w:val="none"/>
              </w:rPr>
              <w:t>价格</w:t>
            </w:r>
          </w:p>
        </w:tc>
        <w:tc>
          <w:tcPr>
            <w:tcW w:w="1450" w:type="dxa"/>
            <w:tcBorders>
              <w:top w:val="single" w:color="auto" w:sz="4" w:space="0"/>
              <w:left w:val="single" w:color="auto" w:sz="4" w:space="0"/>
              <w:bottom w:val="single" w:color="auto" w:sz="4" w:space="0"/>
              <w:right w:val="single" w:color="auto" w:sz="4" w:space="0"/>
            </w:tcBorders>
            <w:noWrap w:val="0"/>
            <w:vAlign w:val="center"/>
          </w:tcPr>
          <w:p w14:paraId="21FF04D0">
            <w:pPr>
              <w:shd w:val="clear" w:color="auto" w:fill="auto"/>
              <w:adjustRightInd w:val="0"/>
              <w:snapToGrid w:val="0"/>
              <w:spacing w:line="360" w:lineRule="auto"/>
              <w:jc w:val="center"/>
              <w:rPr>
                <w:rFonts w:hint="default" w:eastAsia="仿宋_GB2312"/>
                <w:color w:val="auto"/>
                <w:sz w:val="24"/>
                <w:highlight w:val="none"/>
                <w:lang w:val="en-US" w:eastAsia="zh-CN"/>
              </w:rPr>
            </w:pPr>
            <w:r>
              <w:rPr>
                <w:rFonts w:hint="eastAsia" w:eastAsia="仿宋_GB2312"/>
                <w:color w:val="auto"/>
                <w:sz w:val="24"/>
                <w:highlight w:val="none"/>
                <w:lang w:val="en-US" w:eastAsia="zh-CN"/>
              </w:rPr>
              <w:t>30</w:t>
            </w:r>
          </w:p>
        </w:tc>
        <w:tc>
          <w:tcPr>
            <w:tcW w:w="6163" w:type="dxa"/>
            <w:tcBorders>
              <w:top w:val="single" w:color="auto" w:sz="4" w:space="0"/>
              <w:left w:val="single" w:color="auto" w:sz="4" w:space="0"/>
              <w:bottom w:val="single" w:color="auto" w:sz="4" w:space="0"/>
              <w:right w:val="single" w:color="auto" w:sz="4" w:space="0"/>
            </w:tcBorders>
            <w:noWrap w:val="0"/>
            <w:vAlign w:val="center"/>
          </w:tcPr>
          <w:p w14:paraId="1B838C2F">
            <w:pPr>
              <w:shd w:val="clear" w:color="auto" w:fill="auto"/>
              <w:adjustRightInd w:val="0"/>
              <w:snapToGrid w:val="0"/>
              <w:spacing w:line="276" w:lineRule="auto"/>
              <w:jc w:val="left"/>
              <w:rPr>
                <w:rFonts w:eastAsia="仿宋_GB2312"/>
                <w:color w:val="auto"/>
                <w:sz w:val="24"/>
                <w:highlight w:val="none"/>
                <w:u w:val="single"/>
              </w:rPr>
            </w:pPr>
            <w:r>
              <w:rPr>
                <w:rFonts w:eastAsia="仿宋_GB2312"/>
                <w:color w:val="auto"/>
                <w:sz w:val="24"/>
                <w:highlight w:val="none"/>
              </w:rPr>
              <w:t>满足招标文件要求且投标价格最低的投标报价为评标基准价，其价格分为满分。其他投标人的价格分统一按照下列公式计算：投标报价得分=（评标基准价/投标报价）×</w:t>
            </w:r>
            <w:r>
              <w:rPr>
                <w:rFonts w:hint="eastAsia" w:eastAsia="仿宋_GB2312"/>
                <w:color w:val="auto"/>
                <w:sz w:val="24"/>
                <w:highlight w:val="none"/>
                <w:lang w:val="en-US" w:eastAsia="zh-CN"/>
              </w:rPr>
              <w:t>30</w:t>
            </w:r>
          </w:p>
        </w:tc>
      </w:tr>
      <w:tr w14:paraId="15986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587" w:type="dxa"/>
            <w:tcBorders>
              <w:top w:val="single" w:color="auto" w:sz="4" w:space="0"/>
              <w:left w:val="single" w:color="auto" w:sz="4" w:space="0"/>
              <w:bottom w:val="single" w:color="auto" w:sz="4" w:space="0"/>
              <w:right w:val="single" w:color="auto" w:sz="4" w:space="0"/>
            </w:tcBorders>
            <w:noWrap w:val="0"/>
            <w:vAlign w:val="center"/>
          </w:tcPr>
          <w:p w14:paraId="4D9DD079">
            <w:pPr>
              <w:shd w:val="clear" w:color="auto" w:fill="auto"/>
              <w:adjustRightInd w:val="0"/>
              <w:snapToGrid w:val="0"/>
              <w:spacing w:line="360" w:lineRule="auto"/>
              <w:jc w:val="center"/>
              <w:rPr>
                <w:rFonts w:hint="eastAsia" w:eastAsia="仿宋_GB2312"/>
                <w:i w:val="0"/>
                <w:iCs w:val="0"/>
                <w:color w:val="auto"/>
                <w:sz w:val="24"/>
                <w:highlight w:val="none"/>
                <w:lang w:val="en-US" w:eastAsia="zh-CN"/>
              </w:rPr>
            </w:pPr>
            <w:r>
              <w:rPr>
                <w:rFonts w:hint="eastAsia" w:eastAsia="仿宋_GB2312"/>
                <w:i w:val="0"/>
                <w:iCs w:val="0"/>
                <w:color w:val="auto"/>
                <w:sz w:val="24"/>
                <w:highlight w:val="none"/>
                <w:lang w:val="en-US" w:eastAsia="zh-CN"/>
              </w:rPr>
              <w:t>节能环保产品</w:t>
            </w:r>
          </w:p>
        </w:tc>
        <w:tc>
          <w:tcPr>
            <w:tcW w:w="1450" w:type="dxa"/>
            <w:tcBorders>
              <w:top w:val="single" w:color="auto" w:sz="4" w:space="0"/>
              <w:left w:val="single" w:color="auto" w:sz="4" w:space="0"/>
              <w:bottom w:val="single" w:color="auto" w:sz="4" w:space="0"/>
              <w:right w:val="single" w:color="auto" w:sz="4" w:space="0"/>
            </w:tcBorders>
            <w:noWrap w:val="0"/>
            <w:vAlign w:val="center"/>
          </w:tcPr>
          <w:p w14:paraId="42E2F2B8">
            <w:pPr>
              <w:shd w:val="clear" w:color="auto" w:fill="auto"/>
              <w:adjustRightInd w:val="0"/>
              <w:snapToGrid w:val="0"/>
              <w:spacing w:line="360" w:lineRule="auto"/>
              <w:jc w:val="center"/>
              <w:rPr>
                <w:rFonts w:hint="eastAsia" w:eastAsia="仿宋_GB2312"/>
                <w:i w:val="0"/>
                <w:iCs w:val="0"/>
                <w:color w:val="auto"/>
                <w:sz w:val="24"/>
                <w:highlight w:val="none"/>
                <w:lang w:eastAsia="zh-CN"/>
              </w:rPr>
            </w:pPr>
            <w:r>
              <w:rPr>
                <w:rFonts w:hint="eastAsia" w:eastAsia="仿宋_GB2312"/>
                <w:i w:val="0"/>
                <w:iCs w:val="0"/>
                <w:color w:val="auto"/>
                <w:sz w:val="24"/>
                <w:highlight w:val="none"/>
                <w:lang w:val="en-US" w:eastAsia="zh-CN"/>
              </w:rPr>
              <w:t>2</w:t>
            </w:r>
          </w:p>
        </w:tc>
        <w:tc>
          <w:tcPr>
            <w:tcW w:w="6163" w:type="dxa"/>
            <w:tcBorders>
              <w:top w:val="single" w:color="auto" w:sz="4" w:space="0"/>
              <w:left w:val="single" w:color="auto" w:sz="4" w:space="0"/>
              <w:bottom w:val="single" w:color="auto" w:sz="4" w:space="0"/>
              <w:right w:val="single" w:color="auto" w:sz="4" w:space="0"/>
            </w:tcBorders>
            <w:noWrap w:val="0"/>
            <w:vAlign w:val="center"/>
          </w:tcPr>
          <w:p w14:paraId="20460B26">
            <w:pPr>
              <w:shd w:val="clear" w:color="auto" w:fill="auto"/>
              <w:adjustRightInd w:val="0"/>
              <w:snapToGrid w:val="0"/>
              <w:spacing w:line="276" w:lineRule="auto"/>
              <w:jc w:val="both"/>
              <w:rPr>
                <w:rFonts w:hint="default" w:eastAsia="仿宋_GB2312"/>
                <w:b/>
                <w:bCs/>
                <w:i w:val="0"/>
                <w:iCs w:val="0"/>
                <w:color w:val="auto"/>
                <w:sz w:val="24"/>
                <w:highlight w:val="none"/>
                <w:lang w:val="en-US" w:eastAsia="zh-CN"/>
              </w:rPr>
            </w:pPr>
            <w:r>
              <w:rPr>
                <w:rFonts w:hint="eastAsia" w:eastAsia="仿宋_GB2312"/>
                <w:i w:val="0"/>
                <w:iCs w:val="0"/>
                <w:color w:val="auto"/>
                <w:sz w:val="24"/>
                <w:highlight w:val="none"/>
                <w:lang w:val="en-US" w:eastAsia="zh-CN"/>
              </w:rPr>
              <w:t>投标人</w:t>
            </w:r>
            <w:r>
              <w:rPr>
                <w:rFonts w:hint="eastAsia" w:eastAsia="仿宋_GB2312"/>
                <w:i w:val="0"/>
                <w:iCs w:val="0"/>
                <w:color w:val="auto"/>
                <w:sz w:val="24"/>
                <w:highlight w:val="none"/>
              </w:rPr>
              <w:t>所投产品</w:t>
            </w:r>
            <w:r>
              <w:rPr>
                <w:rFonts w:hint="eastAsia" w:eastAsia="仿宋_GB2312"/>
                <w:i w:val="0"/>
                <w:iCs w:val="0"/>
                <w:color w:val="auto"/>
                <w:sz w:val="24"/>
                <w:highlight w:val="none"/>
                <w:lang w:val="en-US" w:eastAsia="zh-CN"/>
              </w:rPr>
              <w:t>含有</w:t>
            </w:r>
            <w:r>
              <w:rPr>
                <w:rFonts w:hint="eastAsia" w:eastAsia="仿宋_GB2312"/>
                <w:i w:val="0"/>
                <w:iCs w:val="0"/>
                <w:color w:val="auto"/>
                <w:sz w:val="24"/>
                <w:highlight w:val="none"/>
              </w:rPr>
              <w:t>属于政府优先采购产品类别</w:t>
            </w:r>
            <w:r>
              <w:rPr>
                <w:rFonts w:hint="eastAsia" w:eastAsia="仿宋_GB2312"/>
                <w:i w:val="0"/>
                <w:iCs w:val="0"/>
                <w:color w:val="auto"/>
                <w:sz w:val="24"/>
                <w:highlight w:val="none"/>
                <w:lang w:eastAsia="zh-CN"/>
              </w:rPr>
              <w:t>的</w:t>
            </w:r>
            <w:r>
              <w:rPr>
                <w:rFonts w:hint="eastAsia" w:eastAsia="仿宋_GB2312"/>
                <w:i w:val="0"/>
                <w:iCs w:val="0"/>
                <w:color w:val="auto"/>
                <w:sz w:val="24"/>
                <w:highlight w:val="none"/>
                <w:lang w:val="en-US" w:eastAsia="zh-CN"/>
              </w:rPr>
              <w:t>产品</w:t>
            </w:r>
            <w:r>
              <w:rPr>
                <w:rFonts w:hint="eastAsia" w:eastAsia="仿宋_GB2312"/>
                <w:i w:val="0"/>
                <w:iCs w:val="0"/>
                <w:color w:val="auto"/>
                <w:sz w:val="24"/>
                <w:highlight w:val="none"/>
              </w:rPr>
              <w:t>，须按照《财政部 发展改革委 生态环境部</w:t>
            </w:r>
            <w:r>
              <w:rPr>
                <w:rFonts w:hint="eastAsia" w:eastAsia="仿宋_GB2312"/>
                <w:i w:val="0"/>
                <w:iCs w:val="0"/>
                <w:color w:val="auto"/>
                <w:sz w:val="24"/>
                <w:highlight w:val="none"/>
                <w:lang w:val="en-US" w:eastAsia="zh-CN"/>
              </w:rPr>
              <w:t xml:space="preserve"> </w:t>
            </w:r>
            <w:r>
              <w:rPr>
                <w:rFonts w:hint="eastAsia" w:eastAsia="仿宋_GB2312"/>
                <w:i w:val="0"/>
                <w:iCs w:val="0"/>
                <w:color w:val="auto"/>
                <w:sz w:val="24"/>
                <w:highlight w:val="none"/>
              </w:rPr>
              <w:t>市场监管总局关于调整优化节能产品、环境标志产品政府采购执行机制的通知》（财库〔2019〕9 号）、</w:t>
            </w:r>
            <w:r>
              <w:rPr>
                <w:rFonts w:hint="eastAsia" w:eastAsia="仿宋_GB2312"/>
                <w:i w:val="0"/>
                <w:iCs w:val="0"/>
                <w:color w:val="auto"/>
                <w:sz w:val="24"/>
                <w:highlight w:val="none"/>
                <w:lang w:eastAsia="zh-CN"/>
              </w:rPr>
              <w:t>《</w:t>
            </w:r>
            <w:r>
              <w:rPr>
                <w:rFonts w:hint="eastAsia" w:eastAsia="仿宋_GB2312"/>
                <w:i w:val="0"/>
                <w:iCs w:val="0"/>
                <w:color w:val="auto"/>
                <w:sz w:val="24"/>
                <w:highlight w:val="none"/>
              </w:rPr>
              <w:t>关于印发节能产品政府采购品目清单的通知</w:t>
            </w:r>
            <w:r>
              <w:rPr>
                <w:rFonts w:hint="eastAsia" w:eastAsia="仿宋_GB2312"/>
                <w:i w:val="0"/>
                <w:iCs w:val="0"/>
                <w:color w:val="auto"/>
                <w:sz w:val="24"/>
                <w:highlight w:val="none"/>
                <w:lang w:eastAsia="zh-CN"/>
              </w:rPr>
              <w:t>》</w:t>
            </w:r>
            <w:r>
              <w:rPr>
                <w:rFonts w:hint="eastAsia" w:eastAsia="仿宋_GB2312"/>
                <w:i w:val="0"/>
                <w:iCs w:val="0"/>
                <w:color w:val="auto"/>
                <w:sz w:val="24"/>
                <w:highlight w:val="none"/>
              </w:rPr>
              <w:t>（财库〔2019〕19 号）、</w:t>
            </w:r>
            <w:r>
              <w:rPr>
                <w:rFonts w:hint="eastAsia" w:eastAsia="仿宋_GB2312"/>
                <w:i w:val="0"/>
                <w:iCs w:val="0"/>
                <w:color w:val="auto"/>
                <w:sz w:val="24"/>
                <w:highlight w:val="none"/>
                <w:lang w:eastAsia="zh-CN"/>
              </w:rPr>
              <w:t>《</w:t>
            </w:r>
            <w:r>
              <w:rPr>
                <w:rFonts w:hint="eastAsia" w:eastAsia="仿宋_GB2312"/>
                <w:i w:val="0"/>
                <w:iCs w:val="0"/>
                <w:color w:val="auto"/>
                <w:sz w:val="24"/>
                <w:highlight w:val="none"/>
              </w:rPr>
              <w:t>关于印发环境标志产品政府采购品目清单的通知</w:t>
            </w:r>
            <w:r>
              <w:rPr>
                <w:rFonts w:hint="eastAsia" w:eastAsia="仿宋_GB2312"/>
                <w:i w:val="0"/>
                <w:iCs w:val="0"/>
                <w:color w:val="auto"/>
                <w:sz w:val="24"/>
                <w:highlight w:val="none"/>
                <w:lang w:eastAsia="zh-CN"/>
              </w:rPr>
              <w:t>》</w:t>
            </w:r>
            <w:r>
              <w:rPr>
                <w:rFonts w:hint="eastAsia" w:eastAsia="仿宋_GB2312"/>
                <w:i w:val="0"/>
                <w:iCs w:val="0"/>
                <w:color w:val="auto"/>
                <w:sz w:val="24"/>
                <w:highlight w:val="none"/>
              </w:rPr>
              <w:t>（财库〔2019〕18 号）、</w:t>
            </w:r>
            <w:r>
              <w:rPr>
                <w:rFonts w:hint="eastAsia" w:eastAsia="仿宋_GB2312"/>
                <w:i w:val="0"/>
                <w:iCs w:val="0"/>
                <w:color w:val="auto"/>
                <w:sz w:val="24"/>
                <w:highlight w:val="none"/>
                <w:lang w:eastAsia="zh-CN"/>
              </w:rPr>
              <w:t>《</w:t>
            </w:r>
            <w:r>
              <w:rPr>
                <w:rFonts w:hint="eastAsia" w:eastAsia="仿宋_GB2312"/>
                <w:i w:val="0"/>
                <w:iCs w:val="0"/>
                <w:color w:val="auto"/>
                <w:sz w:val="24"/>
                <w:highlight w:val="none"/>
              </w:rPr>
              <w:t>市场监管总局关于发布参与实施政府采购节能产品、环境标志产品认证机构名录的公告</w:t>
            </w:r>
            <w:r>
              <w:rPr>
                <w:rFonts w:hint="eastAsia" w:eastAsia="仿宋_GB2312"/>
                <w:i w:val="0"/>
                <w:iCs w:val="0"/>
                <w:color w:val="auto"/>
                <w:sz w:val="24"/>
                <w:highlight w:val="none"/>
                <w:lang w:eastAsia="zh-CN"/>
              </w:rPr>
              <w:t>》</w:t>
            </w:r>
            <w:r>
              <w:rPr>
                <w:rFonts w:hint="eastAsia" w:eastAsia="仿宋_GB2312"/>
                <w:i w:val="0"/>
                <w:iCs w:val="0"/>
                <w:color w:val="auto"/>
                <w:sz w:val="24"/>
                <w:highlight w:val="none"/>
              </w:rPr>
              <w:t>（2019 年第 16 号）要求提供国家确定的认证机构出具的、处于有效期之内的节能产品</w:t>
            </w:r>
            <w:r>
              <w:rPr>
                <w:rFonts w:hint="eastAsia" w:eastAsia="仿宋_GB2312"/>
                <w:i w:val="0"/>
                <w:iCs w:val="0"/>
                <w:color w:val="auto"/>
                <w:sz w:val="24"/>
                <w:highlight w:val="none"/>
                <w:lang w:val="en-US" w:eastAsia="zh-CN"/>
              </w:rPr>
              <w:t>或</w:t>
            </w:r>
            <w:r>
              <w:rPr>
                <w:rFonts w:hint="eastAsia" w:eastAsia="仿宋_GB2312"/>
                <w:i w:val="0"/>
                <w:iCs w:val="0"/>
                <w:color w:val="auto"/>
                <w:sz w:val="24"/>
                <w:highlight w:val="none"/>
              </w:rPr>
              <w:t>环境标志产品认证证书，每提供一个得</w:t>
            </w:r>
            <w:r>
              <w:rPr>
                <w:rFonts w:hint="eastAsia" w:eastAsia="仿宋_GB2312"/>
                <w:i w:val="0"/>
                <w:iCs w:val="0"/>
                <w:color w:val="auto"/>
                <w:sz w:val="24"/>
                <w:highlight w:val="none"/>
                <w:lang w:val="en-US" w:eastAsia="zh-CN"/>
              </w:rPr>
              <w:t>1</w:t>
            </w:r>
            <w:r>
              <w:rPr>
                <w:rFonts w:hint="eastAsia" w:eastAsia="仿宋_GB2312"/>
                <w:i w:val="0"/>
                <w:iCs w:val="0"/>
                <w:color w:val="auto"/>
                <w:sz w:val="24"/>
                <w:highlight w:val="none"/>
              </w:rPr>
              <w:t>分，满分</w:t>
            </w:r>
            <w:r>
              <w:rPr>
                <w:rFonts w:hint="eastAsia" w:eastAsia="仿宋_GB2312"/>
                <w:i w:val="0"/>
                <w:iCs w:val="0"/>
                <w:color w:val="auto"/>
                <w:sz w:val="24"/>
                <w:highlight w:val="none"/>
                <w:lang w:val="en-US" w:eastAsia="zh-CN"/>
              </w:rPr>
              <w:t>2</w:t>
            </w:r>
            <w:r>
              <w:rPr>
                <w:rFonts w:hint="eastAsia" w:eastAsia="仿宋_GB2312"/>
                <w:i w:val="0"/>
                <w:iCs w:val="0"/>
                <w:color w:val="auto"/>
                <w:sz w:val="24"/>
                <w:highlight w:val="none"/>
              </w:rPr>
              <w:t>分。</w:t>
            </w:r>
            <w:r>
              <w:rPr>
                <w:rFonts w:hint="eastAsia" w:eastAsia="仿宋_GB2312"/>
                <w:b/>
                <w:bCs/>
                <w:i w:val="0"/>
                <w:iCs w:val="0"/>
                <w:color w:val="auto"/>
                <w:sz w:val="24"/>
                <w:highlight w:val="none"/>
                <w:lang w:val="en-US" w:eastAsia="zh-CN"/>
              </w:rPr>
              <w:t>政府</w:t>
            </w:r>
            <w:r>
              <w:rPr>
                <w:rFonts w:hint="eastAsia" w:eastAsia="仿宋_GB2312"/>
                <w:b/>
                <w:bCs/>
                <w:i w:val="0"/>
                <w:iCs w:val="0"/>
                <w:color w:val="auto"/>
                <w:sz w:val="24"/>
                <w:highlight w:val="none"/>
              </w:rPr>
              <w:t>强制采购产品</w:t>
            </w:r>
            <w:r>
              <w:rPr>
                <w:rFonts w:hint="eastAsia" w:eastAsia="仿宋_GB2312"/>
                <w:b/>
                <w:bCs/>
                <w:i w:val="0"/>
                <w:iCs w:val="0"/>
                <w:color w:val="auto"/>
                <w:sz w:val="24"/>
                <w:highlight w:val="none"/>
                <w:lang w:val="en-US" w:eastAsia="zh-CN"/>
              </w:rPr>
              <w:t>不予加分。</w:t>
            </w:r>
          </w:p>
          <w:p w14:paraId="019DE3B6">
            <w:pPr>
              <w:shd w:val="clear" w:color="auto" w:fill="auto"/>
              <w:adjustRightInd w:val="0"/>
              <w:snapToGrid w:val="0"/>
              <w:spacing w:line="276" w:lineRule="auto"/>
              <w:jc w:val="left"/>
              <w:rPr>
                <w:rFonts w:eastAsia="仿宋_GB2312"/>
                <w:i w:val="0"/>
                <w:iCs w:val="0"/>
                <w:color w:val="auto"/>
                <w:sz w:val="24"/>
                <w:highlight w:val="none"/>
              </w:rPr>
            </w:pPr>
            <w:r>
              <w:rPr>
                <w:rFonts w:hint="eastAsia" w:eastAsia="仿宋_GB2312"/>
                <w:i w:val="0"/>
                <w:iCs w:val="0"/>
                <w:color w:val="auto"/>
                <w:sz w:val="24"/>
                <w:highlight w:val="none"/>
              </w:rPr>
              <w:t>备注：以加盖投标人公章的证明材料为计分依据。</w:t>
            </w:r>
          </w:p>
        </w:tc>
      </w:tr>
      <w:tr w14:paraId="04CDC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587" w:type="dxa"/>
            <w:tcBorders>
              <w:top w:val="single" w:color="auto" w:sz="4" w:space="0"/>
              <w:left w:val="single" w:color="auto" w:sz="4" w:space="0"/>
              <w:bottom w:val="single" w:color="auto" w:sz="4" w:space="0"/>
              <w:right w:val="single" w:color="auto" w:sz="4" w:space="0"/>
            </w:tcBorders>
            <w:noWrap w:val="0"/>
            <w:vAlign w:val="center"/>
          </w:tcPr>
          <w:p w14:paraId="65226885">
            <w:pPr>
              <w:shd w:val="clear" w:color="auto" w:fill="auto"/>
              <w:adjustRightInd w:val="0"/>
              <w:snapToGrid w:val="0"/>
              <w:spacing w:line="360" w:lineRule="auto"/>
              <w:jc w:val="center"/>
              <w:rPr>
                <w:rFonts w:hint="default" w:ascii="仿宋" w:hAnsi="仿宋" w:eastAsia="仿宋" w:cs="仿宋"/>
                <w:i/>
                <w:iCs/>
                <w:color w:val="auto"/>
                <w:kern w:val="2"/>
                <w:sz w:val="24"/>
                <w:szCs w:val="24"/>
                <w:highlight w:val="none"/>
                <w:lang w:val="en-US" w:eastAsia="zh-CN" w:bidi="ar-SA"/>
              </w:rPr>
            </w:pPr>
            <w:r>
              <w:rPr>
                <w:rFonts w:hint="eastAsia" w:ascii="仿宋" w:hAnsi="仿宋" w:eastAsia="仿宋" w:cs="仿宋"/>
                <w:i w:val="0"/>
                <w:iCs w:val="0"/>
                <w:color w:val="auto"/>
                <w:sz w:val="24"/>
                <w:szCs w:val="24"/>
                <w:highlight w:val="none"/>
                <w:lang w:val="en-US" w:eastAsia="zh-CN"/>
              </w:rPr>
              <w:t>技术指标</w:t>
            </w:r>
          </w:p>
        </w:tc>
        <w:tc>
          <w:tcPr>
            <w:tcW w:w="1450" w:type="dxa"/>
            <w:tcBorders>
              <w:top w:val="single" w:color="auto" w:sz="4" w:space="0"/>
              <w:left w:val="single" w:color="auto" w:sz="4" w:space="0"/>
              <w:bottom w:val="single" w:color="auto" w:sz="4" w:space="0"/>
              <w:right w:val="single" w:color="auto" w:sz="4" w:space="0"/>
            </w:tcBorders>
            <w:noWrap w:val="0"/>
            <w:vAlign w:val="center"/>
          </w:tcPr>
          <w:p w14:paraId="05F0FCAE">
            <w:pPr>
              <w:shd w:val="clear" w:color="auto" w:fill="auto"/>
              <w:adjustRightInd w:val="0"/>
              <w:snapToGrid w:val="0"/>
              <w:spacing w:line="360" w:lineRule="auto"/>
              <w:jc w:val="center"/>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sz w:val="24"/>
                <w:szCs w:val="24"/>
                <w:highlight w:val="none"/>
                <w:lang w:val="en-US" w:eastAsia="zh-CN"/>
              </w:rPr>
              <w:t>39</w:t>
            </w:r>
          </w:p>
        </w:tc>
        <w:tc>
          <w:tcPr>
            <w:tcW w:w="6163" w:type="dxa"/>
            <w:tcBorders>
              <w:top w:val="single" w:color="auto" w:sz="4" w:space="0"/>
              <w:left w:val="single" w:color="auto" w:sz="4" w:space="0"/>
              <w:bottom w:val="single" w:color="auto" w:sz="4" w:space="0"/>
              <w:right w:val="single" w:color="auto" w:sz="4" w:space="0"/>
            </w:tcBorders>
            <w:noWrap w:val="0"/>
            <w:vAlign w:val="center"/>
          </w:tcPr>
          <w:p w14:paraId="740CAF50">
            <w:pPr>
              <w:shd w:val="clear" w:color="auto" w:fill="auto"/>
              <w:autoSpaceDE w:val="0"/>
              <w:autoSpaceDN w:val="0"/>
              <w:adjustRightInd w:val="0"/>
              <w:snapToGrid w:val="0"/>
              <w:spacing w:line="400" w:lineRule="exact"/>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en-US" w:eastAsia="zh-CN"/>
              </w:rPr>
              <w:t>一</w:t>
            </w:r>
            <w:r>
              <w:rPr>
                <w:rFonts w:hint="eastAsia" w:ascii="仿宋" w:hAnsi="仿宋" w:eastAsia="仿宋" w:cs="仿宋"/>
                <w:b/>
                <w:bCs/>
                <w:color w:val="auto"/>
                <w:sz w:val="24"/>
                <w:szCs w:val="24"/>
                <w:highlight w:val="none"/>
                <w:lang w:val="zh-CN"/>
              </w:rPr>
              <w:t>、投标产品技术指标评审内容（</w:t>
            </w:r>
            <w:r>
              <w:rPr>
                <w:rFonts w:hint="eastAsia" w:ascii="仿宋" w:hAnsi="仿宋" w:eastAsia="仿宋" w:cs="仿宋"/>
                <w:b/>
                <w:bCs/>
                <w:color w:val="auto"/>
                <w:sz w:val="24"/>
                <w:szCs w:val="24"/>
                <w:highlight w:val="none"/>
              </w:rPr>
              <w:t>34分</w:t>
            </w:r>
            <w:r>
              <w:rPr>
                <w:rFonts w:hint="eastAsia" w:ascii="仿宋" w:hAnsi="仿宋" w:eastAsia="仿宋" w:cs="仿宋"/>
                <w:b/>
                <w:bCs/>
                <w:color w:val="auto"/>
                <w:sz w:val="24"/>
                <w:szCs w:val="24"/>
                <w:highlight w:val="none"/>
                <w:lang w:val="zh-CN"/>
              </w:rPr>
              <w:t>）</w:t>
            </w:r>
          </w:p>
          <w:p w14:paraId="5766C1F9">
            <w:pPr>
              <w:shd w:val="clear" w:color="auto" w:fill="auto"/>
              <w:adjustRightInd w:val="0"/>
              <w:snapToGrid w:val="0"/>
              <w:spacing w:line="276" w:lineRule="auto"/>
              <w:jc w:val="left"/>
              <w:rPr>
                <w:rFonts w:hint="eastAsia" w:ascii="仿宋" w:hAnsi="仿宋" w:eastAsia="仿宋" w:cs="仿宋"/>
                <w:i w:val="0"/>
                <w:iCs w:val="0"/>
                <w:color w:val="auto"/>
                <w:sz w:val="24"/>
                <w:szCs w:val="24"/>
                <w:highlight w:val="none"/>
                <w:lang w:val="en-US" w:eastAsia="zh-CN"/>
              </w:rPr>
            </w:pPr>
            <w:r>
              <w:rPr>
                <w:rFonts w:hint="eastAsia" w:ascii="仿宋" w:hAnsi="仿宋" w:eastAsia="仿宋" w:cs="仿宋"/>
                <w:i w:val="0"/>
                <w:iCs w:val="0"/>
                <w:color w:val="auto"/>
                <w:sz w:val="24"/>
                <w:szCs w:val="24"/>
                <w:highlight w:val="none"/>
                <w:lang w:val="en-US" w:eastAsia="zh-CN"/>
              </w:rPr>
              <w:t>投标产品的技术指标评审：完全响应得34分。技术指标参数一项不满足扣1分，扣完为止。</w:t>
            </w:r>
          </w:p>
          <w:p w14:paraId="23196234">
            <w:pPr>
              <w:shd w:val="clear" w:color="auto" w:fill="auto"/>
              <w:adjustRightInd w:val="0"/>
              <w:snapToGrid w:val="0"/>
              <w:spacing w:line="276" w:lineRule="auto"/>
              <w:jc w:val="left"/>
              <w:rPr>
                <w:rFonts w:hint="eastAsia" w:ascii="仿宋" w:hAnsi="仿宋" w:eastAsia="仿宋" w:cs="仿宋"/>
                <w:i w:val="0"/>
                <w:iCs w:val="0"/>
                <w:color w:val="auto"/>
                <w:sz w:val="24"/>
                <w:szCs w:val="24"/>
                <w:highlight w:val="none"/>
                <w:lang w:val="en-US" w:eastAsia="zh-CN"/>
              </w:rPr>
            </w:pPr>
            <w:r>
              <w:rPr>
                <w:rFonts w:hint="eastAsia" w:ascii="仿宋" w:hAnsi="仿宋" w:eastAsia="仿宋" w:cs="仿宋"/>
                <w:i w:val="0"/>
                <w:iCs w:val="0"/>
                <w:color w:val="auto"/>
                <w:sz w:val="24"/>
                <w:szCs w:val="24"/>
                <w:highlight w:val="none"/>
                <w:lang w:val="en-US" w:eastAsia="zh-CN"/>
              </w:rPr>
              <w:t>评审依据：按照技术参数要求提供相应的证明文件（包括不限于检测报告、技术白皮书、厂家产品说明等），在技术偏离表“说明”栏中标明证明材料的页码。</w:t>
            </w:r>
          </w:p>
          <w:p w14:paraId="18854700">
            <w:pPr>
              <w:shd w:val="clear" w:color="auto" w:fill="auto"/>
              <w:adjustRightInd w:val="0"/>
              <w:snapToGrid w:val="0"/>
              <w:spacing w:line="276" w:lineRule="auto"/>
              <w:jc w:val="left"/>
              <w:rPr>
                <w:rFonts w:hint="eastAsia" w:ascii="仿宋" w:hAnsi="仿宋" w:eastAsia="仿宋" w:cs="仿宋"/>
                <w:b/>
                <w:bCs/>
                <w:i w:val="0"/>
                <w:iCs w:val="0"/>
                <w:color w:val="auto"/>
                <w:sz w:val="24"/>
                <w:szCs w:val="24"/>
                <w:highlight w:val="none"/>
                <w:lang w:val="en-US" w:eastAsia="zh-CN"/>
              </w:rPr>
            </w:pPr>
            <w:r>
              <w:rPr>
                <w:rFonts w:hint="eastAsia" w:ascii="仿宋" w:hAnsi="仿宋" w:eastAsia="仿宋" w:cs="仿宋"/>
                <w:b/>
                <w:bCs/>
                <w:i w:val="0"/>
                <w:iCs w:val="0"/>
                <w:color w:val="auto"/>
                <w:sz w:val="24"/>
                <w:szCs w:val="24"/>
                <w:highlight w:val="none"/>
                <w:lang w:val="en-US" w:eastAsia="zh-CN"/>
              </w:rPr>
              <w:t>二、投标产品的可靠性（5分）</w:t>
            </w:r>
          </w:p>
          <w:p w14:paraId="28473DAD">
            <w:pPr>
              <w:shd w:val="clear" w:color="auto" w:fill="auto"/>
              <w:adjustRightInd w:val="0"/>
              <w:snapToGrid w:val="0"/>
              <w:spacing w:line="276" w:lineRule="auto"/>
              <w:jc w:val="left"/>
              <w:rPr>
                <w:rFonts w:hint="eastAsia" w:ascii="仿宋" w:hAnsi="仿宋" w:eastAsia="仿宋" w:cs="仿宋"/>
                <w:i w:val="0"/>
                <w:iCs w:val="0"/>
                <w:color w:val="auto"/>
                <w:sz w:val="24"/>
                <w:szCs w:val="24"/>
                <w:highlight w:val="none"/>
                <w:lang w:val="en-US" w:eastAsia="zh-CN"/>
              </w:rPr>
            </w:pPr>
            <w:r>
              <w:rPr>
                <w:rFonts w:hint="eastAsia" w:ascii="仿宋" w:hAnsi="仿宋" w:eastAsia="仿宋" w:cs="仿宋"/>
                <w:i w:val="0"/>
                <w:iCs w:val="0"/>
                <w:color w:val="auto"/>
                <w:sz w:val="24"/>
                <w:szCs w:val="24"/>
                <w:highlight w:val="none"/>
                <w:lang w:val="en-US" w:eastAsia="zh-CN"/>
              </w:rPr>
              <w:t>1、所投设备技术先进、可靠性强、成熟度高，满足用户需求，得5分；</w:t>
            </w:r>
          </w:p>
          <w:p w14:paraId="0230325D">
            <w:pPr>
              <w:shd w:val="clear" w:color="auto" w:fill="auto"/>
              <w:adjustRightInd w:val="0"/>
              <w:snapToGrid w:val="0"/>
              <w:spacing w:line="276" w:lineRule="auto"/>
              <w:jc w:val="left"/>
              <w:rPr>
                <w:rFonts w:hint="eastAsia" w:ascii="仿宋" w:hAnsi="仿宋" w:eastAsia="仿宋" w:cs="仿宋"/>
                <w:i w:val="0"/>
                <w:iCs w:val="0"/>
                <w:color w:val="auto"/>
                <w:sz w:val="24"/>
                <w:szCs w:val="24"/>
                <w:highlight w:val="none"/>
                <w:lang w:val="en-US" w:eastAsia="zh-CN"/>
              </w:rPr>
            </w:pPr>
            <w:r>
              <w:rPr>
                <w:rFonts w:hint="eastAsia" w:ascii="仿宋" w:hAnsi="仿宋" w:eastAsia="仿宋" w:cs="仿宋"/>
                <w:i w:val="0"/>
                <w:iCs w:val="0"/>
                <w:color w:val="auto"/>
                <w:sz w:val="24"/>
                <w:szCs w:val="24"/>
                <w:highlight w:val="none"/>
                <w:lang w:val="en-US" w:eastAsia="zh-CN"/>
              </w:rPr>
              <w:t>2、所投设备技术成熟、性能稳定，基本满足用户需求，得3分；</w:t>
            </w:r>
          </w:p>
          <w:p w14:paraId="0292C77D">
            <w:pPr>
              <w:shd w:val="clear" w:color="auto" w:fill="auto"/>
              <w:adjustRightInd w:val="0"/>
              <w:snapToGrid w:val="0"/>
              <w:spacing w:line="276" w:lineRule="auto"/>
              <w:jc w:val="left"/>
              <w:rPr>
                <w:rFonts w:hint="default"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sz w:val="24"/>
                <w:szCs w:val="24"/>
                <w:highlight w:val="none"/>
                <w:lang w:val="en-US" w:eastAsia="zh-CN"/>
              </w:rPr>
              <w:t>3、所投设备技术成熟、性能满足、不影响用户使用效果，得1分。</w:t>
            </w:r>
          </w:p>
        </w:tc>
      </w:tr>
      <w:tr w14:paraId="05929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1587" w:type="dxa"/>
            <w:tcBorders>
              <w:top w:val="single" w:color="auto" w:sz="4" w:space="0"/>
              <w:left w:val="single" w:color="auto" w:sz="4" w:space="0"/>
              <w:bottom w:val="single" w:color="auto" w:sz="4" w:space="0"/>
              <w:right w:val="single" w:color="auto" w:sz="4" w:space="0"/>
            </w:tcBorders>
            <w:noWrap w:val="0"/>
            <w:vAlign w:val="center"/>
          </w:tcPr>
          <w:p w14:paraId="1DCCAA79">
            <w:pPr>
              <w:shd w:val="clear" w:color="auto" w:fill="auto"/>
              <w:adjustRightInd w:val="0"/>
              <w:snapToGrid w:val="0"/>
              <w:spacing w:line="40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实施方案</w:t>
            </w:r>
          </w:p>
        </w:tc>
        <w:tc>
          <w:tcPr>
            <w:tcW w:w="1450" w:type="dxa"/>
            <w:tcBorders>
              <w:top w:val="single" w:color="auto" w:sz="4" w:space="0"/>
              <w:left w:val="single" w:color="auto" w:sz="4" w:space="0"/>
              <w:bottom w:val="single" w:color="auto" w:sz="4" w:space="0"/>
              <w:right w:val="single" w:color="auto" w:sz="4" w:space="0"/>
            </w:tcBorders>
            <w:noWrap w:val="0"/>
            <w:vAlign w:val="center"/>
          </w:tcPr>
          <w:p w14:paraId="50E6E9D8">
            <w:pPr>
              <w:shd w:val="clear" w:color="auto" w:fill="auto"/>
              <w:adjustRightInd w:val="0"/>
              <w:snapToGrid w:val="0"/>
              <w:spacing w:line="40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12</w:t>
            </w:r>
          </w:p>
        </w:tc>
        <w:tc>
          <w:tcPr>
            <w:tcW w:w="6163" w:type="dxa"/>
            <w:tcBorders>
              <w:top w:val="single" w:color="auto" w:sz="4" w:space="0"/>
              <w:left w:val="single" w:color="auto" w:sz="4" w:space="0"/>
              <w:bottom w:val="single" w:color="auto" w:sz="4" w:space="0"/>
              <w:right w:val="single" w:color="auto" w:sz="4" w:space="0"/>
            </w:tcBorders>
            <w:noWrap w:val="0"/>
            <w:vAlign w:val="center"/>
          </w:tcPr>
          <w:p w14:paraId="03A20198">
            <w:pPr>
              <w:shd w:val="clear" w:color="auto" w:fill="auto"/>
              <w:autoSpaceDE w:val="0"/>
              <w:autoSpaceDN w:val="0"/>
              <w:adjustRightInd w:val="0"/>
              <w:snapToGrid w:val="0"/>
              <w:spacing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依据供应商提供的本项目的实施方案评审，内容包含：</w:t>
            </w:r>
          </w:p>
          <w:p w14:paraId="51433309">
            <w:pPr>
              <w:shd w:val="clear" w:color="auto" w:fill="auto"/>
              <w:autoSpaceDE w:val="0"/>
              <w:autoSpaceDN w:val="0"/>
              <w:adjustRightInd w:val="0"/>
              <w:snapToGrid w:val="0"/>
              <w:spacing w:line="400" w:lineRule="exact"/>
              <w:rPr>
                <w:rFonts w:hint="eastAsia" w:ascii="仿宋" w:hAnsi="仿宋" w:eastAsia="仿宋" w:cs="仿宋"/>
                <w:color w:val="auto"/>
                <w:sz w:val="24"/>
                <w:szCs w:val="24"/>
                <w:highlight w:val="none"/>
                <w:lang w:val="zh-CN"/>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val="zh-CN"/>
              </w:rPr>
              <w:t>供货方案（</w:t>
            </w:r>
            <w:r>
              <w:rPr>
                <w:rFonts w:hint="eastAsia" w:ascii="仿宋" w:hAnsi="仿宋" w:eastAsia="仿宋" w:cs="仿宋"/>
                <w:b/>
                <w:bCs/>
                <w:color w:val="auto"/>
                <w:sz w:val="24"/>
                <w:szCs w:val="24"/>
                <w:highlight w:val="none"/>
              </w:rPr>
              <w:t>3分</w:t>
            </w:r>
            <w:r>
              <w:rPr>
                <w:rFonts w:hint="eastAsia" w:ascii="仿宋" w:hAnsi="仿宋" w:eastAsia="仿宋" w:cs="仿宋"/>
                <w:b/>
                <w:bCs/>
                <w:color w:val="auto"/>
                <w:sz w:val="24"/>
                <w:szCs w:val="24"/>
                <w:highlight w:val="none"/>
                <w:lang w:val="zh-CN"/>
              </w:rPr>
              <w:t>）：</w:t>
            </w:r>
            <w:r>
              <w:rPr>
                <w:rFonts w:hint="eastAsia" w:ascii="仿宋" w:hAnsi="仿宋" w:eastAsia="仿宋" w:cs="仿宋"/>
                <w:color w:val="auto"/>
                <w:sz w:val="24"/>
                <w:szCs w:val="24"/>
                <w:highlight w:val="none"/>
                <w:lang w:val="zh-CN"/>
              </w:rPr>
              <w:t>内容完整、可实施、且有针对性得</w:t>
            </w:r>
            <w:r>
              <w:rPr>
                <w:rFonts w:hint="eastAsia" w:ascii="仿宋" w:hAnsi="仿宋" w:eastAsia="仿宋" w:cs="仿宋"/>
                <w:color w:val="auto"/>
                <w:sz w:val="24"/>
                <w:szCs w:val="24"/>
                <w:highlight w:val="none"/>
              </w:rPr>
              <w:t>3分；</w:t>
            </w:r>
            <w:r>
              <w:rPr>
                <w:rFonts w:hint="eastAsia" w:ascii="仿宋" w:hAnsi="仿宋" w:eastAsia="仿宋" w:cs="仿宋"/>
                <w:color w:val="auto"/>
                <w:sz w:val="24"/>
                <w:szCs w:val="24"/>
                <w:highlight w:val="none"/>
                <w:lang w:val="zh-CN"/>
              </w:rPr>
              <w:t>内容完整、可实施得</w:t>
            </w:r>
            <w:r>
              <w:rPr>
                <w:rFonts w:hint="eastAsia" w:ascii="仿宋" w:hAnsi="仿宋" w:eastAsia="仿宋" w:cs="仿宋"/>
                <w:color w:val="auto"/>
                <w:sz w:val="24"/>
                <w:szCs w:val="24"/>
                <w:highlight w:val="none"/>
              </w:rPr>
              <w:t>2分；</w:t>
            </w:r>
            <w:r>
              <w:rPr>
                <w:rFonts w:hint="eastAsia" w:ascii="仿宋" w:hAnsi="仿宋" w:eastAsia="仿宋" w:cs="仿宋"/>
                <w:color w:val="auto"/>
                <w:sz w:val="24"/>
                <w:szCs w:val="24"/>
                <w:highlight w:val="none"/>
                <w:lang w:val="zh-CN"/>
              </w:rPr>
              <w:t>方案基本完整得</w:t>
            </w:r>
            <w:r>
              <w:rPr>
                <w:rFonts w:hint="eastAsia" w:ascii="仿宋" w:hAnsi="仿宋" w:eastAsia="仿宋" w:cs="仿宋"/>
                <w:color w:val="auto"/>
                <w:sz w:val="24"/>
                <w:szCs w:val="24"/>
                <w:highlight w:val="none"/>
              </w:rPr>
              <w:t>1分；未提供不得分。</w:t>
            </w:r>
          </w:p>
          <w:p w14:paraId="16024D75">
            <w:pPr>
              <w:shd w:val="clear" w:color="auto" w:fill="auto"/>
              <w:autoSpaceDE w:val="0"/>
              <w:autoSpaceDN w:val="0"/>
              <w:adjustRightInd w:val="0"/>
              <w:snapToGrid w:val="0"/>
              <w:spacing w:line="400" w:lineRule="exact"/>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2、</w:t>
            </w:r>
            <w:r>
              <w:rPr>
                <w:rFonts w:hint="eastAsia" w:ascii="仿宋" w:hAnsi="仿宋" w:eastAsia="仿宋" w:cs="仿宋"/>
                <w:b/>
                <w:bCs/>
                <w:color w:val="auto"/>
                <w:sz w:val="24"/>
                <w:szCs w:val="24"/>
                <w:highlight w:val="none"/>
                <w:lang w:val="zh-CN"/>
              </w:rPr>
              <w:t>安装调试方案（</w:t>
            </w:r>
            <w:r>
              <w:rPr>
                <w:rFonts w:hint="eastAsia" w:ascii="仿宋" w:hAnsi="仿宋" w:eastAsia="仿宋" w:cs="仿宋"/>
                <w:b/>
                <w:bCs/>
                <w:color w:val="auto"/>
                <w:sz w:val="24"/>
                <w:szCs w:val="24"/>
                <w:highlight w:val="none"/>
              </w:rPr>
              <w:t>3分</w:t>
            </w:r>
            <w:r>
              <w:rPr>
                <w:rFonts w:hint="eastAsia" w:ascii="仿宋" w:hAnsi="仿宋" w:eastAsia="仿宋" w:cs="仿宋"/>
                <w:b/>
                <w:bCs/>
                <w:color w:val="auto"/>
                <w:sz w:val="24"/>
                <w:szCs w:val="24"/>
                <w:highlight w:val="none"/>
                <w:lang w:val="zh-CN"/>
              </w:rPr>
              <w:t>）：</w:t>
            </w:r>
            <w:r>
              <w:rPr>
                <w:rFonts w:hint="eastAsia" w:ascii="仿宋" w:hAnsi="仿宋" w:eastAsia="仿宋" w:cs="仿宋"/>
                <w:color w:val="auto"/>
                <w:sz w:val="24"/>
                <w:szCs w:val="24"/>
                <w:highlight w:val="none"/>
                <w:lang w:val="zh-CN"/>
              </w:rPr>
              <w:t>内容完整、可实施、且有针对性得</w:t>
            </w:r>
            <w:r>
              <w:rPr>
                <w:rFonts w:hint="eastAsia" w:ascii="仿宋" w:hAnsi="仿宋" w:eastAsia="仿宋" w:cs="仿宋"/>
                <w:color w:val="auto"/>
                <w:sz w:val="24"/>
                <w:szCs w:val="24"/>
                <w:highlight w:val="none"/>
              </w:rPr>
              <w:t>3分；</w:t>
            </w:r>
            <w:r>
              <w:rPr>
                <w:rFonts w:hint="eastAsia" w:ascii="仿宋" w:hAnsi="仿宋" w:eastAsia="仿宋" w:cs="仿宋"/>
                <w:color w:val="auto"/>
                <w:sz w:val="24"/>
                <w:szCs w:val="24"/>
                <w:highlight w:val="none"/>
                <w:lang w:val="zh-CN"/>
              </w:rPr>
              <w:t>内容完整、可实施得</w:t>
            </w:r>
            <w:r>
              <w:rPr>
                <w:rFonts w:hint="eastAsia" w:ascii="仿宋" w:hAnsi="仿宋" w:eastAsia="仿宋" w:cs="仿宋"/>
                <w:color w:val="auto"/>
                <w:sz w:val="24"/>
                <w:szCs w:val="24"/>
                <w:highlight w:val="none"/>
              </w:rPr>
              <w:t>2分；</w:t>
            </w:r>
            <w:r>
              <w:rPr>
                <w:rFonts w:hint="eastAsia" w:ascii="仿宋" w:hAnsi="仿宋" w:eastAsia="仿宋" w:cs="仿宋"/>
                <w:color w:val="auto"/>
                <w:sz w:val="24"/>
                <w:szCs w:val="24"/>
                <w:highlight w:val="none"/>
                <w:lang w:val="zh-CN"/>
              </w:rPr>
              <w:t>方案基本完整得</w:t>
            </w:r>
            <w:r>
              <w:rPr>
                <w:rFonts w:hint="eastAsia" w:ascii="仿宋" w:hAnsi="仿宋" w:eastAsia="仿宋" w:cs="仿宋"/>
                <w:color w:val="auto"/>
                <w:sz w:val="24"/>
                <w:szCs w:val="24"/>
                <w:highlight w:val="none"/>
              </w:rPr>
              <w:t>1分；未提供不得分。</w:t>
            </w:r>
          </w:p>
          <w:p w14:paraId="5E0DCFDE">
            <w:pPr>
              <w:shd w:val="clear" w:color="auto" w:fill="auto"/>
              <w:autoSpaceDE w:val="0"/>
              <w:autoSpaceDN w:val="0"/>
              <w:adjustRightInd w:val="0"/>
              <w:snapToGrid w:val="0"/>
              <w:spacing w:line="400" w:lineRule="exact"/>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val="zh-CN"/>
              </w:rPr>
              <w:t>技术支持方案（</w:t>
            </w:r>
            <w:r>
              <w:rPr>
                <w:rFonts w:hint="eastAsia" w:ascii="仿宋" w:hAnsi="仿宋" w:eastAsia="仿宋" w:cs="仿宋"/>
                <w:b/>
                <w:bCs/>
                <w:color w:val="auto"/>
                <w:sz w:val="24"/>
                <w:szCs w:val="24"/>
                <w:highlight w:val="none"/>
              </w:rPr>
              <w:t>3分</w:t>
            </w:r>
            <w:r>
              <w:rPr>
                <w:rFonts w:hint="eastAsia" w:ascii="仿宋" w:hAnsi="仿宋" w:eastAsia="仿宋" w:cs="仿宋"/>
                <w:b/>
                <w:bCs/>
                <w:color w:val="auto"/>
                <w:sz w:val="24"/>
                <w:szCs w:val="24"/>
                <w:highlight w:val="none"/>
                <w:lang w:val="zh-CN"/>
              </w:rPr>
              <w:t>）：</w:t>
            </w:r>
            <w:r>
              <w:rPr>
                <w:rFonts w:hint="eastAsia" w:ascii="仿宋" w:hAnsi="仿宋" w:eastAsia="仿宋" w:cs="仿宋"/>
                <w:color w:val="auto"/>
                <w:sz w:val="24"/>
                <w:szCs w:val="24"/>
                <w:highlight w:val="none"/>
                <w:lang w:val="zh-CN"/>
              </w:rPr>
              <w:t>内容完整、可实施、且有针对性得</w:t>
            </w:r>
            <w:r>
              <w:rPr>
                <w:rFonts w:hint="eastAsia" w:ascii="仿宋" w:hAnsi="仿宋" w:eastAsia="仿宋" w:cs="仿宋"/>
                <w:color w:val="auto"/>
                <w:sz w:val="24"/>
                <w:szCs w:val="24"/>
                <w:highlight w:val="none"/>
              </w:rPr>
              <w:t>3分；</w:t>
            </w:r>
            <w:r>
              <w:rPr>
                <w:rFonts w:hint="eastAsia" w:ascii="仿宋" w:hAnsi="仿宋" w:eastAsia="仿宋" w:cs="仿宋"/>
                <w:color w:val="auto"/>
                <w:sz w:val="24"/>
                <w:szCs w:val="24"/>
                <w:highlight w:val="none"/>
                <w:lang w:val="zh-CN"/>
              </w:rPr>
              <w:t>内容完整、可实施得</w:t>
            </w:r>
            <w:r>
              <w:rPr>
                <w:rFonts w:hint="eastAsia" w:ascii="仿宋" w:hAnsi="仿宋" w:eastAsia="仿宋" w:cs="仿宋"/>
                <w:color w:val="auto"/>
                <w:sz w:val="24"/>
                <w:szCs w:val="24"/>
                <w:highlight w:val="none"/>
              </w:rPr>
              <w:t>2分；</w:t>
            </w:r>
            <w:r>
              <w:rPr>
                <w:rFonts w:hint="eastAsia" w:ascii="仿宋" w:hAnsi="仿宋" w:eastAsia="仿宋" w:cs="仿宋"/>
                <w:color w:val="auto"/>
                <w:sz w:val="24"/>
                <w:szCs w:val="24"/>
                <w:highlight w:val="none"/>
                <w:lang w:val="zh-CN"/>
              </w:rPr>
              <w:t>方案基本完整得</w:t>
            </w:r>
            <w:r>
              <w:rPr>
                <w:rFonts w:hint="eastAsia" w:ascii="仿宋" w:hAnsi="仿宋" w:eastAsia="仿宋" w:cs="仿宋"/>
                <w:color w:val="auto"/>
                <w:sz w:val="24"/>
                <w:szCs w:val="24"/>
                <w:highlight w:val="none"/>
              </w:rPr>
              <w:t>1分；未提供不得分。</w:t>
            </w:r>
          </w:p>
          <w:p w14:paraId="606E280F">
            <w:pPr>
              <w:shd w:val="clear" w:color="auto" w:fill="auto"/>
              <w:adjustRightInd w:val="0"/>
              <w:snapToGrid w:val="0"/>
              <w:spacing w:line="400" w:lineRule="exact"/>
              <w:jc w:val="left"/>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b/>
                <w:bCs/>
                <w:color w:val="auto"/>
                <w:sz w:val="24"/>
                <w:szCs w:val="24"/>
                <w:highlight w:val="none"/>
              </w:rPr>
              <w:t>4、</w:t>
            </w:r>
            <w:r>
              <w:rPr>
                <w:rFonts w:hint="eastAsia" w:ascii="仿宋" w:hAnsi="仿宋" w:eastAsia="仿宋" w:cs="仿宋"/>
                <w:b/>
                <w:bCs/>
                <w:color w:val="auto"/>
                <w:sz w:val="24"/>
                <w:szCs w:val="24"/>
                <w:highlight w:val="none"/>
                <w:lang w:val="zh-CN"/>
              </w:rPr>
              <w:t>验收方案（</w:t>
            </w:r>
            <w:r>
              <w:rPr>
                <w:rFonts w:hint="eastAsia" w:ascii="仿宋" w:hAnsi="仿宋" w:eastAsia="仿宋" w:cs="仿宋"/>
                <w:b/>
                <w:bCs/>
                <w:color w:val="auto"/>
                <w:sz w:val="24"/>
                <w:szCs w:val="24"/>
                <w:highlight w:val="none"/>
              </w:rPr>
              <w:t>3分</w:t>
            </w:r>
            <w:r>
              <w:rPr>
                <w:rFonts w:hint="eastAsia" w:ascii="仿宋" w:hAnsi="仿宋" w:eastAsia="仿宋" w:cs="仿宋"/>
                <w:b/>
                <w:bCs/>
                <w:color w:val="auto"/>
                <w:sz w:val="24"/>
                <w:szCs w:val="24"/>
                <w:highlight w:val="none"/>
                <w:lang w:val="zh-CN"/>
              </w:rPr>
              <w:t>）：</w:t>
            </w:r>
            <w:r>
              <w:rPr>
                <w:rFonts w:hint="eastAsia" w:ascii="仿宋" w:hAnsi="仿宋" w:eastAsia="仿宋" w:cs="仿宋"/>
                <w:color w:val="auto"/>
                <w:sz w:val="24"/>
                <w:szCs w:val="24"/>
                <w:highlight w:val="none"/>
                <w:lang w:val="zh-CN"/>
              </w:rPr>
              <w:t>内容完整、可实施、且有针对性得</w:t>
            </w:r>
            <w:r>
              <w:rPr>
                <w:rFonts w:hint="eastAsia" w:ascii="仿宋" w:hAnsi="仿宋" w:eastAsia="仿宋" w:cs="仿宋"/>
                <w:color w:val="auto"/>
                <w:sz w:val="24"/>
                <w:szCs w:val="24"/>
                <w:highlight w:val="none"/>
              </w:rPr>
              <w:t>3分；</w:t>
            </w:r>
            <w:r>
              <w:rPr>
                <w:rFonts w:hint="eastAsia" w:ascii="仿宋" w:hAnsi="仿宋" w:eastAsia="仿宋" w:cs="仿宋"/>
                <w:color w:val="auto"/>
                <w:sz w:val="24"/>
                <w:szCs w:val="24"/>
                <w:highlight w:val="none"/>
                <w:lang w:val="zh-CN"/>
              </w:rPr>
              <w:t>内容完整、可实施得</w:t>
            </w:r>
            <w:r>
              <w:rPr>
                <w:rFonts w:hint="eastAsia" w:ascii="仿宋" w:hAnsi="仿宋" w:eastAsia="仿宋" w:cs="仿宋"/>
                <w:color w:val="auto"/>
                <w:sz w:val="24"/>
                <w:szCs w:val="24"/>
                <w:highlight w:val="none"/>
              </w:rPr>
              <w:t>2分；</w:t>
            </w:r>
            <w:r>
              <w:rPr>
                <w:rFonts w:hint="eastAsia" w:ascii="仿宋" w:hAnsi="仿宋" w:eastAsia="仿宋" w:cs="仿宋"/>
                <w:color w:val="auto"/>
                <w:sz w:val="24"/>
                <w:szCs w:val="24"/>
                <w:highlight w:val="none"/>
                <w:lang w:val="zh-CN"/>
              </w:rPr>
              <w:t>方案基本完整得</w:t>
            </w:r>
            <w:r>
              <w:rPr>
                <w:rFonts w:hint="eastAsia" w:ascii="仿宋" w:hAnsi="仿宋" w:eastAsia="仿宋" w:cs="仿宋"/>
                <w:color w:val="auto"/>
                <w:sz w:val="24"/>
                <w:szCs w:val="24"/>
                <w:highlight w:val="none"/>
              </w:rPr>
              <w:t>1分；未提供不得分。</w:t>
            </w:r>
          </w:p>
        </w:tc>
      </w:tr>
      <w:tr w14:paraId="5FB0F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587" w:type="dxa"/>
            <w:tcBorders>
              <w:top w:val="single" w:color="auto" w:sz="4" w:space="0"/>
              <w:left w:val="single" w:color="auto" w:sz="4" w:space="0"/>
              <w:bottom w:val="single" w:color="auto" w:sz="4" w:space="0"/>
              <w:right w:val="single" w:color="auto" w:sz="4" w:space="0"/>
            </w:tcBorders>
            <w:noWrap w:val="0"/>
            <w:vAlign w:val="center"/>
          </w:tcPr>
          <w:p w14:paraId="621AA564">
            <w:pPr>
              <w:shd w:val="clear" w:color="auto" w:fill="auto"/>
              <w:adjustRightInd w:val="0"/>
              <w:snapToGrid w:val="0"/>
              <w:spacing w:line="40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售后服务方案</w:t>
            </w:r>
          </w:p>
        </w:tc>
        <w:tc>
          <w:tcPr>
            <w:tcW w:w="1450" w:type="dxa"/>
            <w:tcBorders>
              <w:top w:val="single" w:color="auto" w:sz="4" w:space="0"/>
              <w:left w:val="single" w:color="auto" w:sz="4" w:space="0"/>
              <w:bottom w:val="single" w:color="auto" w:sz="4" w:space="0"/>
              <w:right w:val="single" w:color="auto" w:sz="4" w:space="0"/>
            </w:tcBorders>
            <w:noWrap w:val="0"/>
            <w:vAlign w:val="center"/>
          </w:tcPr>
          <w:p w14:paraId="4AC57412">
            <w:pPr>
              <w:shd w:val="clear" w:color="auto" w:fill="auto"/>
              <w:adjustRightInd w:val="0"/>
              <w:snapToGrid w:val="0"/>
              <w:spacing w:line="400" w:lineRule="exac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12</w:t>
            </w:r>
          </w:p>
        </w:tc>
        <w:tc>
          <w:tcPr>
            <w:tcW w:w="6163" w:type="dxa"/>
            <w:tcBorders>
              <w:top w:val="single" w:color="auto" w:sz="4" w:space="0"/>
              <w:left w:val="single" w:color="auto" w:sz="4" w:space="0"/>
              <w:bottom w:val="single" w:color="auto" w:sz="4" w:space="0"/>
              <w:right w:val="single" w:color="auto" w:sz="4" w:space="0"/>
            </w:tcBorders>
            <w:noWrap w:val="0"/>
            <w:vAlign w:val="center"/>
          </w:tcPr>
          <w:p w14:paraId="4ECED34A">
            <w:pPr>
              <w:shd w:val="clear" w:color="auto" w:fill="auto"/>
              <w:autoSpaceDE w:val="0"/>
              <w:autoSpaceDN w:val="0"/>
              <w:adjustRightInd w:val="0"/>
              <w:snapToGrid w:val="0"/>
              <w:spacing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依据供应商提供的本项目的售后服务方案评审，内容包含：</w:t>
            </w:r>
          </w:p>
          <w:p w14:paraId="664E130D">
            <w:pPr>
              <w:shd w:val="clear" w:color="auto" w:fill="auto"/>
              <w:autoSpaceDE w:val="0"/>
              <w:autoSpaceDN w:val="0"/>
              <w:adjustRightInd w:val="0"/>
              <w:snapToGrid w:val="0"/>
              <w:spacing w:line="400" w:lineRule="exact"/>
              <w:rPr>
                <w:rFonts w:hint="eastAsia" w:ascii="仿宋" w:hAnsi="仿宋" w:eastAsia="仿宋" w:cs="仿宋"/>
                <w:color w:val="auto"/>
                <w:sz w:val="24"/>
                <w:szCs w:val="24"/>
                <w:highlight w:val="none"/>
                <w:lang w:val="zh-CN"/>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val="zh-CN"/>
              </w:rPr>
              <w:t>售后服务范围及保障措施（</w:t>
            </w:r>
            <w:r>
              <w:rPr>
                <w:rFonts w:hint="eastAsia" w:ascii="仿宋" w:hAnsi="仿宋" w:eastAsia="仿宋" w:cs="仿宋"/>
                <w:b/>
                <w:bCs/>
                <w:color w:val="auto"/>
                <w:sz w:val="24"/>
                <w:szCs w:val="24"/>
                <w:highlight w:val="none"/>
              </w:rPr>
              <w:t>3分</w:t>
            </w:r>
            <w:r>
              <w:rPr>
                <w:rFonts w:hint="eastAsia" w:ascii="仿宋" w:hAnsi="仿宋" w:eastAsia="仿宋" w:cs="仿宋"/>
                <w:b/>
                <w:bCs/>
                <w:color w:val="auto"/>
                <w:sz w:val="24"/>
                <w:szCs w:val="24"/>
                <w:highlight w:val="none"/>
                <w:lang w:val="zh-CN"/>
              </w:rPr>
              <w:t>）：</w:t>
            </w:r>
            <w:r>
              <w:rPr>
                <w:rFonts w:hint="eastAsia" w:ascii="仿宋" w:hAnsi="仿宋" w:eastAsia="仿宋" w:cs="仿宋"/>
                <w:color w:val="auto"/>
                <w:sz w:val="24"/>
                <w:szCs w:val="24"/>
                <w:highlight w:val="none"/>
                <w:lang w:val="zh-CN"/>
              </w:rPr>
              <w:t>内容完整、可实施、且有针对性得</w:t>
            </w:r>
            <w:r>
              <w:rPr>
                <w:rFonts w:hint="eastAsia" w:ascii="仿宋" w:hAnsi="仿宋" w:eastAsia="仿宋" w:cs="仿宋"/>
                <w:color w:val="auto"/>
                <w:sz w:val="24"/>
                <w:szCs w:val="24"/>
                <w:highlight w:val="none"/>
              </w:rPr>
              <w:t>3分；</w:t>
            </w:r>
            <w:r>
              <w:rPr>
                <w:rFonts w:hint="eastAsia" w:ascii="仿宋" w:hAnsi="仿宋" w:eastAsia="仿宋" w:cs="仿宋"/>
                <w:color w:val="auto"/>
                <w:sz w:val="24"/>
                <w:szCs w:val="24"/>
                <w:highlight w:val="none"/>
                <w:lang w:val="zh-CN"/>
              </w:rPr>
              <w:t>内容完整、可实施得</w:t>
            </w:r>
            <w:r>
              <w:rPr>
                <w:rFonts w:hint="eastAsia" w:ascii="仿宋" w:hAnsi="仿宋" w:eastAsia="仿宋" w:cs="仿宋"/>
                <w:color w:val="auto"/>
                <w:sz w:val="24"/>
                <w:szCs w:val="24"/>
                <w:highlight w:val="none"/>
              </w:rPr>
              <w:t>2分；</w:t>
            </w:r>
            <w:r>
              <w:rPr>
                <w:rFonts w:hint="eastAsia" w:ascii="仿宋" w:hAnsi="仿宋" w:eastAsia="仿宋" w:cs="仿宋"/>
                <w:color w:val="auto"/>
                <w:sz w:val="24"/>
                <w:szCs w:val="24"/>
                <w:highlight w:val="none"/>
                <w:lang w:val="zh-CN"/>
              </w:rPr>
              <w:t>方案基本完整得</w:t>
            </w:r>
            <w:r>
              <w:rPr>
                <w:rFonts w:hint="eastAsia" w:ascii="仿宋" w:hAnsi="仿宋" w:eastAsia="仿宋" w:cs="仿宋"/>
                <w:color w:val="auto"/>
                <w:sz w:val="24"/>
                <w:szCs w:val="24"/>
                <w:highlight w:val="none"/>
              </w:rPr>
              <w:t>1分；未提供不得分。</w:t>
            </w:r>
          </w:p>
          <w:p w14:paraId="64C366C8">
            <w:pPr>
              <w:shd w:val="clear" w:color="auto" w:fill="auto"/>
              <w:autoSpaceDE w:val="0"/>
              <w:autoSpaceDN w:val="0"/>
              <w:adjustRightInd w:val="0"/>
              <w:snapToGrid w:val="0"/>
              <w:spacing w:line="400" w:lineRule="exact"/>
              <w:rPr>
                <w:rFonts w:hint="eastAsia" w:ascii="仿宋" w:hAnsi="仿宋" w:eastAsia="仿宋" w:cs="仿宋"/>
                <w:color w:val="auto"/>
                <w:sz w:val="24"/>
                <w:szCs w:val="24"/>
                <w:highlight w:val="none"/>
                <w:lang w:val="zh-CN"/>
              </w:rPr>
            </w:pPr>
            <w:r>
              <w:rPr>
                <w:rFonts w:hint="eastAsia" w:ascii="仿宋" w:hAnsi="仿宋" w:eastAsia="仿宋" w:cs="仿宋"/>
                <w:b/>
                <w:bCs/>
                <w:color w:val="auto"/>
                <w:sz w:val="24"/>
                <w:szCs w:val="24"/>
                <w:highlight w:val="none"/>
              </w:rPr>
              <w:t>2、</w:t>
            </w:r>
            <w:r>
              <w:rPr>
                <w:rFonts w:hint="eastAsia" w:ascii="仿宋" w:hAnsi="仿宋" w:eastAsia="仿宋" w:cs="仿宋"/>
                <w:b/>
                <w:bCs/>
                <w:color w:val="auto"/>
                <w:sz w:val="24"/>
                <w:szCs w:val="24"/>
                <w:highlight w:val="none"/>
                <w:lang w:val="zh-CN"/>
              </w:rPr>
              <w:t>培训方案（</w:t>
            </w:r>
            <w:r>
              <w:rPr>
                <w:rFonts w:hint="eastAsia" w:ascii="仿宋" w:hAnsi="仿宋" w:eastAsia="仿宋" w:cs="仿宋"/>
                <w:b/>
                <w:bCs/>
                <w:color w:val="auto"/>
                <w:sz w:val="24"/>
                <w:szCs w:val="24"/>
                <w:highlight w:val="none"/>
              </w:rPr>
              <w:t>3分</w:t>
            </w:r>
            <w:r>
              <w:rPr>
                <w:rFonts w:hint="eastAsia" w:ascii="仿宋" w:hAnsi="仿宋" w:eastAsia="仿宋" w:cs="仿宋"/>
                <w:b/>
                <w:bCs/>
                <w:color w:val="auto"/>
                <w:sz w:val="24"/>
                <w:szCs w:val="24"/>
                <w:highlight w:val="none"/>
                <w:lang w:val="zh-CN"/>
              </w:rPr>
              <w:t>）：</w:t>
            </w:r>
            <w:r>
              <w:rPr>
                <w:rFonts w:hint="eastAsia" w:ascii="仿宋" w:hAnsi="仿宋" w:eastAsia="仿宋" w:cs="仿宋"/>
                <w:color w:val="auto"/>
                <w:sz w:val="24"/>
                <w:szCs w:val="24"/>
                <w:highlight w:val="none"/>
                <w:lang w:val="zh-CN"/>
              </w:rPr>
              <w:t>内容完整、可实施、且有针对性得</w:t>
            </w:r>
            <w:r>
              <w:rPr>
                <w:rFonts w:hint="eastAsia" w:ascii="仿宋" w:hAnsi="仿宋" w:eastAsia="仿宋" w:cs="仿宋"/>
                <w:color w:val="auto"/>
                <w:sz w:val="24"/>
                <w:szCs w:val="24"/>
                <w:highlight w:val="none"/>
              </w:rPr>
              <w:t>3分；</w:t>
            </w:r>
            <w:r>
              <w:rPr>
                <w:rFonts w:hint="eastAsia" w:ascii="仿宋" w:hAnsi="仿宋" w:eastAsia="仿宋" w:cs="仿宋"/>
                <w:color w:val="auto"/>
                <w:sz w:val="24"/>
                <w:szCs w:val="24"/>
                <w:highlight w:val="none"/>
                <w:lang w:val="zh-CN"/>
              </w:rPr>
              <w:t>内容完整、可实施得</w:t>
            </w:r>
            <w:r>
              <w:rPr>
                <w:rFonts w:hint="eastAsia" w:ascii="仿宋" w:hAnsi="仿宋" w:eastAsia="仿宋" w:cs="仿宋"/>
                <w:color w:val="auto"/>
                <w:sz w:val="24"/>
                <w:szCs w:val="24"/>
                <w:highlight w:val="none"/>
              </w:rPr>
              <w:t>2分；</w:t>
            </w:r>
            <w:r>
              <w:rPr>
                <w:rFonts w:hint="eastAsia" w:ascii="仿宋" w:hAnsi="仿宋" w:eastAsia="仿宋" w:cs="仿宋"/>
                <w:color w:val="auto"/>
                <w:sz w:val="24"/>
                <w:szCs w:val="24"/>
                <w:highlight w:val="none"/>
                <w:lang w:val="zh-CN"/>
              </w:rPr>
              <w:t>方案基本完整得</w:t>
            </w:r>
            <w:r>
              <w:rPr>
                <w:rFonts w:hint="eastAsia" w:ascii="仿宋" w:hAnsi="仿宋" w:eastAsia="仿宋" w:cs="仿宋"/>
                <w:color w:val="auto"/>
                <w:sz w:val="24"/>
                <w:szCs w:val="24"/>
                <w:highlight w:val="none"/>
              </w:rPr>
              <w:t>1分；未提供不得分。</w:t>
            </w:r>
          </w:p>
          <w:p w14:paraId="6654BFE3">
            <w:pPr>
              <w:shd w:val="clear" w:color="auto" w:fill="auto"/>
              <w:autoSpaceDE w:val="0"/>
              <w:autoSpaceDN w:val="0"/>
              <w:adjustRightInd w:val="0"/>
              <w:snapToGrid w:val="0"/>
              <w:spacing w:line="400" w:lineRule="exact"/>
              <w:rPr>
                <w:rFonts w:hint="eastAsia" w:ascii="仿宋" w:hAnsi="仿宋" w:eastAsia="仿宋" w:cs="仿宋"/>
                <w:color w:val="auto"/>
                <w:sz w:val="24"/>
                <w:szCs w:val="24"/>
                <w:highlight w:val="none"/>
                <w:lang w:val="zh-CN"/>
              </w:rPr>
            </w:pPr>
            <w:r>
              <w:rPr>
                <w:rFonts w:hint="eastAsia"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val="zh-CN"/>
              </w:rPr>
              <w:t>故障处理及补救措施（</w:t>
            </w:r>
            <w:r>
              <w:rPr>
                <w:rFonts w:hint="eastAsia" w:ascii="仿宋" w:hAnsi="仿宋" w:eastAsia="仿宋" w:cs="仿宋"/>
                <w:b/>
                <w:bCs/>
                <w:color w:val="auto"/>
                <w:sz w:val="24"/>
                <w:szCs w:val="24"/>
                <w:highlight w:val="none"/>
              </w:rPr>
              <w:t>3分</w:t>
            </w:r>
            <w:r>
              <w:rPr>
                <w:rFonts w:hint="eastAsia" w:ascii="仿宋" w:hAnsi="仿宋" w:eastAsia="仿宋" w:cs="仿宋"/>
                <w:b/>
                <w:bCs/>
                <w:color w:val="auto"/>
                <w:sz w:val="24"/>
                <w:szCs w:val="24"/>
                <w:highlight w:val="none"/>
                <w:lang w:val="zh-CN"/>
              </w:rPr>
              <w:t>）：</w:t>
            </w:r>
            <w:r>
              <w:rPr>
                <w:rFonts w:hint="eastAsia" w:ascii="仿宋" w:hAnsi="仿宋" w:eastAsia="仿宋" w:cs="仿宋"/>
                <w:color w:val="auto"/>
                <w:sz w:val="24"/>
                <w:szCs w:val="24"/>
                <w:highlight w:val="none"/>
                <w:lang w:val="zh-CN"/>
              </w:rPr>
              <w:t>内容完整、可实施、且有针对性得</w:t>
            </w:r>
            <w:r>
              <w:rPr>
                <w:rFonts w:hint="eastAsia" w:ascii="仿宋" w:hAnsi="仿宋" w:eastAsia="仿宋" w:cs="仿宋"/>
                <w:color w:val="auto"/>
                <w:sz w:val="24"/>
                <w:szCs w:val="24"/>
                <w:highlight w:val="none"/>
              </w:rPr>
              <w:t>3分；</w:t>
            </w:r>
            <w:r>
              <w:rPr>
                <w:rFonts w:hint="eastAsia" w:ascii="仿宋" w:hAnsi="仿宋" w:eastAsia="仿宋" w:cs="仿宋"/>
                <w:color w:val="auto"/>
                <w:sz w:val="24"/>
                <w:szCs w:val="24"/>
                <w:highlight w:val="none"/>
                <w:lang w:val="zh-CN"/>
              </w:rPr>
              <w:t>内容完整、可实施得</w:t>
            </w:r>
            <w:r>
              <w:rPr>
                <w:rFonts w:hint="eastAsia" w:ascii="仿宋" w:hAnsi="仿宋" w:eastAsia="仿宋" w:cs="仿宋"/>
                <w:color w:val="auto"/>
                <w:sz w:val="24"/>
                <w:szCs w:val="24"/>
                <w:highlight w:val="none"/>
              </w:rPr>
              <w:t>2分；</w:t>
            </w:r>
            <w:r>
              <w:rPr>
                <w:rFonts w:hint="eastAsia" w:ascii="仿宋" w:hAnsi="仿宋" w:eastAsia="仿宋" w:cs="仿宋"/>
                <w:color w:val="auto"/>
                <w:sz w:val="24"/>
                <w:szCs w:val="24"/>
                <w:highlight w:val="none"/>
                <w:lang w:val="zh-CN"/>
              </w:rPr>
              <w:t>方案基本完整得</w:t>
            </w:r>
            <w:r>
              <w:rPr>
                <w:rFonts w:hint="eastAsia" w:ascii="仿宋" w:hAnsi="仿宋" w:eastAsia="仿宋" w:cs="仿宋"/>
                <w:color w:val="auto"/>
                <w:sz w:val="24"/>
                <w:szCs w:val="24"/>
                <w:highlight w:val="none"/>
              </w:rPr>
              <w:t>1分；未提供不得分。</w:t>
            </w:r>
          </w:p>
          <w:p w14:paraId="297ABFDD">
            <w:pPr>
              <w:shd w:val="clear" w:color="auto" w:fill="auto"/>
              <w:autoSpaceDE w:val="0"/>
              <w:autoSpaceDN w:val="0"/>
              <w:adjustRightInd w:val="0"/>
              <w:snapToGrid w:val="0"/>
              <w:spacing w:line="40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bCs/>
                <w:color w:val="auto"/>
                <w:sz w:val="24"/>
                <w:szCs w:val="24"/>
                <w:highlight w:val="none"/>
              </w:rPr>
              <w:t>4、</w:t>
            </w:r>
            <w:r>
              <w:rPr>
                <w:rFonts w:hint="eastAsia" w:ascii="仿宋" w:hAnsi="仿宋" w:eastAsia="仿宋" w:cs="仿宋"/>
                <w:b/>
                <w:bCs/>
                <w:color w:val="auto"/>
                <w:sz w:val="24"/>
                <w:szCs w:val="24"/>
                <w:highlight w:val="none"/>
                <w:lang w:val="zh-CN"/>
              </w:rPr>
              <w:t>备品配件服务承诺（</w:t>
            </w:r>
            <w:r>
              <w:rPr>
                <w:rFonts w:hint="eastAsia" w:ascii="仿宋" w:hAnsi="仿宋" w:eastAsia="仿宋" w:cs="仿宋"/>
                <w:b/>
                <w:bCs/>
                <w:color w:val="auto"/>
                <w:sz w:val="24"/>
                <w:szCs w:val="24"/>
                <w:highlight w:val="none"/>
              </w:rPr>
              <w:t>3分</w:t>
            </w:r>
            <w:r>
              <w:rPr>
                <w:rFonts w:hint="eastAsia" w:ascii="仿宋" w:hAnsi="仿宋" w:eastAsia="仿宋" w:cs="仿宋"/>
                <w:b/>
                <w:bCs/>
                <w:color w:val="auto"/>
                <w:sz w:val="24"/>
                <w:szCs w:val="24"/>
                <w:highlight w:val="none"/>
                <w:lang w:val="zh-CN"/>
              </w:rPr>
              <w:t>）：</w:t>
            </w:r>
            <w:r>
              <w:rPr>
                <w:rFonts w:hint="eastAsia" w:ascii="仿宋" w:hAnsi="仿宋" w:eastAsia="仿宋" w:cs="仿宋"/>
                <w:color w:val="auto"/>
                <w:sz w:val="24"/>
                <w:szCs w:val="24"/>
                <w:highlight w:val="none"/>
                <w:lang w:val="zh-CN"/>
              </w:rPr>
              <w:t>内容完整、可实施、且有针对性得</w:t>
            </w:r>
            <w:r>
              <w:rPr>
                <w:rFonts w:hint="eastAsia" w:ascii="仿宋" w:hAnsi="仿宋" w:eastAsia="仿宋" w:cs="仿宋"/>
                <w:color w:val="auto"/>
                <w:sz w:val="24"/>
                <w:szCs w:val="24"/>
                <w:highlight w:val="none"/>
              </w:rPr>
              <w:t>3分；</w:t>
            </w:r>
            <w:r>
              <w:rPr>
                <w:rFonts w:hint="eastAsia" w:ascii="仿宋" w:hAnsi="仿宋" w:eastAsia="仿宋" w:cs="仿宋"/>
                <w:color w:val="auto"/>
                <w:sz w:val="24"/>
                <w:szCs w:val="24"/>
                <w:highlight w:val="none"/>
                <w:lang w:val="zh-CN"/>
              </w:rPr>
              <w:t>内容完整、可实施得</w:t>
            </w:r>
            <w:r>
              <w:rPr>
                <w:rFonts w:hint="eastAsia" w:ascii="仿宋" w:hAnsi="仿宋" w:eastAsia="仿宋" w:cs="仿宋"/>
                <w:color w:val="auto"/>
                <w:sz w:val="24"/>
                <w:szCs w:val="24"/>
                <w:highlight w:val="none"/>
              </w:rPr>
              <w:t>2分；</w:t>
            </w:r>
            <w:r>
              <w:rPr>
                <w:rFonts w:hint="eastAsia" w:ascii="仿宋" w:hAnsi="仿宋" w:eastAsia="仿宋" w:cs="仿宋"/>
                <w:color w:val="auto"/>
                <w:sz w:val="24"/>
                <w:szCs w:val="24"/>
                <w:highlight w:val="none"/>
                <w:lang w:val="zh-CN"/>
              </w:rPr>
              <w:t>方案基本完整得</w:t>
            </w:r>
            <w:r>
              <w:rPr>
                <w:rFonts w:hint="eastAsia" w:ascii="仿宋" w:hAnsi="仿宋" w:eastAsia="仿宋" w:cs="仿宋"/>
                <w:color w:val="auto"/>
                <w:sz w:val="24"/>
                <w:szCs w:val="24"/>
                <w:highlight w:val="none"/>
              </w:rPr>
              <w:t>1分；未提供不得分。</w:t>
            </w:r>
          </w:p>
        </w:tc>
      </w:tr>
      <w:tr w14:paraId="56A2A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587" w:type="dxa"/>
            <w:tcBorders>
              <w:top w:val="single" w:color="auto" w:sz="4" w:space="0"/>
              <w:left w:val="single" w:color="auto" w:sz="4" w:space="0"/>
              <w:bottom w:val="single" w:color="auto" w:sz="4" w:space="0"/>
              <w:right w:val="single" w:color="auto" w:sz="4" w:space="0"/>
            </w:tcBorders>
            <w:noWrap w:val="0"/>
            <w:vAlign w:val="center"/>
          </w:tcPr>
          <w:p w14:paraId="6BC4A70C">
            <w:pPr>
              <w:shd w:val="clear" w:color="auto" w:fill="auto"/>
              <w:adjustRightInd w:val="0"/>
              <w:snapToGrid w:val="0"/>
              <w:spacing w:line="400" w:lineRule="exact"/>
              <w:jc w:val="center"/>
              <w:rPr>
                <w:rFonts w:hint="eastAsia" w:ascii="仿宋" w:hAnsi="仿宋" w:eastAsia="仿宋" w:cs="仿宋"/>
                <w:i/>
                <w:iCs/>
                <w:color w:val="auto"/>
                <w:kern w:val="2"/>
                <w:sz w:val="24"/>
                <w:szCs w:val="24"/>
                <w:highlight w:val="none"/>
                <w:lang w:val="zh-CN" w:eastAsia="zh-CN" w:bidi="ar-SA"/>
              </w:rPr>
            </w:pPr>
            <w:r>
              <w:rPr>
                <w:rFonts w:hint="eastAsia" w:ascii="仿宋" w:hAnsi="仿宋" w:eastAsia="仿宋" w:cs="仿宋"/>
                <w:color w:val="auto"/>
                <w:sz w:val="24"/>
                <w:szCs w:val="24"/>
                <w:highlight w:val="none"/>
              </w:rPr>
              <w:t>业绩</w:t>
            </w:r>
          </w:p>
        </w:tc>
        <w:tc>
          <w:tcPr>
            <w:tcW w:w="1450" w:type="dxa"/>
            <w:tcBorders>
              <w:top w:val="single" w:color="auto" w:sz="4" w:space="0"/>
              <w:left w:val="single" w:color="auto" w:sz="4" w:space="0"/>
              <w:bottom w:val="single" w:color="auto" w:sz="4" w:space="0"/>
              <w:right w:val="single" w:color="auto" w:sz="4" w:space="0"/>
            </w:tcBorders>
            <w:noWrap w:val="0"/>
            <w:vAlign w:val="center"/>
          </w:tcPr>
          <w:p w14:paraId="3FB0DEDF">
            <w:pPr>
              <w:shd w:val="clear" w:color="auto" w:fill="auto"/>
              <w:adjustRightInd w:val="0"/>
              <w:snapToGrid w:val="0"/>
              <w:spacing w:line="400" w:lineRule="exac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5</w:t>
            </w:r>
          </w:p>
        </w:tc>
        <w:tc>
          <w:tcPr>
            <w:tcW w:w="6163" w:type="dxa"/>
            <w:tcBorders>
              <w:top w:val="single" w:color="auto" w:sz="4" w:space="0"/>
              <w:left w:val="single" w:color="auto" w:sz="4" w:space="0"/>
              <w:bottom w:val="single" w:color="auto" w:sz="4" w:space="0"/>
              <w:right w:val="single" w:color="auto" w:sz="4" w:space="0"/>
            </w:tcBorders>
            <w:noWrap w:val="0"/>
            <w:vAlign w:val="center"/>
          </w:tcPr>
          <w:p w14:paraId="38DAB459">
            <w:pPr>
              <w:shd w:val="clear" w:color="auto" w:fill="auto"/>
              <w:autoSpaceDE w:val="0"/>
              <w:autoSpaceDN w:val="0"/>
              <w:adjustRightInd w:val="0"/>
              <w:snapToGrid w:val="0"/>
              <w:spacing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提供202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val="zh-CN"/>
              </w:rPr>
              <w:t>年</w:t>
            </w:r>
            <w:r>
              <w:rPr>
                <w:rFonts w:hint="eastAsia" w:ascii="仿宋" w:hAnsi="仿宋" w:eastAsia="仿宋" w:cs="仿宋"/>
                <w:color w:val="auto"/>
                <w:sz w:val="24"/>
                <w:szCs w:val="24"/>
                <w:highlight w:val="none"/>
              </w:rPr>
              <w:t>1月1日</w:t>
            </w:r>
            <w:r>
              <w:rPr>
                <w:rFonts w:hint="eastAsia" w:ascii="仿宋" w:hAnsi="仿宋" w:eastAsia="仿宋" w:cs="仿宋"/>
                <w:color w:val="auto"/>
                <w:sz w:val="24"/>
                <w:szCs w:val="24"/>
                <w:highlight w:val="none"/>
                <w:lang w:val="zh-CN"/>
              </w:rPr>
              <w:t>至</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lang w:val="zh-CN"/>
              </w:rPr>
              <w:t>截止时间（以合同签订时间为准）所投</w:t>
            </w:r>
            <w:r>
              <w:rPr>
                <w:rFonts w:hint="eastAsia" w:ascii="仿宋" w:hAnsi="仿宋" w:eastAsia="仿宋" w:cs="仿宋"/>
                <w:color w:val="auto"/>
                <w:sz w:val="24"/>
                <w:szCs w:val="24"/>
                <w:highlight w:val="none"/>
                <w:lang w:val="en-US" w:eastAsia="zh-CN"/>
              </w:rPr>
              <w:t>核心</w:t>
            </w:r>
            <w:r>
              <w:rPr>
                <w:rFonts w:hint="eastAsia" w:ascii="仿宋" w:hAnsi="仿宋" w:eastAsia="仿宋" w:cs="仿宋"/>
                <w:color w:val="auto"/>
                <w:sz w:val="24"/>
                <w:szCs w:val="24"/>
                <w:highlight w:val="none"/>
                <w:u w:val="none"/>
                <w:lang w:val="zh-CN"/>
              </w:rPr>
              <w:t>产品</w:t>
            </w:r>
            <w:r>
              <w:rPr>
                <w:rFonts w:hint="eastAsia" w:ascii="仿宋" w:hAnsi="仿宋" w:eastAsia="仿宋" w:cs="仿宋"/>
                <w:color w:val="auto"/>
                <w:sz w:val="24"/>
                <w:szCs w:val="24"/>
                <w:highlight w:val="none"/>
                <w:lang w:val="zh-CN"/>
              </w:rPr>
              <w:t>业绩，每提供一个业绩得1分，满分</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zh-CN"/>
              </w:rPr>
              <w:t>分。</w:t>
            </w:r>
          </w:p>
          <w:p w14:paraId="4F55A216">
            <w:pPr>
              <w:shd w:val="clear" w:color="auto" w:fill="auto"/>
              <w:autoSpaceDE w:val="0"/>
              <w:autoSpaceDN w:val="0"/>
              <w:adjustRightInd w:val="0"/>
              <w:snapToGrid w:val="0"/>
              <w:spacing w:line="400" w:lineRule="exact"/>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b/>
                <w:color w:val="auto"/>
                <w:sz w:val="24"/>
                <w:szCs w:val="24"/>
                <w:highlight w:val="none"/>
                <w:lang w:val="zh-CN"/>
              </w:rPr>
              <w:t>评审依据：</w:t>
            </w:r>
            <w:r>
              <w:rPr>
                <w:rFonts w:hint="eastAsia" w:ascii="仿宋" w:hAnsi="仿宋" w:eastAsia="仿宋" w:cs="仿宋"/>
                <w:color w:val="auto"/>
                <w:sz w:val="24"/>
                <w:szCs w:val="24"/>
                <w:highlight w:val="none"/>
                <w:lang w:val="zh-CN"/>
              </w:rPr>
              <w:t>以加盖公章的业绩合同复印件为准，合同至少需包含合同首页、产品页、签章页。</w:t>
            </w:r>
          </w:p>
        </w:tc>
      </w:tr>
      <w:tr w14:paraId="4EA8A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3037" w:type="dxa"/>
            <w:gridSpan w:val="2"/>
            <w:tcBorders>
              <w:top w:val="single" w:color="auto" w:sz="4" w:space="0"/>
              <w:left w:val="single" w:color="auto" w:sz="4" w:space="0"/>
              <w:bottom w:val="single" w:color="auto" w:sz="4" w:space="0"/>
              <w:right w:val="single" w:color="auto" w:sz="4" w:space="0"/>
            </w:tcBorders>
            <w:noWrap w:val="0"/>
            <w:vAlign w:val="center"/>
          </w:tcPr>
          <w:p w14:paraId="06A320BC">
            <w:pPr>
              <w:shd w:val="clear" w:color="auto" w:fill="auto"/>
              <w:adjustRightInd w:val="0"/>
              <w:snapToGrid w:val="0"/>
              <w:spacing w:line="360" w:lineRule="auto"/>
              <w:jc w:val="center"/>
              <w:rPr>
                <w:rFonts w:eastAsia="仿宋_GB2312"/>
                <w:color w:val="auto"/>
                <w:sz w:val="24"/>
                <w:highlight w:val="none"/>
              </w:rPr>
            </w:pPr>
            <w:r>
              <w:rPr>
                <w:rFonts w:hint="eastAsia" w:eastAsia="仿宋_GB2312"/>
                <w:color w:val="auto"/>
                <w:sz w:val="24"/>
                <w:highlight w:val="none"/>
                <w:lang w:val="en-US" w:eastAsia="zh-CN"/>
              </w:rPr>
              <w:t>满</w:t>
            </w:r>
            <w:r>
              <w:rPr>
                <w:rFonts w:eastAsia="仿宋_GB2312"/>
                <w:color w:val="auto"/>
                <w:sz w:val="24"/>
                <w:highlight w:val="none"/>
              </w:rPr>
              <w:t>分</w:t>
            </w:r>
          </w:p>
        </w:tc>
        <w:tc>
          <w:tcPr>
            <w:tcW w:w="6163" w:type="dxa"/>
            <w:tcBorders>
              <w:top w:val="single" w:color="auto" w:sz="4" w:space="0"/>
              <w:left w:val="single" w:color="auto" w:sz="4" w:space="0"/>
              <w:bottom w:val="single" w:color="auto" w:sz="4" w:space="0"/>
              <w:right w:val="single" w:color="auto" w:sz="4" w:space="0"/>
            </w:tcBorders>
            <w:noWrap w:val="0"/>
            <w:vAlign w:val="center"/>
          </w:tcPr>
          <w:p w14:paraId="706D6DF6">
            <w:pPr>
              <w:shd w:val="clear" w:color="auto" w:fill="auto"/>
              <w:adjustRightInd w:val="0"/>
              <w:snapToGrid w:val="0"/>
              <w:spacing w:line="276" w:lineRule="auto"/>
              <w:jc w:val="center"/>
              <w:rPr>
                <w:rFonts w:eastAsia="仿宋_GB2312"/>
                <w:color w:val="auto"/>
                <w:sz w:val="24"/>
                <w:highlight w:val="none"/>
                <w:lang w:val="zh-CN"/>
              </w:rPr>
            </w:pPr>
            <w:r>
              <w:rPr>
                <w:rFonts w:eastAsia="仿宋_GB2312"/>
                <w:color w:val="auto"/>
                <w:sz w:val="24"/>
                <w:highlight w:val="none"/>
                <w:lang w:val="zh-CN"/>
              </w:rPr>
              <w:t>100分</w:t>
            </w:r>
          </w:p>
        </w:tc>
      </w:tr>
    </w:tbl>
    <w:p w14:paraId="6E380982">
      <w:pPr>
        <w:shd w:val="clear" w:color="auto" w:fill="auto"/>
        <w:spacing w:line="360" w:lineRule="auto"/>
        <w:jc w:val="both"/>
        <w:rPr>
          <w:rFonts w:hint="eastAsia" w:eastAsia="仿宋_GB2312"/>
          <w:color w:val="auto"/>
          <w:highlight w:val="none"/>
          <w:lang w:val="en-US" w:eastAsia="zh-CN"/>
        </w:rPr>
      </w:pPr>
      <w:r>
        <w:rPr>
          <w:rFonts w:hint="eastAsia" w:eastAsia="仿宋_GB2312"/>
          <w:color w:val="auto"/>
          <w:highlight w:val="none"/>
          <w:lang w:val="en-US" w:eastAsia="zh-CN"/>
        </w:rPr>
        <w:t>说明：</w:t>
      </w:r>
    </w:p>
    <w:p w14:paraId="5D1EA1F8">
      <w:pPr>
        <w:shd w:val="clear" w:color="auto" w:fill="auto"/>
        <w:spacing w:line="360" w:lineRule="auto"/>
        <w:jc w:val="both"/>
        <w:rPr>
          <w:rFonts w:hint="default" w:eastAsia="仿宋_GB2312"/>
          <w:color w:val="auto"/>
          <w:highlight w:val="none"/>
          <w:lang w:val="en-US" w:eastAsia="zh-CN"/>
        </w:rPr>
      </w:pPr>
      <w:r>
        <w:rPr>
          <w:rFonts w:hint="eastAsia" w:ascii="Times New Roman" w:hAnsi="Times New Roman" w:eastAsia="仿宋_GB2312" w:cs="Times New Roman"/>
          <w:color w:val="auto"/>
          <w:highlight w:val="none"/>
          <w:lang w:val="en-US" w:eastAsia="zh-CN"/>
        </w:rPr>
        <w:t>1.★代表实质性指标，不满足该指标项将导致投标被拒绝。</w:t>
      </w:r>
    </w:p>
    <w:p w14:paraId="54663C43">
      <w:pPr>
        <w:shd w:val="clear" w:color="auto" w:fill="auto"/>
        <w:spacing w:line="360" w:lineRule="auto"/>
        <w:ind w:left="1079" w:leftChars="257" w:hanging="540"/>
        <w:jc w:val="center"/>
        <w:outlineLvl w:val="0"/>
        <w:rPr>
          <w:rFonts w:eastAsia="仿宋_GB2312"/>
          <w:color w:val="auto"/>
          <w:sz w:val="32"/>
          <w:szCs w:val="32"/>
          <w:highlight w:val="none"/>
        </w:rPr>
      </w:pPr>
      <w:r>
        <w:rPr>
          <w:rFonts w:eastAsia="仿宋_GB2312"/>
          <w:color w:val="auto"/>
          <w:highlight w:val="none"/>
        </w:rPr>
        <w:br w:type="page"/>
      </w:r>
      <w:bookmarkStart w:id="350" w:name="_Toc515647833"/>
      <w:bookmarkStart w:id="351" w:name="_Toc4796"/>
      <w:bookmarkStart w:id="352" w:name="_Toc532044541"/>
      <w:bookmarkStart w:id="353" w:name="_Toc6865"/>
      <w:bookmarkStart w:id="354" w:name="_Toc532473757"/>
      <w:bookmarkStart w:id="355" w:name="_Toc27604"/>
      <w:r>
        <w:rPr>
          <w:rStyle w:val="53"/>
          <w:rFonts w:ascii="Times New Roman" w:eastAsia="仿宋_GB2312"/>
          <w:color w:val="auto"/>
          <w:szCs w:val="32"/>
          <w:highlight w:val="none"/>
        </w:rPr>
        <w:t>第四章  拟签订的合同</w:t>
      </w:r>
      <w:bookmarkEnd w:id="350"/>
      <w:bookmarkEnd w:id="351"/>
      <w:bookmarkEnd w:id="352"/>
      <w:bookmarkEnd w:id="353"/>
      <w:bookmarkEnd w:id="354"/>
      <w:bookmarkStart w:id="356" w:name="_Hlt487972895"/>
      <w:bookmarkEnd w:id="356"/>
      <w:bookmarkStart w:id="357" w:name="_Toc216513788"/>
      <w:bookmarkStart w:id="358" w:name="_Toc487900382"/>
      <w:r>
        <w:rPr>
          <w:rStyle w:val="53"/>
          <w:rFonts w:ascii="Times New Roman" w:eastAsia="仿宋_GB2312"/>
          <w:color w:val="auto"/>
          <w:szCs w:val="32"/>
          <w:highlight w:val="none"/>
        </w:rPr>
        <w:t>文本</w:t>
      </w:r>
      <w:bookmarkEnd w:id="355"/>
    </w:p>
    <w:bookmarkEnd w:id="357"/>
    <w:bookmarkEnd w:id="358"/>
    <w:p w14:paraId="73D007E1">
      <w:pPr>
        <w:shd w:val="clear" w:color="auto" w:fill="auto"/>
        <w:jc w:val="center"/>
        <w:rPr>
          <w:rFonts w:eastAsia="仿宋"/>
          <w:color w:val="auto"/>
          <w:sz w:val="52"/>
          <w:szCs w:val="52"/>
          <w:highlight w:val="none"/>
        </w:rPr>
      </w:pPr>
    </w:p>
    <w:p w14:paraId="7C9CC1CF">
      <w:pPr>
        <w:shd w:val="clear" w:color="auto" w:fill="auto"/>
        <w:tabs>
          <w:tab w:val="left" w:pos="735"/>
        </w:tabs>
        <w:autoSpaceDE w:val="0"/>
        <w:autoSpaceDN w:val="0"/>
        <w:adjustRightInd w:val="0"/>
        <w:snapToGrid w:val="0"/>
        <w:spacing w:before="312" w:beforeLines="100" w:line="360" w:lineRule="auto"/>
        <w:rPr>
          <w:rFonts w:eastAsia="仿宋_GB2312"/>
          <w:b/>
          <w:bCs/>
          <w:color w:val="auto"/>
          <w:sz w:val="24"/>
          <w:highlight w:val="none"/>
          <w:lang w:val="zh-CN"/>
        </w:rPr>
      </w:pPr>
      <w:r>
        <w:rPr>
          <w:rFonts w:eastAsia="仿宋_GB2312"/>
          <w:b/>
          <w:bCs/>
          <w:color w:val="auto"/>
          <w:sz w:val="24"/>
          <w:highlight w:val="none"/>
          <w:lang w:val="zh-CN"/>
        </w:rPr>
        <w:t>甲方：</w:t>
      </w:r>
      <w:r>
        <w:rPr>
          <w:rFonts w:eastAsia="仿宋_GB2312"/>
          <w:bCs/>
          <w:color w:val="auto"/>
          <w:sz w:val="24"/>
          <w:highlight w:val="none"/>
          <w:lang w:val="zh-CN"/>
        </w:rPr>
        <w:t>（前款所称采购人）     住所：</w:t>
      </w:r>
    </w:p>
    <w:p w14:paraId="2634AC28">
      <w:pPr>
        <w:shd w:val="clear" w:color="auto" w:fill="auto"/>
        <w:tabs>
          <w:tab w:val="left" w:pos="735"/>
        </w:tabs>
        <w:autoSpaceDE w:val="0"/>
        <w:autoSpaceDN w:val="0"/>
        <w:adjustRightInd w:val="0"/>
        <w:snapToGrid w:val="0"/>
        <w:spacing w:line="360" w:lineRule="auto"/>
        <w:rPr>
          <w:rFonts w:eastAsia="仿宋_GB2312"/>
          <w:bCs/>
          <w:color w:val="auto"/>
          <w:sz w:val="24"/>
          <w:highlight w:val="none"/>
          <w:lang w:val="zh-CN"/>
        </w:rPr>
      </w:pPr>
      <w:r>
        <w:rPr>
          <w:rFonts w:eastAsia="仿宋_GB2312"/>
          <w:b/>
          <w:bCs/>
          <w:color w:val="auto"/>
          <w:sz w:val="24"/>
          <w:highlight w:val="none"/>
          <w:lang w:val="zh-CN"/>
        </w:rPr>
        <w:t>乙方：</w:t>
      </w:r>
      <w:r>
        <w:rPr>
          <w:rFonts w:eastAsia="仿宋_GB2312"/>
          <w:bCs/>
          <w:color w:val="auto"/>
          <w:sz w:val="24"/>
          <w:highlight w:val="none"/>
          <w:lang w:val="zh-CN"/>
        </w:rPr>
        <w:t>（前款所称中标人）     住所：</w:t>
      </w:r>
    </w:p>
    <w:p w14:paraId="5A922412">
      <w:pPr>
        <w:shd w:val="clear" w:color="auto" w:fill="auto"/>
        <w:adjustRightInd w:val="0"/>
        <w:snapToGrid w:val="0"/>
        <w:spacing w:line="360" w:lineRule="auto"/>
        <w:rPr>
          <w:rFonts w:eastAsia="仿宋_GB2312"/>
          <w:b/>
          <w:bCs/>
          <w:color w:val="auto"/>
          <w:sz w:val="24"/>
          <w:highlight w:val="none"/>
        </w:rPr>
      </w:pPr>
      <w:bookmarkStart w:id="359" w:name="_Toc19515384"/>
    </w:p>
    <w:p w14:paraId="5E7197CC">
      <w:pPr>
        <w:shd w:val="clear" w:color="auto" w:fill="auto"/>
        <w:adjustRightInd w:val="0"/>
        <w:snapToGrid w:val="0"/>
        <w:spacing w:line="360" w:lineRule="auto"/>
        <w:ind w:firstLine="480" w:firstLineChars="200"/>
        <w:rPr>
          <w:rFonts w:eastAsia="仿宋_GB2312"/>
          <w:b/>
          <w:bCs/>
          <w:color w:val="auto"/>
          <w:sz w:val="24"/>
          <w:highlight w:val="none"/>
        </w:rPr>
      </w:pPr>
      <w:r>
        <w:rPr>
          <w:rFonts w:eastAsia="仿宋_GB2312"/>
          <w:b/>
          <w:bCs/>
          <w:color w:val="auto"/>
          <w:sz w:val="24"/>
          <w:highlight w:val="none"/>
        </w:rPr>
        <w:t>一、合同内容:</w:t>
      </w:r>
      <w:bookmarkEnd w:id="359"/>
    </w:p>
    <w:p w14:paraId="6C04FFE8">
      <w:pPr>
        <w:shd w:val="clear" w:color="auto" w:fill="auto"/>
        <w:adjustRightInd w:val="0"/>
        <w:snapToGrid w:val="0"/>
        <w:spacing w:line="360" w:lineRule="auto"/>
        <w:ind w:firstLine="480" w:firstLineChars="200"/>
        <w:rPr>
          <w:rFonts w:hint="eastAsia" w:eastAsia="仿宋_GB2312"/>
          <w:b/>
          <w:bCs/>
          <w:color w:val="auto"/>
          <w:sz w:val="24"/>
          <w:highlight w:val="none"/>
          <w:lang w:eastAsia="zh-CN"/>
        </w:rPr>
      </w:pPr>
      <w:bookmarkStart w:id="360" w:name="_Toc19515385"/>
      <w:r>
        <w:rPr>
          <w:rFonts w:eastAsia="仿宋_GB2312"/>
          <w:b/>
          <w:bCs/>
          <w:color w:val="auto"/>
          <w:sz w:val="24"/>
          <w:highlight w:val="none"/>
        </w:rPr>
        <w:t>二、合同价款</w:t>
      </w:r>
      <w:bookmarkEnd w:id="360"/>
      <w:r>
        <w:rPr>
          <w:rFonts w:hint="eastAsia" w:eastAsia="仿宋_GB2312"/>
          <w:b/>
          <w:bCs/>
          <w:color w:val="auto"/>
          <w:sz w:val="24"/>
          <w:highlight w:val="none"/>
          <w:lang w:eastAsia="zh-CN"/>
        </w:rPr>
        <w:t>：</w:t>
      </w:r>
    </w:p>
    <w:p w14:paraId="0B4E81E5">
      <w:pPr>
        <w:shd w:val="clear" w:color="auto" w:fill="auto"/>
        <w:adjustRightInd w:val="0"/>
        <w:snapToGrid w:val="0"/>
        <w:spacing w:line="360" w:lineRule="auto"/>
        <w:ind w:firstLine="480" w:firstLineChars="200"/>
        <w:rPr>
          <w:rFonts w:eastAsia="仿宋"/>
          <w:color w:val="auto"/>
          <w:sz w:val="24"/>
          <w:highlight w:val="none"/>
        </w:rPr>
      </w:pPr>
      <w:bookmarkStart w:id="361" w:name="_Toc19515386"/>
      <w:r>
        <w:rPr>
          <w:rFonts w:eastAsia="仿宋"/>
          <w:color w:val="auto"/>
          <w:sz w:val="24"/>
          <w:highlight w:val="none"/>
        </w:rPr>
        <w:t>1、合同总价：</w:t>
      </w:r>
    </w:p>
    <w:p w14:paraId="4F26E266">
      <w:pPr>
        <w:shd w:val="clear" w:color="auto" w:fill="auto"/>
        <w:adjustRightInd w:val="0"/>
        <w:snapToGrid w:val="0"/>
        <w:spacing w:line="360" w:lineRule="auto"/>
        <w:ind w:firstLine="480" w:firstLineChars="200"/>
        <w:rPr>
          <w:rFonts w:eastAsia="仿宋"/>
          <w:color w:val="auto"/>
          <w:sz w:val="24"/>
          <w:highlight w:val="none"/>
        </w:rPr>
      </w:pPr>
      <w:r>
        <w:rPr>
          <w:rFonts w:eastAsia="仿宋"/>
          <w:color w:val="auto"/>
          <w:sz w:val="24"/>
          <w:highlight w:val="none"/>
        </w:rPr>
        <w:t>2、合同总价包括：包括货物费、运杂费、装卸费、安装调试及其它相关的费用。</w:t>
      </w:r>
    </w:p>
    <w:p w14:paraId="0A6E8C4E">
      <w:pPr>
        <w:shd w:val="clear" w:color="auto" w:fill="auto"/>
        <w:tabs>
          <w:tab w:val="left" w:pos="735"/>
        </w:tabs>
        <w:adjustRightInd w:val="0"/>
        <w:snapToGrid w:val="0"/>
        <w:spacing w:line="360" w:lineRule="auto"/>
        <w:ind w:firstLine="504" w:firstLineChars="210"/>
        <w:rPr>
          <w:rFonts w:eastAsia="仿宋"/>
          <w:color w:val="auto"/>
          <w:sz w:val="24"/>
          <w:highlight w:val="none"/>
        </w:rPr>
      </w:pPr>
      <w:r>
        <w:rPr>
          <w:rFonts w:eastAsia="仿宋"/>
          <w:color w:val="auto"/>
          <w:sz w:val="24"/>
          <w:highlight w:val="none"/>
        </w:rPr>
        <w:t>3、合同总价一次包死，不受市场价变化的影响。</w:t>
      </w:r>
    </w:p>
    <w:p w14:paraId="0B06C129">
      <w:pPr>
        <w:shd w:val="clear" w:color="auto" w:fill="auto"/>
        <w:adjustRightInd w:val="0"/>
        <w:snapToGrid w:val="0"/>
        <w:spacing w:line="360" w:lineRule="auto"/>
        <w:ind w:firstLine="480" w:firstLineChars="200"/>
        <w:rPr>
          <w:rFonts w:eastAsia="仿宋_GB2312"/>
          <w:b/>
          <w:bCs/>
          <w:color w:val="auto"/>
          <w:sz w:val="24"/>
          <w:highlight w:val="none"/>
        </w:rPr>
      </w:pPr>
      <w:r>
        <w:rPr>
          <w:rFonts w:eastAsia="仿宋_GB2312"/>
          <w:b/>
          <w:bCs/>
          <w:color w:val="auto"/>
          <w:sz w:val="24"/>
          <w:highlight w:val="none"/>
        </w:rPr>
        <w:t>三、合同结算</w:t>
      </w:r>
      <w:bookmarkEnd w:id="361"/>
    </w:p>
    <w:p w14:paraId="086C1221">
      <w:pPr>
        <w:shd w:val="clear" w:color="auto" w:fill="auto"/>
        <w:tabs>
          <w:tab w:val="left" w:pos="735"/>
        </w:tabs>
        <w:adjustRightInd w:val="0"/>
        <w:snapToGrid w:val="0"/>
        <w:spacing w:line="360" w:lineRule="auto"/>
        <w:ind w:firstLine="504" w:firstLineChars="210"/>
        <w:rPr>
          <w:rFonts w:ascii="Times New Roman" w:hAnsi="Times New Roman" w:eastAsia="仿宋" w:cs="Times New Roman"/>
          <w:color w:val="auto"/>
          <w:sz w:val="24"/>
          <w:highlight w:val="none"/>
        </w:rPr>
      </w:pPr>
      <w:bookmarkStart w:id="362" w:name="_Toc19515390"/>
      <w:r>
        <w:rPr>
          <w:rFonts w:ascii="Times New Roman" w:hAnsi="Times New Roman" w:eastAsia="仿宋" w:cs="Times New Roman"/>
          <w:color w:val="auto"/>
          <w:sz w:val="24"/>
          <w:highlight w:val="none"/>
        </w:rPr>
        <w:t>1.合同签订</w:t>
      </w:r>
      <w:r>
        <w:rPr>
          <w:rFonts w:hint="eastAsia" w:ascii="Times New Roman" w:hAnsi="Times New Roman" w:eastAsia="仿宋" w:cs="Times New Roman"/>
          <w:color w:val="auto"/>
          <w:sz w:val="24"/>
          <w:highlight w:val="none"/>
          <w:lang w:val="en-US" w:eastAsia="zh-CN"/>
        </w:rPr>
        <w:t>后</w:t>
      </w:r>
      <w:r>
        <w:rPr>
          <w:rFonts w:ascii="Times New Roman" w:hAnsi="Times New Roman" w:eastAsia="仿宋" w:cs="Times New Roman"/>
          <w:color w:val="auto"/>
          <w:sz w:val="24"/>
          <w:highlight w:val="none"/>
        </w:rPr>
        <w:t>，乙方向甲方缴纳合同价</w:t>
      </w:r>
      <w:r>
        <w:rPr>
          <w:rFonts w:hint="eastAsia" w:ascii="Times New Roman" w:hAnsi="Times New Roman" w:eastAsia="仿宋" w:cs="Times New Roman"/>
          <w:color w:val="auto"/>
          <w:sz w:val="24"/>
          <w:highlight w:val="none"/>
          <w:lang w:val="en-US" w:eastAsia="zh-CN"/>
        </w:rPr>
        <w:t>5</w:t>
      </w:r>
      <w:r>
        <w:rPr>
          <w:rFonts w:ascii="Times New Roman" w:hAnsi="Times New Roman" w:eastAsia="仿宋" w:cs="Times New Roman"/>
          <w:color w:val="auto"/>
          <w:sz w:val="24"/>
          <w:highlight w:val="none"/>
        </w:rPr>
        <w:t>%的履约保证金。</w:t>
      </w:r>
    </w:p>
    <w:p w14:paraId="3DECB923">
      <w:pPr>
        <w:shd w:val="clear" w:color="auto" w:fill="auto"/>
        <w:tabs>
          <w:tab w:val="left" w:pos="735"/>
        </w:tabs>
        <w:adjustRightInd w:val="0"/>
        <w:snapToGrid w:val="0"/>
        <w:spacing w:line="360" w:lineRule="auto"/>
        <w:ind w:firstLine="504" w:firstLineChars="210"/>
        <w:rPr>
          <w:rFonts w:ascii="Times New Roman" w:hAnsi="Times New Roman" w:eastAsia="仿宋" w:cs="Times New Roman"/>
          <w:color w:val="auto"/>
          <w:sz w:val="24"/>
          <w:highlight w:val="none"/>
        </w:rPr>
      </w:pPr>
      <w:r>
        <w:rPr>
          <w:rFonts w:ascii="Times New Roman" w:hAnsi="Times New Roman" w:eastAsia="仿宋" w:cs="Times New Roman"/>
          <w:color w:val="auto"/>
          <w:sz w:val="24"/>
          <w:highlight w:val="none"/>
        </w:rPr>
        <w:t>2.货到、验收、运行合格后，甲方收到乙方提交的合同全额增值税发票</w:t>
      </w:r>
      <w:r>
        <w:rPr>
          <w:rFonts w:hint="eastAsia" w:ascii="Times New Roman" w:hAnsi="Times New Roman" w:eastAsia="仿宋" w:cs="Times New Roman"/>
          <w:color w:val="auto"/>
          <w:sz w:val="24"/>
          <w:highlight w:val="none"/>
          <w:lang w:val="en-US" w:eastAsia="zh-CN"/>
        </w:rPr>
        <w:t>60天内</w:t>
      </w:r>
      <w:r>
        <w:rPr>
          <w:rFonts w:ascii="Times New Roman" w:hAnsi="Times New Roman" w:eastAsia="仿宋" w:cs="Times New Roman"/>
          <w:color w:val="auto"/>
          <w:sz w:val="24"/>
          <w:highlight w:val="none"/>
        </w:rPr>
        <w:t>，支付乙方合同总价的</w:t>
      </w:r>
      <w:r>
        <w:rPr>
          <w:rFonts w:hint="eastAsia" w:ascii="Times New Roman" w:hAnsi="Times New Roman" w:eastAsia="仿宋" w:cs="Times New Roman"/>
          <w:color w:val="auto"/>
          <w:sz w:val="24"/>
          <w:highlight w:val="none"/>
          <w:lang w:val="en-US" w:eastAsia="zh-CN"/>
        </w:rPr>
        <w:t>100</w:t>
      </w:r>
      <w:r>
        <w:rPr>
          <w:rFonts w:ascii="Times New Roman" w:hAnsi="Times New Roman" w:eastAsia="仿宋" w:cs="Times New Roman"/>
          <w:color w:val="auto"/>
          <w:sz w:val="24"/>
          <w:highlight w:val="none"/>
        </w:rPr>
        <w:t>%。</w:t>
      </w:r>
    </w:p>
    <w:p w14:paraId="6D75B178">
      <w:pPr>
        <w:shd w:val="clear" w:color="auto" w:fill="auto"/>
        <w:tabs>
          <w:tab w:val="left" w:pos="735"/>
        </w:tabs>
        <w:adjustRightInd w:val="0"/>
        <w:snapToGrid w:val="0"/>
        <w:spacing w:line="360" w:lineRule="auto"/>
        <w:ind w:firstLine="504" w:firstLineChars="210"/>
        <w:rPr>
          <w:rFonts w:ascii="Times New Roman" w:hAnsi="Times New Roman" w:eastAsia="仿宋" w:cs="Times New Roman"/>
          <w:color w:val="auto"/>
          <w:sz w:val="24"/>
          <w:highlight w:val="none"/>
        </w:rPr>
      </w:pPr>
      <w:r>
        <w:rPr>
          <w:rFonts w:ascii="Times New Roman" w:hAnsi="Times New Roman" w:eastAsia="仿宋" w:cs="Times New Roman"/>
          <w:color w:val="auto"/>
          <w:sz w:val="24"/>
          <w:highlight w:val="none"/>
        </w:rPr>
        <w:t>3.</w:t>
      </w:r>
      <w:r>
        <w:rPr>
          <w:rFonts w:hint="eastAsia" w:ascii="Times New Roman" w:hAnsi="Times New Roman" w:eastAsia="仿宋" w:cs="Times New Roman"/>
          <w:color w:val="auto"/>
          <w:sz w:val="24"/>
          <w:highlight w:val="none"/>
          <w:lang w:val="en-US" w:eastAsia="zh-CN"/>
        </w:rPr>
        <w:t>履约期满</w:t>
      </w:r>
      <w:r>
        <w:rPr>
          <w:rFonts w:ascii="Times New Roman" w:hAnsi="Times New Roman" w:eastAsia="仿宋" w:cs="Times New Roman"/>
          <w:color w:val="auto"/>
          <w:sz w:val="24"/>
          <w:highlight w:val="none"/>
        </w:rPr>
        <w:t>，甲方退还</w:t>
      </w:r>
      <w:r>
        <w:rPr>
          <w:rFonts w:hint="eastAsia" w:ascii="Times New Roman" w:hAnsi="Times New Roman" w:eastAsia="仿宋" w:cs="Times New Roman"/>
          <w:color w:val="auto"/>
          <w:sz w:val="24"/>
          <w:highlight w:val="none"/>
          <w:lang w:val="en-US" w:eastAsia="zh-CN"/>
        </w:rPr>
        <w:t>5</w:t>
      </w:r>
      <w:r>
        <w:rPr>
          <w:rFonts w:ascii="Times New Roman" w:hAnsi="Times New Roman" w:eastAsia="仿宋" w:cs="Times New Roman"/>
          <w:color w:val="auto"/>
          <w:sz w:val="24"/>
          <w:highlight w:val="none"/>
        </w:rPr>
        <w:t>%履约保证金。</w:t>
      </w:r>
    </w:p>
    <w:p w14:paraId="6C47786C">
      <w:pPr>
        <w:shd w:val="clear" w:color="auto" w:fill="auto"/>
        <w:tabs>
          <w:tab w:val="left" w:pos="735"/>
        </w:tabs>
        <w:adjustRightInd w:val="0"/>
        <w:snapToGrid w:val="0"/>
        <w:spacing w:line="360" w:lineRule="auto"/>
        <w:ind w:firstLine="504" w:firstLineChars="210"/>
        <w:rPr>
          <w:rFonts w:ascii="Times New Roman" w:hAnsi="Times New Roman" w:eastAsia="仿宋" w:cs="Times New Roman"/>
          <w:color w:val="auto"/>
          <w:sz w:val="24"/>
          <w:highlight w:val="none"/>
        </w:rPr>
      </w:pPr>
      <w:r>
        <w:rPr>
          <w:rFonts w:hint="eastAsia" w:ascii="Times New Roman" w:hAnsi="Times New Roman" w:eastAsia="仿宋" w:cs="Times New Roman"/>
          <w:color w:val="auto"/>
          <w:sz w:val="24"/>
          <w:highlight w:val="none"/>
          <w:lang w:val="en-US" w:eastAsia="zh-CN"/>
        </w:rPr>
        <w:t>4</w:t>
      </w:r>
      <w:r>
        <w:rPr>
          <w:rFonts w:ascii="Times New Roman" w:hAnsi="Times New Roman" w:eastAsia="仿宋" w:cs="Times New Roman"/>
          <w:color w:val="auto"/>
          <w:sz w:val="24"/>
          <w:highlight w:val="none"/>
        </w:rPr>
        <w:t>、支付方式：银行转账。</w:t>
      </w:r>
    </w:p>
    <w:p w14:paraId="3A17C9F2">
      <w:pPr>
        <w:shd w:val="clear" w:color="auto" w:fill="auto"/>
        <w:tabs>
          <w:tab w:val="left" w:pos="735"/>
        </w:tabs>
        <w:adjustRightInd w:val="0"/>
        <w:snapToGrid w:val="0"/>
        <w:spacing w:line="360" w:lineRule="auto"/>
        <w:ind w:firstLine="504" w:firstLineChars="210"/>
        <w:rPr>
          <w:rFonts w:ascii="Times New Roman" w:hAnsi="Times New Roman" w:eastAsia="仿宋" w:cs="Times New Roman"/>
          <w:color w:val="auto"/>
          <w:sz w:val="24"/>
          <w:highlight w:val="none"/>
        </w:rPr>
      </w:pPr>
      <w:r>
        <w:rPr>
          <w:rFonts w:hint="eastAsia" w:ascii="Times New Roman" w:hAnsi="Times New Roman" w:eastAsia="仿宋" w:cs="Times New Roman"/>
          <w:color w:val="auto"/>
          <w:sz w:val="24"/>
          <w:highlight w:val="none"/>
          <w:lang w:val="en-US" w:eastAsia="zh-CN"/>
        </w:rPr>
        <w:t>5</w:t>
      </w:r>
      <w:r>
        <w:rPr>
          <w:rFonts w:ascii="Times New Roman" w:hAnsi="Times New Roman" w:eastAsia="仿宋" w:cs="Times New Roman"/>
          <w:color w:val="auto"/>
          <w:sz w:val="24"/>
          <w:highlight w:val="none"/>
        </w:rPr>
        <w:t>、结算方式：由采购人与成交单位直接结算，发票直开采购人。</w:t>
      </w:r>
    </w:p>
    <w:p w14:paraId="5DA314CE">
      <w:pPr>
        <w:numPr>
          <w:ilvl w:val="0"/>
          <w:numId w:val="0"/>
        </w:numPr>
        <w:shd w:val="clear" w:color="auto" w:fill="auto"/>
        <w:tabs>
          <w:tab w:val="left" w:pos="735"/>
        </w:tabs>
        <w:autoSpaceDE w:val="0"/>
        <w:autoSpaceDN w:val="0"/>
        <w:adjustRightInd w:val="0"/>
        <w:snapToGrid w:val="0"/>
        <w:spacing w:line="360" w:lineRule="auto"/>
        <w:ind w:firstLine="480" w:firstLineChars="200"/>
        <w:rPr>
          <w:rFonts w:eastAsia="仿宋"/>
          <w:b/>
          <w:bCs/>
          <w:color w:val="auto"/>
          <w:sz w:val="24"/>
          <w:highlight w:val="none"/>
          <w:lang w:val="zh-CN"/>
        </w:rPr>
      </w:pPr>
      <w:r>
        <w:rPr>
          <w:rFonts w:hint="default" w:eastAsia="仿宋"/>
          <w:b/>
          <w:bCs/>
          <w:color w:val="auto"/>
          <w:kern w:val="2"/>
          <w:sz w:val="24"/>
          <w:szCs w:val="24"/>
          <w:highlight w:val="none"/>
          <w:lang w:val="zh-CN" w:eastAsia="zh-CN" w:bidi="ar-SA"/>
        </w:rPr>
        <w:t>四、</w:t>
      </w:r>
      <w:r>
        <w:rPr>
          <w:rFonts w:eastAsia="仿宋"/>
          <w:b/>
          <w:bCs/>
          <w:color w:val="auto"/>
          <w:sz w:val="24"/>
          <w:highlight w:val="none"/>
          <w:lang w:val="zh-CN"/>
        </w:rPr>
        <w:t>交货条件:</w:t>
      </w:r>
    </w:p>
    <w:p w14:paraId="0274961B">
      <w:pPr>
        <w:shd w:val="clear" w:color="auto" w:fill="auto"/>
        <w:adjustRightInd w:val="0"/>
        <w:snapToGrid w:val="0"/>
        <w:spacing w:line="360" w:lineRule="auto"/>
        <w:ind w:firstLine="480" w:firstLineChars="200"/>
        <w:rPr>
          <w:rFonts w:eastAsia="仿宋"/>
          <w:color w:val="auto"/>
          <w:sz w:val="24"/>
          <w:highlight w:val="none"/>
        </w:rPr>
      </w:pPr>
      <w:r>
        <w:rPr>
          <w:rFonts w:eastAsia="仿宋"/>
          <w:color w:val="auto"/>
          <w:sz w:val="24"/>
          <w:highlight w:val="none"/>
        </w:rPr>
        <w:t>1、交货地点：</w:t>
      </w:r>
      <w:r>
        <w:rPr>
          <w:rFonts w:hint="eastAsia" w:eastAsia="仿宋"/>
          <w:color w:val="auto"/>
          <w:sz w:val="24"/>
          <w:highlight w:val="none"/>
        </w:rPr>
        <w:t>甲方</w:t>
      </w:r>
      <w:r>
        <w:rPr>
          <w:rFonts w:eastAsia="仿宋"/>
          <w:color w:val="auto"/>
          <w:sz w:val="24"/>
          <w:highlight w:val="none"/>
        </w:rPr>
        <w:t>指定地点</w:t>
      </w:r>
    </w:p>
    <w:p w14:paraId="7B5A0203">
      <w:pPr>
        <w:shd w:val="clear" w:color="auto" w:fill="auto"/>
        <w:adjustRightInd w:val="0"/>
        <w:snapToGrid w:val="0"/>
        <w:spacing w:line="360" w:lineRule="auto"/>
        <w:ind w:firstLine="480" w:firstLineChars="200"/>
        <w:rPr>
          <w:rFonts w:hint="eastAsia"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2、交货期：合同签订后20个日历日内。</w:t>
      </w:r>
    </w:p>
    <w:p w14:paraId="7320EC7F">
      <w:pPr>
        <w:shd w:val="clear" w:color="auto" w:fill="auto"/>
        <w:adjustRightInd w:val="0"/>
        <w:snapToGrid w:val="0"/>
        <w:spacing w:line="360" w:lineRule="auto"/>
        <w:ind w:firstLine="480" w:firstLineChars="200"/>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3、履约期限：合同签订后至质保期结束</w:t>
      </w:r>
    </w:p>
    <w:p w14:paraId="3B3D92EE">
      <w:pPr>
        <w:shd w:val="clear" w:color="auto" w:fill="auto"/>
        <w:adjustRightInd w:val="0"/>
        <w:snapToGrid w:val="0"/>
        <w:spacing w:line="360" w:lineRule="auto"/>
        <w:ind w:firstLine="480" w:firstLineChars="200"/>
        <w:rPr>
          <w:rFonts w:hint="default" w:eastAsia="仿宋"/>
          <w:color w:val="auto"/>
          <w:sz w:val="24"/>
          <w:highlight w:val="none"/>
          <w:lang w:val="en-US" w:eastAsia="zh-CN"/>
        </w:rPr>
      </w:pPr>
      <w:r>
        <w:rPr>
          <w:rFonts w:hint="eastAsia" w:eastAsia="仿宋"/>
          <w:color w:val="auto"/>
          <w:sz w:val="24"/>
          <w:highlight w:val="none"/>
          <w:lang w:val="en-US" w:eastAsia="zh-CN"/>
        </w:rPr>
        <w:t>4、供货设备生产日期为近6个月之内。</w:t>
      </w:r>
    </w:p>
    <w:p w14:paraId="579EB7A2">
      <w:pPr>
        <w:shd w:val="clear" w:color="auto" w:fill="auto"/>
        <w:adjustRightInd w:val="0"/>
        <w:snapToGrid w:val="0"/>
        <w:spacing w:line="360" w:lineRule="auto"/>
        <w:ind w:firstLine="480" w:firstLineChars="200"/>
        <w:rPr>
          <w:rFonts w:eastAsia="仿宋_GB2312"/>
          <w:b/>
          <w:bCs/>
          <w:color w:val="auto"/>
          <w:sz w:val="24"/>
          <w:highlight w:val="none"/>
        </w:rPr>
      </w:pPr>
      <w:r>
        <w:rPr>
          <w:rFonts w:eastAsia="仿宋_GB2312"/>
          <w:b/>
          <w:bCs/>
          <w:color w:val="auto"/>
          <w:sz w:val="24"/>
          <w:highlight w:val="none"/>
        </w:rPr>
        <w:t>五、技术服务</w:t>
      </w:r>
      <w:bookmarkEnd w:id="362"/>
    </w:p>
    <w:p w14:paraId="50F6FDBA">
      <w:pPr>
        <w:shd w:val="clear" w:color="auto" w:fill="auto"/>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1、对技术服务的要求：</w:t>
      </w:r>
    </w:p>
    <w:p w14:paraId="641EDECC">
      <w:pPr>
        <w:shd w:val="clear" w:color="auto" w:fill="auto"/>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2、技术资料：</w:t>
      </w:r>
    </w:p>
    <w:p w14:paraId="1ECBE662">
      <w:pPr>
        <w:shd w:val="clear" w:color="auto" w:fill="auto"/>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3、技术培训：</w:t>
      </w:r>
    </w:p>
    <w:p w14:paraId="696C6344">
      <w:pPr>
        <w:shd w:val="clear" w:color="auto" w:fill="auto"/>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3-1、培训内容：</w:t>
      </w:r>
    </w:p>
    <w:p w14:paraId="3817A066">
      <w:pPr>
        <w:shd w:val="clear" w:color="auto" w:fill="auto"/>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3-2、培训地点：</w:t>
      </w:r>
    </w:p>
    <w:p w14:paraId="3897F0ED">
      <w:pPr>
        <w:shd w:val="clear" w:color="auto" w:fill="auto"/>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3-3、培训时间：</w:t>
      </w:r>
    </w:p>
    <w:p w14:paraId="0F813D50">
      <w:pPr>
        <w:shd w:val="clear" w:color="auto" w:fill="auto"/>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3-4、培训人数：</w:t>
      </w:r>
    </w:p>
    <w:p w14:paraId="718C9649">
      <w:pPr>
        <w:shd w:val="clear" w:color="auto" w:fill="auto"/>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3-5、培训费用：受训人员的食宿费、资料费、培训场地费、耗材（包括水电费等）费等已包含在合同总价中，甲方不再另行支付。</w:t>
      </w:r>
    </w:p>
    <w:p w14:paraId="0D4D5814">
      <w:pPr>
        <w:shd w:val="clear" w:color="auto" w:fill="auto"/>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4、售后服务</w:t>
      </w:r>
    </w:p>
    <w:p w14:paraId="049911D0">
      <w:pPr>
        <w:shd w:val="clear" w:color="auto" w:fill="auto"/>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4-1、乙方在接到甲方电话通知后在</w:t>
      </w:r>
      <w:r>
        <w:rPr>
          <w:rFonts w:hint="eastAsia" w:eastAsia="仿宋_GB2312"/>
          <w:color w:val="auto"/>
          <w:sz w:val="24"/>
          <w:highlight w:val="none"/>
          <w:u w:val="single"/>
          <w:lang w:val="en-US" w:eastAsia="zh-CN"/>
        </w:rPr>
        <w:t>24</w:t>
      </w:r>
      <w:r>
        <w:rPr>
          <w:rFonts w:eastAsia="仿宋_GB2312"/>
          <w:color w:val="auto"/>
          <w:sz w:val="24"/>
          <w:highlight w:val="none"/>
        </w:rPr>
        <w:t>小时内派出合格的服务人员到达现场进行服务，承担相应费用。</w:t>
      </w:r>
    </w:p>
    <w:p w14:paraId="16D286E8">
      <w:pPr>
        <w:shd w:val="clear" w:color="auto" w:fill="auto"/>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4-2、如果乙方在收到通知后两天内没有弥补缺陷，甲方可采取必要的补救措施，但其风险和费用将由乙方承担，甲方根据合同规定对乙方行使的其它权力不受影响。</w:t>
      </w:r>
    </w:p>
    <w:p w14:paraId="308747AF">
      <w:pPr>
        <w:shd w:val="clear" w:color="auto" w:fill="auto"/>
        <w:adjustRightInd w:val="0"/>
        <w:snapToGrid w:val="0"/>
        <w:spacing w:line="360" w:lineRule="auto"/>
        <w:ind w:firstLine="480" w:firstLineChars="200"/>
        <w:rPr>
          <w:rFonts w:hint="eastAsia"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lang w:val="en-US" w:eastAsia="zh-CN"/>
        </w:rPr>
        <w:t>4-3、质量保证：</w:t>
      </w:r>
    </w:p>
    <w:p w14:paraId="673E5A79">
      <w:pPr>
        <w:shd w:val="clear" w:color="auto" w:fill="auto"/>
        <w:adjustRightInd w:val="0"/>
        <w:snapToGrid w:val="0"/>
        <w:spacing w:line="360" w:lineRule="auto"/>
        <w:ind w:firstLine="480" w:firstLineChars="200"/>
        <w:rPr>
          <w:rFonts w:hint="eastAsia"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lang w:val="en-US" w:eastAsia="zh-CN"/>
        </w:rPr>
        <w:t>第一包：报价含六套桥式吊桥的拆装费用，即中标公司负责将重症医学科原六套桥式吊塔的拆移、安装至三号住院三层重症医学科指定位置。桥式吊塔等设备安装用固定锚栓为设备自带，由设备供货商负责安装。</w:t>
      </w:r>
    </w:p>
    <w:p w14:paraId="129CE8F6">
      <w:pPr>
        <w:shd w:val="clear" w:color="auto" w:fill="auto"/>
        <w:adjustRightInd w:val="0"/>
        <w:snapToGrid w:val="0"/>
        <w:spacing w:line="360" w:lineRule="auto"/>
        <w:ind w:firstLine="480" w:firstLineChars="200"/>
        <w:rPr>
          <w:rFonts w:hint="default" w:eastAsia="仿宋_GB2312"/>
          <w:color w:val="auto"/>
          <w:sz w:val="24"/>
          <w:highlight w:val="none"/>
          <w:lang w:val="en-US" w:eastAsia="zh-CN"/>
        </w:rPr>
      </w:pPr>
      <w:r>
        <w:rPr>
          <w:rFonts w:hint="eastAsia" w:ascii="Times New Roman" w:hAnsi="Times New Roman" w:eastAsia="仿宋_GB2312" w:cs="Times New Roman"/>
          <w:color w:val="auto"/>
          <w:sz w:val="24"/>
          <w:highlight w:val="none"/>
          <w:lang w:val="en-US" w:eastAsia="zh-CN"/>
        </w:rPr>
        <w:t>所有设备配套使用的试剂、试纸、消毒等专用耗材价格不得高于本地区的平均价。</w:t>
      </w:r>
    </w:p>
    <w:p w14:paraId="536F87C4">
      <w:pPr>
        <w:shd w:val="clear" w:color="auto" w:fill="auto"/>
        <w:adjustRightInd w:val="0"/>
        <w:snapToGrid w:val="0"/>
        <w:spacing w:line="360" w:lineRule="auto"/>
        <w:ind w:firstLine="480" w:firstLineChars="200"/>
        <w:rPr>
          <w:rFonts w:hint="default"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lang w:val="en-US" w:eastAsia="zh-CN"/>
        </w:rPr>
        <w:t>第二包：吊塔、无影灯等设备安装用固定锚栓为设备自带，由设备供货商负责安装。</w:t>
      </w:r>
    </w:p>
    <w:p w14:paraId="705E614E">
      <w:pPr>
        <w:shd w:val="clear" w:color="auto" w:fill="auto"/>
        <w:adjustRightInd w:val="0"/>
        <w:snapToGrid w:val="0"/>
        <w:spacing w:line="360" w:lineRule="auto"/>
        <w:ind w:firstLine="480" w:firstLineChars="200"/>
        <w:rPr>
          <w:rFonts w:hint="default" w:eastAsia="仿宋_GB2312"/>
          <w:color w:val="auto"/>
          <w:sz w:val="24"/>
          <w:highlight w:val="none"/>
          <w:lang w:val="en-US" w:eastAsia="zh-CN"/>
        </w:rPr>
      </w:pPr>
      <w:r>
        <w:rPr>
          <w:rFonts w:hint="eastAsia" w:ascii="Times New Roman" w:hAnsi="Times New Roman" w:eastAsia="仿宋_GB2312" w:cs="Times New Roman"/>
          <w:color w:val="auto"/>
          <w:sz w:val="24"/>
          <w:highlight w:val="none"/>
          <w:lang w:val="en-US" w:eastAsia="zh-CN"/>
        </w:rPr>
        <w:t>所有设备配套使用的试剂、试纸、消毒等专用耗材价格不得高于本地区的平均价。</w:t>
      </w:r>
    </w:p>
    <w:p w14:paraId="2AB4C2DC">
      <w:pPr>
        <w:shd w:val="clear" w:color="auto" w:fill="auto"/>
        <w:adjustRightInd w:val="0"/>
        <w:snapToGrid w:val="0"/>
        <w:spacing w:line="360" w:lineRule="auto"/>
        <w:ind w:firstLine="480" w:firstLineChars="200"/>
        <w:rPr>
          <w:rFonts w:hint="default"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lang w:val="en-US" w:eastAsia="zh-CN"/>
        </w:rPr>
        <w:t>第三包：报价含两台脉动真空灭菌器的拆装费用，即中标公司负责免费将供应室原两台脉动真空灭菌器（含配套设备）拆移、安装至三号住院楼一层供应室指定位置。</w:t>
      </w:r>
    </w:p>
    <w:p w14:paraId="535E35DB">
      <w:pPr>
        <w:shd w:val="clear" w:color="auto" w:fill="auto"/>
        <w:adjustRightInd w:val="0"/>
        <w:snapToGrid w:val="0"/>
        <w:spacing w:line="360" w:lineRule="auto"/>
        <w:ind w:firstLine="480" w:firstLineChars="200"/>
        <w:rPr>
          <w:rFonts w:hint="default" w:eastAsia="仿宋_GB2312"/>
          <w:color w:val="auto"/>
          <w:sz w:val="24"/>
          <w:highlight w:val="none"/>
          <w:lang w:val="en-US" w:eastAsia="zh-CN"/>
        </w:rPr>
      </w:pPr>
      <w:r>
        <w:rPr>
          <w:rFonts w:hint="eastAsia" w:ascii="Times New Roman" w:hAnsi="Times New Roman" w:eastAsia="仿宋_GB2312" w:cs="Times New Roman"/>
          <w:color w:val="auto"/>
          <w:sz w:val="24"/>
          <w:highlight w:val="none"/>
          <w:lang w:val="en-US" w:eastAsia="zh-CN"/>
        </w:rPr>
        <w:t>所有设备配套使用的试剂、试纸、消毒等专用耗材价格不得高于本地区的平均价。</w:t>
      </w:r>
    </w:p>
    <w:p w14:paraId="56AF62C9">
      <w:pPr>
        <w:shd w:val="clear" w:color="auto" w:fill="auto"/>
        <w:adjustRightInd w:val="0"/>
        <w:snapToGrid w:val="0"/>
        <w:spacing w:line="360" w:lineRule="auto"/>
        <w:ind w:firstLine="480" w:firstLineChars="200"/>
        <w:rPr>
          <w:rFonts w:hint="eastAsia"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lang w:val="en-US" w:eastAsia="zh-CN"/>
        </w:rPr>
        <w:t>第四包：报价含透析用水的检测及透析技师的培训费用，即中标公司负责水处理设备及透析设备使用前期的各项检测的送检及检测费用（包含但不限于反渗水化学污染物检测、反渗水及透析液内毒素检测），负责为透析技师提供透析机厂家组织的实操拆机培训，培训时间至少2周。</w:t>
      </w:r>
    </w:p>
    <w:p w14:paraId="14C44A85">
      <w:pPr>
        <w:shd w:val="clear" w:color="auto" w:fill="auto"/>
        <w:adjustRightInd w:val="0"/>
        <w:snapToGrid w:val="0"/>
        <w:spacing w:line="360" w:lineRule="auto"/>
        <w:ind w:firstLine="480" w:firstLineChars="200"/>
        <w:rPr>
          <w:rFonts w:hint="default" w:eastAsia="仿宋_GB2312"/>
          <w:color w:val="auto"/>
          <w:sz w:val="24"/>
          <w:highlight w:val="none"/>
          <w:lang w:val="en-US" w:eastAsia="zh-CN"/>
        </w:rPr>
      </w:pPr>
      <w:r>
        <w:rPr>
          <w:rFonts w:hint="eastAsia" w:ascii="Times New Roman" w:hAnsi="Times New Roman" w:eastAsia="仿宋_GB2312" w:cs="Times New Roman"/>
          <w:color w:val="auto"/>
          <w:sz w:val="24"/>
          <w:highlight w:val="none"/>
          <w:lang w:val="en-US" w:eastAsia="zh-CN"/>
        </w:rPr>
        <w:t>所有设备配套使用的试剂、试纸、消毒等专用耗材价格不得高于本地区的平均价。</w:t>
      </w:r>
    </w:p>
    <w:p w14:paraId="63D85A02">
      <w:pPr>
        <w:shd w:val="clear" w:color="auto" w:fill="auto"/>
        <w:adjustRightInd w:val="0"/>
        <w:snapToGrid w:val="0"/>
        <w:spacing w:line="360" w:lineRule="auto"/>
        <w:ind w:firstLine="480" w:firstLineChars="200"/>
        <w:rPr>
          <w:rFonts w:hint="eastAsia" w:eastAsia="仿宋"/>
          <w:color w:val="auto"/>
          <w:sz w:val="24"/>
          <w:highlight w:val="none"/>
          <w:lang w:val="en-US" w:eastAsia="zh-CN"/>
        </w:rPr>
      </w:pPr>
      <w:r>
        <w:rPr>
          <w:rFonts w:hint="eastAsia" w:eastAsia="仿宋_GB2312"/>
          <w:color w:val="auto"/>
          <w:sz w:val="24"/>
          <w:highlight w:val="none"/>
          <w:lang w:val="en-US" w:eastAsia="zh-CN"/>
        </w:rPr>
        <w:t>5</w:t>
      </w:r>
      <w:r>
        <w:rPr>
          <w:rFonts w:hint="eastAsia" w:eastAsia="仿宋"/>
          <w:color w:val="auto"/>
          <w:sz w:val="24"/>
          <w:highlight w:val="none"/>
        </w:rPr>
        <w:t>、</w:t>
      </w:r>
      <w:r>
        <w:rPr>
          <w:rFonts w:hint="eastAsia" w:eastAsia="仿宋"/>
          <w:color w:val="auto"/>
          <w:sz w:val="24"/>
          <w:highlight w:val="none"/>
          <w:lang w:val="en-US" w:eastAsia="zh-CN"/>
        </w:rPr>
        <w:t>质保：</w:t>
      </w:r>
    </w:p>
    <w:p w14:paraId="6FCA793F">
      <w:pPr>
        <w:shd w:val="clear" w:color="auto" w:fill="auto"/>
        <w:adjustRightInd w:val="0"/>
        <w:snapToGrid w:val="0"/>
        <w:spacing w:line="360" w:lineRule="auto"/>
        <w:ind w:firstLine="480" w:firstLineChars="200"/>
        <w:rPr>
          <w:rFonts w:hint="eastAsia" w:eastAsia="仿宋"/>
          <w:color w:val="auto"/>
          <w:sz w:val="24"/>
          <w:highlight w:val="none"/>
        </w:rPr>
      </w:pPr>
      <w:r>
        <w:rPr>
          <w:rFonts w:hint="eastAsia" w:eastAsia="仿宋"/>
          <w:color w:val="auto"/>
          <w:sz w:val="24"/>
          <w:highlight w:val="none"/>
          <w:lang w:val="en-US" w:eastAsia="zh-CN"/>
        </w:rPr>
        <w:t>5.1、</w:t>
      </w:r>
      <w:r>
        <w:rPr>
          <w:rFonts w:hint="eastAsia" w:eastAsia="仿宋"/>
          <w:color w:val="auto"/>
          <w:sz w:val="24"/>
          <w:highlight w:val="none"/>
        </w:rPr>
        <w:t>质保期：</w:t>
      </w:r>
    </w:p>
    <w:p w14:paraId="0DDF0EF9">
      <w:pPr>
        <w:shd w:val="clear" w:color="auto" w:fill="auto"/>
        <w:adjustRightInd w:val="0"/>
        <w:snapToGrid w:val="0"/>
        <w:spacing w:line="360" w:lineRule="auto"/>
        <w:ind w:firstLine="480" w:firstLineChars="200"/>
        <w:rPr>
          <w:rFonts w:hint="default" w:eastAsia="仿宋_GB2312"/>
          <w:color w:val="auto"/>
          <w:sz w:val="24"/>
          <w:highlight w:val="none"/>
          <w:lang w:val="en-US" w:eastAsia="zh-CN"/>
        </w:rPr>
      </w:pPr>
      <w:r>
        <w:rPr>
          <w:rFonts w:hint="eastAsia" w:eastAsia="仿宋"/>
          <w:color w:val="auto"/>
          <w:sz w:val="24"/>
          <w:highlight w:val="none"/>
          <w:lang w:val="en-US" w:eastAsia="zh-CN"/>
        </w:rPr>
        <w:t>第一包：</w:t>
      </w:r>
      <w:r>
        <w:rPr>
          <w:rFonts w:hint="eastAsia" w:eastAsia="仿宋"/>
          <w:color w:val="auto"/>
          <w:sz w:val="24"/>
          <w:highlight w:val="none"/>
        </w:rPr>
        <w:t>验收合格之日起</w:t>
      </w:r>
      <w:r>
        <w:rPr>
          <w:rFonts w:hint="eastAsia" w:eastAsia="仿宋"/>
          <w:color w:val="auto"/>
          <w:sz w:val="24"/>
          <w:highlight w:val="none"/>
          <w:u w:val="single"/>
        </w:rPr>
        <w:t xml:space="preserve"> </w:t>
      </w:r>
      <w:r>
        <w:rPr>
          <w:rFonts w:hint="eastAsia" w:eastAsia="仿宋"/>
          <w:color w:val="auto"/>
          <w:sz w:val="24"/>
          <w:highlight w:val="none"/>
          <w:u w:val="single"/>
          <w:lang w:val="en-US" w:eastAsia="zh-CN"/>
        </w:rPr>
        <w:t>5</w:t>
      </w:r>
      <w:r>
        <w:rPr>
          <w:rFonts w:hint="eastAsia" w:eastAsia="仿宋"/>
          <w:color w:val="auto"/>
          <w:sz w:val="24"/>
          <w:highlight w:val="none"/>
          <w:u w:val="single"/>
        </w:rPr>
        <w:t xml:space="preserve"> </w:t>
      </w:r>
      <w:r>
        <w:rPr>
          <w:rFonts w:hint="eastAsia" w:eastAsia="仿宋"/>
          <w:color w:val="auto"/>
          <w:sz w:val="24"/>
          <w:highlight w:val="none"/>
        </w:rPr>
        <w:t>年。</w:t>
      </w:r>
    </w:p>
    <w:p w14:paraId="3AA894D8">
      <w:pPr>
        <w:shd w:val="clear" w:color="auto" w:fill="auto"/>
        <w:adjustRightInd w:val="0"/>
        <w:snapToGrid w:val="0"/>
        <w:spacing w:line="360" w:lineRule="auto"/>
        <w:ind w:firstLine="480" w:firstLineChars="200"/>
        <w:rPr>
          <w:rFonts w:hint="eastAsia" w:eastAsia="仿宋"/>
          <w:color w:val="auto"/>
          <w:sz w:val="24"/>
          <w:highlight w:val="none"/>
        </w:rPr>
      </w:pPr>
      <w:r>
        <w:rPr>
          <w:rFonts w:hint="eastAsia" w:eastAsia="仿宋"/>
          <w:color w:val="auto"/>
          <w:sz w:val="24"/>
          <w:highlight w:val="none"/>
          <w:lang w:val="en-US" w:eastAsia="zh-CN"/>
        </w:rPr>
        <w:t>第二包：</w:t>
      </w:r>
      <w:r>
        <w:rPr>
          <w:rFonts w:hint="eastAsia" w:eastAsia="仿宋"/>
          <w:color w:val="auto"/>
          <w:sz w:val="24"/>
          <w:highlight w:val="none"/>
        </w:rPr>
        <w:t>验收合格之日起</w:t>
      </w:r>
      <w:r>
        <w:rPr>
          <w:rFonts w:hint="eastAsia" w:eastAsia="仿宋"/>
          <w:color w:val="auto"/>
          <w:sz w:val="24"/>
          <w:highlight w:val="none"/>
          <w:u w:val="single"/>
        </w:rPr>
        <w:t xml:space="preserve"> </w:t>
      </w:r>
      <w:r>
        <w:rPr>
          <w:rFonts w:hint="eastAsia" w:eastAsia="仿宋"/>
          <w:color w:val="auto"/>
          <w:sz w:val="24"/>
          <w:highlight w:val="none"/>
          <w:u w:val="single"/>
          <w:lang w:val="en-US" w:eastAsia="zh-CN"/>
        </w:rPr>
        <w:t>5</w:t>
      </w:r>
      <w:r>
        <w:rPr>
          <w:rFonts w:hint="eastAsia" w:eastAsia="仿宋"/>
          <w:color w:val="auto"/>
          <w:sz w:val="24"/>
          <w:highlight w:val="none"/>
          <w:u w:val="single"/>
        </w:rPr>
        <w:t xml:space="preserve"> </w:t>
      </w:r>
      <w:r>
        <w:rPr>
          <w:rFonts w:hint="eastAsia" w:eastAsia="仿宋"/>
          <w:color w:val="auto"/>
          <w:sz w:val="24"/>
          <w:highlight w:val="none"/>
        </w:rPr>
        <w:t>年。</w:t>
      </w:r>
    </w:p>
    <w:p w14:paraId="72FEC91E">
      <w:pPr>
        <w:shd w:val="clear" w:color="auto" w:fill="auto"/>
        <w:adjustRightInd w:val="0"/>
        <w:snapToGrid w:val="0"/>
        <w:spacing w:line="360" w:lineRule="auto"/>
        <w:ind w:firstLine="480" w:firstLineChars="200"/>
        <w:rPr>
          <w:rFonts w:hint="default" w:eastAsia="仿宋_GB2312"/>
          <w:color w:val="auto"/>
          <w:sz w:val="24"/>
          <w:highlight w:val="none"/>
          <w:lang w:val="en-US" w:eastAsia="zh-CN"/>
        </w:rPr>
      </w:pPr>
      <w:r>
        <w:rPr>
          <w:rFonts w:hint="eastAsia" w:eastAsia="仿宋"/>
          <w:color w:val="auto"/>
          <w:sz w:val="24"/>
          <w:highlight w:val="none"/>
          <w:lang w:val="en-US" w:eastAsia="zh-CN"/>
        </w:rPr>
        <w:t>第三包：</w:t>
      </w:r>
      <w:r>
        <w:rPr>
          <w:rFonts w:hint="eastAsia" w:eastAsia="仿宋"/>
          <w:color w:val="auto"/>
          <w:sz w:val="24"/>
          <w:highlight w:val="none"/>
        </w:rPr>
        <w:t>验收合格之日起</w:t>
      </w:r>
      <w:r>
        <w:rPr>
          <w:rFonts w:hint="eastAsia" w:eastAsia="仿宋"/>
          <w:color w:val="auto"/>
          <w:sz w:val="24"/>
          <w:highlight w:val="none"/>
          <w:u w:val="single"/>
        </w:rPr>
        <w:t xml:space="preserve"> </w:t>
      </w:r>
      <w:r>
        <w:rPr>
          <w:rFonts w:hint="eastAsia" w:eastAsia="仿宋"/>
          <w:color w:val="auto"/>
          <w:sz w:val="24"/>
          <w:highlight w:val="none"/>
          <w:u w:val="single"/>
          <w:lang w:val="en-US" w:eastAsia="zh-CN"/>
        </w:rPr>
        <w:t>3</w:t>
      </w:r>
      <w:r>
        <w:rPr>
          <w:rFonts w:hint="eastAsia" w:eastAsia="仿宋"/>
          <w:color w:val="auto"/>
          <w:sz w:val="24"/>
          <w:highlight w:val="none"/>
          <w:u w:val="single"/>
        </w:rPr>
        <w:t xml:space="preserve"> </w:t>
      </w:r>
      <w:r>
        <w:rPr>
          <w:rFonts w:hint="eastAsia" w:eastAsia="仿宋"/>
          <w:color w:val="auto"/>
          <w:sz w:val="24"/>
          <w:highlight w:val="none"/>
        </w:rPr>
        <w:t>年。</w:t>
      </w:r>
    </w:p>
    <w:p w14:paraId="572BB7F3">
      <w:pPr>
        <w:shd w:val="clear" w:color="auto" w:fill="auto"/>
        <w:adjustRightInd w:val="0"/>
        <w:snapToGrid w:val="0"/>
        <w:spacing w:line="360" w:lineRule="auto"/>
        <w:ind w:firstLine="480" w:firstLineChars="200"/>
        <w:rPr>
          <w:rFonts w:hint="default" w:eastAsia="仿宋"/>
          <w:color w:val="auto"/>
          <w:sz w:val="24"/>
          <w:highlight w:val="none"/>
          <w:lang w:val="en-US" w:eastAsia="zh-CN"/>
        </w:rPr>
      </w:pPr>
      <w:r>
        <w:rPr>
          <w:rFonts w:hint="eastAsia" w:eastAsia="仿宋"/>
          <w:color w:val="auto"/>
          <w:sz w:val="24"/>
          <w:highlight w:val="none"/>
          <w:lang w:val="en-US" w:eastAsia="zh-CN"/>
        </w:rPr>
        <w:t>第四包：</w:t>
      </w:r>
      <w:r>
        <w:rPr>
          <w:rFonts w:hint="eastAsia" w:eastAsia="仿宋"/>
          <w:color w:val="auto"/>
          <w:sz w:val="24"/>
          <w:highlight w:val="none"/>
        </w:rPr>
        <w:t>验收合格之日起</w:t>
      </w:r>
      <w:r>
        <w:rPr>
          <w:rFonts w:hint="eastAsia" w:eastAsia="仿宋"/>
          <w:color w:val="auto"/>
          <w:sz w:val="24"/>
          <w:highlight w:val="none"/>
          <w:u w:val="single"/>
        </w:rPr>
        <w:t xml:space="preserve"> </w:t>
      </w:r>
      <w:r>
        <w:rPr>
          <w:rFonts w:hint="eastAsia" w:eastAsia="仿宋"/>
          <w:color w:val="auto"/>
          <w:sz w:val="24"/>
          <w:highlight w:val="none"/>
          <w:u w:val="single"/>
          <w:lang w:val="en-US" w:eastAsia="zh-CN"/>
        </w:rPr>
        <w:t>3</w:t>
      </w:r>
      <w:r>
        <w:rPr>
          <w:rFonts w:hint="eastAsia" w:eastAsia="仿宋"/>
          <w:color w:val="auto"/>
          <w:sz w:val="24"/>
          <w:highlight w:val="none"/>
          <w:u w:val="single"/>
        </w:rPr>
        <w:t xml:space="preserve"> </w:t>
      </w:r>
      <w:r>
        <w:rPr>
          <w:rFonts w:hint="eastAsia" w:eastAsia="仿宋"/>
          <w:color w:val="auto"/>
          <w:sz w:val="24"/>
          <w:highlight w:val="none"/>
        </w:rPr>
        <w:t>年。</w:t>
      </w:r>
    </w:p>
    <w:p w14:paraId="799DB8A2">
      <w:pPr>
        <w:shd w:val="clear" w:color="auto" w:fill="auto"/>
        <w:adjustRightInd w:val="0"/>
        <w:snapToGrid w:val="0"/>
        <w:spacing w:line="360" w:lineRule="auto"/>
        <w:ind w:firstLine="480" w:firstLineChars="200"/>
        <w:rPr>
          <w:rFonts w:eastAsia="仿宋_GB2312"/>
          <w:b/>
          <w:bCs/>
          <w:color w:val="auto"/>
          <w:sz w:val="24"/>
          <w:highlight w:val="none"/>
        </w:rPr>
      </w:pPr>
      <w:bookmarkStart w:id="363" w:name="_Toc19515391"/>
      <w:r>
        <w:rPr>
          <w:rFonts w:eastAsia="仿宋_GB2312"/>
          <w:b/>
          <w:bCs/>
          <w:color w:val="auto"/>
          <w:sz w:val="24"/>
          <w:highlight w:val="none"/>
        </w:rPr>
        <w:t>六、验收</w:t>
      </w:r>
      <w:bookmarkEnd w:id="363"/>
    </w:p>
    <w:p w14:paraId="14E224E6">
      <w:pPr>
        <w:shd w:val="clear" w:color="auto" w:fill="auto"/>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1、验收：乙方完成服务内容后，向甲方提出验收申请，甲方接到乙方验收申请后组织验收（必要时可聘请相应专家或委托相应部门验收），验收合格后，出具使用验收合格证明。</w:t>
      </w:r>
    </w:p>
    <w:p w14:paraId="5BA076D6">
      <w:pPr>
        <w:shd w:val="clear" w:color="auto" w:fill="auto"/>
        <w:adjustRightInd w:val="0"/>
        <w:snapToGrid w:val="0"/>
        <w:spacing w:line="360" w:lineRule="auto"/>
        <w:ind w:firstLine="480" w:firstLineChars="200"/>
        <w:rPr>
          <w:rFonts w:eastAsia="仿宋_GB2312"/>
          <w:color w:val="auto"/>
          <w:sz w:val="24"/>
          <w:highlight w:val="none"/>
        </w:rPr>
      </w:pPr>
      <w:r>
        <w:rPr>
          <w:rFonts w:hint="eastAsia" w:eastAsia="仿宋_GB2312"/>
          <w:color w:val="auto"/>
          <w:sz w:val="24"/>
          <w:highlight w:val="none"/>
        </w:rPr>
        <w:t>2</w:t>
      </w:r>
      <w:r>
        <w:rPr>
          <w:rFonts w:eastAsia="仿宋_GB2312"/>
          <w:color w:val="auto"/>
          <w:sz w:val="24"/>
          <w:highlight w:val="none"/>
        </w:rPr>
        <w:t>、最终验收：最终验收结果作为付款依据，乙方填写验收单，并向甲方提交实施过程中的所有资料，以便甲方日后管理和维护。</w:t>
      </w:r>
    </w:p>
    <w:p w14:paraId="32D76718">
      <w:pPr>
        <w:shd w:val="clear" w:color="auto" w:fill="auto"/>
        <w:adjustRightInd w:val="0"/>
        <w:snapToGrid w:val="0"/>
        <w:spacing w:line="360" w:lineRule="auto"/>
        <w:ind w:firstLine="480" w:firstLineChars="200"/>
        <w:rPr>
          <w:rFonts w:eastAsia="仿宋_GB2312"/>
          <w:color w:val="auto"/>
          <w:sz w:val="24"/>
          <w:highlight w:val="none"/>
        </w:rPr>
      </w:pPr>
      <w:r>
        <w:rPr>
          <w:rFonts w:hint="eastAsia" w:eastAsia="仿宋_GB2312"/>
          <w:color w:val="auto"/>
          <w:sz w:val="24"/>
          <w:highlight w:val="none"/>
        </w:rPr>
        <w:t>3</w:t>
      </w:r>
      <w:r>
        <w:rPr>
          <w:rFonts w:eastAsia="仿宋_GB2312"/>
          <w:color w:val="auto"/>
          <w:sz w:val="24"/>
          <w:highlight w:val="none"/>
        </w:rPr>
        <w:t>、质保期满后：由乙方出具质保期运行质量报告，若存在质量问题，应按相应规定协商处理。</w:t>
      </w:r>
    </w:p>
    <w:p w14:paraId="3B209CC1">
      <w:pPr>
        <w:shd w:val="clear" w:color="auto" w:fill="auto"/>
        <w:adjustRightInd w:val="0"/>
        <w:snapToGrid w:val="0"/>
        <w:spacing w:line="360" w:lineRule="auto"/>
        <w:ind w:firstLine="480" w:firstLineChars="200"/>
        <w:rPr>
          <w:rFonts w:eastAsia="仿宋_GB2312"/>
          <w:color w:val="auto"/>
          <w:sz w:val="24"/>
          <w:highlight w:val="none"/>
        </w:rPr>
      </w:pPr>
      <w:r>
        <w:rPr>
          <w:rFonts w:hint="eastAsia" w:eastAsia="仿宋_GB2312"/>
          <w:color w:val="auto"/>
          <w:sz w:val="24"/>
          <w:highlight w:val="none"/>
        </w:rPr>
        <w:t>4</w:t>
      </w:r>
      <w:r>
        <w:rPr>
          <w:rFonts w:eastAsia="仿宋_GB2312"/>
          <w:color w:val="auto"/>
          <w:sz w:val="24"/>
          <w:highlight w:val="none"/>
        </w:rPr>
        <w:t>、验收依据：</w:t>
      </w:r>
    </w:p>
    <w:p w14:paraId="15997A63">
      <w:pPr>
        <w:shd w:val="clear" w:color="auto" w:fill="auto"/>
        <w:adjustRightInd w:val="0"/>
        <w:snapToGrid w:val="0"/>
        <w:spacing w:line="360" w:lineRule="auto"/>
        <w:ind w:firstLine="480" w:firstLineChars="200"/>
        <w:rPr>
          <w:rFonts w:eastAsia="仿宋_GB2312"/>
          <w:color w:val="auto"/>
          <w:sz w:val="24"/>
          <w:highlight w:val="none"/>
        </w:rPr>
      </w:pPr>
      <w:r>
        <w:rPr>
          <w:rFonts w:hint="eastAsia" w:eastAsia="仿宋_GB2312"/>
          <w:color w:val="auto"/>
          <w:sz w:val="24"/>
          <w:highlight w:val="none"/>
        </w:rPr>
        <w:t>4</w:t>
      </w:r>
      <w:r>
        <w:rPr>
          <w:rFonts w:eastAsia="仿宋_GB2312"/>
          <w:color w:val="auto"/>
          <w:sz w:val="24"/>
          <w:highlight w:val="none"/>
        </w:rPr>
        <w:t>-1、合同文本、合同附件、招标文件、投标文件。</w:t>
      </w:r>
    </w:p>
    <w:p w14:paraId="2FB1AD48">
      <w:pPr>
        <w:shd w:val="clear" w:color="auto" w:fill="auto"/>
        <w:adjustRightInd w:val="0"/>
        <w:snapToGrid w:val="0"/>
        <w:spacing w:line="360" w:lineRule="auto"/>
        <w:ind w:firstLine="480" w:firstLineChars="200"/>
        <w:rPr>
          <w:rFonts w:hint="default" w:eastAsia="仿宋_GB2312"/>
          <w:color w:val="auto"/>
          <w:sz w:val="24"/>
          <w:highlight w:val="none"/>
          <w:lang w:val="en-US" w:eastAsia="zh-CN"/>
        </w:rPr>
      </w:pPr>
      <w:r>
        <w:rPr>
          <w:rFonts w:hint="eastAsia" w:eastAsia="仿宋_GB2312"/>
          <w:color w:val="auto"/>
          <w:sz w:val="24"/>
          <w:highlight w:val="none"/>
        </w:rPr>
        <w:t>4</w:t>
      </w:r>
      <w:r>
        <w:rPr>
          <w:rFonts w:eastAsia="仿宋_GB2312"/>
          <w:color w:val="auto"/>
          <w:sz w:val="24"/>
          <w:highlight w:val="none"/>
        </w:rPr>
        <w:t>-2、国内相应的标准、规范。</w:t>
      </w:r>
      <w:bookmarkStart w:id="364" w:name="_Toc19515392"/>
    </w:p>
    <w:p w14:paraId="7172D2B3">
      <w:pPr>
        <w:shd w:val="clear" w:color="auto" w:fill="auto"/>
        <w:adjustRightInd w:val="0"/>
        <w:snapToGrid w:val="0"/>
        <w:spacing w:line="360" w:lineRule="auto"/>
        <w:ind w:firstLine="480" w:firstLineChars="200"/>
        <w:rPr>
          <w:rFonts w:eastAsia="仿宋_GB2312"/>
          <w:b/>
          <w:bCs/>
          <w:color w:val="auto"/>
          <w:sz w:val="24"/>
          <w:highlight w:val="none"/>
        </w:rPr>
      </w:pPr>
      <w:r>
        <w:rPr>
          <w:rFonts w:hint="eastAsia" w:eastAsia="仿宋_GB2312"/>
          <w:b/>
          <w:bCs/>
          <w:color w:val="auto"/>
          <w:sz w:val="24"/>
          <w:highlight w:val="none"/>
          <w:lang w:val="en-US" w:eastAsia="zh-CN"/>
        </w:rPr>
        <w:t>七</w:t>
      </w:r>
      <w:r>
        <w:rPr>
          <w:rFonts w:eastAsia="仿宋_GB2312"/>
          <w:b/>
          <w:bCs/>
          <w:color w:val="auto"/>
          <w:sz w:val="24"/>
          <w:highlight w:val="none"/>
        </w:rPr>
        <w:t>、违约责任</w:t>
      </w:r>
      <w:bookmarkEnd w:id="364"/>
    </w:p>
    <w:p w14:paraId="148BEA18">
      <w:pPr>
        <w:shd w:val="clear" w:color="auto" w:fill="auto"/>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1、按《中华人民共和国民法典》中的相关条款执行。</w:t>
      </w:r>
    </w:p>
    <w:p w14:paraId="7F9472C9">
      <w:pPr>
        <w:shd w:val="clear" w:color="auto" w:fill="auto"/>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2、乙方履约延误</w:t>
      </w:r>
    </w:p>
    <w:p w14:paraId="0ED655D2">
      <w:pPr>
        <w:shd w:val="clear" w:color="auto" w:fill="auto"/>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2-1、如乙方事先未征得甲方同意并得到甲方的谅解而单方面延迟执行合同，将按违约终止合同。</w:t>
      </w:r>
    </w:p>
    <w:p w14:paraId="3AA08A98">
      <w:pPr>
        <w:shd w:val="clear" w:color="auto" w:fill="auto"/>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2-2、在履行合同过程中，如果乙方遇到可能妨碍按时提供服务的情况，应及时以书面形式将拖延的事实，可能拖延的期限和理由通知甲方。甲方在收到乙方通知后，应尽快对情况进行评价，并确定是否通过修改合同，酌情延长交货时间或对乙方加收误期赔偿金。每延误一周的赔偿费按合同金额的百分之零点五（0.5%）计收，直至提供服务为止。误期赔偿费的最高限额为合同价格的百分之五（5%）。一旦达到误期赔偿费的最高限额，甲方可终止合同。</w:t>
      </w:r>
    </w:p>
    <w:p w14:paraId="23838D1E">
      <w:pPr>
        <w:shd w:val="clear" w:color="auto" w:fill="auto"/>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3、违约终止合同：未按合同要求提供服务或不能满足技术要求，甲方会同监督机构有权终止合同，对乙方违约行为进行追究，同时按政府采购法的有关规定进行相应的处罚。</w:t>
      </w:r>
    </w:p>
    <w:p w14:paraId="3CF2A606">
      <w:pPr>
        <w:shd w:val="clear" w:color="auto" w:fill="auto"/>
        <w:adjustRightInd w:val="0"/>
        <w:snapToGrid w:val="0"/>
        <w:spacing w:line="360" w:lineRule="auto"/>
        <w:ind w:firstLine="480" w:firstLineChars="200"/>
        <w:rPr>
          <w:rFonts w:eastAsia="仿宋_GB2312"/>
          <w:b/>
          <w:bCs/>
          <w:color w:val="auto"/>
          <w:sz w:val="24"/>
          <w:highlight w:val="none"/>
        </w:rPr>
      </w:pPr>
      <w:bookmarkStart w:id="365" w:name="_Toc19515393"/>
      <w:r>
        <w:rPr>
          <w:rFonts w:hint="eastAsia" w:eastAsia="仿宋_GB2312"/>
          <w:b/>
          <w:bCs/>
          <w:color w:val="auto"/>
          <w:sz w:val="24"/>
          <w:highlight w:val="none"/>
          <w:lang w:val="en-US" w:eastAsia="zh-CN"/>
        </w:rPr>
        <w:t>八</w:t>
      </w:r>
      <w:r>
        <w:rPr>
          <w:rFonts w:eastAsia="仿宋_GB2312"/>
          <w:b/>
          <w:bCs/>
          <w:color w:val="auto"/>
          <w:sz w:val="24"/>
          <w:highlight w:val="none"/>
        </w:rPr>
        <w:t>、合同组成</w:t>
      </w:r>
      <w:bookmarkEnd w:id="365"/>
    </w:p>
    <w:p w14:paraId="79FA24C5">
      <w:pPr>
        <w:shd w:val="clear" w:color="auto" w:fill="auto"/>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1、中标通知书</w:t>
      </w:r>
    </w:p>
    <w:p w14:paraId="2F8D0620">
      <w:pPr>
        <w:shd w:val="clear" w:color="auto" w:fill="auto"/>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2、合同文件</w:t>
      </w:r>
    </w:p>
    <w:p w14:paraId="0531B89D">
      <w:pPr>
        <w:shd w:val="clear" w:color="auto" w:fill="auto"/>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3、国家相关规范及标准</w:t>
      </w:r>
    </w:p>
    <w:p w14:paraId="62218791">
      <w:pPr>
        <w:shd w:val="clear" w:color="auto" w:fill="auto"/>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4、招标文件</w:t>
      </w:r>
    </w:p>
    <w:p w14:paraId="51328434">
      <w:pPr>
        <w:shd w:val="clear" w:color="auto" w:fill="auto"/>
        <w:adjustRightInd w:val="0"/>
        <w:snapToGrid w:val="0"/>
        <w:spacing w:line="360" w:lineRule="auto"/>
        <w:ind w:firstLine="480" w:firstLineChars="200"/>
        <w:rPr>
          <w:rFonts w:eastAsia="仿宋_GB2312"/>
          <w:color w:val="auto"/>
          <w:sz w:val="24"/>
          <w:highlight w:val="none"/>
        </w:rPr>
      </w:pPr>
      <w:r>
        <w:rPr>
          <w:rFonts w:eastAsia="仿宋_GB2312"/>
          <w:color w:val="auto"/>
          <w:sz w:val="24"/>
          <w:highlight w:val="none"/>
        </w:rPr>
        <w:t>5、投标文件</w:t>
      </w:r>
    </w:p>
    <w:p w14:paraId="796CCCF8">
      <w:pPr>
        <w:shd w:val="clear" w:color="auto" w:fill="auto"/>
        <w:adjustRightInd w:val="0"/>
        <w:snapToGrid w:val="0"/>
        <w:spacing w:line="360" w:lineRule="auto"/>
        <w:ind w:firstLine="480" w:firstLineChars="200"/>
        <w:rPr>
          <w:rFonts w:eastAsia="仿宋_GB2312"/>
          <w:b/>
          <w:bCs/>
          <w:color w:val="auto"/>
          <w:sz w:val="24"/>
          <w:highlight w:val="none"/>
        </w:rPr>
      </w:pPr>
      <w:bookmarkStart w:id="366" w:name="_Toc19515394"/>
      <w:r>
        <w:rPr>
          <w:rFonts w:hint="eastAsia" w:eastAsia="仿宋_GB2312"/>
          <w:b/>
          <w:bCs/>
          <w:color w:val="auto"/>
          <w:sz w:val="24"/>
          <w:highlight w:val="none"/>
          <w:lang w:val="en-US" w:eastAsia="zh-CN"/>
        </w:rPr>
        <w:t>九</w:t>
      </w:r>
      <w:r>
        <w:rPr>
          <w:rFonts w:eastAsia="仿宋_GB2312"/>
          <w:b/>
          <w:bCs/>
          <w:color w:val="auto"/>
          <w:sz w:val="24"/>
          <w:highlight w:val="none"/>
        </w:rPr>
        <w:t>、解决争议的方法</w:t>
      </w:r>
      <w:bookmarkEnd w:id="366"/>
    </w:p>
    <w:p w14:paraId="44139557">
      <w:pPr>
        <w:widowControl/>
        <w:shd w:val="clear" w:color="auto" w:fill="auto"/>
        <w:autoSpaceDE w:val="0"/>
        <w:autoSpaceDN w:val="0"/>
        <w:snapToGrid w:val="0"/>
        <w:spacing w:line="360" w:lineRule="auto"/>
        <w:ind w:right="-110" w:firstLine="480" w:firstLineChars="200"/>
        <w:textAlignment w:val="bottom"/>
        <w:rPr>
          <w:rFonts w:eastAsia="仿宋_GB2312"/>
          <w:color w:val="auto"/>
          <w:kern w:val="0"/>
          <w:sz w:val="24"/>
          <w:highlight w:val="none"/>
        </w:rPr>
      </w:pPr>
      <w:r>
        <w:rPr>
          <w:rFonts w:eastAsia="仿宋_GB2312"/>
          <w:color w:val="auto"/>
          <w:kern w:val="0"/>
          <w:sz w:val="24"/>
          <w:highlight w:val="none"/>
        </w:rPr>
        <w:t>凡因本合同引起的或与本合同有关的争议，双方应友好协商解决。协商不成时，双方均同意采用以下第（  ）种争议解决方式：</w:t>
      </w:r>
    </w:p>
    <w:p w14:paraId="2A64E5C2">
      <w:pPr>
        <w:widowControl/>
        <w:shd w:val="clear" w:color="auto" w:fill="auto"/>
        <w:autoSpaceDE w:val="0"/>
        <w:autoSpaceDN w:val="0"/>
        <w:snapToGrid w:val="0"/>
        <w:spacing w:line="360" w:lineRule="auto"/>
        <w:ind w:right="-110" w:firstLine="480" w:firstLineChars="200"/>
        <w:textAlignment w:val="bottom"/>
        <w:rPr>
          <w:rFonts w:eastAsia="仿宋_GB2312"/>
          <w:color w:val="auto"/>
          <w:kern w:val="0"/>
          <w:sz w:val="24"/>
          <w:highlight w:val="none"/>
        </w:rPr>
      </w:pPr>
      <w:r>
        <w:rPr>
          <w:rFonts w:hint="eastAsia" w:eastAsia="仿宋_GB2312"/>
          <w:color w:val="auto"/>
          <w:kern w:val="0"/>
          <w:sz w:val="24"/>
          <w:highlight w:val="none"/>
        </w:rPr>
        <w:t>1</w:t>
      </w:r>
      <w:r>
        <w:rPr>
          <w:rFonts w:eastAsia="仿宋_GB2312"/>
          <w:color w:val="auto"/>
          <w:kern w:val="0"/>
          <w:sz w:val="24"/>
          <w:highlight w:val="none"/>
        </w:rPr>
        <w:t>、甲、乙双方均同意向（甲方所在地人民法院）提起诉讼。</w:t>
      </w:r>
    </w:p>
    <w:p w14:paraId="54FB4BC6">
      <w:pPr>
        <w:widowControl/>
        <w:shd w:val="clear" w:color="auto" w:fill="auto"/>
        <w:autoSpaceDE w:val="0"/>
        <w:autoSpaceDN w:val="0"/>
        <w:snapToGrid w:val="0"/>
        <w:spacing w:line="360" w:lineRule="auto"/>
        <w:ind w:right="-110" w:firstLine="480" w:firstLineChars="200"/>
        <w:textAlignment w:val="bottom"/>
        <w:rPr>
          <w:rFonts w:eastAsia="仿宋_GB2312"/>
          <w:color w:val="auto"/>
          <w:kern w:val="0"/>
          <w:sz w:val="24"/>
          <w:highlight w:val="none"/>
        </w:rPr>
      </w:pPr>
      <w:r>
        <w:rPr>
          <w:rFonts w:hint="eastAsia" w:eastAsia="仿宋_GB2312"/>
          <w:color w:val="auto"/>
          <w:kern w:val="0"/>
          <w:sz w:val="24"/>
          <w:highlight w:val="none"/>
        </w:rPr>
        <w:t>2</w:t>
      </w:r>
      <w:r>
        <w:rPr>
          <w:rFonts w:eastAsia="仿宋_GB2312"/>
          <w:color w:val="auto"/>
          <w:kern w:val="0"/>
          <w:sz w:val="24"/>
          <w:highlight w:val="none"/>
        </w:rPr>
        <w:t>、甲、乙双方均同意向（</w:t>
      </w:r>
      <w:r>
        <w:rPr>
          <w:rFonts w:eastAsia="仿宋_GB2312"/>
          <w:color w:val="auto"/>
          <w:kern w:val="0"/>
          <w:sz w:val="24"/>
          <w:highlight w:val="none"/>
        </w:rPr>
        <w:fldChar w:fldCharType="begin"/>
      </w:r>
      <w:r>
        <w:rPr>
          <w:rFonts w:eastAsia="仿宋_GB2312"/>
          <w:color w:val="auto"/>
          <w:kern w:val="0"/>
          <w:sz w:val="24"/>
          <w:highlight w:val="none"/>
        </w:rPr>
        <w:instrText xml:space="preserve"> HYPERLINK "http://www.baidu.com/s?wd=%E4%BB%B2%E8%A3%81%E5%A7%94%E5%91%98%E4%BC%9A&amp;tn=SE_PcZhidaonwhc_ngpagmjz&amp;rsv_dl=gh_pc_zhidao" \t "_blank" </w:instrText>
      </w:r>
      <w:r>
        <w:rPr>
          <w:rFonts w:eastAsia="仿宋_GB2312"/>
          <w:color w:val="auto"/>
          <w:kern w:val="0"/>
          <w:sz w:val="24"/>
          <w:highlight w:val="none"/>
        </w:rPr>
        <w:fldChar w:fldCharType="separate"/>
      </w:r>
      <w:r>
        <w:rPr>
          <w:rFonts w:eastAsia="仿宋_GB2312"/>
          <w:color w:val="auto"/>
          <w:kern w:val="0"/>
          <w:sz w:val="24"/>
          <w:highlight w:val="none"/>
        </w:rPr>
        <w:t>仲裁委员会</w:t>
      </w:r>
      <w:r>
        <w:rPr>
          <w:rFonts w:eastAsia="仿宋_GB2312"/>
          <w:color w:val="auto"/>
          <w:kern w:val="0"/>
          <w:sz w:val="24"/>
          <w:highlight w:val="none"/>
        </w:rPr>
        <w:fldChar w:fldCharType="end"/>
      </w:r>
      <w:r>
        <w:rPr>
          <w:rFonts w:eastAsia="仿宋_GB2312"/>
          <w:color w:val="auto"/>
          <w:kern w:val="0"/>
          <w:sz w:val="24"/>
          <w:highlight w:val="none"/>
        </w:rPr>
        <w:t>）提起仲裁。</w:t>
      </w:r>
    </w:p>
    <w:p w14:paraId="4A7031C1">
      <w:pPr>
        <w:shd w:val="clear" w:color="auto" w:fill="auto"/>
        <w:adjustRightInd w:val="0"/>
        <w:snapToGrid w:val="0"/>
        <w:spacing w:line="360" w:lineRule="auto"/>
        <w:ind w:firstLine="480" w:firstLineChars="200"/>
        <w:rPr>
          <w:rFonts w:eastAsia="仿宋_GB2312"/>
          <w:b/>
          <w:bCs/>
          <w:color w:val="auto"/>
          <w:sz w:val="24"/>
          <w:highlight w:val="none"/>
        </w:rPr>
      </w:pPr>
      <w:bookmarkStart w:id="367" w:name="_Toc19515395"/>
      <w:r>
        <w:rPr>
          <w:rFonts w:eastAsia="仿宋_GB2312"/>
          <w:b/>
          <w:bCs/>
          <w:color w:val="auto"/>
          <w:sz w:val="24"/>
          <w:highlight w:val="none"/>
        </w:rPr>
        <w:t>十、合同生效及其它</w:t>
      </w:r>
      <w:bookmarkEnd w:id="367"/>
    </w:p>
    <w:p w14:paraId="65CA6E8F">
      <w:pPr>
        <w:widowControl/>
        <w:shd w:val="clear" w:color="auto" w:fill="auto"/>
        <w:autoSpaceDE w:val="0"/>
        <w:autoSpaceDN w:val="0"/>
        <w:snapToGrid w:val="0"/>
        <w:spacing w:line="360" w:lineRule="auto"/>
        <w:ind w:right="-110" w:firstLine="480" w:firstLineChars="200"/>
        <w:textAlignment w:val="bottom"/>
        <w:rPr>
          <w:rFonts w:eastAsia="仿宋_GB2312"/>
          <w:color w:val="auto"/>
          <w:kern w:val="0"/>
          <w:sz w:val="24"/>
          <w:highlight w:val="none"/>
        </w:rPr>
      </w:pPr>
      <w:r>
        <w:rPr>
          <w:rFonts w:eastAsia="仿宋_GB2312"/>
          <w:color w:val="auto"/>
          <w:kern w:val="0"/>
          <w:sz w:val="24"/>
          <w:highlight w:val="none"/>
        </w:rPr>
        <w:t>1、合同未尽事宜、由甲、乙双方协商，作为合同补充，与原合同具有同等法律效力。</w:t>
      </w:r>
    </w:p>
    <w:p w14:paraId="5B7808F4">
      <w:pPr>
        <w:widowControl/>
        <w:shd w:val="clear" w:color="auto" w:fill="auto"/>
        <w:tabs>
          <w:tab w:val="left" w:pos="8391"/>
        </w:tabs>
        <w:autoSpaceDE w:val="0"/>
        <w:autoSpaceDN w:val="0"/>
        <w:snapToGrid w:val="0"/>
        <w:spacing w:line="360" w:lineRule="auto"/>
        <w:ind w:right="-69" w:firstLine="480" w:firstLineChars="200"/>
        <w:textAlignment w:val="bottom"/>
        <w:rPr>
          <w:rFonts w:eastAsia="仿宋_GB2312"/>
          <w:color w:val="auto"/>
          <w:kern w:val="0"/>
          <w:sz w:val="24"/>
          <w:highlight w:val="none"/>
        </w:rPr>
      </w:pPr>
      <w:r>
        <w:rPr>
          <w:rFonts w:eastAsia="仿宋_GB2312"/>
          <w:color w:val="auto"/>
          <w:kern w:val="0"/>
          <w:sz w:val="24"/>
          <w:highlight w:val="none"/>
        </w:rPr>
        <w:t>2、 本合同正本一式</w:t>
      </w:r>
      <w:r>
        <w:rPr>
          <w:rFonts w:eastAsia="仿宋_GB2312"/>
          <w:color w:val="auto"/>
          <w:kern w:val="0"/>
          <w:sz w:val="24"/>
          <w:highlight w:val="none"/>
          <w:u w:val="single"/>
        </w:rPr>
        <w:t xml:space="preserve">  </w:t>
      </w:r>
      <w:r>
        <w:rPr>
          <w:rFonts w:eastAsia="仿宋_GB2312"/>
          <w:color w:val="auto"/>
          <w:kern w:val="0"/>
          <w:sz w:val="24"/>
          <w:highlight w:val="none"/>
        </w:rPr>
        <w:t>份，甲方、乙方双方分别执</w:t>
      </w:r>
      <w:r>
        <w:rPr>
          <w:rFonts w:eastAsia="仿宋_GB2312"/>
          <w:color w:val="auto"/>
          <w:kern w:val="0"/>
          <w:sz w:val="24"/>
          <w:highlight w:val="none"/>
          <w:u w:val="single"/>
        </w:rPr>
        <w:t xml:space="preserve">  </w:t>
      </w:r>
      <w:r>
        <w:rPr>
          <w:rFonts w:eastAsia="仿宋_GB2312"/>
          <w:color w:val="auto"/>
          <w:kern w:val="0"/>
          <w:sz w:val="24"/>
          <w:highlight w:val="none"/>
        </w:rPr>
        <w:t>份，</w:t>
      </w:r>
      <w:r>
        <w:rPr>
          <w:rFonts w:eastAsia="仿宋_GB2312"/>
          <w:color w:val="auto"/>
          <w:kern w:val="0"/>
          <w:sz w:val="24"/>
          <w:highlight w:val="none"/>
          <w:u w:val="single"/>
        </w:rPr>
        <w:t xml:space="preserve">       </w:t>
      </w:r>
      <w:r>
        <w:rPr>
          <w:rFonts w:eastAsia="仿宋_GB2312"/>
          <w:color w:val="auto"/>
          <w:kern w:val="0"/>
          <w:sz w:val="24"/>
          <w:highlight w:val="none"/>
        </w:rPr>
        <w:t>备案</w:t>
      </w:r>
      <w:r>
        <w:rPr>
          <w:rFonts w:eastAsia="仿宋_GB2312"/>
          <w:color w:val="auto"/>
          <w:kern w:val="0"/>
          <w:sz w:val="24"/>
          <w:highlight w:val="none"/>
          <w:u w:val="single"/>
        </w:rPr>
        <w:t xml:space="preserve">  </w:t>
      </w:r>
      <w:r>
        <w:rPr>
          <w:rFonts w:eastAsia="仿宋_GB2312"/>
          <w:color w:val="auto"/>
          <w:kern w:val="0"/>
          <w:sz w:val="24"/>
          <w:highlight w:val="none"/>
        </w:rPr>
        <w:t>份。</w:t>
      </w:r>
    </w:p>
    <w:p w14:paraId="655E3D70">
      <w:pPr>
        <w:widowControl/>
        <w:shd w:val="clear" w:color="auto" w:fill="auto"/>
        <w:tabs>
          <w:tab w:val="left" w:pos="8391"/>
        </w:tabs>
        <w:autoSpaceDE w:val="0"/>
        <w:autoSpaceDN w:val="0"/>
        <w:snapToGrid w:val="0"/>
        <w:spacing w:line="360" w:lineRule="auto"/>
        <w:ind w:right="-69" w:firstLine="480" w:firstLineChars="200"/>
        <w:textAlignment w:val="bottom"/>
        <w:rPr>
          <w:rFonts w:eastAsia="仿宋_GB2312"/>
          <w:color w:val="auto"/>
          <w:kern w:val="0"/>
          <w:sz w:val="24"/>
          <w:highlight w:val="none"/>
        </w:rPr>
      </w:pPr>
      <w:r>
        <w:rPr>
          <w:rFonts w:eastAsia="仿宋_GB2312"/>
          <w:color w:val="auto"/>
          <w:kern w:val="0"/>
          <w:sz w:val="24"/>
          <w:highlight w:val="none"/>
        </w:rPr>
        <w:t>3、合同经甲乙双方盖章、签字后生效，合同签订地点为</w:t>
      </w:r>
      <w:r>
        <w:rPr>
          <w:rFonts w:eastAsia="仿宋_GB2312"/>
          <w:color w:val="auto"/>
          <w:kern w:val="0"/>
          <w:sz w:val="24"/>
          <w:highlight w:val="none"/>
          <w:u w:val="single"/>
        </w:rPr>
        <w:t xml:space="preserve">   </w:t>
      </w:r>
      <w:r>
        <w:rPr>
          <w:rFonts w:eastAsia="仿宋_GB2312"/>
          <w:color w:val="auto"/>
          <w:kern w:val="0"/>
          <w:sz w:val="24"/>
          <w:highlight w:val="none"/>
        </w:rPr>
        <w:t>。</w:t>
      </w:r>
    </w:p>
    <w:p w14:paraId="752877FE">
      <w:pPr>
        <w:widowControl/>
        <w:shd w:val="clear" w:color="auto" w:fill="auto"/>
        <w:tabs>
          <w:tab w:val="left" w:pos="8391"/>
        </w:tabs>
        <w:autoSpaceDE w:val="0"/>
        <w:autoSpaceDN w:val="0"/>
        <w:snapToGrid w:val="0"/>
        <w:spacing w:line="360" w:lineRule="auto"/>
        <w:ind w:right="-69" w:firstLine="480" w:firstLineChars="200"/>
        <w:textAlignment w:val="bottom"/>
        <w:rPr>
          <w:rFonts w:eastAsia="仿宋_GB2312"/>
          <w:color w:val="auto"/>
          <w:kern w:val="0"/>
          <w:sz w:val="24"/>
          <w:highlight w:val="none"/>
        </w:rPr>
      </w:pPr>
      <w:r>
        <w:rPr>
          <w:rFonts w:eastAsia="仿宋_GB2312"/>
          <w:color w:val="auto"/>
          <w:kern w:val="0"/>
          <w:sz w:val="24"/>
          <w:highlight w:val="none"/>
        </w:rPr>
        <w:t>4、生效时间：</w:t>
      </w:r>
      <w:r>
        <w:rPr>
          <w:rFonts w:eastAsia="仿宋_GB2312"/>
          <w:color w:val="auto"/>
          <w:kern w:val="0"/>
          <w:sz w:val="24"/>
          <w:highlight w:val="none"/>
          <w:u w:val="single"/>
        </w:rPr>
        <w:t xml:space="preserve">   </w:t>
      </w:r>
      <w:r>
        <w:rPr>
          <w:rFonts w:eastAsia="仿宋_GB2312"/>
          <w:color w:val="auto"/>
          <w:kern w:val="0"/>
          <w:sz w:val="24"/>
          <w:highlight w:val="none"/>
        </w:rPr>
        <w:t>年</w:t>
      </w:r>
      <w:r>
        <w:rPr>
          <w:rFonts w:eastAsia="仿宋_GB2312"/>
          <w:color w:val="auto"/>
          <w:kern w:val="0"/>
          <w:sz w:val="24"/>
          <w:highlight w:val="none"/>
          <w:u w:val="single"/>
        </w:rPr>
        <w:t xml:space="preserve">  </w:t>
      </w:r>
      <w:r>
        <w:rPr>
          <w:rFonts w:eastAsia="仿宋_GB2312"/>
          <w:color w:val="auto"/>
          <w:kern w:val="0"/>
          <w:sz w:val="24"/>
          <w:highlight w:val="none"/>
        </w:rPr>
        <w:t>月</w:t>
      </w:r>
      <w:r>
        <w:rPr>
          <w:rFonts w:eastAsia="仿宋_GB2312"/>
          <w:color w:val="auto"/>
          <w:kern w:val="0"/>
          <w:sz w:val="24"/>
          <w:highlight w:val="none"/>
          <w:u w:val="single"/>
        </w:rPr>
        <w:t xml:space="preserve">  </w:t>
      </w:r>
      <w:r>
        <w:rPr>
          <w:rFonts w:eastAsia="仿宋_GB2312"/>
          <w:color w:val="auto"/>
          <w:kern w:val="0"/>
          <w:sz w:val="24"/>
          <w:highlight w:val="none"/>
        </w:rPr>
        <w:t>日</w:t>
      </w:r>
    </w:p>
    <w:p w14:paraId="40888BA9">
      <w:pPr>
        <w:widowControl/>
        <w:shd w:val="clear" w:color="auto" w:fill="auto"/>
        <w:tabs>
          <w:tab w:val="left" w:pos="8391"/>
        </w:tabs>
        <w:autoSpaceDE w:val="0"/>
        <w:autoSpaceDN w:val="0"/>
        <w:snapToGrid w:val="0"/>
        <w:spacing w:line="360" w:lineRule="auto"/>
        <w:ind w:right="-69" w:firstLine="840" w:firstLineChars="350"/>
        <w:textAlignment w:val="bottom"/>
        <w:rPr>
          <w:rFonts w:eastAsia="仿宋_GB2312"/>
          <w:color w:val="auto"/>
          <w:kern w:val="0"/>
          <w:sz w:val="24"/>
          <w:highlight w:val="none"/>
        </w:rPr>
      </w:pPr>
    </w:p>
    <w:tbl>
      <w:tblPr>
        <w:tblStyle w:val="36"/>
        <w:tblW w:w="0" w:type="auto"/>
        <w:jc w:val="center"/>
        <w:tblLayout w:type="fixed"/>
        <w:tblCellMar>
          <w:top w:w="0" w:type="dxa"/>
          <w:left w:w="108" w:type="dxa"/>
          <w:bottom w:w="0" w:type="dxa"/>
          <w:right w:w="108" w:type="dxa"/>
        </w:tblCellMar>
      </w:tblPr>
      <w:tblGrid>
        <w:gridCol w:w="4643"/>
        <w:gridCol w:w="4643"/>
      </w:tblGrid>
      <w:tr w14:paraId="0A38E46D">
        <w:tblPrEx>
          <w:tblCellMar>
            <w:top w:w="0" w:type="dxa"/>
            <w:left w:w="108" w:type="dxa"/>
            <w:bottom w:w="0" w:type="dxa"/>
            <w:right w:w="108" w:type="dxa"/>
          </w:tblCellMar>
        </w:tblPrEx>
        <w:trPr>
          <w:jc w:val="center"/>
        </w:trPr>
        <w:tc>
          <w:tcPr>
            <w:tcW w:w="4643" w:type="dxa"/>
            <w:noWrap w:val="0"/>
            <w:vAlign w:val="top"/>
          </w:tcPr>
          <w:p w14:paraId="17EE67D6">
            <w:pPr>
              <w:widowControl/>
              <w:shd w:val="clear" w:color="auto" w:fill="auto"/>
              <w:autoSpaceDE w:val="0"/>
              <w:autoSpaceDN w:val="0"/>
              <w:snapToGrid w:val="0"/>
              <w:spacing w:line="360" w:lineRule="auto"/>
              <w:ind w:right="-154"/>
              <w:textAlignment w:val="bottom"/>
              <w:rPr>
                <w:rFonts w:eastAsia="仿宋_GB2312"/>
                <w:color w:val="auto"/>
                <w:kern w:val="0"/>
                <w:sz w:val="24"/>
                <w:highlight w:val="none"/>
              </w:rPr>
            </w:pPr>
            <w:r>
              <w:rPr>
                <w:rFonts w:eastAsia="仿宋_GB2312"/>
                <w:color w:val="auto"/>
                <w:kern w:val="0"/>
                <w:sz w:val="24"/>
                <w:highlight w:val="none"/>
              </w:rPr>
              <w:t>甲方名称</w:t>
            </w:r>
            <w:r>
              <w:rPr>
                <w:rFonts w:eastAsia="仿宋_GB2312"/>
                <w:color w:val="auto"/>
                <w:spacing w:val="-20"/>
                <w:kern w:val="0"/>
                <w:sz w:val="24"/>
                <w:highlight w:val="none"/>
              </w:rPr>
              <w:t>（盖章）</w:t>
            </w:r>
            <w:r>
              <w:rPr>
                <w:rFonts w:eastAsia="仿宋_GB2312"/>
                <w:color w:val="auto"/>
                <w:kern w:val="0"/>
                <w:sz w:val="24"/>
                <w:highlight w:val="none"/>
              </w:rPr>
              <w:t>:</w:t>
            </w:r>
          </w:p>
          <w:p w14:paraId="43012E3B">
            <w:pPr>
              <w:widowControl/>
              <w:shd w:val="clear" w:color="auto" w:fill="auto"/>
              <w:autoSpaceDE w:val="0"/>
              <w:autoSpaceDN w:val="0"/>
              <w:snapToGrid w:val="0"/>
              <w:spacing w:line="360" w:lineRule="auto"/>
              <w:ind w:right="-154"/>
              <w:textAlignment w:val="bottom"/>
              <w:rPr>
                <w:rFonts w:eastAsia="仿宋_GB2312"/>
                <w:color w:val="auto"/>
                <w:kern w:val="0"/>
                <w:sz w:val="24"/>
                <w:highlight w:val="none"/>
              </w:rPr>
            </w:pPr>
            <w:r>
              <w:rPr>
                <w:rFonts w:eastAsia="仿宋_GB2312"/>
                <w:color w:val="auto"/>
                <w:kern w:val="0"/>
                <w:sz w:val="24"/>
                <w:highlight w:val="none"/>
              </w:rPr>
              <w:t>地址：</w:t>
            </w:r>
          </w:p>
          <w:p w14:paraId="67F2B4ED">
            <w:pPr>
              <w:widowControl/>
              <w:shd w:val="clear" w:color="auto" w:fill="auto"/>
              <w:autoSpaceDE w:val="0"/>
              <w:autoSpaceDN w:val="0"/>
              <w:snapToGrid w:val="0"/>
              <w:spacing w:line="360" w:lineRule="auto"/>
              <w:ind w:right="-154"/>
              <w:textAlignment w:val="bottom"/>
              <w:rPr>
                <w:rFonts w:eastAsia="仿宋_GB2312"/>
                <w:color w:val="auto"/>
                <w:kern w:val="0"/>
                <w:sz w:val="24"/>
                <w:highlight w:val="none"/>
              </w:rPr>
            </w:pPr>
            <w:r>
              <w:rPr>
                <w:rFonts w:eastAsia="仿宋_GB2312"/>
                <w:color w:val="auto"/>
                <w:kern w:val="0"/>
                <w:sz w:val="24"/>
                <w:highlight w:val="none"/>
              </w:rPr>
              <w:t>代表人（签字）：</w:t>
            </w:r>
          </w:p>
          <w:p w14:paraId="5C87F1F0">
            <w:pPr>
              <w:widowControl/>
              <w:shd w:val="clear" w:color="auto" w:fill="auto"/>
              <w:autoSpaceDE w:val="0"/>
              <w:autoSpaceDN w:val="0"/>
              <w:snapToGrid w:val="0"/>
              <w:spacing w:line="360" w:lineRule="auto"/>
              <w:ind w:right="-154"/>
              <w:textAlignment w:val="bottom"/>
              <w:rPr>
                <w:rFonts w:eastAsia="仿宋_GB2312"/>
                <w:color w:val="auto"/>
                <w:kern w:val="0"/>
                <w:sz w:val="24"/>
                <w:highlight w:val="none"/>
              </w:rPr>
            </w:pPr>
            <w:r>
              <w:rPr>
                <w:rFonts w:eastAsia="仿宋_GB2312"/>
                <w:color w:val="auto"/>
                <w:kern w:val="0"/>
                <w:sz w:val="24"/>
                <w:highlight w:val="none"/>
              </w:rPr>
              <w:t>电话：</w:t>
            </w:r>
          </w:p>
          <w:p w14:paraId="7A24F908">
            <w:pPr>
              <w:widowControl/>
              <w:shd w:val="clear" w:color="auto" w:fill="auto"/>
              <w:autoSpaceDE w:val="0"/>
              <w:autoSpaceDN w:val="0"/>
              <w:snapToGrid w:val="0"/>
              <w:spacing w:line="360" w:lineRule="auto"/>
              <w:ind w:right="-154"/>
              <w:textAlignment w:val="bottom"/>
              <w:rPr>
                <w:rFonts w:eastAsia="仿宋_GB2312"/>
                <w:color w:val="auto"/>
                <w:kern w:val="0"/>
                <w:sz w:val="24"/>
                <w:highlight w:val="none"/>
              </w:rPr>
            </w:pPr>
            <w:r>
              <w:rPr>
                <w:rFonts w:eastAsia="仿宋_GB2312"/>
                <w:color w:val="auto"/>
                <w:kern w:val="0"/>
                <w:sz w:val="24"/>
                <w:highlight w:val="none"/>
              </w:rPr>
              <w:t>开户银行：</w:t>
            </w:r>
          </w:p>
          <w:p w14:paraId="6F0C9B07">
            <w:pPr>
              <w:widowControl/>
              <w:shd w:val="clear" w:color="auto" w:fill="auto"/>
              <w:autoSpaceDE w:val="0"/>
              <w:autoSpaceDN w:val="0"/>
              <w:snapToGrid w:val="0"/>
              <w:spacing w:line="360" w:lineRule="auto"/>
              <w:ind w:right="-154"/>
              <w:textAlignment w:val="bottom"/>
              <w:rPr>
                <w:rFonts w:eastAsia="仿宋_GB2312"/>
                <w:color w:val="auto"/>
                <w:kern w:val="0"/>
                <w:sz w:val="24"/>
                <w:highlight w:val="none"/>
              </w:rPr>
            </w:pPr>
            <w:r>
              <w:rPr>
                <w:rFonts w:eastAsia="仿宋_GB2312"/>
                <w:color w:val="auto"/>
                <w:kern w:val="0"/>
                <w:sz w:val="24"/>
                <w:highlight w:val="none"/>
              </w:rPr>
              <w:t>账号：</w:t>
            </w:r>
          </w:p>
        </w:tc>
        <w:tc>
          <w:tcPr>
            <w:tcW w:w="4643" w:type="dxa"/>
            <w:noWrap w:val="0"/>
            <w:vAlign w:val="top"/>
          </w:tcPr>
          <w:p w14:paraId="5F773602">
            <w:pPr>
              <w:widowControl/>
              <w:shd w:val="clear" w:color="auto" w:fill="auto"/>
              <w:autoSpaceDE w:val="0"/>
              <w:autoSpaceDN w:val="0"/>
              <w:snapToGrid w:val="0"/>
              <w:spacing w:line="360" w:lineRule="auto"/>
              <w:ind w:right="-154"/>
              <w:textAlignment w:val="bottom"/>
              <w:rPr>
                <w:rFonts w:eastAsia="仿宋_GB2312"/>
                <w:color w:val="auto"/>
                <w:kern w:val="0"/>
                <w:sz w:val="24"/>
                <w:highlight w:val="none"/>
              </w:rPr>
            </w:pPr>
            <w:r>
              <w:rPr>
                <w:rFonts w:eastAsia="仿宋_GB2312"/>
                <w:color w:val="auto"/>
                <w:kern w:val="0"/>
                <w:sz w:val="24"/>
                <w:highlight w:val="none"/>
              </w:rPr>
              <w:t>乙方名称</w:t>
            </w:r>
            <w:r>
              <w:rPr>
                <w:rFonts w:eastAsia="仿宋_GB2312"/>
                <w:color w:val="auto"/>
                <w:spacing w:val="-20"/>
                <w:kern w:val="0"/>
                <w:sz w:val="24"/>
                <w:highlight w:val="none"/>
              </w:rPr>
              <w:t>（盖章）</w:t>
            </w:r>
            <w:r>
              <w:rPr>
                <w:rFonts w:eastAsia="仿宋_GB2312"/>
                <w:color w:val="auto"/>
                <w:kern w:val="0"/>
                <w:sz w:val="24"/>
                <w:highlight w:val="none"/>
              </w:rPr>
              <w:t>:</w:t>
            </w:r>
          </w:p>
          <w:p w14:paraId="41FDC7CC">
            <w:pPr>
              <w:widowControl/>
              <w:shd w:val="clear" w:color="auto" w:fill="auto"/>
              <w:autoSpaceDE w:val="0"/>
              <w:autoSpaceDN w:val="0"/>
              <w:snapToGrid w:val="0"/>
              <w:spacing w:line="360" w:lineRule="auto"/>
              <w:ind w:right="-154"/>
              <w:textAlignment w:val="bottom"/>
              <w:rPr>
                <w:rFonts w:eastAsia="仿宋_GB2312"/>
                <w:color w:val="auto"/>
                <w:kern w:val="0"/>
                <w:sz w:val="24"/>
                <w:highlight w:val="none"/>
              </w:rPr>
            </w:pPr>
            <w:r>
              <w:rPr>
                <w:rFonts w:eastAsia="仿宋_GB2312"/>
                <w:color w:val="auto"/>
                <w:kern w:val="0"/>
                <w:sz w:val="24"/>
                <w:highlight w:val="none"/>
              </w:rPr>
              <w:t>地址：</w:t>
            </w:r>
          </w:p>
          <w:p w14:paraId="3A872DE2">
            <w:pPr>
              <w:widowControl/>
              <w:shd w:val="clear" w:color="auto" w:fill="auto"/>
              <w:autoSpaceDE w:val="0"/>
              <w:autoSpaceDN w:val="0"/>
              <w:snapToGrid w:val="0"/>
              <w:spacing w:line="360" w:lineRule="auto"/>
              <w:ind w:right="-154"/>
              <w:textAlignment w:val="bottom"/>
              <w:rPr>
                <w:rFonts w:eastAsia="仿宋_GB2312"/>
                <w:color w:val="auto"/>
                <w:kern w:val="0"/>
                <w:sz w:val="24"/>
                <w:highlight w:val="none"/>
              </w:rPr>
            </w:pPr>
            <w:r>
              <w:rPr>
                <w:rFonts w:eastAsia="仿宋_GB2312"/>
                <w:color w:val="auto"/>
                <w:kern w:val="0"/>
                <w:sz w:val="24"/>
                <w:highlight w:val="none"/>
              </w:rPr>
              <w:t>代表人（签字）：</w:t>
            </w:r>
          </w:p>
          <w:p w14:paraId="54DC2FCF">
            <w:pPr>
              <w:widowControl/>
              <w:shd w:val="clear" w:color="auto" w:fill="auto"/>
              <w:autoSpaceDE w:val="0"/>
              <w:autoSpaceDN w:val="0"/>
              <w:snapToGrid w:val="0"/>
              <w:spacing w:line="360" w:lineRule="auto"/>
              <w:ind w:right="-154"/>
              <w:textAlignment w:val="bottom"/>
              <w:rPr>
                <w:rFonts w:eastAsia="仿宋_GB2312"/>
                <w:color w:val="auto"/>
                <w:kern w:val="0"/>
                <w:sz w:val="24"/>
                <w:highlight w:val="none"/>
              </w:rPr>
            </w:pPr>
            <w:r>
              <w:rPr>
                <w:rFonts w:eastAsia="仿宋_GB2312"/>
                <w:color w:val="auto"/>
                <w:kern w:val="0"/>
                <w:sz w:val="24"/>
                <w:highlight w:val="none"/>
              </w:rPr>
              <w:t>电话：</w:t>
            </w:r>
          </w:p>
          <w:p w14:paraId="1F70DD59">
            <w:pPr>
              <w:widowControl/>
              <w:shd w:val="clear" w:color="auto" w:fill="auto"/>
              <w:autoSpaceDE w:val="0"/>
              <w:autoSpaceDN w:val="0"/>
              <w:snapToGrid w:val="0"/>
              <w:spacing w:line="360" w:lineRule="auto"/>
              <w:ind w:right="-154"/>
              <w:textAlignment w:val="bottom"/>
              <w:rPr>
                <w:rFonts w:eastAsia="仿宋_GB2312"/>
                <w:color w:val="auto"/>
                <w:kern w:val="0"/>
                <w:sz w:val="24"/>
                <w:highlight w:val="none"/>
              </w:rPr>
            </w:pPr>
            <w:r>
              <w:rPr>
                <w:rFonts w:eastAsia="仿宋_GB2312"/>
                <w:color w:val="auto"/>
                <w:kern w:val="0"/>
                <w:sz w:val="24"/>
                <w:highlight w:val="none"/>
              </w:rPr>
              <w:t>开户银行：</w:t>
            </w:r>
          </w:p>
          <w:p w14:paraId="0D0CE7F3">
            <w:pPr>
              <w:widowControl/>
              <w:shd w:val="clear" w:color="auto" w:fill="auto"/>
              <w:autoSpaceDE w:val="0"/>
              <w:autoSpaceDN w:val="0"/>
              <w:snapToGrid w:val="0"/>
              <w:spacing w:line="360" w:lineRule="auto"/>
              <w:ind w:right="-154"/>
              <w:textAlignment w:val="bottom"/>
              <w:rPr>
                <w:rFonts w:eastAsia="仿宋_GB2312"/>
                <w:color w:val="auto"/>
                <w:kern w:val="0"/>
                <w:sz w:val="24"/>
                <w:highlight w:val="none"/>
              </w:rPr>
            </w:pPr>
            <w:r>
              <w:rPr>
                <w:rFonts w:eastAsia="仿宋_GB2312"/>
                <w:color w:val="auto"/>
                <w:kern w:val="0"/>
                <w:sz w:val="24"/>
                <w:highlight w:val="none"/>
              </w:rPr>
              <w:t>账号：</w:t>
            </w:r>
          </w:p>
        </w:tc>
      </w:tr>
    </w:tbl>
    <w:p w14:paraId="3C9C2570">
      <w:pPr>
        <w:shd w:val="clear" w:color="auto" w:fill="auto"/>
        <w:rPr>
          <w:color w:val="auto"/>
          <w:highlight w:val="none"/>
        </w:rPr>
      </w:pPr>
    </w:p>
    <w:p w14:paraId="5CA624AE">
      <w:pPr>
        <w:shd w:val="clear" w:color="auto" w:fill="auto"/>
        <w:rPr>
          <w:color w:val="auto"/>
          <w:highlight w:val="none"/>
        </w:rPr>
      </w:pPr>
    </w:p>
    <w:p w14:paraId="5468FD15">
      <w:pPr>
        <w:pStyle w:val="7"/>
        <w:shd w:val="clear" w:color="auto" w:fill="auto"/>
        <w:rPr>
          <w:color w:val="auto"/>
          <w:highlight w:val="none"/>
        </w:rPr>
      </w:pPr>
    </w:p>
    <w:p w14:paraId="1DD98F5B">
      <w:pPr>
        <w:pStyle w:val="7"/>
        <w:shd w:val="clear" w:color="auto" w:fill="auto"/>
        <w:rPr>
          <w:color w:val="auto"/>
          <w:highlight w:val="none"/>
        </w:rPr>
      </w:pPr>
    </w:p>
    <w:p w14:paraId="1E7DADB5">
      <w:pPr>
        <w:pStyle w:val="7"/>
        <w:shd w:val="clear" w:color="auto" w:fill="auto"/>
        <w:rPr>
          <w:color w:val="auto"/>
          <w:highlight w:val="none"/>
        </w:rPr>
      </w:pPr>
    </w:p>
    <w:p w14:paraId="00347A4D">
      <w:pPr>
        <w:pStyle w:val="7"/>
        <w:shd w:val="clear" w:color="auto" w:fill="auto"/>
        <w:ind w:left="0" w:leftChars="0" w:firstLine="0" w:firstLineChars="0"/>
        <w:rPr>
          <w:color w:val="auto"/>
          <w:highlight w:val="none"/>
        </w:rPr>
      </w:pPr>
    </w:p>
    <w:p w14:paraId="48F3AAB5">
      <w:pPr>
        <w:pStyle w:val="33"/>
        <w:shd w:val="clear" w:color="auto" w:fill="auto"/>
        <w:rPr>
          <w:color w:val="auto"/>
          <w:highlight w:val="none"/>
        </w:rPr>
      </w:pPr>
      <w:bookmarkStart w:id="368" w:name="_Toc31381"/>
      <w:r>
        <w:rPr>
          <w:rFonts w:ascii="Times New Roman" w:hAnsi="Times New Roman" w:eastAsia="仿宋_GB2312"/>
          <w:color w:val="auto"/>
          <w:highlight w:val="none"/>
        </w:rPr>
        <w:br w:type="page"/>
      </w:r>
      <w:r>
        <w:rPr>
          <w:rFonts w:ascii="Times New Roman" w:hAnsi="Times New Roman" w:eastAsia="仿宋_GB2312"/>
          <w:color w:val="auto"/>
          <w:highlight w:val="none"/>
        </w:rPr>
        <w:t>第五章  采购需求及要求</w:t>
      </w:r>
      <w:bookmarkEnd w:id="368"/>
    </w:p>
    <w:p w14:paraId="0B60A568">
      <w:pPr>
        <w:pStyle w:val="14"/>
        <w:shd w:val="clear" w:color="auto" w:fill="auto"/>
        <w:spacing w:line="360" w:lineRule="auto"/>
        <w:jc w:val="center"/>
        <w:outlineLvl w:val="1"/>
        <w:rPr>
          <w:rFonts w:hint="eastAsia" w:ascii="仿宋" w:hAnsi="仿宋" w:eastAsia="仿宋" w:cs="Times New Roman"/>
          <w:b/>
          <w:kern w:val="2"/>
          <w:sz w:val="28"/>
          <w:szCs w:val="28"/>
          <w:lang w:val="en-US" w:eastAsia="zh-CN" w:bidi="ar-SA"/>
        </w:rPr>
      </w:pPr>
      <w:r>
        <w:rPr>
          <w:rFonts w:hint="eastAsia" w:ascii="仿宋" w:hAnsi="仿宋" w:eastAsia="仿宋" w:cs="Times New Roman"/>
          <w:b/>
          <w:kern w:val="2"/>
          <w:sz w:val="28"/>
          <w:szCs w:val="28"/>
          <w:lang w:val="en-US" w:eastAsia="zh-CN" w:bidi="ar-SA"/>
        </w:rPr>
        <w:t>第1包：ICU桥式吊塔等</w:t>
      </w:r>
    </w:p>
    <w:tbl>
      <w:tblPr>
        <w:tblStyle w:val="36"/>
        <w:tblW w:w="484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16"/>
        <w:gridCol w:w="656"/>
        <w:gridCol w:w="1976"/>
        <w:gridCol w:w="1096"/>
        <w:gridCol w:w="1976"/>
        <w:gridCol w:w="1976"/>
      </w:tblGrid>
      <w:tr w14:paraId="71FC3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731" w:type="pct"/>
            <w:tcBorders>
              <w:top w:val="single" w:color="000000" w:sz="4" w:space="0"/>
              <w:left w:val="single" w:color="000000" w:sz="4" w:space="0"/>
              <w:bottom w:val="single" w:color="000000" w:sz="4" w:space="0"/>
              <w:right w:val="single" w:color="000000" w:sz="4" w:space="0"/>
            </w:tcBorders>
            <w:noWrap/>
            <w:vAlign w:val="center"/>
          </w:tcPr>
          <w:p w14:paraId="52A042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科室</w:t>
            </w:r>
          </w:p>
        </w:tc>
        <w:tc>
          <w:tcPr>
            <w:tcW w:w="364" w:type="pct"/>
            <w:tcBorders>
              <w:top w:val="single" w:color="000000" w:sz="4" w:space="0"/>
              <w:left w:val="single" w:color="000000" w:sz="4" w:space="0"/>
              <w:bottom w:val="single" w:color="000000" w:sz="4" w:space="0"/>
              <w:right w:val="single" w:color="000000" w:sz="4" w:space="0"/>
            </w:tcBorders>
            <w:noWrap/>
            <w:vAlign w:val="center"/>
          </w:tcPr>
          <w:p w14:paraId="21F02C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098" w:type="pct"/>
            <w:tcBorders>
              <w:top w:val="single" w:color="000000" w:sz="4" w:space="0"/>
              <w:left w:val="single" w:color="000000" w:sz="4" w:space="0"/>
              <w:bottom w:val="single" w:color="000000" w:sz="4" w:space="0"/>
              <w:right w:val="single" w:color="000000" w:sz="4" w:space="0"/>
            </w:tcBorders>
            <w:noWrap/>
            <w:vAlign w:val="center"/>
          </w:tcPr>
          <w:p w14:paraId="7D8AAE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设备名称</w:t>
            </w:r>
          </w:p>
        </w:tc>
        <w:tc>
          <w:tcPr>
            <w:tcW w:w="609" w:type="pct"/>
            <w:tcBorders>
              <w:top w:val="single" w:color="000000" w:sz="4" w:space="0"/>
              <w:left w:val="single" w:color="000000" w:sz="4" w:space="0"/>
              <w:bottom w:val="single" w:color="000000" w:sz="4" w:space="0"/>
              <w:right w:val="single" w:color="000000" w:sz="4" w:space="0"/>
            </w:tcBorders>
            <w:noWrap/>
            <w:vAlign w:val="center"/>
          </w:tcPr>
          <w:p w14:paraId="0F972B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购置数量</w:t>
            </w:r>
          </w:p>
        </w:tc>
        <w:tc>
          <w:tcPr>
            <w:tcW w:w="1098" w:type="pct"/>
            <w:tcBorders>
              <w:top w:val="single" w:color="000000" w:sz="4" w:space="0"/>
              <w:left w:val="single" w:color="000000" w:sz="4" w:space="0"/>
              <w:bottom w:val="single" w:color="000000" w:sz="4" w:space="0"/>
              <w:right w:val="single" w:color="000000" w:sz="4" w:space="0"/>
            </w:tcBorders>
            <w:noWrap/>
            <w:vAlign w:val="center"/>
          </w:tcPr>
          <w:p w14:paraId="1D9071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预算单价（万元）</w:t>
            </w:r>
          </w:p>
        </w:tc>
        <w:tc>
          <w:tcPr>
            <w:tcW w:w="1098" w:type="pct"/>
            <w:tcBorders>
              <w:top w:val="single" w:color="000000" w:sz="4" w:space="0"/>
              <w:left w:val="single" w:color="000000" w:sz="4" w:space="0"/>
              <w:bottom w:val="single" w:color="000000" w:sz="4" w:space="0"/>
              <w:right w:val="single" w:color="000000" w:sz="4" w:space="0"/>
            </w:tcBorders>
            <w:noWrap/>
            <w:vAlign w:val="center"/>
          </w:tcPr>
          <w:p w14:paraId="057540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小计金额（万元）</w:t>
            </w:r>
          </w:p>
        </w:tc>
      </w:tr>
      <w:tr w14:paraId="2D776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731" w:type="pct"/>
            <w:tcBorders>
              <w:top w:val="single" w:color="000000" w:sz="4" w:space="0"/>
              <w:left w:val="single" w:color="000000" w:sz="4" w:space="0"/>
              <w:bottom w:val="single" w:color="000000" w:sz="4" w:space="0"/>
              <w:right w:val="single" w:color="000000" w:sz="4" w:space="0"/>
            </w:tcBorders>
            <w:noWrap/>
            <w:vAlign w:val="center"/>
          </w:tcPr>
          <w:p w14:paraId="7701AE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重症医学科</w:t>
            </w:r>
          </w:p>
        </w:tc>
        <w:tc>
          <w:tcPr>
            <w:tcW w:w="364" w:type="pct"/>
            <w:tcBorders>
              <w:top w:val="single" w:color="000000" w:sz="4" w:space="0"/>
              <w:left w:val="single" w:color="000000" w:sz="4" w:space="0"/>
              <w:bottom w:val="single" w:color="000000" w:sz="4" w:space="0"/>
              <w:right w:val="single" w:color="000000" w:sz="4" w:space="0"/>
            </w:tcBorders>
            <w:noWrap/>
            <w:vAlign w:val="center"/>
          </w:tcPr>
          <w:p w14:paraId="7977FA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98" w:type="pct"/>
            <w:tcBorders>
              <w:top w:val="single" w:color="000000" w:sz="4" w:space="0"/>
              <w:left w:val="single" w:color="000000" w:sz="4" w:space="0"/>
              <w:bottom w:val="single" w:color="000000" w:sz="4" w:space="0"/>
              <w:right w:val="single" w:color="000000" w:sz="4" w:space="0"/>
            </w:tcBorders>
            <w:noWrap/>
            <w:vAlign w:val="center"/>
          </w:tcPr>
          <w:p w14:paraId="20BA095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ICU桥式吊塔</w:t>
            </w:r>
          </w:p>
        </w:tc>
        <w:tc>
          <w:tcPr>
            <w:tcW w:w="609" w:type="pct"/>
            <w:tcBorders>
              <w:top w:val="single" w:color="000000" w:sz="4" w:space="0"/>
              <w:left w:val="single" w:color="000000" w:sz="4" w:space="0"/>
              <w:bottom w:val="single" w:color="000000" w:sz="4" w:space="0"/>
              <w:right w:val="single" w:color="000000" w:sz="4" w:space="0"/>
            </w:tcBorders>
            <w:noWrap/>
            <w:vAlign w:val="center"/>
          </w:tcPr>
          <w:p w14:paraId="307628C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098" w:type="pct"/>
            <w:tcBorders>
              <w:top w:val="single" w:color="000000" w:sz="4" w:space="0"/>
              <w:left w:val="single" w:color="000000" w:sz="4" w:space="0"/>
              <w:bottom w:val="single" w:color="000000" w:sz="4" w:space="0"/>
              <w:right w:val="single" w:color="000000" w:sz="4" w:space="0"/>
            </w:tcBorders>
            <w:noWrap/>
            <w:vAlign w:val="center"/>
          </w:tcPr>
          <w:p w14:paraId="0B7F016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098" w:type="pct"/>
            <w:tcBorders>
              <w:top w:val="single" w:color="000000" w:sz="4" w:space="0"/>
              <w:left w:val="single" w:color="000000" w:sz="4" w:space="0"/>
              <w:bottom w:val="single" w:color="000000" w:sz="4" w:space="0"/>
              <w:right w:val="single" w:color="000000" w:sz="4" w:space="0"/>
            </w:tcBorders>
            <w:noWrap/>
            <w:vAlign w:val="center"/>
          </w:tcPr>
          <w:p w14:paraId="2064D1A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w:t>
            </w:r>
          </w:p>
        </w:tc>
      </w:tr>
      <w:tr w14:paraId="06B07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731" w:type="pct"/>
            <w:tcBorders>
              <w:top w:val="single" w:color="000000" w:sz="4" w:space="0"/>
              <w:left w:val="single" w:color="000000" w:sz="4" w:space="0"/>
              <w:bottom w:val="single" w:color="000000" w:sz="4" w:space="0"/>
              <w:right w:val="single" w:color="000000" w:sz="4" w:space="0"/>
            </w:tcBorders>
            <w:noWrap/>
            <w:vAlign w:val="center"/>
          </w:tcPr>
          <w:p w14:paraId="58C459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各病区</w:t>
            </w:r>
          </w:p>
        </w:tc>
        <w:tc>
          <w:tcPr>
            <w:tcW w:w="364" w:type="pct"/>
            <w:tcBorders>
              <w:top w:val="single" w:color="000000" w:sz="4" w:space="0"/>
              <w:left w:val="single" w:color="000000" w:sz="4" w:space="0"/>
              <w:bottom w:val="single" w:color="000000" w:sz="4" w:space="0"/>
              <w:right w:val="single" w:color="000000" w:sz="4" w:space="0"/>
            </w:tcBorders>
            <w:noWrap/>
            <w:vAlign w:val="center"/>
          </w:tcPr>
          <w:p w14:paraId="478FBF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98" w:type="pct"/>
            <w:tcBorders>
              <w:top w:val="single" w:color="000000" w:sz="4" w:space="0"/>
              <w:left w:val="single" w:color="000000" w:sz="4" w:space="0"/>
              <w:bottom w:val="single" w:color="000000" w:sz="4" w:space="0"/>
              <w:right w:val="single" w:color="000000" w:sz="4" w:space="0"/>
            </w:tcBorders>
            <w:noWrap/>
            <w:vAlign w:val="center"/>
          </w:tcPr>
          <w:p w14:paraId="49457EB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病床（含床头柜）</w:t>
            </w:r>
          </w:p>
        </w:tc>
        <w:tc>
          <w:tcPr>
            <w:tcW w:w="609" w:type="pct"/>
            <w:tcBorders>
              <w:top w:val="single" w:color="000000" w:sz="4" w:space="0"/>
              <w:left w:val="single" w:color="000000" w:sz="4" w:space="0"/>
              <w:bottom w:val="single" w:color="000000" w:sz="4" w:space="0"/>
              <w:right w:val="single" w:color="000000" w:sz="4" w:space="0"/>
            </w:tcBorders>
            <w:noWrap/>
            <w:vAlign w:val="center"/>
          </w:tcPr>
          <w:p w14:paraId="66896B0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254</w:t>
            </w:r>
          </w:p>
        </w:tc>
        <w:tc>
          <w:tcPr>
            <w:tcW w:w="1098" w:type="pct"/>
            <w:tcBorders>
              <w:top w:val="single" w:color="000000" w:sz="4" w:space="0"/>
              <w:left w:val="single" w:color="000000" w:sz="4" w:space="0"/>
              <w:bottom w:val="single" w:color="000000" w:sz="4" w:space="0"/>
              <w:right w:val="single" w:color="000000" w:sz="4" w:space="0"/>
            </w:tcBorders>
            <w:noWrap/>
            <w:vAlign w:val="center"/>
          </w:tcPr>
          <w:p w14:paraId="7B568C3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0.3</w:t>
            </w:r>
          </w:p>
        </w:tc>
        <w:tc>
          <w:tcPr>
            <w:tcW w:w="1098" w:type="pct"/>
            <w:tcBorders>
              <w:top w:val="single" w:color="000000" w:sz="4" w:space="0"/>
              <w:left w:val="single" w:color="000000" w:sz="4" w:space="0"/>
              <w:bottom w:val="single" w:color="000000" w:sz="4" w:space="0"/>
              <w:right w:val="single" w:color="000000" w:sz="4" w:space="0"/>
            </w:tcBorders>
            <w:noWrap/>
            <w:vAlign w:val="center"/>
          </w:tcPr>
          <w:p w14:paraId="1567EE2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76.2</w:t>
            </w:r>
          </w:p>
        </w:tc>
      </w:tr>
    </w:tbl>
    <w:p w14:paraId="47D2C42E">
      <w:pPr>
        <w:spacing w:line="480" w:lineRule="exact"/>
        <w:contextualSpacing/>
        <w:outlineLvl w:val="2"/>
        <w:rPr>
          <w:rFonts w:ascii="仿宋" w:hAnsi="仿宋" w:eastAsia="仿宋"/>
          <w:b/>
          <w:sz w:val="28"/>
          <w:szCs w:val="28"/>
        </w:rPr>
      </w:pPr>
      <w:r>
        <w:rPr>
          <w:rFonts w:hint="eastAsia" w:ascii="仿宋" w:hAnsi="仿宋" w:eastAsia="仿宋"/>
          <w:b/>
          <w:sz w:val="28"/>
          <w:szCs w:val="28"/>
        </w:rPr>
        <w:t>序号1：ICU桥式吊塔技术参数要求</w:t>
      </w:r>
    </w:p>
    <w:p w14:paraId="4AB608DB">
      <w:pPr>
        <w:spacing w:line="480" w:lineRule="exact"/>
        <w:contextualSpacing/>
        <w:rPr>
          <w:rFonts w:ascii="仿宋" w:hAnsi="仿宋" w:eastAsia="仿宋"/>
          <w:sz w:val="28"/>
          <w:szCs w:val="28"/>
        </w:rPr>
      </w:pPr>
      <w:r>
        <w:rPr>
          <w:rFonts w:hint="eastAsia" w:ascii="仿宋" w:hAnsi="仿宋" w:eastAsia="仿宋"/>
          <w:sz w:val="28"/>
          <w:szCs w:val="28"/>
        </w:rPr>
        <w:t>一、基本要求</w:t>
      </w:r>
    </w:p>
    <w:p w14:paraId="1D37A92F">
      <w:pPr>
        <w:numPr>
          <w:ilvl w:val="0"/>
          <w:numId w:val="3"/>
        </w:numPr>
        <w:spacing w:line="480" w:lineRule="exact"/>
        <w:ind w:left="-140" w:leftChars="0" w:firstLine="560" w:firstLineChars="0"/>
        <w:contextualSpacing/>
        <w:rPr>
          <w:rFonts w:ascii="仿宋" w:hAnsi="仿宋" w:eastAsia="仿宋"/>
          <w:sz w:val="28"/>
          <w:szCs w:val="28"/>
        </w:rPr>
      </w:pPr>
      <w:r>
        <w:rPr>
          <w:rFonts w:hint="eastAsia" w:ascii="仿宋" w:hAnsi="仿宋" w:eastAsia="仿宋"/>
          <w:sz w:val="28"/>
          <w:szCs w:val="28"/>
        </w:rPr>
        <w:t>吊桥采用6系及以上的铝合金型材，吊桥设备表面采用抗菌喷粉涂层，能有效抑制细菌滋生，大肠杆菌及金黄色葡萄球菌抗菌率≥99.9%（提供第三方检测报告）</w:t>
      </w:r>
    </w:p>
    <w:p w14:paraId="36749FF9">
      <w:pPr>
        <w:numPr>
          <w:ilvl w:val="0"/>
          <w:numId w:val="3"/>
        </w:numPr>
        <w:spacing w:line="480" w:lineRule="exact"/>
        <w:ind w:left="-140" w:leftChars="0" w:firstLine="560" w:firstLineChars="0"/>
        <w:contextualSpacing/>
        <w:rPr>
          <w:rFonts w:ascii="仿宋" w:hAnsi="仿宋" w:eastAsia="仿宋"/>
          <w:sz w:val="28"/>
          <w:szCs w:val="28"/>
        </w:rPr>
      </w:pPr>
      <w:r>
        <w:rPr>
          <w:rFonts w:hint="eastAsia" w:ascii="仿宋" w:hAnsi="仿宋" w:eastAsia="仿宋"/>
          <w:sz w:val="28"/>
          <w:szCs w:val="28"/>
        </w:rPr>
        <w:t>吊桥悬梁工作承重≥300K</w:t>
      </w:r>
      <w:r>
        <w:rPr>
          <w:rFonts w:hint="eastAsia" w:ascii="仿宋" w:hAnsi="仿宋" w:eastAsia="仿宋"/>
          <w:sz w:val="28"/>
          <w:szCs w:val="28"/>
          <w:lang w:val="en-US" w:eastAsia="zh-CN"/>
        </w:rPr>
        <w:t>g</w:t>
      </w:r>
      <w:r>
        <w:rPr>
          <w:rFonts w:hint="eastAsia" w:ascii="仿宋" w:hAnsi="仿宋" w:eastAsia="仿宋"/>
          <w:sz w:val="28"/>
          <w:szCs w:val="28"/>
        </w:rPr>
        <w:t>，通过4倍工作承重1200K</w:t>
      </w:r>
      <w:r>
        <w:rPr>
          <w:rFonts w:hint="eastAsia" w:ascii="仿宋" w:hAnsi="仿宋" w:eastAsia="仿宋"/>
          <w:sz w:val="28"/>
          <w:szCs w:val="28"/>
          <w:lang w:val="en-US" w:eastAsia="zh-CN"/>
        </w:rPr>
        <w:t>g</w:t>
      </w:r>
      <w:r>
        <w:rPr>
          <w:rFonts w:hint="eastAsia" w:ascii="仿宋" w:hAnsi="仿宋" w:eastAsia="仿宋"/>
          <w:sz w:val="28"/>
          <w:szCs w:val="28"/>
        </w:rPr>
        <w:t>的测试</w:t>
      </w:r>
    </w:p>
    <w:p w14:paraId="7450C0C0">
      <w:pPr>
        <w:numPr>
          <w:ilvl w:val="0"/>
          <w:numId w:val="3"/>
        </w:numPr>
        <w:spacing w:line="480" w:lineRule="exact"/>
        <w:ind w:left="-140" w:leftChars="0" w:firstLine="560" w:firstLineChars="0"/>
        <w:contextualSpacing/>
        <w:rPr>
          <w:rFonts w:ascii="仿宋" w:hAnsi="仿宋" w:eastAsia="仿宋"/>
          <w:sz w:val="28"/>
          <w:szCs w:val="28"/>
        </w:rPr>
      </w:pPr>
      <w:r>
        <w:rPr>
          <w:rFonts w:hint="eastAsia" w:ascii="仿宋" w:hAnsi="仿宋" w:eastAsia="仿宋"/>
          <w:sz w:val="28"/>
          <w:szCs w:val="28"/>
        </w:rPr>
        <w:t>吊桥基础架负载10000N˙m的作用力持续10min，法兰盘水平倾斜角</w:t>
      </w:r>
      <w:r>
        <w:rPr>
          <w:rFonts w:hint="eastAsia" w:ascii="仿宋" w:hAnsi="仿宋" w:eastAsia="仿宋"/>
          <w:sz w:val="28"/>
          <w:szCs w:val="28"/>
          <w:lang w:val="en-US" w:eastAsia="zh-CN"/>
        </w:rPr>
        <w:t>≤</w:t>
      </w:r>
      <w:r>
        <w:rPr>
          <w:rFonts w:hint="eastAsia" w:ascii="仿宋" w:hAnsi="仿宋" w:eastAsia="仿宋"/>
          <w:sz w:val="28"/>
          <w:szCs w:val="28"/>
        </w:rPr>
        <w:t>0.6°（提供第三方检测报告）</w:t>
      </w:r>
    </w:p>
    <w:p w14:paraId="70CAF30B">
      <w:pPr>
        <w:numPr>
          <w:ilvl w:val="0"/>
          <w:numId w:val="3"/>
        </w:numPr>
        <w:spacing w:line="480" w:lineRule="exact"/>
        <w:ind w:left="-140" w:leftChars="0" w:firstLine="560" w:firstLineChars="0"/>
        <w:contextualSpacing/>
        <w:rPr>
          <w:rFonts w:ascii="仿宋" w:hAnsi="仿宋" w:eastAsia="仿宋"/>
          <w:sz w:val="28"/>
          <w:szCs w:val="28"/>
        </w:rPr>
      </w:pPr>
      <w:r>
        <w:rPr>
          <w:rFonts w:hint="eastAsia" w:ascii="仿宋" w:hAnsi="仿宋" w:eastAsia="仿宋"/>
          <w:sz w:val="28"/>
          <w:szCs w:val="28"/>
        </w:rPr>
        <w:t>气体终端插拔次数≥5万次无损坏，气体终端采用德标制式，所有气体终端均为不同颜色和不同形状</w:t>
      </w:r>
    </w:p>
    <w:p w14:paraId="6F10B39F">
      <w:pPr>
        <w:numPr>
          <w:ilvl w:val="0"/>
          <w:numId w:val="3"/>
        </w:numPr>
        <w:spacing w:line="480" w:lineRule="exact"/>
        <w:ind w:left="-140" w:leftChars="0" w:firstLine="560" w:firstLineChars="0"/>
        <w:contextualSpacing/>
        <w:rPr>
          <w:rFonts w:hint="eastAsia" w:ascii="仿宋" w:hAnsi="仿宋" w:eastAsia="仿宋"/>
          <w:sz w:val="28"/>
          <w:szCs w:val="28"/>
          <w:lang w:eastAsia="zh-CN"/>
        </w:rPr>
      </w:pPr>
      <w:r>
        <w:rPr>
          <w:rFonts w:hint="eastAsia" w:ascii="仿宋" w:hAnsi="仿宋" w:eastAsia="仿宋"/>
          <w:sz w:val="28"/>
          <w:szCs w:val="28"/>
        </w:rPr>
        <w:t>医用软管为符合EN ISO 5359标准的PVC三层管或者橡胶材质气体软管；软管应能承受≥1MPa的气压测试而不漏气、不爆裂</w:t>
      </w:r>
      <w:r>
        <w:rPr>
          <w:rFonts w:hint="eastAsia" w:ascii="仿宋" w:hAnsi="仿宋" w:eastAsia="仿宋"/>
          <w:sz w:val="28"/>
          <w:szCs w:val="28"/>
          <w:lang w:eastAsia="zh-CN"/>
        </w:rPr>
        <w:t>（</w:t>
      </w:r>
      <w:r>
        <w:rPr>
          <w:rFonts w:hint="eastAsia" w:ascii="仿宋" w:hAnsi="仿宋" w:eastAsia="仿宋"/>
          <w:sz w:val="28"/>
          <w:szCs w:val="28"/>
        </w:rPr>
        <w:t>提供压力测试第三方检测报告</w:t>
      </w:r>
      <w:r>
        <w:rPr>
          <w:rFonts w:hint="eastAsia" w:ascii="仿宋" w:hAnsi="仿宋" w:eastAsia="仿宋"/>
          <w:sz w:val="28"/>
          <w:szCs w:val="28"/>
          <w:lang w:eastAsia="zh-CN"/>
        </w:rPr>
        <w:t>）</w:t>
      </w:r>
    </w:p>
    <w:p w14:paraId="7C84BCB5">
      <w:pPr>
        <w:numPr>
          <w:ilvl w:val="0"/>
          <w:numId w:val="3"/>
        </w:numPr>
        <w:spacing w:line="480" w:lineRule="exact"/>
        <w:ind w:left="-140" w:leftChars="0" w:firstLine="560" w:firstLineChars="0"/>
        <w:contextualSpacing/>
        <w:rPr>
          <w:rFonts w:ascii="仿宋" w:hAnsi="仿宋" w:eastAsia="仿宋"/>
          <w:sz w:val="28"/>
          <w:szCs w:val="28"/>
        </w:rPr>
      </w:pPr>
      <w:r>
        <w:rPr>
          <w:rFonts w:hint="eastAsia" w:ascii="仿宋" w:hAnsi="仿宋" w:eastAsia="仿宋"/>
          <w:sz w:val="28"/>
          <w:szCs w:val="28"/>
        </w:rPr>
        <w:t>吊桥内软管配备可与气体铜管或者气体不锈钢管对接的转换头，转换头带有检修阀门</w:t>
      </w:r>
    </w:p>
    <w:p w14:paraId="135C4DF7">
      <w:pPr>
        <w:numPr>
          <w:ilvl w:val="0"/>
          <w:numId w:val="3"/>
        </w:numPr>
        <w:spacing w:line="480" w:lineRule="exact"/>
        <w:ind w:left="-140" w:leftChars="0" w:firstLine="560" w:firstLineChars="0"/>
        <w:contextualSpacing/>
        <w:rPr>
          <w:rFonts w:ascii="仿宋" w:hAnsi="仿宋" w:eastAsia="仿宋"/>
          <w:sz w:val="28"/>
          <w:szCs w:val="28"/>
        </w:rPr>
      </w:pPr>
      <w:r>
        <w:rPr>
          <w:rFonts w:hint="eastAsia" w:ascii="仿宋" w:hAnsi="仿宋" w:eastAsia="仿宋"/>
          <w:sz w:val="28"/>
          <w:szCs w:val="28"/>
        </w:rPr>
        <w:t>吊桥防尘等级≥IP20</w:t>
      </w:r>
    </w:p>
    <w:p w14:paraId="3C786120">
      <w:pPr>
        <w:numPr>
          <w:ilvl w:val="0"/>
          <w:numId w:val="3"/>
        </w:numPr>
        <w:spacing w:line="480" w:lineRule="exact"/>
        <w:ind w:left="-140" w:leftChars="0" w:firstLine="560" w:firstLineChars="0"/>
        <w:contextualSpacing/>
        <w:rPr>
          <w:rFonts w:ascii="仿宋" w:hAnsi="仿宋" w:eastAsia="仿宋"/>
          <w:sz w:val="28"/>
          <w:szCs w:val="28"/>
        </w:rPr>
      </w:pPr>
      <w:r>
        <w:rPr>
          <w:rFonts w:hint="eastAsia" w:ascii="仿宋" w:hAnsi="仿宋" w:eastAsia="仿宋"/>
          <w:sz w:val="28"/>
          <w:szCs w:val="28"/>
        </w:rPr>
        <w:t>吊桥防火等级要求达到UL94-V0（提供第三方检测报告证明文件）</w:t>
      </w:r>
    </w:p>
    <w:p w14:paraId="185FD601">
      <w:pPr>
        <w:numPr>
          <w:ilvl w:val="0"/>
          <w:numId w:val="3"/>
        </w:numPr>
        <w:spacing w:line="480" w:lineRule="exact"/>
        <w:ind w:left="-140" w:leftChars="0" w:firstLine="560" w:firstLineChars="0"/>
        <w:contextualSpacing/>
        <w:rPr>
          <w:rFonts w:ascii="仿宋" w:hAnsi="仿宋" w:eastAsia="仿宋"/>
          <w:sz w:val="28"/>
          <w:szCs w:val="28"/>
          <w:highlight w:val="none"/>
        </w:rPr>
      </w:pPr>
      <w:r>
        <w:rPr>
          <w:rFonts w:hint="eastAsia" w:ascii="仿宋" w:hAnsi="仿宋" w:eastAsia="仿宋"/>
          <w:sz w:val="28"/>
          <w:szCs w:val="28"/>
          <w:highlight w:val="none"/>
          <w:lang w:val="en-US" w:eastAsia="zh-CN"/>
        </w:rPr>
        <w:t>吊桥通过抗震实验检测，抗震级别达到≥7级（里氏）（提供第三方抗震实验报告）</w:t>
      </w:r>
    </w:p>
    <w:p w14:paraId="75587FC8">
      <w:pPr>
        <w:spacing w:line="480" w:lineRule="exact"/>
        <w:contextualSpacing/>
        <w:rPr>
          <w:rFonts w:ascii="仿宋" w:hAnsi="仿宋" w:eastAsia="仿宋"/>
          <w:sz w:val="28"/>
          <w:szCs w:val="28"/>
          <w:highlight w:val="none"/>
        </w:rPr>
      </w:pPr>
      <w:r>
        <w:rPr>
          <w:rFonts w:hint="eastAsia" w:ascii="仿宋" w:hAnsi="仿宋" w:eastAsia="仿宋"/>
          <w:sz w:val="28"/>
          <w:szCs w:val="28"/>
          <w:highlight w:val="none"/>
        </w:rPr>
        <w:t>二、吊桥配置</w:t>
      </w:r>
    </w:p>
    <w:p w14:paraId="47ECF611">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1、横梁长度：2000</w:t>
      </w:r>
      <w:r>
        <w:rPr>
          <w:rFonts w:hint="eastAsia" w:ascii="仿宋" w:hAnsi="仿宋" w:eastAsia="仿宋"/>
          <w:sz w:val="28"/>
          <w:szCs w:val="28"/>
          <w:lang w:val="en-US" w:eastAsia="zh-CN"/>
        </w:rPr>
        <w:t>～</w:t>
      </w:r>
      <w:r>
        <w:rPr>
          <w:rFonts w:hint="eastAsia" w:ascii="仿宋" w:hAnsi="仿宋" w:eastAsia="仿宋"/>
          <w:sz w:val="28"/>
          <w:szCs w:val="28"/>
        </w:rPr>
        <w:t>3500mm（具体尺寸根据实际现场情况定制）,配备LED夜间照明1套；LED日常照明1套</w:t>
      </w:r>
    </w:p>
    <w:p w14:paraId="7630AB43">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2、吊桥横梁上配备具有液晶显示屏的患者信息系统，该系统可接入医院的HIS系统，患者信息系统的显示屏≥13英寸</w:t>
      </w:r>
    </w:p>
    <w:p w14:paraId="6A2CDA3B">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3、每套吊桥包含一个干区吊柱和一个湿区吊柱</w:t>
      </w:r>
    </w:p>
    <w:p w14:paraId="2BA38B1C">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4、每个吊柱均可以沿横梁水平移动，移动后有限位装置或者位置锁死功能</w:t>
      </w:r>
    </w:p>
    <w:p w14:paraId="0047417A">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5、所有吊柱可绕其与横梁连接轴旋转角度≥330度</w:t>
      </w:r>
    </w:p>
    <w:p w14:paraId="74F9D4CD">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6、所有吊柱均具有阻尼刹车或者气动刹车功能，在满负荷状态下吊柱不漂移</w:t>
      </w:r>
    </w:p>
    <w:p w14:paraId="166DE441">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hint="eastAsia" w:ascii="仿宋" w:hAnsi="仿宋" w:eastAsia="仿宋"/>
          <w:sz w:val="28"/>
          <w:szCs w:val="28"/>
          <w:lang w:eastAsia="zh-CN"/>
        </w:rPr>
      </w:pPr>
      <w:r>
        <w:rPr>
          <w:rFonts w:hint="eastAsia" w:ascii="仿宋" w:hAnsi="仿宋" w:eastAsia="仿宋"/>
          <w:sz w:val="28"/>
          <w:szCs w:val="28"/>
        </w:rPr>
        <w:t>7、每个吊柱承重≥120K</w:t>
      </w:r>
      <w:r>
        <w:rPr>
          <w:rFonts w:hint="eastAsia" w:ascii="仿宋" w:hAnsi="仿宋" w:eastAsia="仿宋"/>
          <w:sz w:val="28"/>
          <w:szCs w:val="28"/>
          <w:lang w:val="en-US" w:eastAsia="zh-CN"/>
        </w:rPr>
        <w:t>g</w:t>
      </w:r>
    </w:p>
    <w:p w14:paraId="20936205">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8、干区配置：</w:t>
      </w:r>
    </w:p>
    <w:p w14:paraId="26B545EF">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（1）德标气体终端（空气2个，负压吸引2个，氧气2个），含所有插头。</w:t>
      </w:r>
    </w:p>
    <w:p w14:paraId="70DAAD9C">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（2）电源插座≥10个斜五孔（220V/10A）， ≥1个三孔（220V/16A）</w:t>
      </w:r>
    </w:p>
    <w:p w14:paraId="20862303">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（3）六类网络接口2个，等电位柱2个</w:t>
      </w:r>
    </w:p>
    <w:p w14:paraId="761A97BA">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hint="eastAsia" w:ascii="仿宋" w:hAnsi="仿宋" w:eastAsia="仿宋"/>
          <w:sz w:val="28"/>
          <w:szCs w:val="28"/>
          <w:lang w:eastAsia="zh-CN"/>
        </w:rPr>
      </w:pPr>
      <w:r>
        <w:rPr>
          <w:rFonts w:hint="eastAsia" w:ascii="仿宋" w:hAnsi="仿宋" w:eastAsia="仿宋"/>
          <w:sz w:val="28"/>
          <w:szCs w:val="28"/>
        </w:rPr>
        <w:t>（4）三层托盘，其中一层带抽屉，每层托盘承重≥40K</w:t>
      </w:r>
      <w:r>
        <w:rPr>
          <w:rFonts w:hint="eastAsia" w:ascii="仿宋" w:hAnsi="仿宋" w:eastAsia="仿宋"/>
          <w:sz w:val="28"/>
          <w:szCs w:val="28"/>
          <w:lang w:val="en-US" w:eastAsia="zh-CN"/>
        </w:rPr>
        <w:t>g</w:t>
      </w:r>
    </w:p>
    <w:p w14:paraId="047C5FD6">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9、湿区配置：</w:t>
      </w:r>
    </w:p>
    <w:p w14:paraId="4E2E4DF0">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（1）德式气体终端（空气2个，负压吸引2个，氧气2个），含所有插头。</w:t>
      </w:r>
    </w:p>
    <w:p w14:paraId="1034A09C">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（2）电源插座≥10个斜5孔（220V/10A），≥ 1个 3孔（220V/16A）</w:t>
      </w:r>
    </w:p>
    <w:p w14:paraId="78566D33">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 xml:space="preserve">（3）六类网络接口 2个 </w:t>
      </w:r>
    </w:p>
    <w:p w14:paraId="4C063BC5">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hint="eastAsia" w:ascii="仿宋" w:hAnsi="仿宋" w:eastAsia="仿宋"/>
          <w:sz w:val="28"/>
          <w:szCs w:val="28"/>
          <w:lang w:eastAsia="zh-CN"/>
        </w:rPr>
      </w:pPr>
      <w:r>
        <w:rPr>
          <w:rFonts w:hint="eastAsia" w:ascii="仿宋" w:hAnsi="仿宋" w:eastAsia="仿宋"/>
          <w:sz w:val="28"/>
          <w:szCs w:val="28"/>
        </w:rPr>
        <w:t>（4）三层设备托盘，其中一层带抽屉，每层托盘承重≥40K</w:t>
      </w:r>
      <w:r>
        <w:rPr>
          <w:rFonts w:hint="eastAsia" w:ascii="仿宋" w:hAnsi="仿宋" w:eastAsia="仿宋"/>
          <w:sz w:val="28"/>
          <w:szCs w:val="28"/>
          <w:lang w:val="en-US" w:eastAsia="zh-CN"/>
        </w:rPr>
        <w:t>g</w:t>
      </w:r>
    </w:p>
    <w:p w14:paraId="05A1B46F">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 xml:space="preserve">（5）网篮1个，带延伸臂的输液架1个 </w:t>
      </w:r>
    </w:p>
    <w:p w14:paraId="62B4743F">
      <w:pPr>
        <w:shd w:val="clear" w:color="auto" w:fill="auto"/>
        <w:rPr>
          <w:color w:val="auto"/>
          <w:highlight w:val="none"/>
        </w:rPr>
      </w:pPr>
    </w:p>
    <w:p w14:paraId="262E3315">
      <w:pPr>
        <w:shd w:val="clear" w:color="auto" w:fill="auto"/>
        <w:rPr>
          <w:color w:val="auto"/>
          <w:highlight w:val="none"/>
        </w:rPr>
      </w:pPr>
    </w:p>
    <w:p w14:paraId="5E9D208C">
      <w:pPr>
        <w:shd w:val="clear" w:color="auto" w:fill="auto"/>
        <w:rPr>
          <w:color w:val="auto"/>
          <w:highlight w:val="none"/>
        </w:rPr>
      </w:pPr>
    </w:p>
    <w:p w14:paraId="485141B9">
      <w:pPr>
        <w:shd w:val="clear" w:color="auto" w:fill="auto"/>
        <w:rPr>
          <w:color w:val="auto"/>
          <w:highlight w:val="none"/>
        </w:rPr>
      </w:pPr>
    </w:p>
    <w:p w14:paraId="3287F901">
      <w:pPr>
        <w:shd w:val="clear" w:color="auto" w:fill="auto"/>
        <w:rPr>
          <w:color w:val="auto"/>
          <w:highlight w:val="none"/>
        </w:rPr>
      </w:pPr>
    </w:p>
    <w:p w14:paraId="5C2D9E7E">
      <w:pPr>
        <w:shd w:val="clear" w:color="auto" w:fill="auto"/>
        <w:rPr>
          <w:color w:val="auto"/>
          <w:highlight w:val="none"/>
        </w:rPr>
      </w:pPr>
    </w:p>
    <w:p w14:paraId="6478BB56">
      <w:pPr>
        <w:shd w:val="clear" w:color="auto" w:fill="auto"/>
        <w:rPr>
          <w:color w:val="auto"/>
          <w:highlight w:val="none"/>
        </w:rPr>
      </w:pPr>
    </w:p>
    <w:p w14:paraId="5206859C">
      <w:pPr>
        <w:shd w:val="clear" w:color="auto" w:fill="auto"/>
        <w:rPr>
          <w:color w:val="auto"/>
          <w:highlight w:val="none"/>
        </w:rPr>
      </w:pPr>
    </w:p>
    <w:p w14:paraId="67FE6A3F">
      <w:pPr>
        <w:shd w:val="clear" w:color="auto" w:fill="auto"/>
        <w:rPr>
          <w:color w:val="auto"/>
          <w:highlight w:val="none"/>
        </w:rPr>
      </w:pPr>
    </w:p>
    <w:p w14:paraId="579A6968">
      <w:pPr>
        <w:shd w:val="clear" w:color="auto" w:fill="auto"/>
        <w:rPr>
          <w:color w:val="auto"/>
          <w:highlight w:val="none"/>
        </w:rPr>
      </w:pPr>
    </w:p>
    <w:p w14:paraId="63E6003F">
      <w:pPr>
        <w:shd w:val="clear" w:color="auto" w:fill="auto"/>
        <w:rPr>
          <w:color w:val="auto"/>
          <w:highlight w:val="none"/>
        </w:rPr>
      </w:pPr>
    </w:p>
    <w:p w14:paraId="7BDDC6D9">
      <w:pPr>
        <w:shd w:val="clear" w:color="auto" w:fill="auto"/>
        <w:rPr>
          <w:color w:val="auto"/>
          <w:highlight w:val="none"/>
        </w:rPr>
      </w:pPr>
    </w:p>
    <w:p w14:paraId="4DD3FC37">
      <w:pPr>
        <w:shd w:val="clear" w:color="auto" w:fill="auto"/>
        <w:rPr>
          <w:color w:val="auto"/>
          <w:highlight w:val="none"/>
        </w:rPr>
      </w:pPr>
    </w:p>
    <w:p w14:paraId="6D8C0E60">
      <w:pPr>
        <w:shd w:val="clear" w:color="auto" w:fill="auto"/>
        <w:rPr>
          <w:color w:val="auto"/>
          <w:highlight w:val="none"/>
        </w:rPr>
      </w:pPr>
    </w:p>
    <w:p w14:paraId="3DF86118">
      <w:pPr>
        <w:shd w:val="clear" w:color="auto" w:fill="auto"/>
        <w:rPr>
          <w:color w:val="auto"/>
          <w:highlight w:val="none"/>
        </w:rPr>
      </w:pPr>
    </w:p>
    <w:p w14:paraId="09FBEE2C">
      <w:pPr>
        <w:spacing w:line="480" w:lineRule="exact"/>
        <w:contextualSpacing/>
        <w:outlineLvl w:val="2"/>
        <w:rPr>
          <w:rFonts w:ascii="仿宋" w:hAnsi="仿宋" w:eastAsia="仿宋"/>
          <w:b/>
          <w:sz w:val="28"/>
          <w:szCs w:val="28"/>
        </w:rPr>
      </w:pPr>
      <w:r>
        <w:rPr>
          <w:rFonts w:hint="eastAsia" w:ascii="仿宋" w:hAnsi="仿宋" w:eastAsia="仿宋"/>
          <w:b/>
          <w:sz w:val="28"/>
          <w:szCs w:val="28"/>
        </w:rPr>
        <w:t>序号2：手摇式三折病床参数</w:t>
      </w:r>
    </w:p>
    <w:p w14:paraId="49E643CC">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一、基本参数</w:t>
      </w:r>
    </w:p>
    <w:p w14:paraId="56848169">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1、规格：≥2120mm×960mm×500mm(宽度不超过960mm）</w:t>
      </w:r>
    </w:p>
    <w:p w14:paraId="7940CF78">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2、床体最大载重量≥200kg</w:t>
      </w:r>
    </w:p>
    <w:p w14:paraId="64C2B4A2">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3、调节范围：背部0～70度可调，偏差±5度</w:t>
      </w:r>
    </w:p>
    <w:p w14:paraId="502C3681">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腿部0～45度可调，偏差±5度</w:t>
      </w:r>
    </w:p>
    <w:p w14:paraId="3E52004D">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二、床头板、床尾板、护栏要求</w:t>
      </w:r>
    </w:p>
    <w:p w14:paraId="5855A5F7">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highlight w:val="none"/>
        </w:rPr>
      </w:pPr>
      <w:r>
        <w:rPr>
          <w:rFonts w:hint="eastAsia" w:ascii="仿宋" w:hAnsi="仿宋" w:eastAsia="仿宋"/>
          <w:sz w:val="28"/>
          <w:szCs w:val="28"/>
          <w:highlight w:val="none"/>
        </w:rPr>
        <w:t>1、采用ABS工程塑料一次吹塑成型工艺</w:t>
      </w:r>
    </w:p>
    <w:p w14:paraId="64CA6DBB">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hint="eastAsia" w:ascii="仿宋" w:hAnsi="仿宋" w:eastAsia="仿宋"/>
          <w:sz w:val="28"/>
          <w:szCs w:val="28"/>
          <w:highlight w:val="none"/>
        </w:rPr>
      </w:pPr>
      <w:r>
        <w:rPr>
          <w:rFonts w:hint="eastAsia" w:ascii="仿宋" w:hAnsi="仿宋" w:eastAsia="仿宋"/>
          <w:sz w:val="28"/>
          <w:szCs w:val="28"/>
          <w:highlight w:val="none"/>
        </w:rPr>
        <w:t>2、锁紧装置采用铝合金型材和钢制件</w:t>
      </w:r>
    </w:p>
    <w:p w14:paraId="52A6D983">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hint="default" w:ascii="仿宋" w:hAnsi="仿宋" w:eastAsia="仿宋"/>
          <w:sz w:val="28"/>
          <w:szCs w:val="28"/>
          <w:highlight w:val="none"/>
          <w:lang w:val="en-US" w:eastAsia="zh-CN"/>
        </w:rPr>
      </w:pPr>
      <w:r>
        <w:rPr>
          <w:rFonts w:hint="eastAsia" w:ascii="仿宋" w:hAnsi="仿宋" w:eastAsia="仿宋"/>
          <w:sz w:val="28"/>
          <w:szCs w:val="28"/>
          <w:highlight w:val="none"/>
          <w:lang w:val="en-US" w:eastAsia="zh-CN"/>
        </w:rPr>
        <w:t>3、护栏为两片分体式ABS大护栏，有效防护长度应≥1550mm</w:t>
      </w:r>
    </w:p>
    <w:p w14:paraId="7B68D467">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三、床体要求</w:t>
      </w:r>
    </w:p>
    <w:p w14:paraId="2B04E590">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1、床框采用≥30mm×60mm×1.5mm碳钢矩管</w:t>
      </w:r>
    </w:p>
    <w:p w14:paraId="2D8E3A39">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2、床面材料为冷轧钢板，厚度≥1.2mm，要求整体拉伸一次模压成型并有透气孔</w:t>
      </w:r>
    </w:p>
    <w:p w14:paraId="1C632AF5">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3、整床体采用内外双重涂层防锈处理工艺</w:t>
      </w:r>
    </w:p>
    <w:p w14:paraId="502703F3">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4、床面四角有斜面过渡倒角</w:t>
      </w:r>
    </w:p>
    <w:p w14:paraId="32830476">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5、床体有床垫防滑筋</w:t>
      </w:r>
    </w:p>
    <w:p w14:paraId="76EBD44C">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四、床脚及脚轮</w:t>
      </w:r>
    </w:p>
    <w:p w14:paraId="7922321F">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1、床脚采用≥50mm×50mm×1.2m的碳钢方管</w:t>
      </w:r>
    </w:p>
    <w:p w14:paraId="0CDAE5AC">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2、脚轮采用</w:t>
      </w:r>
      <w:r>
        <w:rPr>
          <w:rFonts w:hint="eastAsia" w:ascii="仿宋" w:hAnsi="仿宋" w:eastAsia="仿宋"/>
          <w:sz w:val="28"/>
          <w:szCs w:val="28"/>
          <w:lang w:val="en-US" w:eastAsia="zh-CN"/>
        </w:rPr>
        <w:t>≥</w:t>
      </w:r>
      <w:r>
        <w:rPr>
          <w:rFonts w:hint="eastAsia" w:ascii="仿宋" w:hAnsi="仿宋" w:eastAsia="仿宋"/>
          <w:sz w:val="28"/>
          <w:szCs w:val="28"/>
        </w:rPr>
        <w:t>5</w:t>
      </w:r>
      <w:r>
        <w:rPr>
          <w:rFonts w:hint="eastAsia" w:ascii="仿宋" w:hAnsi="仿宋" w:eastAsia="仿宋"/>
          <w:sz w:val="28"/>
          <w:szCs w:val="28"/>
          <w:lang w:val="en-US" w:eastAsia="zh-CN"/>
        </w:rPr>
        <w:t>吋</w:t>
      </w:r>
      <w:r>
        <w:rPr>
          <w:rFonts w:hint="eastAsia" w:ascii="仿宋" w:hAnsi="仿宋" w:eastAsia="仿宋"/>
          <w:sz w:val="28"/>
          <w:szCs w:val="28"/>
        </w:rPr>
        <w:t>带刹双面全塑白色万向脚轮</w:t>
      </w:r>
    </w:p>
    <w:p w14:paraId="3DF85EEF">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五、床垫</w:t>
      </w:r>
    </w:p>
    <w:p w14:paraId="4A02382C">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1、床垫与床的各段匹配，床垫由一层≥50mm高密度海绵，一层≥20mm环保椰棕，一层防水布组成</w:t>
      </w:r>
    </w:p>
    <w:p w14:paraId="4CD69037">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2、床垫具有良好的弹性和韧性且不易变形，床垫套全脱设计</w:t>
      </w:r>
    </w:p>
    <w:p w14:paraId="02A35D42">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3、床垫海绵密度≥40Kg/m</w:t>
      </w:r>
      <w:r>
        <w:rPr>
          <w:rFonts w:hint="eastAsia" w:ascii="仿宋"/>
          <w:sz w:val="28"/>
          <w:szCs w:val="28"/>
        </w:rPr>
        <w:t>³</w:t>
      </w:r>
      <w:r>
        <w:rPr>
          <w:rFonts w:hint="eastAsia" w:ascii="仿宋" w:hAnsi="仿宋" w:eastAsia="仿宋"/>
          <w:sz w:val="28"/>
          <w:szCs w:val="28"/>
        </w:rPr>
        <w:t>，床垫甲醛释放量符合国家环保标准（出具检测报告）</w:t>
      </w:r>
    </w:p>
    <w:p w14:paraId="4F762891">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六、配置</w:t>
      </w:r>
    </w:p>
    <w:p w14:paraId="3D34057F">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1、不锈钢管输液架1个；2、碳钢杂物架1个；3、引流袋挂钩4个；</w:t>
      </w:r>
    </w:p>
    <w:p w14:paraId="10168F99">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4、床头牌1个；5、餐板1个；6、防撞保护块4个</w:t>
      </w:r>
    </w:p>
    <w:p w14:paraId="06C8FCAE">
      <w:pPr>
        <w:spacing w:line="480" w:lineRule="exact"/>
        <w:contextualSpacing/>
        <w:rPr>
          <w:rFonts w:ascii="仿宋" w:hAnsi="仿宋" w:eastAsia="仿宋"/>
          <w:b/>
          <w:sz w:val="28"/>
          <w:szCs w:val="28"/>
        </w:rPr>
      </w:pPr>
      <w:r>
        <w:rPr>
          <w:rFonts w:hint="eastAsia" w:ascii="仿宋" w:hAnsi="仿宋" w:eastAsia="仿宋"/>
          <w:b/>
          <w:sz w:val="28"/>
          <w:szCs w:val="28"/>
        </w:rPr>
        <w:br w:type="page"/>
      </w:r>
      <w:r>
        <w:rPr>
          <w:rFonts w:hint="eastAsia" w:ascii="仿宋" w:hAnsi="仿宋" w:eastAsia="仿宋"/>
          <w:b/>
          <w:sz w:val="28"/>
          <w:szCs w:val="28"/>
        </w:rPr>
        <w:t>床头柜参数</w:t>
      </w:r>
    </w:p>
    <w:p w14:paraId="3F6F7486">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1、床头柜规格尺寸：约460×450×800mm</w:t>
      </w:r>
    </w:p>
    <w:p w14:paraId="3B0B1CAF">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2、床头柜由柜体、台面、柜门、抽屉、滑板、隔板、万向脚轮、毛巾架等组成</w:t>
      </w:r>
    </w:p>
    <w:p w14:paraId="5EE4DCDF">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3、柜体正面形状为平板矩形，左右两侧面配有隐藏式毛巾架，抽屉上面为隐藏式滑板</w:t>
      </w:r>
    </w:p>
    <w:p w14:paraId="486B3F26">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4、柜体采用ABS材料注塑成型，毛巾架采用优质不锈钢加工而成；外围框、抽屉、滑板及隔板固定件均采用优质碳钢喷塑</w:t>
      </w:r>
    </w:p>
    <w:p w14:paraId="36F7C316">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5、柜脚装有四个带刹万向脚轮</w:t>
      </w:r>
    </w:p>
    <w:p w14:paraId="437A86F6">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6、柜门内有一层隔板</w:t>
      </w:r>
    </w:p>
    <w:p w14:paraId="0E972371">
      <w:pPr>
        <w:shd w:val="clear" w:color="auto" w:fill="auto"/>
        <w:rPr>
          <w:color w:val="auto"/>
          <w:highlight w:val="none"/>
        </w:rPr>
      </w:pPr>
    </w:p>
    <w:p w14:paraId="0B5FD24A">
      <w:pPr>
        <w:shd w:val="clear" w:color="auto" w:fill="auto"/>
        <w:rPr>
          <w:color w:val="auto"/>
          <w:highlight w:val="none"/>
        </w:rPr>
      </w:pPr>
    </w:p>
    <w:p w14:paraId="66B74E9E">
      <w:pPr>
        <w:shd w:val="clear" w:color="auto" w:fill="auto"/>
        <w:rPr>
          <w:color w:val="auto"/>
          <w:highlight w:val="none"/>
        </w:rPr>
      </w:pPr>
    </w:p>
    <w:p w14:paraId="79A669A4">
      <w:pPr>
        <w:shd w:val="clear" w:color="auto" w:fill="auto"/>
        <w:rPr>
          <w:color w:val="auto"/>
          <w:highlight w:val="none"/>
        </w:rPr>
      </w:pPr>
    </w:p>
    <w:p w14:paraId="603A72DB">
      <w:pPr>
        <w:shd w:val="clear" w:color="auto" w:fill="auto"/>
        <w:rPr>
          <w:color w:val="auto"/>
          <w:highlight w:val="none"/>
        </w:rPr>
      </w:pPr>
    </w:p>
    <w:p w14:paraId="3BC69DD9">
      <w:pPr>
        <w:shd w:val="clear" w:color="auto" w:fill="auto"/>
        <w:rPr>
          <w:color w:val="auto"/>
          <w:highlight w:val="none"/>
        </w:rPr>
      </w:pPr>
    </w:p>
    <w:p w14:paraId="53ADEDA2">
      <w:pPr>
        <w:shd w:val="clear" w:color="auto" w:fill="auto"/>
        <w:rPr>
          <w:color w:val="auto"/>
          <w:highlight w:val="none"/>
        </w:rPr>
      </w:pPr>
    </w:p>
    <w:p w14:paraId="04022A5C">
      <w:pPr>
        <w:shd w:val="clear" w:color="auto" w:fill="auto"/>
        <w:rPr>
          <w:color w:val="auto"/>
          <w:highlight w:val="none"/>
        </w:rPr>
      </w:pPr>
    </w:p>
    <w:p w14:paraId="53B975CA">
      <w:pPr>
        <w:shd w:val="clear" w:color="auto" w:fill="auto"/>
        <w:rPr>
          <w:color w:val="auto"/>
          <w:highlight w:val="none"/>
        </w:rPr>
      </w:pPr>
    </w:p>
    <w:p w14:paraId="7E974192">
      <w:pPr>
        <w:pStyle w:val="7"/>
        <w:shd w:val="clear" w:color="auto" w:fill="auto"/>
        <w:ind w:left="0" w:leftChars="0" w:firstLine="0" w:firstLineChars="0"/>
        <w:rPr>
          <w:color w:val="auto"/>
          <w:highlight w:val="none"/>
        </w:rPr>
      </w:pPr>
    </w:p>
    <w:p w14:paraId="1344AFCC">
      <w:pPr>
        <w:pStyle w:val="7"/>
        <w:shd w:val="clear" w:color="auto" w:fill="auto"/>
        <w:ind w:left="0" w:leftChars="0" w:firstLine="0" w:firstLineChars="0"/>
        <w:rPr>
          <w:color w:val="auto"/>
          <w:highlight w:val="none"/>
        </w:rPr>
      </w:pPr>
    </w:p>
    <w:p w14:paraId="46D76C9F">
      <w:pPr>
        <w:pStyle w:val="14"/>
        <w:shd w:val="clear" w:color="auto" w:fill="auto"/>
        <w:spacing w:line="360" w:lineRule="auto"/>
        <w:jc w:val="center"/>
        <w:outlineLvl w:val="1"/>
        <w:rPr>
          <w:rFonts w:ascii="Times New Roman" w:hAnsi="Times New Roman" w:eastAsia="仿宋_GB2312"/>
          <w:color w:val="auto"/>
          <w:highlight w:val="none"/>
        </w:rPr>
      </w:pPr>
      <w:bookmarkStart w:id="369" w:name="_Toc26898"/>
      <w:r>
        <w:rPr>
          <w:rFonts w:ascii="Times New Roman" w:hAnsi="Times New Roman" w:eastAsia="仿宋_GB2312"/>
          <w:color w:val="auto"/>
          <w:highlight w:val="none"/>
        </w:rPr>
        <w:br w:type="page"/>
      </w:r>
      <w:r>
        <w:rPr>
          <w:rFonts w:hint="eastAsia" w:ascii="仿宋" w:hAnsi="仿宋" w:eastAsia="仿宋" w:cs="Times New Roman"/>
          <w:b/>
          <w:kern w:val="2"/>
          <w:sz w:val="28"/>
          <w:szCs w:val="28"/>
          <w:lang w:val="en-US" w:eastAsia="zh-CN" w:bidi="ar-SA"/>
        </w:rPr>
        <w:t>第2包：子母无影灯等</w:t>
      </w:r>
    </w:p>
    <w:tbl>
      <w:tblPr>
        <w:tblStyle w:val="3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9"/>
        <w:gridCol w:w="656"/>
        <w:gridCol w:w="2196"/>
        <w:gridCol w:w="1096"/>
        <w:gridCol w:w="1976"/>
        <w:gridCol w:w="1976"/>
      </w:tblGrid>
      <w:tr w14:paraId="3F5F5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43" w:type="pct"/>
            <w:noWrap/>
            <w:vAlign w:val="center"/>
          </w:tcPr>
          <w:p w14:paraId="59061A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科室</w:t>
            </w:r>
          </w:p>
        </w:tc>
        <w:tc>
          <w:tcPr>
            <w:tcW w:w="353" w:type="pct"/>
            <w:noWrap/>
            <w:vAlign w:val="center"/>
          </w:tcPr>
          <w:p w14:paraId="73A131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183" w:type="pct"/>
            <w:noWrap/>
            <w:vAlign w:val="center"/>
          </w:tcPr>
          <w:p w14:paraId="3ED677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设备名称</w:t>
            </w:r>
          </w:p>
        </w:tc>
        <w:tc>
          <w:tcPr>
            <w:tcW w:w="590" w:type="pct"/>
            <w:noWrap/>
            <w:vAlign w:val="center"/>
          </w:tcPr>
          <w:p w14:paraId="589946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购置数量</w:t>
            </w:r>
          </w:p>
        </w:tc>
        <w:tc>
          <w:tcPr>
            <w:tcW w:w="1064" w:type="pct"/>
            <w:noWrap/>
            <w:vAlign w:val="center"/>
          </w:tcPr>
          <w:p w14:paraId="41504D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预算单价（万元）</w:t>
            </w:r>
          </w:p>
        </w:tc>
        <w:tc>
          <w:tcPr>
            <w:tcW w:w="1064" w:type="pct"/>
            <w:noWrap/>
            <w:vAlign w:val="center"/>
          </w:tcPr>
          <w:p w14:paraId="678095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小计金额（万元）</w:t>
            </w:r>
          </w:p>
        </w:tc>
      </w:tr>
      <w:tr w14:paraId="1EAB1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43" w:type="pct"/>
            <w:vMerge w:val="restart"/>
            <w:shd w:val="clear" w:color="auto" w:fill="auto"/>
            <w:noWrap/>
            <w:vAlign w:val="center"/>
          </w:tcPr>
          <w:p w14:paraId="01D768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手术麻醉科</w:t>
            </w:r>
          </w:p>
        </w:tc>
        <w:tc>
          <w:tcPr>
            <w:tcW w:w="353" w:type="pct"/>
            <w:shd w:val="clear" w:color="auto" w:fill="auto"/>
            <w:noWrap/>
            <w:vAlign w:val="center"/>
          </w:tcPr>
          <w:p w14:paraId="5C2EA0BE">
            <w:pPr>
              <w:keepNext w:val="0"/>
              <w:keepLines w:val="0"/>
              <w:widowControl/>
              <w:numPr>
                <w:ilvl w:val="0"/>
                <w:numId w:val="4"/>
              </w:numPr>
              <w:suppressLineNumbers w:val="0"/>
              <w:ind w:left="425" w:leftChars="0" w:hanging="425" w:firstLineChars="0"/>
              <w:jc w:val="center"/>
              <w:textAlignment w:val="center"/>
              <w:rPr>
                <w:rFonts w:hint="eastAsia" w:ascii="宋体" w:hAnsi="宋体" w:eastAsia="宋体" w:cs="宋体"/>
                <w:i w:val="0"/>
                <w:iCs w:val="0"/>
                <w:color w:val="000000"/>
                <w:sz w:val="22"/>
                <w:szCs w:val="22"/>
                <w:u w:val="none"/>
              </w:rPr>
            </w:pPr>
          </w:p>
        </w:tc>
        <w:tc>
          <w:tcPr>
            <w:tcW w:w="1183" w:type="pct"/>
            <w:shd w:val="clear" w:color="auto" w:fill="FFFFFF"/>
            <w:noWrap/>
            <w:vAlign w:val="center"/>
          </w:tcPr>
          <w:p w14:paraId="64D32DC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子母无影灯</w:t>
            </w:r>
          </w:p>
        </w:tc>
        <w:tc>
          <w:tcPr>
            <w:tcW w:w="590" w:type="pct"/>
            <w:shd w:val="clear" w:color="auto" w:fill="FFFFFF"/>
            <w:noWrap/>
            <w:vAlign w:val="center"/>
          </w:tcPr>
          <w:p w14:paraId="2628C0C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064" w:type="pct"/>
            <w:shd w:val="clear" w:color="auto" w:fill="FFFFFF"/>
            <w:noWrap/>
            <w:vAlign w:val="center"/>
          </w:tcPr>
          <w:p w14:paraId="3F0622B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064" w:type="pct"/>
            <w:shd w:val="clear" w:color="auto" w:fill="FFFFFF"/>
            <w:noWrap/>
            <w:vAlign w:val="center"/>
          </w:tcPr>
          <w:p w14:paraId="77B1970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w:t>
            </w:r>
          </w:p>
        </w:tc>
      </w:tr>
      <w:tr w14:paraId="1A42E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43" w:type="pct"/>
            <w:vMerge w:val="continue"/>
            <w:noWrap/>
            <w:vAlign w:val="center"/>
          </w:tcPr>
          <w:p w14:paraId="6C3DF19C">
            <w:pPr>
              <w:jc w:val="center"/>
              <w:rPr>
                <w:rFonts w:hint="eastAsia" w:ascii="宋体" w:hAnsi="宋体" w:eastAsia="宋体" w:cs="宋体"/>
                <w:i w:val="0"/>
                <w:iCs w:val="0"/>
                <w:color w:val="000000"/>
                <w:sz w:val="22"/>
                <w:szCs w:val="22"/>
                <w:u w:val="none"/>
              </w:rPr>
            </w:pPr>
          </w:p>
        </w:tc>
        <w:tc>
          <w:tcPr>
            <w:tcW w:w="353" w:type="pct"/>
            <w:noWrap/>
            <w:vAlign w:val="center"/>
          </w:tcPr>
          <w:p w14:paraId="46A3AC03">
            <w:pPr>
              <w:keepNext w:val="0"/>
              <w:keepLines w:val="0"/>
              <w:widowControl/>
              <w:numPr>
                <w:ilvl w:val="0"/>
                <w:numId w:val="4"/>
              </w:numPr>
              <w:suppressLineNumbers w:val="0"/>
              <w:ind w:left="425" w:leftChars="0" w:hanging="425" w:firstLineChars="0"/>
              <w:jc w:val="center"/>
              <w:textAlignment w:val="center"/>
              <w:rPr>
                <w:rFonts w:hint="eastAsia" w:ascii="宋体" w:hAnsi="宋体" w:eastAsia="宋体" w:cs="宋体"/>
                <w:i w:val="0"/>
                <w:iCs w:val="0"/>
                <w:color w:val="000000"/>
                <w:sz w:val="22"/>
                <w:szCs w:val="22"/>
                <w:u w:val="none"/>
              </w:rPr>
            </w:pPr>
          </w:p>
        </w:tc>
        <w:tc>
          <w:tcPr>
            <w:tcW w:w="1183" w:type="pct"/>
            <w:noWrap/>
            <w:vAlign w:val="center"/>
          </w:tcPr>
          <w:p w14:paraId="54AF288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双臂机械麻醉塔</w:t>
            </w:r>
          </w:p>
        </w:tc>
        <w:tc>
          <w:tcPr>
            <w:tcW w:w="590" w:type="pct"/>
            <w:noWrap/>
            <w:vAlign w:val="center"/>
          </w:tcPr>
          <w:p w14:paraId="02067E0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64" w:type="pct"/>
            <w:noWrap/>
            <w:vAlign w:val="center"/>
          </w:tcPr>
          <w:p w14:paraId="65CC11B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064" w:type="pct"/>
            <w:noWrap/>
            <w:vAlign w:val="center"/>
          </w:tcPr>
          <w:p w14:paraId="5C0CD3A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r>
      <w:tr w14:paraId="6B74E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43" w:type="pct"/>
            <w:vMerge w:val="continue"/>
            <w:noWrap/>
            <w:vAlign w:val="center"/>
          </w:tcPr>
          <w:p w14:paraId="6B2162ED">
            <w:pPr>
              <w:jc w:val="center"/>
              <w:rPr>
                <w:rFonts w:hint="eastAsia" w:ascii="宋体" w:hAnsi="宋体" w:eastAsia="宋体" w:cs="宋体"/>
                <w:i w:val="0"/>
                <w:iCs w:val="0"/>
                <w:color w:val="000000"/>
                <w:sz w:val="22"/>
                <w:szCs w:val="22"/>
                <w:u w:val="none"/>
              </w:rPr>
            </w:pPr>
          </w:p>
        </w:tc>
        <w:tc>
          <w:tcPr>
            <w:tcW w:w="353" w:type="pct"/>
            <w:noWrap/>
            <w:vAlign w:val="center"/>
          </w:tcPr>
          <w:p w14:paraId="2DAEEAA3">
            <w:pPr>
              <w:keepNext w:val="0"/>
              <w:keepLines w:val="0"/>
              <w:widowControl/>
              <w:numPr>
                <w:ilvl w:val="0"/>
                <w:numId w:val="4"/>
              </w:numPr>
              <w:suppressLineNumbers w:val="0"/>
              <w:ind w:left="425" w:leftChars="0" w:hanging="425" w:firstLineChars="0"/>
              <w:jc w:val="center"/>
              <w:textAlignment w:val="center"/>
              <w:rPr>
                <w:rFonts w:hint="eastAsia" w:ascii="宋体" w:hAnsi="宋体" w:eastAsia="宋体" w:cs="宋体"/>
                <w:i w:val="0"/>
                <w:iCs w:val="0"/>
                <w:color w:val="000000"/>
                <w:sz w:val="22"/>
                <w:szCs w:val="22"/>
                <w:u w:val="none"/>
              </w:rPr>
            </w:pPr>
          </w:p>
        </w:tc>
        <w:tc>
          <w:tcPr>
            <w:tcW w:w="1183" w:type="pct"/>
            <w:noWrap/>
            <w:vAlign w:val="center"/>
          </w:tcPr>
          <w:p w14:paraId="076EC53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单臂机械麻醉塔</w:t>
            </w:r>
          </w:p>
        </w:tc>
        <w:tc>
          <w:tcPr>
            <w:tcW w:w="590" w:type="pct"/>
            <w:noWrap/>
            <w:vAlign w:val="center"/>
          </w:tcPr>
          <w:p w14:paraId="6485AED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064" w:type="pct"/>
            <w:noWrap/>
            <w:vAlign w:val="center"/>
          </w:tcPr>
          <w:p w14:paraId="31677F5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064" w:type="pct"/>
            <w:noWrap/>
            <w:vAlign w:val="center"/>
          </w:tcPr>
          <w:p w14:paraId="2F8A679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r>
      <w:tr w14:paraId="21138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43" w:type="pct"/>
            <w:vMerge w:val="continue"/>
            <w:noWrap/>
            <w:vAlign w:val="center"/>
          </w:tcPr>
          <w:p w14:paraId="73E647A2">
            <w:pPr>
              <w:jc w:val="center"/>
              <w:rPr>
                <w:rFonts w:hint="eastAsia" w:ascii="宋体" w:hAnsi="宋体" w:eastAsia="宋体" w:cs="宋体"/>
                <w:i w:val="0"/>
                <w:iCs w:val="0"/>
                <w:color w:val="000000"/>
                <w:sz w:val="22"/>
                <w:szCs w:val="22"/>
                <w:u w:val="none"/>
              </w:rPr>
            </w:pPr>
          </w:p>
        </w:tc>
        <w:tc>
          <w:tcPr>
            <w:tcW w:w="353" w:type="pct"/>
            <w:noWrap/>
            <w:vAlign w:val="center"/>
          </w:tcPr>
          <w:p w14:paraId="08811D06">
            <w:pPr>
              <w:keepNext w:val="0"/>
              <w:keepLines w:val="0"/>
              <w:widowControl/>
              <w:numPr>
                <w:ilvl w:val="0"/>
                <w:numId w:val="4"/>
              </w:numPr>
              <w:suppressLineNumbers w:val="0"/>
              <w:ind w:left="425" w:leftChars="0" w:hanging="425" w:firstLineChars="0"/>
              <w:jc w:val="center"/>
              <w:textAlignment w:val="center"/>
              <w:rPr>
                <w:rFonts w:hint="eastAsia" w:ascii="宋体" w:hAnsi="宋体" w:eastAsia="宋体" w:cs="宋体"/>
                <w:i w:val="0"/>
                <w:iCs w:val="0"/>
                <w:color w:val="000000"/>
                <w:sz w:val="22"/>
                <w:szCs w:val="22"/>
                <w:u w:val="none"/>
              </w:rPr>
            </w:pPr>
          </w:p>
        </w:tc>
        <w:tc>
          <w:tcPr>
            <w:tcW w:w="1183" w:type="pct"/>
            <w:noWrap/>
            <w:vAlign w:val="center"/>
          </w:tcPr>
          <w:p w14:paraId="0687B69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单臂机械手术塔</w:t>
            </w:r>
          </w:p>
        </w:tc>
        <w:tc>
          <w:tcPr>
            <w:tcW w:w="590" w:type="pct"/>
            <w:noWrap/>
            <w:vAlign w:val="center"/>
          </w:tcPr>
          <w:p w14:paraId="2B78617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64" w:type="pct"/>
            <w:noWrap/>
            <w:vAlign w:val="center"/>
          </w:tcPr>
          <w:p w14:paraId="1221BC6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064" w:type="pct"/>
            <w:noWrap/>
            <w:vAlign w:val="center"/>
          </w:tcPr>
          <w:p w14:paraId="0602DEB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r>
      <w:tr w14:paraId="21436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43" w:type="pct"/>
            <w:vMerge w:val="continue"/>
            <w:noWrap/>
            <w:vAlign w:val="center"/>
          </w:tcPr>
          <w:p w14:paraId="6609BD5F">
            <w:pPr>
              <w:jc w:val="center"/>
              <w:rPr>
                <w:rFonts w:hint="eastAsia" w:ascii="宋体" w:hAnsi="宋体" w:eastAsia="宋体" w:cs="宋体"/>
                <w:i w:val="0"/>
                <w:iCs w:val="0"/>
                <w:color w:val="000000"/>
                <w:sz w:val="22"/>
                <w:szCs w:val="22"/>
                <w:u w:val="none"/>
              </w:rPr>
            </w:pPr>
          </w:p>
        </w:tc>
        <w:tc>
          <w:tcPr>
            <w:tcW w:w="353" w:type="pct"/>
            <w:noWrap/>
            <w:vAlign w:val="center"/>
          </w:tcPr>
          <w:p w14:paraId="037C752A">
            <w:pPr>
              <w:keepNext w:val="0"/>
              <w:keepLines w:val="0"/>
              <w:widowControl/>
              <w:numPr>
                <w:ilvl w:val="0"/>
                <w:numId w:val="4"/>
              </w:numPr>
              <w:suppressLineNumbers w:val="0"/>
              <w:ind w:left="425" w:leftChars="0" w:hanging="425" w:firstLineChars="0"/>
              <w:jc w:val="center"/>
              <w:textAlignment w:val="center"/>
              <w:rPr>
                <w:rFonts w:hint="eastAsia" w:ascii="宋体" w:hAnsi="宋体" w:eastAsia="宋体" w:cs="宋体"/>
                <w:i w:val="0"/>
                <w:iCs w:val="0"/>
                <w:color w:val="000000"/>
                <w:sz w:val="22"/>
                <w:szCs w:val="22"/>
                <w:u w:val="none"/>
              </w:rPr>
            </w:pPr>
          </w:p>
        </w:tc>
        <w:tc>
          <w:tcPr>
            <w:tcW w:w="1183" w:type="pct"/>
            <w:noWrap/>
            <w:vAlign w:val="center"/>
          </w:tcPr>
          <w:p w14:paraId="08BAE09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双臂机械手术塔</w:t>
            </w:r>
          </w:p>
        </w:tc>
        <w:tc>
          <w:tcPr>
            <w:tcW w:w="590" w:type="pct"/>
            <w:noWrap/>
            <w:vAlign w:val="center"/>
          </w:tcPr>
          <w:p w14:paraId="74B83A7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64" w:type="pct"/>
            <w:noWrap/>
            <w:vAlign w:val="center"/>
          </w:tcPr>
          <w:p w14:paraId="08DE084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064" w:type="pct"/>
            <w:noWrap/>
            <w:vAlign w:val="center"/>
          </w:tcPr>
          <w:p w14:paraId="1C43DEF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r>
    </w:tbl>
    <w:p w14:paraId="0AF85480">
      <w:pPr>
        <w:spacing w:line="480" w:lineRule="exact"/>
        <w:contextualSpacing/>
        <w:outlineLvl w:val="2"/>
        <w:rPr>
          <w:rFonts w:ascii="仿宋" w:hAnsi="仿宋" w:eastAsia="仿宋"/>
          <w:b/>
          <w:sz w:val="28"/>
          <w:szCs w:val="28"/>
        </w:rPr>
      </w:pPr>
      <w:r>
        <w:rPr>
          <w:rFonts w:hint="eastAsia" w:ascii="仿宋" w:hAnsi="仿宋" w:eastAsia="仿宋"/>
          <w:b/>
          <w:sz w:val="28"/>
          <w:szCs w:val="28"/>
        </w:rPr>
        <w:t>序号</w:t>
      </w:r>
      <w:r>
        <w:rPr>
          <w:rFonts w:hint="eastAsia" w:ascii="仿宋" w:hAnsi="仿宋" w:eastAsia="仿宋"/>
          <w:b/>
          <w:sz w:val="28"/>
          <w:szCs w:val="28"/>
          <w:lang w:val="en-US" w:eastAsia="zh-CN"/>
        </w:rPr>
        <w:t>1</w:t>
      </w:r>
      <w:r>
        <w:rPr>
          <w:rFonts w:hint="eastAsia" w:ascii="仿宋" w:hAnsi="仿宋" w:eastAsia="仿宋"/>
          <w:b/>
          <w:sz w:val="28"/>
          <w:szCs w:val="28"/>
        </w:rPr>
        <w:t>：子母无影灯技术参数要求</w:t>
      </w:r>
    </w:p>
    <w:p w14:paraId="50F50281">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1、采用LED冷光源，模组化设计，可独立更换，光源寿命≥50000小时</w:t>
      </w:r>
    </w:p>
    <w:p w14:paraId="6BB790F9">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2、LED光源数量：子灯≥40个，母灯≥40个</w:t>
      </w:r>
    </w:p>
    <w:p w14:paraId="559B196D">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3、灯头采用超薄化设计，灯头尺寸直径：母灯：≥620mm，子灯：≥540mm，子、母灯厚≤10cm</w:t>
      </w:r>
    </w:p>
    <w:p w14:paraId="4592FC59">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4、母灯照度：≥160000Lx，子灯照度：≥110000Lx；子、母灯均具有照度可调功能：≥8级可调</w:t>
      </w:r>
    </w:p>
    <w:p w14:paraId="67D80A15">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5、子、母灯的开关和调节亮度的控制面板除具备近台控制之外还须具备墙控或者遥控器控制功能</w:t>
      </w:r>
    </w:p>
    <w:p w14:paraId="1D850DB7">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6、子、母灯具有参数记忆功能：比如下次开机显示上次关机时的亮度参数</w:t>
      </w:r>
    </w:p>
    <w:p w14:paraId="332419ED">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7、子、母灯色温范围：≥3500K，且≥</w:t>
      </w:r>
      <w:r>
        <w:rPr>
          <w:rFonts w:hint="eastAsia" w:ascii="仿宋" w:hAnsi="仿宋" w:eastAsia="仿宋"/>
          <w:sz w:val="28"/>
          <w:szCs w:val="28"/>
          <w:lang w:val="en-US" w:eastAsia="zh-CN"/>
        </w:rPr>
        <w:t>3</w:t>
      </w:r>
      <w:r>
        <w:rPr>
          <w:rFonts w:hint="eastAsia" w:ascii="仿宋" w:hAnsi="仿宋" w:eastAsia="仿宋"/>
          <w:sz w:val="28"/>
          <w:szCs w:val="28"/>
        </w:rPr>
        <w:t xml:space="preserve">级可调 </w:t>
      </w:r>
    </w:p>
    <w:p w14:paraId="214FC946">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8、子、母灯光斑均匀性：d50/d10≥55%</w:t>
      </w:r>
    </w:p>
    <w:p w14:paraId="0D6914F9">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 xml:space="preserve">9、子、母灯色彩还原指数: Ra ≥94， R9 ≥93 </w:t>
      </w:r>
    </w:p>
    <w:p w14:paraId="714BD944">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 xml:space="preserve">10、无影效果：标准深腔无影率≥98% </w:t>
      </w:r>
    </w:p>
    <w:p w14:paraId="5760D37D">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11、照明深度：母灯≥10</w:t>
      </w:r>
      <w:r>
        <w:rPr>
          <w:rFonts w:hint="eastAsia" w:ascii="仿宋" w:hAnsi="仿宋" w:eastAsia="仿宋"/>
          <w:sz w:val="28"/>
          <w:szCs w:val="28"/>
          <w:lang w:val="en-US" w:eastAsia="zh-CN"/>
        </w:rPr>
        <w:t>00</w:t>
      </w:r>
      <w:r>
        <w:rPr>
          <w:rFonts w:hint="eastAsia" w:ascii="仿宋" w:hAnsi="仿宋" w:eastAsia="仿宋"/>
          <w:sz w:val="28"/>
          <w:szCs w:val="28"/>
        </w:rPr>
        <w:t>mm，子灯≥1200mm</w:t>
      </w:r>
    </w:p>
    <w:p w14:paraId="237A3C9A">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12、子、母灯符合DIN1946-4层流净化手术室感控要求</w:t>
      </w:r>
    </w:p>
    <w:p w14:paraId="22A39931">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13、子、母灯头外壳及面板均为一体成型，防水防尘等级≥IP54</w:t>
      </w:r>
    </w:p>
    <w:p w14:paraId="024A9606">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14、子、母无影灯采用进口弹簧臂设计，灯臂固定位置后不能漂移，弹簧臂使用寿命≥10年</w:t>
      </w:r>
    </w:p>
    <w:p w14:paraId="748DD729">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15、弹簧臂从水平位置调节角度: 向上≥40°；向下≥50°</w:t>
      </w:r>
    </w:p>
    <w:p w14:paraId="1CD48AB7">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16、子、母灯的边缘到中心轴的距离≥1500mm，且在最大臂展下，灯的位置不漂移</w:t>
      </w:r>
    </w:p>
    <w:p w14:paraId="64D9E539">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17、子母无影灯悬吊系统下的延伸臂可供子母无影灯水平连续回转，转动范围：360°；弹簧臂绕其与延伸臂连接轴转动范围：360°；上C臂绕其与弹簧臂连接轴旋转范围：360°；下C臂绕其与上C臂连接轴旋转范围：≥180°；灯头绕下C 臂连接轴旋转范围：≥180°</w:t>
      </w:r>
    </w:p>
    <w:p w14:paraId="0B912B6C">
      <w:pPr>
        <w:spacing w:line="480" w:lineRule="exact"/>
        <w:contextualSpacing/>
        <w:rPr>
          <w:rFonts w:ascii="仿宋" w:hAnsi="仿宋" w:eastAsia="仿宋"/>
          <w:sz w:val="28"/>
          <w:szCs w:val="28"/>
        </w:rPr>
      </w:pPr>
    </w:p>
    <w:p w14:paraId="5B734EBF">
      <w:pPr>
        <w:spacing w:line="480" w:lineRule="exact"/>
        <w:contextualSpacing/>
        <w:outlineLvl w:val="2"/>
        <w:rPr>
          <w:rFonts w:ascii="仿宋" w:hAnsi="仿宋" w:eastAsia="仿宋"/>
          <w:b/>
          <w:sz w:val="28"/>
          <w:szCs w:val="28"/>
        </w:rPr>
      </w:pPr>
      <w:r>
        <w:rPr>
          <w:rFonts w:hint="eastAsia" w:ascii="仿宋" w:hAnsi="仿宋" w:eastAsia="仿宋"/>
          <w:b/>
          <w:sz w:val="28"/>
          <w:szCs w:val="28"/>
        </w:rPr>
        <w:t>序号</w:t>
      </w:r>
      <w:r>
        <w:rPr>
          <w:rFonts w:hint="eastAsia" w:ascii="仿宋" w:hAnsi="仿宋" w:eastAsia="仿宋"/>
          <w:b/>
          <w:sz w:val="28"/>
          <w:szCs w:val="28"/>
          <w:lang w:val="en-US" w:eastAsia="zh-CN"/>
        </w:rPr>
        <w:t>2</w:t>
      </w:r>
      <w:r>
        <w:rPr>
          <w:rFonts w:hint="eastAsia" w:ascii="仿宋" w:hAnsi="仿宋" w:eastAsia="仿宋"/>
          <w:b/>
          <w:sz w:val="28"/>
          <w:szCs w:val="28"/>
        </w:rPr>
        <w:t>：双臂机械麻醉塔技术参数要求</w:t>
      </w:r>
    </w:p>
    <w:p w14:paraId="0C4D0AC7">
      <w:pPr>
        <w:spacing w:line="480" w:lineRule="exact"/>
        <w:contextualSpacing/>
        <w:rPr>
          <w:rFonts w:ascii="仿宋" w:hAnsi="仿宋" w:eastAsia="仿宋"/>
          <w:sz w:val="28"/>
          <w:szCs w:val="28"/>
        </w:rPr>
      </w:pPr>
      <w:r>
        <w:rPr>
          <w:rFonts w:hint="eastAsia" w:ascii="仿宋" w:hAnsi="仿宋" w:eastAsia="仿宋"/>
          <w:sz w:val="28"/>
          <w:szCs w:val="28"/>
        </w:rPr>
        <w:t>一、基本要求</w:t>
      </w:r>
    </w:p>
    <w:p w14:paraId="025FBEDE">
      <w:pPr>
        <w:numPr>
          <w:ilvl w:val="0"/>
          <w:numId w:val="5"/>
        </w:numPr>
        <w:spacing w:line="480" w:lineRule="exact"/>
        <w:ind w:left="-140" w:leftChars="0" w:firstLine="560" w:firstLineChars="0"/>
        <w:contextualSpacing/>
        <w:rPr>
          <w:rFonts w:ascii="仿宋" w:hAnsi="仿宋" w:eastAsia="仿宋"/>
          <w:sz w:val="28"/>
          <w:szCs w:val="28"/>
        </w:rPr>
      </w:pPr>
      <w:r>
        <w:rPr>
          <w:rFonts w:hint="eastAsia" w:ascii="仿宋" w:hAnsi="仿宋" w:eastAsia="仿宋"/>
          <w:sz w:val="28"/>
          <w:szCs w:val="28"/>
          <w:highlight w:val="none"/>
        </w:rPr>
        <w:t>主体材料要求为6系</w:t>
      </w:r>
      <w:r>
        <w:rPr>
          <w:rFonts w:hint="eastAsia" w:ascii="仿宋" w:hAnsi="仿宋" w:eastAsia="仿宋"/>
          <w:sz w:val="28"/>
          <w:szCs w:val="28"/>
          <w:highlight w:val="none"/>
          <w:lang w:val="en-US" w:eastAsia="zh-CN"/>
        </w:rPr>
        <w:t>及以上的</w:t>
      </w:r>
      <w:r>
        <w:rPr>
          <w:rFonts w:hint="eastAsia" w:ascii="仿宋" w:hAnsi="仿宋" w:eastAsia="仿宋"/>
          <w:sz w:val="28"/>
          <w:szCs w:val="28"/>
          <w:highlight w:val="none"/>
        </w:rPr>
        <w:t>铝合金</w:t>
      </w:r>
      <w:r>
        <w:rPr>
          <w:rFonts w:hint="eastAsia" w:ascii="仿宋" w:hAnsi="仿宋" w:eastAsia="仿宋"/>
          <w:sz w:val="28"/>
          <w:szCs w:val="28"/>
        </w:rPr>
        <w:t>，吊塔所采用的材料必须防腐蚀，便于清洗，吊塔表面喷塑采用环保抗菌粉末，具有表面抑制细菌再生作用，标准大肠杆菌及金黄色葡萄球菌抗菌率≥99.9%</w:t>
      </w:r>
    </w:p>
    <w:p w14:paraId="62295E78">
      <w:pPr>
        <w:numPr>
          <w:ilvl w:val="0"/>
          <w:numId w:val="5"/>
        </w:numPr>
        <w:spacing w:line="480" w:lineRule="exact"/>
        <w:ind w:left="-140" w:leftChars="0" w:firstLine="560" w:firstLineChars="0"/>
        <w:contextualSpacing/>
        <w:rPr>
          <w:rFonts w:hint="eastAsia" w:ascii="仿宋" w:hAnsi="仿宋" w:eastAsia="仿宋"/>
          <w:sz w:val="28"/>
          <w:szCs w:val="28"/>
        </w:rPr>
      </w:pPr>
      <w:r>
        <w:rPr>
          <w:rFonts w:hint="eastAsia" w:ascii="仿宋" w:hAnsi="仿宋" w:eastAsia="仿宋"/>
          <w:sz w:val="28"/>
          <w:szCs w:val="28"/>
        </w:rPr>
        <w:t>麻醉塔上承载的设备的电源线路及气源管路和塔体之间没有相对移动，所有电源线路及气源管路必须在塔体内不能外露</w:t>
      </w:r>
    </w:p>
    <w:p w14:paraId="3D5B8979">
      <w:pPr>
        <w:numPr>
          <w:ilvl w:val="0"/>
          <w:numId w:val="5"/>
        </w:numPr>
        <w:spacing w:line="480" w:lineRule="exact"/>
        <w:ind w:left="-140" w:leftChars="0" w:firstLine="560" w:firstLineChars="0"/>
        <w:contextualSpacing/>
        <w:rPr>
          <w:rFonts w:ascii="仿宋" w:hAnsi="仿宋" w:eastAsia="仿宋"/>
          <w:sz w:val="28"/>
          <w:szCs w:val="28"/>
        </w:rPr>
      </w:pPr>
      <w:r>
        <w:rPr>
          <w:rFonts w:hint="eastAsia" w:ascii="仿宋" w:hAnsi="仿宋" w:eastAsia="仿宋"/>
          <w:sz w:val="28"/>
          <w:szCs w:val="28"/>
        </w:rPr>
        <w:t>刹车系统：配有良好的刹车系统，刹车方式阻尼加动平衡</w:t>
      </w:r>
    </w:p>
    <w:p w14:paraId="4221C3B9">
      <w:pPr>
        <w:numPr>
          <w:ilvl w:val="0"/>
          <w:numId w:val="5"/>
        </w:numPr>
        <w:spacing w:line="480" w:lineRule="exact"/>
        <w:ind w:left="-140" w:leftChars="0" w:firstLine="560" w:firstLineChars="0"/>
        <w:contextualSpacing/>
        <w:rPr>
          <w:rFonts w:hint="eastAsia" w:ascii="仿宋" w:hAnsi="仿宋" w:eastAsia="仿宋"/>
          <w:sz w:val="28"/>
          <w:szCs w:val="28"/>
          <w:lang w:eastAsia="zh-CN"/>
        </w:rPr>
      </w:pPr>
      <w:r>
        <w:rPr>
          <w:rFonts w:hint="eastAsia" w:ascii="仿宋" w:hAnsi="仿宋" w:eastAsia="仿宋"/>
          <w:sz w:val="28"/>
          <w:szCs w:val="28"/>
        </w:rPr>
        <w:t>医用软管为符合EN ISO 5359标准的PVC三层管或者橡胶材质气体软管；软管应能承受≥1MPa的气压测试而不漏气、不爆裂</w:t>
      </w:r>
      <w:r>
        <w:rPr>
          <w:rFonts w:hint="eastAsia" w:ascii="仿宋" w:hAnsi="仿宋" w:eastAsia="仿宋"/>
          <w:sz w:val="28"/>
          <w:szCs w:val="28"/>
          <w:lang w:eastAsia="zh-CN"/>
        </w:rPr>
        <w:t>（</w:t>
      </w:r>
      <w:r>
        <w:rPr>
          <w:rFonts w:hint="eastAsia" w:ascii="仿宋" w:hAnsi="仿宋" w:eastAsia="仿宋"/>
          <w:sz w:val="28"/>
          <w:szCs w:val="28"/>
        </w:rPr>
        <w:t>提供压力测试第三方检测报告</w:t>
      </w:r>
      <w:r>
        <w:rPr>
          <w:rFonts w:hint="eastAsia" w:ascii="仿宋" w:hAnsi="仿宋" w:eastAsia="仿宋"/>
          <w:sz w:val="28"/>
          <w:szCs w:val="28"/>
          <w:lang w:eastAsia="zh-CN"/>
        </w:rPr>
        <w:t>）</w:t>
      </w:r>
    </w:p>
    <w:p w14:paraId="564AC300">
      <w:pPr>
        <w:numPr>
          <w:ilvl w:val="0"/>
          <w:numId w:val="5"/>
        </w:numPr>
        <w:spacing w:line="480" w:lineRule="exact"/>
        <w:ind w:left="-140" w:leftChars="0" w:firstLine="560" w:firstLineChars="0"/>
        <w:contextualSpacing/>
        <w:rPr>
          <w:rFonts w:ascii="仿宋" w:hAnsi="仿宋" w:eastAsia="仿宋"/>
          <w:sz w:val="28"/>
          <w:szCs w:val="28"/>
        </w:rPr>
      </w:pPr>
      <w:r>
        <w:rPr>
          <w:rFonts w:hint="eastAsia" w:ascii="仿宋" w:hAnsi="仿宋" w:eastAsia="仿宋"/>
          <w:sz w:val="28"/>
          <w:szCs w:val="28"/>
        </w:rPr>
        <w:t>吊塔内软管配备可与气体铜管或者气体不锈钢管对接的转换头，转换头带有检修阀门</w:t>
      </w:r>
    </w:p>
    <w:p w14:paraId="7FBB3172">
      <w:pPr>
        <w:numPr>
          <w:ilvl w:val="0"/>
          <w:numId w:val="5"/>
        </w:numPr>
        <w:spacing w:line="480" w:lineRule="exact"/>
        <w:ind w:left="-140" w:leftChars="0" w:firstLine="560" w:firstLineChars="0"/>
        <w:contextualSpacing/>
        <w:rPr>
          <w:rFonts w:ascii="仿宋" w:hAnsi="仿宋" w:eastAsia="仿宋"/>
          <w:sz w:val="28"/>
          <w:szCs w:val="28"/>
        </w:rPr>
      </w:pPr>
      <w:r>
        <w:rPr>
          <w:rFonts w:hint="eastAsia" w:ascii="仿宋" w:hAnsi="仿宋" w:eastAsia="仿宋"/>
          <w:sz w:val="28"/>
          <w:szCs w:val="28"/>
        </w:rPr>
        <w:t>基础架平缓施加荷载至10000N·m的试验扭矩，持续10min，法兰盘水平偏角≤0.6°</w:t>
      </w:r>
    </w:p>
    <w:p w14:paraId="314BC6B7">
      <w:pPr>
        <w:numPr>
          <w:ilvl w:val="0"/>
          <w:numId w:val="5"/>
        </w:numPr>
        <w:spacing w:line="480" w:lineRule="exact"/>
        <w:ind w:left="-140" w:leftChars="0" w:firstLine="560" w:firstLineChars="0"/>
        <w:contextualSpacing/>
        <w:rPr>
          <w:rFonts w:ascii="仿宋" w:hAnsi="仿宋" w:eastAsia="仿宋"/>
          <w:sz w:val="28"/>
          <w:szCs w:val="28"/>
        </w:rPr>
      </w:pPr>
      <w:r>
        <w:rPr>
          <w:rFonts w:hint="eastAsia" w:ascii="仿宋" w:hAnsi="仿宋" w:eastAsia="仿宋"/>
          <w:sz w:val="28"/>
          <w:szCs w:val="28"/>
        </w:rPr>
        <w:t>吊臂工作承重≥300K</w:t>
      </w:r>
      <w:r>
        <w:rPr>
          <w:rFonts w:hint="eastAsia" w:ascii="仿宋" w:hAnsi="仿宋" w:eastAsia="仿宋"/>
          <w:sz w:val="28"/>
          <w:szCs w:val="28"/>
          <w:lang w:val="en-US" w:eastAsia="zh-CN"/>
        </w:rPr>
        <w:t>g</w:t>
      </w:r>
      <w:r>
        <w:rPr>
          <w:rFonts w:hint="eastAsia" w:ascii="仿宋" w:hAnsi="仿宋" w:eastAsia="仿宋"/>
          <w:sz w:val="28"/>
          <w:szCs w:val="28"/>
        </w:rPr>
        <w:t>，通过4倍工作承重1200K</w:t>
      </w:r>
      <w:r>
        <w:rPr>
          <w:rFonts w:hint="eastAsia" w:ascii="仿宋" w:hAnsi="仿宋" w:eastAsia="仿宋"/>
          <w:sz w:val="28"/>
          <w:szCs w:val="28"/>
          <w:lang w:val="en-US" w:eastAsia="zh-CN"/>
        </w:rPr>
        <w:t>g</w:t>
      </w:r>
      <w:r>
        <w:rPr>
          <w:rFonts w:hint="eastAsia" w:ascii="仿宋" w:hAnsi="仿宋" w:eastAsia="仿宋"/>
          <w:sz w:val="28"/>
          <w:szCs w:val="28"/>
        </w:rPr>
        <w:t>的测试</w:t>
      </w:r>
    </w:p>
    <w:p w14:paraId="6C46F9B2">
      <w:pPr>
        <w:numPr>
          <w:ilvl w:val="0"/>
          <w:numId w:val="5"/>
        </w:numPr>
        <w:spacing w:line="480" w:lineRule="exact"/>
        <w:ind w:left="-140" w:leftChars="0" w:firstLine="560" w:firstLineChars="0"/>
        <w:contextualSpacing/>
        <w:rPr>
          <w:rFonts w:ascii="仿宋" w:hAnsi="仿宋" w:eastAsia="仿宋"/>
          <w:sz w:val="28"/>
          <w:szCs w:val="28"/>
        </w:rPr>
      </w:pPr>
      <w:r>
        <w:rPr>
          <w:rFonts w:hint="eastAsia" w:ascii="仿宋" w:hAnsi="仿宋" w:eastAsia="仿宋"/>
          <w:sz w:val="28"/>
          <w:szCs w:val="28"/>
        </w:rPr>
        <w:t>吊塔防尘防水等级≥IP30</w:t>
      </w:r>
    </w:p>
    <w:p w14:paraId="220328D8">
      <w:pPr>
        <w:numPr>
          <w:ilvl w:val="0"/>
          <w:numId w:val="5"/>
        </w:numPr>
        <w:spacing w:line="480" w:lineRule="exact"/>
        <w:ind w:left="-140" w:leftChars="0" w:firstLine="560" w:firstLineChars="0"/>
        <w:contextualSpacing/>
        <w:rPr>
          <w:rFonts w:ascii="仿宋" w:hAnsi="仿宋" w:eastAsia="仿宋"/>
          <w:sz w:val="28"/>
          <w:szCs w:val="28"/>
        </w:rPr>
      </w:pPr>
      <w:r>
        <w:rPr>
          <w:rFonts w:hint="eastAsia" w:ascii="仿宋" w:hAnsi="仿宋" w:eastAsia="仿宋"/>
          <w:sz w:val="28"/>
          <w:szCs w:val="28"/>
        </w:rPr>
        <w:t>吊塔外科防火等级≥UL94-V0级</w:t>
      </w:r>
    </w:p>
    <w:p w14:paraId="46AED865">
      <w:pPr>
        <w:numPr>
          <w:ilvl w:val="0"/>
          <w:numId w:val="5"/>
        </w:numPr>
        <w:spacing w:line="480" w:lineRule="exact"/>
        <w:ind w:left="-140" w:leftChars="0" w:firstLine="560" w:firstLineChars="0"/>
        <w:contextualSpacing/>
        <w:rPr>
          <w:rFonts w:ascii="仿宋" w:hAnsi="仿宋" w:eastAsia="仿宋"/>
          <w:sz w:val="28"/>
          <w:szCs w:val="28"/>
        </w:rPr>
      </w:pPr>
      <w:r>
        <w:rPr>
          <w:rFonts w:hint="eastAsia" w:ascii="仿宋" w:hAnsi="仿宋" w:eastAsia="仿宋"/>
          <w:sz w:val="28"/>
          <w:szCs w:val="28"/>
        </w:rPr>
        <w:t>气体终端插拔次数≥80000次</w:t>
      </w:r>
    </w:p>
    <w:p w14:paraId="1B4EE537">
      <w:pPr>
        <w:numPr>
          <w:ilvl w:val="0"/>
          <w:numId w:val="5"/>
        </w:numPr>
        <w:spacing w:line="480" w:lineRule="exact"/>
        <w:ind w:left="-140" w:leftChars="0" w:firstLine="560" w:firstLineChars="0"/>
        <w:contextualSpacing/>
        <w:rPr>
          <w:rFonts w:ascii="仿宋" w:hAnsi="仿宋" w:eastAsia="仿宋"/>
          <w:sz w:val="28"/>
          <w:szCs w:val="28"/>
          <w:highlight w:val="none"/>
        </w:rPr>
      </w:pPr>
      <w:r>
        <w:rPr>
          <w:rFonts w:hint="eastAsia" w:ascii="仿宋" w:hAnsi="仿宋" w:eastAsia="仿宋"/>
          <w:sz w:val="28"/>
          <w:szCs w:val="28"/>
          <w:highlight w:val="none"/>
          <w:lang w:val="en-US" w:eastAsia="zh-CN"/>
        </w:rPr>
        <w:t>吊塔通过抗震实验检测，抗震级别达到≥7级（里氏）（提供第三方抗震实验报告）</w:t>
      </w:r>
    </w:p>
    <w:p w14:paraId="790EF85A">
      <w:pPr>
        <w:spacing w:line="480" w:lineRule="exact"/>
        <w:contextualSpacing/>
        <w:rPr>
          <w:rFonts w:ascii="仿宋" w:hAnsi="仿宋" w:eastAsia="仿宋"/>
          <w:sz w:val="28"/>
          <w:szCs w:val="28"/>
        </w:rPr>
      </w:pPr>
      <w:r>
        <w:rPr>
          <w:rFonts w:hint="eastAsia" w:ascii="仿宋" w:hAnsi="仿宋" w:eastAsia="仿宋"/>
          <w:sz w:val="28"/>
          <w:szCs w:val="28"/>
        </w:rPr>
        <w:t>二、配置要求</w:t>
      </w:r>
    </w:p>
    <w:p w14:paraId="1350465A">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1、旋转臂：旋转半径≥1.4米</w:t>
      </w:r>
    </w:p>
    <w:p w14:paraId="5FA3592A">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2、吊柱式气电功能箱：长度≥0.8米</w:t>
      </w:r>
    </w:p>
    <w:p w14:paraId="56596FFE">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3、横臂和终端箱体可水平旋转，横臂水平旋转角度≥340°，终端箱体水平旋转角度≥340°</w:t>
      </w:r>
    </w:p>
    <w:p w14:paraId="7DB3FF82">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hint="default" w:ascii="仿宋" w:hAnsi="仿宋" w:eastAsia="仿宋"/>
          <w:sz w:val="28"/>
          <w:szCs w:val="28"/>
          <w:lang w:val="en-US" w:eastAsia="zh-CN"/>
        </w:rPr>
      </w:pPr>
      <w:r>
        <w:rPr>
          <w:rFonts w:hint="eastAsia" w:ascii="仿宋" w:hAnsi="仿宋" w:eastAsia="仿宋"/>
          <w:sz w:val="28"/>
          <w:szCs w:val="28"/>
        </w:rPr>
        <w:t>4、仪器平台≥3层（带抽屉1个），平台承重量≥40</w:t>
      </w:r>
      <w:r>
        <w:rPr>
          <w:rFonts w:hint="eastAsia" w:ascii="仿宋" w:hAnsi="仿宋" w:eastAsia="仿宋"/>
          <w:sz w:val="28"/>
          <w:szCs w:val="28"/>
          <w:lang w:val="en-US" w:eastAsia="zh-CN"/>
        </w:rPr>
        <w:t>Kg</w:t>
      </w:r>
    </w:p>
    <w:p w14:paraId="7B175400">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5、德标气体接口7个：氧气2个、空气1个、负压吸引2个、二氧化碳1个、废气回收接口1个。各类接口颜色及形状不同，具有防接错功能</w:t>
      </w:r>
    </w:p>
    <w:p w14:paraId="1BA2B070">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6、10A国标斜五孔电源插座8个；16A国标三孔插座1个；等电位端子2个；六类网络接口2个；高度可调输液组合架1个；网篮1个</w:t>
      </w:r>
    </w:p>
    <w:p w14:paraId="21510F19">
      <w:pPr>
        <w:spacing w:line="480" w:lineRule="exact"/>
        <w:contextualSpacing/>
        <w:rPr>
          <w:rFonts w:ascii="仿宋" w:hAnsi="仿宋" w:eastAsia="仿宋"/>
          <w:sz w:val="28"/>
          <w:szCs w:val="28"/>
        </w:rPr>
      </w:pPr>
    </w:p>
    <w:p w14:paraId="0CA635EB">
      <w:pPr>
        <w:spacing w:line="480" w:lineRule="exact"/>
        <w:contextualSpacing/>
        <w:outlineLvl w:val="2"/>
        <w:rPr>
          <w:rFonts w:ascii="仿宋" w:hAnsi="仿宋" w:eastAsia="仿宋"/>
          <w:b/>
          <w:sz w:val="28"/>
          <w:szCs w:val="28"/>
        </w:rPr>
      </w:pPr>
      <w:r>
        <w:rPr>
          <w:rFonts w:hint="eastAsia" w:ascii="仿宋" w:hAnsi="仿宋" w:eastAsia="仿宋"/>
          <w:b/>
          <w:sz w:val="28"/>
          <w:szCs w:val="28"/>
        </w:rPr>
        <w:br w:type="page"/>
      </w:r>
      <w:r>
        <w:rPr>
          <w:rFonts w:hint="eastAsia" w:ascii="仿宋" w:hAnsi="仿宋" w:eastAsia="仿宋"/>
          <w:b/>
          <w:sz w:val="28"/>
          <w:szCs w:val="28"/>
        </w:rPr>
        <w:t>序号</w:t>
      </w:r>
      <w:r>
        <w:rPr>
          <w:rFonts w:hint="eastAsia" w:ascii="仿宋" w:hAnsi="仿宋" w:eastAsia="仿宋"/>
          <w:b/>
          <w:sz w:val="28"/>
          <w:szCs w:val="28"/>
          <w:lang w:val="en-US" w:eastAsia="zh-CN"/>
        </w:rPr>
        <w:t>3</w:t>
      </w:r>
      <w:r>
        <w:rPr>
          <w:rFonts w:hint="eastAsia" w:ascii="仿宋" w:hAnsi="仿宋" w:eastAsia="仿宋"/>
          <w:b/>
          <w:sz w:val="28"/>
          <w:szCs w:val="28"/>
        </w:rPr>
        <w:t>：单臂机械麻醉塔技术参数要求</w:t>
      </w:r>
    </w:p>
    <w:p w14:paraId="32A6F41C">
      <w:pPr>
        <w:spacing w:line="480" w:lineRule="exact"/>
        <w:contextualSpacing/>
        <w:rPr>
          <w:rFonts w:ascii="仿宋" w:hAnsi="仿宋" w:eastAsia="仿宋"/>
          <w:sz w:val="28"/>
          <w:szCs w:val="28"/>
        </w:rPr>
      </w:pPr>
      <w:r>
        <w:rPr>
          <w:rFonts w:hint="eastAsia" w:ascii="仿宋" w:hAnsi="仿宋" w:eastAsia="仿宋"/>
          <w:sz w:val="28"/>
          <w:szCs w:val="28"/>
        </w:rPr>
        <w:t>一、基本要求</w:t>
      </w:r>
    </w:p>
    <w:p w14:paraId="34378021">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lang w:val="en-US" w:eastAsia="zh-CN"/>
        </w:rPr>
        <w:t>1</w:t>
      </w:r>
      <w:r>
        <w:rPr>
          <w:rFonts w:hint="eastAsia" w:ascii="仿宋" w:hAnsi="仿宋" w:eastAsia="仿宋"/>
          <w:sz w:val="28"/>
          <w:szCs w:val="28"/>
        </w:rPr>
        <w:t>、主体材料要</w:t>
      </w:r>
      <w:r>
        <w:rPr>
          <w:rFonts w:hint="eastAsia" w:ascii="仿宋" w:hAnsi="仿宋" w:eastAsia="仿宋"/>
          <w:sz w:val="28"/>
          <w:szCs w:val="28"/>
          <w:highlight w:val="none"/>
        </w:rPr>
        <w:t>求为6系</w:t>
      </w:r>
      <w:r>
        <w:rPr>
          <w:rFonts w:hint="eastAsia" w:ascii="仿宋" w:hAnsi="仿宋" w:eastAsia="仿宋"/>
          <w:sz w:val="28"/>
          <w:szCs w:val="28"/>
          <w:highlight w:val="none"/>
          <w:lang w:val="en-US" w:eastAsia="zh-CN"/>
        </w:rPr>
        <w:t>及以上的</w:t>
      </w:r>
      <w:r>
        <w:rPr>
          <w:rFonts w:hint="eastAsia" w:ascii="仿宋" w:hAnsi="仿宋" w:eastAsia="仿宋"/>
          <w:sz w:val="28"/>
          <w:szCs w:val="28"/>
          <w:highlight w:val="none"/>
        </w:rPr>
        <w:t>铝合金，吊塔所采用的材料必须防腐蚀，便于清洗，吊塔表面喷塑采用环保抗菌粉末</w:t>
      </w:r>
      <w:r>
        <w:rPr>
          <w:rFonts w:hint="eastAsia" w:ascii="仿宋" w:hAnsi="仿宋" w:eastAsia="仿宋"/>
          <w:sz w:val="28"/>
          <w:szCs w:val="28"/>
        </w:rPr>
        <w:t>，具有表面抑制细菌再生作用，标准大肠杆菌及金黄色葡萄球菌抗菌率≥99.9%</w:t>
      </w:r>
    </w:p>
    <w:p w14:paraId="4DF651FA">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lang w:val="en-US" w:eastAsia="zh-CN"/>
        </w:rPr>
        <w:t>2</w:t>
      </w:r>
      <w:r>
        <w:rPr>
          <w:rFonts w:hint="eastAsia" w:ascii="仿宋" w:hAnsi="仿宋" w:eastAsia="仿宋"/>
          <w:sz w:val="28"/>
          <w:szCs w:val="28"/>
        </w:rPr>
        <w:t>、麻醉塔上承载的设备的电源线路及气源管路和塔体之间没有相对移动，所有电源线路及气源管路必须在塔体内不能外露</w:t>
      </w:r>
    </w:p>
    <w:p w14:paraId="50498A0B">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lang w:val="en-US" w:eastAsia="zh-CN"/>
        </w:rPr>
        <w:t>3</w:t>
      </w:r>
      <w:r>
        <w:rPr>
          <w:rFonts w:hint="eastAsia" w:ascii="仿宋" w:hAnsi="仿宋" w:eastAsia="仿宋"/>
          <w:sz w:val="28"/>
          <w:szCs w:val="28"/>
        </w:rPr>
        <w:t>、刹车系统：配有良好的刹车系统，刹车方式阻尼加动平衡</w:t>
      </w:r>
    </w:p>
    <w:p w14:paraId="08DFE072">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lang w:val="en-US" w:eastAsia="zh-CN"/>
        </w:rPr>
        <w:t>4</w:t>
      </w:r>
      <w:r>
        <w:rPr>
          <w:rFonts w:hint="eastAsia" w:ascii="仿宋" w:hAnsi="仿宋" w:eastAsia="仿宋"/>
          <w:sz w:val="28"/>
          <w:szCs w:val="28"/>
        </w:rPr>
        <w:t>、医用软管为符合EN ISO 5359标准的PVC三层管或者橡胶材质气体软管；软管应能承受≥1MPa的气压测试而不漏气、不爆裂</w:t>
      </w:r>
      <w:r>
        <w:rPr>
          <w:rFonts w:hint="eastAsia" w:ascii="仿宋" w:hAnsi="仿宋" w:eastAsia="仿宋"/>
          <w:sz w:val="28"/>
          <w:szCs w:val="28"/>
          <w:lang w:eastAsia="zh-CN"/>
        </w:rPr>
        <w:t>（</w:t>
      </w:r>
      <w:r>
        <w:rPr>
          <w:rFonts w:hint="eastAsia" w:ascii="仿宋" w:hAnsi="仿宋" w:eastAsia="仿宋"/>
          <w:sz w:val="28"/>
          <w:szCs w:val="28"/>
        </w:rPr>
        <w:t>提供压力测试第三方检测报告</w:t>
      </w:r>
      <w:r>
        <w:rPr>
          <w:rFonts w:hint="eastAsia" w:ascii="仿宋" w:hAnsi="仿宋" w:eastAsia="仿宋"/>
          <w:sz w:val="28"/>
          <w:szCs w:val="28"/>
          <w:lang w:eastAsia="zh-CN"/>
        </w:rPr>
        <w:t>）</w:t>
      </w:r>
    </w:p>
    <w:p w14:paraId="0F133993">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lang w:val="en-US" w:eastAsia="zh-CN"/>
        </w:rPr>
        <w:t>5</w:t>
      </w:r>
      <w:r>
        <w:rPr>
          <w:rFonts w:hint="eastAsia" w:ascii="仿宋" w:hAnsi="仿宋" w:eastAsia="仿宋"/>
          <w:sz w:val="28"/>
          <w:szCs w:val="28"/>
        </w:rPr>
        <w:t>、吊塔内软管配备可与气体铜管或者气体不锈钢管对接的转换头，转换头带有检修阀门</w:t>
      </w:r>
    </w:p>
    <w:p w14:paraId="3861FF2B">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lang w:val="en-US" w:eastAsia="zh-CN"/>
        </w:rPr>
        <w:t>6</w:t>
      </w:r>
      <w:r>
        <w:rPr>
          <w:rFonts w:hint="eastAsia" w:ascii="仿宋" w:hAnsi="仿宋" w:eastAsia="仿宋"/>
          <w:sz w:val="28"/>
          <w:szCs w:val="28"/>
        </w:rPr>
        <w:t>、基础架平缓施加荷载至10000N·m的试验扭矩，持续10min，法兰盘水平偏角≤0.6°</w:t>
      </w:r>
    </w:p>
    <w:p w14:paraId="0DD36917">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lang w:val="en-US" w:eastAsia="zh-CN"/>
        </w:rPr>
        <w:t>7</w:t>
      </w:r>
      <w:r>
        <w:rPr>
          <w:rFonts w:hint="eastAsia" w:ascii="仿宋" w:hAnsi="仿宋" w:eastAsia="仿宋"/>
          <w:sz w:val="28"/>
          <w:szCs w:val="28"/>
        </w:rPr>
        <w:t>、吊臂工作承重≥300K</w:t>
      </w:r>
      <w:r>
        <w:rPr>
          <w:rFonts w:hint="eastAsia" w:ascii="仿宋" w:hAnsi="仿宋" w:eastAsia="仿宋"/>
          <w:sz w:val="28"/>
          <w:szCs w:val="28"/>
          <w:lang w:val="en-US" w:eastAsia="zh-CN"/>
        </w:rPr>
        <w:t>g</w:t>
      </w:r>
      <w:r>
        <w:rPr>
          <w:rFonts w:hint="eastAsia" w:ascii="仿宋" w:hAnsi="仿宋" w:eastAsia="仿宋"/>
          <w:sz w:val="28"/>
          <w:szCs w:val="28"/>
        </w:rPr>
        <w:t>，通过4倍工作承重1200K</w:t>
      </w:r>
      <w:r>
        <w:rPr>
          <w:rFonts w:hint="eastAsia" w:ascii="仿宋" w:hAnsi="仿宋" w:eastAsia="仿宋"/>
          <w:sz w:val="28"/>
          <w:szCs w:val="28"/>
          <w:lang w:val="en-US" w:eastAsia="zh-CN"/>
        </w:rPr>
        <w:t>g</w:t>
      </w:r>
      <w:r>
        <w:rPr>
          <w:rFonts w:hint="eastAsia" w:ascii="仿宋" w:hAnsi="仿宋" w:eastAsia="仿宋"/>
          <w:sz w:val="28"/>
          <w:szCs w:val="28"/>
        </w:rPr>
        <w:t>的测试</w:t>
      </w:r>
    </w:p>
    <w:p w14:paraId="2578F1EF">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lang w:val="en-US" w:eastAsia="zh-CN"/>
        </w:rPr>
        <w:t>8</w:t>
      </w:r>
      <w:r>
        <w:rPr>
          <w:rFonts w:hint="eastAsia" w:ascii="仿宋" w:hAnsi="仿宋" w:eastAsia="仿宋"/>
          <w:sz w:val="28"/>
          <w:szCs w:val="28"/>
        </w:rPr>
        <w:t>、吊塔防尘防水等级≥IP30</w:t>
      </w:r>
    </w:p>
    <w:p w14:paraId="1CCAF4C4">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lang w:val="en-US" w:eastAsia="zh-CN"/>
        </w:rPr>
        <w:t>9</w:t>
      </w:r>
      <w:r>
        <w:rPr>
          <w:rFonts w:hint="eastAsia" w:ascii="仿宋" w:hAnsi="仿宋" w:eastAsia="仿宋"/>
          <w:sz w:val="28"/>
          <w:szCs w:val="28"/>
        </w:rPr>
        <w:t>、吊塔外科防火等级≥UL94-V0级</w:t>
      </w:r>
    </w:p>
    <w:p w14:paraId="3D6D0735">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hint="eastAsia" w:ascii="仿宋" w:hAnsi="仿宋" w:eastAsia="仿宋"/>
          <w:sz w:val="28"/>
          <w:szCs w:val="28"/>
          <w:highlight w:val="none"/>
        </w:rPr>
      </w:pPr>
      <w:r>
        <w:rPr>
          <w:rFonts w:hint="eastAsia" w:ascii="仿宋" w:hAnsi="仿宋" w:eastAsia="仿宋"/>
          <w:sz w:val="28"/>
          <w:szCs w:val="28"/>
          <w:highlight w:val="none"/>
          <w:lang w:val="en-US" w:eastAsia="zh-CN"/>
        </w:rPr>
        <w:t>10</w:t>
      </w:r>
      <w:r>
        <w:rPr>
          <w:rFonts w:hint="eastAsia" w:ascii="仿宋" w:hAnsi="仿宋" w:eastAsia="仿宋"/>
          <w:sz w:val="28"/>
          <w:szCs w:val="28"/>
          <w:highlight w:val="none"/>
        </w:rPr>
        <w:t>、气体终端插拔次数≥80000次</w:t>
      </w:r>
    </w:p>
    <w:p w14:paraId="4369109F">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hint="default" w:ascii="仿宋" w:hAnsi="仿宋" w:eastAsia="仿宋"/>
          <w:sz w:val="28"/>
          <w:szCs w:val="28"/>
          <w:highlight w:val="none"/>
          <w:lang w:val="en-US" w:eastAsia="zh-CN"/>
        </w:rPr>
      </w:pPr>
      <w:r>
        <w:rPr>
          <w:rFonts w:hint="eastAsia" w:ascii="仿宋" w:hAnsi="仿宋" w:eastAsia="仿宋"/>
          <w:sz w:val="28"/>
          <w:szCs w:val="28"/>
          <w:highlight w:val="none"/>
          <w:lang w:val="en-US" w:eastAsia="zh-CN"/>
        </w:rPr>
        <w:t>11、吊塔通过抗震实验检测，抗震级别达到≥7级（里氏）（提供第三方抗震实验报告）</w:t>
      </w:r>
    </w:p>
    <w:p w14:paraId="71A3C148">
      <w:pPr>
        <w:spacing w:line="480" w:lineRule="exact"/>
        <w:contextualSpacing/>
        <w:rPr>
          <w:rFonts w:ascii="仿宋" w:hAnsi="仿宋" w:eastAsia="仿宋"/>
          <w:sz w:val="28"/>
          <w:szCs w:val="28"/>
          <w:highlight w:val="none"/>
        </w:rPr>
      </w:pPr>
      <w:r>
        <w:rPr>
          <w:rFonts w:hint="eastAsia" w:ascii="仿宋" w:hAnsi="仿宋" w:eastAsia="仿宋"/>
          <w:sz w:val="28"/>
          <w:szCs w:val="28"/>
          <w:highlight w:val="none"/>
        </w:rPr>
        <w:t>二、配置要求</w:t>
      </w:r>
    </w:p>
    <w:p w14:paraId="4A357BAF">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highlight w:val="none"/>
        </w:rPr>
      </w:pPr>
      <w:r>
        <w:rPr>
          <w:rFonts w:hint="eastAsia" w:ascii="仿宋" w:hAnsi="仿宋" w:eastAsia="仿宋"/>
          <w:sz w:val="28"/>
          <w:szCs w:val="28"/>
          <w:highlight w:val="none"/>
        </w:rPr>
        <w:t>1、旋转臂：旋转半径≥0.75米</w:t>
      </w:r>
    </w:p>
    <w:p w14:paraId="1F694FAC">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highlight w:val="none"/>
        </w:rPr>
      </w:pPr>
      <w:r>
        <w:rPr>
          <w:rFonts w:hint="eastAsia" w:ascii="仿宋" w:hAnsi="仿宋" w:eastAsia="仿宋"/>
          <w:sz w:val="28"/>
          <w:szCs w:val="28"/>
          <w:highlight w:val="none"/>
        </w:rPr>
        <w:t>2、吊柱式气电功能箱：长度≥0.8米</w:t>
      </w:r>
    </w:p>
    <w:p w14:paraId="7B35AC41">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3、横臂和终端箱体可水平旋转，横臂水平旋转角度≥340°，终端箱体水平旋转角度≥340°</w:t>
      </w:r>
    </w:p>
    <w:p w14:paraId="26F5C3C6">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hint="default" w:ascii="仿宋" w:hAnsi="仿宋" w:eastAsia="仿宋"/>
          <w:sz w:val="28"/>
          <w:szCs w:val="28"/>
          <w:lang w:val="en-US" w:eastAsia="zh-CN"/>
        </w:rPr>
      </w:pPr>
      <w:r>
        <w:rPr>
          <w:rFonts w:hint="eastAsia" w:ascii="仿宋" w:hAnsi="仿宋" w:eastAsia="仿宋"/>
          <w:sz w:val="28"/>
          <w:szCs w:val="28"/>
        </w:rPr>
        <w:t>4、仪器平台≥3层（带抽屉1个），平台承重量≥40</w:t>
      </w:r>
      <w:r>
        <w:rPr>
          <w:rFonts w:hint="eastAsia" w:ascii="仿宋" w:hAnsi="仿宋" w:eastAsia="仿宋"/>
          <w:sz w:val="28"/>
          <w:szCs w:val="28"/>
          <w:lang w:val="en-US" w:eastAsia="zh-CN"/>
        </w:rPr>
        <w:t>Kg</w:t>
      </w:r>
    </w:p>
    <w:p w14:paraId="710A4F01">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5、德标气体接口7个：氧气2个、空气1个、负压吸引2个、二氧化碳1个、废气回收接口1个。各类接口颜色及形状不同，具有防接错功能</w:t>
      </w:r>
    </w:p>
    <w:p w14:paraId="52D4E3AA">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6、10A国标斜五孔电源插座8个；16A国标三孔插座1个；等电位端子2个；六类网络接口2个；高度可调输液组合架1个；网篮1个</w:t>
      </w:r>
    </w:p>
    <w:p w14:paraId="21F5B8ED">
      <w:pPr>
        <w:spacing w:line="480" w:lineRule="exact"/>
        <w:contextualSpacing/>
        <w:outlineLvl w:val="2"/>
        <w:rPr>
          <w:rFonts w:ascii="仿宋" w:hAnsi="仿宋" w:eastAsia="仿宋"/>
          <w:b/>
          <w:sz w:val="28"/>
          <w:szCs w:val="28"/>
        </w:rPr>
      </w:pPr>
      <w:r>
        <w:rPr>
          <w:rFonts w:hint="eastAsia" w:ascii="仿宋" w:hAnsi="仿宋" w:eastAsia="仿宋"/>
          <w:b/>
          <w:sz w:val="28"/>
          <w:szCs w:val="28"/>
        </w:rPr>
        <w:t>序号</w:t>
      </w:r>
      <w:r>
        <w:rPr>
          <w:rFonts w:hint="eastAsia" w:ascii="仿宋" w:hAnsi="仿宋" w:eastAsia="仿宋"/>
          <w:b/>
          <w:sz w:val="28"/>
          <w:szCs w:val="28"/>
          <w:lang w:val="en-US" w:eastAsia="zh-CN"/>
        </w:rPr>
        <w:t>4</w:t>
      </w:r>
      <w:r>
        <w:rPr>
          <w:rFonts w:hint="eastAsia" w:ascii="仿宋" w:hAnsi="仿宋" w:eastAsia="仿宋"/>
          <w:b/>
          <w:sz w:val="28"/>
          <w:szCs w:val="28"/>
        </w:rPr>
        <w:t>：单臂机械手术塔技术参数要求</w:t>
      </w:r>
    </w:p>
    <w:p w14:paraId="5A6CA70C">
      <w:pPr>
        <w:spacing w:line="480" w:lineRule="exact"/>
        <w:contextualSpacing/>
        <w:rPr>
          <w:rFonts w:ascii="仿宋" w:hAnsi="仿宋" w:eastAsia="仿宋"/>
          <w:sz w:val="28"/>
          <w:szCs w:val="28"/>
        </w:rPr>
      </w:pPr>
      <w:r>
        <w:rPr>
          <w:rFonts w:hint="eastAsia" w:ascii="仿宋" w:hAnsi="仿宋" w:eastAsia="仿宋"/>
          <w:sz w:val="28"/>
          <w:szCs w:val="28"/>
        </w:rPr>
        <w:t>一、基本要求</w:t>
      </w:r>
    </w:p>
    <w:p w14:paraId="0022121B">
      <w:pPr>
        <w:numPr>
          <w:ilvl w:val="0"/>
          <w:numId w:val="6"/>
        </w:numPr>
        <w:spacing w:line="480" w:lineRule="exact"/>
        <w:ind w:left="0" w:leftChars="0" w:firstLine="400" w:firstLineChars="0"/>
        <w:contextualSpacing/>
        <w:rPr>
          <w:rFonts w:ascii="仿宋" w:hAnsi="仿宋" w:eastAsia="仿宋"/>
          <w:sz w:val="28"/>
          <w:szCs w:val="28"/>
        </w:rPr>
      </w:pPr>
      <w:r>
        <w:rPr>
          <w:rFonts w:hint="eastAsia" w:ascii="仿宋" w:hAnsi="仿宋" w:eastAsia="仿宋"/>
          <w:sz w:val="28"/>
          <w:szCs w:val="28"/>
        </w:rPr>
        <w:t>主体材料要求</w:t>
      </w:r>
      <w:r>
        <w:rPr>
          <w:rFonts w:hint="eastAsia" w:ascii="仿宋" w:hAnsi="仿宋" w:eastAsia="仿宋"/>
          <w:sz w:val="28"/>
          <w:szCs w:val="28"/>
          <w:highlight w:val="none"/>
        </w:rPr>
        <w:t>为6系</w:t>
      </w:r>
      <w:r>
        <w:rPr>
          <w:rFonts w:hint="eastAsia" w:ascii="仿宋" w:hAnsi="仿宋" w:eastAsia="仿宋"/>
          <w:sz w:val="28"/>
          <w:szCs w:val="28"/>
          <w:highlight w:val="none"/>
          <w:lang w:val="en-US" w:eastAsia="zh-CN"/>
        </w:rPr>
        <w:t>及以上的</w:t>
      </w:r>
      <w:r>
        <w:rPr>
          <w:rFonts w:hint="eastAsia" w:ascii="仿宋" w:hAnsi="仿宋" w:eastAsia="仿宋"/>
          <w:sz w:val="28"/>
          <w:szCs w:val="28"/>
          <w:highlight w:val="none"/>
        </w:rPr>
        <w:t>铝合金，吊塔所采用的材料必须防腐蚀，便于清洗，吊塔表面喷塑采用环保抗菌粉末，具有表面抑制细菌再生作用，标准大肠杆菌及金黄色葡萄球菌抗菌率≥99.9</w:t>
      </w:r>
      <w:r>
        <w:rPr>
          <w:rFonts w:hint="eastAsia" w:ascii="仿宋" w:hAnsi="仿宋" w:eastAsia="仿宋"/>
          <w:sz w:val="28"/>
          <w:szCs w:val="28"/>
        </w:rPr>
        <w:t>%</w:t>
      </w:r>
    </w:p>
    <w:p w14:paraId="298A8A0D">
      <w:pPr>
        <w:numPr>
          <w:ilvl w:val="0"/>
          <w:numId w:val="6"/>
        </w:numPr>
        <w:spacing w:line="480" w:lineRule="exact"/>
        <w:ind w:left="0" w:leftChars="0" w:firstLine="400" w:firstLineChars="0"/>
        <w:contextualSpacing/>
        <w:rPr>
          <w:rFonts w:ascii="仿宋" w:hAnsi="仿宋" w:eastAsia="仿宋"/>
          <w:sz w:val="28"/>
          <w:szCs w:val="28"/>
        </w:rPr>
      </w:pPr>
      <w:r>
        <w:rPr>
          <w:rFonts w:hint="eastAsia" w:ascii="仿宋" w:hAnsi="仿宋" w:eastAsia="仿宋"/>
          <w:sz w:val="28"/>
          <w:szCs w:val="28"/>
        </w:rPr>
        <w:t>单臂手术塔上承载的设备的电源线路及气源管路和塔体之间没有相对移动，所有电源线路及气源管路必须在塔体内不能外露</w:t>
      </w:r>
    </w:p>
    <w:p w14:paraId="11392F0D">
      <w:pPr>
        <w:numPr>
          <w:ilvl w:val="0"/>
          <w:numId w:val="6"/>
        </w:numPr>
        <w:spacing w:line="480" w:lineRule="exact"/>
        <w:ind w:left="0" w:leftChars="0" w:firstLine="400" w:firstLineChars="0"/>
        <w:contextualSpacing/>
        <w:rPr>
          <w:rFonts w:ascii="仿宋" w:hAnsi="仿宋" w:eastAsia="仿宋"/>
          <w:sz w:val="28"/>
          <w:szCs w:val="28"/>
        </w:rPr>
      </w:pPr>
      <w:r>
        <w:rPr>
          <w:rFonts w:hint="eastAsia" w:ascii="仿宋" w:hAnsi="仿宋" w:eastAsia="仿宋"/>
          <w:sz w:val="28"/>
          <w:szCs w:val="28"/>
        </w:rPr>
        <w:t>刹车系统：配有良好的刹车系统，刹车方式阻尼加动平衡</w:t>
      </w:r>
    </w:p>
    <w:p w14:paraId="02B6C842">
      <w:pPr>
        <w:numPr>
          <w:ilvl w:val="0"/>
          <w:numId w:val="6"/>
        </w:numPr>
        <w:spacing w:line="480" w:lineRule="exact"/>
        <w:ind w:left="0" w:leftChars="0" w:firstLine="400" w:firstLineChars="0"/>
        <w:contextualSpacing/>
        <w:rPr>
          <w:rFonts w:ascii="仿宋" w:hAnsi="仿宋" w:eastAsia="仿宋"/>
          <w:sz w:val="28"/>
          <w:szCs w:val="28"/>
        </w:rPr>
      </w:pPr>
      <w:r>
        <w:rPr>
          <w:rFonts w:hint="eastAsia" w:ascii="仿宋" w:hAnsi="仿宋" w:eastAsia="仿宋"/>
          <w:sz w:val="28"/>
          <w:szCs w:val="28"/>
        </w:rPr>
        <w:t>医用软管为符合EN ISO 5359标准的PVC三层管或者橡胶材质气体软管；软管应能承受≥1MPa的气压测试而不漏气、不爆裂</w:t>
      </w:r>
      <w:r>
        <w:rPr>
          <w:rFonts w:hint="eastAsia" w:ascii="仿宋" w:hAnsi="仿宋" w:eastAsia="仿宋"/>
          <w:sz w:val="28"/>
          <w:szCs w:val="28"/>
          <w:lang w:eastAsia="zh-CN"/>
        </w:rPr>
        <w:t>（</w:t>
      </w:r>
      <w:r>
        <w:rPr>
          <w:rFonts w:hint="eastAsia" w:ascii="仿宋" w:hAnsi="仿宋" w:eastAsia="仿宋"/>
          <w:sz w:val="28"/>
          <w:szCs w:val="28"/>
        </w:rPr>
        <w:t>提供压力测试第三方检测报告</w:t>
      </w:r>
      <w:r>
        <w:rPr>
          <w:rFonts w:hint="eastAsia" w:ascii="仿宋" w:hAnsi="仿宋" w:eastAsia="仿宋"/>
          <w:sz w:val="28"/>
          <w:szCs w:val="28"/>
          <w:lang w:eastAsia="zh-CN"/>
        </w:rPr>
        <w:t>）</w:t>
      </w:r>
    </w:p>
    <w:p w14:paraId="058E1611">
      <w:pPr>
        <w:numPr>
          <w:ilvl w:val="0"/>
          <w:numId w:val="6"/>
        </w:numPr>
        <w:spacing w:line="480" w:lineRule="exact"/>
        <w:ind w:left="0" w:leftChars="0" w:firstLine="400" w:firstLineChars="0"/>
        <w:contextualSpacing/>
        <w:rPr>
          <w:rFonts w:ascii="仿宋" w:hAnsi="仿宋" w:eastAsia="仿宋"/>
          <w:sz w:val="28"/>
          <w:szCs w:val="28"/>
        </w:rPr>
      </w:pPr>
      <w:r>
        <w:rPr>
          <w:rFonts w:hint="eastAsia" w:ascii="仿宋" w:hAnsi="仿宋" w:eastAsia="仿宋"/>
          <w:sz w:val="28"/>
          <w:szCs w:val="28"/>
        </w:rPr>
        <w:t>吊塔内软管配备可与气体铜管或者气体不锈钢管对接的转换头，转换头带有检修阀门</w:t>
      </w:r>
    </w:p>
    <w:p w14:paraId="4A5AAC22">
      <w:pPr>
        <w:numPr>
          <w:ilvl w:val="0"/>
          <w:numId w:val="6"/>
        </w:numPr>
        <w:spacing w:line="480" w:lineRule="exact"/>
        <w:ind w:left="0" w:leftChars="0" w:firstLine="400" w:firstLineChars="0"/>
        <w:contextualSpacing/>
        <w:rPr>
          <w:rFonts w:ascii="仿宋" w:hAnsi="仿宋" w:eastAsia="仿宋"/>
          <w:sz w:val="28"/>
          <w:szCs w:val="28"/>
        </w:rPr>
      </w:pPr>
      <w:r>
        <w:rPr>
          <w:rFonts w:hint="eastAsia" w:ascii="仿宋" w:hAnsi="仿宋" w:eastAsia="仿宋"/>
          <w:sz w:val="28"/>
          <w:szCs w:val="28"/>
        </w:rPr>
        <w:t>基础架平缓施加荷载至10000N·m的试验扭矩，持续10min，法兰盘水平偏角≤0.6°</w:t>
      </w:r>
    </w:p>
    <w:p w14:paraId="51D4CEB3">
      <w:pPr>
        <w:numPr>
          <w:ilvl w:val="0"/>
          <w:numId w:val="6"/>
        </w:numPr>
        <w:spacing w:line="480" w:lineRule="exact"/>
        <w:ind w:left="0" w:leftChars="0" w:firstLine="400" w:firstLineChars="0"/>
        <w:contextualSpacing/>
        <w:rPr>
          <w:rFonts w:ascii="仿宋" w:hAnsi="仿宋" w:eastAsia="仿宋"/>
          <w:sz w:val="28"/>
          <w:szCs w:val="28"/>
        </w:rPr>
      </w:pPr>
      <w:r>
        <w:rPr>
          <w:rFonts w:hint="eastAsia" w:ascii="仿宋" w:hAnsi="仿宋" w:eastAsia="仿宋"/>
          <w:sz w:val="28"/>
          <w:szCs w:val="28"/>
        </w:rPr>
        <w:t>吊臂工作承重≥300K</w:t>
      </w:r>
      <w:r>
        <w:rPr>
          <w:rFonts w:hint="eastAsia" w:ascii="仿宋" w:hAnsi="仿宋" w:eastAsia="仿宋"/>
          <w:sz w:val="28"/>
          <w:szCs w:val="28"/>
          <w:lang w:val="en-US" w:eastAsia="zh-CN"/>
        </w:rPr>
        <w:t>g</w:t>
      </w:r>
      <w:r>
        <w:rPr>
          <w:rFonts w:hint="eastAsia" w:ascii="仿宋" w:hAnsi="仿宋" w:eastAsia="仿宋"/>
          <w:sz w:val="28"/>
          <w:szCs w:val="28"/>
        </w:rPr>
        <w:t>，通过4倍工作承重1200K</w:t>
      </w:r>
      <w:r>
        <w:rPr>
          <w:rFonts w:hint="eastAsia" w:ascii="仿宋" w:hAnsi="仿宋" w:eastAsia="仿宋"/>
          <w:sz w:val="28"/>
          <w:szCs w:val="28"/>
          <w:lang w:val="en-US" w:eastAsia="zh-CN"/>
        </w:rPr>
        <w:t>g</w:t>
      </w:r>
      <w:r>
        <w:rPr>
          <w:rFonts w:hint="eastAsia" w:ascii="仿宋" w:hAnsi="仿宋" w:eastAsia="仿宋"/>
          <w:sz w:val="28"/>
          <w:szCs w:val="28"/>
        </w:rPr>
        <w:t>的测试</w:t>
      </w:r>
    </w:p>
    <w:p w14:paraId="556D90C8">
      <w:pPr>
        <w:numPr>
          <w:ilvl w:val="0"/>
          <w:numId w:val="6"/>
        </w:numPr>
        <w:spacing w:line="480" w:lineRule="exact"/>
        <w:ind w:left="0" w:leftChars="0" w:firstLine="400" w:firstLineChars="0"/>
        <w:contextualSpacing/>
        <w:rPr>
          <w:rFonts w:ascii="仿宋" w:hAnsi="仿宋" w:eastAsia="仿宋"/>
          <w:sz w:val="28"/>
          <w:szCs w:val="28"/>
        </w:rPr>
      </w:pPr>
      <w:r>
        <w:rPr>
          <w:rFonts w:hint="eastAsia" w:ascii="仿宋" w:hAnsi="仿宋" w:eastAsia="仿宋"/>
          <w:sz w:val="28"/>
          <w:szCs w:val="28"/>
        </w:rPr>
        <w:t>吊塔防尘防水等级≥IP30</w:t>
      </w:r>
    </w:p>
    <w:p w14:paraId="18D4394F">
      <w:pPr>
        <w:numPr>
          <w:ilvl w:val="0"/>
          <w:numId w:val="6"/>
        </w:numPr>
        <w:spacing w:line="480" w:lineRule="exact"/>
        <w:ind w:left="0" w:leftChars="0" w:firstLine="400" w:firstLineChars="0"/>
        <w:contextualSpacing/>
        <w:rPr>
          <w:rFonts w:ascii="仿宋" w:hAnsi="仿宋" w:eastAsia="仿宋"/>
          <w:sz w:val="28"/>
          <w:szCs w:val="28"/>
        </w:rPr>
      </w:pPr>
      <w:r>
        <w:rPr>
          <w:rFonts w:hint="eastAsia" w:ascii="仿宋" w:hAnsi="仿宋" w:eastAsia="仿宋"/>
          <w:sz w:val="28"/>
          <w:szCs w:val="28"/>
        </w:rPr>
        <w:t>吊塔外科防火等级≥UL94-V0级</w:t>
      </w:r>
    </w:p>
    <w:p w14:paraId="33C5427A">
      <w:pPr>
        <w:numPr>
          <w:ilvl w:val="0"/>
          <w:numId w:val="6"/>
        </w:numPr>
        <w:spacing w:line="480" w:lineRule="exact"/>
        <w:ind w:left="0" w:leftChars="0" w:firstLine="400" w:firstLineChars="0"/>
        <w:contextualSpacing/>
        <w:rPr>
          <w:rFonts w:ascii="仿宋" w:hAnsi="仿宋" w:eastAsia="仿宋"/>
          <w:sz w:val="28"/>
          <w:szCs w:val="28"/>
        </w:rPr>
      </w:pPr>
      <w:r>
        <w:rPr>
          <w:rFonts w:hint="eastAsia" w:ascii="仿宋" w:hAnsi="仿宋" w:eastAsia="仿宋"/>
          <w:sz w:val="28"/>
          <w:szCs w:val="28"/>
        </w:rPr>
        <w:t>气体终端插拔次数≥80000次</w:t>
      </w:r>
    </w:p>
    <w:p w14:paraId="1C585654">
      <w:pPr>
        <w:numPr>
          <w:ilvl w:val="0"/>
          <w:numId w:val="6"/>
        </w:numPr>
        <w:spacing w:line="480" w:lineRule="exact"/>
        <w:ind w:left="0" w:leftChars="0" w:firstLine="400" w:firstLineChars="0"/>
        <w:contextualSpacing/>
        <w:rPr>
          <w:rFonts w:ascii="仿宋" w:hAnsi="仿宋" w:eastAsia="仿宋"/>
          <w:sz w:val="28"/>
          <w:szCs w:val="28"/>
          <w:highlight w:val="none"/>
        </w:rPr>
      </w:pPr>
      <w:r>
        <w:rPr>
          <w:rFonts w:hint="eastAsia" w:ascii="仿宋" w:hAnsi="仿宋" w:eastAsia="仿宋"/>
          <w:sz w:val="28"/>
          <w:szCs w:val="28"/>
          <w:highlight w:val="none"/>
          <w:lang w:val="en-US" w:eastAsia="zh-CN"/>
        </w:rPr>
        <w:t>吊塔通过抗震实验检测，抗震级别达到≥7级（里氏）（提供第三方抗震实验报告）</w:t>
      </w:r>
    </w:p>
    <w:p w14:paraId="62A484FE">
      <w:pPr>
        <w:spacing w:line="480" w:lineRule="exact"/>
        <w:contextualSpacing/>
        <w:rPr>
          <w:rFonts w:ascii="仿宋" w:hAnsi="仿宋" w:eastAsia="仿宋"/>
          <w:sz w:val="28"/>
          <w:szCs w:val="28"/>
          <w:highlight w:val="none"/>
        </w:rPr>
      </w:pPr>
      <w:r>
        <w:rPr>
          <w:rFonts w:hint="eastAsia" w:ascii="仿宋" w:hAnsi="仿宋" w:eastAsia="仿宋"/>
          <w:sz w:val="28"/>
          <w:szCs w:val="28"/>
          <w:highlight w:val="none"/>
        </w:rPr>
        <w:t>二、配置要求</w:t>
      </w:r>
    </w:p>
    <w:p w14:paraId="6155ECEC">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1、旋转臂：旋转半径≥0.75米</w:t>
      </w:r>
    </w:p>
    <w:p w14:paraId="52C92067">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2、吊柱式气电功能箱：长度≥0.8米</w:t>
      </w:r>
    </w:p>
    <w:p w14:paraId="2015F1C1">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3、横臂和终端箱体可分别或同时水平旋转，横臂水平旋转角度≥340°，终端箱体水平旋转角度≥340°</w:t>
      </w:r>
    </w:p>
    <w:p w14:paraId="2487B3A7">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4、仪器平台≥3层（带1个抽屉），每个平台承重量≥40K</w:t>
      </w:r>
      <w:r>
        <w:rPr>
          <w:rFonts w:hint="eastAsia" w:ascii="仿宋" w:hAnsi="仿宋" w:eastAsia="仿宋"/>
          <w:sz w:val="28"/>
          <w:szCs w:val="28"/>
          <w:lang w:val="en-US" w:eastAsia="zh-CN"/>
        </w:rPr>
        <w:t>g</w:t>
      </w:r>
    </w:p>
    <w:p w14:paraId="785B1354">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5、德标气体接口7个：氧气2个、空气1个、负压吸引2个、二氧化碳1个、废气回收接口1个。各类接口颜色及形状不同，具有防接错功能</w:t>
      </w:r>
    </w:p>
    <w:p w14:paraId="1CA9BDEC">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6、10A国标斜五孔电源插座8个；16A国标三孔插座1个；等电位端子2个；六类网络接口2个；高度可调输液组合架1个；网篮1个</w:t>
      </w:r>
    </w:p>
    <w:p w14:paraId="07A4C2A7">
      <w:pPr>
        <w:spacing w:line="480" w:lineRule="exact"/>
        <w:contextualSpacing/>
        <w:outlineLvl w:val="2"/>
        <w:rPr>
          <w:rFonts w:ascii="仿宋" w:hAnsi="仿宋" w:eastAsia="仿宋"/>
          <w:b/>
          <w:sz w:val="28"/>
          <w:szCs w:val="28"/>
        </w:rPr>
      </w:pPr>
      <w:r>
        <w:rPr>
          <w:rFonts w:hint="eastAsia" w:ascii="仿宋" w:hAnsi="仿宋" w:eastAsia="仿宋"/>
          <w:b/>
          <w:sz w:val="28"/>
          <w:szCs w:val="28"/>
          <w:highlight w:val="none"/>
        </w:rPr>
        <w:t>序号</w:t>
      </w:r>
      <w:r>
        <w:rPr>
          <w:rFonts w:hint="eastAsia" w:ascii="仿宋" w:hAnsi="仿宋" w:eastAsia="仿宋"/>
          <w:b/>
          <w:sz w:val="28"/>
          <w:szCs w:val="28"/>
          <w:highlight w:val="none"/>
          <w:lang w:val="en-US" w:eastAsia="zh-CN"/>
        </w:rPr>
        <w:t>5</w:t>
      </w:r>
      <w:r>
        <w:rPr>
          <w:rFonts w:hint="eastAsia" w:ascii="仿宋" w:hAnsi="仿宋" w:eastAsia="仿宋"/>
          <w:b/>
          <w:sz w:val="28"/>
          <w:szCs w:val="28"/>
          <w:highlight w:val="none"/>
        </w:rPr>
        <w:t>：双臂机械手术塔技术参数要求</w:t>
      </w:r>
    </w:p>
    <w:p w14:paraId="76901CF4">
      <w:pPr>
        <w:spacing w:line="480" w:lineRule="exact"/>
        <w:contextualSpacing/>
        <w:rPr>
          <w:rFonts w:ascii="仿宋" w:hAnsi="仿宋" w:eastAsia="仿宋"/>
          <w:sz w:val="28"/>
          <w:szCs w:val="28"/>
          <w:highlight w:val="none"/>
        </w:rPr>
      </w:pPr>
      <w:r>
        <w:rPr>
          <w:rFonts w:hint="eastAsia" w:ascii="仿宋" w:hAnsi="仿宋" w:eastAsia="仿宋"/>
          <w:sz w:val="28"/>
          <w:szCs w:val="28"/>
        </w:rPr>
        <w:t>一、基本要求</w:t>
      </w:r>
    </w:p>
    <w:p w14:paraId="45B37CC5">
      <w:pPr>
        <w:numPr>
          <w:ilvl w:val="0"/>
          <w:numId w:val="7"/>
        </w:numPr>
        <w:spacing w:line="480" w:lineRule="exact"/>
        <w:ind w:left="0" w:leftChars="0" w:firstLine="400" w:firstLineChars="0"/>
        <w:contextualSpacing/>
        <w:rPr>
          <w:rFonts w:ascii="仿宋" w:hAnsi="仿宋" w:eastAsia="仿宋"/>
          <w:sz w:val="28"/>
          <w:szCs w:val="28"/>
        </w:rPr>
      </w:pPr>
      <w:r>
        <w:rPr>
          <w:rFonts w:hint="eastAsia" w:ascii="仿宋" w:hAnsi="仿宋" w:eastAsia="仿宋"/>
          <w:sz w:val="28"/>
          <w:szCs w:val="28"/>
          <w:highlight w:val="none"/>
        </w:rPr>
        <w:t>主体材料要求为6系</w:t>
      </w:r>
      <w:r>
        <w:rPr>
          <w:rFonts w:hint="eastAsia" w:ascii="仿宋" w:hAnsi="仿宋" w:eastAsia="仿宋"/>
          <w:sz w:val="28"/>
          <w:szCs w:val="28"/>
          <w:highlight w:val="none"/>
          <w:lang w:val="en-US" w:eastAsia="zh-CN"/>
        </w:rPr>
        <w:t>及以上的</w:t>
      </w:r>
      <w:r>
        <w:rPr>
          <w:rFonts w:hint="eastAsia" w:ascii="仿宋" w:hAnsi="仿宋" w:eastAsia="仿宋"/>
          <w:sz w:val="28"/>
          <w:szCs w:val="28"/>
          <w:highlight w:val="none"/>
        </w:rPr>
        <w:t>铝合金，吊塔所采用的材料必须防腐蚀，便于清洗，吊塔表面喷塑采用环保抗菌粉末，具有表面抑制</w:t>
      </w:r>
      <w:r>
        <w:rPr>
          <w:rFonts w:hint="eastAsia" w:ascii="仿宋" w:hAnsi="仿宋" w:eastAsia="仿宋"/>
          <w:sz w:val="28"/>
          <w:szCs w:val="28"/>
        </w:rPr>
        <w:t>细菌再生作用，标准大肠杆菌及金黄色葡萄球菌抗菌率≥99.9%</w:t>
      </w:r>
    </w:p>
    <w:p w14:paraId="3218F3DF">
      <w:pPr>
        <w:numPr>
          <w:ilvl w:val="0"/>
          <w:numId w:val="7"/>
        </w:numPr>
        <w:spacing w:line="480" w:lineRule="exact"/>
        <w:ind w:left="0" w:leftChars="0" w:firstLine="400" w:firstLineChars="0"/>
        <w:contextualSpacing/>
        <w:rPr>
          <w:rFonts w:ascii="仿宋" w:hAnsi="仿宋" w:eastAsia="仿宋"/>
          <w:sz w:val="28"/>
          <w:szCs w:val="28"/>
        </w:rPr>
      </w:pPr>
      <w:r>
        <w:rPr>
          <w:rFonts w:hint="eastAsia" w:ascii="仿宋" w:hAnsi="仿宋" w:eastAsia="仿宋"/>
          <w:sz w:val="28"/>
          <w:szCs w:val="28"/>
        </w:rPr>
        <w:t>双臂手术塔上承载的设备的电源线路及气源管路和塔体之间没有相对移动，所有电源线路及气源管路必须在塔体内不能外露</w:t>
      </w:r>
    </w:p>
    <w:p w14:paraId="1DB7B9F0">
      <w:pPr>
        <w:numPr>
          <w:ilvl w:val="0"/>
          <w:numId w:val="7"/>
        </w:numPr>
        <w:spacing w:line="480" w:lineRule="exact"/>
        <w:ind w:left="0" w:leftChars="0" w:firstLine="400" w:firstLineChars="0"/>
        <w:contextualSpacing/>
        <w:rPr>
          <w:rFonts w:ascii="仿宋" w:hAnsi="仿宋" w:eastAsia="仿宋"/>
          <w:sz w:val="28"/>
          <w:szCs w:val="28"/>
        </w:rPr>
      </w:pPr>
      <w:r>
        <w:rPr>
          <w:rFonts w:hint="eastAsia" w:ascii="仿宋" w:hAnsi="仿宋" w:eastAsia="仿宋"/>
          <w:sz w:val="28"/>
          <w:szCs w:val="28"/>
        </w:rPr>
        <w:t>刹车系统：配有良好的刹车系统，刹车方式阻尼加动平衡</w:t>
      </w:r>
    </w:p>
    <w:p w14:paraId="368A7C1B">
      <w:pPr>
        <w:numPr>
          <w:ilvl w:val="0"/>
          <w:numId w:val="7"/>
        </w:numPr>
        <w:spacing w:line="480" w:lineRule="exact"/>
        <w:ind w:left="0" w:leftChars="0" w:firstLine="400" w:firstLineChars="0"/>
        <w:contextualSpacing/>
        <w:rPr>
          <w:rFonts w:ascii="仿宋" w:hAnsi="仿宋" w:eastAsia="仿宋"/>
          <w:sz w:val="28"/>
          <w:szCs w:val="28"/>
        </w:rPr>
      </w:pPr>
      <w:r>
        <w:rPr>
          <w:rFonts w:hint="eastAsia" w:ascii="仿宋" w:hAnsi="仿宋" w:eastAsia="仿宋"/>
          <w:sz w:val="28"/>
          <w:szCs w:val="28"/>
        </w:rPr>
        <w:t>医用软管为符合EN ISO 5359标准的PVC三层管或者橡胶材质气体软管；软管应能承受≥1MPa的气压测试而不漏气、不爆裂</w:t>
      </w:r>
      <w:r>
        <w:rPr>
          <w:rFonts w:hint="eastAsia" w:ascii="仿宋" w:hAnsi="仿宋" w:eastAsia="仿宋"/>
          <w:sz w:val="28"/>
          <w:szCs w:val="28"/>
          <w:lang w:eastAsia="zh-CN"/>
        </w:rPr>
        <w:t>（</w:t>
      </w:r>
      <w:r>
        <w:rPr>
          <w:rFonts w:hint="eastAsia" w:ascii="仿宋" w:hAnsi="仿宋" w:eastAsia="仿宋"/>
          <w:sz w:val="28"/>
          <w:szCs w:val="28"/>
        </w:rPr>
        <w:t>提供压力测试第三方检测报告</w:t>
      </w:r>
      <w:r>
        <w:rPr>
          <w:rFonts w:hint="eastAsia" w:ascii="仿宋" w:hAnsi="仿宋" w:eastAsia="仿宋"/>
          <w:sz w:val="28"/>
          <w:szCs w:val="28"/>
          <w:lang w:eastAsia="zh-CN"/>
        </w:rPr>
        <w:t>）</w:t>
      </w:r>
    </w:p>
    <w:p w14:paraId="328B0E83">
      <w:pPr>
        <w:numPr>
          <w:ilvl w:val="0"/>
          <w:numId w:val="7"/>
        </w:numPr>
        <w:spacing w:line="480" w:lineRule="exact"/>
        <w:ind w:left="0" w:leftChars="0" w:firstLine="400" w:firstLineChars="0"/>
        <w:contextualSpacing/>
        <w:rPr>
          <w:rFonts w:ascii="仿宋" w:hAnsi="仿宋" w:eastAsia="仿宋"/>
          <w:sz w:val="28"/>
          <w:szCs w:val="28"/>
        </w:rPr>
      </w:pPr>
      <w:r>
        <w:rPr>
          <w:rFonts w:hint="eastAsia" w:ascii="仿宋" w:hAnsi="仿宋" w:eastAsia="仿宋"/>
          <w:sz w:val="28"/>
          <w:szCs w:val="28"/>
        </w:rPr>
        <w:t xml:space="preserve">吊塔内软管配备可与气体铜管或者气体不锈钢管对接的转换头，转换头带有检修阀门 </w:t>
      </w:r>
    </w:p>
    <w:p w14:paraId="06D2BFAD">
      <w:pPr>
        <w:numPr>
          <w:ilvl w:val="0"/>
          <w:numId w:val="7"/>
        </w:numPr>
        <w:spacing w:line="480" w:lineRule="exact"/>
        <w:ind w:left="0" w:leftChars="0" w:firstLine="400" w:firstLineChars="0"/>
        <w:contextualSpacing/>
        <w:rPr>
          <w:rFonts w:ascii="仿宋" w:hAnsi="仿宋" w:eastAsia="仿宋"/>
          <w:sz w:val="28"/>
          <w:szCs w:val="28"/>
        </w:rPr>
      </w:pPr>
      <w:r>
        <w:rPr>
          <w:rFonts w:hint="eastAsia" w:ascii="仿宋" w:hAnsi="仿宋" w:eastAsia="仿宋"/>
          <w:sz w:val="28"/>
          <w:szCs w:val="28"/>
        </w:rPr>
        <w:t>基础架平缓施加荷载至10000N·m的试验扭矩，持续10min，法兰盘水平偏角≤0.6°</w:t>
      </w:r>
    </w:p>
    <w:p w14:paraId="358BD76B">
      <w:pPr>
        <w:numPr>
          <w:ilvl w:val="0"/>
          <w:numId w:val="7"/>
        </w:numPr>
        <w:spacing w:line="480" w:lineRule="exact"/>
        <w:ind w:left="0" w:leftChars="0" w:firstLine="400" w:firstLineChars="0"/>
        <w:contextualSpacing/>
        <w:rPr>
          <w:rFonts w:ascii="仿宋" w:hAnsi="仿宋" w:eastAsia="仿宋"/>
          <w:sz w:val="28"/>
          <w:szCs w:val="28"/>
        </w:rPr>
      </w:pPr>
      <w:r>
        <w:rPr>
          <w:rFonts w:hint="eastAsia" w:ascii="仿宋" w:hAnsi="仿宋" w:eastAsia="仿宋"/>
          <w:sz w:val="28"/>
          <w:szCs w:val="28"/>
        </w:rPr>
        <w:t>吊臂工作承重≥300K</w:t>
      </w:r>
      <w:r>
        <w:rPr>
          <w:rFonts w:hint="eastAsia" w:ascii="仿宋" w:hAnsi="仿宋" w:eastAsia="仿宋"/>
          <w:sz w:val="28"/>
          <w:szCs w:val="28"/>
          <w:lang w:val="en-US" w:eastAsia="zh-CN"/>
        </w:rPr>
        <w:t>g</w:t>
      </w:r>
      <w:r>
        <w:rPr>
          <w:rFonts w:hint="eastAsia" w:ascii="仿宋" w:hAnsi="仿宋" w:eastAsia="仿宋"/>
          <w:sz w:val="28"/>
          <w:szCs w:val="28"/>
        </w:rPr>
        <w:t>，通过4倍工作承重1200K</w:t>
      </w:r>
      <w:r>
        <w:rPr>
          <w:rFonts w:hint="eastAsia" w:ascii="仿宋" w:hAnsi="仿宋" w:eastAsia="仿宋"/>
          <w:sz w:val="28"/>
          <w:szCs w:val="28"/>
          <w:lang w:val="en-US" w:eastAsia="zh-CN"/>
        </w:rPr>
        <w:t>g</w:t>
      </w:r>
      <w:r>
        <w:rPr>
          <w:rFonts w:hint="eastAsia" w:ascii="仿宋" w:hAnsi="仿宋" w:eastAsia="仿宋"/>
          <w:sz w:val="28"/>
          <w:szCs w:val="28"/>
        </w:rPr>
        <w:t>的测试</w:t>
      </w:r>
    </w:p>
    <w:p w14:paraId="30E10910">
      <w:pPr>
        <w:numPr>
          <w:ilvl w:val="0"/>
          <w:numId w:val="7"/>
        </w:numPr>
        <w:spacing w:line="480" w:lineRule="exact"/>
        <w:ind w:left="0" w:leftChars="0" w:firstLine="400" w:firstLineChars="0"/>
        <w:contextualSpacing/>
        <w:rPr>
          <w:rFonts w:ascii="仿宋" w:hAnsi="仿宋" w:eastAsia="仿宋"/>
          <w:sz w:val="28"/>
          <w:szCs w:val="28"/>
        </w:rPr>
      </w:pPr>
      <w:r>
        <w:rPr>
          <w:rFonts w:hint="eastAsia" w:ascii="仿宋" w:hAnsi="仿宋" w:eastAsia="仿宋"/>
          <w:sz w:val="28"/>
          <w:szCs w:val="28"/>
        </w:rPr>
        <w:t>吊塔防尘防水等级≥IP30</w:t>
      </w:r>
    </w:p>
    <w:p w14:paraId="035B1F7E">
      <w:pPr>
        <w:numPr>
          <w:ilvl w:val="0"/>
          <w:numId w:val="7"/>
        </w:numPr>
        <w:spacing w:line="480" w:lineRule="exact"/>
        <w:ind w:left="0" w:leftChars="0" w:firstLine="400" w:firstLineChars="0"/>
        <w:contextualSpacing/>
        <w:rPr>
          <w:rFonts w:ascii="仿宋" w:hAnsi="仿宋" w:eastAsia="仿宋"/>
          <w:sz w:val="28"/>
          <w:szCs w:val="28"/>
          <w:highlight w:val="none"/>
        </w:rPr>
      </w:pPr>
      <w:r>
        <w:rPr>
          <w:rFonts w:hint="eastAsia" w:ascii="仿宋" w:hAnsi="仿宋" w:eastAsia="仿宋"/>
          <w:sz w:val="28"/>
          <w:szCs w:val="28"/>
        </w:rPr>
        <w:t>吊塔外</w:t>
      </w:r>
      <w:r>
        <w:rPr>
          <w:rFonts w:hint="eastAsia" w:ascii="仿宋" w:hAnsi="仿宋" w:eastAsia="仿宋"/>
          <w:sz w:val="28"/>
          <w:szCs w:val="28"/>
          <w:highlight w:val="none"/>
        </w:rPr>
        <w:t>科防火等级≥UL94-V0级</w:t>
      </w:r>
    </w:p>
    <w:p w14:paraId="74C843BD">
      <w:pPr>
        <w:numPr>
          <w:ilvl w:val="0"/>
          <w:numId w:val="7"/>
        </w:numPr>
        <w:spacing w:line="480" w:lineRule="exact"/>
        <w:ind w:left="0" w:leftChars="0" w:firstLine="400" w:firstLineChars="0"/>
        <w:contextualSpacing/>
        <w:rPr>
          <w:rFonts w:ascii="仿宋" w:hAnsi="仿宋" w:eastAsia="仿宋"/>
          <w:sz w:val="28"/>
          <w:szCs w:val="28"/>
          <w:highlight w:val="none"/>
        </w:rPr>
      </w:pPr>
      <w:r>
        <w:rPr>
          <w:rFonts w:hint="eastAsia" w:ascii="仿宋" w:hAnsi="仿宋" w:eastAsia="仿宋"/>
          <w:sz w:val="28"/>
          <w:szCs w:val="28"/>
          <w:highlight w:val="none"/>
        </w:rPr>
        <w:t>气体终端插拔次数≥80000次</w:t>
      </w:r>
    </w:p>
    <w:p w14:paraId="095D5622">
      <w:pPr>
        <w:numPr>
          <w:ilvl w:val="0"/>
          <w:numId w:val="7"/>
        </w:numPr>
        <w:spacing w:line="480" w:lineRule="exact"/>
        <w:ind w:left="0" w:leftChars="0" w:firstLine="400" w:firstLineChars="0"/>
        <w:contextualSpacing/>
        <w:rPr>
          <w:rFonts w:ascii="仿宋" w:hAnsi="仿宋" w:eastAsia="仿宋"/>
          <w:sz w:val="28"/>
          <w:szCs w:val="28"/>
          <w:highlight w:val="none"/>
        </w:rPr>
      </w:pPr>
      <w:r>
        <w:rPr>
          <w:rFonts w:hint="eastAsia" w:ascii="仿宋" w:hAnsi="仿宋" w:eastAsia="仿宋"/>
          <w:sz w:val="28"/>
          <w:szCs w:val="28"/>
          <w:highlight w:val="none"/>
          <w:lang w:val="en-US" w:eastAsia="zh-CN"/>
        </w:rPr>
        <w:t>吊塔通过抗震实验检测，抗震级别达到≥7级（里氏）（提供第三方抗震实验报告）</w:t>
      </w:r>
    </w:p>
    <w:p w14:paraId="4878D772">
      <w:pPr>
        <w:spacing w:line="480" w:lineRule="exact"/>
        <w:contextualSpacing/>
        <w:rPr>
          <w:rFonts w:ascii="仿宋" w:hAnsi="仿宋" w:eastAsia="仿宋"/>
          <w:sz w:val="28"/>
          <w:szCs w:val="28"/>
          <w:highlight w:val="none"/>
        </w:rPr>
      </w:pPr>
      <w:r>
        <w:rPr>
          <w:rFonts w:hint="eastAsia" w:ascii="仿宋" w:hAnsi="仿宋" w:eastAsia="仿宋"/>
          <w:sz w:val="28"/>
          <w:szCs w:val="28"/>
          <w:highlight w:val="none"/>
        </w:rPr>
        <w:t>二、配置要求</w:t>
      </w:r>
    </w:p>
    <w:p w14:paraId="55C0A114">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1、旋转臂：旋转半径≥1.4米</w:t>
      </w:r>
    </w:p>
    <w:p w14:paraId="3DCAB6BE">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2、吊柱式气电功能箱：长度≥0.8米</w:t>
      </w:r>
    </w:p>
    <w:p w14:paraId="389F1EC9">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3、横臂和终端箱体可分别或同时水平旋转，横臂水平旋转角度≥340°，终端箱体水平旋转角度≥340°</w:t>
      </w:r>
    </w:p>
    <w:p w14:paraId="482B90D0">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4、仪器平台≥3层（带1个抽屉），每个平台承重量≥40K</w:t>
      </w:r>
      <w:r>
        <w:rPr>
          <w:rFonts w:hint="eastAsia" w:ascii="仿宋" w:hAnsi="仿宋" w:eastAsia="仿宋"/>
          <w:sz w:val="28"/>
          <w:szCs w:val="28"/>
          <w:lang w:val="en-US" w:eastAsia="zh-CN"/>
        </w:rPr>
        <w:t>g</w:t>
      </w:r>
    </w:p>
    <w:p w14:paraId="215E5C15">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5、德标气体接口7个：氧气2个、空气1个、负压吸引2个、二氧化碳1个、废气回收接口1个。各类接口颜色及形状不同，具有防接错功能</w:t>
      </w:r>
    </w:p>
    <w:p w14:paraId="2F23807B">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6、10A国标斜五孔电源插座8个；16A国标三孔插座1个；等电位端子2个；六类网络接口2个；高度可调输液组合架1个；网篮1个</w:t>
      </w:r>
    </w:p>
    <w:p w14:paraId="53599707">
      <w:pPr>
        <w:spacing w:line="480" w:lineRule="exact"/>
        <w:contextualSpacing/>
        <w:jc w:val="center"/>
        <w:outlineLvl w:val="1"/>
        <w:rPr>
          <w:rFonts w:hint="eastAsia" w:ascii="仿宋" w:hAnsi="仿宋" w:eastAsia="仿宋" w:cs="Times New Roman"/>
          <w:b/>
          <w:kern w:val="2"/>
          <w:sz w:val="28"/>
          <w:szCs w:val="28"/>
          <w:lang w:val="en-US" w:eastAsia="zh-CN" w:bidi="ar-SA"/>
        </w:rPr>
      </w:pPr>
      <w:r>
        <w:rPr>
          <w:rFonts w:hint="eastAsia" w:ascii="仿宋" w:hAnsi="仿宋" w:eastAsia="仿宋" w:cs="Times New Roman"/>
          <w:b/>
          <w:kern w:val="2"/>
          <w:sz w:val="28"/>
          <w:szCs w:val="28"/>
          <w:lang w:val="en-US" w:eastAsia="zh-CN" w:bidi="ar-SA"/>
        </w:rPr>
        <w:t>第3包：全自动清洗机等</w:t>
      </w:r>
    </w:p>
    <w:tbl>
      <w:tblPr>
        <w:tblStyle w:val="36"/>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79"/>
        <w:gridCol w:w="656"/>
        <w:gridCol w:w="2196"/>
        <w:gridCol w:w="1096"/>
        <w:gridCol w:w="1976"/>
        <w:gridCol w:w="1976"/>
      </w:tblGrid>
      <w:tr w14:paraId="3F8CB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743" w:type="pct"/>
            <w:tcBorders>
              <w:top w:val="single" w:color="000000" w:sz="4" w:space="0"/>
              <w:left w:val="single" w:color="000000" w:sz="4" w:space="0"/>
              <w:bottom w:val="single" w:color="000000" w:sz="4" w:space="0"/>
              <w:right w:val="single" w:color="000000" w:sz="4" w:space="0"/>
            </w:tcBorders>
            <w:noWrap/>
            <w:vAlign w:val="center"/>
          </w:tcPr>
          <w:p w14:paraId="6670D1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科室</w:t>
            </w: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0102C6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183" w:type="pct"/>
            <w:tcBorders>
              <w:top w:val="single" w:color="000000" w:sz="4" w:space="0"/>
              <w:left w:val="single" w:color="000000" w:sz="4" w:space="0"/>
              <w:bottom w:val="single" w:color="000000" w:sz="4" w:space="0"/>
              <w:right w:val="single" w:color="000000" w:sz="4" w:space="0"/>
            </w:tcBorders>
            <w:noWrap/>
            <w:vAlign w:val="center"/>
          </w:tcPr>
          <w:p w14:paraId="6BF4E6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设备名称</w:t>
            </w:r>
          </w:p>
        </w:tc>
        <w:tc>
          <w:tcPr>
            <w:tcW w:w="590" w:type="pct"/>
            <w:tcBorders>
              <w:top w:val="single" w:color="000000" w:sz="4" w:space="0"/>
              <w:left w:val="single" w:color="000000" w:sz="4" w:space="0"/>
              <w:bottom w:val="single" w:color="000000" w:sz="4" w:space="0"/>
              <w:right w:val="single" w:color="000000" w:sz="4" w:space="0"/>
            </w:tcBorders>
            <w:noWrap/>
            <w:vAlign w:val="center"/>
          </w:tcPr>
          <w:p w14:paraId="26FFBD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购置数量</w:t>
            </w:r>
          </w:p>
        </w:tc>
        <w:tc>
          <w:tcPr>
            <w:tcW w:w="1064" w:type="pct"/>
            <w:tcBorders>
              <w:top w:val="single" w:color="000000" w:sz="4" w:space="0"/>
              <w:left w:val="single" w:color="000000" w:sz="4" w:space="0"/>
              <w:bottom w:val="single" w:color="000000" w:sz="4" w:space="0"/>
              <w:right w:val="single" w:color="000000" w:sz="4" w:space="0"/>
            </w:tcBorders>
            <w:noWrap/>
            <w:vAlign w:val="center"/>
          </w:tcPr>
          <w:p w14:paraId="0A2C0A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预算单价（万元）</w:t>
            </w:r>
          </w:p>
        </w:tc>
        <w:tc>
          <w:tcPr>
            <w:tcW w:w="1064" w:type="pct"/>
            <w:tcBorders>
              <w:top w:val="single" w:color="000000" w:sz="4" w:space="0"/>
              <w:left w:val="single" w:color="000000" w:sz="4" w:space="0"/>
              <w:bottom w:val="single" w:color="000000" w:sz="4" w:space="0"/>
              <w:right w:val="single" w:color="000000" w:sz="4" w:space="0"/>
            </w:tcBorders>
            <w:noWrap/>
            <w:vAlign w:val="center"/>
          </w:tcPr>
          <w:p w14:paraId="0580FD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小计金额（万元）</w:t>
            </w:r>
          </w:p>
        </w:tc>
      </w:tr>
      <w:tr w14:paraId="4CB5D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743" w:type="pct"/>
            <w:vMerge w:val="restart"/>
            <w:tcBorders>
              <w:top w:val="single" w:color="000000" w:sz="4" w:space="0"/>
              <w:left w:val="single" w:color="000000" w:sz="4" w:space="0"/>
              <w:bottom w:val="single" w:color="000000" w:sz="4" w:space="0"/>
              <w:right w:val="single" w:color="000000" w:sz="4" w:space="0"/>
            </w:tcBorders>
            <w:noWrap/>
            <w:vAlign w:val="center"/>
          </w:tcPr>
          <w:p w14:paraId="492972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供应室</w:t>
            </w: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6EE083E6">
            <w:pPr>
              <w:keepNext w:val="0"/>
              <w:keepLines w:val="0"/>
              <w:widowControl/>
              <w:numPr>
                <w:ilvl w:val="0"/>
                <w:numId w:val="8"/>
              </w:numPr>
              <w:suppressLineNumbers w:val="0"/>
              <w:ind w:left="425" w:leftChars="0" w:hanging="425" w:firstLineChars="0"/>
              <w:jc w:val="center"/>
              <w:textAlignment w:val="center"/>
              <w:rPr>
                <w:rFonts w:hint="eastAsia" w:ascii="宋体" w:hAnsi="宋体" w:eastAsia="宋体" w:cs="宋体"/>
                <w:i w:val="0"/>
                <w:iCs w:val="0"/>
                <w:color w:val="000000"/>
                <w:sz w:val="22"/>
                <w:szCs w:val="22"/>
                <w:u w:val="none"/>
              </w:rPr>
            </w:pPr>
          </w:p>
        </w:tc>
        <w:tc>
          <w:tcPr>
            <w:tcW w:w="1183" w:type="pct"/>
            <w:tcBorders>
              <w:top w:val="single" w:color="000000" w:sz="4" w:space="0"/>
              <w:left w:val="single" w:color="000000" w:sz="4" w:space="0"/>
              <w:bottom w:val="single" w:color="000000" w:sz="4" w:space="0"/>
              <w:right w:val="single" w:color="000000" w:sz="4" w:space="0"/>
            </w:tcBorders>
            <w:noWrap/>
            <w:vAlign w:val="center"/>
          </w:tcPr>
          <w:p w14:paraId="7EF1D8E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全自动清洗机</w:t>
            </w:r>
          </w:p>
        </w:tc>
        <w:tc>
          <w:tcPr>
            <w:tcW w:w="590" w:type="pct"/>
            <w:tcBorders>
              <w:top w:val="single" w:color="000000" w:sz="4" w:space="0"/>
              <w:left w:val="single" w:color="000000" w:sz="4" w:space="0"/>
              <w:bottom w:val="single" w:color="000000" w:sz="4" w:space="0"/>
              <w:right w:val="single" w:color="000000" w:sz="4" w:space="0"/>
            </w:tcBorders>
            <w:noWrap/>
            <w:vAlign w:val="center"/>
          </w:tcPr>
          <w:p w14:paraId="308FA0A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64" w:type="pct"/>
            <w:tcBorders>
              <w:top w:val="single" w:color="000000" w:sz="4" w:space="0"/>
              <w:left w:val="single" w:color="000000" w:sz="4" w:space="0"/>
              <w:bottom w:val="single" w:color="000000" w:sz="4" w:space="0"/>
              <w:right w:val="single" w:color="000000" w:sz="4" w:space="0"/>
            </w:tcBorders>
            <w:noWrap/>
            <w:vAlign w:val="center"/>
          </w:tcPr>
          <w:p w14:paraId="0CFDB30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064" w:type="pct"/>
            <w:tcBorders>
              <w:top w:val="single" w:color="000000" w:sz="4" w:space="0"/>
              <w:left w:val="single" w:color="000000" w:sz="4" w:space="0"/>
              <w:bottom w:val="single" w:color="000000" w:sz="4" w:space="0"/>
              <w:right w:val="single" w:color="000000" w:sz="4" w:space="0"/>
            </w:tcBorders>
            <w:noWrap/>
            <w:vAlign w:val="center"/>
          </w:tcPr>
          <w:p w14:paraId="64E6DE4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r>
      <w:tr w14:paraId="68F12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743" w:type="pct"/>
            <w:vMerge w:val="continue"/>
            <w:tcBorders>
              <w:top w:val="single" w:color="000000" w:sz="4" w:space="0"/>
              <w:left w:val="single" w:color="000000" w:sz="4" w:space="0"/>
              <w:bottom w:val="single" w:color="000000" w:sz="4" w:space="0"/>
              <w:right w:val="single" w:color="000000" w:sz="4" w:space="0"/>
            </w:tcBorders>
            <w:noWrap/>
            <w:vAlign w:val="center"/>
          </w:tcPr>
          <w:p w14:paraId="3440DE75">
            <w:pPr>
              <w:jc w:val="center"/>
              <w:rPr>
                <w:rFonts w:hint="eastAsia" w:ascii="宋体" w:hAnsi="宋体" w:eastAsia="宋体" w:cs="宋体"/>
                <w:i w:val="0"/>
                <w:iCs w:val="0"/>
                <w:color w:val="000000"/>
                <w:sz w:val="22"/>
                <w:szCs w:val="22"/>
                <w:u w:val="none"/>
              </w:rPr>
            </w:pP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7D637967">
            <w:pPr>
              <w:keepNext w:val="0"/>
              <w:keepLines w:val="0"/>
              <w:widowControl/>
              <w:numPr>
                <w:ilvl w:val="0"/>
                <w:numId w:val="8"/>
              </w:numPr>
              <w:suppressLineNumbers w:val="0"/>
              <w:ind w:left="425" w:leftChars="0" w:hanging="425" w:firstLineChars="0"/>
              <w:jc w:val="center"/>
              <w:textAlignment w:val="center"/>
              <w:rPr>
                <w:rFonts w:hint="eastAsia" w:ascii="宋体" w:hAnsi="宋体" w:eastAsia="宋体" w:cs="宋体"/>
                <w:i w:val="0"/>
                <w:iCs w:val="0"/>
                <w:color w:val="000000"/>
                <w:sz w:val="22"/>
                <w:szCs w:val="22"/>
                <w:u w:val="none"/>
              </w:rPr>
            </w:pPr>
          </w:p>
        </w:tc>
        <w:tc>
          <w:tcPr>
            <w:tcW w:w="1183" w:type="pct"/>
            <w:tcBorders>
              <w:top w:val="single" w:color="000000" w:sz="4" w:space="0"/>
              <w:left w:val="single" w:color="000000" w:sz="4" w:space="0"/>
              <w:bottom w:val="single" w:color="000000" w:sz="4" w:space="0"/>
              <w:right w:val="single" w:color="000000" w:sz="4" w:space="0"/>
            </w:tcBorders>
            <w:noWrap/>
            <w:vAlign w:val="center"/>
          </w:tcPr>
          <w:p w14:paraId="59CBA8C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纯水机</w:t>
            </w:r>
          </w:p>
        </w:tc>
        <w:tc>
          <w:tcPr>
            <w:tcW w:w="590" w:type="pct"/>
            <w:tcBorders>
              <w:top w:val="single" w:color="000000" w:sz="4" w:space="0"/>
              <w:left w:val="single" w:color="000000" w:sz="4" w:space="0"/>
              <w:bottom w:val="single" w:color="000000" w:sz="4" w:space="0"/>
              <w:right w:val="single" w:color="000000" w:sz="4" w:space="0"/>
            </w:tcBorders>
            <w:noWrap/>
            <w:vAlign w:val="center"/>
          </w:tcPr>
          <w:p w14:paraId="03EA9FC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64" w:type="pct"/>
            <w:tcBorders>
              <w:top w:val="single" w:color="000000" w:sz="4" w:space="0"/>
              <w:left w:val="single" w:color="000000" w:sz="4" w:space="0"/>
              <w:bottom w:val="single" w:color="000000" w:sz="4" w:space="0"/>
              <w:right w:val="single" w:color="000000" w:sz="4" w:space="0"/>
            </w:tcBorders>
            <w:noWrap/>
            <w:vAlign w:val="center"/>
          </w:tcPr>
          <w:p w14:paraId="62BAB1B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064" w:type="pct"/>
            <w:tcBorders>
              <w:top w:val="single" w:color="000000" w:sz="4" w:space="0"/>
              <w:left w:val="single" w:color="000000" w:sz="4" w:space="0"/>
              <w:bottom w:val="single" w:color="000000" w:sz="4" w:space="0"/>
              <w:right w:val="single" w:color="000000" w:sz="4" w:space="0"/>
            </w:tcBorders>
            <w:noWrap/>
            <w:vAlign w:val="center"/>
          </w:tcPr>
          <w:p w14:paraId="58843A5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r>
      <w:tr w14:paraId="142BA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743" w:type="pct"/>
            <w:vMerge w:val="continue"/>
            <w:tcBorders>
              <w:top w:val="single" w:color="000000" w:sz="4" w:space="0"/>
              <w:left w:val="single" w:color="000000" w:sz="4" w:space="0"/>
              <w:bottom w:val="single" w:color="000000" w:sz="4" w:space="0"/>
              <w:right w:val="single" w:color="000000" w:sz="4" w:space="0"/>
            </w:tcBorders>
            <w:noWrap/>
            <w:vAlign w:val="center"/>
          </w:tcPr>
          <w:p w14:paraId="0F626F2E">
            <w:pPr>
              <w:jc w:val="center"/>
              <w:rPr>
                <w:rFonts w:hint="eastAsia" w:ascii="宋体" w:hAnsi="宋体" w:eastAsia="宋体" w:cs="宋体"/>
                <w:i w:val="0"/>
                <w:iCs w:val="0"/>
                <w:color w:val="000000"/>
                <w:sz w:val="22"/>
                <w:szCs w:val="22"/>
                <w:u w:val="none"/>
              </w:rPr>
            </w:pP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2B1AC298">
            <w:pPr>
              <w:keepNext w:val="0"/>
              <w:keepLines w:val="0"/>
              <w:widowControl/>
              <w:numPr>
                <w:ilvl w:val="0"/>
                <w:numId w:val="8"/>
              </w:numPr>
              <w:suppressLineNumbers w:val="0"/>
              <w:ind w:left="425" w:leftChars="0" w:hanging="425" w:firstLineChars="0"/>
              <w:jc w:val="center"/>
              <w:textAlignment w:val="center"/>
              <w:rPr>
                <w:rFonts w:hint="eastAsia" w:ascii="宋体" w:hAnsi="宋体" w:eastAsia="宋体" w:cs="宋体"/>
                <w:i w:val="0"/>
                <w:iCs w:val="0"/>
                <w:color w:val="000000"/>
                <w:sz w:val="22"/>
                <w:szCs w:val="22"/>
                <w:u w:val="none"/>
              </w:rPr>
            </w:pPr>
          </w:p>
        </w:tc>
        <w:tc>
          <w:tcPr>
            <w:tcW w:w="1183" w:type="pct"/>
            <w:tcBorders>
              <w:top w:val="single" w:color="000000" w:sz="4" w:space="0"/>
              <w:left w:val="single" w:color="000000" w:sz="4" w:space="0"/>
              <w:bottom w:val="single" w:color="000000" w:sz="4" w:space="0"/>
              <w:right w:val="single" w:color="000000" w:sz="4" w:space="0"/>
            </w:tcBorders>
            <w:noWrap/>
            <w:vAlign w:val="center"/>
          </w:tcPr>
          <w:p w14:paraId="396AA00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手动清洗工作台</w:t>
            </w:r>
          </w:p>
        </w:tc>
        <w:tc>
          <w:tcPr>
            <w:tcW w:w="590" w:type="pct"/>
            <w:tcBorders>
              <w:top w:val="single" w:color="000000" w:sz="4" w:space="0"/>
              <w:left w:val="single" w:color="000000" w:sz="4" w:space="0"/>
              <w:bottom w:val="single" w:color="000000" w:sz="4" w:space="0"/>
              <w:right w:val="single" w:color="000000" w:sz="4" w:space="0"/>
            </w:tcBorders>
            <w:noWrap/>
            <w:vAlign w:val="center"/>
          </w:tcPr>
          <w:p w14:paraId="576C006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64" w:type="pct"/>
            <w:tcBorders>
              <w:top w:val="single" w:color="000000" w:sz="4" w:space="0"/>
              <w:left w:val="single" w:color="000000" w:sz="4" w:space="0"/>
              <w:bottom w:val="single" w:color="000000" w:sz="4" w:space="0"/>
              <w:right w:val="single" w:color="000000" w:sz="4" w:space="0"/>
            </w:tcBorders>
            <w:noWrap/>
            <w:vAlign w:val="center"/>
          </w:tcPr>
          <w:p w14:paraId="34977CA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064" w:type="pct"/>
            <w:tcBorders>
              <w:top w:val="single" w:color="000000" w:sz="4" w:space="0"/>
              <w:left w:val="single" w:color="000000" w:sz="4" w:space="0"/>
              <w:bottom w:val="single" w:color="000000" w:sz="4" w:space="0"/>
              <w:right w:val="single" w:color="000000" w:sz="4" w:space="0"/>
            </w:tcBorders>
            <w:noWrap/>
            <w:vAlign w:val="center"/>
          </w:tcPr>
          <w:p w14:paraId="2365B0F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r>
      <w:tr w14:paraId="6693A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743" w:type="pct"/>
            <w:vMerge w:val="continue"/>
            <w:tcBorders>
              <w:top w:val="single" w:color="000000" w:sz="4" w:space="0"/>
              <w:left w:val="single" w:color="000000" w:sz="4" w:space="0"/>
              <w:bottom w:val="single" w:color="000000" w:sz="4" w:space="0"/>
              <w:right w:val="single" w:color="000000" w:sz="4" w:space="0"/>
            </w:tcBorders>
            <w:noWrap/>
            <w:vAlign w:val="center"/>
          </w:tcPr>
          <w:p w14:paraId="6FD023F7">
            <w:pPr>
              <w:jc w:val="center"/>
              <w:rPr>
                <w:rFonts w:hint="eastAsia" w:ascii="宋体" w:hAnsi="宋体" w:eastAsia="宋体" w:cs="宋体"/>
                <w:i w:val="0"/>
                <w:iCs w:val="0"/>
                <w:color w:val="000000"/>
                <w:sz w:val="22"/>
                <w:szCs w:val="22"/>
                <w:u w:val="none"/>
              </w:rPr>
            </w:pP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5F24F61D">
            <w:pPr>
              <w:keepNext w:val="0"/>
              <w:keepLines w:val="0"/>
              <w:widowControl/>
              <w:numPr>
                <w:ilvl w:val="0"/>
                <w:numId w:val="8"/>
              </w:numPr>
              <w:suppressLineNumbers w:val="0"/>
              <w:ind w:left="425" w:leftChars="0" w:hanging="425" w:firstLineChars="0"/>
              <w:jc w:val="center"/>
              <w:textAlignment w:val="center"/>
              <w:rPr>
                <w:rFonts w:hint="eastAsia" w:ascii="宋体" w:hAnsi="宋体" w:eastAsia="宋体" w:cs="宋体"/>
                <w:i w:val="0"/>
                <w:iCs w:val="0"/>
                <w:color w:val="000000"/>
                <w:sz w:val="22"/>
                <w:szCs w:val="22"/>
                <w:u w:val="none"/>
              </w:rPr>
            </w:pPr>
          </w:p>
        </w:tc>
        <w:tc>
          <w:tcPr>
            <w:tcW w:w="1183" w:type="pct"/>
            <w:tcBorders>
              <w:top w:val="single" w:color="000000" w:sz="4" w:space="0"/>
              <w:left w:val="single" w:color="000000" w:sz="4" w:space="0"/>
              <w:bottom w:val="single" w:color="000000" w:sz="4" w:space="0"/>
              <w:right w:val="single" w:color="000000" w:sz="4" w:space="0"/>
            </w:tcBorders>
            <w:noWrap/>
            <w:vAlign w:val="center"/>
          </w:tcPr>
          <w:p w14:paraId="6F551DF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低温等离子体灭菌器</w:t>
            </w:r>
          </w:p>
        </w:tc>
        <w:tc>
          <w:tcPr>
            <w:tcW w:w="590" w:type="pct"/>
            <w:tcBorders>
              <w:top w:val="single" w:color="000000" w:sz="4" w:space="0"/>
              <w:left w:val="single" w:color="000000" w:sz="4" w:space="0"/>
              <w:bottom w:val="single" w:color="000000" w:sz="4" w:space="0"/>
              <w:right w:val="single" w:color="000000" w:sz="4" w:space="0"/>
            </w:tcBorders>
            <w:noWrap/>
            <w:vAlign w:val="center"/>
          </w:tcPr>
          <w:p w14:paraId="55610F9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64" w:type="pct"/>
            <w:tcBorders>
              <w:top w:val="single" w:color="000000" w:sz="4" w:space="0"/>
              <w:left w:val="single" w:color="000000" w:sz="4" w:space="0"/>
              <w:bottom w:val="single" w:color="000000" w:sz="4" w:space="0"/>
              <w:right w:val="single" w:color="000000" w:sz="4" w:space="0"/>
            </w:tcBorders>
            <w:noWrap/>
            <w:vAlign w:val="center"/>
          </w:tcPr>
          <w:p w14:paraId="1E8871F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1064" w:type="pct"/>
            <w:tcBorders>
              <w:top w:val="single" w:color="000000" w:sz="4" w:space="0"/>
              <w:left w:val="single" w:color="000000" w:sz="4" w:space="0"/>
              <w:bottom w:val="single" w:color="000000" w:sz="4" w:space="0"/>
              <w:right w:val="single" w:color="000000" w:sz="4" w:space="0"/>
            </w:tcBorders>
            <w:noWrap/>
            <w:vAlign w:val="center"/>
          </w:tcPr>
          <w:p w14:paraId="5CB5C24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r>
      <w:tr w14:paraId="6864C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743" w:type="pct"/>
            <w:vMerge w:val="continue"/>
            <w:tcBorders>
              <w:top w:val="single" w:color="000000" w:sz="4" w:space="0"/>
              <w:left w:val="single" w:color="000000" w:sz="4" w:space="0"/>
              <w:bottom w:val="single" w:color="000000" w:sz="4" w:space="0"/>
              <w:right w:val="single" w:color="000000" w:sz="4" w:space="0"/>
            </w:tcBorders>
            <w:noWrap/>
            <w:vAlign w:val="center"/>
          </w:tcPr>
          <w:p w14:paraId="1434F126">
            <w:pPr>
              <w:jc w:val="center"/>
              <w:rPr>
                <w:rFonts w:hint="eastAsia" w:ascii="宋体" w:hAnsi="宋体" w:eastAsia="宋体" w:cs="宋体"/>
                <w:i w:val="0"/>
                <w:iCs w:val="0"/>
                <w:color w:val="000000"/>
                <w:sz w:val="22"/>
                <w:szCs w:val="22"/>
                <w:u w:val="none"/>
              </w:rPr>
            </w:pP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0A221E21">
            <w:pPr>
              <w:keepNext w:val="0"/>
              <w:keepLines w:val="0"/>
              <w:widowControl/>
              <w:numPr>
                <w:ilvl w:val="0"/>
                <w:numId w:val="8"/>
              </w:numPr>
              <w:suppressLineNumbers w:val="0"/>
              <w:ind w:left="425" w:leftChars="0" w:hanging="425" w:firstLineChars="0"/>
              <w:jc w:val="center"/>
              <w:textAlignment w:val="center"/>
              <w:rPr>
                <w:rFonts w:hint="eastAsia" w:ascii="宋体" w:hAnsi="宋体" w:eastAsia="宋体" w:cs="宋体"/>
                <w:i w:val="0"/>
                <w:iCs w:val="0"/>
                <w:color w:val="000000"/>
                <w:sz w:val="22"/>
                <w:szCs w:val="22"/>
                <w:u w:val="none"/>
              </w:rPr>
            </w:pPr>
          </w:p>
        </w:tc>
        <w:tc>
          <w:tcPr>
            <w:tcW w:w="1183" w:type="pct"/>
            <w:tcBorders>
              <w:top w:val="single" w:color="000000" w:sz="4" w:space="0"/>
              <w:left w:val="single" w:color="000000" w:sz="4" w:space="0"/>
              <w:bottom w:val="single" w:color="000000" w:sz="4" w:space="0"/>
              <w:right w:val="single" w:color="000000" w:sz="4" w:space="0"/>
            </w:tcBorders>
            <w:noWrap/>
            <w:vAlign w:val="center"/>
          </w:tcPr>
          <w:p w14:paraId="1074136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医用真空干燥柜</w:t>
            </w:r>
          </w:p>
        </w:tc>
        <w:tc>
          <w:tcPr>
            <w:tcW w:w="590" w:type="pct"/>
            <w:tcBorders>
              <w:top w:val="single" w:color="000000" w:sz="4" w:space="0"/>
              <w:left w:val="single" w:color="000000" w:sz="4" w:space="0"/>
              <w:bottom w:val="single" w:color="000000" w:sz="4" w:space="0"/>
              <w:right w:val="single" w:color="000000" w:sz="4" w:space="0"/>
            </w:tcBorders>
            <w:noWrap/>
            <w:vAlign w:val="center"/>
          </w:tcPr>
          <w:p w14:paraId="2E8D239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64" w:type="pct"/>
            <w:tcBorders>
              <w:top w:val="single" w:color="000000" w:sz="4" w:space="0"/>
              <w:left w:val="single" w:color="000000" w:sz="4" w:space="0"/>
              <w:bottom w:val="single" w:color="000000" w:sz="4" w:space="0"/>
              <w:right w:val="single" w:color="000000" w:sz="4" w:space="0"/>
            </w:tcBorders>
            <w:noWrap/>
            <w:vAlign w:val="center"/>
          </w:tcPr>
          <w:p w14:paraId="6DE3289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064" w:type="pct"/>
            <w:tcBorders>
              <w:top w:val="single" w:color="000000" w:sz="4" w:space="0"/>
              <w:left w:val="single" w:color="000000" w:sz="4" w:space="0"/>
              <w:bottom w:val="single" w:color="000000" w:sz="4" w:space="0"/>
              <w:right w:val="single" w:color="000000" w:sz="4" w:space="0"/>
            </w:tcBorders>
            <w:noWrap/>
            <w:vAlign w:val="center"/>
          </w:tcPr>
          <w:p w14:paraId="64856C5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r>
      <w:tr w14:paraId="7A314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743" w:type="pct"/>
            <w:vMerge w:val="continue"/>
            <w:tcBorders>
              <w:top w:val="single" w:color="000000" w:sz="4" w:space="0"/>
              <w:left w:val="single" w:color="000000" w:sz="4" w:space="0"/>
              <w:bottom w:val="single" w:color="000000" w:sz="4" w:space="0"/>
              <w:right w:val="single" w:color="000000" w:sz="4" w:space="0"/>
            </w:tcBorders>
            <w:noWrap/>
            <w:vAlign w:val="center"/>
          </w:tcPr>
          <w:p w14:paraId="68D1E77A">
            <w:pPr>
              <w:jc w:val="center"/>
              <w:rPr>
                <w:rFonts w:hint="eastAsia" w:ascii="宋体" w:hAnsi="宋体" w:eastAsia="宋体" w:cs="宋体"/>
                <w:i w:val="0"/>
                <w:iCs w:val="0"/>
                <w:color w:val="000000"/>
                <w:sz w:val="22"/>
                <w:szCs w:val="22"/>
                <w:u w:val="none"/>
              </w:rPr>
            </w:pP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4DDA514C">
            <w:pPr>
              <w:keepNext w:val="0"/>
              <w:keepLines w:val="0"/>
              <w:widowControl/>
              <w:numPr>
                <w:ilvl w:val="0"/>
                <w:numId w:val="8"/>
              </w:numPr>
              <w:suppressLineNumbers w:val="0"/>
              <w:ind w:left="425" w:leftChars="0" w:hanging="425" w:firstLineChars="0"/>
              <w:jc w:val="center"/>
              <w:textAlignment w:val="center"/>
              <w:rPr>
                <w:rFonts w:hint="eastAsia" w:ascii="宋体" w:hAnsi="宋体" w:eastAsia="宋体" w:cs="宋体"/>
                <w:i w:val="0"/>
                <w:iCs w:val="0"/>
                <w:color w:val="000000"/>
                <w:sz w:val="22"/>
                <w:szCs w:val="22"/>
                <w:u w:val="none"/>
              </w:rPr>
            </w:pPr>
          </w:p>
        </w:tc>
        <w:tc>
          <w:tcPr>
            <w:tcW w:w="1183" w:type="pct"/>
            <w:tcBorders>
              <w:top w:val="single" w:color="000000" w:sz="4" w:space="0"/>
              <w:left w:val="single" w:color="000000" w:sz="4" w:space="0"/>
              <w:bottom w:val="single" w:color="000000" w:sz="4" w:space="0"/>
              <w:right w:val="single" w:color="000000" w:sz="4" w:space="0"/>
            </w:tcBorders>
            <w:noWrap/>
            <w:vAlign w:val="center"/>
          </w:tcPr>
          <w:p w14:paraId="12905B8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酸化水机</w:t>
            </w:r>
          </w:p>
        </w:tc>
        <w:tc>
          <w:tcPr>
            <w:tcW w:w="590" w:type="pct"/>
            <w:tcBorders>
              <w:top w:val="single" w:color="000000" w:sz="4" w:space="0"/>
              <w:left w:val="single" w:color="000000" w:sz="4" w:space="0"/>
              <w:bottom w:val="single" w:color="000000" w:sz="4" w:space="0"/>
              <w:right w:val="single" w:color="000000" w:sz="4" w:space="0"/>
            </w:tcBorders>
            <w:noWrap/>
            <w:vAlign w:val="center"/>
          </w:tcPr>
          <w:p w14:paraId="6F1C364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64" w:type="pct"/>
            <w:tcBorders>
              <w:top w:val="single" w:color="000000" w:sz="4" w:space="0"/>
              <w:left w:val="single" w:color="000000" w:sz="4" w:space="0"/>
              <w:bottom w:val="single" w:color="000000" w:sz="4" w:space="0"/>
              <w:right w:val="single" w:color="000000" w:sz="4" w:space="0"/>
            </w:tcBorders>
            <w:noWrap/>
            <w:vAlign w:val="center"/>
          </w:tcPr>
          <w:p w14:paraId="015CF02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064" w:type="pct"/>
            <w:tcBorders>
              <w:top w:val="single" w:color="000000" w:sz="4" w:space="0"/>
              <w:left w:val="single" w:color="000000" w:sz="4" w:space="0"/>
              <w:bottom w:val="single" w:color="000000" w:sz="4" w:space="0"/>
              <w:right w:val="single" w:color="000000" w:sz="4" w:space="0"/>
            </w:tcBorders>
            <w:noWrap/>
            <w:vAlign w:val="center"/>
          </w:tcPr>
          <w:p w14:paraId="5234150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r>
      <w:tr w14:paraId="2E383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743" w:type="pct"/>
            <w:vMerge w:val="continue"/>
            <w:tcBorders>
              <w:top w:val="single" w:color="000000" w:sz="4" w:space="0"/>
              <w:left w:val="single" w:color="000000" w:sz="4" w:space="0"/>
              <w:bottom w:val="single" w:color="000000" w:sz="4" w:space="0"/>
              <w:right w:val="single" w:color="000000" w:sz="4" w:space="0"/>
            </w:tcBorders>
            <w:noWrap/>
            <w:vAlign w:val="center"/>
          </w:tcPr>
          <w:p w14:paraId="3A427159">
            <w:pPr>
              <w:jc w:val="center"/>
              <w:rPr>
                <w:rFonts w:hint="eastAsia" w:ascii="宋体" w:hAnsi="宋体" w:eastAsia="宋体" w:cs="宋体"/>
                <w:i w:val="0"/>
                <w:iCs w:val="0"/>
                <w:color w:val="000000"/>
                <w:sz w:val="22"/>
                <w:szCs w:val="22"/>
                <w:u w:val="none"/>
              </w:rPr>
            </w:pP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3955EAB6">
            <w:pPr>
              <w:keepNext w:val="0"/>
              <w:keepLines w:val="0"/>
              <w:widowControl/>
              <w:numPr>
                <w:ilvl w:val="0"/>
                <w:numId w:val="8"/>
              </w:numPr>
              <w:suppressLineNumbers w:val="0"/>
              <w:ind w:left="425" w:leftChars="0" w:hanging="425" w:firstLineChars="0"/>
              <w:jc w:val="center"/>
              <w:textAlignment w:val="center"/>
              <w:rPr>
                <w:rFonts w:hint="eastAsia" w:ascii="宋体" w:hAnsi="宋体" w:eastAsia="宋体" w:cs="宋体"/>
                <w:i w:val="0"/>
                <w:iCs w:val="0"/>
                <w:color w:val="000000"/>
                <w:sz w:val="22"/>
                <w:szCs w:val="22"/>
                <w:u w:val="none"/>
              </w:rPr>
            </w:pPr>
          </w:p>
        </w:tc>
        <w:tc>
          <w:tcPr>
            <w:tcW w:w="1183" w:type="pct"/>
            <w:tcBorders>
              <w:top w:val="single" w:color="000000" w:sz="4" w:space="0"/>
              <w:left w:val="single" w:color="000000" w:sz="4" w:space="0"/>
              <w:bottom w:val="single" w:color="000000" w:sz="4" w:space="0"/>
              <w:right w:val="single" w:color="000000" w:sz="4" w:space="0"/>
            </w:tcBorders>
            <w:noWrap/>
            <w:vAlign w:val="center"/>
          </w:tcPr>
          <w:p w14:paraId="1311286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敷料检查打包台</w:t>
            </w:r>
          </w:p>
        </w:tc>
        <w:tc>
          <w:tcPr>
            <w:tcW w:w="590" w:type="pct"/>
            <w:tcBorders>
              <w:top w:val="single" w:color="000000" w:sz="4" w:space="0"/>
              <w:left w:val="single" w:color="000000" w:sz="4" w:space="0"/>
              <w:bottom w:val="single" w:color="000000" w:sz="4" w:space="0"/>
              <w:right w:val="single" w:color="000000" w:sz="4" w:space="0"/>
            </w:tcBorders>
            <w:noWrap/>
            <w:vAlign w:val="center"/>
          </w:tcPr>
          <w:p w14:paraId="01DFB28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64" w:type="pct"/>
            <w:tcBorders>
              <w:top w:val="single" w:color="000000" w:sz="4" w:space="0"/>
              <w:left w:val="single" w:color="000000" w:sz="4" w:space="0"/>
              <w:bottom w:val="single" w:color="000000" w:sz="4" w:space="0"/>
              <w:right w:val="single" w:color="000000" w:sz="4" w:space="0"/>
            </w:tcBorders>
            <w:noWrap/>
            <w:vAlign w:val="center"/>
          </w:tcPr>
          <w:p w14:paraId="4F2FB1C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64" w:type="pct"/>
            <w:tcBorders>
              <w:top w:val="single" w:color="000000" w:sz="4" w:space="0"/>
              <w:left w:val="single" w:color="000000" w:sz="4" w:space="0"/>
              <w:bottom w:val="single" w:color="000000" w:sz="4" w:space="0"/>
              <w:right w:val="single" w:color="000000" w:sz="4" w:space="0"/>
            </w:tcBorders>
            <w:noWrap/>
            <w:vAlign w:val="center"/>
          </w:tcPr>
          <w:p w14:paraId="0BAFC39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5F9BC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743" w:type="pct"/>
            <w:vMerge w:val="continue"/>
            <w:tcBorders>
              <w:top w:val="single" w:color="000000" w:sz="4" w:space="0"/>
              <w:left w:val="single" w:color="000000" w:sz="4" w:space="0"/>
              <w:bottom w:val="single" w:color="000000" w:sz="4" w:space="0"/>
              <w:right w:val="single" w:color="000000" w:sz="4" w:space="0"/>
            </w:tcBorders>
            <w:noWrap/>
            <w:vAlign w:val="center"/>
          </w:tcPr>
          <w:p w14:paraId="08918B5D">
            <w:pPr>
              <w:jc w:val="center"/>
              <w:rPr>
                <w:rFonts w:hint="eastAsia" w:ascii="宋体" w:hAnsi="宋体" w:eastAsia="宋体" w:cs="宋体"/>
                <w:i w:val="0"/>
                <w:iCs w:val="0"/>
                <w:color w:val="000000"/>
                <w:sz w:val="22"/>
                <w:szCs w:val="22"/>
                <w:u w:val="none"/>
              </w:rPr>
            </w:pP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2E1A815E">
            <w:pPr>
              <w:keepNext w:val="0"/>
              <w:keepLines w:val="0"/>
              <w:widowControl/>
              <w:numPr>
                <w:ilvl w:val="0"/>
                <w:numId w:val="8"/>
              </w:numPr>
              <w:suppressLineNumbers w:val="0"/>
              <w:ind w:left="425" w:leftChars="0" w:hanging="425" w:firstLineChars="0"/>
              <w:jc w:val="center"/>
              <w:textAlignment w:val="center"/>
              <w:rPr>
                <w:rFonts w:hint="eastAsia" w:ascii="宋体" w:hAnsi="宋体" w:eastAsia="宋体" w:cs="宋体"/>
                <w:i w:val="0"/>
                <w:iCs w:val="0"/>
                <w:color w:val="000000"/>
                <w:sz w:val="22"/>
                <w:szCs w:val="22"/>
                <w:u w:val="none"/>
              </w:rPr>
            </w:pPr>
          </w:p>
        </w:tc>
        <w:tc>
          <w:tcPr>
            <w:tcW w:w="1183" w:type="pct"/>
            <w:tcBorders>
              <w:top w:val="single" w:color="000000" w:sz="4" w:space="0"/>
              <w:left w:val="single" w:color="000000" w:sz="4" w:space="0"/>
              <w:bottom w:val="single" w:color="000000" w:sz="4" w:space="0"/>
              <w:right w:val="single" w:color="000000" w:sz="4" w:space="0"/>
            </w:tcBorders>
            <w:noWrap/>
            <w:vAlign w:val="center"/>
          </w:tcPr>
          <w:p w14:paraId="16BB281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器械柜</w:t>
            </w:r>
          </w:p>
        </w:tc>
        <w:tc>
          <w:tcPr>
            <w:tcW w:w="590" w:type="pct"/>
            <w:tcBorders>
              <w:top w:val="single" w:color="000000" w:sz="4" w:space="0"/>
              <w:left w:val="single" w:color="000000" w:sz="4" w:space="0"/>
              <w:bottom w:val="single" w:color="000000" w:sz="4" w:space="0"/>
              <w:right w:val="single" w:color="000000" w:sz="4" w:space="0"/>
            </w:tcBorders>
            <w:noWrap/>
            <w:vAlign w:val="center"/>
          </w:tcPr>
          <w:p w14:paraId="585698B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64" w:type="pct"/>
            <w:tcBorders>
              <w:top w:val="single" w:color="000000" w:sz="4" w:space="0"/>
              <w:left w:val="single" w:color="000000" w:sz="4" w:space="0"/>
              <w:bottom w:val="single" w:color="000000" w:sz="4" w:space="0"/>
              <w:right w:val="single" w:color="000000" w:sz="4" w:space="0"/>
            </w:tcBorders>
            <w:noWrap/>
            <w:vAlign w:val="center"/>
          </w:tcPr>
          <w:p w14:paraId="7CDBDDF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64" w:type="pct"/>
            <w:tcBorders>
              <w:top w:val="single" w:color="000000" w:sz="4" w:space="0"/>
              <w:left w:val="single" w:color="000000" w:sz="4" w:space="0"/>
              <w:bottom w:val="single" w:color="000000" w:sz="4" w:space="0"/>
              <w:right w:val="single" w:color="000000" w:sz="4" w:space="0"/>
            </w:tcBorders>
            <w:noWrap/>
            <w:vAlign w:val="center"/>
          </w:tcPr>
          <w:p w14:paraId="6AE5970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14:paraId="227A3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743" w:type="pct"/>
            <w:vMerge w:val="continue"/>
            <w:tcBorders>
              <w:top w:val="single" w:color="000000" w:sz="4" w:space="0"/>
              <w:left w:val="single" w:color="000000" w:sz="4" w:space="0"/>
              <w:bottom w:val="single" w:color="000000" w:sz="4" w:space="0"/>
              <w:right w:val="single" w:color="000000" w:sz="4" w:space="0"/>
            </w:tcBorders>
            <w:noWrap/>
            <w:vAlign w:val="center"/>
          </w:tcPr>
          <w:p w14:paraId="0C7255CE">
            <w:pPr>
              <w:jc w:val="center"/>
              <w:rPr>
                <w:rFonts w:hint="eastAsia" w:ascii="宋体" w:hAnsi="宋体" w:eastAsia="宋体" w:cs="宋体"/>
                <w:i w:val="0"/>
                <w:iCs w:val="0"/>
                <w:color w:val="000000"/>
                <w:sz w:val="22"/>
                <w:szCs w:val="22"/>
                <w:u w:val="none"/>
              </w:rPr>
            </w:pP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6C0CD82F">
            <w:pPr>
              <w:keepNext w:val="0"/>
              <w:keepLines w:val="0"/>
              <w:widowControl/>
              <w:numPr>
                <w:ilvl w:val="0"/>
                <w:numId w:val="8"/>
              </w:numPr>
              <w:suppressLineNumbers w:val="0"/>
              <w:ind w:left="425" w:leftChars="0" w:hanging="425" w:firstLineChars="0"/>
              <w:jc w:val="center"/>
              <w:textAlignment w:val="center"/>
              <w:rPr>
                <w:rFonts w:hint="eastAsia" w:ascii="宋体" w:hAnsi="宋体" w:eastAsia="宋体" w:cs="宋体"/>
                <w:i w:val="0"/>
                <w:iCs w:val="0"/>
                <w:color w:val="000000"/>
                <w:sz w:val="22"/>
                <w:szCs w:val="22"/>
                <w:u w:val="none"/>
              </w:rPr>
            </w:pPr>
          </w:p>
        </w:tc>
        <w:tc>
          <w:tcPr>
            <w:tcW w:w="1183" w:type="pct"/>
            <w:tcBorders>
              <w:top w:val="single" w:color="000000" w:sz="4" w:space="0"/>
              <w:left w:val="single" w:color="000000" w:sz="4" w:space="0"/>
              <w:bottom w:val="single" w:color="000000" w:sz="4" w:space="0"/>
              <w:right w:val="single" w:color="000000" w:sz="4" w:space="0"/>
            </w:tcBorders>
            <w:noWrap/>
            <w:vAlign w:val="center"/>
          </w:tcPr>
          <w:p w14:paraId="1A21178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敷料柜</w:t>
            </w:r>
          </w:p>
        </w:tc>
        <w:tc>
          <w:tcPr>
            <w:tcW w:w="590" w:type="pct"/>
            <w:tcBorders>
              <w:top w:val="single" w:color="000000" w:sz="4" w:space="0"/>
              <w:left w:val="single" w:color="000000" w:sz="4" w:space="0"/>
              <w:bottom w:val="single" w:color="000000" w:sz="4" w:space="0"/>
              <w:right w:val="single" w:color="000000" w:sz="4" w:space="0"/>
            </w:tcBorders>
            <w:noWrap/>
            <w:vAlign w:val="center"/>
          </w:tcPr>
          <w:p w14:paraId="70EB9E1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64" w:type="pct"/>
            <w:tcBorders>
              <w:top w:val="single" w:color="000000" w:sz="4" w:space="0"/>
              <w:left w:val="single" w:color="000000" w:sz="4" w:space="0"/>
              <w:bottom w:val="single" w:color="000000" w:sz="4" w:space="0"/>
              <w:right w:val="single" w:color="000000" w:sz="4" w:space="0"/>
            </w:tcBorders>
            <w:noWrap/>
            <w:vAlign w:val="center"/>
          </w:tcPr>
          <w:p w14:paraId="2D17AA1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64" w:type="pct"/>
            <w:tcBorders>
              <w:top w:val="single" w:color="000000" w:sz="4" w:space="0"/>
              <w:left w:val="single" w:color="000000" w:sz="4" w:space="0"/>
              <w:bottom w:val="single" w:color="000000" w:sz="4" w:space="0"/>
              <w:right w:val="single" w:color="000000" w:sz="4" w:space="0"/>
            </w:tcBorders>
            <w:noWrap/>
            <w:vAlign w:val="center"/>
          </w:tcPr>
          <w:p w14:paraId="5F3AF6D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bl>
    <w:p w14:paraId="086EED09">
      <w:pPr>
        <w:spacing w:line="480" w:lineRule="exact"/>
        <w:contextualSpacing/>
        <w:outlineLvl w:val="2"/>
        <w:rPr>
          <w:rFonts w:ascii="仿宋" w:hAnsi="仿宋" w:eastAsia="仿宋"/>
          <w:b/>
          <w:sz w:val="28"/>
          <w:szCs w:val="28"/>
        </w:rPr>
      </w:pPr>
      <w:r>
        <w:rPr>
          <w:rFonts w:hint="eastAsia" w:ascii="仿宋" w:hAnsi="仿宋" w:eastAsia="仿宋"/>
          <w:b/>
          <w:sz w:val="28"/>
          <w:szCs w:val="28"/>
        </w:rPr>
        <w:t>序号</w:t>
      </w:r>
      <w:r>
        <w:rPr>
          <w:rFonts w:hint="eastAsia" w:ascii="仿宋" w:hAnsi="仿宋" w:eastAsia="仿宋"/>
          <w:b/>
          <w:sz w:val="28"/>
          <w:szCs w:val="28"/>
          <w:lang w:val="en-US" w:eastAsia="zh-CN"/>
        </w:rPr>
        <w:t>1</w:t>
      </w:r>
      <w:r>
        <w:rPr>
          <w:rFonts w:hint="eastAsia" w:ascii="仿宋" w:hAnsi="仿宋" w:eastAsia="仿宋"/>
          <w:b/>
          <w:sz w:val="28"/>
          <w:szCs w:val="28"/>
        </w:rPr>
        <w:t>：全自动清洗机技术参数</w:t>
      </w:r>
    </w:p>
    <w:p w14:paraId="2FCC66E1">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1、功能要求：能自动完成清洗、消毒、干燥过程</w:t>
      </w:r>
    </w:p>
    <w:p w14:paraId="20939DCE">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2、清洗舱有效容积： ≥500L；材质：清洗舱、清洗架及标准器械托盘均采用的SUS316L不锈钢材质制成；可装载≥15个DIN标准器械托盘(480*250*50mm),配置湿化瓶清洗架1个，管腔器械清洗架1个</w:t>
      </w:r>
    </w:p>
    <w:p w14:paraId="61CA1D5A">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hint="eastAsia" w:ascii="仿宋" w:hAnsi="仿宋" w:eastAsia="仿宋"/>
          <w:sz w:val="28"/>
          <w:szCs w:val="28"/>
          <w:lang w:eastAsia="zh-CN"/>
        </w:rPr>
      </w:pPr>
      <w:r>
        <w:rPr>
          <w:rFonts w:hint="eastAsia" w:ascii="仿宋" w:hAnsi="仿宋" w:eastAsia="仿宋"/>
          <w:sz w:val="28"/>
          <w:szCs w:val="28"/>
        </w:rPr>
        <w:t>3、清洗时间：快速程序≤30</w:t>
      </w:r>
      <w:r>
        <w:rPr>
          <w:rFonts w:hint="eastAsia" w:ascii="仿宋" w:hAnsi="仿宋" w:eastAsia="仿宋"/>
          <w:sz w:val="28"/>
          <w:szCs w:val="28"/>
          <w:lang w:val="en-US" w:eastAsia="zh-CN"/>
        </w:rPr>
        <w:t>min</w:t>
      </w:r>
      <w:r>
        <w:rPr>
          <w:rFonts w:hint="eastAsia" w:ascii="仿宋" w:hAnsi="仿宋" w:eastAsia="仿宋"/>
          <w:sz w:val="28"/>
          <w:szCs w:val="28"/>
        </w:rPr>
        <w:t>,标准程序≤4</w:t>
      </w:r>
      <w:r>
        <w:rPr>
          <w:rFonts w:hint="eastAsia" w:ascii="仿宋" w:hAnsi="仿宋" w:eastAsia="仿宋"/>
          <w:sz w:val="28"/>
          <w:szCs w:val="28"/>
          <w:lang w:val="en-US" w:eastAsia="zh-CN"/>
        </w:rPr>
        <w:t>5min</w:t>
      </w:r>
    </w:p>
    <w:p w14:paraId="62574C7E">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4、密封门：双门通道型，全自动升降，带有压力安全联锁功能、双门互锁实现洁污分离</w:t>
      </w:r>
    </w:p>
    <w:p w14:paraId="631898FA">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5、喷淋设施：保证喷淋全方位覆盖无死角，喷淋清洗的效果</w:t>
      </w:r>
    </w:p>
    <w:p w14:paraId="2367EC53">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6、水耗量：水耗量≤35L/步</w:t>
      </w:r>
    </w:p>
    <w:p w14:paraId="31ACBEF2">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7、循环泵：采用不锈钢泵体</w:t>
      </w:r>
    </w:p>
    <w:p w14:paraId="4D425553">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8、空气过滤器：</w:t>
      </w:r>
      <w:r>
        <w:rPr>
          <w:rFonts w:hint="eastAsia" w:ascii="仿宋" w:hAnsi="仿宋" w:eastAsia="仿宋"/>
          <w:sz w:val="28"/>
          <w:szCs w:val="28"/>
        </w:rPr>
        <w:tab/>
      </w:r>
      <w:r>
        <w:rPr>
          <w:rFonts w:hint="eastAsia" w:ascii="仿宋" w:hAnsi="仿宋" w:eastAsia="仿宋"/>
          <w:sz w:val="28"/>
          <w:szCs w:val="28"/>
        </w:rPr>
        <w:t>采用高效空气过滤器，过滤精度≤0.3um</w:t>
      </w:r>
    </w:p>
    <w:p w14:paraId="2A2D95D2">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9、加热方式：电加热</w:t>
      </w:r>
    </w:p>
    <w:p w14:paraId="45C97D90">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10、程序：≥6个内置程序</w:t>
      </w:r>
    </w:p>
    <w:p w14:paraId="2FD6C003">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11、控制系统：PLC控制清洗消毒全过程,显示触摸屏≥5英寸，能动态显示设备运行状态及参数</w:t>
      </w:r>
    </w:p>
    <w:p w14:paraId="1EA1EB72">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12、设备带有追溯系统通讯接口、集中采集数据接口，可通过电脑远程监控</w:t>
      </w:r>
    </w:p>
    <w:p w14:paraId="373FBEE2">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13、记录方式要求：微型打印机打印记录，信息内容详细，字迹清晰可辨</w:t>
      </w:r>
    </w:p>
    <w:p w14:paraId="623EDCE3">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 xml:space="preserve">14、具备故障诊断功能，故障代码显示报警，故障声音报警和故障记录功能 </w:t>
      </w:r>
    </w:p>
    <w:p w14:paraId="1542D5A8">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hint="eastAsia" w:ascii="仿宋" w:hAnsi="仿宋" w:eastAsia="仿宋"/>
          <w:sz w:val="28"/>
          <w:szCs w:val="28"/>
          <w:lang w:val="en-US" w:eastAsia="zh-CN"/>
        </w:rPr>
      </w:pPr>
      <w:r>
        <w:rPr>
          <w:rFonts w:hint="eastAsia" w:ascii="仿宋" w:hAnsi="仿宋" w:eastAsia="仿宋"/>
          <w:sz w:val="28"/>
          <w:szCs w:val="28"/>
        </w:rPr>
        <w:t>15、保护装置：具备水压检测的压力开关、循环风机、循环水泵、加热器超温监测的过载保护装置和开关门自动避障保护装置</w:t>
      </w:r>
      <w:r>
        <w:rPr>
          <w:rFonts w:hint="eastAsia" w:ascii="仿宋" w:hAnsi="仿宋" w:eastAsia="仿宋"/>
          <w:sz w:val="28"/>
          <w:szCs w:val="28"/>
          <w:lang w:val="en-US" w:eastAsia="zh-CN"/>
        </w:rPr>
        <w:t>等</w:t>
      </w:r>
    </w:p>
    <w:p w14:paraId="6EC24F64">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16、整体设备期限≥10年</w:t>
      </w:r>
    </w:p>
    <w:p w14:paraId="10C9B214">
      <w:pPr>
        <w:spacing w:line="480" w:lineRule="exact"/>
        <w:contextualSpacing/>
        <w:rPr>
          <w:rFonts w:ascii="仿宋" w:hAnsi="仿宋" w:eastAsia="仿宋"/>
          <w:sz w:val="28"/>
          <w:szCs w:val="28"/>
        </w:rPr>
      </w:pPr>
    </w:p>
    <w:p w14:paraId="618FA755">
      <w:pPr>
        <w:spacing w:line="480" w:lineRule="exact"/>
        <w:contextualSpacing/>
        <w:outlineLvl w:val="2"/>
        <w:rPr>
          <w:rFonts w:ascii="仿宋" w:hAnsi="仿宋" w:eastAsia="仿宋"/>
          <w:b/>
          <w:sz w:val="28"/>
          <w:szCs w:val="28"/>
        </w:rPr>
      </w:pPr>
      <w:r>
        <w:rPr>
          <w:rFonts w:hint="eastAsia" w:ascii="仿宋" w:hAnsi="仿宋" w:eastAsia="仿宋"/>
          <w:b/>
          <w:sz w:val="28"/>
          <w:szCs w:val="28"/>
        </w:rPr>
        <w:br w:type="page"/>
      </w:r>
      <w:r>
        <w:rPr>
          <w:rFonts w:hint="eastAsia" w:ascii="仿宋" w:hAnsi="仿宋" w:eastAsia="仿宋"/>
          <w:b/>
          <w:sz w:val="28"/>
          <w:szCs w:val="28"/>
        </w:rPr>
        <w:t>序号</w:t>
      </w:r>
      <w:r>
        <w:rPr>
          <w:rFonts w:hint="eastAsia" w:ascii="仿宋" w:hAnsi="仿宋" w:eastAsia="仿宋"/>
          <w:b/>
          <w:sz w:val="28"/>
          <w:szCs w:val="28"/>
          <w:lang w:val="en-US" w:eastAsia="zh-CN"/>
        </w:rPr>
        <w:t>2</w:t>
      </w:r>
      <w:r>
        <w:rPr>
          <w:rFonts w:hint="eastAsia" w:ascii="仿宋" w:hAnsi="仿宋" w:eastAsia="仿宋"/>
          <w:b/>
          <w:sz w:val="28"/>
          <w:szCs w:val="28"/>
        </w:rPr>
        <w:t>：纯水机技术参数</w:t>
      </w:r>
    </w:p>
    <w:p w14:paraId="39A303D1">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1、产品水用途：为医院消毒供应中心提供纯水（可与各类清洗设备、高压灭菌等设备配套使用）</w:t>
      </w:r>
    </w:p>
    <w:p w14:paraId="1727CEA9">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 xml:space="preserve">2、产水量及水质：产水量≥2000L/H/套（25℃）,设备可以同时产生1级纯水电导率≤15μs/cm （25℃）1500L/h 和2级纯水电导率≤5μs/cm （25℃）500L/h。脱盐率：≥98% </w:t>
      </w:r>
    </w:p>
    <w:p w14:paraId="075E26FF">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产水水质符合医院消毒供应中心WS310.1-2016供应室清洗消毒技术规范。</w:t>
      </w:r>
    </w:p>
    <w:p w14:paraId="7756A151">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3、设备控制方式：触摸屏操作，多功能监测，触摸屏实时显示水质、流量、压力、电导率等参数。通过液位连锁，设备自动开、停机；具有开机自检，停电、高低压保护、无水保护、压力保护等各种安全装置；预处理系统自动冲洗及再生运行；反渗主机的自动清洗保养功能,具有自动脉冲冲洗功能</w:t>
      </w:r>
    </w:p>
    <w:p w14:paraId="6199DE82">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4、预处理系统</w:t>
      </w:r>
    </w:p>
    <w:p w14:paraId="791D64C9">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(1)原水泵：泵体材质为不锈钢，能为预处理提供足够的压力和流量，采用国内</w:t>
      </w:r>
      <w:r>
        <w:rPr>
          <w:rFonts w:hint="eastAsia" w:ascii="仿宋" w:hAnsi="仿宋" w:eastAsia="仿宋"/>
          <w:sz w:val="28"/>
          <w:szCs w:val="28"/>
          <w:lang w:val="en-US" w:eastAsia="zh-CN"/>
        </w:rPr>
        <w:t>一线</w:t>
      </w:r>
      <w:r>
        <w:rPr>
          <w:rFonts w:hint="eastAsia" w:ascii="仿宋" w:hAnsi="仿宋" w:eastAsia="仿宋"/>
          <w:sz w:val="28"/>
          <w:szCs w:val="28"/>
        </w:rPr>
        <w:t>品牌</w:t>
      </w:r>
    </w:p>
    <w:p w14:paraId="747E7CCC">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(2)多介质过滤器要求：滤料为石英砂，配全自动过滤控制阀，可定时冲洗和反洗</w:t>
      </w:r>
    </w:p>
    <w:p w14:paraId="0AF7540C">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(3)活性炭过滤器：滤料为优质果壳炭，配全自动过滤控制阀，可定时冲洗和反洗</w:t>
      </w:r>
    </w:p>
    <w:p w14:paraId="2F5F25E2">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(4)软化过滤器：滤料为强酸性阳离子树脂，配全自动过滤控制阀，可定时冲洗和反洗</w:t>
      </w:r>
    </w:p>
    <w:p w14:paraId="1401E1BC">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(5)盐箱：材质需耐酸碱，耐腐蚀，耐热</w:t>
      </w:r>
    </w:p>
    <w:p w14:paraId="52AF9896">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(6)保安过滤器：由5μ精密滤芯组成，材质聚丙烯纤维</w:t>
      </w:r>
    </w:p>
    <w:p w14:paraId="3CE89793">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(7)高压泵：泵体材质为不锈钢，采用国内</w:t>
      </w:r>
      <w:r>
        <w:rPr>
          <w:rFonts w:hint="eastAsia" w:ascii="仿宋" w:hAnsi="仿宋" w:eastAsia="仿宋"/>
          <w:sz w:val="28"/>
          <w:szCs w:val="28"/>
          <w:lang w:val="en-US" w:eastAsia="zh-CN"/>
        </w:rPr>
        <w:t>一线</w:t>
      </w:r>
      <w:r>
        <w:rPr>
          <w:rFonts w:hint="eastAsia" w:ascii="仿宋" w:hAnsi="仿宋" w:eastAsia="仿宋"/>
          <w:sz w:val="28"/>
          <w:szCs w:val="28"/>
        </w:rPr>
        <w:t>品牌</w:t>
      </w:r>
    </w:p>
    <w:p w14:paraId="7A977D9D">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5、反渗膜类型为：芳香族聚酰胺复合膜</w:t>
      </w:r>
    </w:p>
    <w:p w14:paraId="739AD78D">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6、纯水供水系统：由卫生级不锈钢储水箱及纯水泵等组成。水箱容积分别为2000L和1000L，材质为SUS304不锈钢，水箱装有液位控制器，通过液位控制器实现反渗透装置和纯水外输送泵的起停。供水同时受水箱液位和原水低压开关的双重控制</w:t>
      </w:r>
      <w:r>
        <w:rPr>
          <w:rFonts w:hint="eastAsia" w:ascii="仿宋" w:hAnsi="仿宋" w:eastAsia="仿宋"/>
          <w:sz w:val="28"/>
          <w:szCs w:val="28"/>
          <w:lang w:eastAsia="zh-CN"/>
        </w:rPr>
        <w:t>，</w:t>
      </w:r>
      <w:r>
        <w:rPr>
          <w:rFonts w:hint="eastAsia" w:ascii="仿宋" w:hAnsi="仿宋" w:eastAsia="仿宋"/>
          <w:sz w:val="28"/>
          <w:szCs w:val="28"/>
        </w:rPr>
        <w:t>供水采用恒定压力输出方式，自动恒压供水，输出稳定；管路采用UPVC材质，各级纯水具有独立的供水管路，可分别多点取水</w:t>
      </w:r>
    </w:p>
    <w:p w14:paraId="3C49FA4F">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7、配置一套软水系统，软水产水量≥3000L/h</w:t>
      </w:r>
    </w:p>
    <w:p w14:paraId="44279482">
      <w:pPr>
        <w:spacing w:line="480" w:lineRule="exact"/>
        <w:contextualSpacing/>
        <w:rPr>
          <w:rFonts w:hint="eastAsia" w:ascii="仿宋" w:hAnsi="仿宋" w:eastAsia="仿宋"/>
          <w:sz w:val="28"/>
          <w:szCs w:val="28"/>
        </w:rPr>
      </w:pPr>
    </w:p>
    <w:p w14:paraId="660D4977">
      <w:pPr>
        <w:spacing w:line="480" w:lineRule="exact"/>
        <w:contextualSpacing/>
        <w:outlineLvl w:val="2"/>
        <w:rPr>
          <w:rFonts w:ascii="仿宋" w:hAnsi="仿宋" w:eastAsia="仿宋"/>
          <w:b/>
          <w:sz w:val="28"/>
          <w:szCs w:val="28"/>
        </w:rPr>
      </w:pPr>
      <w:r>
        <w:rPr>
          <w:rFonts w:hint="eastAsia" w:ascii="仿宋" w:hAnsi="仿宋" w:eastAsia="仿宋"/>
          <w:b/>
          <w:sz w:val="28"/>
          <w:szCs w:val="28"/>
        </w:rPr>
        <w:br w:type="page"/>
      </w:r>
      <w:r>
        <w:rPr>
          <w:rFonts w:hint="eastAsia" w:ascii="仿宋" w:hAnsi="仿宋" w:eastAsia="仿宋"/>
          <w:b/>
          <w:sz w:val="28"/>
          <w:szCs w:val="28"/>
        </w:rPr>
        <w:t>序号</w:t>
      </w:r>
      <w:r>
        <w:rPr>
          <w:rFonts w:hint="eastAsia" w:ascii="仿宋" w:hAnsi="仿宋" w:eastAsia="仿宋"/>
          <w:b/>
          <w:sz w:val="28"/>
          <w:szCs w:val="28"/>
          <w:lang w:val="en-US" w:eastAsia="zh-CN"/>
        </w:rPr>
        <w:t>3</w:t>
      </w:r>
      <w:r>
        <w:rPr>
          <w:rFonts w:hint="eastAsia" w:ascii="仿宋" w:hAnsi="仿宋" w:eastAsia="仿宋"/>
          <w:b/>
          <w:sz w:val="28"/>
          <w:szCs w:val="28"/>
        </w:rPr>
        <w:t>：手动清洗工作台技术参数</w:t>
      </w:r>
    </w:p>
    <w:p w14:paraId="3AF59366">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材质要求：台面主料采用进口高分子复合材料整体成型，表面光亮平滑、耐磨、耐酸碱、易清洗，无锋角，无接缝，细菌附着率低、对人体无毒性；柜门材质：具有环保、防火、防潮、防划伤、耐腐蚀、易清洁不变形等特点</w:t>
      </w:r>
    </w:p>
    <w:p w14:paraId="302C25C4">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2、柜体支架：选用全优质不锈钢材质，耐用防腐蚀</w:t>
      </w:r>
    </w:p>
    <w:p w14:paraId="461B94AD">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3、清洗台要包含冲洗池、超声池、酶洗池、漂洗池、终末漂洗池、消毒池</w:t>
      </w:r>
    </w:p>
    <w:p w14:paraId="3E44319F">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4、超声槽要求超声波采用内嵌式设计，材质为优质SUS304不锈钢，四周应有橡胶减震胶条，与设备主体融合。具体尺寸根据实际场地来确定</w:t>
      </w:r>
    </w:p>
    <w:p w14:paraId="4B5C97AF">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5、控制器要求：采用液晶中文显示屏，各流程功能均有微电脑控制，隐藏式设计，工作面板作用PVC面膜，采用触摸控制按键，控制实际操作流程，均按照屏幕提示进行清洗，并具备定时、倒计时功能，具有时间报警功能</w:t>
      </w:r>
    </w:p>
    <w:p w14:paraId="74A66B11">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 xml:space="preserve">6、防护罩材质为透明亚克力，板材厚度≥8mm </w:t>
      </w:r>
    </w:p>
    <w:p w14:paraId="4430AEEF">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7、自动注流器：高水压，低流量，适用不同管径内镜</w:t>
      </w:r>
    </w:p>
    <w:p w14:paraId="53598EFB">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8、具有专为医疗器械提供洁净空气的气源设备，配有粉尘过滤器、0.01</w:t>
      </w:r>
      <w:r>
        <w:rPr>
          <w:rFonts w:hint="eastAsia" w:ascii="仿宋" w:hAnsi="仿宋" w:eastAsia="仿宋"/>
          <w:w w:val="66"/>
          <w:sz w:val="28"/>
          <w:szCs w:val="28"/>
        </w:rPr>
        <w:t>μm</w:t>
      </w:r>
      <w:r>
        <w:rPr>
          <w:rFonts w:hint="eastAsia" w:ascii="仿宋" w:hAnsi="仿宋" w:eastAsia="仿宋"/>
          <w:sz w:val="28"/>
          <w:szCs w:val="28"/>
        </w:rPr>
        <w:t>精密过滤器以及内洁净存储罐等单元组成。具有自动净化排水功能，无需人工手动排水</w:t>
      </w:r>
    </w:p>
    <w:p w14:paraId="502E9C9A">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9、高压水枪：提供5种不同口径枪头，可调节水流量、水压</w:t>
      </w:r>
    </w:p>
    <w:p w14:paraId="49E8B13D">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10、高压气枪：提供5种不同口径枪头</w:t>
      </w:r>
    </w:p>
    <w:p w14:paraId="51F3A675">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11、快速接头：每槽的每个流程（注液、吸液等）均采用专用接头连接内镜的每个接口</w:t>
      </w:r>
    </w:p>
    <w:p w14:paraId="1A39531B">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12、供排水管路要求：所有给水管采用优质PP-R冷、热水管材和管件。排水管路采用选择耐腐蚀、耐酸碱的管路材料</w:t>
      </w:r>
    </w:p>
    <w:p w14:paraId="261C9EE5">
      <w:pPr>
        <w:spacing w:line="480" w:lineRule="exact"/>
        <w:contextualSpacing/>
        <w:rPr>
          <w:rFonts w:ascii="仿宋" w:hAnsi="仿宋" w:eastAsia="仿宋"/>
          <w:sz w:val="28"/>
          <w:szCs w:val="28"/>
        </w:rPr>
      </w:pPr>
    </w:p>
    <w:p w14:paraId="4E885AA0">
      <w:pPr>
        <w:spacing w:line="480" w:lineRule="exact"/>
        <w:contextualSpacing/>
        <w:jc w:val="both"/>
        <w:outlineLvl w:val="2"/>
        <w:rPr>
          <w:rFonts w:ascii="仿宋" w:hAnsi="仿宋" w:eastAsia="仿宋"/>
          <w:b/>
          <w:sz w:val="28"/>
          <w:szCs w:val="28"/>
        </w:rPr>
      </w:pPr>
      <w:r>
        <w:rPr>
          <w:rFonts w:hint="eastAsia" w:ascii="仿宋" w:hAnsi="仿宋" w:eastAsia="仿宋"/>
          <w:b/>
          <w:sz w:val="28"/>
          <w:szCs w:val="28"/>
        </w:rPr>
        <w:br w:type="page"/>
      </w:r>
      <w:r>
        <w:rPr>
          <w:rFonts w:hint="eastAsia" w:ascii="仿宋" w:hAnsi="仿宋" w:eastAsia="仿宋"/>
          <w:b/>
          <w:sz w:val="28"/>
          <w:szCs w:val="28"/>
        </w:rPr>
        <w:t>序号</w:t>
      </w:r>
      <w:r>
        <w:rPr>
          <w:rFonts w:hint="eastAsia" w:ascii="仿宋" w:hAnsi="仿宋" w:eastAsia="仿宋"/>
          <w:b/>
          <w:sz w:val="28"/>
          <w:szCs w:val="28"/>
          <w:lang w:val="en-US" w:eastAsia="zh-CN"/>
        </w:rPr>
        <w:t>4</w:t>
      </w:r>
      <w:r>
        <w:rPr>
          <w:rFonts w:hint="eastAsia" w:ascii="仿宋" w:hAnsi="仿宋" w:eastAsia="仿宋"/>
          <w:b/>
          <w:sz w:val="28"/>
          <w:szCs w:val="28"/>
        </w:rPr>
        <w:t>：低温等离子体灭菌器参数</w:t>
      </w:r>
    </w:p>
    <w:p w14:paraId="66F3AA20">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 xml:space="preserve">1、有效灭菌容积≥150L </w:t>
      </w:r>
    </w:p>
    <w:p w14:paraId="3EE30325">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2、灭菌舱：长方体，腔体内胆为航空铝材，厚度≥14mm；密封门：材质为航空铝材，厚度≥16mm</w:t>
      </w:r>
    </w:p>
    <w:p w14:paraId="014B74C2">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3、密封门开启方式：触屏手动操作、脚踢开关等方式控制舱门升降</w:t>
      </w:r>
    </w:p>
    <w:p w14:paraId="37B39680">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4、注液方式：全制动卡匣式加液，无需手动倒入消毒剂加液</w:t>
      </w:r>
    </w:p>
    <w:p w14:paraId="3EE2DABC">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5、卡匣内胶囊计数识别功能：卡匣安装后，自动计算胶囊使用个数，并提示剩余胶囊个数和可运行全循环的次数</w:t>
      </w:r>
    </w:p>
    <w:p w14:paraId="769B0C65">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6、蒸发器具备浓度提纯装置，提纯后的过氧化氢浓度≥95%(提供第三方检测报告)</w:t>
      </w:r>
    </w:p>
    <w:p w14:paraId="16883DBE">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7、灭菌程序以及最短灭菌时间：具有多个灭菌程序</w:t>
      </w:r>
    </w:p>
    <w:p w14:paraId="43E64B2B">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8、显示：彩色触摸屏，可显示温度，压力，时间，循环模式，过程阶段等信息</w:t>
      </w:r>
    </w:p>
    <w:p w14:paraId="30CB1F75">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9、记录方式：微型打印机打印记录，能打印灭菌记录报告</w:t>
      </w:r>
    </w:p>
    <w:p w14:paraId="67B95B39">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10、保护装置：配置电源保护器，具备自动监测用户电源是否超压、欠压、相序错误的功能；配置自动故障检测，具备故障代码显示报警，故障音频报警和故障记录功能；灭菌器密封门门、灭菌腔体分别配置温度保护装置，可自动进行预热控制；配置密封门</w:t>
      </w:r>
      <w:r>
        <w:rPr>
          <w:rFonts w:hint="eastAsia" w:ascii="仿宋" w:hAnsi="仿宋" w:eastAsia="仿宋"/>
          <w:sz w:val="28"/>
          <w:szCs w:val="28"/>
          <w:lang w:eastAsia="zh-CN"/>
        </w:rPr>
        <w:t>，</w:t>
      </w:r>
      <w:r>
        <w:rPr>
          <w:rFonts w:hint="eastAsia" w:ascii="仿宋" w:hAnsi="仿宋" w:eastAsia="仿宋"/>
          <w:sz w:val="28"/>
          <w:szCs w:val="28"/>
        </w:rPr>
        <w:t>关门自动避障保护功能</w:t>
      </w:r>
    </w:p>
    <w:p w14:paraId="276EA408">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11、能自动监测等离子运行功率，各阶段压力数据，各阶段时间，运行全程温度</w:t>
      </w:r>
    </w:p>
    <w:p w14:paraId="537D4EB8">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12、具备干燥系统，可对湿度过高的器械进行干燥</w:t>
      </w:r>
    </w:p>
    <w:p w14:paraId="3B34E6D5">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13、真空泵：采用耐过氧化氢腐蚀的旋片式真空泵，并具备真空泵相序保护器</w:t>
      </w:r>
    </w:p>
    <w:p w14:paraId="1BB88131">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14、压力感应装置：能够感应室外压力、提纯装置和灭菌内室压力</w:t>
      </w:r>
    </w:p>
    <w:p w14:paraId="3D30FBF4">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15、灭菌效果检测：可对内径≥1mm、长度≤600mm的单通道不锈钢导管或内径≥1mm、长度≤4000mm的单通道聚四氟乙烯导管进行灭菌(提供第三方检测报告)</w:t>
      </w:r>
    </w:p>
    <w:p w14:paraId="17ECE31A">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16、过氧化氢残留：具有排气过氧化氢气体过滤系统，周围空气中过氧化氢浓度≤0.6mg/</w:t>
      </w:r>
      <w:r>
        <w:rPr>
          <w:rFonts w:hint="eastAsia" w:ascii="仿宋" w:hAnsi="仿宋" w:eastAsia="仿宋"/>
          <w:sz w:val="28"/>
          <w:szCs w:val="28"/>
          <w:lang w:val="en-US" w:eastAsia="zh-CN"/>
        </w:rPr>
        <w:t>m³</w:t>
      </w:r>
      <w:r>
        <w:rPr>
          <w:rFonts w:hint="eastAsia" w:ascii="仿宋" w:hAnsi="仿宋" w:eastAsia="仿宋"/>
          <w:sz w:val="28"/>
          <w:szCs w:val="28"/>
        </w:rPr>
        <w:t>(提供第三方检测报告)</w:t>
      </w:r>
    </w:p>
    <w:p w14:paraId="0A66D214">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17、毒理性检测：灭菌后细胞毒性符合合格标准，确保对病员及操作人员无残留危害(提供第三方检测报告)</w:t>
      </w:r>
    </w:p>
    <w:p w14:paraId="5E5B337F">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hint="default" w:ascii="仿宋" w:hAnsi="仿宋" w:eastAsia="仿宋"/>
          <w:sz w:val="28"/>
          <w:szCs w:val="28"/>
          <w:lang w:val="en-US" w:eastAsia="zh-CN"/>
        </w:rPr>
      </w:pPr>
      <w:r>
        <w:rPr>
          <w:rFonts w:hint="eastAsia" w:ascii="仿宋" w:hAnsi="仿宋" w:eastAsia="仿宋"/>
          <w:sz w:val="28"/>
          <w:szCs w:val="28"/>
        </w:rPr>
        <w:t>18、配置相应的生物监测仪</w:t>
      </w:r>
      <w:r>
        <w:rPr>
          <w:rFonts w:hint="eastAsia" w:ascii="仿宋" w:hAnsi="仿宋" w:eastAsia="仿宋"/>
          <w:sz w:val="28"/>
          <w:szCs w:val="28"/>
          <w:lang w:val="en-US" w:eastAsia="zh-CN"/>
        </w:rPr>
        <w:t xml:space="preserve"> 一台</w:t>
      </w:r>
    </w:p>
    <w:p w14:paraId="1E45E76A">
      <w:pPr>
        <w:spacing w:line="480" w:lineRule="exact"/>
        <w:contextualSpacing/>
        <w:rPr>
          <w:rFonts w:hint="eastAsia" w:ascii="仿宋" w:hAnsi="仿宋" w:eastAsia="仿宋"/>
          <w:sz w:val="28"/>
          <w:szCs w:val="28"/>
        </w:rPr>
      </w:pPr>
    </w:p>
    <w:p w14:paraId="5CD18598">
      <w:pPr>
        <w:spacing w:line="480" w:lineRule="exact"/>
        <w:contextualSpacing/>
        <w:outlineLvl w:val="2"/>
        <w:rPr>
          <w:rFonts w:ascii="仿宋" w:hAnsi="仿宋" w:eastAsia="仿宋"/>
          <w:b/>
          <w:sz w:val="28"/>
          <w:szCs w:val="28"/>
        </w:rPr>
      </w:pPr>
      <w:r>
        <w:rPr>
          <w:rFonts w:hint="eastAsia" w:ascii="仿宋" w:hAnsi="仿宋" w:eastAsia="仿宋"/>
          <w:b/>
          <w:sz w:val="28"/>
          <w:szCs w:val="28"/>
        </w:rPr>
        <w:br w:type="page"/>
      </w:r>
      <w:r>
        <w:rPr>
          <w:rFonts w:hint="eastAsia" w:ascii="仿宋" w:hAnsi="仿宋" w:eastAsia="仿宋"/>
          <w:b/>
          <w:sz w:val="28"/>
          <w:szCs w:val="28"/>
        </w:rPr>
        <w:t>序号</w:t>
      </w:r>
      <w:r>
        <w:rPr>
          <w:rFonts w:hint="eastAsia" w:ascii="仿宋" w:hAnsi="仿宋" w:eastAsia="仿宋"/>
          <w:b/>
          <w:sz w:val="28"/>
          <w:szCs w:val="28"/>
          <w:lang w:val="en-US" w:eastAsia="zh-CN"/>
        </w:rPr>
        <w:t>5</w:t>
      </w:r>
      <w:r>
        <w:rPr>
          <w:rFonts w:hint="eastAsia" w:ascii="仿宋" w:hAnsi="仿宋" w:eastAsia="仿宋"/>
          <w:b/>
          <w:sz w:val="28"/>
          <w:szCs w:val="28"/>
        </w:rPr>
        <w:t xml:space="preserve">：医用真空干燥柜技术参数 </w:t>
      </w:r>
    </w:p>
    <w:p w14:paraId="5D22F3EB">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1、舱体应该具有透明观察窗，可以实时观察器械干燥的情况</w:t>
      </w:r>
    </w:p>
    <w:p w14:paraId="4A2C5F37">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2、总容积≥120L，具备两个相互独立的舱体，每个舱体都可以独立自动运行干燥程序，每个舱体容积≥60L</w:t>
      </w:r>
    </w:p>
    <w:p w14:paraId="6BC62ABA">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3、舱体结构方型舱体，舱体材质为铝合金，外壳采用SUS304不锈钢焊接成型</w:t>
      </w:r>
    </w:p>
    <w:p w14:paraId="799EB87B">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4、外形尺寸：宽度约540mm；高度约1550mm,深度约800mm</w:t>
      </w:r>
    </w:p>
    <w:p w14:paraId="7B7560B4">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5、门锁为电动锁，具有断电开门功能，能够跟在断电情况下手动开关门，快速取出设备内器械;门设置有门限位检测传感器，可以检测门是否关好。运行中门处于异常状态时，设备提示报警</w:t>
      </w:r>
    </w:p>
    <w:p w14:paraId="77F719D3">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6、门构造：门采用钢化玻璃，能保证舱体的密封性</w:t>
      </w:r>
    </w:p>
    <w:p w14:paraId="37C11466">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7、具有空气过滤装置，过滤精度</w:t>
      </w:r>
      <w:r>
        <w:rPr>
          <w:rFonts w:hint="eastAsia" w:ascii="仿宋" w:hAnsi="仿宋" w:eastAsia="仿宋"/>
          <w:sz w:val="28"/>
          <w:szCs w:val="28"/>
          <w:lang w:val="en-US" w:eastAsia="zh-CN"/>
        </w:rPr>
        <w:t>≤</w:t>
      </w:r>
      <w:r>
        <w:rPr>
          <w:rFonts w:hint="eastAsia" w:ascii="仿宋" w:hAnsi="仿宋" w:eastAsia="仿宋"/>
          <w:sz w:val="28"/>
          <w:szCs w:val="28"/>
        </w:rPr>
        <w:t>0.3um</w:t>
      </w:r>
    </w:p>
    <w:p w14:paraId="7FB48BFB">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8、单个舱体配置≥2个网状结构的SUS304不锈钢篮筐，网状结构不易存水，篮筐尺寸应≥280*700*60mm（两层的尺寸）</w:t>
      </w:r>
    </w:p>
    <w:p w14:paraId="743CCD82">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9、所有加热装置均带温度保护功能，且都有独立的断路保护装置</w:t>
      </w:r>
    </w:p>
    <w:p w14:paraId="6A4825AF">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10、显示屏：≥7英寸彩色触摸屏作为人机界面，能显示温度、时间、压力、报警等参数信息</w:t>
      </w:r>
    </w:p>
    <w:p w14:paraId="4FD450D0">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11、控制方式：PLC控制器</w:t>
      </w:r>
    </w:p>
    <w:p w14:paraId="0F5CCA1C">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 xml:space="preserve">12、系统干燥程序：≥4个，用户可根据需求对参数进行调整   </w:t>
      </w:r>
    </w:p>
    <w:p w14:paraId="7353BF2A">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hint="eastAsia" w:ascii="仿宋" w:hAnsi="仿宋" w:eastAsia="仿宋"/>
          <w:sz w:val="28"/>
          <w:szCs w:val="28"/>
        </w:rPr>
      </w:pPr>
      <w:r>
        <w:rPr>
          <w:rFonts w:hint="eastAsia" w:ascii="仿宋" w:hAnsi="仿宋" w:eastAsia="仿宋"/>
          <w:sz w:val="28"/>
          <w:szCs w:val="28"/>
        </w:rPr>
        <w:t>13、具有过载保护器</w:t>
      </w:r>
    </w:p>
    <w:p w14:paraId="1CBF600E">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hint="eastAsia" w:ascii="仿宋" w:hAnsi="仿宋" w:eastAsia="仿宋"/>
          <w:sz w:val="28"/>
          <w:szCs w:val="28"/>
        </w:rPr>
      </w:pPr>
      <w:r>
        <w:rPr>
          <w:rFonts w:hint="eastAsia" w:ascii="仿宋" w:hAnsi="仿宋" w:eastAsia="仿宋"/>
          <w:sz w:val="28"/>
          <w:szCs w:val="28"/>
        </w:rPr>
        <w:t>14、真空泵采用</w:t>
      </w:r>
      <w:r>
        <w:rPr>
          <w:rFonts w:hint="eastAsia" w:ascii="仿宋" w:hAnsi="仿宋" w:eastAsia="仿宋"/>
          <w:sz w:val="28"/>
          <w:szCs w:val="28"/>
          <w:lang w:val="en-US" w:eastAsia="zh-CN"/>
        </w:rPr>
        <w:t>国内一线</w:t>
      </w:r>
      <w:r>
        <w:rPr>
          <w:rFonts w:hint="eastAsia" w:ascii="仿宋" w:hAnsi="仿宋" w:eastAsia="仿宋"/>
          <w:sz w:val="28"/>
          <w:szCs w:val="28"/>
        </w:rPr>
        <w:t>品牌</w:t>
      </w:r>
    </w:p>
    <w:p w14:paraId="6EEAAF74">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15、真空干燥能力：内径1mm,长度4米软管可彻底干燥；内径5mm,长度2米软管可彻底干燥</w:t>
      </w:r>
    </w:p>
    <w:p w14:paraId="71527445">
      <w:pPr>
        <w:spacing w:line="480" w:lineRule="exact"/>
        <w:contextualSpacing/>
        <w:rPr>
          <w:rFonts w:ascii="仿宋" w:hAnsi="仿宋" w:eastAsia="仿宋"/>
          <w:sz w:val="28"/>
          <w:szCs w:val="28"/>
        </w:rPr>
      </w:pPr>
    </w:p>
    <w:p w14:paraId="50244541">
      <w:pPr>
        <w:spacing w:line="480" w:lineRule="exact"/>
        <w:contextualSpacing/>
        <w:outlineLvl w:val="2"/>
        <w:rPr>
          <w:rFonts w:ascii="仿宋" w:hAnsi="仿宋" w:eastAsia="仿宋"/>
          <w:b/>
          <w:sz w:val="28"/>
          <w:szCs w:val="28"/>
        </w:rPr>
      </w:pPr>
      <w:r>
        <w:rPr>
          <w:rFonts w:hint="eastAsia" w:ascii="仿宋" w:hAnsi="仿宋" w:eastAsia="仿宋"/>
          <w:b/>
          <w:sz w:val="28"/>
          <w:szCs w:val="28"/>
        </w:rPr>
        <w:br w:type="page"/>
      </w:r>
      <w:r>
        <w:rPr>
          <w:rFonts w:hint="eastAsia" w:ascii="仿宋" w:hAnsi="仿宋" w:eastAsia="仿宋"/>
          <w:b/>
          <w:sz w:val="28"/>
          <w:szCs w:val="28"/>
        </w:rPr>
        <w:t>序号</w:t>
      </w:r>
      <w:r>
        <w:rPr>
          <w:rFonts w:hint="eastAsia" w:ascii="仿宋" w:hAnsi="仿宋" w:eastAsia="仿宋"/>
          <w:b/>
          <w:sz w:val="28"/>
          <w:szCs w:val="28"/>
          <w:lang w:val="en-US" w:eastAsia="zh-CN"/>
        </w:rPr>
        <w:t>6</w:t>
      </w:r>
      <w:r>
        <w:rPr>
          <w:rFonts w:hint="eastAsia" w:ascii="仿宋" w:hAnsi="仿宋" w:eastAsia="仿宋"/>
          <w:b/>
          <w:sz w:val="28"/>
          <w:szCs w:val="28"/>
        </w:rPr>
        <w:t>：酸化水机技术参数</w:t>
      </w:r>
    </w:p>
    <w:p w14:paraId="13010507">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 xml:space="preserve">1、设备组成:电解液箱、电解槽、酸碱水箱、酸碱供水泵、PLC控制系统、触摸屏、监测仪表等组成 </w:t>
      </w:r>
    </w:p>
    <w:p w14:paraId="6F79F745">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2、酸化水指标：酸化水产水量≥90L/h； 酸化水pH值2.0～3.0；               酸化水ORP值≥1100mv ；酸化水有效氯含量：50～70mg/L</w:t>
      </w:r>
    </w:p>
    <w:p w14:paraId="43D9A429">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3、实时在线显示pH值、ORP值、有效氯含量、电解电流、累计运行时间等参数，随时监测消毒液的技术指标，消毒液不合格自动报警；触摸屏具备电流过大、原水缺水等中文报警显示</w:t>
      </w:r>
    </w:p>
    <w:p w14:paraId="3BBFDD0A">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4、具有自动正极和倒极冲洗功能，具有定期自动清洗管道功能，具有自动提示更换耗材功能</w:t>
      </w:r>
    </w:p>
    <w:p w14:paraId="79A40BAF">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5、电解槽有效使用寿命≥3000小时，电解方式为连续式电解</w:t>
      </w:r>
    </w:p>
    <w:p w14:paraId="62860A1D">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6、酸化水输送系统 ，设备配备的耐酸碱腐蚀水泵可适应远距离用水点，根据用水点的使用情况，酸碱泵自动启停运行</w:t>
      </w:r>
    </w:p>
    <w:p w14:paraId="510E35A8">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7、酸碱水箱、盐箱等材质需要耐腐蚀、不透光</w:t>
      </w:r>
    </w:p>
    <w:p w14:paraId="100BD9F5">
      <w:pPr>
        <w:spacing w:line="480" w:lineRule="exact"/>
        <w:contextualSpacing/>
        <w:outlineLvl w:val="9"/>
        <w:rPr>
          <w:rFonts w:hint="eastAsia" w:ascii="仿宋" w:hAnsi="仿宋" w:eastAsia="仿宋"/>
          <w:b/>
          <w:sz w:val="28"/>
          <w:szCs w:val="28"/>
        </w:rPr>
      </w:pPr>
    </w:p>
    <w:p w14:paraId="0EEEB926">
      <w:pPr>
        <w:spacing w:line="480" w:lineRule="exact"/>
        <w:contextualSpacing/>
        <w:outlineLvl w:val="2"/>
        <w:rPr>
          <w:rFonts w:ascii="仿宋" w:hAnsi="仿宋" w:eastAsia="仿宋"/>
          <w:b/>
          <w:sz w:val="28"/>
          <w:szCs w:val="28"/>
        </w:rPr>
      </w:pPr>
      <w:r>
        <w:rPr>
          <w:rFonts w:hint="eastAsia" w:ascii="仿宋" w:hAnsi="仿宋" w:eastAsia="仿宋"/>
          <w:b/>
          <w:sz w:val="28"/>
          <w:szCs w:val="28"/>
        </w:rPr>
        <w:t>序号</w:t>
      </w:r>
      <w:r>
        <w:rPr>
          <w:rFonts w:hint="eastAsia" w:ascii="仿宋" w:hAnsi="仿宋" w:eastAsia="仿宋"/>
          <w:b/>
          <w:sz w:val="28"/>
          <w:szCs w:val="28"/>
          <w:lang w:val="en-US" w:eastAsia="zh-CN"/>
        </w:rPr>
        <w:t>7</w:t>
      </w:r>
      <w:r>
        <w:rPr>
          <w:rFonts w:hint="eastAsia" w:ascii="仿宋" w:hAnsi="仿宋" w:eastAsia="仿宋"/>
          <w:b/>
          <w:sz w:val="28"/>
          <w:szCs w:val="28"/>
        </w:rPr>
        <w:t>：敷料检查打包台技术参数</w:t>
      </w:r>
    </w:p>
    <w:p w14:paraId="30327C6E">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1.尺寸及材料：≥2000mm×1100mm×800mm，全不锈钢304材质</w:t>
      </w:r>
    </w:p>
    <w:p w14:paraId="2F0D720B">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2.单层台面</w:t>
      </w:r>
      <w:r>
        <w:rPr>
          <w:rFonts w:hint="eastAsia" w:ascii="仿宋" w:hAnsi="仿宋" w:eastAsia="仿宋"/>
          <w:sz w:val="28"/>
          <w:szCs w:val="28"/>
          <w:lang w:eastAsia="zh-CN"/>
        </w:rPr>
        <w:t>，</w:t>
      </w:r>
      <w:r>
        <w:rPr>
          <w:rFonts w:hint="eastAsia" w:ascii="仿宋" w:hAnsi="仿宋" w:eastAsia="仿宋"/>
          <w:sz w:val="28"/>
          <w:szCs w:val="28"/>
        </w:rPr>
        <w:t>台面内衬高密度板，承重量大</w:t>
      </w:r>
    </w:p>
    <w:p w14:paraId="4BAC260A">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lang w:val="en-US" w:eastAsia="zh-CN"/>
        </w:rPr>
        <w:t>3</w:t>
      </w:r>
      <w:r>
        <w:rPr>
          <w:rFonts w:hint="eastAsia" w:ascii="仿宋" w:hAnsi="仿宋" w:eastAsia="仿宋"/>
          <w:sz w:val="28"/>
          <w:szCs w:val="28"/>
        </w:rPr>
        <w:t>.前后边角大圆弧过渡</w:t>
      </w:r>
    </w:p>
    <w:p w14:paraId="7A91E860">
      <w:pPr>
        <w:spacing w:line="480" w:lineRule="exact"/>
        <w:contextualSpacing/>
        <w:outlineLvl w:val="9"/>
        <w:rPr>
          <w:rFonts w:hint="eastAsia" w:ascii="仿宋" w:hAnsi="仿宋" w:eastAsia="仿宋"/>
          <w:sz w:val="28"/>
          <w:szCs w:val="28"/>
        </w:rPr>
      </w:pPr>
    </w:p>
    <w:p w14:paraId="58001E17">
      <w:pPr>
        <w:spacing w:line="480" w:lineRule="exact"/>
        <w:contextualSpacing/>
        <w:outlineLvl w:val="2"/>
        <w:rPr>
          <w:rFonts w:ascii="仿宋" w:hAnsi="仿宋" w:eastAsia="仿宋"/>
          <w:b/>
          <w:sz w:val="28"/>
          <w:szCs w:val="28"/>
        </w:rPr>
      </w:pPr>
      <w:r>
        <w:rPr>
          <w:rFonts w:hint="eastAsia" w:ascii="仿宋" w:hAnsi="仿宋" w:eastAsia="仿宋"/>
          <w:b/>
          <w:sz w:val="28"/>
          <w:szCs w:val="28"/>
        </w:rPr>
        <w:t>序号</w:t>
      </w:r>
      <w:r>
        <w:rPr>
          <w:rFonts w:hint="eastAsia" w:ascii="仿宋" w:hAnsi="仿宋" w:eastAsia="仿宋"/>
          <w:b/>
          <w:sz w:val="28"/>
          <w:szCs w:val="28"/>
          <w:lang w:val="en-US" w:eastAsia="zh-CN"/>
        </w:rPr>
        <w:t>8</w:t>
      </w:r>
      <w:r>
        <w:rPr>
          <w:rFonts w:hint="eastAsia" w:ascii="仿宋" w:hAnsi="仿宋" w:eastAsia="仿宋"/>
          <w:b/>
          <w:sz w:val="28"/>
          <w:szCs w:val="28"/>
        </w:rPr>
        <w:t>：器械柜技术参数</w:t>
      </w:r>
    </w:p>
    <w:p w14:paraId="1D39ADC0">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1、尺寸：≥1000×450×1700mm</w:t>
      </w:r>
    </w:p>
    <w:p w14:paraId="70ABB3EB">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2、材质：全不锈钢304材质</w:t>
      </w:r>
    </w:p>
    <w:p w14:paraId="3004BF93">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3、式样：双门外开式；四层隔板，高度可调；三面玻璃视窗</w:t>
      </w:r>
    </w:p>
    <w:p w14:paraId="55DDE4BD">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 xml:space="preserve">4、单块隔板最大承重≥40Kg </w:t>
      </w:r>
    </w:p>
    <w:p w14:paraId="4CB6F13D">
      <w:pPr>
        <w:spacing w:line="480" w:lineRule="exact"/>
        <w:contextualSpacing/>
        <w:rPr>
          <w:rFonts w:hint="eastAsia" w:ascii="仿宋" w:hAnsi="仿宋" w:eastAsia="仿宋"/>
          <w:sz w:val="28"/>
          <w:szCs w:val="28"/>
        </w:rPr>
      </w:pPr>
    </w:p>
    <w:p w14:paraId="101D709E">
      <w:pPr>
        <w:spacing w:line="480" w:lineRule="exact"/>
        <w:contextualSpacing/>
        <w:outlineLvl w:val="2"/>
        <w:rPr>
          <w:rFonts w:ascii="仿宋" w:hAnsi="仿宋" w:eastAsia="仿宋"/>
          <w:b/>
          <w:sz w:val="28"/>
          <w:szCs w:val="28"/>
        </w:rPr>
      </w:pPr>
      <w:r>
        <w:rPr>
          <w:rFonts w:hint="eastAsia" w:ascii="仿宋" w:hAnsi="仿宋" w:eastAsia="仿宋"/>
          <w:b/>
          <w:sz w:val="28"/>
          <w:szCs w:val="28"/>
        </w:rPr>
        <w:br w:type="page"/>
      </w:r>
      <w:r>
        <w:rPr>
          <w:rFonts w:hint="eastAsia" w:ascii="仿宋" w:hAnsi="仿宋" w:eastAsia="仿宋"/>
          <w:b/>
          <w:sz w:val="28"/>
          <w:szCs w:val="28"/>
        </w:rPr>
        <w:t>序号</w:t>
      </w:r>
      <w:r>
        <w:rPr>
          <w:rFonts w:hint="eastAsia" w:ascii="仿宋" w:hAnsi="仿宋" w:eastAsia="仿宋"/>
          <w:b/>
          <w:sz w:val="28"/>
          <w:szCs w:val="28"/>
          <w:lang w:val="en-US" w:eastAsia="zh-CN"/>
        </w:rPr>
        <w:t>9</w:t>
      </w:r>
      <w:r>
        <w:rPr>
          <w:rFonts w:hint="eastAsia" w:ascii="仿宋" w:hAnsi="仿宋" w:eastAsia="仿宋"/>
          <w:b/>
          <w:sz w:val="28"/>
          <w:szCs w:val="28"/>
        </w:rPr>
        <w:t>：敷料柜技术参数</w:t>
      </w:r>
    </w:p>
    <w:p w14:paraId="1AF83C9C">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1、尺寸：≥1000×450×1700mm</w:t>
      </w:r>
    </w:p>
    <w:p w14:paraId="437A563A">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2、材质：304不锈钢材质</w:t>
      </w:r>
    </w:p>
    <w:p w14:paraId="4929ECDA">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3、外开门，上下两层独立开门</w:t>
      </w:r>
    </w:p>
    <w:p w14:paraId="2097F719">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4、共配置三块隔板，高度可调</w:t>
      </w:r>
    </w:p>
    <w:p w14:paraId="12596D3F">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5、柜门带玻璃视窗</w:t>
      </w:r>
    </w:p>
    <w:p w14:paraId="2BB4669B">
      <w:pPr>
        <w:spacing w:line="480" w:lineRule="exact"/>
        <w:contextualSpacing/>
        <w:jc w:val="center"/>
        <w:outlineLvl w:val="1"/>
        <w:rPr>
          <w:rFonts w:ascii="仿宋" w:hAnsi="仿宋" w:eastAsia="仿宋"/>
          <w:sz w:val="28"/>
          <w:szCs w:val="28"/>
        </w:rPr>
      </w:pPr>
      <w:r>
        <w:rPr>
          <w:rFonts w:hint="eastAsia" w:ascii="仿宋" w:hAnsi="仿宋" w:eastAsia="仿宋" w:cs="Times New Roman"/>
          <w:b/>
          <w:kern w:val="2"/>
          <w:sz w:val="28"/>
          <w:szCs w:val="28"/>
          <w:lang w:val="en-US" w:eastAsia="zh-CN" w:bidi="ar-SA"/>
        </w:rPr>
        <w:br w:type="page"/>
      </w:r>
      <w:r>
        <w:rPr>
          <w:rFonts w:hint="eastAsia" w:ascii="仿宋" w:hAnsi="仿宋" w:eastAsia="仿宋" w:cs="Times New Roman"/>
          <w:b/>
          <w:kern w:val="2"/>
          <w:sz w:val="28"/>
          <w:szCs w:val="28"/>
          <w:lang w:val="en-US" w:eastAsia="zh-CN" w:bidi="ar-SA"/>
        </w:rPr>
        <w:t>第4包：血液透析机等</w:t>
      </w:r>
    </w:p>
    <w:tbl>
      <w:tblPr>
        <w:tblStyle w:val="36"/>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81"/>
        <w:gridCol w:w="656"/>
        <w:gridCol w:w="2194"/>
        <w:gridCol w:w="1096"/>
        <w:gridCol w:w="1976"/>
        <w:gridCol w:w="1976"/>
      </w:tblGrid>
      <w:tr w14:paraId="6B179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744" w:type="pct"/>
            <w:tcBorders>
              <w:top w:val="single" w:color="000000" w:sz="4" w:space="0"/>
              <w:left w:val="single" w:color="000000" w:sz="4" w:space="0"/>
              <w:bottom w:val="single" w:color="000000" w:sz="4" w:space="0"/>
              <w:right w:val="single" w:color="000000" w:sz="4" w:space="0"/>
            </w:tcBorders>
            <w:noWrap/>
            <w:vAlign w:val="center"/>
          </w:tcPr>
          <w:p w14:paraId="616018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科室</w:t>
            </w: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436594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182" w:type="pct"/>
            <w:tcBorders>
              <w:top w:val="single" w:color="000000" w:sz="4" w:space="0"/>
              <w:left w:val="single" w:color="000000" w:sz="4" w:space="0"/>
              <w:bottom w:val="single" w:color="000000" w:sz="4" w:space="0"/>
              <w:right w:val="single" w:color="000000" w:sz="4" w:space="0"/>
            </w:tcBorders>
            <w:noWrap/>
            <w:vAlign w:val="center"/>
          </w:tcPr>
          <w:p w14:paraId="2E888A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设备名称</w:t>
            </w:r>
          </w:p>
        </w:tc>
        <w:tc>
          <w:tcPr>
            <w:tcW w:w="590" w:type="pct"/>
            <w:tcBorders>
              <w:top w:val="single" w:color="000000" w:sz="4" w:space="0"/>
              <w:left w:val="single" w:color="000000" w:sz="4" w:space="0"/>
              <w:bottom w:val="single" w:color="000000" w:sz="4" w:space="0"/>
              <w:right w:val="single" w:color="000000" w:sz="4" w:space="0"/>
            </w:tcBorders>
            <w:noWrap/>
            <w:vAlign w:val="center"/>
          </w:tcPr>
          <w:p w14:paraId="04C22E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购置数量</w:t>
            </w:r>
          </w:p>
        </w:tc>
        <w:tc>
          <w:tcPr>
            <w:tcW w:w="1064" w:type="pct"/>
            <w:tcBorders>
              <w:top w:val="single" w:color="000000" w:sz="4" w:space="0"/>
              <w:left w:val="single" w:color="000000" w:sz="4" w:space="0"/>
              <w:bottom w:val="single" w:color="000000" w:sz="4" w:space="0"/>
              <w:right w:val="single" w:color="000000" w:sz="4" w:space="0"/>
            </w:tcBorders>
            <w:noWrap/>
            <w:vAlign w:val="center"/>
          </w:tcPr>
          <w:p w14:paraId="7EAA1C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预算单价（万元）</w:t>
            </w:r>
          </w:p>
        </w:tc>
        <w:tc>
          <w:tcPr>
            <w:tcW w:w="1064" w:type="pct"/>
            <w:tcBorders>
              <w:top w:val="single" w:color="000000" w:sz="4" w:space="0"/>
              <w:left w:val="single" w:color="000000" w:sz="4" w:space="0"/>
              <w:bottom w:val="single" w:color="000000" w:sz="4" w:space="0"/>
              <w:right w:val="single" w:color="000000" w:sz="4" w:space="0"/>
            </w:tcBorders>
            <w:noWrap/>
            <w:vAlign w:val="center"/>
          </w:tcPr>
          <w:p w14:paraId="10A670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小计金额（万元）</w:t>
            </w:r>
          </w:p>
        </w:tc>
      </w:tr>
      <w:tr w14:paraId="4A5B7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744" w:type="pct"/>
            <w:vMerge w:val="restart"/>
            <w:tcBorders>
              <w:top w:val="single" w:color="000000" w:sz="4" w:space="0"/>
              <w:left w:val="single" w:color="000000" w:sz="4" w:space="0"/>
              <w:bottom w:val="single" w:color="000000" w:sz="4" w:space="0"/>
              <w:right w:val="single" w:color="000000" w:sz="4" w:space="0"/>
            </w:tcBorders>
            <w:noWrap/>
            <w:vAlign w:val="center"/>
          </w:tcPr>
          <w:p w14:paraId="1FD024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血透室</w:t>
            </w: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59F916F3">
            <w:pPr>
              <w:keepNext w:val="0"/>
              <w:keepLines w:val="0"/>
              <w:widowControl/>
              <w:numPr>
                <w:ilvl w:val="0"/>
                <w:numId w:val="9"/>
              </w:numPr>
              <w:suppressLineNumbers w:val="0"/>
              <w:ind w:left="425" w:leftChars="0" w:hanging="425" w:firstLineChars="0"/>
              <w:jc w:val="center"/>
              <w:textAlignment w:val="center"/>
              <w:rPr>
                <w:rFonts w:hint="eastAsia" w:ascii="宋体" w:hAnsi="宋体" w:eastAsia="宋体" w:cs="宋体"/>
                <w:i w:val="0"/>
                <w:iCs w:val="0"/>
                <w:color w:val="000000"/>
                <w:sz w:val="22"/>
                <w:szCs w:val="22"/>
                <w:u w:val="none"/>
              </w:rPr>
            </w:pPr>
          </w:p>
        </w:tc>
        <w:tc>
          <w:tcPr>
            <w:tcW w:w="1182" w:type="pct"/>
            <w:tcBorders>
              <w:top w:val="single" w:color="000000" w:sz="4" w:space="0"/>
              <w:left w:val="single" w:color="000000" w:sz="4" w:space="0"/>
              <w:bottom w:val="single" w:color="000000" w:sz="4" w:space="0"/>
              <w:right w:val="single" w:color="000000" w:sz="4" w:space="0"/>
            </w:tcBorders>
            <w:noWrap/>
            <w:vAlign w:val="center"/>
          </w:tcPr>
          <w:p w14:paraId="68362F3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血液透析机</w:t>
            </w:r>
          </w:p>
        </w:tc>
        <w:tc>
          <w:tcPr>
            <w:tcW w:w="590" w:type="pct"/>
            <w:tcBorders>
              <w:top w:val="single" w:color="000000" w:sz="4" w:space="0"/>
              <w:left w:val="single" w:color="000000" w:sz="4" w:space="0"/>
              <w:bottom w:val="single" w:color="000000" w:sz="4" w:space="0"/>
              <w:right w:val="single" w:color="000000" w:sz="4" w:space="0"/>
            </w:tcBorders>
            <w:noWrap/>
            <w:vAlign w:val="center"/>
          </w:tcPr>
          <w:p w14:paraId="05ADF90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064" w:type="pct"/>
            <w:tcBorders>
              <w:top w:val="single" w:color="000000" w:sz="4" w:space="0"/>
              <w:left w:val="single" w:color="000000" w:sz="4" w:space="0"/>
              <w:bottom w:val="single" w:color="000000" w:sz="4" w:space="0"/>
              <w:right w:val="single" w:color="000000" w:sz="4" w:space="0"/>
            </w:tcBorders>
            <w:noWrap/>
            <w:vAlign w:val="center"/>
          </w:tcPr>
          <w:p w14:paraId="15A2BAB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064" w:type="pct"/>
            <w:tcBorders>
              <w:top w:val="single" w:color="000000" w:sz="4" w:space="0"/>
              <w:left w:val="single" w:color="000000" w:sz="4" w:space="0"/>
              <w:bottom w:val="single" w:color="000000" w:sz="4" w:space="0"/>
              <w:right w:val="single" w:color="000000" w:sz="4" w:space="0"/>
            </w:tcBorders>
            <w:noWrap/>
            <w:vAlign w:val="center"/>
          </w:tcPr>
          <w:p w14:paraId="009760C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192</w:t>
            </w:r>
          </w:p>
        </w:tc>
      </w:tr>
      <w:tr w14:paraId="4BAF3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744" w:type="pct"/>
            <w:vMerge w:val="continue"/>
            <w:tcBorders>
              <w:top w:val="single" w:color="000000" w:sz="4" w:space="0"/>
              <w:left w:val="single" w:color="000000" w:sz="4" w:space="0"/>
              <w:bottom w:val="single" w:color="000000" w:sz="4" w:space="0"/>
              <w:right w:val="single" w:color="000000" w:sz="4" w:space="0"/>
            </w:tcBorders>
            <w:noWrap/>
            <w:vAlign w:val="center"/>
          </w:tcPr>
          <w:p w14:paraId="4C284E40">
            <w:pPr>
              <w:jc w:val="center"/>
              <w:rPr>
                <w:rFonts w:hint="eastAsia" w:ascii="宋体" w:hAnsi="宋体" w:eastAsia="宋体" w:cs="宋体"/>
                <w:i w:val="0"/>
                <w:iCs w:val="0"/>
                <w:color w:val="000000"/>
                <w:sz w:val="22"/>
                <w:szCs w:val="22"/>
                <w:u w:val="none"/>
              </w:rPr>
            </w:pP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662F5B7C">
            <w:pPr>
              <w:keepNext w:val="0"/>
              <w:keepLines w:val="0"/>
              <w:widowControl/>
              <w:numPr>
                <w:ilvl w:val="0"/>
                <w:numId w:val="9"/>
              </w:numPr>
              <w:suppressLineNumbers w:val="0"/>
              <w:ind w:left="425" w:leftChars="0" w:hanging="425" w:firstLineChars="0"/>
              <w:jc w:val="center"/>
              <w:textAlignment w:val="center"/>
              <w:rPr>
                <w:rFonts w:hint="eastAsia" w:ascii="宋体" w:hAnsi="宋体" w:eastAsia="宋体" w:cs="宋体"/>
                <w:i w:val="0"/>
                <w:iCs w:val="0"/>
                <w:color w:val="000000"/>
                <w:sz w:val="22"/>
                <w:szCs w:val="22"/>
                <w:u w:val="none"/>
              </w:rPr>
            </w:pPr>
          </w:p>
        </w:tc>
        <w:tc>
          <w:tcPr>
            <w:tcW w:w="1182" w:type="pct"/>
            <w:tcBorders>
              <w:top w:val="single" w:color="000000" w:sz="4" w:space="0"/>
              <w:left w:val="single" w:color="000000" w:sz="4" w:space="0"/>
              <w:bottom w:val="single" w:color="000000" w:sz="4" w:space="0"/>
              <w:right w:val="single" w:color="000000" w:sz="4" w:space="0"/>
            </w:tcBorders>
            <w:noWrap/>
            <w:vAlign w:val="center"/>
          </w:tcPr>
          <w:p w14:paraId="7B8EE65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血液透析滤过机</w:t>
            </w:r>
          </w:p>
        </w:tc>
        <w:tc>
          <w:tcPr>
            <w:tcW w:w="590" w:type="pct"/>
            <w:tcBorders>
              <w:top w:val="single" w:color="000000" w:sz="4" w:space="0"/>
              <w:left w:val="single" w:color="000000" w:sz="4" w:space="0"/>
              <w:bottom w:val="single" w:color="000000" w:sz="4" w:space="0"/>
              <w:right w:val="single" w:color="000000" w:sz="4" w:space="0"/>
            </w:tcBorders>
            <w:noWrap/>
            <w:vAlign w:val="center"/>
          </w:tcPr>
          <w:p w14:paraId="06D65D9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64" w:type="pct"/>
            <w:tcBorders>
              <w:top w:val="single" w:color="000000" w:sz="4" w:space="0"/>
              <w:left w:val="single" w:color="000000" w:sz="4" w:space="0"/>
              <w:bottom w:val="single" w:color="000000" w:sz="4" w:space="0"/>
              <w:right w:val="single" w:color="000000" w:sz="4" w:space="0"/>
            </w:tcBorders>
            <w:noWrap/>
            <w:vAlign w:val="center"/>
          </w:tcPr>
          <w:p w14:paraId="70A3E3B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064" w:type="pct"/>
            <w:tcBorders>
              <w:top w:val="single" w:color="000000" w:sz="4" w:space="0"/>
              <w:left w:val="single" w:color="000000" w:sz="4" w:space="0"/>
              <w:bottom w:val="single" w:color="000000" w:sz="4" w:space="0"/>
              <w:right w:val="single" w:color="000000" w:sz="4" w:space="0"/>
            </w:tcBorders>
            <w:noWrap/>
            <w:vAlign w:val="center"/>
          </w:tcPr>
          <w:p w14:paraId="1A589B6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r>
      <w:tr w14:paraId="2623C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744" w:type="pct"/>
            <w:vMerge w:val="continue"/>
            <w:tcBorders>
              <w:top w:val="single" w:color="000000" w:sz="4" w:space="0"/>
              <w:left w:val="single" w:color="000000" w:sz="4" w:space="0"/>
              <w:bottom w:val="single" w:color="000000" w:sz="4" w:space="0"/>
              <w:right w:val="single" w:color="000000" w:sz="4" w:space="0"/>
            </w:tcBorders>
            <w:noWrap/>
            <w:vAlign w:val="center"/>
          </w:tcPr>
          <w:p w14:paraId="07700F79">
            <w:pPr>
              <w:jc w:val="center"/>
              <w:rPr>
                <w:rFonts w:hint="eastAsia" w:ascii="宋体" w:hAnsi="宋体" w:eastAsia="宋体" w:cs="宋体"/>
                <w:i w:val="0"/>
                <w:iCs w:val="0"/>
                <w:color w:val="000000"/>
                <w:sz w:val="22"/>
                <w:szCs w:val="22"/>
                <w:u w:val="none"/>
              </w:rPr>
            </w:pP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3A251F40">
            <w:pPr>
              <w:keepNext w:val="0"/>
              <w:keepLines w:val="0"/>
              <w:widowControl/>
              <w:numPr>
                <w:ilvl w:val="0"/>
                <w:numId w:val="9"/>
              </w:numPr>
              <w:suppressLineNumbers w:val="0"/>
              <w:ind w:left="425" w:leftChars="0" w:hanging="425" w:firstLineChars="0"/>
              <w:jc w:val="center"/>
              <w:textAlignment w:val="center"/>
              <w:rPr>
                <w:rFonts w:hint="eastAsia" w:ascii="宋体" w:hAnsi="宋体" w:eastAsia="宋体" w:cs="宋体"/>
                <w:i w:val="0"/>
                <w:iCs w:val="0"/>
                <w:color w:val="000000"/>
                <w:sz w:val="22"/>
                <w:szCs w:val="22"/>
                <w:u w:val="none"/>
              </w:rPr>
            </w:pPr>
          </w:p>
        </w:tc>
        <w:tc>
          <w:tcPr>
            <w:tcW w:w="1182" w:type="pct"/>
            <w:tcBorders>
              <w:top w:val="single" w:color="000000" w:sz="4" w:space="0"/>
              <w:left w:val="single" w:color="000000" w:sz="4" w:space="0"/>
              <w:bottom w:val="single" w:color="000000" w:sz="4" w:space="0"/>
              <w:right w:val="single" w:color="000000" w:sz="4" w:space="0"/>
            </w:tcBorders>
            <w:noWrap/>
            <w:vAlign w:val="center"/>
          </w:tcPr>
          <w:p w14:paraId="23DA95D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血液透析制水设备</w:t>
            </w:r>
          </w:p>
        </w:tc>
        <w:tc>
          <w:tcPr>
            <w:tcW w:w="590" w:type="pct"/>
            <w:tcBorders>
              <w:top w:val="single" w:color="000000" w:sz="4" w:space="0"/>
              <w:left w:val="single" w:color="000000" w:sz="4" w:space="0"/>
              <w:bottom w:val="single" w:color="000000" w:sz="4" w:space="0"/>
              <w:right w:val="single" w:color="000000" w:sz="4" w:space="0"/>
            </w:tcBorders>
            <w:noWrap/>
            <w:vAlign w:val="center"/>
          </w:tcPr>
          <w:p w14:paraId="3EB8269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64" w:type="pct"/>
            <w:tcBorders>
              <w:top w:val="single" w:color="000000" w:sz="4" w:space="0"/>
              <w:left w:val="single" w:color="000000" w:sz="4" w:space="0"/>
              <w:bottom w:val="single" w:color="000000" w:sz="4" w:space="0"/>
              <w:right w:val="single" w:color="000000" w:sz="4" w:space="0"/>
            </w:tcBorders>
            <w:noWrap/>
            <w:vAlign w:val="center"/>
          </w:tcPr>
          <w:p w14:paraId="4DCDC49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064" w:type="pct"/>
            <w:tcBorders>
              <w:top w:val="single" w:color="000000" w:sz="4" w:space="0"/>
              <w:left w:val="single" w:color="000000" w:sz="4" w:space="0"/>
              <w:bottom w:val="single" w:color="000000" w:sz="4" w:space="0"/>
              <w:right w:val="single" w:color="000000" w:sz="4" w:space="0"/>
            </w:tcBorders>
            <w:noWrap/>
            <w:vAlign w:val="center"/>
          </w:tcPr>
          <w:p w14:paraId="61A79FA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r>
    </w:tbl>
    <w:p w14:paraId="698AA9F3">
      <w:pPr>
        <w:spacing w:line="480" w:lineRule="exact"/>
        <w:contextualSpacing/>
        <w:outlineLvl w:val="2"/>
        <w:rPr>
          <w:rFonts w:ascii="仿宋" w:hAnsi="仿宋" w:eastAsia="仿宋"/>
          <w:b/>
          <w:sz w:val="28"/>
          <w:szCs w:val="28"/>
        </w:rPr>
      </w:pPr>
      <w:r>
        <w:rPr>
          <w:rFonts w:hint="eastAsia" w:ascii="仿宋" w:hAnsi="仿宋" w:eastAsia="仿宋"/>
          <w:b/>
          <w:sz w:val="28"/>
          <w:szCs w:val="28"/>
        </w:rPr>
        <w:t>序号</w:t>
      </w:r>
      <w:r>
        <w:rPr>
          <w:rFonts w:hint="eastAsia" w:ascii="仿宋" w:hAnsi="仿宋" w:eastAsia="仿宋"/>
          <w:b/>
          <w:sz w:val="28"/>
          <w:szCs w:val="28"/>
          <w:lang w:val="en-US" w:eastAsia="zh-CN"/>
        </w:rPr>
        <w:t>1</w:t>
      </w:r>
      <w:r>
        <w:rPr>
          <w:rFonts w:hint="eastAsia" w:ascii="仿宋" w:hAnsi="仿宋" w:eastAsia="仿宋"/>
          <w:b/>
          <w:sz w:val="28"/>
          <w:szCs w:val="28"/>
        </w:rPr>
        <w:t>：血液透析机技术参数</w:t>
      </w:r>
    </w:p>
    <w:p w14:paraId="04DCEC28">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highlight w:val="none"/>
        </w:rPr>
      </w:pPr>
      <w:r>
        <w:rPr>
          <w:rFonts w:hint="eastAsia" w:ascii="仿宋" w:hAnsi="仿宋" w:eastAsia="仿宋"/>
          <w:sz w:val="28"/>
          <w:szCs w:val="28"/>
          <w:highlight w:val="none"/>
        </w:rPr>
        <w:t>1、设备使用年限：≥10年</w:t>
      </w:r>
    </w:p>
    <w:p w14:paraId="53DC85F2">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highlight w:val="none"/>
        </w:rPr>
      </w:pPr>
      <w:r>
        <w:rPr>
          <w:rFonts w:hint="eastAsia" w:ascii="仿宋" w:hAnsi="仿宋" w:eastAsia="仿宋"/>
          <w:sz w:val="28"/>
          <w:szCs w:val="28"/>
          <w:highlight w:val="none"/>
        </w:rPr>
        <w:t>2、供水压力范围：1～6.0bar</w:t>
      </w:r>
    </w:p>
    <w:p w14:paraId="5AE412BF">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highlight w:val="none"/>
        </w:rPr>
        <w:t>3、透析液流速：测量范围：300～</w:t>
      </w:r>
      <w:r>
        <w:rPr>
          <w:rFonts w:hint="eastAsia" w:ascii="仿宋" w:hAnsi="仿宋" w:eastAsia="仿宋"/>
          <w:sz w:val="28"/>
          <w:szCs w:val="28"/>
        </w:rPr>
        <w:t>700 mL/min</w:t>
      </w:r>
    </w:p>
    <w:p w14:paraId="271BA494">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4、透析液温度：测量范围：35.0～39.0℃，有超温报警功能</w:t>
      </w:r>
    </w:p>
    <w:p w14:paraId="640A6E4D">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5、超滤速度：测量范围：0.50～4.00L/h</w:t>
      </w:r>
    </w:p>
    <w:p w14:paraId="087E893D">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6、动脉血泵：测量范围：50～600mL/min</w:t>
      </w:r>
    </w:p>
    <w:p w14:paraId="6EDC2534">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7、肝素泵：设置范围：0.0～9.0mL/h</w:t>
      </w:r>
    </w:p>
    <w:p w14:paraId="1A74D5E7">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8、动脉压：测量范围：-300～+280mmHg</w:t>
      </w:r>
    </w:p>
    <w:p w14:paraId="4573F47E">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9、静脉压：测量范围：-60～+450mmHg</w:t>
      </w:r>
    </w:p>
    <w:p w14:paraId="06086D4E">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10、TMP：测量范围：-60～+450mmHg</w:t>
      </w:r>
    </w:p>
    <w:p w14:paraId="47D41463">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11、透析液电导率：测量范围：12.8～15.3m</w:t>
      </w:r>
      <w:r>
        <w:rPr>
          <w:rFonts w:hint="eastAsia" w:ascii="仿宋" w:hAnsi="仿宋" w:eastAsia="仿宋"/>
          <w:sz w:val="28"/>
          <w:szCs w:val="28"/>
          <w:lang w:val="en-US" w:eastAsia="zh-CN"/>
        </w:rPr>
        <w:t>s</w:t>
      </w:r>
      <w:r>
        <w:rPr>
          <w:rFonts w:hint="eastAsia" w:ascii="仿宋" w:hAnsi="仿宋" w:eastAsia="仿宋"/>
          <w:sz w:val="28"/>
          <w:szCs w:val="28"/>
        </w:rPr>
        <w:t>/cm。具备≥</w:t>
      </w:r>
      <w:r>
        <w:rPr>
          <w:rFonts w:hint="eastAsia" w:ascii="仿宋" w:hAnsi="仿宋" w:eastAsia="仿宋"/>
          <w:sz w:val="28"/>
          <w:szCs w:val="28"/>
          <w:lang w:val="en-US" w:eastAsia="zh-CN"/>
        </w:rPr>
        <w:t>2</w:t>
      </w:r>
      <w:r>
        <w:rPr>
          <w:rFonts w:hint="eastAsia" w:ascii="仿宋" w:hAnsi="仿宋" w:eastAsia="仿宋"/>
          <w:sz w:val="28"/>
          <w:szCs w:val="28"/>
        </w:rPr>
        <w:t>个在线的透析液电导率测量设备</w:t>
      </w:r>
    </w:p>
    <w:p w14:paraId="5885B476">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12、具有空气监测器、漏血检测器</w:t>
      </w:r>
    </w:p>
    <w:p w14:paraId="731AEFCB">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13、治疗模式：用于血液净化治疗，支持血液透析、单纯超滤</w:t>
      </w:r>
    </w:p>
    <w:p w14:paraId="3594C03A">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14、治疗界面显示：包括动脉压、静脉压、跨膜压、超滤速度等</w:t>
      </w:r>
    </w:p>
    <w:p w14:paraId="23F7F3FE">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15、报警功能：具有声光报警指示，采用多种颜色报警指示灯</w:t>
      </w:r>
    </w:p>
    <w:p w14:paraId="5925DE5A">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16、消毒模式：支持使用柠檬酸、次氯酸钠、过氧乙酸等多种消毒液，具有水、热、化学等多种消毒程序可供选择</w:t>
      </w:r>
    </w:p>
    <w:p w14:paraId="1C8A72F2">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 xml:space="preserve">17、后备电池：停电时自动跳转后备电池供电，支持体外循环监测，报警系统。运行时间≥20分钟 </w:t>
      </w:r>
    </w:p>
    <w:p w14:paraId="7138D796">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18、个性化透析：可预存≥5条透析液浓度曲线</w:t>
      </w:r>
    </w:p>
    <w:p w14:paraId="1E145380">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19、透析液过滤：标配透析液过滤器支架组件</w:t>
      </w:r>
    </w:p>
    <w:p w14:paraId="1DEF96D1">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20、自检：具有完备的自检功能，故障自我诊断功能</w:t>
      </w:r>
    </w:p>
    <w:p w14:paraId="7996768A">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21、血压计：配备血压监测模块</w:t>
      </w:r>
    </w:p>
    <w:p w14:paraId="48AB5504">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highlight w:val="none"/>
        </w:rPr>
      </w:pPr>
      <w:r>
        <w:rPr>
          <w:rFonts w:hint="eastAsia" w:ascii="仿宋" w:hAnsi="仿宋" w:eastAsia="仿宋"/>
          <w:sz w:val="28"/>
          <w:szCs w:val="28"/>
          <w:highlight w:val="none"/>
        </w:rPr>
        <w:t>22、Kt/V：配备在线清除率监测组件</w:t>
      </w:r>
    </w:p>
    <w:p w14:paraId="28B926E6">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highlight w:val="none"/>
        </w:rPr>
      </w:pPr>
      <w:r>
        <w:rPr>
          <w:rFonts w:hint="eastAsia" w:ascii="仿宋" w:hAnsi="仿宋" w:eastAsia="仿宋"/>
          <w:sz w:val="28"/>
          <w:szCs w:val="28"/>
          <w:highlight w:val="none"/>
        </w:rPr>
        <w:t>23、配备血温、血容量监测模块或预留血温、血容量监测模块拓展功能。</w:t>
      </w:r>
    </w:p>
    <w:p w14:paraId="492742E3">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highlight w:val="none"/>
        </w:rPr>
      </w:pPr>
      <w:r>
        <w:rPr>
          <w:rFonts w:hint="eastAsia" w:ascii="仿宋" w:hAnsi="仿宋" w:eastAsia="仿宋"/>
          <w:sz w:val="28"/>
          <w:szCs w:val="28"/>
          <w:highlight w:val="none"/>
        </w:rPr>
        <w:t>24、网络接口开放，可接入信息化软件</w:t>
      </w:r>
    </w:p>
    <w:p w14:paraId="7739D0E3">
      <w:pPr>
        <w:spacing w:line="480" w:lineRule="exact"/>
        <w:contextualSpacing/>
        <w:rPr>
          <w:rFonts w:hint="eastAsia" w:ascii="仿宋" w:hAnsi="仿宋" w:eastAsia="仿宋"/>
          <w:sz w:val="28"/>
          <w:szCs w:val="28"/>
        </w:rPr>
      </w:pPr>
    </w:p>
    <w:p w14:paraId="29FEA7FB">
      <w:pPr>
        <w:spacing w:line="480" w:lineRule="exact"/>
        <w:contextualSpacing/>
        <w:outlineLvl w:val="2"/>
        <w:rPr>
          <w:rFonts w:ascii="仿宋" w:hAnsi="仿宋" w:eastAsia="仿宋"/>
          <w:b/>
          <w:sz w:val="28"/>
          <w:szCs w:val="28"/>
        </w:rPr>
      </w:pPr>
      <w:r>
        <w:rPr>
          <w:rFonts w:hint="eastAsia" w:ascii="仿宋" w:hAnsi="仿宋" w:eastAsia="仿宋"/>
          <w:b/>
          <w:sz w:val="28"/>
          <w:szCs w:val="28"/>
        </w:rPr>
        <w:br w:type="page"/>
      </w:r>
      <w:r>
        <w:rPr>
          <w:rFonts w:hint="eastAsia" w:ascii="仿宋" w:hAnsi="仿宋" w:eastAsia="仿宋"/>
          <w:b/>
          <w:sz w:val="28"/>
          <w:szCs w:val="28"/>
        </w:rPr>
        <w:t>序号</w:t>
      </w:r>
      <w:r>
        <w:rPr>
          <w:rFonts w:hint="eastAsia" w:ascii="仿宋" w:hAnsi="仿宋" w:eastAsia="仿宋"/>
          <w:b/>
          <w:sz w:val="28"/>
          <w:szCs w:val="28"/>
          <w:lang w:val="en-US" w:eastAsia="zh-CN"/>
        </w:rPr>
        <w:t>2</w:t>
      </w:r>
      <w:r>
        <w:rPr>
          <w:rFonts w:hint="eastAsia" w:ascii="仿宋" w:hAnsi="仿宋" w:eastAsia="仿宋"/>
          <w:b/>
          <w:sz w:val="28"/>
          <w:szCs w:val="28"/>
        </w:rPr>
        <w:t>：血液透析滤过机技术参数</w:t>
      </w:r>
    </w:p>
    <w:p w14:paraId="5801D620">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1、设备使用年限：≥10年</w:t>
      </w:r>
    </w:p>
    <w:p w14:paraId="75A090E4">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highlight w:val="none"/>
        </w:rPr>
      </w:pPr>
      <w:r>
        <w:rPr>
          <w:rFonts w:hint="eastAsia" w:ascii="仿宋" w:hAnsi="仿宋" w:eastAsia="仿宋"/>
          <w:sz w:val="28"/>
          <w:szCs w:val="28"/>
        </w:rPr>
        <w:t>2、供水压力范</w:t>
      </w:r>
      <w:r>
        <w:rPr>
          <w:rFonts w:hint="eastAsia" w:ascii="仿宋" w:hAnsi="仿宋" w:eastAsia="仿宋"/>
          <w:sz w:val="28"/>
          <w:szCs w:val="28"/>
          <w:highlight w:val="none"/>
        </w:rPr>
        <w:t>围：1～6.0bar</w:t>
      </w:r>
    </w:p>
    <w:p w14:paraId="6EF772D4">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3、透析液流速：测量范围：300～700 mL/min</w:t>
      </w:r>
    </w:p>
    <w:p w14:paraId="7364AB05">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4、透析液温度：测量范围：35.0～39.0℃，有超温报警功能</w:t>
      </w:r>
    </w:p>
    <w:p w14:paraId="59251C46">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5、超滤速度：测量范围：0.50～4.00L/h</w:t>
      </w:r>
    </w:p>
    <w:p w14:paraId="493D6BB3">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6、置换液流量：测量范围：20～4000mL/h</w:t>
      </w:r>
    </w:p>
    <w:p w14:paraId="79FD5EAE">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7、动脉血泵：测量范围：50～600mL/min</w:t>
      </w:r>
    </w:p>
    <w:p w14:paraId="532061EB">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8、肝素泵：设置范围：0.0～9.0mL/h</w:t>
      </w:r>
    </w:p>
    <w:p w14:paraId="7B0D594F">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9、动脉压：测量范围：-300～+280mmHg</w:t>
      </w:r>
    </w:p>
    <w:p w14:paraId="57E987ED">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10、静脉压：测量范围：-60～+450mmHg</w:t>
      </w:r>
    </w:p>
    <w:p w14:paraId="2B63B25E">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11、TMP：测量范围：-60～+450mmHg</w:t>
      </w:r>
    </w:p>
    <w:p w14:paraId="707E543D">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12透析液电导率：测量范围：12.8～15.3m</w:t>
      </w:r>
      <w:r>
        <w:rPr>
          <w:rFonts w:hint="eastAsia" w:ascii="仿宋" w:hAnsi="仿宋" w:eastAsia="仿宋"/>
          <w:sz w:val="28"/>
          <w:szCs w:val="28"/>
          <w:lang w:val="en-US" w:eastAsia="zh-CN"/>
        </w:rPr>
        <w:t>s</w:t>
      </w:r>
      <w:r>
        <w:rPr>
          <w:rFonts w:hint="eastAsia" w:ascii="仿宋" w:hAnsi="仿宋" w:eastAsia="仿宋"/>
          <w:sz w:val="28"/>
          <w:szCs w:val="28"/>
        </w:rPr>
        <w:t>/cm。具备≥</w:t>
      </w:r>
      <w:r>
        <w:rPr>
          <w:rFonts w:hint="eastAsia" w:ascii="仿宋" w:hAnsi="仿宋" w:eastAsia="仿宋"/>
          <w:sz w:val="28"/>
          <w:szCs w:val="28"/>
          <w:lang w:val="en-US" w:eastAsia="zh-CN"/>
        </w:rPr>
        <w:t>2</w:t>
      </w:r>
      <w:r>
        <w:rPr>
          <w:rFonts w:hint="eastAsia" w:ascii="仿宋" w:hAnsi="仿宋" w:eastAsia="仿宋"/>
          <w:sz w:val="28"/>
          <w:szCs w:val="28"/>
        </w:rPr>
        <w:t>个在线的透析液电导率测量设备</w:t>
      </w:r>
    </w:p>
    <w:p w14:paraId="5A2441C6">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13、超滤系统：采用容量式平衡腔或流量计或复式泵（陶瓷）平衡与超滤控制系统</w:t>
      </w:r>
    </w:p>
    <w:p w14:paraId="3B6AB7F6">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14、具有空气监测器、漏血检测器</w:t>
      </w:r>
    </w:p>
    <w:p w14:paraId="1C7F2CD6">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 xml:space="preserve">15、治疗模式：用于血液净化治疗，支持血液透析，血液滤过，血液透析滤过 </w:t>
      </w:r>
    </w:p>
    <w:p w14:paraId="65C30951">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16、治疗界面显示：包括动脉压、静脉压、跨膜压、超滤速度等</w:t>
      </w:r>
    </w:p>
    <w:p w14:paraId="5FD2BCEC">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 xml:space="preserve">17、报警功能：具有声光报警指示，采用多种颜色报警指示灯 </w:t>
      </w:r>
    </w:p>
    <w:p w14:paraId="498CA470">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18、消毒模式：支持使用柠檬酸、次氯酸钠、过氧乙酸等多种消毒液，具有水、热、化学等多种消毒程序可供选择</w:t>
      </w:r>
    </w:p>
    <w:p w14:paraId="6EC592CD">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19、后备电池：停电时自动跳转后备电池供电，支持体外循环监测，报警系统。运行时间≥20</w:t>
      </w:r>
      <w:r>
        <w:rPr>
          <w:rFonts w:hint="eastAsia" w:ascii="仿宋" w:hAnsi="仿宋" w:eastAsia="仿宋"/>
          <w:sz w:val="28"/>
          <w:szCs w:val="28"/>
          <w:lang w:val="en-US" w:eastAsia="zh-CN"/>
        </w:rPr>
        <w:t>min</w:t>
      </w:r>
      <w:r>
        <w:rPr>
          <w:rFonts w:hint="eastAsia" w:ascii="仿宋" w:hAnsi="仿宋" w:eastAsia="仿宋"/>
          <w:sz w:val="28"/>
          <w:szCs w:val="28"/>
        </w:rPr>
        <w:t xml:space="preserve"> </w:t>
      </w:r>
    </w:p>
    <w:p w14:paraId="751EFF85">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20、个性化透析：可预存≥5条透析液浓度曲线，实现个性化透析</w:t>
      </w:r>
    </w:p>
    <w:p w14:paraId="41D6CB72">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21、透析液过滤：标配透析液过滤器支架组件</w:t>
      </w:r>
    </w:p>
    <w:p w14:paraId="346E4F84">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22、自检：具有完备的自检功能，故障自我诊断功能</w:t>
      </w:r>
    </w:p>
    <w:p w14:paraId="6A15A5BF">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23、血压计：配备血压监测模块</w:t>
      </w:r>
    </w:p>
    <w:p w14:paraId="5BE2B5CA">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24、Kt/V：配备在线清除率监测组件</w:t>
      </w:r>
    </w:p>
    <w:p w14:paraId="6738C7B0">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hint="eastAsia" w:ascii="仿宋" w:hAnsi="仿宋" w:eastAsia="仿宋"/>
          <w:sz w:val="28"/>
          <w:szCs w:val="28"/>
        </w:rPr>
      </w:pPr>
      <w:r>
        <w:rPr>
          <w:rFonts w:hint="eastAsia" w:ascii="仿宋" w:hAnsi="仿宋" w:eastAsia="仿宋"/>
          <w:sz w:val="28"/>
          <w:szCs w:val="28"/>
        </w:rPr>
        <w:t>25、配备血温、血容量监测模块或预留血温、血容量监测模块拓展功能。</w:t>
      </w:r>
    </w:p>
    <w:p w14:paraId="333516AA">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26、网络接口开放，可接入信息化软件</w:t>
      </w:r>
    </w:p>
    <w:p w14:paraId="311FC810">
      <w:pPr>
        <w:spacing w:line="480" w:lineRule="exact"/>
        <w:contextualSpacing/>
        <w:rPr>
          <w:rFonts w:hint="eastAsia" w:ascii="仿宋" w:hAnsi="仿宋" w:eastAsia="仿宋"/>
          <w:sz w:val="28"/>
          <w:szCs w:val="28"/>
        </w:rPr>
      </w:pPr>
    </w:p>
    <w:p w14:paraId="0FCE2451">
      <w:pPr>
        <w:spacing w:line="480" w:lineRule="exact"/>
        <w:contextualSpacing/>
        <w:outlineLvl w:val="2"/>
        <w:rPr>
          <w:rFonts w:ascii="仿宋" w:hAnsi="仿宋" w:eastAsia="仿宋"/>
          <w:b/>
          <w:sz w:val="28"/>
          <w:szCs w:val="28"/>
        </w:rPr>
      </w:pPr>
      <w:r>
        <w:rPr>
          <w:rFonts w:hint="eastAsia" w:ascii="仿宋" w:hAnsi="仿宋" w:eastAsia="仿宋"/>
          <w:b/>
          <w:sz w:val="28"/>
          <w:szCs w:val="28"/>
        </w:rPr>
        <w:br w:type="page"/>
      </w:r>
      <w:r>
        <w:rPr>
          <w:rFonts w:hint="eastAsia" w:ascii="仿宋" w:hAnsi="仿宋" w:eastAsia="仿宋"/>
          <w:b/>
          <w:sz w:val="28"/>
          <w:szCs w:val="28"/>
        </w:rPr>
        <w:t>序号</w:t>
      </w:r>
      <w:r>
        <w:rPr>
          <w:rFonts w:hint="eastAsia" w:ascii="仿宋" w:hAnsi="仿宋" w:eastAsia="仿宋"/>
          <w:b/>
          <w:sz w:val="28"/>
          <w:szCs w:val="28"/>
          <w:lang w:val="en-US" w:eastAsia="zh-CN"/>
        </w:rPr>
        <w:t>3</w:t>
      </w:r>
      <w:r>
        <w:rPr>
          <w:rFonts w:hint="eastAsia" w:ascii="仿宋" w:hAnsi="仿宋" w:eastAsia="仿宋"/>
          <w:b/>
          <w:sz w:val="28"/>
          <w:szCs w:val="28"/>
        </w:rPr>
        <w:t>：</w:t>
      </w:r>
      <w:bookmarkStart w:id="370" w:name="OLE_LINK1"/>
      <w:r>
        <w:rPr>
          <w:rFonts w:hint="eastAsia" w:ascii="仿宋" w:hAnsi="仿宋" w:eastAsia="仿宋"/>
          <w:b/>
          <w:sz w:val="28"/>
          <w:szCs w:val="28"/>
        </w:rPr>
        <w:t>血液透析制水设备参数</w:t>
      </w:r>
    </w:p>
    <w:p w14:paraId="4F1A2BC0">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1、设备产水水质符合 YY0572-2023 血液透析和相关治疗用水标准</w:t>
      </w:r>
    </w:p>
    <w:p w14:paraId="077D7F0A">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 xml:space="preserve">2、纯水产水量: ≥3000L/H (25℃)，除盐率≥98% </w:t>
      </w:r>
    </w:p>
    <w:p w14:paraId="5C2CF3BF">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 xml:space="preserve">3、内毒素≤0.0015EU/ml、细菌:≤10cfu/ml,自来水回收率≥75% </w:t>
      </w:r>
    </w:p>
    <w:p w14:paraId="2CF1CA21">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4、设备具有原水电导率、一级产水电导率、二级产水电导率、一级浓水流量、二级浓水流量、二级纯水流量等显示屏在线显示，通过电导率能精确判断一级反渗透、二级反渗膜使用情况</w:t>
      </w:r>
    </w:p>
    <w:p w14:paraId="45D74A36">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5、设备具有温度、液位、压力等精确在线监测，显示屏在线显示</w:t>
      </w:r>
    </w:p>
    <w:p w14:paraId="55A29FBC">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6、设备具有多种保护功能能在低压、高压、水质超标、电气故障的情况下自动保护报警，在界面弹图报警提示以及具备报警分析提示功能</w:t>
      </w:r>
    </w:p>
    <w:p w14:paraId="390DAB8E">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7、控制系统采用PLC模块及触摸屏智能控制、自动开关机、延时停机功能</w:t>
      </w:r>
    </w:p>
    <w:p w14:paraId="641666D6">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hint="eastAsia" w:ascii="仿宋" w:hAnsi="仿宋" w:eastAsia="仿宋"/>
          <w:sz w:val="28"/>
          <w:szCs w:val="28"/>
        </w:rPr>
      </w:pPr>
      <w:r>
        <w:rPr>
          <w:rFonts w:hint="eastAsia" w:ascii="仿宋" w:hAnsi="仿宋" w:eastAsia="仿宋"/>
          <w:sz w:val="28"/>
          <w:szCs w:val="28"/>
        </w:rPr>
        <w:t>8、设备采用</w:t>
      </w:r>
      <w:r>
        <w:rPr>
          <w:rFonts w:hint="eastAsia" w:ascii="仿宋" w:hAnsi="仿宋" w:eastAsia="仿宋"/>
          <w:sz w:val="28"/>
          <w:szCs w:val="28"/>
          <w:lang w:val="en-US" w:eastAsia="zh-CN"/>
        </w:rPr>
        <w:t>国内一线</w:t>
      </w:r>
      <w:r>
        <w:rPr>
          <w:rFonts w:hint="eastAsia" w:ascii="仿宋" w:hAnsi="仿宋" w:eastAsia="仿宋"/>
          <w:sz w:val="28"/>
          <w:szCs w:val="28"/>
        </w:rPr>
        <w:t>品牌原水泵（变频）、自动冲洗装置、反渗膜、高压泵等优质部件。全部泵体要求不锈钢材质</w:t>
      </w:r>
    </w:p>
    <w:p w14:paraId="632C8399">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9、预处理系统：</w:t>
      </w:r>
    </w:p>
    <w:p w14:paraId="2DA9E8D1">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（1）预处理系统由多介质过滤器、活性炭过滤器、软化过滤器、保安过滤器组成</w:t>
      </w:r>
    </w:p>
    <w:p w14:paraId="564A2FDA">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（2）多介质过滤器要求：滤料为石英砂，配全自动过滤控制阀，可定时冲洗和反洗</w:t>
      </w:r>
    </w:p>
    <w:p w14:paraId="1BA08B6D">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（3）活性炭过滤器：滤料为优质果壳炭，配全自动过滤控制阀，可定时冲洗和反洗</w:t>
      </w:r>
    </w:p>
    <w:p w14:paraId="0130A729">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（4）软化过滤器：滤料为食品级阳离子树脂，配全自动过滤控制阀，可定时冲洗和反洗</w:t>
      </w:r>
    </w:p>
    <w:p w14:paraId="481F6ABD">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（5）精密过滤器：由5μ</w:t>
      </w:r>
      <w:r>
        <w:rPr>
          <w:rFonts w:hint="eastAsia" w:ascii="仿宋" w:hAnsi="仿宋" w:eastAsia="仿宋"/>
          <w:sz w:val="28"/>
          <w:szCs w:val="28"/>
          <w:lang w:val="en-US" w:eastAsia="zh-CN"/>
        </w:rPr>
        <w:t>m</w:t>
      </w:r>
      <w:r>
        <w:rPr>
          <w:rFonts w:hint="eastAsia" w:ascii="仿宋" w:hAnsi="仿宋" w:eastAsia="仿宋"/>
          <w:sz w:val="28"/>
          <w:szCs w:val="28"/>
        </w:rPr>
        <w:t>精密滤芯组成，材质聚丙烯纤维</w:t>
      </w:r>
    </w:p>
    <w:p w14:paraId="7E5A46FF">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10、水处理在开关机时可以低压快速冲洗反渗透膜，保证水质及延长反渗透膜使用寿命</w:t>
      </w:r>
    </w:p>
    <w:p w14:paraId="1657EC89">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11、系统在待机时每2小时自动启动冲洗一次，冲洗时间可调整</w:t>
      </w:r>
    </w:p>
    <w:p w14:paraId="6A2F3F86">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12、设备具有应急措施，单一级和单二级在设备遇到故障时可以独立运行。同时设备具有应急功能开关，触摸屏模块无法响应时，一键启动设备，PLC每个输出控制端对应继电器手动控制</w:t>
      </w:r>
    </w:p>
    <w:p w14:paraId="481C09C3">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13、自动一键式化学消毒，无需人员值守，消毒时间可调，具有记忆</w:t>
      </w:r>
      <w:r>
        <w:rPr>
          <w:rFonts w:hint="eastAsia" w:ascii="仿宋" w:hAnsi="仿宋" w:eastAsia="仿宋"/>
          <w:sz w:val="28"/>
          <w:szCs w:val="28"/>
          <w:lang w:val="en-US" w:eastAsia="zh-CN"/>
        </w:rPr>
        <w:t>功能</w:t>
      </w:r>
      <w:r>
        <w:rPr>
          <w:rFonts w:hint="eastAsia" w:ascii="仿宋" w:hAnsi="仿宋" w:eastAsia="仿宋"/>
          <w:sz w:val="28"/>
          <w:szCs w:val="28"/>
        </w:rPr>
        <w:t>。消毒过程中有紧急终止功能。消毒完成自动运行冲洗，水处理整机一二级无死角进行化学消毒</w:t>
      </w:r>
    </w:p>
    <w:p w14:paraId="61772667">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14、盐箱材质具有耐热、耐腐蚀性、耐碱、耐酸、耐盐液等多种有机溶液腐蚀且不易产生水垢</w:t>
      </w:r>
    </w:p>
    <w:p w14:paraId="4D7F0AF9">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15、进水阀采用电机驱动电动阀、可手动紧急控制</w:t>
      </w:r>
    </w:p>
    <w:p w14:paraId="05429BEF">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16、反渗透膜壳采用不锈钢无死腔设计，串联安装技术</w:t>
      </w:r>
    </w:p>
    <w:p w14:paraId="56AA8A0E">
      <w:pPr>
        <w:keepNext w:val="0"/>
        <w:keepLines w:val="0"/>
        <w:pageBreakBefore w:val="0"/>
        <w:widowControl w:val="0"/>
        <w:kinsoku/>
        <w:wordWrap/>
        <w:overflowPunct/>
        <w:topLinePunct w:val="0"/>
        <w:autoSpaceDE/>
        <w:autoSpaceDN/>
        <w:bidi w:val="0"/>
        <w:adjustRightInd/>
        <w:snapToGrid/>
        <w:spacing w:line="480" w:lineRule="exact"/>
        <w:ind w:firstLine="560" w:firstLineChars="200"/>
        <w:contextualSpacing/>
        <w:textAlignment w:val="auto"/>
        <w:rPr>
          <w:rFonts w:ascii="仿宋" w:hAnsi="仿宋" w:eastAsia="仿宋"/>
          <w:sz w:val="28"/>
          <w:szCs w:val="28"/>
        </w:rPr>
      </w:pPr>
      <w:r>
        <w:rPr>
          <w:rFonts w:hint="eastAsia" w:ascii="仿宋" w:hAnsi="仿宋" w:eastAsia="仿宋"/>
          <w:sz w:val="28"/>
          <w:szCs w:val="28"/>
        </w:rPr>
        <w:t>17、水处理设备带有漏水保护器，当水处理设备出现漏水时自动关闭进水阀</w:t>
      </w:r>
      <w:bookmarkEnd w:id="370"/>
    </w:p>
    <w:p w14:paraId="1CD14AFA">
      <w:pPr>
        <w:pStyle w:val="33"/>
        <w:shd w:val="clear" w:color="auto" w:fill="auto"/>
        <w:rPr>
          <w:rFonts w:ascii="Times New Roman" w:hAnsi="Times New Roman" w:eastAsia="仿宋_GB2312"/>
          <w:color w:val="auto"/>
          <w:highlight w:val="none"/>
        </w:rPr>
      </w:pPr>
      <w:r>
        <w:rPr>
          <w:rFonts w:ascii="Times New Roman" w:hAnsi="Times New Roman" w:eastAsia="仿宋_GB2312"/>
          <w:color w:val="auto"/>
          <w:highlight w:val="none"/>
        </w:rPr>
        <w:br w:type="page"/>
      </w:r>
      <w:r>
        <w:rPr>
          <w:rFonts w:ascii="Times New Roman" w:hAnsi="Times New Roman" w:eastAsia="仿宋_GB2312"/>
          <w:color w:val="auto"/>
          <w:highlight w:val="none"/>
        </w:rPr>
        <w:t>第六章  投标文件格式</w:t>
      </w:r>
      <w:bookmarkEnd w:id="338"/>
      <w:bookmarkEnd w:id="339"/>
      <w:bookmarkEnd w:id="340"/>
      <w:bookmarkEnd w:id="341"/>
      <w:bookmarkEnd w:id="342"/>
      <w:bookmarkEnd w:id="369"/>
    </w:p>
    <w:p w14:paraId="6FDFAA5F">
      <w:pPr>
        <w:shd w:val="clear" w:color="auto" w:fill="auto"/>
        <w:tabs>
          <w:tab w:val="left" w:pos="1152"/>
        </w:tabs>
        <w:jc w:val="both"/>
        <w:outlineLvl w:val="9"/>
        <w:rPr>
          <w:rFonts w:hint="eastAsia" w:ascii="宋体" w:hAnsi="宋体" w:cs="宋体"/>
          <w:b/>
          <w:bCs/>
          <w:color w:val="auto"/>
          <w:sz w:val="30"/>
          <w:szCs w:val="30"/>
          <w:highlight w:val="none"/>
          <w:lang w:val="zh-CN"/>
        </w:rPr>
      </w:pPr>
    </w:p>
    <w:p w14:paraId="6BC684C5">
      <w:pPr>
        <w:shd w:val="clear" w:color="auto" w:fill="auto"/>
        <w:rPr>
          <w:rFonts w:hint="eastAsia" w:ascii="宋体" w:hAnsi="宋体" w:cs="宋体"/>
          <w:b/>
          <w:bCs/>
          <w:color w:val="auto"/>
          <w:sz w:val="30"/>
          <w:szCs w:val="30"/>
          <w:highlight w:val="none"/>
          <w:lang w:val="zh-CN"/>
        </w:rPr>
      </w:pPr>
    </w:p>
    <w:p w14:paraId="299904F1">
      <w:pPr>
        <w:pStyle w:val="7"/>
        <w:shd w:val="clear" w:color="auto" w:fill="auto"/>
        <w:rPr>
          <w:rFonts w:hint="eastAsia" w:ascii="宋体" w:hAnsi="宋体" w:cs="宋体"/>
          <w:b/>
          <w:bCs/>
          <w:color w:val="auto"/>
          <w:sz w:val="30"/>
          <w:szCs w:val="30"/>
          <w:highlight w:val="none"/>
          <w:lang w:val="zh-CN"/>
        </w:rPr>
      </w:pPr>
    </w:p>
    <w:p w14:paraId="0A97F42D">
      <w:pPr>
        <w:pStyle w:val="7"/>
        <w:shd w:val="clear" w:color="auto" w:fill="auto"/>
        <w:rPr>
          <w:rFonts w:hint="eastAsia" w:ascii="宋体" w:hAnsi="宋体" w:cs="宋体"/>
          <w:b/>
          <w:bCs/>
          <w:color w:val="auto"/>
          <w:sz w:val="30"/>
          <w:szCs w:val="30"/>
          <w:highlight w:val="none"/>
          <w:lang w:val="zh-CN"/>
        </w:rPr>
      </w:pPr>
    </w:p>
    <w:p w14:paraId="48D6806C">
      <w:pPr>
        <w:pStyle w:val="7"/>
        <w:shd w:val="clear" w:color="auto" w:fill="auto"/>
        <w:rPr>
          <w:rFonts w:hint="eastAsia" w:ascii="宋体" w:hAnsi="宋体" w:cs="宋体"/>
          <w:b/>
          <w:bCs/>
          <w:color w:val="auto"/>
          <w:sz w:val="30"/>
          <w:szCs w:val="30"/>
          <w:highlight w:val="none"/>
          <w:lang w:val="zh-CN"/>
        </w:rPr>
      </w:pPr>
    </w:p>
    <w:p w14:paraId="1C49F4EA">
      <w:pPr>
        <w:pStyle w:val="7"/>
        <w:shd w:val="clear" w:color="auto" w:fill="auto"/>
        <w:rPr>
          <w:rFonts w:hint="eastAsia" w:ascii="宋体" w:hAnsi="宋体" w:cs="宋体"/>
          <w:b/>
          <w:bCs/>
          <w:color w:val="auto"/>
          <w:sz w:val="30"/>
          <w:szCs w:val="30"/>
          <w:highlight w:val="none"/>
          <w:lang w:val="zh-CN"/>
        </w:rPr>
      </w:pPr>
    </w:p>
    <w:p w14:paraId="45B51122">
      <w:pPr>
        <w:pStyle w:val="7"/>
        <w:shd w:val="clear" w:color="auto" w:fill="auto"/>
        <w:rPr>
          <w:rFonts w:hint="eastAsia" w:ascii="宋体" w:hAnsi="宋体" w:cs="宋体"/>
          <w:b/>
          <w:bCs/>
          <w:color w:val="auto"/>
          <w:sz w:val="30"/>
          <w:szCs w:val="30"/>
          <w:highlight w:val="none"/>
          <w:lang w:val="zh-CN"/>
        </w:rPr>
      </w:pPr>
    </w:p>
    <w:p w14:paraId="660AE206">
      <w:pPr>
        <w:pStyle w:val="7"/>
        <w:shd w:val="clear" w:color="auto" w:fill="auto"/>
        <w:rPr>
          <w:rFonts w:hint="eastAsia" w:ascii="宋体" w:hAnsi="宋体" w:cs="宋体"/>
          <w:b/>
          <w:bCs/>
          <w:color w:val="auto"/>
          <w:sz w:val="30"/>
          <w:szCs w:val="30"/>
          <w:highlight w:val="none"/>
          <w:lang w:val="zh-CN"/>
        </w:rPr>
      </w:pPr>
    </w:p>
    <w:p w14:paraId="615F3DAF">
      <w:pPr>
        <w:pStyle w:val="7"/>
        <w:shd w:val="clear" w:color="auto" w:fill="auto"/>
        <w:rPr>
          <w:rFonts w:hint="eastAsia" w:ascii="宋体" w:hAnsi="宋体" w:cs="宋体"/>
          <w:b/>
          <w:bCs/>
          <w:color w:val="auto"/>
          <w:sz w:val="30"/>
          <w:szCs w:val="30"/>
          <w:highlight w:val="none"/>
          <w:lang w:val="zh-CN"/>
        </w:rPr>
      </w:pPr>
    </w:p>
    <w:p w14:paraId="155D1B60">
      <w:pPr>
        <w:pStyle w:val="7"/>
        <w:shd w:val="clear" w:color="auto" w:fill="auto"/>
        <w:rPr>
          <w:rFonts w:hint="eastAsia" w:ascii="宋体" w:hAnsi="宋体" w:cs="宋体"/>
          <w:b/>
          <w:bCs/>
          <w:color w:val="auto"/>
          <w:sz w:val="30"/>
          <w:szCs w:val="30"/>
          <w:highlight w:val="none"/>
          <w:lang w:val="zh-CN"/>
        </w:rPr>
      </w:pPr>
    </w:p>
    <w:p w14:paraId="572F2445">
      <w:pPr>
        <w:pStyle w:val="7"/>
        <w:shd w:val="clear" w:color="auto" w:fill="auto"/>
        <w:rPr>
          <w:rFonts w:hint="eastAsia" w:ascii="宋体" w:hAnsi="宋体" w:cs="宋体"/>
          <w:b/>
          <w:bCs/>
          <w:color w:val="auto"/>
          <w:sz w:val="30"/>
          <w:szCs w:val="30"/>
          <w:highlight w:val="none"/>
          <w:lang w:val="zh-CN"/>
        </w:rPr>
      </w:pPr>
    </w:p>
    <w:p w14:paraId="21AA100D">
      <w:pPr>
        <w:pStyle w:val="7"/>
        <w:shd w:val="clear" w:color="auto" w:fill="auto"/>
        <w:rPr>
          <w:rFonts w:hint="eastAsia" w:ascii="宋体" w:hAnsi="宋体" w:cs="宋体"/>
          <w:b/>
          <w:bCs/>
          <w:color w:val="auto"/>
          <w:sz w:val="30"/>
          <w:szCs w:val="30"/>
          <w:highlight w:val="none"/>
          <w:lang w:val="zh-CN"/>
        </w:rPr>
      </w:pPr>
    </w:p>
    <w:p w14:paraId="76A1981A">
      <w:pPr>
        <w:pStyle w:val="7"/>
        <w:shd w:val="clear" w:color="auto" w:fill="auto"/>
        <w:rPr>
          <w:rFonts w:hint="eastAsia" w:ascii="宋体" w:hAnsi="宋体" w:cs="宋体"/>
          <w:b/>
          <w:bCs/>
          <w:color w:val="auto"/>
          <w:sz w:val="30"/>
          <w:szCs w:val="30"/>
          <w:highlight w:val="none"/>
          <w:lang w:val="zh-CN"/>
        </w:rPr>
      </w:pPr>
    </w:p>
    <w:p w14:paraId="2D9F8816">
      <w:pPr>
        <w:pStyle w:val="7"/>
        <w:shd w:val="clear" w:color="auto" w:fill="auto"/>
        <w:rPr>
          <w:rFonts w:hint="eastAsia" w:ascii="宋体" w:hAnsi="宋体" w:cs="宋体"/>
          <w:b/>
          <w:bCs/>
          <w:color w:val="auto"/>
          <w:sz w:val="30"/>
          <w:szCs w:val="30"/>
          <w:highlight w:val="none"/>
          <w:lang w:val="zh-CN"/>
        </w:rPr>
      </w:pPr>
    </w:p>
    <w:p w14:paraId="4D690F9F">
      <w:pPr>
        <w:pStyle w:val="7"/>
        <w:shd w:val="clear" w:color="auto" w:fill="auto"/>
        <w:rPr>
          <w:rFonts w:hint="eastAsia" w:ascii="宋体" w:hAnsi="宋体" w:cs="宋体"/>
          <w:b/>
          <w:bCs/>
          <w:color w:val="auto"/>
          <w:sz w:val="30"/>
          <w:szCs w:val="30"/>
          <w:highlight w:val="none"/>
          <w:lang w:val="zh-CN"/>
        </w:rPr>
      </w:pPr>
    </w:p>
    <w:p w14:paraId="50CF90C7">
      <w:pPr>
        <w:pStyle w:val="7"/>
        <w:shd w:val="clear" w:color="auto" w:fill="auto"/>
        <w:rPr>
          <w:rFonts w:hint="eastAsia" w:ascii="宋体" w:hAnsi="宋体" w:cs="宋体"/>
          <w:b/>
          <w:bCs/>
          <w:color w:val="auto"/>
          <w:sz w:val="30"/>
          <w:szCs w:val="30"/>
          <w:highlight w:val="none"/>
          <w:lang w:val="zh-CN"/>
        </w:rPr>
      </w:pPr>
    </w:p>
    <w:p w14:paraId="1AE829DA">
      <w:pPr>
        <w:pStyle w:val="7"/>
        <w:shd w:val="clear" w:color="auto" w:fill="auto"/>
        <w:rPr>
          <w:rFonts w:hint="eastAsia" w:ascii="宋体" w:hAnsi="宋体" w:cs="宋体"/>
          <w:b/>
          <w:bCs/>
          <w:color w:val="auto"/>
          <w:sz w:val="30"/>
          <w:szCs w:val="30"/>
          <w:highlight w:val="none"/>
          <w:lang w:val="zh-CN"/>
        </w:rPr>
      </w:pPr>
    </w:p>
    <w:p w14:paraId="06E278C8">
      <w:pPr>
        <w:pStyle w:val="7"/>
        <w:shd w:val="clear" w:color="auto" w:fill="auto"/>
        <w:rPr>
          <w:rFonts w:hint="eastAsia" w:ascii="宋体" w:hAnsi="宋体" w:cs="宋体"/>
          <w:b/>
          <w:bCs/>
          <w:color w:val="auto"/>
          <w:sz w:val="30"/>
          <w:szCs w:val="30"/>
          <w:highlight w:val="none"/>
          <w:lang w:val="zh-CN"/>
        </w:rPr>
      </w:pPr>
    </w:p>
    <w:p w14:paraId="49C772E8">
      <w:pPr>
        <w:pStyle w:val="7"/>
        <w:shd w:val="clear" w:color="auto" w:fill="auto"/>
        <w:rPr>
          <w:rFonts w:hint="eastAsia" w:ascii="宋体" w:hAnsi="宋体" w:cs="宋体"/>
          <w:b/>
          <w:bCs/>
          <w:color w:val="auto"/>
          <w:sz w:val="30"/>
          <w:szCs w:val="30"/>
          <w:highlight w:val="none"/>
          <w:lang w:val="zh-CN"/>
        </w:rPr>
      </w:pPr>
    </w:p>
    <w:p w14:paraId="36D232EB">
      <w:pPr>
        <w:pStyle w:val="7"/>
        <w:shd w:val="clear" w:color="auto" w:fill="auto"/>
        <w:rPr>
          <w:rFonts w:hint="eastAsia" w:ascii="宋体" w:hAnsi="宋体" w:cs="宋体"/>
          <w:b/>
          <w:bCs/>
          <w:color w:val="auto"/>
          <w:sz w:val="30"/>
          <w:szCs w:val="30"/>
          <w:highlight w:val="none"/>
          <w:lang w:val="zh-CN"/>
        </w:rPr>
      </w:pPr>
    </w:p>
    <w:p w14:paraId="66982A9A">
      <w:pPr>
        <w:pStyle w:val="7"/>
        <w:shd w:val="clear" w:color="auto" w:fill="auto"/>
        <w:ind w:left="0" w:leftChars="0" w:firstLine="0" w:firstLineChars="0"/>
        <w:rPr>
          <w:rFonts w:hint="eastAsia" w:ascii="宋体" w:hAnsi="宋体" w:cs="宋体"/>
          <w:b/>
          <w:bCs/>
          <w:color w:val="auto"/>
          <w:sz w:val="30"/>
          <w:szCs w:val="30"/>
          <w:highlight w:val="none"/>
          <w:lang w:val="zh-CN"/>
        </w:rPr>
      </w:pPr>
    </w:p>
    <w:p w14:paraId="21D2B067">
      <w:pPr>
        <w:shd w:val="clear" w:color="auto" w:fill="auto"/>
        <w:rPr>
          <w:rFonts w:hint="eastAsia" w:ascii="宋体" w:hAnsi="宋体" w:cs="宋体"/>
          <w:b/>
          <w:bCs/>
          <w:color w:val="auto"/>
          <w:sz w:val="30"/>
          <w:szCs w:val="30"/>
          <w:highlight w:val="none"/>
          <w:lang w:val="zh-CN"/>
        </w:rPr>
      </w:pPr>
      <w:r>
        <w:rPr>
          <w:rFonts w:hint="eastAsia" w:ascii="宋体" w:hAnsi="宋体" w:cs="宋体"/>
          <w:b/>
          <w:bCs/>
          <w:color w:val="auto"/>
          <w:sz w:val="30"/>
          <w:szCs w:val="30"/>
          <w:highlight w:val="none"/>
          <w:lang w:val="zh-CN"/>
        </w:rPr>
        <w:t>政府采购项目</w:t>
      </w:r>
    </w:p>
    <w:p w14:paraId="18D79672">
      <w:pPr>
        <w:shd w:val="clear" w:color="auto" w:fill="auto"/>
        <w:rPr>
          <w:rFonts w:hint="eastAsia" w:ascii="宋体" w:hAnsi="宋体" w:cs="宋体"/>
          <w:b/>
          <w:bCs/>
          <w:color w:val="auto"/>
          <w:sz w:val="30"/>
          <w:szCs w:val="30"/>
          <w:highlight w:val="none"/>
          <w:lang w:val="zh-CN"/>
        </w:rPr>
      </w:pPr>
      <w:r>
        <w:rPr>
          <w:rFonts w:hint="eastAsia" w:ascii="宋体" w:hAnsi="宋体" w:cs="宋体"/>
          <w:b/>
          <w:bCs/>
          <w:color w:val="auto"/>
          <w:sz w:val="30"/>
          <w:szCs w:val="30"/>
          <w:highlight w:val="none"/>
          <w:lang w:val="zh-CN"/>
        </w:rPr>
        <w:t>采购项目编号：</w:t>
      </w:r>
    </w:p>
    <w:p w14:paraId="0F5DCA9B">
      <w:pPr>
        <w:shd w:val="clear" w:color="auto" w:fill="auto"/>
        <w:spacing w:line="240" w:lineRule="atLeast"/>
        <w:ind w:left="1079" w:leftChars="257" w:hanging="540"/>
        <w:jc w:val="center"/>
        <w:rPr>
          <w:rFonts w:eastAsia="仿宋_GB2312"/>
          <w:b/>
          <w:color w:val="auto"/>
          <w:sz w:val="52"/>
          <w:szCs w:val="52"/>
          <w:highlight w:val="none"/>
        </w:rPr>
      </w:pPr>
    </w:p>
    <w:p w14:paraId="0B78C165">
      <w:pPr>
        <w:pStyle w:val="7"/>
        <w:shd w:val="clear" w:color="auto" w:fill="auto"/>
        <w:rPr>
          <w:rFonts w:eastAsia="仿宋_GB2312"/>
          <w:b/>
          <w:color w:val="auto"/>
          <w:sz w:val="52"/>
          <w:szCs w:val="52"/>
          <w:highlight w:val="none"/>
        </w:rPr>
      </w:pPr>
    </w:p>
    <w:p w14:paraId="2037E73A">
      <w:pPr>
        <w:pStyle w:val="7"/>
        <w:shd w:val="clear" w:color="auto" w:fill="auto"/>
        <w:rPr>
          <w:rFonts w:eastAsia="仿宋_GB2312"/>
          <w:b/>
          <w:color w:val="auto"/>
          <w:sz w:val="52"/>
          <w:szCs w:val="52"/>
          <w:highlight w:val="none"/>
        </w:rPr>
      </w:pPr>
    </w:p>
    <w:p w14:paraId="448F351F">
      <w:pPr>
        <w:pStyle w:val="7"/>
        <w:shd w:val="clear" w:color="auto" w:fill="auto"/>
        <w:rPr>
          <w:color w:val="auto"/>
          <w:highlight w:val="none"/>
        </w:rPr>
      </w:pPr>
    </w:p>
    <w:p w14:paraId="22CF4960">
      <w:pPr>
        <w:shd w:val="clear" w:color="auto" w:fill="auto"/>
        <w:autoSpaceDE w:val="0"/>
        <w:autoSpaceDN w:val="0"/>
        <w:adjustRightInd w:val="0"/>
        <w:snapToGrid w:val="0"/>
        <w:spacing w:line="360" w:lineRule="auto"/>
        <w:jc w:val="center"/>
        <w:rPr>
          <w:b/>
          <w:bCs/>
          <w:color w:val="auto"/>
          <w:sz w:val="44"/>
          <w:szCs w:val="44"/>
          <w:highlight w:val="none"/>
          <w:u w:val="single"/>
        </w:rPr>
      </w:pPr>
      <w:r>
        <w:rPr>
          <w:b/>
          <w:bCs/>
          <w:color w:val="auto"/>
          <w:sz w:val="44"/>
          <w:szCs w:val="44"/>
          <w:highlight w:val="none"/>
          <w:u w:val="single"/>
        </w:rPr>
        <w:t>项目名称</w:t>
      </w:r>
    </w:p>
    <w:p w14:paraId="20779B36">
      <w:pPr>
        <w:shd w:val="clear" w:color="auto" w:fill="auto"/>
        <w:tabs>
          <w:tab w:val="left" w:pos="5670"/>
        </w:tabs>
        <w:autoSpaceDE w:val="0"/>
        <w:autoSpaceDN w:val="0"/>
        <w:adjustRightInd w:val="0"/>
        <w:snapToGrid w:val="0"/>
        <w:spacing w:line="360" w:lineRule="auto"/>
        <w:jc w:val="center"/>
        <w:rPr>
          <w:b/>
          <w:bCs/>
          <w:color w:val="auto"/>
          <w:sz w:val="52"/>
          <w:szCs w:val="52"/>
          <w:highlight w:val="none"/>
          <w:lang w:val="zh-CN"/>
        </w:rPr>
      </w:pPr>
      <w:r>
        <w:rPr>
          <w:b/>
          <w:bCs/>
          <w:color w:val="auto"/>
          <w:sz w:val="52"/>
          <w:szCs w:val="52"/>
          <w:highlight w:val="none"/>
          <w:lang w:val="zh-CN"/>
        </w:rPr>
        <w:t>投 标 文 件</w:t>
      </w:r>
    </w:p>
    <w:p w14:paraId="61AA6D8B">
      <w:pPr>
        <w:shd w:val="clear" w:color="auto" w:fill="auto"/>
        <w:spacing w:line="240" w:lineRule="atLeast"/>
        <w:ind w:left="1079" w:leftChars="257" w:hanging="540"/>
        <w:jc w:val="center"/>
        <w:rPr>
          <w:rFonts w:eastAsia="仿宋_GB2312"/>
          <w:b/>
          <w:color w:val="auto"/>
          <w:sz w:val="32"/>
          <w:szCs w:val="32"/>
          <w:highlight w:val="none"/>
        </w:rPr>
      </w:pPr>
    </w:p>
    <w:p w14:paraId="75FD34DB">
      <w:pPr>
        <w:pStyle w:val="7"/>
        <w:shd w:val="clear" w:color="auto" w:fill="auto"/>
        <w:rPr>
          <w:color w:val="auto"/>
          <w:highlight w:val="none"/>
        </w:rPr>
      </w:pPr>
    </w:p>
    <w:p w14:paraId="26F968FF">
      <w:pPr>
        <w:pStyle w:val="7"/>
        <w:shd w:val="clear" w:color="auto" w:fill="auto"/>
        <w:rPr>
          <w:color w:val="auto"/>
          <w:highlight w:val="none"/>
        </w:rPr>
      </w:pPr>
    </w:p>
    <w:p w14:paraId="5E09FFE4">
      <w:pPr>
        <w:shd w:val="clear" w:color="auto" w:fill="auto"/>
        <w:autoSpaceDE w:val="0"/>
        <w:autoSpaceDN w:val="0"/>
        <w:adjustRightInd w:val="0"/>
        <w:snapToGrid w:val="0"/>
        <w:spacing w:line="360" w:lineRule="auto"/>
        <w:jc w:val="center"/>
        <w:rPr>
          <w:rFonts w:eastAsia="黑体"/>
          <w:b/>
          <w:bCs/>
          <w:color w:val="auto"/>
          <w:sz w:val="32"/>
          <w:szCs w:val="32"/>
          <w:highlight w:val="none"/>
        </w:rPr>
      </w:pPr>
    </w:p>
    <w:p w14:paraId="0B7060E7">
      <w:pPr>
        <w:shd w:val="clear" w:color="auto" w:fill="auto"/>
        <w:autoSpaceDE w:val="0"/>
        <w:autoSpaceDN w:val="0"/>
        <w:adjustRightInd w:val="0"/>
        <w:snapToGrid w:val="0"/>
        <w:spacing w:line="360" w:lineRule="auto"/>
        <w:rPr>
          <w:rFonts w:eastAsia="黑体"/>
          <w:color w:val="auto"/>
          <w:sz w:val="30"/>
          <w:szCs w:val="30"/>
          <w:highlight w:val="none"/>
        </w:rPr>
      </w:pPr>
    </w:p>
    <w:p w14:paraId="70EEC53B">
      <w:pPr>
        <w:shd w:val="clear" w:color="auto" w:fill="auto"/>
        <w:autoSpaceDE w:val="0"/>
        <w:autoSpaceDN w:val="0"/>
        <w:adjustRightInd w:val="0"/>
        <w:snapToGrid w:val="0"/>
        <w:spacing w:line="360" w:lineRule="auto"/>
        <w:ind w:firstLine="2560" w:firstLineChars="800"/>
        <w:rPr>
          <w:rFonts w:hint="eastAsia" w:ascii="Times New Roman" w:hAnsi="Times New Roman" w:eastAsia="宋体" w:cs="Times New Roman"/>
          <w:b/>
          <w:bCs/>
          <w:color w:val="auto"/>
          <w:sz w:val="32"/>
          <w:szCs w:val="32"/>
          <w:highlight w:val="none"/>
          <w:lang w:val="en-US" w:eastAsia="zh-CN"/>
        </w:rPr>
      </w:pPr>
      <w:r>
        <w:rPr>
          <w:rFonts w:hint="eastAsia" w:ascii="Times New Roman" w:hAnsi="Times New Roman" w:eastAsia="宋体" w:cs="Times New Roman"/>
          <w:b/>
          <w:bCs/>
          <w:color w:val="auto"/>
          <w:sz w:val="32"/>
          <w:szCs w:val="32"/>
          <w:highlight w:val="none"/>
          <w:lang w:val="en-US" w:eastAsia="zh-CN"/>
        </w:rPr>
        <w:t>包    号：</w:t>
      </w:r>
      <w:r>
        <w:rPr>
          <w:b/>
          <w:bCs/>
          <w:color w:val="auto"/>
          <w:sz w:val="32"/>
          <w:szCs w:val="32"/>
          <w:highlight w:val="none"/>
          <w:u w:val="single"/>
        </w:rPr>
        <w:t xml:space="preserve">                   </w:t>
      </w:r>
    </w:p>
    <w:p w14:paraId="510F873C">
      <w:pPr>
        <w:shd w:val="clear" w:color="auto" w:fill="auto"/>
        <w:autoSpaceDE w:val="0"/>
        <w:autoSpaceDN w:val="0"/>
        <w:adjustRightInd w:val="0"/>
        <w:snapToGrid w:val="0"/>
        <w:spacing w:line="360" w:lineRule="auto"/>
        <w:rPr>
          <w:b/>
          <w:bCs/>
          <w:color w:val="auto"/>
          <w:sz w:val="32"/>
          <w:szCs w:val="32"/>
          <w:highlight w:val="none"/>
          <w:u w:val="single"/>
        </w:rPr>
      </w:pPr>
      <w:r>
        <w:rPr>
          <w:rFonts w:eastAsia="黑体"/>
          <w:color w:val="auto"/>
          <w:sz w:val="30"/>
          <w:szCs w:val="30"/>
          <w:highlight w:val="none"/>
        </w:rPr>
        <w:t xml:space="preserve">                 </w:t>
      </w:r>
      <w:r>
        <w:rPr>
          <w:b/>
          <w:bCs/>
          <w:color w:val="auto"/>
          <w:sz w:val="32"/>
          <w:szCs w:val="32"/>
          <w:highlight w:val="none"/>
          <w:lang w:val="zh-CN"/>
        </w:rPr>
        <w:t>投</w:t>
      </w:r>
      <w:r>
        <w:rPr>
          <w:b/>
          <w:bCs/>
          <w:color w:val="auto"/>
          <w:sz w:val="32"/>
          <w:szCs w:val="32"/>
          <w:highlight w:val="none"/>
        </w:rPr>
        <w:t xml:space="preserve"> </w:t>
      </w:r>
      <w:r>
        <w:rPr>
          <w:b/>
          <w:bCs/>
          <w:color w:val="auto"/>
          <w:sz w:val="32"/>
          <w:szCs w:val="32"/>
          <w:highlight w:val="none"/>
          <w:lang w:val="zh-CN"/>
        </w:rPr>
        <w:t>标</w:t>
      </w:r>
      <w:r>
        <w:rPr>
          <w:b/>
          <w:bCs/>
          <w:color w:val="auto"/>
          <w:sz w:val="32"/>
          <w:szCs w:val="32"/>
          <w:highlight w:val="none"/>
        </w:rPr>
        <w:t xml:space="preserve"> </w:t>
      </w:r>
      <w:r>
        <w:rPr>
          <w:b/>
          <w:bCs/>
          <w:color w:val="auto"/>
          <w:sz w:val="32"/>
          <w:szCs w:val="32"/>
          <w:highlight w:val="none"/>
          <w:lang w:val="zh-CN"/>
        </w:rPr>
        <w:t>人：</w:t>
      </w:r>
      <w:r>
        <w:rPr>
          <w:b/>
          <w:bCs/>
          <w:color w:val="auto"/>
          <w:sz w:val="32"/>
          <w:szCs w:val="32"/>
          <w:highlight w:val="none"/>
          <w:u w:val="single"/>
        </w:rPr>
        <w:t xml:space="preserve">                   </w:t>
      </w:r>
    </w:p>
    <w:p w14:paraId="0B7493F5">
      <w:pPr>
        <w:shd w:val="clear" w:color="auto" w:fill="auto"/>
        <w:autoSpaceDE w:val="0"/>
        <w:autoSpaceDN w:val="0"/>
        <w:adjustRightInd w:val="0"/>
        <w:snapToGrid w:val="0"/>
        <w:spacing w:line="360" w:lineRule="auto"/>
        <w:ind w:firstLine="2560" w:firstLineChars="800"/>
        <w:rPr>
          <w:b/>
          <w:bCs/>
          <w:color w:val="auto"/>
          <w:sz w:val="32"/>
          <w:szCs w:val="32"/>
          <w:highlight w:val="none"/>
        </w:rPr>
      </w:pPr>
      <w:r>
        <w:rPr>
          <w:b/>
          <w:bCs/>
          <w:color w:val="auto"/>
          <w:sz w:val="32"/>
          <w:szCs w:val="32"/>
          <w:highlight w:val="none"/>
          <w:lang w:val="zh-CN"/>
        </w:rPr>
        <w:t>时</w:t>
      </w:r>
      <w:r>
        <w:rPr>
          <w:b/>
          <w:bCs/>
          <w:color w:val="auto"/>
          <w:sz w:val="32"/>
          <w:szCs w:val="32"/>
          <w:highlight w:val="none"/>
        </w:rPr>
        <w:t xml:space="preserve">    </w:t>
      </w:r>
      <w:r>
        <w:rPr>
          <w:b/>
          <w:bCs/>
          <w:color w:val="auto"/>
          <w:sz w:val="32"/>
          <w:szCs w:val="32"/>
          <w:highlight w:val="none"/>
          <w:lang w:val="zh-CN"/>
        </w:rPr>
        <w:t>间：</w:t>
      </w:r>
      <w:r>
        <w:rPr>
          <w:b/>
          <w:bCs/>
          <w:color w:val="auto"/>
          <w:sz w:val="32"/>
          <w:szCs w:val="32"/>
          <w:highlight w:val="none"/>
          <w:u w:val="single"/>
        </w:rPr>
        <w:t xml:space="preserve">                   </w:t>
      </w:r>
    </w:p>
    <w:p w14:paraId="3BC2C3C0">
      <w:pPr>
        <w:shd w:val="clear" w:color="auto" w:fill="auto"/>
        <w:spacing w:line="360" w:lineRule="auto"/>
        <w:ind w:left="735" w:leftChars="350" w:firstLine="120" w:firstLineChars="50"/>
        <w:rPr>
          <w:rFonts w:eastAsia="仿宋_GB2312"/>
          <w:color w:val="auto"/>
          <w:sz w:val="24"/>
          <w:highlight w:val="none"/>
        </w:rPr>
      </w:pPr>
    </w:p>
    <w:p w14:paraId="48AED595">
      <w:pPr>
        <w:shd w:val="clear" w:color="auto" w:fill="auto"/>
        <w:spacing w:line="560" w:lineRule="exact"/>
        <w:ind w:firstLine="640" w:firstLineChars="200"/>
        <w:jc w:val="center"/>
        <w:rPr>
          <w:rFonts w:eastAsia="仿宋"/>
          <w:color w:val="auto"/>
          <w:sz w:val="44"/>
          <w:szCs w:val="44"/>
          <w:highlight w:val="none"/>
        </w:rPr>
      </w:pPr>
      <w:bookmarkStart w:id="371" w:name="_Toc532473494"/>
      <w:bookmarkStart w:id="372" w:name="_Toc18974"/>
      <w:bookmarkStart w:id="373" w:name="_Toc18694"/>
      <w:bookmarkStart w:id="374" w:name="_Toc515647803"/>
      <w:bookmarkStart w:id="375" w:name="_Toc60929126"/>
      <w:bookmarkStart w:id="376" w:name="_Toc62194346"/>
      <w:r>
        <w:rPr>
          <w:rFonts w:ascii="Times New Roman" w:hAnsi="Times New Roman" w:eastAsia="仿宋_GB2312"/>
          <w:color w:val="auto"/>
          <w:sz w:val="32"/>
          <w:szCs w:val="32"/>
          <w:highlight w:val="none"/>
        </w:rPr>
        <w:br w:type="page"/>
      </w:r>
      <w:bookmarkEnd w:id="371"/>
      <w:bookmarkEnd w:id="372"/>
      <w:bookmarkEnd w:id="373"/>
      <w:bookmarkEnd w:id="374"/>
      <w:bookmarkEnd w:id="375"/>
      <w:bookmarkEnd w:id="376"/>
      <w:r>
        <w:rPr>
          <w:rFonts w:eastAsia="仿宋"/>
          <w:color w:val="auto"/>
          <w:sz w:val="44"/>
          <w:szCs w:val="44"/>
          <w:highlight w:val="none"/>
        </w:rPr>
        <w:t>目    录</w:t>
      </w:r>
    </w:p>
    <w:p w14:paraId="7930042F">
      <w:pPr>
        <w:shd w:val="clear" w:color="auto" w:fill="auto"/>
        <w:spacing w:line="560" w:lineRule="exact"/>
        <w:ind w:firstLine="640" w:firstLineChars="200"/>
        <w:rPr>
          <w:rFonts w:eastAsia="仿宋"/>
          <w:color w:val="auto"/>
          <w:sz w:val="32"/>
          <w:szCs w:val="32"/>
          <w:highlight w:val="none"/>
        </w:rPr>
      </w:pPr>
    </w:p>
    <w:p w14:paraId="5A9F5DC3">
      <w:pPr>
        <w:shd w:val="clear" w:color="auto" w:fill="auto"/>
        <w:spacing w:line="360" w:lineRule="auto"/>
        <w:ind w:firstLine="640" w:firstLineChars="200"/>
        <w:jc w:val="left"/>
        <w:rPr>
          <w:rFonts w:eastAsia="仿宋"/>
          <w:color w:val="auto"/>
          <w:sz w:val="32"/>
          <w:szCs w:val="32"/>
          <w:highlight w:val="none"/>
        </w:rPr>
      </w:pPr>
      <w:r>
        <w:rPr>
          <w:rFonts w:eastAsia="仿宋"/>
          <w:color w:val="auto"/>
          <w:sz w:val="32"/>
          <w:szCs w:val="32"/>
          <w:highlight w:val="none"/>
        </w:rPr>
        <w:t>第一部分  投标函</w:t>
      </w:r>
    </w:p>
    <w:p w14:paraId="1D102592">
      <w:pPr>
        <w:shd w:val="clear" w:color="auto" w:fill="auto"/>
        <w:spacing w:line="360" w:lineRule="auto"/>
        <w:ind w:firstLine="640" w:firstLineChars="200"/>
        <w:jc w:val="left"/>
        <w:rPr>
          <w:rFonts w:eastAsia="仿宋"/>
          <w:color w:val="auto"/>
          <w:sz w:val="32"/>
          <w:szCs w:val="32"/>
          <w:highlight w:val="none"/>
        </w:rPr>
      </w:pPr>
      <w:r>
        <w:rPr>
          <w:rFonts w:eastAsia="仿宋"/>
          <w:color w:val="auto"/>
          <w:sz w:val="32"/>
          <w:szCs w:val="32"/>
          <w:highlight w:val="none"/>
        </w:rPr>
        <w:t>第二部分  开标一览表</w:t>
      </w:r>
    </w:p>
    <w:p w14:paraId="6E41C5AE">
      <w:pPr>
        <w:shd w:val="clear" w:color="auto" w:fill="auto"/>
        <w:spacing w:line="360" w:lineRule="auto"/>
        <w:ind w:firstLine="640" w:firstLineChars="200"/>
        <w:jc w:val="left"/>
        <w:rPr>
          <w:rFonts w:eastAsia="仿宋"/>
          <w:color w:val="auto"/>
          <w:sz w:val="32"/>
          <w:szCs w:val="32"/>
          <w:highlight w:val="none"/>
        </w:rPr>
      </w:pPr>
      <w:r>
        <w:rPr>
          <w:rFonts w:eastAsia="仿宋"/>
          <w:color w:val="auto"/>
          <w:sz w:val="32"/>
          <w:szCs w:val="32"/>
          <w:highlight w:val="none"/>
        </w:rPr>
        <w:t>第三部分  资格证明文件</w:t>
      </w:r>
    </w:p>
    <w:p w14:paraId="77EE341E">
      <w:pPr>
        <w:shd w:val="clear" w:color="auto" w:fill="auto"/>
        <w:spacing w:line="360" w:lineRule="auto"/>
        <w:ind w:firstLine="640" w:firstLineChars="200"/>
        <w:jc w:val="left"/>
        <w:rPr>
          <w:rFonts w:eastAsia="仿宋"/>
          <w:color w:val="auto"/>
          <w:sz w:val="32"/>
          <w:szCs w:val="32"/>
          <w:highlight w:val="none"/>
        </w:rPr>
      </w:pPr>
      <w:r>
        <w:rPr>
          <w:rFonts w:eastAsia="仿宋"/>
          <w:color w:val="auto"/>
          <w:sz w:val="32"/>
          <w:szCs w:val="32"/>
          <w:highlight w:val="none"/>
        </w:rPr>
        <w:t>第四部分  投标人概况</w:t>
      </w:r>
    </w:p>
    <w:p w14:paraId="28B58343">
      <w:pPr>
        <w:shd w:val="clear" w:color="auto" w:fill="auto"/>
        <w:spacing w:line="360" w:lineRule="auto"/>
        <w:ind w:firstLine="640" w:firstLineChars="200"/>
        <w:jc w:val="left"/>
        <w:rPr>
          <w:rFonts w:eastAsia="仿宋"/>
          <w:color w:val="auto"/>
          <w:sz w:val="32"/>
          <w:szCs w:val="32"/>
          <w:highlight w:val="none"/>
        </w:rPr>
      </w:pPr>
      <w:r>
        <w:rPr>
          <w:rFonts w:eastAsia="仿宋"/>
          <w:color w:val="auto"/>
          <w:sz w:val="32"/>
          <w:szCs w:val="32"/>
          <w:highlight w:val="none"/>
        </w:rPr>
        <w:t>第五部分  投标人参加政府采购活动承诺书</w:t>
      </w:r>
    </w:p>
    <w:p w14:paraId="60144FE1">
      <w:pPr>
        <w:shd w:val="clear" w:color="auto" w:fill="auto"/>
        <w:spacing w:line="360" w:lineRule="auto"/>
        <w:ind w:firstLine="640" w:firstLineChars="200"/>
        <w:jc w:val="left"/>
        <w:rPr>
          <w:rFonts w:eastAsia="仿宋"/>
          <w:color w:val="auto"/>
          <w:sz w:val="32"/>
          <w:szCs w:val="32"/>
          <w:highlight w:val="none"/>
        </w:rPr>
      </w:pPr>
      <w:r>
        <w:rPr>
          <w:rFonts w:eastAsia="仿宋"/>
          <w:color w:val="auto"/>
          <w:sz w:val="32"/>
          <w:szCs w:val="32"/>
          <w:highlight w:val="none"/>
        </w:rPr>
        <w:t>第六部分  投标方案</w:t>
      </w:r>
    </w:p>
    <w:p w14:paraId="2D31D1A8">
      <w:pPr>
        <w:shd w:val="clear" w:color="auto" w:fill="auto"/>
        <w:ind w:firstLine="0" w:firstLineChars="0"/>
        <w:jc w:val="center"/>
        <w:outlineLvl w:val="9"/>
        <w:rPr>
          <w:rFonts w:ascii="Times New Roman" w:hAnsi="Times New Roman" w:eastAsia="仿宋_GB2312"/>
          <w:color w:val="auto"/>
          <w:sz w:val="32"/>
          <w:szCs w:val="32"/>
          <w:highlight w:val="none"/>
        </w:rPr>
      </w:pPr>
    </w:p>
    <w:p w14:paraId="2C0445F8">
      <w:pPr>
        <w:pStyle w:val="7"/>
        <w:shd w:val="clear" w:color="auto" w:fill="auto"/>
        <w:rPr>
          <w:rFonts w:ascii="Times New Roman" w:hAnsi="Times New Roman" w:eastAsia="仿宋_GB2312"/>
          <w:color w:val="auto"/>
          <w:sz w:val="32"/>
          <w:szCs w:val="32"/>
          <w:highlight w:val="none"/>
        </w:rPr>
      </w:pPr>
    </w:p>
    <w:p w14:paraId="7C583C02">
      <w:pPr>
        <w:pStyle w:val="7"/>
        <w:shd w:val="clear" w:color="auto" w:fill="auto"/>
        <w:rPr>
          <w:rFonts w:ascii="Times New Roman" w:hAnsi="Times New Roman" w:eastAsia="仿宋_GB2312"/>
          <w:color w:val="auto"/>
          <w:sz w:val="32"/>
          <w:szCs w:val="32"/>
          <w:highlight w:val="none"/>
        </w:rPr>
      </w:pPr>
    </w:p>
    <w:p w14:paraId="2E6BE83F">
      <w:pPr>
        <w:pStyle w:val="7"/>
        <w:shd w:val="clear" w:color="auto" w:fill="auto"/>
        <w:rPr>
          <w:rFonts w:ascii="Times New Roman" w:hAnsi="Times New Roman" w:eastAsia="仿宋_GB2312"/>
          <w:color w:val="auto"/>
          <w:sz w:val="32"/>
          <w:szCs w:val="32"/>
          <w:highlight w:val="none"/>
        </w:rPr>
      </w:pPr>
    </w:p>
    <w:p w14:paraId="0D1F8110">
      <w:pPr>
        <w:pStyle w:val="7"/>
        <w:shd w:val="clear" w:color="auto" w:fill="auto"/>
        <w:rPr>
          <w:rFonts w:ascii="Times New Roman" w:hAnsi="Times New Roman" w:eastAsia="仿宋_GB2312"/>
          <w:color w:val="auto"/>
          <w:sz w:val="32"/>
          <w:szCs w:val="32"/>
          <w:highlight w:val="none"/>
        </w:rPr>
      </w:pPr>
    </w:p>
    <w:p w14:paraId="6E22226B">
      <w:pPr>
        <w:pStyle w:val="7"/>
        <w:shd w:val="clear" w:color="auto" w:fill="auto"/>
        <w:rPr>
          <w:rFonts w:ascii="Times New Roman" w:hAnsi="Times New Roman" w:eastAsia="仿宋_GB2312"/>
          <w:color w:val="auto"/>
          <w:sz w:val="32"/>
          <w:szCs w:val="32"/>
          <w:highlight w:val="none"/>
        </w:rPr>
      </w:pPr>
    </w:p>
    <w:p w14:paraId="3BB4248A">
      <w:pPr>
        <w:pStyle w:val="7"/>
        <w:shd w:val="clear" w:color="auto" w:fill="auto"/>
        <w:rPr>
          <w:rFonts w:ascii="Times New Roman" w:hAnsi="Times New Roman" w:eastAsia="仿宋_GB2312"/>
          <w:color w:val="auto"/>
          <w:sz w:val="32"/>
          <w:szCs w:val="32"/>
          <w:highlight w:val="none"/>
        </w:rPr>
      </w:pPr>
    </w:p>
    <w:p w14:paraId="24DC47F7">
      <w:pPr>
        <w:pStyle w:val="7"/>
        <w:shd w:val="clear" w:color="auto" w:fill="auto"/>
        <w:rPr>
          <w:rFonts w:ascii="Times New Roman" w:hAnsi="Times New Roman" w:eastAsia="仿宋_GB2312"/>
          <w:color w:val="auto"/>
          <w:sz w:val="32"/>
          <w:szCs w:val="32"/>
          <w:highlight w:val="none"/>
        </w:rPr>
      </w:pPr>
    </w:p>
    <w:p w14:paraId="17EA213E">
      <w:pPr>
        <w:pStyle w:val="7"/>
        <w:shd w:val="clear" w:color="auto" w:fill="auto"/>
        <w:rPr>
          <w:rFonts w:ascii="Times New Roman" w:hAnsi="Times New Roman" w:eastAsia="仿宋_GB2312"/>
          <w:color w:val="auto"/>
          <w:sz w:val="32"/>
          <w:szCs w:val="32"/>
          <w:highlight w:val="none"/>
        </w:rPr>
      </w:pPr>
    </w:p>
    <w:p w14:paraId="4D8066EB">
      <w:pPr>
        <w:pStyle w:val="7"/>
        <w:shd w:val="clear" w:color="auto" w:fill="auto"/>
        <w:rPr>
          <w:rFonts w:ascii="Times New Roman" w:hAnsi="Times New Roman" w:eastAsia="仿宋_GB2312"/>
          <w:color w:val="auto"/>
          <w:sz w:val="32"/>
          <w:szCs w:val="32"/>
          <w:highlight w:val="none"/>
        </w:rPr>
      </w:pPr>
    </w:p>
    <w:p w14:paraId="3BE1E206">
      <w:pPr>
        <w:pStyle w:val="7"/>
        <w:shd w:val="clear" w:color="auto" w:fill="auto"/>
        <w:rPr>
          <w:rFonts w:ascii="Times New Roman" w:hAnsi="Times New Roman" w:eastAsia="仿宋_GB2312"/>
          <w:color w:val="auto"/>
          <w:sz w:val="32"/>
          <w:szCs w:val="32"/>
          <w:highlight w:val="none"/>
        </w:rPr>
      </w:pPr>
    </w:p>
    <w:p w14:paraId="4D18AA77">
      <w:pPr>
        <w:pStyle w:val="7"/>
        <w:shd w:val="clear" w:color="auto" w:fill="auto"/>
        <w:rPr>
          <w:rFonts w:ascii="Times New Roman" w:hAnsi="Times New Roman" w:eastAsia="仿宋_GB2312"/>
          <w:color w:val="auto"/>
          <w:sz w:val="32"/>
          <w:szCs w:val="32"/>
          <w:highlight w:val="none"/>
        </w:rPr>
      </w:pPr>
    </w:p>
    <w:p w14:paraId="5F2CF05F">
      <w:pPr>
        <w:pStyle w:val="7"/>
        <w:shd w:val="clear" w:color="auto" w:fill="auto"/>
        <w:ind w:left="0" w:leftChars="0" w:firstLine="0" w:firstLineChars="0"/>
        <w:rPr>
          <w:rFonts w:ascii="Times New Roman" w:hAnsi="Times New Roman" w:eastAsia="仿宋_GB2312"/>
          <w:color w:val="auto"/>
          <w:sz w:val="32"/>
          <w:szCs w:val="32"/>
          <w:highlight w:val="none"/>
        </w:rPr>
      </w:pPr>
    </w:p>
    <w:p w14:paraId="7C9F6306">
      <w:pPr>
        <w:pStyle w:val="7"/>
        <w:shd w:val="clear" w:color="auto" w:fill="auto"/>
        <w:ind w:left="0" w:leftChars="0" w:firstLine="0" w:firstLineChars="0"/>
        <w:rPr>
          <w:rFonts w:ascii="Times New Roman" w:hAnsi="Times New Roman" w:eastAsia="仿宋_GB2312"/>
          <w:color w:val="auto"/>
          <w:sz w:val="32"/>
          <w:szCs w:val="32"/>
          <w:highlight w:val="none"/>
        </w:rPr>
      </w:pPr>
    </w:p>
    <w:p w14:paraId="2514CCCE">
      <w:pPr>
        <w:pStyle w:val="7"/>
        <w:numPr>
          <w:ilvl w:val="0"/>
          <w:numId w:val="0"/>
        </w:numPr>
        <w:shd w:val="clear" w:color="auto" w:fill="auto"/>
        <w:ind w:left="0" w:leftChars="0" w:firstLine="0" w:firstLineChars="0"/>
        <w:jc w:val="center"/>
        <w:rPr>
          <w:rFonts w:ascii="Times New Roman" w:hAnsi="Times New Roman" w:eastAsia="仿宋" w:cs="Times New Roman"/>
          <w:b/>
          <w:color w:val="auto"/>
          <w:kern w:val="0"/>
          <w:sz w:val="30"/>
          <w:szCs w:val="20"/>
          <w:highlight w:val="none"/>
          <w:lang w:val="en-US" w:eastAsia="zh-CN" w:bidi="ar-SA"/>
        </w:rPr>
      </w:pPr>
      <w:bookmarkStart w:id="377" w:name="_Toc142559894"/>
      <w:bookmarkStart w:id="378" w:name="_Toc5707"/>
      <w:r>
        <w:rPr>
          <w:rFonts w:hint="eastAsia" w:ascii="Times New Roman" w:hAnsi="Times New Roman" w:eastAsia="仿宋" w:cs="Times New Roman"/>
          <w:b/>
          <w:color w:val="auto"/>
          <w:kern w:val="0"/>
          <w:sz w:val="30"/>
          <w:szCs w:val="20"/>
          <w:highlight w:val="none"/>
          <w:lang w:val="en-US" w:eastAsia="zh-CN" w:bidi="ar-SA"/>
        </w:rPr>
        <w:t>第一部分</w:t>
      </w:r>
      <w:r>
        <w:rPr>
          <w:rFonts w:ascii="Times New Roman" w:hAnsi="Times New Roman" w:eastAsia="仿宋" w:cs="Times New Roman"/>
          <w:b/>
          <w:color w:val="auto"/>
          <w:kern w:val="0"/>
          <w:sz w:val="30"/>
          <w:szCs w:val="20"/>
          <w:highlight w:val="none"/>
          <w:lang w:val="en-US" w:eastAsia="zh-CN" w:bidi="ar-SA"/>
        </w:rPr>
        <w:t>投标函</w:t>
      </w:r>
      <w:bookmarkEnd w:id="377"/>
      <w:bookmarkEnd w:id="378"/>
    </w:p>
    <w:p w14:paraId="57B8054A">
      <w:pPr>
        <w:pStyle w:val="7"/>
        <w:numPr>
          <w:ilvl w:val="0"/>
          <w:numId w:val="0"/>
        </w:numPr>
        <w:shd w:val="clear" w:color="auto" w:fill="auto"/>
        <w:ind w:leftChars="0"/>
        <w:jc w:val="center"/>
        <w:rPr>
          <w:rFonts w:ascii="Times New Roman" w:hAnsi="Times New Roman" w:eastAsia="仿宋" w:cs="Times New Roman"/>
          <w:b/>
          <w:color w:val="auto"/>
          <w:kern w:val="0"/>
          <w:sz w:val="30"/>
          <w:szCs w:val="20"/>
          <w:highlight w:val="none"/>
          <w:lang w:val="en-US" w:eastAsia="zh-CN" w:bidi="ar-SA"/>
        </w:rPr>
      </w:pPr>
    </w:p>
    <w:p w14:paraId="1F01A7B8">
      <w:pPr>
        <w:shd w:val="clear" w:color="auto" w:fill="auto"/>
        <w:tabs>
          <w:tab w:val="left" w:pos="5580"/>
        </w:tabs>
        <w:snapToGrid w:val="0"/>
        <w:spacing w:line="360" w:lineRule="auto"/>
        <w:ind w:left="1080" w:hanging="1080"/>
        <w:rPr>
          <w:rFonts w:eastAsia="仿宋"/>
          <w:color w:val="auto"/>
          <w:sz w:val="24"/>
          <w:highlight w:val="none"/>
        </w:rPr>
      </w:pPr>
      <w:r>
        <w:rPr>
          <w:rFonts w:eastAsia="仿宋"/>
          <w:color w:val="auto"/>
          <w:sz w:val="24"/>
          <w:highlight w:val="none"/>
        </w:rPr>
        <w:t>致：</w:t>
      </w:r>
      <w:r>
        <w:rPr>
          <w:rFonts w:eastAsia="仿宋"/>
          <w:color w:val="auto"/>
          <w:sz w:val="24"/>
          <w:highlight w:val="none"/>
          <w:u w:val="single"/>
        </w:rPr>
        <w:t xml:space="preserve"> （采购人或采购代理机构名称）   </w:t>
      </w:r>
    </w:p>
    <w:p w14:paraId="2C856A5F">
      <w:pPr>
        <w:pStyle w:val="18"/>
        <w:shd w:val="clear" w:color="auto" w:fill="auto"/>
        <w:tabs>
          <w:tab w:val="left" w:pos="5580"/>
        </w:tabs>
        <w:snapToGrid w:val="0"/>
        <w:spacing w:line="360" w:lineRule="auto"/>
        <w:ind w:left="107" w:leftChars="51" w:firstLine="480" w:firstLineChars="200"/>
        <w:rPr>
          <w:rFonts w:ascii="Times New Roman" w:hAnsi="Times New Roman" w:eastAsia="仿宋"/>
          <w:color w:val="auto"/>
          <w:sz w:val="24"/>
          <w:highlight w:val="none"/>
        </w:rPr>
      </w:pPr>
      <w:r>
        <w:rPr>
          <w:rFonts w:ascii="Times New Roman" w:hAnsi="Times New Roman" w:eastAsia="仿宋"/>
          <w:color w:val="auto"/>
          <w:sz w:val="24"/>
          <w:highlight w:val="none"/>
        </w:rPr>
        <w:t>根据贵方(</w:t>
      </w:r>
      <w:r>
        <w:rPr>
          <w:rFonts w:ascii="Times New Roman" w:hAnsi="Times New Roman" w:eastAsia="仿宋"/>
          <w:color w:val="auto"/>
          <w:sz w:val="24"/>
          <w:highlight w:val="none"/>
          <w:u w:val="single"/>
        </w:rPr>
        <w:t>项目名称、采购项目编号</w:t>
      </w:r>
      <w:r>
        <w:rPr>
          <w:rFonts w:ascii="Times New Roman" w:hAnsi="Times New Roman" w:eastAsia="仿宋"/>
          <w:color w:val="auto"/>
          <w:sz w:val="24"/>
          <w:highlight w:val="none"/>
        </w:rPr>
        <w:t>)项目的招标文件，签字代表(</w:t>
      </w:r>
      <w:r>
        <w:rPr>
          <w:rFonts w:ascii="Times New Roman" w:hAnsi="Times New Roman" w:eastAsia="仿宋"/>
          <w:color w:val="auto"/>
          <w:sz w:val="24"/>
          <w:highlight w:val="none"/>
          <w:u w:val="single"/>
        </w:rPr>
        <w:t>姓名、职务</w:t>
      </w:r>
      <w:r>
        <w:rPr>
          <w:rFonts w:ascii="Times New Roman" w:hAnsi="Times New Roman" w:eastAsia="仿宋"/>
          <w:color w:val="auto"/>
          <w:sz w:val="24"/>
          <w:highlight w:val="none"/>
        </w:rPr>
        <w:t>)经正式授权并代表投标人（</w:t>
      </w:r>
      <w:r>
        <w:rPr>
          <w:rFonts w:ascii="Times New Roman" w:hAnsi="Times New Roman" w:eastAsia="仿宋"/>
          <w:color w:val="auto"/>
          <w:sz w:val="24"/>
          <w:highlight w:val="none"/>
          <w:u w:val="single"/>
        </w:rPr>
        <w:t>名称</w:t>
      </w:r>
      <w:r>
        <w:rPr>
          <w:rFonts w:ascii="Times New Roman" w:hAnsi="Times New Roman" w:eastAsia="仿宋"/>
          <w:color w:val="auto"/>
          <w:sz w:val="24"/>
          <w:highlight w:val="none"/>
        </w:rPr>
        <w:t>）提交下述文件电子文档</w:t>
      </w:r>
      <w:r>
        <w:rPr>
          <w:rFonts w:ascii="Times New Roman" w:hAnsi="Times New Roman" w:eastAsia="仿宋"/>
          <w:color w:val="auto"/>
          <w:sz w:val="24"/>
          <w:highlight w:val="none"/>
          <w:u w:val="single"/>
        </w:rPr>
        <w:t xml:space="preserve">    </w:t>
      </w:r>
      <w:r>
        <w:rPr>
          <w:rFonts w:ascii="Times New Roman" w:hAnsi="Times New Roman" w:eastAsia="仿宋"/>
          <w:color w:val="auto"/>
          <w:sz w:val="24"/>
          <w:highlight w:val="none"/>
        </w:rPr>
        <w:t>份。为此，我方郑重声明以下诸点，并负法律责任</w:t>
      </w:r>
      <w:r>
        <w:rPr>
          <w:rFonts w:ascii="Times New Roman" w:hAnsi="Times New Roman" w:eastAsia="仿宋"/>
          <w:color w:val="auto"/>
          <w:sz w:val="24"/>
          <w:szCs w:val="24"/>
          <w:highlight w:val="none"/>
          <w:lang w:val="zh-CN"/>
        </w:rPr>
        <w:t>。</w:t>
      </w:r>
    </w:p>
    <w:p w14:paraId="1C3A231D">
      <w:pPr>
        <w:pStyle w:val="18"/>
        <w:shd w:val="clear" w:color="auto" w:fill="auto"/>
        <w:tabs>
          <w:tab w:val="left" w:pos="720"/>
          <w:tab w:val="left" w:pos="900"/>
        </w:tabs>
        <w:snapToGrid w:val="0"/>
        <w:spacing w:line="360" w:lineRule="auto"/>
        <w:ind w:left="768" w:leftChars="257" w:hanging="229"/>
        <w:rPr>
          <w:rFonts w:ascii="Times New Roman" w:hAnsi="Times New Roman" w:eastAsia="仿宋"/>
          <w:color w:val="auto"/>
          <w:sz w:val="24"/>
          <w:highlight w:val="none"/>
          <w:u w:val="single"/>
        </w:rPr>
      </w:pPr>
      <w:r>
        <w:rPr>
          <w:rFonts w:ascii="Times New Roman" w:hAnsi="Times New Roman" w:eastAsia="仿宋"/>
          <w:color w:val="auto"/>
          <w:sz w:val="24"/>
          <w:highlight w:val="none"/>
        </w:rPr>
        <w:t>（1）按照招标文件的规定，我公司</w:t>
      </w:r>
      <w:r>
        <w:rPr>
          <w:rFonts w:hint="eastAsia" w:ascii="Times New Roman" w:hAnsi="Times New Roman" w:eastAsia="仿宋"/>
          <w:color w:val="auto"/>
          <w:sz w:val="24"/>
          <w:highlight w:val="none"/>
        </w:rPr>
        <w:t>投标总价</w:t>
      </w:r>
      <w:r>
        <w:rPr>
          <w:rFonts w:ascii="Times New Roman" w:hAnsi="Times New Roman" w:eastAsia="仿宋"/>
          <w:color w:val="auto"/>
          <w:sz w:val="24"/>
          <w:highlight w:val="none"/>
        </w:rPr>
        <w:t>为：</w:t>
      </w:r>
      <w:r>
        <w:rPr>
          <w:rFonts w:ascii="Times New Roman" w:hAnsi="Times New Roman" w:eastAsia="仿宋"/>
          <w:color w:val="auto"/>
          <w:sz w:val="24"/>
          <w:highlight w:val="none"/>
          <w:u w:val="single"/>
        </w:rPr>
        <w:t>人民币（大写）　　  元（￥：   元）</w:t>
      </w:r>
      <w:r>
        <w:rPr>
          <w:rFonts w:ascii="Times New Roman" w:hAnsi="Times New Roman" w:eastAsia="仿宋"/>
          <w:color w:val="auto"/>
          <w:sz w:val="24"/>
          <w:highlight w:val="none"/>
        </w:rPr>
        <w:t>。</w:t>
      </w:r>
    </w:p>
    <w:p w14:paraId="2FF37761">
      <w:pPr>
        <w:pStyle w:val="18"/>
        <w:shd w:val="clear" w:color="auto" w:fill="auto"/>
        <w:tabs>
          <w:tab w:val="left" w:pos="5580"/>
        </w:tabs>
        <w:snapToGrid w:val="0"/>
        <w:spacing w:line="360" w:lineRule="auto"/>
        <w:ind w:left="1079" w:leftChars="257" w:hanging="540"/>
        <w:rPr>
          <w:rFonts w:ascii="Times New Roman" w:hAnsi="Times New Roman" w:eastAsia="仿宋"/>
          <w:color w:val="auto"/>
          <w:sz w:val="24"/>
          <w:highlight w:val="none"/>
        </w:rPr>
      </w:pPr>
      <w:r>
        <w:rPr>
          <w:rFonts w:ascii="Times New Roman" w:hAnsi="Times New Roman" w:eastAsia="仿宋"/>
          <w:color w:val="auto"/>
          <w:sz w:val="24"/>
          <w:highlight w:val="none"/>
        </w:rPr>
        <w:t>（2）本投标有效期为自</w:t>
      </w:r>
      <w:r>
        <w:rPr>
          <w:rFonts w:ascii="Times New Roman" w:hAnsi="Times New Roman" w:eastAsia="仿宋"/>
          <w:color w:val="auto"/>
          <w:sz w:val="24"/>
          <w:szCs w:val="24"/>
          <w:highlight w:val="none"/>
        </w:rPr>
        <w:t>投标截止之日起</w:t>
      </w:r>
      <w:r>
        <w:rPr>
          <w:rFonts w:ascii="Times New Roman" w:hAnsi="Times New Roman" w:eastAsia="仿宋"/>
          <w:color w:val="auto"/>
          <w:sz w:val="24"/>
          <w:szCs w:val="24"/>
          <w:highlight w:val="none"/>
          <w:u w:val="single"/>
        </w:rPr>
        <w:t xml:space="preserve">     </w:t>
      </w:r>
      <w:r>
        <w:rPr>
          <w:rFonts w:ascii="Times New Roman" w:hAnsi="Times New Roman" w:eastAsia="仿宋"/>
          <w:color w:val="auto"/>
          <w:sz w:val="24"/>
          <w:szCs w:val="24"/>
          <w:highlight w:val="none"/>
        </w:rPr>
        <w:t>个日历日</w:t>
      </w:r>
      <w:r>
        <w:rPr>
          <w:rFonts w:ascii="Times New Roman" w:hAnsi="Times New Roman" w:eastAsia="仿宋"/>
          <w:color w:val="auto"/>
          <w:sz w:val="24"/>
          <w:szCs w:val="24"/>
          <w:highlight w:val="none"/>
          <w:lang w:val="zh-CN"/>
        </w:rPr>
        <w:t>，若我方中标，投标文件有效期自动延长至合同执行完毕。</w:t>
      </w:r>
    </w:p>
    <w:p w14:paraId="673616E2">
      <w:pPr>
        <w:pStyle w:val="18"/>
        <w:shd w:val="clear" w:color="auto" w:fill="auto"/>
        <w:tabs>
          <w:tab w:val="left" w:pos="5580"/>
        </w:tabs>
        <w:snapToGrid w:val="0"/>
        <w:spacing w:line="360" w:lineRule="auto"/>
        <w:ind w:left="1079" w:leftChars="257" w:hanging="540"/>
        <w:rPr>
          <w:rFonts w:ascii="Times New Roman" w:hAnsi="Times New Roman" w:eastAsia="仿宋"/>
          <w:color w:val="auto"/>
          <w:sz w:val="24"/>
          <w:highlight w:val="none"/>
        </w:rPr>
      </w:pPr>
      <w:r>
        <w:rPr>
          <w:rFonts w:ascii="Times New Roman" w:hAnsi="Times New Roman" w:eastAsia="仿宋"/>
          <w:color w:val="auto"/>
          <w:sz w:val="24"/>
          <w:highlight w:val="none"/>
        </w:rPr>
        <w:t>（3）已详细审查全部招标文件，包括所有补充通知（如果有的话），完全理解并同意放弃对这方面有不明、误解的权利。</w:t>
      </w:r>
    </w:p>
    <w:p w14:paraId="71DE234C">
      <w:pPr>
        <w:pStyle w:val="18"/>
        <w:shd w:val="clear" w:color="auto" w:fill="auto"/>
        <w:tabs>
          <w:tab w:val="left" w:pos="5580"/>
        </w:tabs>
        <w:snapToGrid w:val="0"/>
        <w:spacing w:line="360" w:lineRule="auto"/>
        <w:ind w:left="1079" w:leftChars="257" w:hanging="540"/>
        <w:rPr>
          <w:rFonts w:ascii="Times New Roman" w:hAnsi="Times New Roman" w:eastAsia="仿宋"/>
          <w:color w:val="auto"/>
          <w:sz w:val="24"/>
          <w:highlight w:val="none"/>
        </w:rPr>
      </w:pPr>
      <w:r>
        <w:rPr>
          <w:rFonts w:ascii="Times New Roman" w:hAnsi="Times New Roman" w:eastAsia="仿宋"/>
          <w:color w:val="auto"/>
          <w:sz w:val="24"/>
          <w:highlight w:val="none"/>
        </w:rPr>
        <w:t>（4）按照招标文件的规定，在中标后向贵方一次性支付招标代理费。</w:t>
      </w:r>
    </w:p>
    <w:p w14:paraId="653CF955">
      <w:pPr>
        <w:pStyle w:val="18"/>
        <w:shd w:val="clear" w:color="auto" w:fill="auto"/>
        <w:tabs>
          <w:tab w:val="left" w:pos="5580"/>
        </w:tabs>
        <w:snapToGrid w:val="0"/>
        <w:spacing w:line="360" w:lineRule="auto"/>
        <w:ind w:left="1079" w:leftChars="257" w:hanging="540"/>
        <w:rPr>
          <w:rFonts w:ascii="Times New Roman" w:hAnsi="Times New Roman" w:eastAsia="仿宋"/>
          <w:color w:val="auto"/>
          <w:sz w:val="24"/>
          <w:highlight w:val="none"/>
        </w:rPr>
      </w:pPr>
      <w:r>
        <w:rPr>
          <w:rFonts w:ascii="Times New Roman" w:hAnsi="Times New Roman" w:eastAsia="仿宋"/>
          <w:color w:val="auto"/>
          <w:sz w:val="24"/>
          <w:highlight w:val="none"/>
        </w:rPr>
        <w:t>（5）按照贵方可能的要求，提供与投标有关的一切数据或资料，我们完全理解最低投标报价不作为中标的唯一条件，且尊重评标结论和定标结果。</w:t>
      </w:r>
    </w:p>
    <w:p w14:paraId="64059020">
      <w:pPr>
        <w:pStyle w:val="18"/>
        <w:shd w:val="clear" w:color="auto" w:fill="auto"/>
        <w:tabs>
          <w:tab w:val="left" w:pos="5580"/>
        </w:tabs>
        <w:snapToGrid w:val="0"/>
        <w:spacing w:line="360" w:lineRule="auto"/>
        <w:ind w:left="1079" w:leftChars="257" w:hanging="540"/>
        <w:rPr>
          <w:rFonts w:ascii="Times New Roman" w:hAnsi="Times New Roman" w:eastAsia="仿宋"/>
          <w:color w:val="auto"/>
          <w:sz w:val="24"/>
          <w:highlight w:val="none"/>
        </w:rPr>
      </w:pPr>
      <w:r>
        <w:rPr>
          <w:rFonts w:ascii="Times New Roman" w:hAnsi="Times New Roman" w:eastAsia="仿宋"/>
          <w:color w:val="auto"/>
          <w:sz w:val="24"/>
          <w:highlight w:val="none"/>
        </w:rPr>
        <w:t>（6）完全理解并无条件承担中标后不依法与采购人签订合同的法律后果。</w:t>
      </w:r>
    </w:p>
    <w:p w14:paraId="1E5C019A">
      <w:pPr>
        <w:pStyle w:val="18"/>
        <w:shd w:val="clear" w:color="auto" w:fill="auto"/>
        <w:tabs>
          <w:tab w:val="left" w:pos="5580"/>
        </w:tabs>
        <w:snapToGrid w:val="0"/>
        <w:spacing w:line="360" w:lineRule="auto"/>
        <w:ind w:left="343" w:leftChars="118" w:hanging="96" w:hangingChars="40"/>
        <w:rPr>
          <w:rFonts w:ascii="Times New Roman" w:hAnsi="Times New Roman" w:eastAsia="仿宋"/>
          <w:color w:val="auto"/>
          <w:sz w:val="24"/>
          <w:highlight w:val="none"/>
        </w:rPr>
      </w:pPr>
      <w:r>
        <w:rPr>
          <w:rFonts w:ascii="Times New Roman" w:hAnsi="Times New Roman" w:eastAsia="仿宋"/>
          <w:color w:val="auto"/>
          <w:sz w:val="24"/>
          <w:highlight w:val="none"/>
        </w:rPr>
        <w:t xml:space="preserve">   </w:t>
      </w:r>
    </w:p>
    <w:p w14:paraId="086FEEF9">
      <w:pPr>
        <w:shd w:val="clear" w:color="auto" w:fill="auto"/>
        <w:autoSpaceDE w:val="0"/>
        <w:autoSpaceDN w:val="0"/>
        <w:adjustRightInd w:val="0"/>
        <w:snapToGrid w:val="0"/>
        <w:spacing w:line="360" w:lineRule="auto"/>
        <w:rPr>
          <w:rFonts w:eastAsia="仿宋"/>
          <w:color w:val="auto"/>
          <w:sz w:val="24"/>
          <w:highlight w:val="none"/>
        </w:rPr>
      </w:pPr>
      <w:r>
        <w:rPr>
          <w:rFonts w:eastAsia="仿宋"/>
          <w:color w:val="auto"/>
          <w:sz w:val="24"/>
          <w:highlight w:val="none"/>
        </w:rPr>
        <w:t xml:space="preserve">      </w:t>
      </w:r>
      <w:bookmarkStart w:id="379" w:name="_Toc23473"/>
      <w:bookmarkStart w:id="380" w:name="_Toc1266"/>
      <w:bookmarkStart w:id="381" w:name="_Toc532473506"/>
      <w:r>
        <w:rPr>
          <w:rFonts w:eastAsia="仿宋"/>
          <w:color w:val="auto"/>
          <w:sz w:val="24"/>
          <w:highlight w:val="none"/>
          <w:lang w:val="zh-CN"/>
        </w:rPr>
        <w:t>投标人全称（公章）：</w:t>
      </w:r>
      <w:r>
        <w:rPr>
          <w:rFonts w:eastAsia="仿宋"/>
          <w:color w:val="auto"/>
          <w:sz w:val="24"/>
          <w:highlight w:val="none"/>
        </w:rPr>
        <w:t>__________________________________________</w:t>
      </w:r>
    </w:p>
    <w:p w14:paraId="213FAEB8">
      <w:pPr>
        <w:shd w:val="clear" w:color="auto" w:fill="auto"/>
        <w:autoSpaceDE w:val="0"/>
        <w:autoSpaceDN w:val="0"/>
        <w:adjustRightInd w:val="0"/>
        <w:snapToGrid w:val="0"/>
        <w:spacing w:line="360" w:lineRule="auto"/>
        <w:ind w:firstLine="720" w:firstLineChars="300"/>
        <w:rPr>
          <w:rFonts w:eastAsia="仿宋"/>
          <w:color w:val="auto"/>
          <w:sz w:val="24"/>
          <w:highlight w:val="none"/>
        </w:rPr>
      </w:pPr>
      <w:r>
        <w:rPr>
          <w:rFonts w:eastAsia="仿宋"/>
          <w:color w:val="auto"/>
          <w:sz w:val="24"/>
          <w:highlight w:val="none"/>
          <w:lang w:val="zh-CN"/>
        </w:rPr>
        <w:t>地址：</w:t>
      </w:r>
      <w:r>
        <w:rPr>
          <w:rFonts w:eastAsia="仿宋"/>
          <w:color w:val="auto"/>
          <w:sz w:val="24"/>
          <w:highlight w:val="none"/>
        </w:rPr>
        <w:t>__________________________________________</w:t>
      </w:r>
    </w:p>
    <w:p w14:paraId="08720634">
      <w:pPr>
        <w:shd w:val="clear" w:color="auto" w:fill="auto"/>
        <w:autoSpaceDE w:val="0"/>
        <w:autoSpaceDN w:val="0"/>
        <w:adjustRightInd w:val="0"/>
        <w:snapToGrid w:val="0"/>
        <w:spacing w:line="360" w:lineRule="auto"/>
        <w:ind w:firstLine="720" w:firstLineChars="300"/>
        <w:rPr>
          <w:rFonts w:eastAsia="仿宋"/>
          <w:color w:val="auto"/>
          <w:sz w:val="24"/>
          <w:highlight w:val="none"/>
        </w:rPr>
      </w:pPr>
      <w:r>
        <w:rPr>
          <w:rFonts w:eastAsia="仿宋"/>
          <w:color w:val="auto"/>
          <w:sz w:val="24"/>
          <w:highlight w:val="none"/>
          <w:lang w:val="zh-CN"/>
        </w:rPr>
        <w:t>开户银行：</w:t>
      </w:r>
      <w:r>
        <w:rPr>
          <w:rFonts w:eastAsia="仿宋"/>
          <w:color w:val="auto"/>
          <w:sz w:val="24"/>
          <w:highlight w:val="none"/>
        </w:rPr>
        <w:t>__________________________________________</w:t>
      </w:r>
    </w:p>
    <w:p w14:paraId="784A2A44">
      <w:pPr>
        <w:shd w:val="clear" w:color="auto" w:fill="auto"/>
        <w:autoSpaceDE w:val="0"/>
        <w:autoSpaceDN w:val="0"/>
        <w:adjustRightInd w:val="0"/>
        <w:snapToGrid w:val="0"/>
        <w:spacing w:line="360" w:lineRule="auto"/>
        <w:ind w:firstLine="720" w:firstLineChars="300"/>
        <w:rPr>
          <w:rFonts w:eastAsia="仿宋"/>
          <w:color w:val="auto"/>
          <w:sz w:val="24"/>
          <w:highlight w:val="none"/>
        </w:rPr>
      </w:pPr>
      <w:r>
        <w:rPr>
          <w:rFonts w:eastAsia="仿宋"/>
          <w:color w:val="auto"/>
          <w:sz w:val="24"/>
          <w:highlight w:val="none"/>
          <w:lang w:val="zh-CN"/>
        </w:rPr>
        <w:t>帐号：</w:t>
      </w:r>
      <w:r>
        <w:rPr>
          <w:rFonts w:eastAsia="仿宋"/>
          <w:color w:val="auto"/>
          <w:sz w:val="24"/>
          <w:highlight w:val="none"/>
        </w:rPr>
        <w:t>__________________________________________</w:t>
      </w:r>
    </w:p>
    <w:p w14:paraId="4EE1DF24">
      <w:pPr>
        <w:shd w:val="clear" w:color="auto" w:fill="auto"/>
        <w:autoSpaceDE w:val="0"/>
        <w:autoSpaceDN w:val="0"/>
        <w:adjustRightInd w:val="0"/>
        <w:snapToGrid w:val="0"/>
        <w:spacing w:line="360" w:lineRule="auto"/>
        <w:ind w:firstLine="720" w:firstLineChars="300"/>
        <w:rPr>
          <w:rFonts w:eastAsia="仿宋"/>
          <w:color w:val="auto"/>
          <w:sz w:val="24"/>
          <w:highlight w:val="none"/>
        </w:rPr>
      </w:pPr>
      <w:r>
        <w:rPr>
          <w:rFonts w:eastAsia="仿宋"/>
          <w:color w:val="auto"/>
          <w:sz w:val="24"/>
          <w:highlight w:val="none"/>
          <w:lang w:val="zh-CN"/>
        </w:rPr>
        <w:t>电话：</w:t>
      </w:r>
      <w:r>
        <w:rPr>
          <w:rFonts w:eastAsia="仿宋"/>
          <w:color w:val="auto"/>
          <w:sz w:val="24"/>
          <w:highlight w:val="none"/>
        </w:rPr>
        <w:t>__________________________________________</w:t>
      </w:r>
    </w:p>
    <w:p w14:paraId="0A97B4AE">
      <w:pPr>
        <w:shd w:val="clear" w:color="auto" w:fill="auto"/>
        <w:autoSpaceDE w:val="0"/>
        <w:autoSpaceDN w:val="0"/>
        <w:adjustRightInd w:val="0"/>
        <w:snapToGrid w:val="0"/>
        <w:spacing w:line="360" w:lineRule="auto"/>
        <w:ind w:firstLine="720" w:firstLineChars="300"/>
        <w:rPr>
          <w:rFonts w:eastAsia="仿宋"/>
          <w:color w:val="auto"/>
          <w:sz w:val="24"/>
          <w:highlight w:val="none"/>
        </w:rPr>
      </w:pPr>
      <w:r>
        <w:rPr>
          <w:rFonts w:eastAsia="仿宋"/>
          <w:color w:val="auto"/>
          <w:sz w:val="24"/>
          <w:highlight w:val="none"/>
          <w:lang w:val="zh-CN"/>
        </w:rPr>
        <w:t>法定代表人</w:t>
      </w:r>
      <w:r>
        <w:rPr>
          <w:rFonts w:hint="eastAsia" w:eastAsia="仿宋"/>
          <w:color w:val="auto"/>
          <w:sz w:val="24"/>
          <w:highlight w:val="none"/>
          <w:lang w:val="zh-CN"/>
        </w:rPr>
        <w:t>（或单位负责人）</w:t>
      </w:r>
      <w:r>
        <w:rPr>
          <w:rFonts w:eastAsia="仿宋"/>
          <w:color w:val="auto"/>
          <w:sz w:val="24"/>
          <w:highlight w:val="none"/>
        </w:rPr>
        <w:t>或</w:t>
      </w:r>
      <w:r>
        <w:rPr>
          <w:rFonts w:eastAsia="仿宋"/>
          <w:color w:val="auto"/>
          <w:sz w:val="24"/>
          <w:highlight w:val="none"/>
          <w:lang w:val="zh-CN"/>
        </w:rPr>
        <w:t>授权代表（</w:t>
      </w:r>
      <w:r>
        <w:rPr>
          <w:rFonts w:hint="eastAsia" w:ascii="仿宋" w:hAnsi="仿宋" w:eastAsia="仿宋" w:cs="仿宋"/>
          <w:color w:val="auto"/>
          <w:sz w:val="24"/>
          <w:highlight w:val="none"/>
        </w:rPr>
        <w:t>签字或盖章</w:t>
      </w:r>
      <w:r>
        <w:rPr>
          <w:rFonts w:eastAsia="仿宋"/>
          <w:color w:val="auto"/>
          <w:sz w:val="24"/>
          <w:highlight w:val="none"/>
          <w:lang w:val="zh-CN"/>
        </w:rPr>
        <w:t>）：</w:t>
      </w:r>
      <w:r>
        <w:rPr>
          <w:rFonts w:eastAsia="仿宋"/>
          <w:color w:val="auto"/>
          <w:sz w:val="24"/>
          <w:highlight w:val="none"/>
        </w:rPr>
        <w:t>_____________</w:t>
      </w:r>
    </w:p>
    <w:p w14:paraId="40263899">
      <w:pPr>
        <w:shd w:val="clear" w:color="auto" w:fill="auto"/>
        <w:snapToGrid w:val="0"/>
        <w:spacing w:line="360" w:lineRule="auto"/>
        <w:ind w:firstLine="560"/>
        <w:jc w:val="right"/>
        <w:rPr>
          <w:rFonts w:eastAsia="仿宋"/>
          <w:color w:val="auto"/>
          <w:sz w:val="24"/>
          <w:highlight w:val="none"/>
        </w:rPr>
      </w:pPr>
      <w:r>
        <w:rPr>
          <w:rFonts w:eastAsia="仿宋"/>
          <w:color w:val="auto"/>
          <w:sz w:val="24"/>
          <w:highlight w:val="none"/>
        </w:rPr>
        <w:t xml:space="preserve">                 _____</w:t>
      </w:r>
      <w:r>
        <w:rPr>
          <w:rFonts w:eastAsia="仿宋"/>
          <w:color w:val="auto"/>
          <w:sz w:val="24"/>
          <w:highlight w:val="none"/>
          <w:lang w:val="zh-CN"/>
        </w:rPr>
        <w:t>年</w:t>
      </w:r>
      <w:r>
        <w:rPr>
          <w:rFonts w:eastAsia="仿宋"/>
          <w:color w:val="auto"/>
          <w:sz w:val="24"/>
          <w:highlight w:val="none"/>
        </w:rPr>
        <w:t>_____</w:t>
      </w:r>
      <w:r>
        <w:rPr>
          <w:rFonts w:eastAsia="仿宋"/>
          <w:color w:val="auto"/>
          <w:sz w:val="24"/>
          <w:highlight w:val="none"/>
          <w:lang w:val="zh-CN"/>
        </w:rPr>
        <w:t>月</w:t>
      </w:r>
      <w:r>
        <w:rPr>
          <w:rFonts w:eastAsia="仿宋"/>
          <w:color w:val="auto"/>
          <w:sz w:val="24"/>
          <w:highlight w:val="none"/>
        </w:rPr>
        <w:t>_____</w:t>
      </w:r>
      <w:r>
        <w:rPr>
          <w:rFonts w:eastAsia="仿宋"/>
          <w:color w:val="auto"/>
          <w:sz w:val="24"/>
          <w:highlight w:val="none"/>
          <w:lang w:val="zh-CN"/>
        </w:rPr>
        <w:t>日</w:t>
      </w:r>
      <w:r>
        <w:rPr>
          <w:rFonts w:eastAsia="仿宋"/>
          <w:color w:val="auto"/>
          <w:sz w:val="24"/>
          <w:highlight w:val="none"/>
        </w:rPr>
        <w:t xml:space="preserve"> </w:t>
      </w:r>
      <w:bookmarkEnd w:id="379"/>
      <w:bookmarkEnd w:id="380"/>
      <w:bookmarkEnd w:id="381"/>
      <w:bookmarkStart w:id="382" w:name="_Hlt520356243"/>
      <w:bookmarkEnd w:id="382"/>
      <w:bookmarkStart w:id="383" w:name="_Hlt520355938"/>
      <w:bookmarkEnd w:id="383"/>
    </w:p>
    <w:p w14:paraId="4B00E837">
      <w:pPr>
        <w:pStyle w:val="7"/>
        <w:numPr>
          <w:ilvl w:val="0"/>
          <w:numId w:val="0"/>
        </w:numPr>
        <w:shd w:val="clear" w:color="auto" w:fill="auto"/>
        <w:ind w:leftChars="0"/>
        <w:jc w:val="center"/>
        <w:rPr>
          <w:rFonts w:ascii="Times New Roman" w:hAnsi="Times New Roman" w:eastAsia="仿宋" w:cs="Times New Roman"/>
          <w:b/>
          <w:color w:val="auto"/>
          <w:kern w:val="0"/>
          <w:sz w:val="30"/>
          <w:szCs w:val="20"/>
          <w:highlight w:val="none"/>
          <w:lang w:val="en-US" w:eastAsia="zh-CN" w:bidi="ar-SA"/>
        </w:rPr>
      </w:pPr>
    </w:p>
    <w:p w14:paraId="210758AF">
      <w:pPr>
        <w:pStyle w:val="7"/>
        <w:numPr>
          <w:ilvl w:val="0"/>
          <w:numId w:val="0"/>
        </w:numPr>
        <w:shd w:val="clear" w:color="auto" w:fill="auto"/>
        <w:ind w:leftChars="0"/>
        <w:jc w:val="center"/>
        <w:rPr>
          <w:rFonts w:ascii="Times New Roman" w:hAnsi="Times New Roman" w:eastAsia="仿宋" w:cs="Times New Roman"/>
          <w:b/>
          <w:color w:val="auto"/>
          <w:kern w:val="0"/>
          <w:sz w:val="30"/>
          <w:szCs w:val="20"/>
          <w:highlight w:val="none"/>
          <w:lang w:val="en-US" w:eastAsia="zh-CN" w:bidi="ar-SA"/>
        </w:rPr>
      </w:pPr>
    </w:p>
    <w:p w14:paraId="468E3063">
      <w:pPr>
        <w:pStyle w:val="7"/>
        <w:numPr>
          <w:ilvl w:val="0"/>
          <w:numId w:val="0"/>
        </w:numPr>
        <w:shd w:val="clear" w:color="auto" w:fill="auto"/>
        <w:ind w:leftChars="0"/>
        <w:jc w:val="center"/>
        <w:rPr>
          <w:rFonts w:ascii="Times New Roman" w:hAnsi="Times New Roman" w:eastAsia="仿宋" w:cs="Times New Roman"/>
          <w:b/>
          <w:color w:val="auto"/>
          <w:kern w:val="0"/>
          <w:sz w:val="30"/>
          <w:szCs w:val="20"/>
          <w:highlight w:val="none"/>
          <w:lang w:val="en-US" w:eastAsia="zh-CN" w:bidi="ar-SA"/>
        </w:rPr>
      </w:pPr>
    </w:p>
    <w:p w14:paraId="3936ABBA">
      <w:pPr>
        <w:pStyle w:val="7"/>
        <w:numPr>
          <w:ilvl w:val="0"/>
          <w:numId w:val="0"/>
        </w:numPr>
        <w:shd w:val="clear" w:color="auto" w:fill="auto"/>
        <w:jc w:val="both"/>
        <w:rPr>
          <w:rFonts w:hint="eastAsia" w:ascii="Times New Roman" w:hAnsi="Times New Roman" w:eastAsia="仿宋" w:cs="Times New Roman"/>
          <w:b/>
          <w:color w:val="auto"/>
          <w:kern w:val="0"/>
          <w:sz w:val="30"/>
          <w:szCs w:val="20"/>
          <w:highlight w:val="none"/>
          <w:lang w:val="en-US" w:eastAsia="zh-CN" w:bidi="ar-SA"/>
        </w:rPr>
      </w:pPr>
    </w:p>
    <w:p w14:paraId="06EDA2C3">
      <w:pPr>
        <w:pStyle w:val="7"/>
        <w:numPr>
          <w:ilvl w:val="0"/>
          <w:numId w:val="0"/>
        </w:numPr>
        <w:shd w:val="clear" w:color="auto" w:fill="auto"/>
        <w:jc w:val="center"/>
        <w:rPr>
          <w:rFonts w:hint="eastAsia" w:ascii="Times New Roman" w:hAnsi="Times New Roman" w:eastAsia="仿宋" w:cs="Times New Roman"/>
          <w:b/>
          <w:color w:val="auto"/>
          <w:kern w:val="0"/>
          <w:sz w:val="30"/>
          <w:szCs w:val="20"/>
          <w:highlight w:val="none"/>
          <w:lang w:val="en-US" w:eastAsia="zh-CN" w:bidi="ar-SA"/>
        </w:rPr>
      </w:pPr>
      <w:r>
        <w:rPr>
          <w:rFonts w:hint="eastAsia" w:ascii="Times New Roman" w:hAnsi="Times New Roman" w:eastAsia="仿宋" w:cs="Times New Roman"/>
          <w:b/>
          <w:color w:val="auto"/>
          <w:kern w:val="0"/>
          <w:sz w:val="30"/>
          <w:szCs w:val="20"/>
          <w:highlight w:val="none"/>
          <w:lang w:val="en-US" w:eastAsia="zh-CN" w:bidi="ar-SA"/>
        </w:rPr>
        <w:t>第二部分 开标一览表</w:t>
      </w:r>
    </w:p>
    <w:p w14:paraId="66418EDD">
      <w:pPr>
        <w:pStyle w:val="7"/>
        <w:shd w:val="clear" w:color="auto" w:fill="auto"/>
        <w:tabs>
          <w:tab w:val="left" w:pos="5580"/>
        </w:tabs>
        <w:spacing w:line="360" w:lineRule="auto"/>
        <w:ind w:left="1079" w:leftChars="257" w:hanging="540"/>
        <w:rPr>
          <w:rFonts w:ascii="Times New Roman" w:eastAsia="仿宋_GB2312"/>
          <w:color w:val="auto"/>
          <w:highlight w:val="none"/>
        </w:rPr>
      </w:pPr>
      <w:bookmarkStart w:id="384" w:name="_Hlt520356241"/>
      <w:bookmarkEnd w:id="384"/>
    </w:p>
    <w:p w14:paraId="4637E217">
      <w:pPr>
        <w:shd w:val="clear" w:color="auto" w:fill="auto"/>
        <w:tabs>
          <w:tab w:val="left" w:pos="1800"/>
          <w:tab w:val="left" w:pos="5580"/>
        </w:tabs>
        <w:spacing w:line="360" w:lineRule="auto"/>
        <w:ind w:left="1079" w:leftChars="257" w:right="-867" w:rightChars="-413" w:hanging="540"/>
        <w:rPr>
          <w:rFonts w:eastAsia="仿宋_GB2312"/>
          <w:color w:val="auto"/>
          <w:sz w:val="24"/>
          <w:highlight w:val="none"/>
        </w:rPr>
      </w:pPr>
      <w:r>
        <w:rPr>
          <w:rFonts w:eastAsia="仿宋_GB2312"/>
          <w:color w:val="auto"/>
          <w:sz w:val="24"/>
          <w:highlight w:val="none"/>
        </w:rPr>
        <w:t>项目名称：　                采购项目编号：</w:t>
      </w:r>
    </w:p>
    <w:p w14:paraId="152D074D">
      <w:pPr>
        <w:shd w:val="clear" w:color="auto" w:fill="auto"/>
        <w:tabs>
          <w:tab w:val="left" w:pos="1800"/>
          <w:tab w:val="left" w:pos="5580"/>
        </w:tabs>
        <w:spacing w:line="360" w:lineRule="auto"/>
        <w:ind w:left="1079" w:leftChars="257" w:right="-867" w:rightChars="-413" w:hanging="540"/>
        <w:rPr>
          <w:rFonts w:eastAsia="仿宋_GB2312"/>
          <w:color w:val="auto"/>
          <w:sz w:val="24"/>
          <w:highlight w:val="none"/>
        </w:rPr>
      </w:pPr>
      <w:r>
        <w:rPr>
          <w:rFonts w:hint="eastAsia" w:eastAsia="仿宋_GB2312"/>
          <w:color w:val="auto"/>
          <w:sz w:val="24"/>
          <w:highlight w:val="none"/>
          <w:lang w:val="en-US" w:eastAsia="zh-CN"/>
        </w:rPr>
        <w:t>包号：</w:t>
      </w:r>
      <w:r>
        <w:rPr>
          <w:rFonts w:eastAsia="仿宋_GB2312"/>
          <w:color w:val="auto"/>
          <w:sz w:val="24"/>
          <w:highlight w:val="none"/>
        </w:rPr>
        <w:t xml:space="preserve"> </w:t>
      </w:r>
    </w:p>
    <w:tbl>
      <w:tblPr>
        <w:tblStyle w:val="36"/>
        <w:tblW w:w="4998" w:type="pct"/>
        <w:jc w:val="center"/>
        <w:tblLayout w:type="autofit"/>
        <w:tblCellMar>
          <w:top w:w="0" w:type="dxa"/>
          <w:left w:w="0" w:type="dxa"/>
          <w:bottom w:w="0" w:type="dxa"/>
          <w:right w:w="0" w:type="dxa"/>
        </w:tblCellMar>
      </w:tblPr>
      <w:tblGrid>
        <w:gridCol w:w="3343"/>
        <w:gridCol w:w="2063"/>
        <w:gridCol w:w="2167"/>
        <w:gridCol w:w="1513"/>
      </w:tblGrid>
      <w:tr w14:paraId="507FBAB4">
        <w:tblPrEx>
          <w:tblCellMar>
            <w:top w:w="0" w:type="dxa"/>
            <w:left w:w="0" w:type="dxa"/>
            <w:bottom w:w="0" w:type="dxa"/>
            <w:right w:w="0" w:type="dxa"/>
          </w:tblCellMar>
        </w:tblPrEx>
        <w:trPr>
          <w:trHeight w:val="662" w:hRule="atLeast"/>
          <w:jc w:val="center"/>
        </w:trPr>
        <w:tc>
          <w:tcPr>
            <w:tcW w:w="1839" w:type="pct"/>
            <w:tcBorders>
              <w:top w:val="single" w:color="auto" w:sz="4" w:space="0"/>
              <w:left w:val="single" w:color="auto" w:sz="8" w:space="0"/>
              <w:bottom w:val="single" w:color="auto" w:sz="8" w:space="0"/>
              <w:right w:val="single" w:color="auto" w:sz="4" w:space="0"/>
            </w:tcBorders>
            <w:noWrap w:val="0"/>
            <w:vAlign w:val="center"/>
          </w:tcPr>
          <w:p w14:paraId="456A572A">
            <w:pPr>
              <w:shd w:val="clear" w:color="auto" w:fill="auto"/>
              <w:tabs>
                <w:tab w:val="left" w:pos="5580"/>
              </w:tabs>
              <w:jc w:val="center"/>
              <w:rPr>
                <w:rFonts w:eastAsia="黑体"/>
                <w:color w:val="auto"/>
                <w:sz w:val="24"/>
                <w:highlight w:val="none"/>
              </w:rPr>
            </w:pPr>
            <w:r>
              <w:rPr>
                <w:rFonts w:hint="eastAsia" w:eastAsia="黑体"/>
                <w:color w:val="auto"/>
                <w:sz w:val="24"/>
                <w:highlight w:val="none"/>
              </w:rPr>
              <w:t>投标总价</w:t>
            </w:r>
            <w:r>
              <w:rPr>
                <w:rFonts w:eastAsia="黑体"/>
                <w:color w:val="auto"/>
                <w:sz w:val="24"/>
                <w:highlight w:val="none"/>
              </w:rPr>
              <w:t>（单位：元）</w:t>
            </w:r>
          </w:p>
        </w:tc>
        <w:tc>
          <w:tcPr>
            <w:tcW w:w="1135" w:type="pct"/>
            <w:tcBorders>
              <w:top w:val="single" w:color="auto" w:sz="8" w:space="0"/>
              <w:left w:val="nil"/>
              <w:bottom w:val="single" w:color="auto" w:sz="8" w:space="0"/>
              <w:right w:val="single" w:color="auto" w:sz="4" w:space="0"/>
            </w:tcBorders>
            <w:noWrap w:val="0"/>
            <w:vAlign w:val="center"/>
          </w:tcPr>
          <w:p w14:paraId="06ED8E3E">
            <w:pPr>
              <w:shd w:val="clear" w:color="auto" w:fill="auto"/>
              <w:tabs>
                <w:tab w:val="left" w:pos="5580"/>
              </w:tabs>
              <w:jc w:val="center"/>
              <w:rPr>
                <w:rFonts w:eastAsia="黑体"/>
                <w:color w:val="auto"/>
                <w:sz w:val="24"/>
                <w:highlight w:val="none"/>
              </w:rPr>
            </w:pPr>
            <w:r>
              <w:rPr>
                <w:rFonts w:eastAsia="黑体"/>
                <w:color w:val="auto"/>
                <w:sz w:val="24"/>
                <w:highlight w:val="none"/>
              </w:rPr>
              <w:t>交货期</w:t>
            </w:r>
          </w:p>
        </w:tc>
        <w:tc>
          <w:tcPr>
            <w:tcW w:w="1192" w:type="pct"/>
            <w:tcBorders>
              <w:top w:val="single" w:color="auto" w:sz="8" w:space="0"/>
              <w:left w:val="nil"/>
              <w:bottom w:val="single" w:color="auto" w:sz="8" w:space="0"/>
              <w:right w:val="single" w:color="auto" w:sz="4" w:space="0"/>
            </w:tcBorders>
            <w:noWrap w:val="0"/>
            <w:vAlign w:val="center"/>
          </w:tcPr>
          <w:p w14:paraId="784FE5E5">
            <w:pPr>
              <w:shd w:val="clear" w:color="auto" w:fill="auto"/>
              <w:tabs>
                <w:tab w:val="left" w:pos="5580"/>
              </w:tabs>
              <w:jc w:val="center"/>
              <w:rPr>
                <w:rFonts w:eastAsia="黑体"/>
                <w:color w:val="auto"/>
                <w:sz w:val="24"/>
                <w:highlight w:val="none"/>
              </w:rPr>
            </w:pPr>
            <w:r>
              <w:rPr>
                <w:rFonts w:eastAsia="黑体"/>
                <w:color w:val="auto"/>
                <w:sz w:val="24"/>
                <w:highlight w:val="none"/>
              </w:rPr>
              <w:t>交货地点</w:t>
            </w:r>
          </w:p>
        </w:tc>
        <w:tc>
          <w:tcPr>
            <w:tcW w:w="832" w:type="pct"/>
            <w:tcBorders>
              <w:top w:val="single" w:color="auto" w:sz="8" w:space="0"/>
              <w:left w:val="single" w:color="auto" w:sz="4" w:space="0"/>
              <w:bottom w:val="single" w:color="auto" w:sz="8" w:space="0"/>
              <w:right w:val="single" w:color="auto" w:sz="8" w:space="0"/>
            </w:tcBorders>
            <w:noWrap w:val="0"/>
            <w:vAlign w:val="center"/>
          </w:tcPr>
          <w:p w14:paraId="384C4297">
            <w:pPr>
              <w:shd w:val="clear" w:color="auto" w:fill="auto"/>
              <w:tabs>
                <w:tab w:val="left" w:pos="5580"/>
              </w:tabs>
              <w:jc w:val="center"/>
              <w:rPr>
                <w:rFonts w:eastAsia="黑体"/>
                <w:color w:val="auto"/>
                <w:sz w:val="24"/>
                <w:highlight w:val="none"/>
              </w:rPr>
            </w:pPr>
            <w:r>
              <w:rPr>
                <w:rFonts w:eastAsia="黑体"/>
                <w:color w:val="auto"/>
                <w:sz w:val="24"/>
                <w:highlight w:val="none"/>
              </w:rPr>
              <w:t>备注</w:t>
            </w:r>
          </w:p>
        </w:tc>
      </w:tr>
      <w:tr w14:paraId="4DA5D562">
        <w:tblPrEx>
          <w:tblCellMar>
            <w:top w:w="0" w:type="dxa"/>
            <w:left w:w="0" w:type="dxa"/>
            <w:bottom w:w="0" w:type="dxa"/>
            <w:right w:w="0" w:type="dxa"/>
          </w:tblCellMar>
        </w:tblPrEx>
        <w:trPr>
          <w:cantSplit/>
          <w:trHeight w:val="1640" w:hRule="atLeast"/>
          <w:jc w:val="center"/>
        </w:trPr>
        <w:tc>
          <w:tcPr>
            <w:tcW w:w="1839" w:type="pct"/>
            <w:tcBorders>
              <w:top w:val="single" w:color="auto" w:sz="8" w:space="0"/>
              <w:left w:val="single" w:color="auto" w:sz="8" w:space="0"/>
              <w:bottom w:val="single" w:color="auto" w:sz="4" w:space="0"/>
              <w:right w:val="single" w:color="auto" w:sz="4" w:space="0"/>
            </w:tcBorders>
            <w:noWrap w:val="0"/>
            <w:vAlign w:val="center"/>
          </w:tcPr>
          <w:p w14:paraId="292D3EF7">
            <w:pPr>
              <w:shd w:val="clear" w:color="auto" w:fill="auto"/>
              <w:tabs>
                <w:tab w:val="left" w:pos="5580"/>
              </w:tabs>
              <w:spacing w:line="360" w:lineRule="auto"/>
              <w:jc w:val="left"/>
              <w:rPr>
                <w:rFonts w:eastAsia="仿宋_GB2312"/>
                <w:color w:val="auto"/>
                <w:sz w:val="24"/>
                <w:highlight w:val="none"/>
              </w:rPr>
            </w:pPr>
            <w:r>
              <w:rPr>
                <w:rFonts w:eastAsia="仿宋_GB2312"/>
                <w:color w:val="auto"/>
                <w:sz w:val="24"/>
                <w:highlight w:val="none"/>
              </w:rPr>
              <w:t>大写：</w:t>
            </w:r>
          </w:p>
          <w:p w14:paraId="53F7FC26">
            <w:pPr>
              <w:shd w:val="clear" w:color="auto" w:fill="auto"/>
              <w:tabs>
                <w:tab w:val="left" w:pos="5580"/>
              </w:tabs>
              <w:spacing w:line="360" w:lineRule="auto"/>
              <w:jc w:val="left"/>
              <w:rPr>
                <w:rFonts w:eastAsia="仿宋_GB2312"/>
                <w:color w:val="auto"/>
                <w:sz w:val="24"/>
                <w:highlight w:val="none"/>
              </w:rPr>
            </w:pPr>
            <w:r>
              <w:rPr>
                <w:rFonts w:eastAsia="仿宋_GB2312"/>
                <w:color w:val="auto"/>
                <w:sz w:val="24"/>
                <w:highlight w:val="none"/>
              </w:rPr>
              <w:t>小写：</w:t>
            </w:r>
          </w:p>
        </w:tc>
        <w:tc>
          <w:tcPr>
            <w:tcW w:w="1135" w:type="pct"/>
            <w:tcBorders>
              <w:top w:val="single" w:color="auto" w:sz="8" w:space="0"/>
              <w:left w:val="nil"/>
              <w:bottom w:val="single" w:color="auto" w:sz="4" w:space="0"/>
              <w:right w:val="single" w:color="auto" w:sz="4" w:space="0"/>
            </w:tcBorders>
            <w:noWrap w:val="0"/>
            <w:vAlign w:val="center"/>
          </w:tcPr>
          <w:p w14:paraId="69AEF07C">
            <w:pPr>
              <w:shd w:val="clear" w:color="auto" w:fill="auto"/>
              <w:tabs>
                <w:tab w:val="left" w:pos="5580"/>
              </w:tabs>
              <w:spacing w:line="360" w:lineRule="auto"/>
              <w:ind w:left="1079" w:leftChars="257" w:hanging="540"/>
              <w:jc w:val="center"/>
              <w:rPr>
                <w:rFonts w:eastAsia="仿宋_GB2312"/>
                <w:color w:val="auto"/>
                <w:sz w:val="24"/>
                <w:highlight w:val="none"/>
              </w:rPr>
            </w:pPr>
          </w:p>
        </w:tc>
        <w:tc>
          <w:tcPr>
            <w:tcW w:w="1192" w:type="pct"/>
            <w:tcBorders>
              <w:top w:val="single" w:color="auto" w:sz="8" w:space="0"/>
              <w:left w:val="nil"/>
              <w:bottom w:val="single" w:color="auto" w:sz="4" w:space="0"/>
              <w:right w:val="single" w:color="auto" w:sz="4" w:space="0"/>
            </w:tcBorders>
            <w:noWrap w:val="0"/>
            <w:vAlign w:val="center"/>
          </w:tcPr>
          <w:p w14:paraId="1FE81A5D">
            <w:pPr>
              <w:shd w:val="clear" w:color="auto" w:fill="auto"/>
              <w:tabs>
                <w:tab w:val="left" w:pos="5580"/>
              </w:tabs>
              <w:spacing w:line="360" w:lineRule="auto"/>
              <w:ind w:left="1079" w:leftChars="257" w:hanging="540"/>
              <w:jc w:val="center"/>
              <w:rPr>
                <w:rFonts w:eastAsia="仿宋_GB2312"/>
                <w:color w:val="auto"/>
                <w:sz w:val="24"/>
                <w:highlight w:val="none"/>
              </w:rPr>
            </w:pPr>
          </w:p>
        </w:tc>
        <w:tc>
          <w:tcPr>
            <w:tcW w:w="832" w:type="pct"/>
            <w:tcBorders>
              <w:top w:val="single" w:color="auto" w:sz="8" w:space="0"/>
              <w:left w:val="single" w:color="auto" w:sz="4" w:space="0"/>
              <w:bottom w:val="single" w:color="auto" w:sz="4" w:space="0"/>
              <w:right w:val="single" w:color="auto" w:sz="8" w:space="0"/>
            </w:tcBorders>
            <w:noWrap w:val="0"/>
            <w:vAlign w:val="center"/>
          </w:tcPr>
          <w:p w14:paraId="5E79D26C">
            <w:pPr>
              <w:shd w:val="clear" w:color="auto" w:fill="auto"/>
              <w:tabs>
                <w:tab w:val="left" w:pos="5580"/>
              </w:tabs>
              <w:spacing w:line="360" w:lineRule="auto"/>
              <w:ind w:left="1079" w:leftChars="257" w:hanging="540"/>
              <w:jc w:val="center"/>
              <w:rPr>
                <w:rFonts w:eastAsia="仿宋_GB2312"/>
                <w:color w:val="auto"/>
                <w:sz w:val="24"/>
                <w:highlight w:val="none"/>
              </w:rPr>
            </w:pPr>
          </w:p>
        </w:tc>
      </w:tr>
    </w:tbl>
    <w:p w14:paraId="07CEB897">
      <w:pPr>
        <w:pStyle w:val="18"/>
        <w:shd w:val="clear" w:color="auto" w:fill="auto"/>
        <w:tabs>
          <w:tab w:val="left" w:pos="5580"/>
        </w:tabs>
        <w:spacing w:line="360" w:lineRule="auto"/>
        <w:ind w:left="1079" w:leftChars="257" w:hanging="540"/>
        <w:rPr>
          <w:rFonts w:ascii="Times New Roman" w:hAnsi="Times New Roman" w:eastAsia="仿宋_GB2312"/>
          <w:color w:val="auto"/>
          <w:sz w:val="24"/>
          <w:highlight w:val="none"/>
        </w:rPr>
      </w:pPr>
    </w:p>
    <w:p w14:paraId="102DFDC9">
      <w:pPr>
        <w:pStyle w:val="18"/>
        <w:shd w:val="clear" w:color="auto" w:fill="auto"/>
        <w:tabs>
          <w:tab w:val="left" w:pos="5580"/>
        </w:tabs>
        <w:spacing w:line="360" w:lineRule="auto"/>
        <w:ind w:left="1079" w:leftChars="257" w:hanging="540"/>
        <w:rPr>
          <w:rFonts w:ascii="Times New Roman" w:hAnsi="Times New Roman" w:eastAsia="仿宋_GB2312"/>
          <w:color w:val="auto"/>
          <w:sz w:val="24"/>
          <w:highlight w:val="none"/>
          <w:u w:val="single"/>
        </w:rPr>
      </w:pPr>
    </w:p>
    <w:p w14:paraId="1F41C24E">
      <w:pPr>
        <w:shd w:val="clear" w:color="auto" w:fill="auto"/>
        <w:spacing w:line="360" w:lineRule="auto"/>
        <w:ind w:firstLine="1920" w:firstLineChars="800"/>
        <w:rPr>
          <w:rFonts w:eastAsia="仿宋_GB2312"/>
          <w:color w:val="auto"/>
          <w:sz w:val="24"/>
          <w:highlight w:val="none"/>
        </w:rPr>
      </w:pPr>
      <w:r>
        <w:rPr>
          <w:rFonts w:hint="eastAsia" w:eastAsia="仿宋_GB2312"/>
          <w:color w:val="auto"/>
          <w:sz w:val="24"/>
          <w:highlight w:val="none"/>
        </w:rPr>
        <w:t>投标人</w:t>
      </w:r>
      <w:r>
        <w:rPr>
          <w:rFonts w:eastAsia="仿宋_GB2312"/>
          <w:color w:val="auto"/>
          <w:sz w:val="24"/>
          <w:highlight w:val="none"/>
        </w:rPr>
        <w:t>（盖</w:t>
      </w:r>
      <w:r>
        <w:rPr>
          <w:rFonts w:hint="eastAsia" w:eastAsia="仿宋_GB2312"/>
          <w:color w:val="auto"/>
          <w:sz w:val="24"/>
          <w:highlight w:val="none"/>
        </w:rPr>
        <w:t>公</w:t>
      </w:r>
      <w:r>
        <w:rPr>
          <w:rFonts w:eastAsia="仿宋_GB2312"/>
          <w:color w:val="auto"/>
          <w:sz w:val="24"/>
          <w:highlight w:val="none"/>
        </w:rPr>
        <w:t>章）：</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p>
    <w:p w14:paraId="03590F0C">
      <w:pPr>
        <w:shd w:val="clear" w:color="auto" w:fill="auto"/>
        <w:spacing w:line="360" w:lineRule="auto"/>
        <w:ind w:firstLine="1920" w:firstLineChars="800"/>
        <w:rPr>
          <w:rFonts w:eastAsia="仿宋_GB2312"/>
          <w:color w:val="auto"/>
          <w:sz w:val="24"/>
          <w:highlight w:val="none"/>
          <w:u w:val="single"/>
        </w:rPr>
      </w:pPr>
      <w:r>
        <w:rPr>
          <w:rFonts w:eastAsia="仿宋_GB2312"/>
          <w:color w:val="auto"/>
          <w:sz w:val="24"/>
          <w:highlight w:val="none"/>
        </w:rPr>
        <w:t>法定代表人</w:t>
      </w:r>
      <w:r>
        <w:rPr>
          <w:rFonts w:hint="eastAsia" w:eastAsia="仿宋"/>
          <w:color w:val="auto"/>
          <w:sz w:val="24"/>
          <w:highlight w:val="none"/>
          <w:lang w:val="zh-CN"/>
        </w:rPr>
        <w:t>（或单位负责人）</w:t>
      </w:r>
      <w:r>
        <w:rPr>
          <w:rFonts w:eastAsia="仿宋_GB2312"/>
          <w:color w:val="auto"/>
          <w:sz w:val="24"/>
          <w:highlight w:val="none"/>
        </w:rPr>
        <w:t>或授权代表（签字</w:t>
      </w:r>
      <w:r>
        <w:rPr>
          <w:rFonts w:hint="eastAsia" w:eastAsia="仿宋_GB2312"/>
          <w:color w:val="auto"/>
          <w:sz w:val="24"/>
          <w:highlight w:val="none"/>
        </w:rPr>
        <w:t>或盖章</w:t>
      </w:r>
      <w:r>
        <w:rPr>
          <w:rFonts w:eastAsia="仿宋_GB2312"/>
          <w:color w:val="auto"/>
          <w:sz w:val="24"/>
          <w:highlight w:val="none"/>
        </w:rPr>
        <w:t>）：</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r>
        <w:rPr>
          <w:rFonts w:eastAsia="仿宋_GB2312"/>
          <w:color w:val="auto"/>
          <w:sz w:val="24"/>
          <w:highlight w:val="none"/>
          <w:u w:val="single"/>
        </w:rPr>
        <w:t xml:space="preserve">   </w:t>
      </w:r>
    </w:p>
    <w:p w14:paraId="2BB29905">
      <w:pPr>
        <w:pStyle w:val="18"/>
        <w:shd w:val="clear" w:color="auto" w:fill="auto"/>
        <w:tabs>
          <w:tab w:val="left" w:pos="5580"/>
        </w:tabs>
        <w:spacing w:line="360" w:lineRule="auto"/>
        <w:ind w:firstLine="1920" w:firstLineChars="800"/>
        <w:rPr>
          <w:rFonts w:ascii="Times New Roman" w:hAnsi="Times New Roman" w:eastAsia="仿宋_GB2312"/>
          <w:color w:val="auto"/>
          <w:sz w:val="24"/>
          <w:highlight w:val="none"/>
        </w:rPr>
      </w:pPr>
      <w:r>
        <w:rPr>
          <w:rFonts w:eastAsia="仿宋_GB2312"/>
          <w:color w:val="auto"/>
          <w:sz w:val="24"/>
          <w:highlight w:val="none"/>
        </w:rPr>
        <w:t>日    期：</w:t>
      </w:r>
      <w:r>
        <w:rPr>
          <w:rFonts w:eastAsia="仿宋_GB2312"/>
          <w:color w:val="auto"/>
          <w:sz w:val="32"/>
          <w:highlight w:val="none"/>
          <w:u w:val="single"/>
        </w:rPr>
        <w:t xml:space="preserve">                      </w:t>
      </w:r>
      <w:r>
        <w:rPr>
          <w:rFonts w:hint="eastAsia" w:eastAsia="仿宋_GB2312"/>
          <w:color w:val="auto"/>
          <w:sz w:val="32"/>
          <w:highlight w:val="none"/>
          <w:u w:val="single"/>
        </w:rPr>
        <w:t xml:space="preserve">     </w:t>
      </w:r>
    </w:p>
    <w:p w14:paraId="1E3E0E50">
      <w:pPr>
        <w:pStyle w:val="18"/>
        <w:shd w:val="clear" w:color="auto" w:fill="auto"/>
        <w:tabs>
          <w:tab w:val="left" w:pos="5580"/>
        </w:tabs>
        <w:spacing w:line="360" w:lineRule="auto"/>
        <w:ind w:left="1079" w:leftChars="257" w:hanging="540"/>
        <w:rPr>
          <w:rFonts w:ascii="Times New Roman" w:hAnsi="Times New Roman" w:eastAsia="仿宋_GB2312"/>
          <w:color w:val="auto"/>
          <w:sz w:val="24"/>
          <w:highlight w:val="none"/>
        </w:rPr>
      </w:pPr>
    </w:p>
    <w:p w14:paraId="68E52BAE">
      <w:pPr>
        <w:pStyle w:val="18"/>
        <w:shd w:val="clear" w:color="auto" w:fill="auto"/>
        <w:tabs>
          <w:tab w:val="left" w:pos="5580"/>
        </w:tabs>
        <w:spacing w:line="360" w:lineRule="auto"/>
        <w:ind w:left="1079" w:leftChars="257" w:hanging="540"/>
        <w:rPr>
          <w:rFonts w:ascii="Times New Roman" w:hAnsi="Times New Roman" w:eastAsia="仿宋_GB2312"/>
          <w:b/>
          <w:color w:val="auto"/>
          <w:sz w:val="24"/>
          <w:highlight w:val="none"/>
        </w:rPr>
      </w:pPr>
      <w:r>
        <w:rPr>
          <w:rFonts w:ascii="Times New Roman" w:hAnsi="Times New Roman" w:eastAsia="仿宋_GB2312"/>
          <w:color w:val="auto"/>
          <w:sz w:val="24"/>
          <w:highlight w:val="none"/>
        </w:rPr>
        <w:t>注</w:t>
      </w:r>
      <w:r>
        <w:rPr>
          <w:rFonts w:hint="eastAsia" w:ascii="Times New Roman" w:hAnsi="Times New Roman" w:eastAsia="仿宋_GB2312"/>
          <w:color w:val="auto"/>
          <w:sz w:val="24"/>
          <w:highlight w:val="none"/>
          <w:lang w:eastAsia="zh-CN"/>
        </w:rPr>
        <w:t>：</w:t>
      </w:r>
      <w:r>
        <w:rPr>
          <w:rFonts w:ascii="Times New Roman" w:hAnsi="Times New Roman" w:eastAsia="仿宋_GB2312"/>
          <w:color w:val="auto"/>
          <w:sz w:val="24"/>
          <w:highlight w:val="none"/>
        </w:rPr>
        <w:t>此表中，投标总价应和投标分项报价表的总价相一致。</w:t>
      </w:r>
    </w:p>
    <w:p w14:paraId="48C2307B">
      <w:pPr>
        <w:pStyle w:val="18"/>
        <w:shd w:val="clear" w:color="auto" w:fill="auto"/>
        <w:spacing w:line="360" w:lineRule="auto"/>
        <w:ind w:firstLine="480" w:firstLineChars="200"/>
        <w:rPr>
          <w:rFonts w:ascii="Times New Roman" w:hAnsi="Times New Roman" w:eastAsia="仿宋_GB2312"/>
          <w:color w:val="auto"/>
          <w:sz w:val="24"/>
          <w:highlight w:val="none"/>
        </w:rPr>
        <w:sectPr>
          <w:footerReference r:id="rId6" w:type="default"/>
          <w:pgSz w:w="11906" w:h="16838"/>
          <w:pgMar w:top="1418" w:right="1418" w:bottom="1418" w:left="1418" w:header="851" w:footer="992" w:gutter="0"/>
          <w:cols w:space="720" w:num="1"/>
          <w:docGrid w:type="linesAndChars" w:linePitch="312" w:charSpace="0"/>
        </w:sectPr>
      </w:pPr>
    </w:p>
    <w:p w14:paraId="3DADBD2C">
      <w:pPr>
        <w:pStyle w:val="6"/>
        <w:shd w:val="clear" w:color="auto" w:fill="auto"/>
        <w:ind w:firstLine="0" w:firstLineChars="0"/>
        <w:jc w:val="center"/>
        <w:rPr>
          <w:rFonts w:ascii="Times New Roman" w:hAnsi="Times New Roman" w:eastAsia="仿宋_GB2312"/>
          <w:color w:val="auto"/>
          <w:sz w:val="32"/>
          <w:szCs w:val="32"/>
          <w:highlight w:val="none"/>
        </w:rPr>
      </w:pPr>
      <w:bookmarkStart w:id="385" w:name="_Toc26505"/>
      <w:r>
        <w:rPr>
          <w:rFonts w:ascii="Times New Roman" w:hAnsi="Times New Roman" w:eastAsia="仿宋_GB2312"/>
          <w:color w:val="auto"/>
          <w:sz w:val="32"/>
          <w:szCs w:val="32"/>
          <w:highlight w:val="none"/>
        </w:rPr>
        <w:t>投标分项报价表</w:t>
      </w:r>
      <w:bookmarkEnd w:id="385"/>
    </w:p>
    <w:p w14:paraId="337B6E10">
      <w:pPr>
        <w:pStyle w:val="14"/>
        <w:shd w:val="clear" w:color="auto" w:fill="auto"/>
        <w:rPr>
          <w:rFonts w:ascii="Times New Roman" w:hAnsi="Times New Roman" w:eastAsia="仿宋_GB2312"/>
          <w:color w:val="auto"/>
          <w:highlight w:val="none"/>
        </w:rPr>
      </w:pPr>
      <w:r>
        <w:rPr>
          <w:rFonts w:ascii="Times New Roman" w:hAnsi="Times New Roman" w:eastAsia="仿宋_GB2312"/>
          <w:color w:val="auto"/>
          <w:highlight w:val="none"/>
        </w:rPr>
        <w:t>项目编号：</w:t>
      </w:r>
    </w:p>
    <w:p w14:paraId="0EAC4A41">
      <w:pPr>
        <w:pStyle w:val="14"/>
        <w:shd w:val="clear" w:color="auto" w:fill="auto"/>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项目名称：</w:t>
      </w:r>
    </w:p>
    <w:p w14:paraId="7A6F1E9A">
      <w:pPr>
        <w:pStyle w:val="14"/>
        <w:shd w:val="clear" w:color="auto" w:fill="auto"/>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包号：</w:t>
      </w:r>
    </w:p>
    <w:p w14:paraId="15F0D28F">
      <w:pPr>
        <w:pStyle w:val="7"/>
        <w:shd w:val="clear" w:color="auto" w:fill="auto"/>
        <w:rPr>
          <w:rFonts w:ascii="Times New Roman"/>
          <w:color w:val="auto"/>
          <w:highlight w:val="none"/>
        </w:rPr>
      </w:pPr>
    </w:p>
    <w:tbl>
      <w:tblPr>
        <w:tblStyle w:val="36"/>
        <w:tblW w:w="90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428"/>
        <w:gridCol w:w="1188"/>
        <w:gridCol w:w="1560"/>
        <w:gridCol w:w="992"/>
        <w:gridCol w:w="1276"/>
        <w:gridCol w:w="1134"/>
        <w:gridCol w:w="708"/>
      </w:tblGrid>
      <w:tr w14:paraId="564E7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3B310C5C">
            <w:pPr>
              <w:shd w:val="clear" w:color="auto" w:fill="auto"/>
              <w:adjustRightInd w:val="0"/>
              <w:snapToGrid w:val="0"/>
              <w:spacing w:line="360" w:lineRule="auto"/>
              <w:jc w:val="center"/>
              <w:rPr>
                <w:rFonts w:eastAsia="黑体"/>
                <w:color w:val="auto"/>
                <w:sz w:val="24"/>
                <w:highlight w:val="none"/>
              </w:rPr>
            </w:pPr>
            <w:r>
              <w:rPr>
                <w:rFonts w:eastAsia="黑体"/>
                <w:color w:val="auto"/>
                <w:sz w:val="24"/>
                <w:highlight w:val="none"/>
              </w:rPr>
              <w:t>序号</w:t>
            </w:r>
          </w:p>
        </w:tc>
        <w:tc>
          <w:tcPr>
            <w:tcW w:w="1428" w:type="dxa"/>
            <w:noWrap w:val="0"/>
            <w:vAlign w:val="center"/>
          </w:tcPr>
          <w:p w14:paraId="78BD3D5C">
            <w:pPr>
              <w:shd w:val="clear" w:color="auto" w:fill="auto"/>
              <w:adjustRightInd w:val="0"/>
              <w:snapToGrid w:val="0"/>
              <w:spacing w:line="360" w:lineRule="auto"/>
              <w:jc w:val="center"/>
              <w:rPr>
                <w:rFonts w:eastAsia="黑体"/>
                <w:color w:val="auto"/>
                <w:sz w:val="24"/>
                <w:highlight w:val="none"/>
              </w:rPr>
            </w:pPr>
            <w:r>
              <w:rPr>
                <w:rFonts w:eastAsia="黑体"/>
                <w:color w:val="auto"/>
                <w:sz w:val="24"/>
                <w:highlight w:val="none"/>
              </w:rPr>
              <w:t>产品</w:t>
            </w:r>
          </w:p>
          <w:p w14:paraId="44214887">
            <w:pPr>
              <w:shd w:val="clear" w:color="auto" w:fill="auto"/>
              <w:adjustRightInd w:val="0"/>
              <w:snapToGrid w:val="0"/>
              <w:spacing w:line="360" w:lineRule="auto"/>
              <w:jc w:val="center"/>
              <w:rPr>
                <w:rFonts w:eastAsia="黑体"/>
                <w:color w:val="auto"/>
                <w:sz w:val="24"/>
                <w:highlight w:val="none"/>
              </w:rPr>
            </w:pPr>
            <w:r>
              <w:rPr>
                <w:rFonts w:eastAsia="黑体"/>
                <w:color w:val="auto"/>
                <w:sz w:val="24"/>
                <w:highlight w:val="none"/>
              </w:rPr>
              <w:t>名称</w:t>
            </w:r>
          </w:p>
        </w:tc>
        <w:tc>
          <w:tcPr>
            <w:tcW w:w="1188" w:type="dxa"/>
            <w:noWrap w:val="0"/>
            <w:vAlign w:val="center"/>
          </w:tcPr>
          <w:p w14:paraId="3EB48E35">
            <w:pPr>
              <w:shd w:val="clear" w:color="auto" w:fill="auto"/>
              <w:adjustRightInd w:val="0"/>
              <w:snapToGrid w:val="0"/>
              <w:spacing w:line="360" w:lineRule="auto"/>
              <w:jc w:val="center"/>
              <w:rPr>
                <w:rFonts w:eastAsia="黑体"/>
                <w:color w:val="auto"/>
                <w:sz w:val="24"/>
                <w:highlight w:val="none"/>
              </w:rPr>
            </w:pPr>
            <w:r>
              <w:rPr>
                <w:rFonts w:eastAsia="黑体"/>
                <w:color w:val="auto"/>
                <w:sz w:val="24"/>
                <w:highlight w:val="none"/>
              </w:rPr>
              <w:t>规格</w:t>
            </w:r>
          </w:p>
          <w:p w14:paraId="7BCF5A2A">
            <w:pPr>
              <w:shd w:val="clear" w:color="auto" w:fill="auto"/>
              <w:adjustRightInd w:val="0"/>
              <w:snapToGrid w:val="0"/>
              <w:spacing w:line="360" w:lineRule="auto"/>
              <w:jc w:val="center"/>
              <w:rPr>
                <w:rFonts w:eastAsia="黑体"/>
                <w:color w:val="auto"/>
                <w:sz w:val="24"/>
                <w:highlight w:val="none"/>
              </w:rPr>
            </w:pPr>
            <w:r>
              <w:rPr>
                <w:rFonts w:eastAsia="黑体"/>
                <w:color w:val="auto"/>
                <w:sz w:val="24"/>
                <w:highlight w:val="none"/>
              </w:rPr>
              <w:t>型号</w:t>
            </w:r>
          </w:p>
        </w:tc>
        <w:tc>
          <w:tcPr>
            <w:tcW w:w="1560" w:type="dxa"/>
            <w:noWrap w:val="0"/>
            <w:vAlign w:val="center"/>
          </w:tcPr>
          <w:p w14:paraId="5B125A12">
            <w:pPr>
              <w:shd w:val="clear" w:color="auto" w:fill="auto"/>
              <w:adjustRightInd w:val="0"/>
              <w:snapToGrid w:val="0"/>
              <w:spacing w:line="360" w:lineRule="auto"/>
              <w:jc w:val="center"/>
              <w:rPr>
                <w:rFonts w:eastAsia="黑体"/>
                <w:color w:val="auto"/>
                <w:sz w:val="24"/>
                <w:highlight w:val="none"/>
              </w:rPr>
            </w:pPr>
            <w:r>
              <w:rPr>
                <w:rFonts w:eastAsia="黑体"/>
                <w:color w:val="auto"/>
                <w:sz w:val="24"/>
                <w:highlight w:val="none"/>
              </w:rPr>
              <w:t>制造</w:t>
            </w:r>
          </w:p>
          <w:p w14:paraId="18B9D012">
            <w:pPr>
              <w:shd w:val="clear" w:color="auto" w:fill="auto"/>
              <w:adjustRightInd w:val="0"/>
              <w:snapToGrid w:val="0"/>
              <w:spacing w:line="360" w:lineRule="auto"/>
              <w:jc w:val="center"/>
              <w:rPr>
                <w:rFonts w:eastAsia="黑体"/>
                <w:color w:val="auto"/>
                <w:sz w:val="24"/>
                <w:highlight w:val="none"/>
              </w:rPr>
            </w:pPr>
            <w:r>
              <w:rPr>
                <w:rFonts w:eastAsia="黑体"/>
                <w:color w:val="auto"/>
                <w:sz w:val="24"/>
                <w:highlight w:val="none"/>
              </w:rPr>
              <w:t>厂家</w:t>
            </w:r>
          </w:p>
        </w:tc>
        <w:tc>
          <w:tcPr>
            <w:tcW w:w="992" w:type="dxa"/>
            <w:noWrap w:val="0"/>
            <w:vAlign w:val="center"/>
          </w:tcPr>
          <w:p w14:paraId="3A7387D0">
            <w:pPr>
              <w:shd w:val="clear" w:color="auto" w:fill="auto"/>
              <w:adjustRightInd w:val="0"/>
              <w:snapToGrid w:val="0"/>
              <w:spacing w:line="360" w:lineRule="auto"/>
              <w:jc w:val="center"/>
              <w:rPr>
                <w:rFonts w:eastAsia="黑体"/>
                <w:color w:val="auto"/>
                <w:sz w:val="24"/>
                <w:highlight w:val="none"/>
              </w:rPr>
            </w:pPr>
            <w:r>
              <w:rPr>
                <w:rFonts w:eastAsia="黑体"/>
                <w:color w:val="auto"/>
                <w:sz w:val="24"/>
                <w:highlight w:val="none"/>
              </w:rPr>
              <w:t>数量</w:t>
            </w:r>
          </w:p>
        </w:tc>
        <w:tc>
          <w:tcPr>
            <w:tcW w:w="1276" w:type="dxa"/>
            <w:noWrap w:val="0"/>
            <w:vAlign w:val="center"/>
          </w:tcPr>
          <w:p w14:paraId="6952F493">
            <w:pPr>
              <w:shd w:val="clear" w:color="auto" w:fill="auto"/>
              <w:adjustRightInd w:val="0"/>
              <w:snapToGrid w:val="0"/>
              <w:spacing w:line="360" w:lineRule="auto"/>
              <w:jc w:val="center"/>
              <w:rPr>
                <w:rFonts w:eastAsia="黑体"/>
                <w:color w:val="auto"/>
                <w:sz w:val="24"/>
                <w:highlight w:val="none"/>
              </w:rPr>
            </w:pPr>
            <w:r>
              <w:rPr>
                <w:rFonts w:eastAsia="黑体"/>
                <w:color w:val="auto"/>
                <w:sz w:val="24"/>
                <w:highlight w:val="none"/>
              </w:rPr>
              <w:t>单价</w:t>
            </w:r>
          </w:p>
        </w:tc>
        <w:tc>
          <w:tcPr>
            <w:tcW w:w="1134" w:type="dxa"/>
            <w:noWrap w:val="0"/>
            <w:vAlign w:val="center"/>
          </w:tcPr>
          <w:p w14:paraId="7D0E3A30">
            <w:pPr>
              <w:shd w:val="clear" w:color="auto" w:fill="auto"/>
              <w:adjustRightInd w:val="0"/>
              <w:snapToGrid w:val="0"/>
              <w:spacing w:line="360" w:lineRule="auto"/>
              <w:jc w:val="center"/>
              <w:rPr>
                <w:rFonts w:eastAsia="黑体"/>
                <w:color w:val="auto"/>
                <w:sz w:val="24"/>
                <w:highlight w:val="none"/>
              </w:rPr>
            </w:pPr>
            <w:r>
              <w:rPr>
                <w:rFonts w:eastAsia="黑体"/>
                <w:color w:val="auto"/>
                <w:sz w:val="24"/>
                <w:highlight w:val="none"/>
              </w:rPr>
              <w:t>小计</w:t>
            </w:r>
          </w:p>
        </w:tc>
        <w:tc>
          <w:tcPr>
            <w:tcW w:w="708" w:type="dxa"/>
            <w:noWrap w:val="0"/>
            <w:vAlign w:val="center"/>
          </w:tcPr>
          <w:p w14:paraId="5EE6AC5B">
            <w:pPr>
              <w:shd w:val="clear" w:color="auto" w:fill="auto"/>
              <w:adjustRightInd w:val="0"/>
              <w:snapToGrid w:val="0"/>
              <w:spacing w:line="360" w:lineRule="auto"/>
              <w:jc w:val="center"/>
              <w:rPr>
                <w:rFonts w:eastAsia="黑体"/>
                <w:color w:val="auto"/>
                <w:sz w:val="24"/>
                <w:highlight w:val="none"/>
              </w:rPr>
            </w:pPr>
            <w:r>
              <w:rPr>
                <w:rFonts w:eastAsia="黑体"/>
                <w:color w:val="auto"/>
                <w:sz w:val="24"/>
                <w:highlight w:val="none"/>
              </w:rPr>
              <w:t>备注</w:t>
            </w:r>
          </w:p>
        </w:tc>
      </w:tr>
      <w:tr w14:paraId="19534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51E274FB">
            <w:pPr>
              <w:shd w:val="clear" w:color="auto" w:fill="auto"/>
              <w:adjustRightInd w:val="0"/>
              <w:snapToGrid w:val="0"/>
              <w:spacing w:line="360" w:lineRule="auto"/>
              <w:rPr>
                <w:rFonts w:eastAsia="仿宋_GB2312"/>
                <w:color w:val="auto"/>
                <w:sz w:val="24"/>
                <w:highlight w:val="none"/>
              </w:rPr>
            </w:pPr>
          </w:p>
        </w:tc>
        <w:tc>
          <w:tcPr>
            <w:tcW w:w="1428" w:type="dxa"/>
            <w:noWrap w:val="0"/>
            <w:vAlign w:val="center"/>
          </w:tcPr>
          <w:p w14:paraId="1D11AFCD">
            <w:pPr>
              <w:shd w:val="clear" w:color="auto" w:fill="auto"/>
              <w:adjustRightInd w:val="0"/>
              <w:snapToGrid w:val="0"/>
              <w:spacing w:line="360" w:lineRule="auto"/>
              <w:rPr>
                <w:rFonts w:eastAsia="仿宋_GB2312"/>
                <w:color w:val="auto"/>
                <w:sz w:val="24"/>
                <w:highlight w:val="none"/>
              </w:rPr>
            </w:pPr>
          </w:p>
        </w:tc>
        <w:tc>
          <w:tcPr>
            <w:tcW w:w="1188" w:type="dxa"/>
            <w:noWrap w:val="0"/>
            <w:vAlign w:val="top"/>
          </w:tcPr>
          <w:p w14:paraId="360B7187">
            <w:pPr>
              <w:shd w:val="clear" w:color="auto" w:fill="auto"/>
              <w:adjustRightInd w:val="0"/>
              <w:snapToGrid w:val="0"/>
              <w:spacing w:line="360" w:lineRule="auto"/>
              <w:rPr>
                <w:rFonts w:eastAsia="仿宋_GB2312"/>
                <w:color w:val="auto"/>
                <w:sz w:val="24"/>
                <w:highlight w:val="none"/>
              </w:rPr>
            </w:pPr>
          </w:p>
        </w:tc>
        <w:tc>
          <w:tcPr>
            <w:tcW w:w="1560" w:type="dxa"/>
            <w:noWrap w:val="0"/>
            <w:vAlign w:val="top"/>
          </w:tcPr>
          <w:p w14:paraId="59EDC7D2">
            <w:pPr>
              <w:shd w:val="clear" w:color="auto" w:fill="auto"/>
              <w:adjustRightInd w:val="0"/>
              <w:snapToGrid w:val="0"/>
              <w:spacing w:line="360" w:lineRule="auto"/>
              <w:rPr>
                <w:rFonts w:eastAsia="仿宋_GB2312"/>
                <w:color w:val="auto"/>
                <w:sz w:val="24"/>
                <w:highlight w:val="none"/>
              </w:rPr>
            </w:pPr>
          </w:p>
        </w:tc>
        <w:tc>
          <w:tcPr>
            <w:tcW w:w="992" w:type="dxa"/>
            <w:noWrap w:val="0"/>
            <w:vAlign w:val="center"/>
          </w:tcPr>
          <w:p w14:paraId="1A033C73">
            <w:pPr>
              <w:shd w:val="clear" w:color="auto" w:fill="auto"/>
              <w:adjustRightInd w:val="0"/>
              <w:snapToGrid w:val="0"/>
              <w:spacing w:line="360" w:lineRule="auto"/>
              <w:rPr>
                <w:rFonts w:eastAsia="仿宋_GB2312"/>
                <w:color w:val="auto"/>
                <w:sz w:val="24"/>
                <w:highlight w:val="none"/>
              </w:rPr>
            </w:pPr>
          </w:p>
        </w:tc>
        <w:tc>
          <w:tcPr>
            <w:tcW w:w="1276" w:type="dxa"/>
            <w:noWrap w:val="0"/>
            <w:vAlign w:val="center"/>
          </w:tcPr>
          <w:p w14:paraId="2A011BEB">
            <w:pPr>
              <w:shd w:val="clear" w:color="auto" w:fill="auto"/>
              <w:adjustRightInd w:val="0"/>
              <w:snapToGrid w:val="0"/>
              <w:spacing w:line="360" w:lineRule="auto"/>
              <w:rPr>
                <w:rFonts w:eastAsia="仿宋_GB2312"/>
                <w:color w:val="auto"/>
                <w:sz w:val="24"/>
                <w:highlight w:val="none"/>
              </w:rPr>
            </w:pPr>
          </w:p>
        </w:tc>
        <w:tc>
          <w:tcPr>
            <w:tcW w:w="1134" w:type="dxa"/>
            <w:noWrap w:val="0"/>
            <w:vAlign w:val="center"/>
          </w:tcPr>
          <w:p w14:paraId="4EA16ADE">
            <w:pPr>
              <w:shd w:val="clear" w:color="auto" w:fill="auto"/>
              <w:adjustRightInd w:val="0"/>
              <w:snapToGrid w:val="0"/>
              <w:spacing w:line="360" w:lineRule="auto"/>
              <w:rPr>
                <w:rFonts w:eastAsia="仿宋_GB2312"/>
                <w:color w:val="auto"/>
                <w:sz w:val="24"/>
                <w:highlight w:val="none"/>
              </w:rPr>
            </w:pPr>
          </w:p>
        </w:tc>
        <w:tc>
          <w:tcPr>
            <w:tcW w:w="708" w:type="dxa"/>
            <w:noWrap w:val="0"/>
            <w:vAlign w:val="center"/>
          </w:tcPr>
          <w:p w14:paraId="0FB3B0DD">
            <w:pPr>
              <w:shd w:val="clear" w:color="auto" w:fill="auto"/>
              <w:adjustRightInd w:val="0"/>
              <w:snapToGrid w:val="0"/>
              <w:spacing w:line="360" w:lineRule="auto"/>
              <w:rPr>
                <w:rFonts w:eastAsia="仿宋_GB2312"/>
                <w:color w:val="auto"/>
                <w:sz w:val="24"/>
                <w:highlight w:val="none"/>
              </w:rPr>
            </w:pPr>
          </w:p>
        </w:tc>
      </w:tr>
      <w:tr w14:paraId="39936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3CA34181">
            <w:pPr>
              <w:shd w:val="clear" w:color="auto" w:fill="auto"/>
              <w:adjustRightInd w:val="0"/>
              <w:snapToGrid w:val="0"/>
              <w:spacing w:line="360" w:lineRule="auto"/>
              <w:rPr>
                <w:rFonts w:eastAsia="仿宋_GB2312"/>
                <w:color w:val="auto"/>
                <w:sz w:val="24"/>
                <w:highlight w:val="none"/>
              </w:rPr>
            </w:pPr>
          </w:p>
        </w:tc>
        <w:tc>
          <w:tcPr>
            <w:tcW w:w="1428" w:type="dxa"/>
            <w:noWrap w:val="0"/>
            <w:vAlign w:val="center"/>
          </w:tcPr>
          <w:p w14:paraId="14B40ED6">
            <w:pPr>
              <w:shd w:val="clear" w:color="auto" w:fill="auto"/>
              <w:adjustRightInd w:val="0"/>
              <w:snapToGrid w:val="0"/>
              <w:spacing w:line="360" w:lineRule="auto"/>
              <w:rPr>
                <w:rFonts w:eastAsia="仿宋_GB2312"/>
                <w:color w:val="auto"/>
                <w:sz w:val="24"/>
                <w:highlight w:val="none"/>
              </w:rPr>
            </w:pPr>
          </w:p>
        </w:tc>
        <w:tc>
          <w:tcPr>
            <w:tcW w:w="1188" w:type="dxa"/>
            <w:noWrap w:val="0"/>
            <w:vAlign w:val="top"/>
          </w:tcPr>
          <w:p w14:paraId="4E1ADA3C">
            <w:pPr>
              <w:shd w:val="clear" w:color="auto" w:fill="auto"/>
              <w:adjustRightInd w:val="0"/>
              <w:snapToGrid w:val="0"/>
              <w:spacing w:line="360" w:lineRule="auto"/>
              <w:rPr>
                <w:rFonts w:eastAsia="仿宋_GB2312"/>
                <w:color w:val="auto"/>
                <w:sz w:val="24"/>
                <w:highlight w:val="none"/>
              </w:rPr>
            </w:pPr>
          </w:p>
        </w:tc>
        <w:tc>
          <w:tcPr>
            <w:tcW w:w="1560" w:type="dxa"/>
            <w:noWrap w:val="0"/>
            <w:vAlign w:val="top"/>
          </w:tcPr>
          <w:p w14:paraId="111554CD">
            <w:pPr>
              <w:shd w:val="clear" w:color="auto" w:fill="auto"/>
              <w:adjustRightInd w:val="0"/>
              <w:snapToGrid w:val="0"/>
              <w:spacing w:line="360" w:lineRule="auto"/>
              <w:rPr>
                <w:rFonts w:eastAsia="仿宋_GB2312"/>
                <w:color w:val="auto"/>
                <w:sz w:val="24"/>
                <w:highlight w:val="none"/>
              </w:rPr>
            </w:pPr>
          </w:p>
        </w:tc>
        <w:tc>
          <w:tcPr>
            <w:tcW w:w="992" w:type="dxa"/>
            <w:noWrap w:val="0"/>
            <w:vAlign w:val="center"/>
          </w:tcPr>
          <w:p w14:paraId="0A1A94D6">
            <w:pPr>
              <w:shd w:val="clear" w:color="auto" w:fill="auto"/>
              <w:adjustRightInd w:val="0"/>
              <w:snapToGrid w:val="0"/>
              <w:spacing w:line="360" w:lineRule="auto"/>
              <w:rPr>
                <w:rFonts w:eastAsia="仿宋_GB2312"/>
                <w:color w:val="auto"/>
                <w:sz w:val="24"/>
                <w:highlight w:val="none"/>
              </w:rPr>
            </w:pPr>
          </w:p>
        </w:tc>
        <w:tc>
          <w:tcPr>
            <w:tcW w:w="1276" w:type="dxa"/>
            <w:noWrap w:val="0"/>
            <w:vAlign w:val="center"/>
          </w:tcPr>
          <w:p w14:paraId="6CD49404">
            <w:pPr>
              <w:shd w:val="clear" w:color="auto" w:fill="auto"/>
              <w:adjustRightInd w:val="0"/>
              <w:snapToGrid w:val="0"/>
              <w:spacing w:line="360" w:lineRule="auto"/>
              <w:rPr>
                <w:rFonts w:eastAsia="仿宋_GB2312"/>
                <w:color w:val="auto"/>
                <w:sz w:val="24"/>
                <w:highlight w:val="none"/>
              </w:rPr>
            </w:pPr>
          </w:p>
        </w:tc>
        <w:tc>
          <w:tcPr>
            <w:tcW w:w="1134" w:type="dxa"/>
            <w:noWrap w:val="0"/>
            <w:vAlign w:val="center"/>
          </w:tcPr>
          <w:p w14:paraId="227C0982">
            <w:pPr>
              <w:shd w:val="clear" w:color="auto" w:fill="auto"/>
              <w:adjustRightInd w:val="0"/>
              <w:snapToGrid w:val="0"/>
              <w:spacing w:line="360" w:lineRule="auto"/>
              <w:rPr>
                <w:rFonts w:eastAsia="仿宋_GB2312"/>
                <w:color w:val="auto"/>
                <w:sz w:val="24"/>
                <w:highlight w:val="none"/>
              </w:rPr>
            </w:pPr>
          </w:p>
        </w:tc>
        <w:tc>
          <w:tcPr>
            <w:tcW w:w="708" w:type="dxa"/>
            <w:noWrap w:val="0"/>
            <w:vAlign w:val="center"/>
          </w:tcPr>
          <w:p w14:paraId="0AD2F598">
            <w:pPr>
              <w:shd w:val="clear" w:color="auto" w:fill="auto"/>
              <w:adjustRightInd w:val="0"/>
              <w:snapToGrid w:val="0"/>
              <w:spacing w:line="360" w:lineRule="auto"/>
              <w:rPr>
                <w:rFonts w:eastAsia="仿宋_GB2312"/>
                <w:color w:val="auto"/>
                <w:sz w:val="24"/>
                <w:highlight w:val="none"/>
              </w:rPr>
            </w:pPr>
          </w:p>
        </w:tc>
      </w:tr>
      <w:tr w14:paraId="38BE9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6DA31864">
            <w:pPr>
              <w:shd w:val="clear" w:color="auto" w:fill="auto"/>
              <w:adjustRightInd w:val="0"/>
              <w:snapToGrid w:val="0"/>
              <w:spacing w:line="360" w:lineRule="auto"/>
              <w:rPr>
                <w:rFonts w:eastAsia="仿宋_GB2312"/>
                <w:color w:val="auto"/>
                <w:sz w:val="24"/>
                <w:highlight w:val="none"/>
              </w:rPr>
            </w:pPr>
          </w:p>
        </w:tc>
        <w:tc>
          <w:tcPr>
            <w:tcW w:w="1428" w:type="dxa"/>
            <w:noWrap w:val="0"/>
            <w:vAlign w:val="center"/>
          </w:tcPr>
          <w:p w14:paraId="373BE29D">
            <w:pPr>
              <w:shd w:val="clear" w:color="auto" w:fill="auto"/>
              <w:adjustRightInd w:val="0"/>
              <w:snapToGrid w:val="0"/>
              <w:spacing w:line="360" w:lineRule="auto"/>
              <w:rPr>
                <w:rFonts w:eastAsia="仿宋_GB2312"/>
                <w:color w:val="auto"/>
                <w:sz w:val="24"/>
                <w:highlight w:val="none"/>
              </w:rPr>
            </w:pPr>
          </w:p>
        </w:tc>
        <w:tc>
          <w:tcPr>
            <w:tcW w:w="1188" w:type="dxa"/>
            <w:noWrap w:val="0"/>
            <w:vAlign w:val="top"/>
          </w:tcPr>
          <w:p w14:paraId="6EFA9C26">
            <w:pPr>
              <w:shd w:val="clear" w:color="auto" w:fill="auto"/>
              <w:adjustRightInd w:val="0"/>
              <w:snapToGrid w:val="0"/>
              <w:spacing w:line="360" w:lineRule="auto"/>
              <w:rPr>
                <w:rFonts w:eastAsia="仿宋_GB2312"/>
                <w:color w:val="auto"/>
                <w:sz w:val="24"/>
                <w:highlight w:val="none"/>
              </w:rPr>
            </w:pPr>
          </w:p>
        </w:tc>
        <w:tc>
          <w:tcPr>
            <w:tcW w:w="1560" w:type="dxa"/>
            <w:noWrap w:val="0"/>
            <w:vAlign w:val="top"/>
          </w:tcPr>
          <w:p w14:paraId="02B78D3D">
            <w:pPr>
              <w:shd w:val="clear" w:color="auto" w:fill="auto"/>
              <w:adjustRightInd w:val="0"/>
              <w:snapToGrid w:val="0"/>
              <w:spacing w:line="360" w:lineRule="auto"/>
              <w:rPr>
                <w:rFonts w:eastAsia="仿宋_GB2312"/>
                <w:color w:val="auto"/>
                <w:sz w:val="24"/>
                <w:highlight w:val="none"/>
              </w:rPr>
            </w:pPr>
          </w:p>
        </w:tc>
        <w:tc>
          <w:tcPr>
            <w:tcW w:w="992" w:type="dxa"/>
            <w:noWrap w:val="0"/>
            <w:vAlign w:val="center"/>
          </w:tcPr>
          <w:p w14:paraId="77CE7A03">
            <w:pPr>
              <w:shd w:val="clear" w:color="auto" w:fill="auto"/>
              <w:adjustRightInd w:val="0"/>
              <w:snapToGrid w:val="0"/>
              <w:spacing w:line="360" w:lineRule="auto"/>
              <w:rPr>
                <w:rFonts w:eastAsia="仿宋_GB2312"/>
                <w:color w:val="auto"/>
                <w:sz w:val="24"/>
                <w:highlight w:val="none"/>
              </w:rPr>
            </w:pPr>
          </w:p>
        </w:tc>
        <w:tc>
          <w:tcPr>
            <w:tcW w:w="1276" w:type="dxa"/>
            <w:noWrap w:val="0"/>
            <w:vAlign w:val="center"/>
          </w:tcPr>
          <w:p w14:paraId="53C78758">
            <w:pPr>
              <w:shd w:val="clear" w:color="auto" w:fill="auto"/>
              <w:adjustRightInd w:val="0"/>
              <w:snapToGrid w:val="0"/>
              <w:spacing w:line="360" w:lineRule="auto"/>
              <w:rPr>
                <w:rFonts w:eastAsia="仿宋_GB2312"/>
                <w:color w:val="auto"/>
                <w:sz w:val="24"/>
                <w:highlight w:val="none"/>
              </w:rPr>
            </w:pPr>
          </w:p>
        </w:tc>
        <w:tc>
          <w:tcPr>
            <w:tcW w:w="1134" w:type="dxa"/>
            <w:noWrap w:val="0"/>
            <w:vAlign w:val="center"/>
          </w:tcPr>
          <w:p w14:paraId="44C24F7F">
            <w:pPr>
              <w:shd w:val="clear" w:color="auto" w:fill="auto"/>
              <w:adjustRightInd w:val="0"/>
              <w:snapToGrid w:val="0"/>
              <w:spacing w:line="360" w:lineRule="auto"/>
              <w:rPr>
                <w:rFonts w:eastAsia="仿宋_GB2312"/>
                <w:color w:val="auto"/>
                <w:sz w:val="24"/>
                <w:highlight w:val="none"/>
              </w:rPr>
            </w:pPr>
          </w:p>
        </w:tc>
        <w:tc>
          <w:tcPr>
            <w:tcW w:w="708" w:type="dxa"/>
            <w:noWrap w:val="0"/>
            <w:vAlign w:val="center"/>
          </w:tcPr>
          <w:p w14:paraId="26FADD0F">
            <w:pPr>
              <w:shd w:val="clear" w:color="auto" w:fill="auto"/>
              <w:adjustRightInd w:val="0"/>
              <w:snapToGrid w:val="0"/>
              <w:spacing w:line="360" w:lineRule="auto"/>
              <w:rPr>
                <w:rFonts w:eastAsia="仿宋_GB2312"/>
                <w:color w:val="auto"/>
                <w:sz w:val="24"/>
                <w:highlight w:val="none"/>
              </w:rPr>
            </w:pPr>
          </w:p>
        </w:tc>
      </w:tr>
      <w:tr w14:paraId="6652D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68FC0E73">
            <w:pPr>
              <w:shd w:val="clear" w:color="auto" w:fill="auto"/>
              <w:adjustRightInd w:val="0"/>
              <w:snapToGrid w:val="0"/>
              <w:spacing w:line="360" w:lineRule="auto"/>
              <w:rPr>
                <w:rFonts w:eastAsia="仿宋_GB2312"/>
                <w:color w:val="auto"/>
                <w:sz w:val="24"/>
                <w:highlight w:val="none"/>
              </w:rPr>
            </w:pPr>
          </w:p>
        </w:tc>
        <w:tc>
          <w:tcPr>
            <w:tcW w:w="1428" w:type="dxa"/>
            <w:noWrap w:val="0"/>
            <w:vAlign w:val="center"/>
          </w:tcPr>
          <w:p w14:paraId="1779482C">
            <w:pPr>
              <w:shd w:val="clear" w:color="auto" w:fill="auto"/>
              <w:adjustRightInd w:val="0"/>
              <w:snapToGrid w:val="0"/>
              <w:spacing w:line="360" w:lineRule="auto"/>
              <w:rPr>
                <w:rFonts w:eastAsia="仿宋_GB2312"/>
                <w:color w:val="auto"/>
                <w:sz w:val="24"/>
                <w:highlight w:val="none"/>
              </w:rPr>
            </w:pPr>
          </w:p>
        </w:tc>
        <w:tc>
          <w:tcPr>
            <w:tcW w:w="1188" w:type="dxa"/>
            <w:noWrap w:val="0"/>
            <w:vAlign w:val="top"/>
          </w:tcPr>
          <w:p w14:paraId="1F737997">
            <w:pPr>
              <w:shd w:val="clear" w:color="auto" w:fill="auto"/>
              <w:adjustRightInd w:val="0"/>
              <w:snapToGrid w:val="0"/>
              <w:spacing w:line="360" w:lineRule="auto"/>
              <w:rPr>
                <w:rFonts w:eastAsia="仿宋_GB2312"/>
                <w:color w:val="auto"/>
                <w:sz w:val="24"/>
                <w:highlight w:val="none"/>
              </w:rPr>
            </w:pPr>
          </w:p>
        </w:tc>
        <w:tc>
          <w:tcPr>
            <w:tcW w:w="1560" w:type="dxa"/>
            <w:noWrap w:val="0"/>
            <w:vAlign w:val="top"/>
          </w:tcPr>
          <w:p w14:paraId="5C4786A9">
            <w:pPr>
              <w:shd w:val="clear" w:color="auto" w:fill="auto"/>
              <w:adjustRightInd w:val="0"/>
              <w:snapToGrid w:val="0"/>
              <w:spacing w:line="360" w:lineRule="auto"/>
              <w:rPr>
                <w:rFonts w:eastAsia="仿宋_GB2312"/>
                <w:color w:val="auto"/>
                <w:sz w:val="24"/>
                <w:highlight w:val="none"/>
              </w:rPr>
            </w:pPr>
          </w:p>
        </w:tc>
        <w:tc>
          <w:tcPr>
            <w:tcW w:w="992" w:type="dxa"/>
            <w:noWrap w:val="0"/>
            <w:vAlign w:val="center"/>
          </w:tcPr>
          <w:p w14:paraId="408915B3">
            <w:pPr>
              <w:shd w:val="clear" w:color="auto" w:fill="auto"/>
              <w:adjustRightInd w:val="0"/>
              <w:snapToGrid w:val="0"/>
              <w:spacing w:line="360" w:lineRule="auto"/>
              <w:rPr>
                <w:rFonts w:eastAsia="仿宋_GB2312"/>
                <w:color w:val="auto"/>
                <w:sz w:val="24"/>
                <w:highlight w:val="none"/>
              </w:rPr>
            </w:pPr>
          </w:p>
        </w:tc>
        <w:tc>
          <w:tcPr>
            <w:tcW w:w="1276" w:type="dxa"/>
            <w:noWrap w:val="0"/>
            <w:vAlign w:val="center"/>
          </w:tcPr>
          <w:p w14:paraId="78D8EB64">
            <w:pPr>
              <w:shd w:val="clear" w:color="auto" w:fill="auto"/>
              <w:adjustRightInd w:val="0"/>
              <w:snapToGrid w:val="0"/>
              <w:spacing w:line="360" w:lineRule="auto"/>
              <w:rPr>
                <w:rFonts w:eastAsia="仿宋_GB2312"/>
                <w:color w:val="auto"/>
                <w:sz w:val="24"/>
                <w:highlight w:val="none"/>
              </w:rPr>
            </w:pPr>
          </w:p>
        </w:tc>
        <w:tc>
          <w:tcPr>
            <w:tcW w:w="1134" w:type="dxa"/>
            <w:noWrap w:val="0"/>
            <w:vAlign w:val="center"/>
          </w:tcPr>
          <w:p w14:paraId="006CCF2A">
            <w:pPr>
              <w:shd w:val="clear" w:color="auto" w:fill="auto"/>
              <w:adjustRightInd w:val="0"/>
              <w:snapToGrid w:val="0"/>
              <w:spacing w:line="360" w:lineRule="auto"/>
              <w:rPr>
                <w:rFonts w:eastAsia="仿宋_GB2312"/>
                <w:color w:val="auto"/>
                <w:sz w:val="24"/>
                <w:highlight w:val="none"/>
              </w:rPr>
            </w:pPr>
          </w:p>
        </w:tc>
        <w:tc>
          <w:tcPr>
            <w:tcW w:w="708" w:type="dxa"/>
            <w:noWrap w:val="0"/>
            <w:vAlign w:val="center"/>
          </w:tcPr>
          <w:p w14:paraId="491F65F9">
            <w:pPr>
              <w:shd w:val="clear" w:color="auto" w:fill="auto"/>
              <w:adjustRightInd w:val="0"/>
              <w:snapToGrid w:val="0"/>
              <w:spacing w:line="360" w:lineRule="auto"/>
              <w:rPr>
                <w:rFonts w:eastAsia="仿宋_GB2312"/>
                <w:color w:val="auto"/>
                <w:sz w:val="24"/>
                <w:highlight w:val="none"/>
              </w:rPr>
            </w:pPr>
          </w:p>
        </w:tc>
      </w:tr>
      <w:tr w14:paraId="2EACC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1EE06D78">
            <w:pPr>
              <w:shd w:val="clear" w:color="auto" w:fill="auto"/>
              <w:adjustRightInd w:val="0"/>
              <w:snapToGrid w:val="0"/>
              <w:spacing w:line="360" w:lineRule="auto"/>
              <w:rPr>
                <w:rFonts w:eastAsia="仿宋_GB2312"/>
                <w:color w:val="auto"/>
                <w:sz w:val="24"/>
                <w:highlight w:val="none"/>
              </w:rPr>
            </w:pPr>
          </w:p>
        </w:tc>
        <w:tc>
          <w:tcPr>
            <w:tcW w:w="1428" w:type="dxa"/>
            <w:noWrap w:val="0"/>
            <w:vAlign w:val="center"/>
          </w:tcPr>
          <w:p w14:paraId="6CE89603">
            <w:pPr>
              <w:shd w:val="clear" w:color="auto" w:fill="auto"/>
              <w:adjustRightInd w:val="0"/>
              <w:snapToGrid w:val="0"/>
              <w:spacing w:line="360" w:lineRule="auto"/>
              <w:rPr>
                <w:rFonts w:eastAsia="仿宋_GB2312"/>
                <w:color w:val="auto"/>
                <w:sz w:val="24"/>
                <w:highlight w:val="none"/>
              </w:rPr>
            </w:pPr>
          </w:p>
        </w:tc>
        <w:tc>
          <w:tcPr>
            <w:tcW w:w="1188" w:type="dxa"/>
            <w:noWrap w:val="0"/>
            <w:vAlign w:val="top"/>
          </w:tcPr>
          <w:p w14:paraId="46648453">
            <w:pPr>
              <w:shd w:val="clear" w:color="auto" w:fill="auto"/>
              <w:adjustRightInd w:val="0"/>
              <w:snapToGrid w:val="0"/>
              <w:spacing w:line="360" w:lineRule="auto"/>
              <w:rPr>
                <w:rFonts w:eastAsia="仿宋_GB2312"/>
                <w:color w:val="auto"/>
                <w:sz w:val="24"/>
                <w:highlight w:val="none"/>
              </w:rPr>
            </w:pPr>
          </w:p>
        </w:tc>
        <w:tc>
          <w:tcPr>
            <w:tcW w:w="1560" w:type="dxa"/>
            <w:noWrap w:val="0"/>
            <w:vAlign w:val="top"/>
          </w:tcPr>
          <w:p w14:paraId="3FAE29CD">
            <w:pPr>
              <w:shd w:val="clear" w:color="auto" w:fill="auto"/>
              <w:adjustRightInd w:val="0"/>
              <w:snapToGrid w:val="0"/>
              <w:spacing w:line="360" w:lineRule="auto"/>
              <w:rPr>
                <w:rFonts w:eastAsia="仿宋_GB2312"/>
                <w:color w:val="auto"/>
                <w:sz w:val="24"/>
                <w:highlight w:val="none"/>
              </w:rPr>
            </w:pPr>
          </w:p>
        </w:tc>
        <w:tc>
          <w:tcPr>
            <w:tcW w:w="992" w:type="dxa"/>
            <w:noWrap w:val="0"/>
            <w:vAlign w:val="center"/>
          </w:tcPr>
          <w:p w14:paraId="24B13B42">
            <w:pPr>
              <w:shd w:val="clear" w:color="auto" w:fill="auto"/>
              <w:adjustRightInd w:val="0"/>
              <w:snapToGrid w:val="0"/>
              <w:spacing w:line="360" w:lineRule="auto"/>
              <w:rPr>
                <w:rFonts w:eastAsia="仿宋_GB2312"/>
                <w:color w:val="auto"/>
                <w:sz w:val="24"/>
                <w:highlight w:val="none"/>
              </w:rPr>
            </w:pPr>
          </w:p>
        </w:tc>
        <w:tc>
          <w:tcPr>
            <w:tcW w:w="1276" w:type="dxa"/>
            <w:noWrap w:val="0"/>
            <w:vAlign w:val="center"/>
          </w:tcPr>
          <w:p w14:paraId="64E80FB0">
            <w:pPr>
              <w:shd w:val="clear" w:color="auto" w:fill="auto"/>
              <w:adjustRightInd w:val="0"/>
              <w:snapToGrid w:val="0"/>
              <w:spacing w:line="360" w:lineRule="auto"/>
              <w:rPr>
                <w:rFonts w:eastAsia="仿宋_GB2312"/>
                <w:color w:val="auto"/>
                <w:sz w:val="24"/>
                <w:highlight w:val="none"/>
              </w:rPr>
            </w:pPr>
          </w:p>
        </w:tc>
        <w:tc>
          <w:tcPr>
            <w:tcW w:w="1134" w:type="dxa"/>
            <w:noWrap w:val="0"/>
            <w:vAlign w:val="center"/>
          </w:tcPr>
          <w:p w14:paraId="2F287E6A">
            <w:pPr>
              <w:shd w:val="clear" w:color="auto" w:fill="auto"/>
              <w:adjustRightInd w:val="0"/>
              <w:snapToGrid w:val="0"/>
              <w:spacing w:line="360" w:lineRule="auto"/>
              <w:rPr>
                <w:rFonts w:eastAsia="仿宋_GB2312"/>
                <w:color w:val="auto"/>
                <w:sz w:val="24"/>
                <w:highlight w:val="none"/>
              </w:rPr>
            </w:pPr>
          </w:p>
        </w:tc>
        <w:tc>
          <w:tcPr>
            <w:tcW w:w="708" w:type="dxa"/>
            <w:noWrap w:val="0"/>
            <w:vAlign w:val="center"/>
          </w:tcPr>
          <w:p w14:paraId="4FF0EB01">
            <w:pPr>
              <w:shd w:val="clear" w:color="auto" w:fill="auto"/>
              <w:adjustRightInd w:val="0"/>
              <w:snapToGrid w:val="0"/>
              <w:spacing w:line="360" w:lineRule="auto"/>
              <w:rPr>
                <w:rFonts w:eastAsia="仿宋_GB2312"/>
                <w:color w:val="auto"/>
                <w:sz w:val="24"/>
                <w:highlight w:val="none"/>
              </w:rPr>
            </w:pPr>
          </w:p>
        </w:tc>
      </w:tr>
      <w:tr w14:paraId="1F8EE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213D1B97">
            <w:pPr>
              <w:shd w:val="clear" w:color="auto" w:fill="auto"/>
              <w:adjustRightInd w:val="0"/>
              <w:snapToGrid w:val="0"/>
              <w:spacing w:line="360" w:lineRule="auto"/>
              <w:rPr>
                <w:rFonts w:eastAsia="仿宋_GB2312"/>
                <w:color w:val="auto"/>
                <w:sz w:val="24"/>
                <w:highlight w:val="none"/>
              </w:rPr>
            </w:pPr>
          </w:p>
        </w:tc>
        <w:tc>
          <w:tcPr>
            <w:tcW w:w="1428" w:type="dxa"/>
            <w:noWrap w:val="0"/>
            <w:vAlign w:val="center"/>
          </w:tcPr>
          <w:p w14:paraId="617AAE87">
            <w:pPr>
              <w:shd w:val="clear" w:color="auto" w:fill="auto"/>
              <w:adjustRightInd w:val="0"/>
              <w:snapToGrid w:val="0"/>
              <w:spacing w:line="360" w:lineRule="auto"/>
              <w:rPr>
                <w:rFonts w:eastAsia="仿宋_GB2312"/>
                <w:color w:val="auto"/>
                <w:sz w:val="24"/>
                <w:highlight w:val="none"/>
              </w:rPr>
            </w:pPr>
          </w:p>
        </w:tc>
        <w:tc>
          <w:tcPr>
            <w:tcW w:w="1188" w:type="dxa"/>
            <w:noWrap w:val="0"/>
            <w:vAlign w:val="top"/>
          </w:tcPr>
          <w:p w14:paraId="1A43005B">
            <w:pPr>
              <w:shd w:val="clear" w:color="auto" w:fill="auto"/>
              <w:adjustRightInd w:val="0"/>
              <w:snapToGrid w:val="0"/>
              <w:spacing w:line="360" w:lineRule="auto"/>
              <w:rPr>
                <w:rFonts w:eastAsia="仿宋_GB2312"/>
                <w:color w:val="auto"/>
                <w:sz w:val="24"/>
                <w:highlight w:val="none"/>
              </w:rPr>
            </w:pPr>
          </w:p>
        </w:tc>
        <w:tc>
          <w:tcPr>
            <w:tcW w:w="1560" w:type="dxa"/>
            <w:noWrap w:val="0"/>
            <w:vAlign w:val="top"/>
          </w:tcPr>
          <w:p w14:paraId="549E594B">
            <w:pPr>
              <w:shd w:val="clear" w:color="auto" w:fill="auto"/>
              <w:adjustRightInd w:val="0"/>
              <w:snapToGrid w:val="0"/>
              <w:spacing w:line="360" w:lineRule="auto"/>
              <w:rPr>
                <w:rFonts w:eastAsia="仿宋_GB2312"/>
                <w:color w:val="auto"/>
                <w:sz w:val="24"/>
                <w:highlight w:val="none"/>
              </w:rPr>
            </w:pPr>
          </w:p>
        </w:tc>
        <w:tc>
          <w:tcPr>
            <w:tcW w:w="992" w:type="dxa"/>
            <w:noWrap w:val="0"/>
            <w:vAlign w:val="center"/>
          </w:tcPr>
          <w:p w14:paraId="1361F368">
            <w:pPr>
              <w:shd w:val="clear" w:color="auto" w:fill="auto"/>
              <w:adjustRightInd w:val="0"/>
              <w:snapToGrid w:val="0"/>
              <w:spacing w:line="360" w:lineRule="auto"/>
              <w:rPr>
                <w:rFonts w:eastAsia="仿宋_GB2312"/>
                <w:color w:val="auto"/>
                <w:sz w:val="24"/>
                <w:highlight w:val="none"/>
              </w:rPr>
            </w:pPr>
          </w:p>
        </w:tc>
        <w:tc>
          <w:tcPr>
            <w:tcW w:w="1276" w:type="dxa"/>
            <w:noWrap w:val="0"/>
            <w:vAlign w:val="center"/>
          </w:tcPr>
          <w:p w14:paraId="7CD096FB">
            <w:pPr>
              <w:shd w:val="clear" w:color="auto" w:fill="auto"/>
              <w:adjustRightInd w:val="0"/>
              <w:snapToGrid w:val="0"/>
              <w:spacing w:line="360" w:lineRule="auto"/>
              <w:rPr>
                <w:rFonts w:eastAsia="仿宋_GB2312"/>
                <w:color w:val="auto"/>
                <w:sz w:val="24"/>
                <w:highlight w:val="none"/>
              </w:rPr>
            </w:pPr>
          </w:p>
        </w:tc>
        <w:tc>
          <w:tcPr>
            <w:tcW w:w="1134" w:type="dxa"/>
            <w:noWrap w:val="0"/>
            <w:vAlign w:val="center"/>
          </w:tcPr>
          <w:p w14:paraId="5B17F366">
            <w:pPr>
              <w:shd w:val="clear" w:color="auto" w:fill="auto"/>
              <w:adjustRightInd w:val="0"/>
              <w:snapToGrid w:val="0"/>
              <w:spacing w:line="360" w:lineRule="auto"/>
              <w:rPr>
                <w:rFonts w:eastAsia="仿宋_GB2312"/>
                <w:color w:val="auto"/>
                <w:sz w:val="24"/>
                <w:highlight w:val="none"/>
              </w:rPr>
            </w:pPr>
          </w:p>
        </w:tc>
        <w:tc>
          <w:tcPr>
            <w:tcW w:w="708" w:type="dxa"/>
            <w:noWrap w:val="0"/>
            <w:vAlign w:val="center"/>
          </w:tcPr>
          <w:p w14:paraId="2BF0F2D6">
            <w:pPr>
              <w:shd w:val="clear" w:color="auto" w:fill="auto"/>
              <w:adjustRightInd w:val="0"/>
              <w:snapToGrid w:val="0"/>
              <w:spacing w:line="360" w:lineRule="auto"/>
              <w:rPr>
                <w:rFonts w:eastAsia="仿宋_GB2312"/>
                <w:color w:val="auto"/>
                <w:sz w:val="24"/>
                <w:highlight w:val="none"/>
              </w:rPr>
            </w:pPr>
          </w:p>
        </w:tc>
      </w:tr>
      <w:tr w14:paraId="6D1FC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6FDE2997">
            <w:pPr>
              <w:shd w:val="clear" w:color="auto" w:fill="auto"/>
              <w:adjustRightInd w:val="0"/>
              <w:snapToGrid w:val="0"/>
              <w:spacing w:line="360" w:lineRule="auto"/>
              <w:rPr>
                <w:rFonts w:eastAsia="仿宋_GB2312"/>
                <w:color w:val="auto"/>
                <w:sz w:val="24"/>
                <w:highlight w:val="none"/>
              </w:rPr>
            </w:pPr>
          </w:p>
        </w:tc>
        <w:tc>
          <w:tcPr>
            <w:tcW w:w="1428" w:type="dxa"/>
            <w:noWrap w:val="0"/>
            <w:vAlign w:val="center"/>
          </w:tcPr>
          <w:p w14:paraId="25C34F25">
            <w:pPr>
              <w:shd w:val="clear" w:color="auto" w:fill="auto"/>
              <w:adjustRightInd w:val="0"/>
              <w:snapToGrid w:val="0"/>
              <w:spacing w:line="360" w:lineRule="auto"/>
              <w:rPr>
                <w:rFonts w:eastAsia="仿宋_GB2312"/>
                <w:color w:val="auto"/>
                <w:sz w:val="24"/>
                <w:highlight w:val="none"/>
              </w:rPr>
            </w:pPr>
          </w:p>
        </w:tc>
        <w:tc>
          <w:tcPr>
            <w:tcW w:w="1188" w:type="dxa"/>
            <w:noWrap w:val="0"/>
            <w:vAlign w:val="top"/>
          </w:tcPr>
          <w:p w14:paraId="613B39CF">
            <w:pPr>
              <w:shd w:val="clear" w:color="auto" w:fill="auto"/>
              <w:adjustRightInd w:val="0"/>
              <w:snapToGrid w:val="0"/>
              <w:spacing w:line="360" w:lineRule="auto"/>
              <w:rPr>
                <w:rFonts w:eastAsia="仿宋_GB2312"/>
                <w:color w:val="auto"/>
                <w:sz w:val="24"/>
                <w:highlight w:val="none"/>
              </w:rPr>
            </w:pPr>
          </w:p>
        </w:tc>
        <w:tc>
          <w:tcPr>
            <w:tcW w:w="1560" w:type="dxa"/>
            <w:noWrap w:val="0"/>
            <w:vAlign w:val="top"/>
          </w:tcPr>
          <w:p w14:paraId="6864B222">
            <w:pPr>
              <w:shd w:val="clear" w:color="auto" w:fill="auto"/>
              <w:adjustRightInd w:val="0"/>
              <w:snapToGrid w:val="0"/>
              <w:spacing w:line="360" w:lineRule="auto"/>
              <w:rPr>
                <w:rFonts w:eastAsia="仿宋_GB2312"/>
                <w:color w:val="auto"/>
                <w:sz w:val="24"/>
                <w:highlight w:val="none"/>
              </w:rPr>
            </w:pPr>
          </w:p>
        </w:tc>
        <w:tc>
          <w:tcPr>
            <w:tcW w:w="992" w:type="dxa"/>
            <w:noWrap w:val="0"/>
            <w:vAlign w:val="center"/>
          </w:tcPr>
          <w:p w14:paraId="4F2782DB">
            <w:pPr>
              <w:shd w:val="clear" w:color="auto" w:fill="auto"/>
              <w:adjustRightInd w:val="0"/>
              <w:snapToGrid w:val="0"/>
              <w:spacing w:line="360" w:lineRule="auto"/>
              <w:rPr>
                <w:rFonts w:eastAsia="仿宋_GB2312"/>
                <w:color w:val="auto"/>
                <w:sz w:val="24"/>
                <w:highlight w:val="none"/>
              </w:rPr>
            </w:pPr>
          </w:p>
        </w:tc>
        <w:tc>
          <w:tcPr>
            <w:tcW w:w="1276" w:type="dxa"/>
            <w:noWrap w:val="0"/>
            <w:vAlign w:val="center"/>
          </w:tcPr>
          <w:p w14:paraId="3E486221">
            <w:pPr>
              <w:shd w:val="clear" w:color="auto" w:fill="auto"/>
              <w:adjustRightInd w:val="0"/>
              <w:snapToGrid w:val="0"/>
              <w:spacing w:line="360" w:lineRule="auto"/>
              <w:rPr>
                <w:rFonts w:eastAsia="仿宋_GB2312"/>
                <w:color w:val="auto"/>
                <w:sz w:val="24"/>
                <w:highlight w:val="none"/>
              </w:rPr>
            </w:pPr>
          </w:p>
        </w:tc>
        <w:tc>
          <w:tcPr>
            <w:tcW w:w="1134" w:type="dxa"/>
            <w:noWrap w:val="0"/>
            <w:vAlign w:val="center"/>
          </w:tcPr>
          <w:p w14:paraId="7C121CB1">
            <w:pPr>
              <w:shd w:val="clear" w:color="auto" w:fill="auto"/>
              <w:adjustRightInd w:val="0"/>
              <w:snapToGrid w:val="0"/>
              <w:spacing w:line="360" w:lineRule="auto"/>
              <w:rPr>
                <w:rFonts w:eastAsia="仿宋_GB2312"/>
                <w:color w:val="auto"/>
                <w:sz w:val="24"/>
                <w:highlight w:val="none"/>
              </w:rPr>
            </w:pPr>
          </w:p>
        </w:tc>
        <w:tc>
          <w:tcPr>
            <w:tcW w:w="708" w:type="dxa"/>
            <w:noWrap w:val="0"/>
            <w:vAlign w:val="center"/>
          </w:tcPr>
          <w:p w14:paraId="45B65A2F">
            <w:pPr>
              <w:shd w:val="clear" w:color="auto" w:fill="auto"/>
              <w:adjustRightInd w:val="0"/>
              <w:snapToGrid w:val="0"/>
              <w:spacing w:line="360" w:lineRule="auto"/>
              <w:rPr>
                <w:rFonts w:eastAsia="仿宋_GB2312"/>
                <w:color w:val="auto"/>
                <w:sz w:val="24"/>
                <w:highlight w:val="none"/>
              </w:rPr>
            </w:pPr>
          </w:p>
        </w:tc>
      </w:tr>
      <w:tr w14:paraId="02D32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0B90CC2D">
            <w:pPr>
              <w:shd w:val="clear" w:color="auto" w:fill="auto"/>
              <w:adjustRightInd w:val="0"/>
              <w:snapToGrid w:val="0"/>
              <w:spacing w:line="360" w:lineRule="auto"/>
              <w:rPr>
                <w:rFonts w:eastAsia="仿宋_GB2312"/>
                <w:color w:val="auto"/>
                <w:sz w:val="24"/>
                <w:highlight w:val="none"/>
              </w:rPr>
            </w:pPr>
          </w:p>
        </w:tc>
        <w:tc>
          <w:tcPr>
            <w:tcW w:w="1428" w:type="dxa"/>
            <w:noWrap w:val="0"/>
            <w:vAlign w:val="center"/>
          </w:tcPr>
          <w:p w14:paraId="7D8CB7BC">
            <w:pPr>
              <w:shd w:val="clear" w:color="auto" w:fill="auto"/>
              <w:adjustRightInd w:val="0"/>
              <w:snapToGrid w:val="0"/>
              <w:spacing w:line="360" w:lineRule="auto"/>
              <w:rPr>
                <w:rFonts w:eastAsia="仿宋_GB2312"/>
                <w:color w:val="auto"/>
                <w:sz w:val="24"/>
                <w:highlight w:val="none"/>
              </w:rPr>
            </w:pPr>
          </w:p>
        </w:tc>
        <w:tc>
          <w:tcPr>
            <w:tcW w:w="1188" w:type="dxa"/>
            <w:noWrap w:val="0"/>
            <w:vAlign w:val="top"/>
          </w:tcPr>
          <w:p w14:paraId="4818BF50">
            <w:pPr>
              <w:shd w:val="clear" w:color="auto" w:fill="auto"/>
              <w:adjustRightInd w:val="0"/>
              <w:snapToGrid w:val="0"/>
              <w:spacing w:line="360" w:lineRule="auto"/>
              <w:rPr>
                <w:rFonts w:eastAsia="仿宋_GB2312"/>
                <w:color w:val="auto"/>
                <w:sz w:val="24"/>
                <w:highlight w:val="none"/>
              </w:rPr>
            </w:pPr>
          </w:p>
        </w:tc>
        <w:tc>
          <w:tcPr>
            <w:tcW w:w="1560" w:type="dxa"/>
            <w:noWrap w:val="0"/>
            <w:vAlign w:val="top"/>
          </w:tcPr>
          <w:p w14:paraId="7C0EE49D">
            <w:pPr>
              <w:shd w:val="clear" w:color="auto" w:fill="auto"/>
              <w:adjustRightInd w:val="0"/>
              <w:snapToGrid w:val="0"/>
              <w:spacing w:line="360" w:lineRule="auto"/>
              <w:rPr>
                <w:rFonts w:eastAsia="仿宋_GB2312"/>
                <w:color w:val="auto"/>
                <w:sz w:val="24"/>
                <w:highlight w:val="none"/>
              </w:rPr>
            </w:pPr>
          </w:p>
        </w:tc>
        <w:tc>
          <w:tcPr>
            <w:tcW w:w="992" w:type="dxa"/>
            <w:noWrap w:val="0"/>
            <w:vAlign w:val="center"/>
          </w:tcPr>
          <w:p w14:paraId="1B531437">
            <w:pPr>
              <w:shd w:val="clear" w:color="auto" w:fill="auto"/>
              <w:adjustRightInd w:val="0"/>
              <w:snapToGrid w:val="0"/>
              <w:spacing w:line="360" w:lineRule="auto"/>
              <w:rPr>
                <w:rFonts w:eastAsia="仿宋_GB2312"/>
                <w:color w:val="auto"/>
                <w:sz w:val="24"/>
                <w:highlight w:val="none"/>
              </w:rPr>
            </w:pPr>
          </w:p>
        </w:tc>
        <w:tc>
          <w:tcPr>
            <w:tcW w:w="1276" w:type="dxa"/>
            <w:noWrap w:val="0"/>
            <w:vAlign w:val="center"/>
          </w:tcPr>
          <w:p w14:paraId="72CC61C6">
            <w:pPr>
              <w:shd w:val="clear" w:color="auto" w:fill="auto"/>
              <w:adjustRightInd w:val="0"/>
              <w:snapToGrid w:val="0"/>
              <w:spacing w:line="360" w:lineRule="auto"/>
              <w:rPr>
                <w:rFonts w:eastAsia="仿宋_GB2312"/>
                <w:color w:val="auto"/>
                <w:sz w:val="24"/>
                <w:highlight w:val="none"/>
              </w:rPr>
            </w:pPr>
          </w:p>
        </w:tc>
        <w:tc>
          <w:tcPr>
            <w:tcW w:w="1134" w:type="dxa"/>
            <w:noWrap w:val="0"/>
            <w:vAlign w:val="center"/>
          </w:tcPr>
          <w:p w14:paraId="3F34706B">
            <w:pPr>
              <w:shd w:val="clear" w:color="auto" w:fill="auto"/>
              <w:adjustRightInd w:val="0"/>
              <w:snapToGrid w:val="0"/>
              <w:spacing w:line="360" w:lineRule="auto"/>
              <w:rPr>
                <w:rFonts w:eastAsia="仿宋_GB2312"/>
                <w:color w:val="auto"/>
                <w:sz w:val="24"/>
                <w:highlight w:val="none"/>
              </w:rPr>
            </w:pPr>
          </w:p>
        </w:tc>
        <w:tc>
          <w:tcPr>
            <w:tcW w:w="708" w:type="dxa"/>
            <w:noWrap w:val="0"/>
            <w:vAlign w:val="center"/>
          </w:tcPr>
          <w:p w14:paraId="2C34000A">
            <w:pPr>
              <w:shd w:val="clear" w:color="auto" w:fill="auto"/>
              <w:adjustRightInd w:val="0"/>
              <w:snapToGrid w:val="0"/>
              <w:spacing w:line="360" w:lineRule="auto"/>
              <w:rPr>
                <w:rFonts w:eastAsia="仿宋_GB2312"/>
                <w:color w:val="auto"/>
                <w:sz w:val="24"/>
                <w:highlight w:val="none"/>
              </w:rPr>
            </w:pPr>
          </w:p>
        </w:tc>
      </w:tr>
      <w:tr w14:paraId="596C2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1A3A08D0">
            <w:pPr>
              <w:shd w:val="clear" w:color="auto" w:fill="auto"/>
              <w:adjustRightInd w:val="0"/>
              <w:snapToGrid w:val="0"/>
              <w:spacing w:line="360" w:lineRule="auto"/>
              <w:rPr>
                <w:rFonts w:eastAsia="仿宋_GB2312"/>
                <w:color w:val="auto"/>
                <w:sz w:val="24"/>
                <w:highlight w:val="none"/>
              </w:rPr>
            </w:pPr>
          </w:p>
        </w:tc>
        <w:tc>
          <w:tcPr>
            <w:tcW w:w="1428" w:type="dxa"/>
            <w:noWrap w:val="0"/>
            <w:vAlign w:val="center"/>
          </w:tcPr>
          <w:p w14:paraId="207AC03E">
            <w:pPr>
              <w:shd w:val="clear" w:color="auto" w:fill="auto"/>
              <w:adjustRightInd w:val="0"/>
              <w:snapToGrid w:val="0"/>
              <w:spacing w:line="360" w:lineRule="auto"/>
              <w:rPr>
                <w:rFonts w:eastAsia="仿宋_GB2312"/>
                <w:color w:val="auto"/>
                <w:sz w:val="24"/>
                <w:highlight w:val="none"/>
              </w:rPr>
            </w:pPr>
          </w:p>
        </w:tc>
        <w:tc>
          <w:tcPr>
            <w:tcW w:w="1188" w:type="dxa"/>
            <w:noWrap w:val="0"/>
            <w:vAlign w:val="top"/>
          </w:tcPr>
          <w:p w14:paraId="48CFB648">
            <w:pPr>
              <w:shd w:val="clear" w:color="auto" w:fill="auto"/>
              <w:adjustRightInd w:val="0"/>
              <w:snapToGrid w:val="0"/>
              <w:spacing w:line="360" w:lineRule="auto"/>
              <w:rPr>
                <w:rFonts w:eastAsia="仿宋_GB2312"/>
                <w:color w:val="auto"/>
                <w:sz w:val="24"/>
                <w:highlight w:val="none"/>
              </w:rPr>
            </w:pPr>
          </w:p>
        </w:tc>
        <w:tc>
          <w:tcPr>
            <w:tcW w:w="1560" w:type="dxa"/>
            <w:noWrap w:val="0"/>
            <w:vAlign w:val="top"/>
          </w:tcPr>
          <w:p w14:paraId="5E829FE6">
            <w:pPr>
              <w:shd w:val="clear" w:color="auto" w:fill="auto"/>
              <w:adjustRightInd w:val="0"/>
              <w:snapToGrid w:val="0"/>
              <w:spacing w:line="360" w:lineRule="auto"/>
              <w:rPr>
                <w:rFonts w:eastAsia="仿宋_GB2312"/>
                <w:color w:val="auto"/>
                <w:sz w:val="24"/>
                <w:highlight w:val="none"/>
              </w:rPr>
            </w:pPr>
          </w:p>
        </w:tc>
        <w:tc>
          <w:tcPr>
            <w:tcW w:w="992" w:type="dxa"/>
            <w:noWrap w:val="0"/>
            <w:vAlign w:val="center"/>
          </w:tcPr>
          <w:p w14:paraId="39E73A1B">
            <w:pPr>
              <w:shd w:val="clear" w:color="auto" w:fill="auto"/>
              <w:adjustRightInd w:val="0"/>
              <w:snapToGrid w:val="0"/>
              <w:spacing w:line="360" w:lineRule="auto"/>
              <w:rPr>
                <w:rFonts w:eastAsia="仿宋_GB2312"/>
                <w:color w:val="auto"/>
                <w:sz w:val="24"/>
                <w:highlight w:val="none"/>
              </w:rPr>
            </w:pPr>
          </w:p>
        </w:tc>
        <w:tc>
          <w:tcPr>
            <w:tcW w:w="1276" w:type="dxa"/>
            <w:noWrap w:val="0"/>
            <w:vAlign w:val="center"/>
          </w:tcPr>
          <w:p w14:paraId="72451C9B">
            <w:pPr>
              <w:shd w:val="clear" w:color="auto" w:fill="auto"/>
              <w:adjustRightInd w:val="0"/>
              <w:snapToGrid w:val="0"/>
              <w:spacing w:line="360" w:lineRule="auto"/>
              <w:rPr>
                <w:rFonts w:eastAsia="仿宋_GB2312"/>
                <w:color w:val="auto"/>
                <w:sz w:val="24"/>
                <w:highlight w:val="none"/>
              </w:rPr>
            </w:pPr>
          </w:p>
        </w:tc>
        <w:tc>
          <w:tcPr>
            <w:tcW w:w="1134" w:type="dxa"/>
            <w:noWrap w:val="0"/>
            <w:vAlign w:val="center"/>
          </w:tcPr>
          <w:p w14:paraId="675F4CAC">
            <w:pPr>
              <w:shd w:val="clear" w:color="auto" w:fill="auto"/>
              <w:adjustRightInd w:val="0"/>
              <w:snapToGrid w:val="0"/>
              <w:spacing w:line="360" w:lineRule="auto"/>
              <w:rPr>
                <w:rFonts w:eastAsia="仿宋_GB2312"/>
                <w:color w:val="auto"/>
                <w:sz w:val="24"/>
                <w:highlight w:val="none"/>
              </w:rPr>
            </w:pPr>
          </w:p>
        </w:tc>
        <w:tc>
          <w:tcPr>
            <w:tcW w:w="708" w:type="dxa"/>
            <w:noWrap w:val="0"/>
            <w:vAlign w:val="center"/>
          </w:tcPr>
          <w:p w14:paraId="0DB95707">
            <w:pPr>
              <w:shd w:val="clear" w:color="auto" w:fill="auto"/>
              <w:adjustRightInd w:val="0"/>
              <w:snapToGrid w:val="0"/>
              <w:spacing w:line="360" w:lineRule="auto"/>
              <w:rPr>
                <w:rFonts w:eastAsia="仿宋_GB2312"/>
                <w:color w:val="auto"/>
                <w:sz w:val="24"/>
                <w:highlight w:val="none"/>
              </w:rPr>
            </w:pPr>
          </w:p>
        </w:tc>
      </w:tr>
      <w:tr w14:paraId="63193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4811BB38">
            <w:pPr>
              <w:shd w:val="clear" w:color="auto" w:fill="auto"/>
              <w:adjustRightInd w:val="0"/>
              <w:snapToGrid w:val="0"/>
              <w:spacing w:line="360" w:lineRule="auto"/>
              <w:rPr>
                <w:rFonts w:eastAsia="仿宋_GB2312"/>
                <w:color w:val="auto"/>
                <w:sz w:val="24"/>
                <w:highlight w:val="none"/>
              </w:rPr>
            </w:pPr>
          </w:p>
        </w:tc>
        <w:tc>
          <w:tcPr>
            <w:tcW w:w="1428" w:type="dxa"/>
            <w:noWrap w:val="0"/>
            <w:vAlign w:val="center"/>
          </w:tcPr>
          <w:p w14:paraId="4E59E8A3">
            <w:pPr>
              <w:shd w:val="clear" w:color="auto" w:fill="auto"/>
              <w:adjustRightInd w:val="0"/>
              <w:snapToGrid w:val="0"/>
              <w:spacing w:line="360" w:lineRule="auto"/>
              <w:rPr>
                <w:rFonts w:eastAsia="仿宋_GB2312"/>
                <w:color w:val="auto"/>
                <w:sz w:val="24"/>
                <w:highlight w:val="none"/>
              </w:rPr>
            </w:pPr>
          </w:p>
        </w:tc>
        <w:tc>
          <w:tcPr>
            <w:tcW w:w="1188" w:type="dxa"/>
            <w:noWrap w:val="0"/>
            <w:vAlign w:val="top"/>
          </w:tcPr>
          <w:p w14:paraId="18CF1ED2">
            <w:pPr>
              <w:shd w:val="clear" w:color="auto" w:fill="auto"/>
              <w:adjustRightInd w:val="0"/>
              <w:snapToGrid w:val="0"/>
              <w:spacing w:line="360" w:lineRule="auto"/>
              <w:rPr>
                <w:rFonts w:eastAsia="仿宋_GB2312"/>
                <w:color w:val="auto"/>
                <w:sz w:val="24"/>
                <w:highlight w:val="none"/>
              </w:rPr>
            </w:pPr>
          </w:p>
        </w:tc>
        <w:tc>
          <w:tcPr>
            <w:tcW w:w="1560" w:type="dxa"/>
            <w:noWrap w:val="0"/>
            <w:vAlign w:val="top"/>
          </w:tcPr>
          <w:p w14:paraId="333885AD">
            <w:pPr>
              <w:shd w:val="clear" w:color="auto" w:fill="auto"/>
              <w:adjustRightInd w:val="0"/>
              <w:snapToGrid w:val="0"/>
              <w:spacing w:line="360" w:lineRule="auto"/>
              <w:rPr>
                <w:rFonts w:eastAsia="仿宋_GB2312"/>
                <w:color w:val="auto"/>
                <w:sz w:val="24"/>
                <w:highlight w:val="none"/>
              </w:rPr>
            </w:pPr>
          </w:p>
        </w:tc>
        <w:tc>
          <w:tcPr>
            <w:tcW w:w="992" w:type="dxa"/>
            <w:noWrap w:val="0"/>
            <w:vAlign w:val="center"/>
          </w:tcPr>
          <w:p w14:paraId="7B99E530">
            <w:pPr>
              <w:shd w:val="clear" w:color="auto" w:fill="auto"/>
              <w:adjustRightInd w:val="0"/>
              <w:snapToGrid w:val="0"/>
              <w:spacing w:line="360" w:lineRule="auto"/>
              <w:rPr>
                <w:rFonts w:eastAsia="仿宋_GB2312"/>
                <w:color w:val="auto"/>
                <w:sz w:val="24"/>
                <w:highlight w:val="none"/>
              </w:rPr>
            </w:pPr>
          </w:p>
        </w:tc>
        <w:tc>
          <w:tcPr>
            <w:tcW w:w="1276" w:type="dxa"/>
            <w:noWrap w:val="0"/>
            <w:vAlign w:val="center"/>
          </w:tcPr>
          <w:p w14:paraId="794672E2">
            <w:pPr>
              <w:shd w:val="clear" w:color="auto" w:fill="auto"/>
              <w:adjustRightInd w:val="0"/>
              <w:snapToGrid w:val="0"/>
              <w:spacing w:line="360" w:lineRule="auto"/>
              <w:rPr>
                <w:rFonts w:eastAsia="仿宋_GB2312"/>
                <w:color w:val="auto"/>
                <w:sz w:val="24"/>
                <w:highlight w:val="none"/>
              </w:rPr>
            </w:pPr>
          </w:p>
        </w:tc>
        <w:tc>
          <w:tcPr>
            <w:tcW w:w="1134" w:type="dxa"/>
            <w:noWrap w:val="0"/>
            <w:vAlign w:val="center"/>
          </w:tcPr>
          <w:p w14:paraId="08C967F0">
            <w:pPr>
              <w:shd w:val="clear" w:color="auto" w:fill="auto"/>
              <w:adjustRightInd w:val="0"/>
              <w:snapToGrid w:val="0"/>
              <w:spacing w:line="360" w:lineRule="auto"/>
              <w:rPr>
                <w:rFonts w:eastAsia="仿宋_GB2312"/>
                <w:color w:val="auto"/>
                <w:sz w:val="24"/>
                <w:highlight w:val="none"/>
              </w:rPr>
            </w:pPr>
          </w:p>
        </w:tc>
        <w:tc>
          <w:tcPr>
            <w:tcW w:w="708" w:type="dxa"/>
            <w:noWrap w:val="0"/>
            <w:vAlign w:val="center"/>
          </w:tcPr>
          <w:p w14:paraId="5BE56AC0">
            <w:pPr>
              <w:shd w:val="clear" w:color="auto" w:fill="auto"/>
              <w:adjustRightInd w:val="0"/>
              <w:snapToGrid w:val="0"/>
              <w:spacing w:line="360" w:lineRule="auto"/>
              <w:rPr>
                <w:rFonts w:eastAsia="仿宋_GB2312"/>
                <w:color w:val="auto"/>
                <w:sz w:val="24"/>
                <w:highlight w:val="none"/>
              </w:rPr>
            </w:pPr>
          </w:p>
        </w:tc>
      </w:tr>
      <w:tr w14:paraId="721B5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7D028A97">
            <w:pPr>
              <w:shd w:val="clear" w:color="auto" w:fill="auto"/>
              <w:adjustRightInd w:val="0"/>
              <w:snapToGrid w:val="0"/>
              <w:spacing w:line="360" w:lineRule="auto"/>
              <w:rPr>
                <w:rFonts w:eastAsia="仿宋_GB2312"/>
                <w:color w:val="auto"/>
                <w:sz w:val="24"/>
                <w:highlight w:val="none"/>
              </w:rPr>
            </w:pPr>
          </w:p>
        </w:tc>
        <w:tc>
          <w:tcPr>
            <w:tcW w:w="1428" w:type="dxa"/>
            <w:noWrap w:val="0"/>
            <w:vAlign w:val="center"/>
          </w:tcPr>
          <w:p w14:paraId="1BBFA67C">
            <w:pPr>
              <w:shd w:val="clear" w:color="auto" w:fill="auto"/>
              <w:adjustRightInd w:val="0"/>
              <w:snapToGrid w:val="0"/>
              <w:spacing w:line="360" w:lineRule="auto"/>
              <w:rPr>
                <w:rFonts w:eastAsia="仿宋_GB2312"/>
                <w:color w:val="auto"/>
                <w:sz w:val="24"/>
                <w:highlight w:val="none"/>
              </w:rPr>
            </w:pPr>
          </w:p>
        </w:tc>
        <w:tc>
          <w:tcPr>
            <w:tcW w:w="1188" w:type="dxa"/>
            <w:noWrap w:val="0"/>
            <w:vAlign w:val="top"/>
          </w:tcPr>
          <w:p w14:paraId="7E3BFA88">
            <w:pPr>
              <w:shd w:val="clear" w:color="auto" w:fill="auto"/>
              <w:adjustRightInd w:val="0"/>
              <w:snapToGrid w:val="0"/>
              <w:spacing w:line="360" w:lineRule="auto"/>
              <w:rPr>
                <w:rFonts w:eastAsia="仿宋_GB2312"/>
                <w:color w:val="auto"/>
                <w:sz w:val="24"/>
                <w:highlight w:val="none"/>
              </w:rPr>
            </w:pPr>
          </w:p>
        </w:tc>
        <w:tc>
          <w:tcPr>
            <w:tcW w:w="1560" w:type="dxa"/>
            <w:noWrap w:val="0"/>
            <w:vAlign w:val="top"/>
          </w:tcPr>
          <w:p w14:paraId="6D94B896">
            <w:pPr>
              <w:shd w:val="clear" w:color="auto" w:fill="auto"/>
              <w:adjustRightInd w:val="0"/>
              <w:snapToGrid w:val="0"/>
              <w:spacing w:line="360" w:lineRule="auto"/>
              <w:rPr>
                <w:rFonts w:eastAsia="仿宋_GB2312"/>
                <w:color w:val="auto"/>
                <w:sz w:val="24"/>
                <w:highlight w:val="none"/>
              </w:rPr>
            </w:pPr>
          </w:p>
        </w:tc>
        <w:tc>
          <w:tcPr>
            <w:tcW w:w="992" w:type="dxa"/>
            <w:noWrap w:val="0"/>
            <w:vAlign w:val="center"/>
          </w:tcPr>
          <w:p w14:paraId="5ED5C51C">
            <w:pPr>
              <w:shd w:val="clear" w:color="auto" w:fill="auto"/>
              <w:adjustRightInd w:val="0"/>
              <w:snapToGrid w:val="0"/>
              <w:spacing w:line="360" w:lineRule="auto"/>
              <w:rPr>
                <w:rFonts w:eastAsia="仿宋_GB2312"/>
                <w:color w:val="auto"/>
                <w:sz w:val="24"/>
                <w:highlight w:val="none"/>
              </w:rPr>
            </w:pPr>
          </w:p>
        </w:tc>
        <w:tc>
          <w:tcPr>
            <w:tcW w:w="1276" w:type="dxa"/>
            <w:noWrap w:val="0"/>
            <w:vAlign w:val="center"/>
          </w:tcPr>
          <w:p w14:paraId="5929ABC0">
            <w:pPr>
              <w:shd w:val="clear" w:color="auto" w:fill="auto"/>
              <w:adjustRightInd w:val="0"/>
              <w:snapToGrid w:val="0"/>
              <w:spacing w:line="360" w:lineRule="auto"/>
              <w:rPr>
                <w:rFonts w:eastAsia="仿宋_GB2312"/>
                <w:color w:val="auto"/>
                <w:sz w:val="24"/>
                <w:highlight w:val="none"/>
              </w:rPr>
            </w:pPr>
          </w:p>
        </w:tc>
        <w:tc>
          <w:tcPr>
            <w:tcW w:w="1134" w:type="dxa"/>
            <w:noWrap w:val="0"/>
            <w:vAlign w:val="center"/>
          </w:tcPr>
          <w:p w14:paraId="47201428">
            <w:pPr>
              <w:shd w:val="clear" w:color="auto" w:fill="auto"/>
              <w:adjustRightInd w:val="0"/>
              <w:snapToGrid w:val="0"/>
              <w:spacing w:line="360" w:lineRule="auto"/>
              <w:rPr>
                <w:rFonts w:eastAsia="仿宋_GB2312"/>
                <w:color w:val="auto"/>
                <w:sz w:val="24"/>
                <w:highlight w:val="none"/>
              </w:rPr>
            </w:pPr>
          </w:p>
        </w:tc>
        <w:tc>
          <w:tcPr>
            <w:tcW w:w="708" w:type="dxa"/>
            <w:noWrap w:val="0"/>
            <w:vAlign w:val="center"/>
          </w:tcPr>
          <w:p w14:paraId="4A448C8C">
            <w:pPr>
              <w:shd w:val="clear" w:color="auto" w:fill="auto"/>
              <w:adjustRightInd w:val="0"/>
              <w:snapToGrid w:val="0"/>
              <w:spacing w:line="360" w:lineRule="auto"/>
              <w:rPr>
                <w:rFonts w:eastAsia="仿宋_GB2312"/>
                <w:color w:val="auto"/>
                <w:sz w:val="24"/>
                <w:highlight w:val="none"/>
              </w:rPr>
            </w:pPr>
          </w:p>
        </w:tc>
      </w:tr>
      <w:tr w14:paraId="4E19F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515A0D56">
            <w:pPr>
              <w:shd w:val="clear" w:color="auto" w:fill="auto"/>
              <w:adjustRightInd w:val="0"/>
              <w:snapToGrid w:val="0"/>
              <w:spacing w:line="360" w:lineRule="auto"/>
              <w:rPr>
                <w:rFonts w:eastAsia="仿宋_GB2312"/>
                <w:color w:val="auto"/>
                <w:sz w:val="24"/>
                <w:highlight w:val="none"/>
              </w:rPr>
            </w:pPr>
          </w:p>
        </w:tc>
        <w:tc>
          <w:tcPr>
            <w:tcW w:w="1428" w:type="dxa"/>
            <w:noWrap w:val="0"/>
            <w:vAlign w:val="center"/>
          </w:tcPr>
          <w:p w14:paraId="5401F04A">
            <w:pPr>
              <w:shd w:val="clear" w:color="auto" w:fill="auto"/>
              <w:adjustRightInd w:val="0"/>
              <w:snapToGrid w:val="0"/>
              <w:spacing w:line="360" w:lineRule="auto"/>
              <w:rPr>
                <w:rFonts w:eastAsia="仿宋_GB2312"/>
                <w:color w:val="auto"/>
                <w:sz w:val="24"/>
                <w:highlight w:val="none"/>
              </w:rPr>
            </w:pPr>
          </w:p>
        </w:tc>
        <w:tc>
          <w:tcPr>
            <w:tcW w:w="1188" w:type="dxa"/>
            <w:noWrap w:val="0"/>
            <w:vAlign w:val="top"/>
          </w:tcPr>
          <w:p w14:paraId="7CD4C674">
            <w:pPr>
              <w:shd w:val="clear" w:color="auto" w:fill="auto"/>
              <w:adjustRightInd w:val="0"/>
              <w:snapToGrid w:val="0"/>
              <w:spacing w:line="360" w:lineRule="auto"/>
              <w:rPr>
                <w:rFonts w:eastAsia="仿宋_GB2312"/>
                <w:color w:val="auto"/>
                <w:sz w:val="24"/>
                <w:highlight w:val="none"/>
              </w:rPr>
            </w:pPr>
          </w:p>
        </w:tc>
        <w:tc>
          <w:tcPr>
            <w:tcW w:w="1560" w:type="dxa"/>
            <w:noWrap w:val="0"/>
            <w:vAlign w:val="top"/>
          </w:tcPr>
          <w:p w14:paraId="1822D3BE">
            <w:pPr>
              <w:shd w:val="clear" w:color="auto" w:fill="auto"/>
              <w:adjustRightInd w:val="0"/>
              <w:snapToGrid w:val="0"/>
              <w:spacing w:line="360" w:lineRule="auto"/>
              <w:rPr>
                <w:rFonts w:eastAsia="仿宋_GB2312"/>
                <w:color w:val="auto"/>
                <w:sz w:val="24"/>
                <w:highlight w:val="none"/>
              </w:rPr>
            </w:pPr>
          </w:p>
        </w:tc>
        <w:tc>
          <w:tcPr>
            <w:tcW w:w="992" w:type="dxa"/>
            <w:noWrap w:val="0"/>
            <w:vAlign w:val="center"/>
          </w:tcPr>
          <w:p w14:paraId="5CAB406A">
            <w:pPr>
              <w:shd w:val="clear" w:color="auto" w:fill="auto"/>
              <w:adjustRightInd w:val="0"/>
              <w:snapToGrid w:val="0"/>
              <w:spacing w:line="360" w:lineRule="auto"/>
              <w:rPr>
                <w:rFonts w:eastAsia="仿宋_GB2312"/>
                <w:color w:val="auto"/>
                <w:sz w:val="24"/>
                <w:highlight w:val="none"/>
              </w:rPr>
            </w:pPr>
          </w:p>
        </w:tc>
        <w:tc>
          <w:tcPr>
            <w:tcW w:w="1276" w:type="dxa"/>
            <w:noWrap w:val="0"/>
            <w:vAlign w:val="center"/>
          </w:tcPr>
          <w:p w14:paraId="2F36E72E">
            <w:pPr>
              <w:shd w:val="clear" w:color="auto" w:fill="auto"/>
              <w:adjustRightInd w:val="0"/>
              <w:snapToGrid w:val="0"/>
              <w:spacing w:line="360" w:lineRule="auto"/>
              <w:rPr>
                <w:rFonts w:eastAsia="仿宋_GB2312"/>
                <w:color w:val="auto"/>
                <w:sz w:val="24"/>
                <w:highlight w:val="none"/>
              </w:rPr>
            </w:pPr>
          </w:p>
        </w:tc>
        <w:tc>
          <w:tcPr>
            <w:tcW w:w="1134" w:type="dxa"/>
            <w:noWrap w:val="0"/>
            <w:vAlign w:val="center"/>
          </w:tcPr>
          <w:p w14:paraId="7A97CF8F">
            <w:pPr>
              <w:shd w:val="clear" w:color="auto" w:fill="auto"/>
              <w:adjustRightInd w:val="0"/>
              <w:snapToGrid w:val="0"/>
              <w:spacing w:line="360" w:lineRule="auto"/>
              <w:rPr>
                <w:rFonts w:eastAsia="仿宋_GB2312"/>
                <w:color w:val="auto"/>
                <w:sz w:val="24"/>
                <w:highlight w:val="none"/>
              </w:rPr>
            </w:pPr>
          </w:p>
        </w:tc>
        <w:tc>
          <w:tcPr>
            <w:tcW w:w="708" w:type="dxa"/>
            <w:noWrap w:val="0"/>
            <w:vAlign w:val="center"/>
          </w:tcPr>
          <w:p w14:paraId="06D6B9BD">
            <w:pPr>
              <w:shd w:val="clear" w:color="auto" w:fill="auto"/>
              <w:adjustRightInd w:val="0"/>
              <w:snapToGrid w:val="0"/>
              <w:spacing w:line="360" w:lineRule="auto"/>
              <w:rPr>
                <w:rFonts w:eastAsia="仿宋_GB2312"/>
                <w:color w:val="auto"/>
                <w:sz w:val="24"/>
                <w:highlight w:val="none"/>
              </w:rPr>
            </w:pPr>
          </w:p>
        </w:tc>
      </w:tr>
      <w:tr w14:paraId="1295D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34C14F13">
            <w:pPr>
              <w:shd w:val="clear" w:color="auto" w:fill="auto"/>
              <w:adjustRightInd w:val="0"/>
              <w:snapToGrid w:val="0"/>
              <w:spacing w:line="360" w:lineRule="auto"/>
              <w:rPr>
                <w:rFonts w:eastAsia="仿宋_GB2312"/>
                <w:color w:val="auto"/>
                <w:sz w:val="24"/>
                <w:highlight w:val="none"/>
              </w:rPr>
            </w:pPr>
          </w:p>
        </w:tc>
        <w:tc>
          <w:tcPr>
            <w:tcW w:w="1428" w:type="dxa"/>
            <w:noWrap w:val="0"/>
            <w:vAlign w:val="center"/>
          </w:tcPr>
          <w:p w14:paraId="330E75F2">
            <w:pPr>
              <w:shd w:val="clear" w:color="auto" w:fill="auto"/>
              <w:adjustRightInd w:val="0"/>
              <w:snapToGrid w:val="0"/>
              <w:spacing w:line="360" w:lineRule="auto"/>
              <w:rPr>
                <w:rFonts w:eastAsia="仿宋_GB2312"/>
                <w:color w:val="auto"/>
                <w:sz w:val="24"/>
                <w:highlight w:val="none"/>
              </w:rPr>
            </w:pPr>
          </w:p>
        </w:tc>
        <w:tc>
          <w:tcPr>
            <w:tcW w:w="1188" w:type="dxa"/>
            <w:noWrap w:val="0"/>
            <w:vAlign w:val="top"/>
          </w:tcPr>
          <w:p w14:paraId="4BC51955">
            <w:pPr>
              <w:shd w:val="clear" w:color="auto" w:fill="auto"/>
              <w:adjustRightInd w:val="0"/>
              <w:snapToGrid w:val="0"/>
              <w:spacing w:line="360" w:lineRule="auto"/>
              <w:rPr>
                <w:rFonts w:eastAsia="仿宋_GB2312"/>
                <w:color w:val="auto"/>
                <w:sz w:val="24"/>
                <w:highlight w:val="none"/>
              </w:rPr>
            </w:pPr>
          </w:p>
        </w:tc>
        <w:tc>
          <w:tcPr>
            <w:tcW w:w="1560" w:type="dxa"/>
            <w:noWrap w:val="0"/>
            <w:vAlign w:val="top"/>
          </w:tcPr>
          <w:p w14:paraId="149EC3EF">
            <w:pPr>
              <w:shd w:val="clear" w:color="auto" w:fill="auto"/>
              <w:adjustRightInd w:val="0"/>
              <w:snapToGrid w:val="0"/>
              <w:spacing w:line="360" w:lineRule="auto"/>
              <w:rPr>
                <w:rFonts w:eastAsia="仿宋_GB2312"/>
                <w:color w:val="auto"/>
                <w:sz w:val="24"/>
                <w:highlight w:val="none"/>
              </w:rPr>
            </w:pPr>
          </w:p>
        </w:tc>
        <w:tc>
          <w:tcPr>
            <w:tcW w:w="992" w:type="dxa"/>
            <w:noWrap w:val="0"/>
            <w:vAlign w:val="center"/>
          </w:tcPr>
          <w:p w14:paraId="5E30132B">
            <w:pPr>
              <w:shd w:val="clear" w:color="auto" w:fill="auto"/>
              <w:adjustRightInd w:val="0"/>
              <w:snapToGrid w:val="0"/>
              <w:spacing w:line="360" w:lineRule="auto"/>
              <w:rPr>
                <w:rFonts w:eastAsia="仿宋_GB2312"/>
                <w:color w:val="auto"/>
                <w:sz w:val="24"/>
                <w:highlight w:val="none"/>
              </w:rPr>
            </w:pPr>
          </w:p>
        </w:tc>
        <w:tc>
          <w:tcPr>
            <w:tcW w:w="1276" w:type="dxa"/>
            <w:noWrap w:val="0"/>
            <w:vAlign w:val="center"/>
          </w:tcPr>
          <w:p w14:paraId="6565388E">
            <w:pPr>
              <w:shd w:val="clear" w:color="auto" w:fill="auto"/>
              <w:adjustRightInd w:val="0"/>
              <w:snapToGrid w:val="0"/>
              <w:spacing w:line="360" w:lineRule="auto"/>
              <w:rPr>
                <w:rFonts w:eastAsia="仿宋_GB2312"/>
                <w:color w:val="auto"/>
                <w:sz w:val="24"/>
                <w:highlight w:val="none"/>
              </w:rPr>
            </w:pPr>
          </w:p>
        </w:tc>
        <w:tc>
          <w:tcPr>
            <w:tcW w:w="1134" w:type="dxa"/>
            <w:noWrap w:val="0"/>
            <w:vAlign w:val="center"/>
          </w:tcPr>
          <w:p w14:paraId="599CB742">
            <w:pPr>
              <w:shd w:val="clear" w:color="auto" w:fill="auto"/>
              <w:adjustRightInd w:val="0"/>
              <w:snapToGrid w:val="0"/>
              <w:spacing w:line="360" w:lineRule="auto"/>
              <w:rPr>
                <w:rFonts w:eastAsia="仿宋_GB2312"/>
                <w:color w:val="auto"/>
                <w:sz w:val="24"/>
                <w:highlight w:val="none"/>
              </w:rPr>
            </w:pPr>
          </w:p>
        </w:tc>
        <w:tc>
          <w:tcPr>
            <w:tcW w:w="708" w:type="dxa"/>
            <w:noWrap w:val="0"/>
            <w:vAlign w:val="center"/>
          </w:tcPr>
          <w:p w14:paraId="2EFF187A">
            <w:pPr>
              <w:shd w:val="clear" w:color="auto" w:fill="auto"/>
              <w:adjustRightInd w:val="0"/>
              <w:snapToGrid w:val="0"/>
              <w:spacing w:line="360" w:lineRule="auto"/>
              <w:rPr>
                <w:rFonts w:eastAsia="仿宋_GB2312"/>
                <w:color w:val="auto"/>
                <w:sz w:val="24"/>
                <w:highlight w:val="none"/>
              </w:rPr>
            </w:pPr>
          </w:p>
        </w:tc>
      </w:tr>
      <w:tr w14:paraId="5DE51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4BCB3A4B">
            <w:pPr>
              <w:shd w:val="clear" w:color="auto" w:fill="auto"/>
              <w:adjustRightInd w:val="0"/>
              <w:snapToGrid w:val="0"/>
              <w:spacing w:line="360" w:lineRule="auto"/>
              <w:rPr>
                <w:rFonts w:eastAsia="仿宋_GB2312"/>
                <w:color w:val="auto"/>
                <w:sz w:val="24"/>
                <w:highlight w:val="none"/>
              </w:rPr>
            </w:pPr>
          </w:p>
        </w:tc>
        <w:tc>
          <w:tcPr>
            <w:tcW w:w="1428" w:type="dxa"/>
            <w:noWrap w:val="0"/>
            <w:vAlign w:val="center"/>
          </w:tcPr>
          <w:p w14:paraId="6B9A41A1">
            <w:pPr>
              <w:shd w:val="clear" w:color="auto" w:fill="auto"/>
              <w:adjustRightInd w:val="0"/>
              <w:snapToGrid w:val="0"/>
              <w:spacing w:line="360" w:lineRule="auto"/>
              <w:rPr>
                <w:rFonts w:eastAsia="仿宋_GB2312"/>
                <w:color w:val="auto"/>
                <w:sz w:val="24"/>
                <w:highlight w:val="none"/>
              </w:rPr>
            </w:pPr>
          </w:p>
        </w:tc>
        <w:tc>
          <w:tcPr>
            <w:tcW w:w="1188" w:type="dxa"/>
            <w:noWrap w:val="0"/>
            <w:vAlign w:val="top"/>
          </w:tcPr>
          <w:p w14:paraId="36055269">
            <w:pPr>
              <w:shd w:val="clear" w:color="auto" w:fill="auto"/>
              <w:adjustRightInd w:val="0"/>
              <w:snapToGrid w:val="0"/>
              <w:spacing w:line="360" w:lineRule="auto"/>
              <w:rPr>
                <w:rFonts w:eastAsia="仿宋_GB2312"/>
                <w:color w:val="auto"/>
                <w:sz w:val="24"/>
                <w:highlight w:val="none"/>
              </w:rPr>
            </w:pPr>
          </w:p>
        </w:tc>
        <w:tc>
          <w:tcPr>
            <w:tcW w:w="1560" w:type="dxa"/>
            <w:noWrap w:val="0"/>
            <w:vAlign w:val="top"/>
          </w:tcPr>
          <w:p w14:paraId="7E8355CD">
            <w:pPr>
              <w:shd w:val="clear" w:color="auto" w:fill="auto"/>
              <w:adjustRightInd w:val="0"/>
              <w:snapToGrid w:val="0"/>
              <w:spacing w:line="360" w:lineRule="auto"/>
              <w:rPr>
                <w:rFonts w:eastAsia="仿宋_GB2312"/>
                <w:color w:val="auto"/>
                <w:sz w:val="24"/>
                <w:highlight w:val="none"/>
              </w:rPr>
            </w:pPr>
          </w:p>
        </w:tc>
        <w:tc>
          <w:tcPr>
            <w:tcW w:w="992" w:type="dxa"/>
            <w:noWrap w:val="0"/>
            <w:vAlign w:val="center"/>
          </w:tcPr>
          <w:p w14:paraId="4F982083">
            <w:pPr>
              <w:shd w:val="clear" w:color="auto" w:fill="auto"/>
              <w:adjustRightInd w:val="0"/>
              <w:snapToGrid w:val="0"/>
              <w:spacing w:line="360" w:lineRule="auto"/>
              <w:rPr>
                <w:rFonts w:eastAsia="仿宋_GB2312"/>
                <w:color w:val="auto"/>
                <w:sz w:val="24"/>
                <w:highlight w:val="none"/>
              </w:rPr>
            </w:pPr>
          </w:p>
        </w:tc>
        <w:tc>
          <w:tcPr>
            <w:tcW w:w="1276" w:type="dxa"/>
            <w:noWrap w:val="0"/>
            <w:vAlign w:val="center"/>
          </w:tcPr>
          <w:p w14:paraId="219978EC">
            <w:pPr>
              <w:shd w:val="clear" w:color="auto" w:fill="auto"/>
              <w:adjustRightInd w:val="0"/>
              <w:snapToGrid w:val="0"/>
              <w:spacing w:line="360" w:lineRule="auto"/>
              <w:rPr>
                <w:rFonts w:eastAsia="仿宋_GB2312"/>
                <w:color w:val="auto"/>
                <w:sz w:val="24"/>
                <w:highlight w:val="none"/>
              </w:rPr>
            </w:pPr>
          </w:p>
        </w:tc>
        <w:tc>
          <w:tcPr>
            <w:tcW w:w="1134" w:type="dxa"/>
            <w:noWrap w:val="0"/>
            <w:vAlign w:val="center"/>
          </w:tcPr>
          <w:p w14:paraId="52DE6342">
            <w:pPr>
              <w:shd w:val="clear" w:color="auto" w:fill="auto"/>
              <w:adjustRightInd w:val="0"/>
              <w:snapToGrid w:val="0"/>
              <w:spacing w:line="360" w:lineRule="auto"/>
              <w:rPr>
                <w:rFonts w:eastAsia="仿宋_GB2312"/>
                <w:color w:val="auto"/>
                <w:sz w:val="24"/>
                <w:highlight w:val="none"/>
              </w:rPr>
            </w:pPr>
          </w:p>
        </w:tc>
        <w:tc>
          <w:tcPr>
            <w:tcW w:w="708" w:type="dxa"/>
            <w:noWrap w:val="0"/>
            <w:vAlign w:val="center"/>
          </w:tcPr>
          <w:p w14:paraId="1C228ABE">
            <w:pPr>
              <w:shd w:val="clear" w:color="auto" w:fill="auto"/>
              <w:adjustRightInd w:val="0"/>
              <w:snapToGrid w:val="0"/>
              <w:spacing w:line="360" w:lineRule="auto"/>
              <w:rPr>
                <w:rFonts w:eastAsia="仿宋_GB2312"/>
                <w:color w:val="auto"/>
                <w:sz w:val="24"/>
                <w:highlight w:val="none"/>
              </w:rPr>
            </w:pPr>
          </w:p>
        </w:tc>
      </w:tr>
      <w:tr w14:paraId="7C03E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071DA939">
            <w:pPr>
              <w:shd w:val="clear" w:color="auto" w:fill="auto"/>
              <w:adjustRightInd w:val="0"/>
              <w:snapToGrid w:val="0"/>
              <w:spacing w:line="360" w:lineRule="auto"/>
              <w:rPr>
                <w:rFonts w:eastAsia="仿宋_GB2312"/>
                <w:color w:val="auto"/>
                <w:sz w:val="24"/>
                <w:highlight w:val="none"/>
              </w:rPr>
            </w:pPr>
          </w:p>
        </w:tc>
        <w:tc>
          <w:tcPr>
            <w:tcW w:w="1428" w:type="dxa"/>
            <w:noWrap w:val="0"/>
            <w:vAlign w:val="center"/>
          </w:tcPr>
          <w:p w14:paraId="7B734E20">
            <w:pPr>
              <w:shd w:val="clear" w:color="auto" w:fill="auto"/>
              <w:adjustRightInd w:val="0"/>
              <w:snapToGrid w:val="0"/>
              <w:spacing w:line="360" w:lineRule="auto"/>
              <w:rPr>
                <w:rFonts w:eastAsia="仿宋_GB2312"/>
                <w:color w:val="auto"/>
                <w:sz w:val="24"/>
                <w:highlight w:val="none"/>
              </w:rPr>
            </w:pPr>
          </w:p>
        </w:tc>
        <w:tc>
          <w:tcPr>
            <w:tcW w:w="1188" w:type="dxa"/>
            <w:noWrap w:val="0"/>
            <w:vAlign w:val="top"/>
          </w:tcPr>
          <w:p w14:paraId="681D9260">
            <w:pPr>
              <w:shd w:val="clear" w:color="auto" w:fill="auto"/>
              <w:adjustRightInd w:val="0"/>
              <w:snapToGrid w:val="0"/>
              <w:spacing w:line="360" w:lineRule="auto"/>
              <w:rPr>
                <w:rFonts w:eastAsia="仿宋_GB2312"/>
                <w:color w:val="auto"/>
                <w:sz w:val="24"/>
                <w:highlight w:val="none"/>
              </w:rPr>
            </w:pPr>
          </w:p>
        </w:tc>
        <w:tc>
          <w:tcPr>
            <w:tcW w:w="1560" w:type="dxa"/>
            <w:noWrap w:val="0"/>
            <w:vAlign w:val="top"/>
          </w:tcPr>
          <w:p w14:paraId="64725103">
            <w:pPr>
              <w:shd w:val="clear" w:color="auto" w:fill="auto"/>
              <w:adjustRightInd w:val="0"/>
              <w:snapToGrid w:val="0"/>
              <w:spacing w:line="360" w:lineRule="auto"/>
              <w:rPr>
                <w:rFonts w:eastAsia="仿宋_GB2312"/>
                <w:color w:val="auto"/>
                <w:sz w:val="24"/>
                <w:highlight w:val="none"/>
              </w:rPr>
            </w:pPr>
          </w:p>
        </w:tc>
        <w:tc>
          <w:tcPr>
            <w:tcW w:w="992" w:type="dxa"/>
            <w:noWrap w:val="0"/>
            <w:vAlign w:val="center"/>
          </w:tcPr>
          <w:p w14:paraId="5A0F8113">
            <w:pPr>
              <w:shd w:val="clear" w:color="auto" w:fill="auto"/>
              <w:adjustRightInd w:val="0"/>
              <w:snapToGrid w:val="0"/>
              <w:spacing w:line="360" w:lineRule="auto"/>
              <w:rPr>
                <w:rFonts w:eastAsia="仿宋_GB2312"/>
                <w:color w:val="auto"/>
                <w:sz w:val="24"/>
                <w:highlight w:val="none"/>
              </w:rPr>
            </w:pPr>
          </w:p>
        </w:tc>
        <w:tc>
          <w:tcPr>
            <w:tcW w:w="1276" w:type="dxa"/>
            <w:noWrap w:val="0"/>
            <w:vAlign w:val="center"/>
          </w:tcPr>
          <w:p w14:paraId="0C08C7B0">
            <w:pPr>
              <w:shd w:val="clear" w:color="auto" w:fill="auto"/>
              <w:adjustRightInd w:val="0"/>
              <w:snapToGrid w:val="0"/>
              <w:spacing w:line="360" w:lineRule="auto"/>
              <w:rPr>
                <w:rFonts w:eastAsia="仿宋_GB2312"/>
                <w:color w:val="auto"/>
                <w:sz w:val="24"/>
                <w:highlight w:val="none"/>
              </w:rPr>
            </w:pPr>
          </w:p>
        </w:tc>
        <w:tc>
          <w:tcPr>
            <w:tcW w:w="1134" w:type="dxa"/>
            <w:noWrap w:val="0"/>
            <w:vAlign w:val="center"/>
          </w:tcPr>
          <w:p w14:paraId="67D76189">
            <w:pPr>
              <w:shd w:val="clear" w:color="auto" w:fill="auto"/>
              <w:adjustRightInd w:val="0"/>
              <w:snapToGrid w:val="0"/>
              <w:spacing w:line="360" w:lineRule="auto"/>
              <w:rPr>
                <w:rFonts w:eastAsia="仿宋_GB2312"/>
                <w:color w:val="auto"/>
                <w:sz w:val="24"/>
                <w:highlight w:val="none"/>
              </w:rPr>
            </w:pPr>
          </w:p>
        </w:tc>
        <w:tc>
          <w:tcPr>
            <w:tcW w:w="708" w:type="dxa"/>
            <w:noWrap w:val="0"/>
            <w:vAlign w:val="center"/>
          </w:tcPr>
          <w:p w14:paraId="71F64358">
            <w:pPr>
              <w:shd w:val="clear" w:color="auto" w:fill="auto"/>
              <w:adjustRightInd w:val="0"/>
              <w:snapToGrid w:val="0"/>
              <w:spacing w:line="360" w:lineRule="auto"/>
              <w:rPr>
                <w:rFonts w:eastAsia="仿宋_GB2312"/>
                <w:color w:val="auto"/>
                <w:sz w:val="24"/>
                <w:highlight w:val="none"/>
              </w:rPr>
            </w:pPr>
          </w:p>
        </w:tc>
      </w:tr>
      <w:tr w14:paraId="585F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18D572D8">
            <w:pPr>
              <w:shd w:val="clear" w:color="auto" w:fill="auto"/>
              <w:adjustRightInd w:val="0"/>
              <w:snapToGrid w:val="0"/>
              <w:spacing w:line="360" w:lineRule="auto"/>
              <w:rPr>
                <w:rFonts w:eastAsia="仿宋_GB2312"/>
                <w:color w:val="auto"/>
                <w:sz w:val="24"/>
                <w:highlight w:val="none"/>
              </w:rPr>
            </w:pPr>
          </w:p>
        </w:tc>
        <w:tc>
          <w:tcPr>
            <w:tcW w:w="1428" w:type="dxa"/>
            <w:noWrap w:val="0"/>
            <w:vAlign w:val="center"/>
          </w:tcPr>
          <w:p w14:paraId="4F9ABB5B">
            <w:pPr>
              <w:shd w:val="clear" w:color="auto" w:fill="auto"/>
              <w:adjustRightInd w:val="0"/>
              <w:snapToGrid w:val="0"/>
              <w:spacing w:line="360" w:lineRule="auto"/>
              <w:rPr>
                <w:rFonts w:eastAsia="仿宋_GB2312"/>
                <w:color w:val="auto"/>
                <w:sz w:val="24"/>
                <w:highlight w:val="none"/>
              </w:rPr>
            </w:pPr>
          </w:p>
        </w:tc>
        <w:tc>
          <w:tcPr>
            <w:tcW w:w="1188" w:type="dxa"/>
            <w:noWrap w:val="0"/>
            <w:vAlign w:val="top"/>
          </w:tcPr>
          <w:p w14:paraId="790E57A9">
            <w:pPr>
              <w:shd w:val="clear" w:color="auto" w:fill="auto"/>
              <w:adjustRightInd w:val="0"/>
              <w:snapToGrid w:val="0"/>
              <w:spacing w:line="360" w:lineRule="auto"/>
              <w:rPr>
                <w:rFonts w:eastAsia="仿宋_GB2312"/>
                <w:color w:val="auto"/>
                <w:sz w:val="24"/>
                <w:highlight w:val="none"/>
              </w:rPr>
            </w:pPr>
          </w:p>
        </w:tc>
        <w:tc>
          <w:tcPr>
            <w:tcW w:w="1560" w:type="dxa"/>
            <w:noWrap w:val="0"/>
            <w:vAlign w:val="top"/>
          </w:tcPr>
          <w:p w14:paraId="66174CEF">
            <w:pPr>
              <w:shd w:val="clear" w:color="auto" w:fill="auto"/>
              <w:adjustRightInd w:val="0"/>
              <w:snapToGrid w:val="0"/>
              <w:spacing w:line="360" w:lineRule="auto"/>
              <w:rPr>
                <w:rFonts w:eastAsia="仿宋_GB2312"/>
                <w:color w:val="auto"/>
                <w:sz w:val="24"/>
                <w:highlight w:val="none"/>
              </w:rPr>
            </w:pPr>
          </w:p>
        </w:tc>
        <w:tc>
          <w:tcPr>
            <w:tcW w:w="992" w:type="dxa"/>
            <w:noWrap w:val="0"/>
            <w:vAlign w:val="center"/>
          </w:tcPr>
          <w:p w14:paraId="0BB26C80">
            <w:pPr>
              <w:shd w:val="clear" w:color="auto" w:fill="auto"/>
              <w:adjustRightInd w:val="0"/>
              <w:snapToGrid w:val="0"/>
              <w:spacing w:line="360" w:lineRule="auto"/>
              <w:rPr>
                <w:rFonts w:eastAsia="仿宋_GB2312"/>
                <w:color w:val="auto"/>
                <w:sz w:val="24"/>
                <w:highlight w:val="none"/>
              </w:rPr>
            </w:pPr>
          </w:p>
        </w:tc>
        <w:tc>
          <w:tcPr>
            <w:tcW w:w="1276" w:type="dxa"/>
            <w:noWrap w:val="0"/>
            <w:vAlign w:val="center"/>
          </w:tcPr>
          <w:p w14:paraId="50BC9702">
            <w:pPr>
              <w:shd w:val="clear" w:color="auto" w:fill="auto"/>
              <w:adjustRightInd w:val="0"/>
              <w:snapToGrid w:val="0"/>
              <w:spacing w:line="360" w:lineRule="auto"/>
              <w:rPr>
                <w:rFonts w:eastAsia="仿宋_GB2312"/>
                <w:color w:val="auto"/>
                <w:sz w:val="24"/>
                <w:highlight w:val="none"/>
              </w:rPr>
            </w:pPr>
          </w:p>
        </w:tc>
        <w:tc>
          <w:tcPr>
            <w:tcW w:w="1134" w:type="dxa"/>
            <w:noWrap w:val="0"/>
            <w:vAlign w:val="center"/>
          </w:tcPr>
          <w:p w14:paraId="32ADAD31">
            <w:pPr>
              <w:shd w:val="clear" w:color="auto" w:fill="auto"/>
              <w:adjustRightInd w:val="0"/>
              <w:snapToGrid w:val="0"/>
              <w:spacing w:line="360" w:lineRule="auto"/>
              <w:rPr>
                <w:rFonts w:eastAsia="仿宋_GB2312"/>
                <w:color w:val="auto"/>
                <w:sz w:val="24"/>
                <w:highlight w:val="none"/>
              </w:rPr>
            </w:pPr>
          </w:p>
        </w:tc>
        <w:tc>
          <w:tcPr>
            <w:tcW w:w="708" w:type="dxa"/>
            <w:noWrap w:val="0"/>
            <w:vAlign w:val="center"/>
          </w:tcPr>
          <w:p w14:paraId="49B1479C">
            <w:pPr>
              <w:shd w:val="clear" w:color="auto" w:fill="auto"/>
              <w:adjustRightInd w:val="0"/>
              <w:snapToGrid w:val="0"/>
              <w:spacing w:line="360" w:lineRule="auto"/>
              <w:rPr>
                <w:rFonts w:eastAsia="仿宋_GB2312"/>
                <w:color w:val="auto"/>
                <w:sz w:val="24"/>
                <w:highlight w:val="none"/>
              </w:rPr>
            </w:pPr>
          </w:p>
        </w:tc>
      </w:tr>
      <w:tr w14:paraId="7C17D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75D8F772">
            <w:pPr>
              <w:shd w:val="clear" w:color="auto" w:fill="auto"/>
              <w:adjustRightInd w:val="0"/>
              <w:snapToGrid w:val="0"/>
              <w:spacing w:line="360" w:lineRule="auto"/>
              <w:rPr>
                <w:rFonts w:eastAsia="仿宋_GB2312"/>
                <w:color w:val="auto"/>
                <w:sz w:val="24"/>
                <w:highlight w:val="none"/>
              </w:rPr>
            </w:pPr>
          </w:p>
        </w:tc>
        <w:tc>
          <w:tcPr>
            <w:tcW w:w="1428" w:type="dxa"/>
            <w:noWrap w:val="0"/>
            <w:vAlign w:val="center"/>
          </w:tcPr>
          <w:p w14:paraId="534740E5">
            <w:pPr>
              <w:shd w:val="clear" w:color="auto" w:fill="auto"/>
              <w:adjustRightInd w:val="0"/>
              <w:snapToGrid w:val="0"/>
              <w:spacing w:line="360" w:lineRule="auto"/>
              <w:rPr>
                <w:rFonts w:eastAsia="仿宋_GB2312"/>
                <w:color w:val="auto"/>
                <w:sz w:val="24"/>
                <w:highlight w:val="none"/>
              </w:rPr>
            </w:pPr>
          </w:p>
        </w:tc>
        <w:tc>
          <w:tcPr>
            <w:tcW w:w="1188" w:type="dxa"/>
            <w:noWrap w:val="0"/>
            <w:vAlign w:val="top"/>
          </w:tcPr>
          <w:p w14:paraId="01046FC0">
            <w:pPr>
              <w:shd w:val="clear" w:color="auto" w:fill="auto"/>
              <w:adjustRightInd w:val="0"/>
              <w:snapToGrid w:val="0"/>
              <w:spacing w:line="360" w:lineRule="auto"/>
              <w:rPr>
                <w:rFonts w:eastAsia="仿宋_GB2312"/>
                <w:color w:val="auto"/>
                <w:sz w:val="24"/>
                <w:highlight w:val="none"/>
              </w:rPr>
            </w:pPr>
          </w:p>
        </w:tc>
        <w:tc>
          <w:tcPr>
            <w:tcW w:w="1560" w:type="dxa"/>
            <w:noWrap w:val="0"/>
            <w:vAlign w:val="top"/>
          </w:tcPr>
          <w:p w14:paraId="04849151">
            <w:pPr>
              <w:shd w:val="clear" w:color="auto" w:fill="auto"/>
              <w:adjustRightInd w:val="0"/>
              <w:snapToGrid w:val="0"/>
              <w:spacing w:line="360" w:lineRule="auto"/>
              <w:rPr>
                <w:rFonts w:eastAsia="仿宋_GB2312"/>
                <w:color w:val="auto"/>
                <w:sz w:val="24"/>
                <w:highlight w:val="none"/>
              </w:rPr>
            </w:pPr>
          </w:p>
        </w:tc>
        <w:tc>
          <w:tcPr>
            <w:tcW w:w="992" w:type="dxa"/>
            <w:noWrap w:val="0"/>
            <w:vAlign w:val="center"/>
          </w:tcPr>
          <w:p w14:paraId="1CE68D54">
            <w:pPr>
              <w:shd w:val="clear" w:color="auto" w:fill="auto"/>
              <w:adjustRightInd w:val="0"/>
              <w:snapToGrid w:val="0"/>
              <w:spacing w:line="360" w:lineRule="auto"/>
              <w:rPr>
                <w:rFonts w:eastAsia="仿宋_GB2312"/>
                <w:color w:val="auto"/>
                <w:sz w:val="24"/>
                <w:highlight w:val="none"/>
              </w:rPr>
            </w:pPr>
          </w:p>
        </w:tc>
        <w:tc>
          <w:tcPr>
            <w:tcW w:w="1276" w:type="dxa"/>
            <w:noWrap w:val="0"/>
            <w:vAlign w:val="center"/>
          </w:tcPr>
          <w:p w14:paraId="0F561C97">
            <w:pPr>
              <w:shd w:val="clear" w:color="auto" w:fill="auto"/>
              <w:adjustRightInd w:val="0"/>
              <w:snapToGrid w:val="0"/>
              <w:spacing w:line="360" w:lineRule="auto"/>
              <w:rPr>
                <w:rFonts w:eastAsia="仿宋_GB2312"/>
                <w:color w:val="auto"/>
                <w:sz w:val="24"/>
                <w:highlight w:val="none"/>
              </w:rPr>
            </w:pPr>
          </w:p>
        </w:tc>
        <w:tc>
          <w:tcPr>
            <w:tcW w:w="1134" w:type="dxa"/>
            <w:noWrap w:val="0"/>
            <w:vAlign w:val="center"/>
          </w:tcPr>
          <w:p w14:paraId="6A05E1B9">
            <w:pPr>
              <w:shd w:val="clear" w:color="auto" w:fill="auto"/>
              <w:adjustRightInd w:val="0"/>
              <w:snapToGrid w:val="0"/>
              <w:spacing w:line="360" w:lineRule="auto"/>
              <w:rPr>
                <w:rFonts w:eastAsia="仿宋_GB2312"/>
                <w:color w:val="auto"/>
                <w:sz w:val="24"/>
                <w:highlight w:val="none"/>
              </w:rPr>
            </w:pPr>
          </w:p>
        </w:tc>
        <w:tc>
          <w:tcPr>
            <w:tcW w:w="708" w:type="dxa"/>
            <w:noWrap w:val="0"/>
            <w:vAlign w:val="center"/>
          </w:tcPr>
          <w:p w14:paraId="2841FE49">
            <w:pPr>
              <w:shd w:val="clear" w:color="auto" w:fill="auto"/>
              <w:adjustRightInd w:val="0"/>
              <w:snapToGrid w:val="0"/>
              <w:spacing w:line="360" w:lineRule="auto"/>
              <w:rPr>
                <w:rFonts w:eastAsia="仿宋_GB2312"/>
                <w:color w:val="auto"/>
                <w:sz w:val="24"/>
                <w:highlight w:val="none"/>
              </w:rPr>
            </w:pPr>
          </w:p>
        </w:tc>
      </w:tr>
      <w:tr w14:paraId="2D9C5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noWrap w:val="0"/>
            <w:vAlign w:val="center"/>
          </w:tcPr>
          <w:p w14:paraId="6EDFCF53">
            <w:pPr>
              <w:shd w:val="clear" w:color="auto" w:fill="auto"/>
              <w:adjustRightInd w:val="0"/>
              <w:snapToGrid w:val="0"/>
              <w:spacing w:line="360" w:lineRule="auto"/>
              <w:rPr>
                <w:rFonts w:eastAsia="仿宋_GB2312"/>
                <w:color w:val="auto"/>
                <w:sz w:val="24"/>
                <w:highlight w:val="none"/>
              </w:rPr>
            </w:pPr>
          </w:p>
        </w:tc>
        <w:tc>
          <w:tcPr>
            <w:tcW w:w="1428" w:type="dxa"/>
            <w:noWrap w:val="0"/>
            <w:vAlign w:val="center"/>
          </w:tcPr>
          <w:p w14:paraId="5E7483EE">
            <w:pPr>
              <w:shd w:val="clear" w:color="auto" w:fill="auto"/>
              <w:adjustRightInd w:val="0"/>
              <w:snapToGrid w:val="0"/>
              <w:spacing w:line="360" w:lineRule="auto"/>
              <w:rPr>
                <w:rFonts w:eastAsia="仿宋_GB2312"/>
                <w:color w:val="auto"/>
                <w:sz w:val="24"/>
                <w:highlight w:val="none"/>
              </w:rPr>
            </w:pPr>
          </w:p>
        </w:tc>
        <w:tc>
          <w:tcPr>
            <w:tcW w:w="1188" w:type="dxa"/>
            <w:noWrap w:val="0"/>
            <w:vAlign w:val="top"/>
          </w:tcPr>
          <w:p w14:paraId="4AF97893">
            <w:pPr>
              <w:shd w:val="clear" w:color="auto" w:fill="auto"/>
              <w:adjustRightInd w:val="0"/>
              <w:snapToGrid w:val="0"/>
              <w:spacing w:line="360" w:lineRule="auto"/>
              <w:rPr>
                <w:rFonts w:eastAsia="仿宋_GB2312"/>
                <w:color w:val="auto"/>
                <w:sz w:val="24"/>
                <w:highlight w:val="none"/>
              </w:rPr>
            </w:pPr>
          </w:p>
        </w:tc>
        <w:tc>
          <w:tcPr>
            <w:tcW w:w="1560" w:type="dxa"/>
            <w:noWrap w:val="0"/>
            <w:vAlign w:val="top"/>
          </w:tcPr>
          <w:p w14:paraId="07A40976">
            <w:pPr>
              <w:shd w:val="clear" w:color="auto" w:fill="auto"/>
              <w:adjustRightInd w:val="0"/>
              <w:snapToGrid w:val="0"/>
              <w:spacing w:line="360" w:lineRule="auto"/>
              <w:rPr>
                <w:rFonts w:eastAsia="仿宋_GB2312"/>
                <w:color w:val="auto"/>
                <w:sz w:val="24"/>
                <w:highlight w:val="none"/>
              </w:rPr>
            </w:pPr>
          </w:p>
        </w:tc>
        <w:tc>
          <w:tcPr>
            <w:tcW w:w="992" w:type="dxa"/>
            <w:noWrap w:val="0"/>
            <w:vAlign w:val="center"/>
          </w:tcPr>
          <w:p w14:paraId="5CCBE407">
            <w:pPr>
              <w:shd w:val="clear" w:color="auto" w:fill="auto"/>
              <w:adjustRightInd w:val="0"/>
              <w:snapToGrid w:val="0"/>
              <w:spacing w:line="360" w:lineRule="auto"/>
              <w:rPr>
                <w:rFonts w:eastAsia="仿宋_GB2312"/>
                <w:color w:val="auto"/>
                <w:sz w:val="24"/>
                <w:highlight w:val="none"/>
              </w:rPr>
            </w:pPr>
          </w:p>
        </w:tc>
        <w:tc>
          <w:tcPr>
            <w:tcW w:w="1276" w:type="dxa"/>
            <w:noWrap w:val="0"/>
            <w:vAlign w:val="center"/>
          </w:tcPr>
          <w:p w14:paraId="62CE1DBB">
            <w:pPr>
              <w:shd w:val="clear" w:color="auto" w:fill="auto"/>
              <w:adjustRightInd w:val="0"/>
              <w:snapToGrid w:val="0"/>
              <w:spacing w:line="360" w:lineRule="auto"/>
              <w:rPr>
                <w:rFonts w:eastAsia="仿宋_GB2312"/>
                <w:color w:val="auto"/>
                <w:sz w:val="24"/>
                <w:highlight w:val="none"/>
              </w:rPr>
            </w:pPr>
          </w:p>
        </w:tc>
        <w:tc>
          <w:tcPr>
            <w:tcW w:w="1134" w:type="dxa"/>
            <w:noWrap w:val="0"/>
            <w:vAlign w:val="center"/>
          </w:tcPr>
          <w:p w14:paraId="016F311C">
            <w:pPr>
              <w:shd w:val="clear" w:color="auto" w:fill="auto"/>
              <w:adjustRightInd w:val="0"/>
              <w:snapToGrid w:val="0"/>
              <w:spacing w:line="360" w:lineRule="auto"/>
              <w:rPr>
                <w:rFonts w:eastAsia="仿宋_GB2312"/>
                <w:color w:val="auto"/>
                <w:sz w:val="24"/>
                <w:highlight w:val="none"/>
              </w:rPr>
            </w:pPr>
          </w:p>
        </w:tc>
        <w:tc>
          <w:tcPr>
            <w:tcW w:w="708" w:type="dxa"/>
            <w:noWrap w:val="0"/>
            <w:vAlign w:val="center"/>
          </w:tcPr>
          <w:p w14:paraId="590FC8E0">
            <w:pPr>
              <w:shd w:val="clear" w:color="auto" w:fill="auto"/>
              <w:adjustRightInd w:val="0"/>
              <w:snapToGrid w:val="0"/>
              <w:spacing w:line="360" w:lineRule="auto"/>
              <w:rPr>
                <w:rFonts w:eastAsia="仿宋_GB2312"/>
                <w:color w:val="auto"/>
                <w:sz w:val="24"/>
                <w:highlight w:val="none"/>
              </w:rPr>
            </w:pPr>
          </w:p>
        </w:tc>
      </w:tr>
    </w:tbl>
    <w:p w14:paraId="3228373A">
      <w:pPr>
        <w:shd w:val="clear" w:color="auto" w:fill="auto"/>
        <w:autoSpaceDE w:val="0"/>
        <w:autoSpaceDN w:val="0"/>
        <w:adjustRightInd w:val="0"/>
        <w:snapToGrid w:val="0"/>
        <w:spacing w:before="120" w:line="360" w:lineRule="auto"/>
        <w:ind w:left="-206" w:leftChars="-98"/>
        <w:jc w:val="left"/>
        <w:rPr>
          <w:rFonts w:eastAsia="仿宋"/>
          <w:color w:val="auto"/>
          <w:kern w:val="0"/>
          <w:sz w:val="24"/>
          <w:szCs w:val="28"/>
          <w:highlight w:val="none"/>
        </w:rPr>
      </w:pPr>
    </w:p>
    <w:p w14:paraId="62CAF02B">
      <w:pPr>
        <w:shd w:val="clear" w:color="auto" w:fill="auto"/>
        <w:spacing w:line="360" w:lineRule="auto"/>
        <w:ind w:firstLine="1920" w:firstLineChars="800"/>
        <w:rPr>
          <w:rFonts w:eastAsia="仿宋_GB2312"/>
          <w:color w:val="auto"/>
          <w:sz w:val="24"/>
          <w:highlight w:val="none"/>
        </w:rPr>
      </w:pPr>
      <w:r>
        <w:rPr>
          <w:rFonts w:hint="eastAsia" w:eastAsia="仿宋_GB2312"/>
          <w:color w:val="auto"/>
          <w:sz w:val="24"/>
          <w:highlight w:val="none"/>
        </w:rPr>
        <w:t>投标人</w:t>
      </w:r>
      <w:r>
        <w:rPr>
          <w:rFonts w:eastAsia="仿宋_GB2312"/>
          <w:color w:val="auto"/>
          <w:sz w:val="24"/>
          <w:highlight w:val="none"/>
        </w:rPr>
        <w:t>（盖</w:t>
      </w:r>
      <w:r>
        <w:rPr>
          <w:rFonts w:hint="eastAsia" w:eastAsia="仿宋_GB2312"/>
          <w:color w:val="auto"/>
          <w:sz w:val="24"/>
          <w:highlight w:val="none"/>
        </w:rPr>
        <w:t>公</w:t>
      </w:r>
      <w:r>
        <w:rPr>
          <w:rFonts w:eastAsia="仿宋_GB2312"/>
          <w:color w:val="auto"/>
          <w:sz w:val="24"/>
          <w:highlight w:val="none"/>
        </w:rPr>
        <w:t>章）：</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p>
    <w:p w14:paraId="71304768">
      <w:pPr>
        <w:shd w:val="clear" w:color="auto" w:fill="auto"/>
        <w:spacing w:line="360" w:lineRule="auto"/>
        <w:ind w:firstLine="1920" w:firstLineChars="800"/>
        <w:rPr>
          <w:rFonts w:eastAsia="仿宋_GB2312"/>
          <w:color w:val="auto"/>
          <w:sz w:val="24"/>
          <w:highlight w:val="none"/>
          <w:u w:val="single"/>
        </w:rPr>
      </w:pPr>
      <w:r>
        <w:rPr>
          <w:rFonts w:eastAsia="仿宋_GB2312"/>
          <w:color w:val="auto"/>
          <w:sz w:val="24"/>
          <w:highlight w:val="none"/>
        </w:rPr>
        <w:t>法定代表人</w:t>
      </w:r>
      <w:r>
        <w:rPr>
          <w:rFonts w:hint="eastAsia" w:eastAsia="仿宋"/>
          <w:color w:val="auto"/>
          <w:sz w:val="24"/>
          <w:highlight w:val="none"/>
          <w:lang w:val="zh-CN"/>
        </w:rPr>
        <w:t>（或单位负责人）</w:t>
      </w:r>
      <w:r>
        <w:rPr>
          <w:rFonts w:eastAsia="仿宋_GB2312"/>
          <w:color w:val="auto"/>
          <w:sz w:val="24"/>
          <w:highlight w:val="none"/>
        </w:rPr>
        <w:t>或授权代表（签字</w:t>
      </w:r>
      <w:r>
        <w:rPr>
          <w:rFonts w:hint="eastAsia" w:eastAsia="仿宋_GB2312"/>
          <w:color w:val="auto"/>
          <w:sz w:val="24"/>
          <w:highlight w:val="none"/>
        </w:rPr>
        <w:t>或盖章</w:t>
      </w:r>
      <w:r>
        <w:rPr>
          <w:rFonts w:eastAsia="仿宋_GB2312"/>
          <w:color w:val="auto"/>
          <w:sz w:val="24"/>
          <w:highlight w:val="none"/>
        </w:rPr>
        <w:t>）：</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r>
        <w:rPr>
          <w:rFonts w:eastAsia="仿宋_GB2312"/>
          <w:color w:val="auto"/>
          <w:sz w:val="24"/>
          <w:highlight w:val="none"/>
          <w:u w:val="single"/>
        </w:rPr>
        <w:t xml:space="preserve">     </w:t>
      </w:r>
    </w:p>
    <w:p w14:paraId="19F55A5E">
      <w:pPr>
        <w:pStyle w:val="18"/>
        <w:shd w:val="clear" w:color="auto" w:fill="auto"/>
        <w:tabs>
          <w:tab w:val="left" w:pos="5580"/>
        </w:tabs>
        <w:spacing w:line="360" w:lineRule="auto"/>
        <w:ind w:firstLine="1920" w:firstLineChars="800"/>
        <w:rPr>
          <w:rFonts w:ascii="Times New Roman" w:hAnsi="Times New Roman" w:eastAsia="仿宋_GB2312"/>
          <w:color w:val="auto"/>
          <w:sz w:val="24"/>
          <w:highlight w:val="none"/>
        </w:rPr>
      </w:pPr>
      <w:r>
        <w:rPr>
          <w:rFonts w:eastAsia="仿宋_GB2312"/>
          <w:color w:val="auto"/>
          <w:sz w:val="24"/>
          <w:highlight w:val="none"/>
        </w:rPr>
        <w:t>日    期：</w:t>
      </w:r>
      <w:r>
        <w:rPr>
          <w:rFonts w:eastAsia="仿宋_GB2312"/>
          <w:color w:val="auto"/>
          <w:sz w:val="32"/>
          <w:highlight w:val="none"/>
          <w:u w:val="single"/>
        </w:rPr>
        <w:t xml:space="preserve">                      </w:t>
      </w:r>
      <w:r>
        <w:rPr>
          <w:rFonts w:hint="eastAsia" w:eastAsia="仿宋_GB2312"/>
          <w:color w:val="auto"/>
          <w:sz w:val="32"/>
          <w:highlight w:val="none"/>
          <w:u w:val="single"/>
        </w:rPr>
        <w:t xml:space="preserve">      </w:t>
      </w:r>
    </w:p>
    <w:p w14:paraId="38BB8AC5">
      <w:pPr>
        <w:pStyle w:val="7"/>
        <w:numPr>
          <w:ilvl w:val="0"/>
          <w:numId w:val="0"/>
        </w:numPr>
        <w:shd w:val="clear" w:color="auto" w:fill="auto"/>
        <w:jc w:val="both"/>
        <w:rPr>
          <w:rFonts w:hint="eastAsia" w:ascii="Times New Roman" w:hAnsi="Times New Roman" w:eastAsia="仿宋" w:cs="Times New Roman"/>
          <w:b/>
          <w:color w:val="auto"/>
          <w:kern w:val="0"/>
          <w:sz w:val="30"/>
          <w:szCs w:val="20"/>
          <w:highlight w:val="none"/>
          <w:lang w:val="en-US" w:eastAsia="zh-CN" w:bidi="ar-SA"/>
        </w:rPr>
      </w:pPr>
    </w:p>
    <w:p w14:paraId="4C637BFB">
      <w:pPr>
        <w:pStyle w:val="7"/>
        <w:numPr>
          <w:ilvl w:val="0"/>
          <w:numId w:val="0"/>
        </w:numPr>
        <w:shd w:val="clear" w:color="auto" w:fill="auto"/>
        <w:ind w:left="420" w:leftChars="0"/>
        <w:jc w:val="center"/>
        <w:rPr>
          <w:rFonts w:hint="eastAsia" w:ascii="Times New Roman" w:hAnsi="Times New Roman" w:eastAsia="仿宋" w:cs="Times New Roman"/>
          <w:b/>
          <w:color w:val="auto"/>
          <w:kern w:val="0"/>
          <w:sz w:val="30"/>
          <w:szCs w:val="20"/>
          <w:highlight w:val="none"/>
          <w:lang w:val="en-US" w:eastAsia="zh-CN" w:bidi="ar-SA"/>
        </w:rPr>
      </w:pPr>
    </w:p>
    <w:p w14:paraId="5F08C770">
      <w:pPr>
        <w:pStyle w:val="6"/>
        <w:shd w:val="clear" w:color="auto" w:fill="auto"/>
        <w:ind w:firstLine="0" w:firstLineChars="0"/>
        <w:jc w:val="center"/>
        <w:rPr>
          <w:rFonts w:ascii="Times New Roman" w:hAnsi="Times New Roman" w:eastAsia="仿宋_GB2312"/>
          <w:color w:val="auto"/>
          <w:sz w:val="32"/>
          <w:szCs w:val="32"/>
          <w:highlight w:val="none"/>
          <w:lang w:val="zh-CN"/>
        </w:rPr>
      </w:pPr>
      <w:bookmarkStart w:id="386" w:name="_Toc32716"/>
      <w:r>
        <w:rPr>
          <w:rFonts w:ascii="Times New Roman" w:hAnsi="Times New Roman" w:eastAsia="仿宋_GB2312"/>
          <w:color w:val="auto"/>
          <w:sz w:val="32"/>
          <w:szCs w:val="32"/>
          <w:highlight w:val="none"/>
          <w:lang w:val="zh-CN"/>
        </w:rPr>
        <w:t>节能产品、环境标志产品明细表</w:t>
      </w:r>
      <w:bookmarkEnd w:id="386"/>
    </w:p>
    <w:p w14:paraId="2ED25B5A">
      <w:pPr>
        <w:pStyle w:val="14"/>
        <w:shd w:val="clear" w:color="auto" w:fill="auto"/>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项目编号：</w:t>
      </w:r>
    </w:p>
    <w:p w14:paraId="594EFA95">
      <w:pPr>
        <w:pStyle w:val="14"/>
        <w:shd w:val="clear" w:color="auto" w:fill="auto"/>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项目名称：</w:t>
      </w:r>
    </w:p>
    <w:p w14:paraId="69E9E94B">
      <w:pPr>
        <w:pStyle w:val="14"/>
        <w:shd w:val="clear" w:color="auto" w:fill="auto"/>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包号：</w:t>
      </w:r>
    </w:p>
    <w:tbl>
      <w:tblPr>
        <w:tblStyle w:val="36"/>
        <w:tblW w:w="0" w:type="auto"/>
        <w:jc w:val="center"/>
        <w:tblLayout w:type="fixed"/>
        <w:tblCellMar>
          <w:top w:w="0" w:type="dxa"/>
          <w:left w:w="108" w:type="dxa"/>
          <w:bottom w:w="0" w:type="dxa"/>
          <w:right w:w="108" w:type="dxa"/>
        </w:tblCellMar>
      </w:tblPr>
      <w:tblGrid>
        <w:gridCol w:w="716"/>
        <w:gridCol w:w="1554"/>
        <w:gridCol w:w="1036"/>
        <w:gridCol w:w="1036"/>
        <w:gridCol w:w="922"/>
        <w:gridCol w:w="1470"/>
        <w:gridCol w:w="716"/>
        <w:gridCol w:w="716"/>
        <w:gridCol w:w="716"/>
      </w:tblGrid>
      <w:tr w14:paraId="3F0EE90B">
        <w:tblPrEx>
          <w:tblCellMar>
            <w:top w:w="0" w:type="dxa"/>
            <w:left w:w="108" w:type="dxa"/>
            <w:bottom w:w="0" w:type="dxa"/>
            <w:right w:w="108" w:type="dxa"/>
          </w:tblCellMar>
        </w:tblPrEx>
        <w:trPr>
          <w:jc w:val="center"/>
        </w:trPr>
        <w:tc>
          <w:tcPr>
            <w:tcW w:w="716" w:type="dxa"/>
            <w:tcBorders>
              <w:top w:val="single" w:color="auto" w:sz="6" w:space="0"/>
              <w:left w:val="single" w:color="auto" w:sz="6" w:space="0"/>
              <w:bottom w:val="single" w:color="auto" w:sz="6" w:space="0"/>
              <w:right w:val="single" w:color="auto" w:sz="6" w:space="0"/>
            </w:tcBorders>
            <w:noWrap w:val="0"/>
            <w:vAlign w:val="center"/>
          </w:tcPr>
          <w:p w14:paraId="15A6F3D5">
            <w:pPr>
              <w:shd w:val="clear" w:color="auto" w:fill="auto"/>
              <w:autoSpaceDE w:val="0"/>
              <w:autoSpaceDN w:val="0"/>
              <w:adjustRightInd w:val="0"/>
              <w:snapToGrid w:val="0"/>
              <w:jc w:val="center"/>
              <w:rPr>
                <w:rFonts w:eastAsia="仿宋_GB2312"/>
                <w:color w:val="auto"/>
                <w:sz w:val="24"/>
                <w:highlight w:val="none"/>
                <w:lang w:val="zh-CN"/>
              </w:rPr>
            </w:pPr>
            <w:r>
              <w:rPr>
                <w:rFonts w:eastAsia="仿宋_GB2312"/>
                <w:color w:val="auto"/>
                <w:sz w:val="24"/>
                <w:highlight w:val="none"/>
                <w:lang w:val="zh-CN"/>
              </w:rPr>
              <w:t>序</w:t>
            </w:r>
          </w:p>
          <w:p w14:paraId="4F7DFF3D">
            <w:pPr>
              <w:shd w:val="clear" w:color="auto" w:fill="auto"/>
              <w:autoSpaceDE w:val="0"/>
              <w:autoSpaceDN w:val="0"/>
              <w:adjustRightInd w:val="0"/>
              <w:snapToGrid w:val="0"/>
              <w:jc w:val="center"/>
              <w:rPr>
                <w:rFonts w:eastAsia="仿宋_GB2312"/>
                <w:color w:val="auto"/>
                <w:sz w:val="24"/>
                <w:highlight w:val="none"/>
              </w:rPr>
            </w:pPr>
            <w:r>
              <w:rPr>
                <w:rFonts w:eastAsia="仿宋_GB2312"/>
                <w:color w:val="auto"/>
                <w:sz w:val="24"/>
                <w:highlight w:val="none"/>
                <w:lang w:val="zh-CN"/>
              </w:rPr>
              <w:t>号</w:t>
            </w:r>
          </w:p>
        </w:tc>
        <w:tc>
          <w:tcPr>
            <w:tcW w:w="1554" w:type="dxa"/>
            <w:tcBorders>
              <w:top w:val="single" w:color="auto" w:sz="6" w:space="0"/>
              <w:left w:val="single" w:color="auto" w:sz="6" w:space="0"/>
              <w:bottom w:val="single" w:color="auto" w:sz="6" w:space="0"/>
              <w:right w:val="single" w:color="auto" w:sz="6" w:space="0"/>
            </w:tcBorders>
            <w:noWrap w:val="0"/>
            <w:vAlign w:val="center"/>
          </w:tcPr>
          <w:p w14:paraId="60823177">
            <w:pPr>
              <w:shd w:val="clear" w:color="auto" w:fill="auto"/>
              <w:autoSpaceDE w:val="0"/>
              <w:autoSpaceDN w:val="0"/>
              <w:adjustRightInd w:val="0"/>
              <w:snapToGrid w:val="0"/>
              <w:jc w:val="center"/>
              <w:rPr>
                <w:rFonts w:eastAsia="仿宋_GB2312"/>
                <w:color w:val="auto"/>
                <w:sz w:val="24"/>
                <w:highlight w:val="none"/>
                <w:lang w:val="zh-CN"/>
              </w:rPr>
            </w:pPr>
            <w:r>
              <w:rPr>
                <w:rFonts w:eastAsia="仿宋_GB2312"/>
                <w:color w:val="auto"/>
                <w:sz w:val="24"/>
                <w:highlight w:val="none"/>
                <w:lang w:val="zh-CN"/>
              </w:rPr>
              <w:t>产品</w:t>
            </w:r>
          </w:p>
          <w:p w14:paraId="510E9199">
            <w:pPr>
              <w:shd w:val="clear" w:color="auto" w:fill="auto"/>
              <w:autoSpaceDE w:val="0"/>
              <w:autoSpaceDN w:val="0"/>
              <w:adjustRightInd w:val="0"/>
              <w:snapToGrid w:val="0"/>
              <w:jc w:val="center"/>
              <w:rPr>
                <w:rFonts w:eastAsia="仿宋_GB2312"/>
                <w:color w:val="auto"/>
                <w:sz w:val="24"/>
                <w:highlight w:val="none"/>
              </w:rPr>
            </w:pPr>
            <w:r>
              <w:rPr>
                <w:rFonts w:eastAsia="仿宋_GB2312"/>
                <w:color w:val="auto"/>
                <w:sz w:val="24"/>
                <w:highlight w:val="none"/>
                <w:lang w:val="zh-CN"/>
              </w:rPr>
              <w:t>名称</w:t>
            </w:r>
          </w:p>
        </w:tc>
        <w:tc>
          <w:tcPr>
            <w:tcW w:w="1036" w:type="dxa"/>
            <w:tcBorders>
              <w:top w:val="single" w:color="auto" w:sz="6" w:space="0"/>
              <w:left w:val="single" w:color="auto" w:sz="6" w:space="0"/>
              <w:bottom w:val="single" w:color="auto" w:sz="6" w:space="0"/>
              <w:right w:val="single" w:color="auto" w:sz="4" w:space="0"/>
            </w:tcBorders>
            <w:noWrap w:val="0"/>
            <w:vAlign w:val="center"/>
          </w:tcPr>
          <w:p w14:paraId="311D2E7D">
            <w:pPr>
              <w:shd w:val="clear" w:color="auto" w:fill="auto"/>
              <w:autoSpaceDE w:val="0"/>
              <w:autoSpaceDN w:val="0"/>
              <w:adjustRightInd w:val="0"/>
              <w:snapToGrid w:val="0"/>
              <w:jc w:val="center"/>
              <w:rPr>
                <w:rFonts w:eastAsia="仿宋_GB2312"/>
                <w:color w:val="auto"/>
                <w:sz w:val="24"/>
                <w:highlight w:val="none"/>
              </w:rPr>
            </w:pPr>
            <w:r>
              <w:rPr>
                <w:rFonts w:eastAsia="仿宋_GB2312"/>
                <w:color w:val="auto"/>
                <w:sz w:val="24"/>
                <w:highlight w:val="none"/>
              </w:rPr>
              <w:t>制造</w:t>
            </w:r>
          </w:p>
          <w:p w14:paraId="6A53425C">
            <w:pPr>
              <w:shd w:val="clear" w:color="auto" w:fill="auto"/>
              <w:autoSpaceDE w:val="0"/>
              <w:autoSpaceDN w:val="0"/>
              <w:adjustRightInd w:val="0"/>
              <w:snapToGrid w:val="0"/>
              <w:jc w:val="center"/>
              <w:rPr>
                <w:rFonts w:eastAsia="仿宋_GB2312"/>
                <w:color w:val="auto"/>
                <w:sz w:val="24"/>
                <w:highlight w:val="none"/>
              </w:rPr>
            </w:pPr>
            <w:r>
              <w:rPr>
                <w:rFonts w:eastAsia="仿宋_GB2312"/>
                <w:color w:val="auto"/>
                <w:sz w:val="24"/>
                <w:highlight w:val="none"/>
              </w:rPr>
              <w:t>厂家</w:t>
            </w:r>
          </w:p>
        </w:tc>
        <w:tc>
          <w:tcPr>
            <w:tcW w:w="1036" w:type="dxa"/>
            <w:tcBorders>
              <w:top w:val="single" w:color="auto" w:sz="6" w:space="0"/>
              <w:left w:val="single" w:color="auto" w:sz="4" w:space="0"/>
              <w:bottom w:val="single" w:color="auto" w:sz="6" w:space="0"/>
              <w:right w:val="single" w:color="auto" w:sz="6" w:space="0"/>
            </w:tcBorders>
            <w:noWrap w:val="0"/>
            <w:vAlign w:val="center"/>
          </w:tcPr>
          <w:p w14:paraId="53AAE7CB">
            <w:pPr>
              <w:shd w:val="clear" w:color="auto" w:fill="auto"/>
              <w:autoSpaceDE w:val="0"/>
              <w:autoSpaceDN w:val="0"/>
              <w:adjustRightInd w:val="0"/>
              <w:snapToGrid w:val="0"/>
              <w:jc w:val="center"/>
              <w:rPr>
                <w:rFonts w:eastAsia="仿宋_GB2312"/>
                <w:color w:val="auto"/>
                <w:sz w:val="24"/>
                <w:highlight w:val="none"/>
                <w:lang w:val="zh-CN"/>
              </w:rPr>
            </w:pPr>
            <w:r>
              <w:rPr>
                <w:rFonts w:eastAsia="仿宋_GB2312"/>
                <w:color w:val="auto"/>
                <w:sz w:val="24"/>
                <w:highlight w:val="none"/>
                <w:lang w:val="zh-CN"/>
              </w:rPr>
              <w:t>规格</w:t>
            </w:r>
          </w:p>
          <w:p w14:paraId="2A6A9D15">
            <w:pPr>
              <w:shd w:val="clear" w:color="auto" w:fill="auto"/>
              <w:autoSpaceDE w:val="0"/>
              <w:autoSpaceDN w:val="0"/>
              <w:adjustRightInd w:val="0"/>
              <w:snapToGrid w:val="0"/>
              <w:jc w:val="center"/>
              <w:rPr>
                <w:rFonts w:eastAsia="仿宋_GB2312"/>
                <w:color w:val="auto"/>
                <w:sz w:val="24"/>
                <w:highlight w:val="none"/>
              </w:rPr>
            </w:pPr>
            <w:r>
              <w:rPr>
                <w:rFonts w:eastAsia="仿宋_GB2312"/>
                <w:color w:val="auto"/>
                <w:sz w:val="24"/>
                <w:highlight w:val="none"/>
                <w:lang w:val="zh-CN"/>
              </w:rPr>
              <w:t>型号</w:t>
            </w:r>
          </w:p>
        </w:tc>
        <w:tc>
          <w:tcPr>
            <w:tcW w:w="922" w:type="dxa"/>
            <w:tcBorders>
              <w:top w:val="single" w:color="auto" w:sz="6" w:space="0"/>
              <w:left w:val="single" w:color="auto" w:sz="6" w:space="0"/>
              <w:bottom w:val="single" w:color="auto" w:sz="6" w:space="0"/>
              <w:right w:val="single" w:color="auto" w:sz="6" w:space="0"/>
            </w:tcBorders>
            <w:noWrap w:val="0"/>
            <w:vAlign w:val="center"/>
          </w:tcPr>
          <w:p w14:paraId="1FFC27BE">
            <w:pPr>
              <w:shd w:val="clear" w:color="auto" w:fill="auto"/>
              <w:autoSpaceDE w:val="0"/>
              <w:autoSpaceDN w:val="0"/>
              <w:adjustRightInd w:val="0"/>
              <w:snapToGrid w:val="0"/>
              <w:jc w:val="center"/>
              <w:rPr>
                <w:rFonts w:eastAsia="仿宋_GB2312"/>
                <w:color w:val="auto"/>
                <w:sz w:val="24"/>
                <w:highlight w:val="none"/>
                <w:lang w:val="zh-CN"/>
              </w:rPr>
            </w:pPr>
            <w:r>
              <w:rPr>
                <w:rFonts w:eastAsia="仿宋_GB2312"/>
                <w:color w:val="auto"/>
                <w:sz w:val="24"/>
                <w:highlight w:val="none"/>
                <w:lang w:val="zh-CN"/>
              </w:rPr>
              <w:t>类别</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7CEB216C">
            <w:pPr>
              <w:shd w:val="clear" w:color="auto" w:fill="auto"/>
              <w:autoSpaceDE w:val="0"/>
              <w:autoSpaceDN w:val="0"/>
              <w:adjustRightInd w:val="0"/>
              <w:snapToGrid w:val="0"/>
              <w:jc w:val="center"/>
              <w:rPr>
                <w:rFonts w:eastAsia="仿宋_GB2312"/>
                <w:color w:val="auto"/>
                <w:sz w:val="24"/>
                <w:highlight w:val="none"/>
                <w:lang w:val="zh-CN"/>
              </w:rPr>
            </w:pPr>
            <w:r>
              <w:rPr>
                <w:rFonts w:eastAsia="仿宋_GB2312"/>
                <w:color w:val="auto"/>
                <w:sz w:val="24"/>
                <w:highlight w:val="none"/>
                <w:lang w:val="zh-CN"/>
              </w:rPr>
              <w:t>认证证书</w:t>
            </w:r>
          </w:p>
          <w:p w14:paraId="2A6882FD">
            <w:pPr>
              <w:shd w:val="clear" w:color="auto" w:fill="auto"/>
              <w:autoSpaceDE w:val="0"/>
              <w:autoSpaceDN w:val="0"/>
              <w:adjustRightInd w:val="0"/>
              <w:snapToGrid w:val="0"/>
              <w:jc w:val="center"/>
              <w:rPr>
                <w:rFonts w:eastAsia="仿宋_GB2312"/>
                <w:color w:val="auto"/>
                <w:sz w:val="24"/>
                <w:highlight w:val="none"/>
              </w:rPr>
            </w:pPr>
            <w:r>
              <w:rPr>
                <w:rFonts w:eastAsia="仿宋_GB2312"/>
                <w:color w:val="auto"/>
                <w:sz w:val="24"/>
                <w:highlight w:val="none"/>
                <w:lang w:val="zh-CN"/>
              </w:rPr>
              <w:t>编号</w:t>
            </w:r>
          </w:p>
        </w:tc>
        <w:tc>
          <w:tcPr>
            <w:tcW w:w="716" w:type="dxa"/>
            <w:tcBorders>
              <w:top w:val="single" w:color="auto" w:sz="6" w:space="0"/>
              <w:left w:val="single" w:color="auto" w:sz="6" w:space="0"/>
              <w:bottom w:val="single" w:color="auto" w:sz="6" w:space="0"/>
              <w:right w:val="single" w:color="auto" w:sz="6" w:space="0"/>
            </w:tcBorders>
            <w:noWrap w:val="0"/>
            <w:vAlign w:val="center"/>
          </w:tcPr>
          <w:p w14:paraId="12F942FA">
            <w:pPr>
              <w:shd w:val="clear" w:color="auto" w:fill="auto"/>
              <w:autoSpaceDE w:val="0"/>
              <w:autoSpaceDN w:val="0"/>
              <w:adjustRightInd w:val="0"/>
              <w:snapToGrid w:val="0"/>
              <w:jc w:val="center"/>
              <w:rPr>
                <w:rFonts w:eastAsia="仿宋_GB2312"/>
                <w:color w:val="auto"/>
                <w:sz w:val="24"/>
                <w:highlight w:val="none"/>
                <w:lang w:val="zh-CN"/>
              </w:rPr>
            </w:pPr>
            <w:r>
              <w:rPr>
                <w:rFonts w:eastAsia="仿宋_GB2312"/>
                <w:color w:val="auto"/>
                <w:sz w:val="24"/>
                <w:highlight w:val="none"/>
                <w:lang w:val="zh-CN"/>
              </w:rPr>
              <w:t>数</w:t>
            </w:r>
          </w:p>
          <w:p w14:paraId="38EB02D9">
            <w:pPr>
              <w:shd w:val="clear" w:color="auto" w:fill="auto"/>
              <w:autoSpaceDE w:val="0"/>
              <w:autoSpaceDN w:val="0"/>
              <w:adjustRightInd w:val="0"/>
              <w:snapToGrid w:val="0"/>
              <w:jc w:val="center"/>
              <w:rPr>
                <w:rFonts w:eastAsia="仿宋_GB2312"/>
                <w:color w:val="auto"/>
                <w:sz w:val="24"/>
                <w:highlight w:val="none"/>
              </w:rPr>
            </w:pPr>
            <w:r>
              <w:rPr>
                <w:rFonts w:eastAsia="仿宋_GB2312"/>
                <w:color w:val="auto"/>
                <w:sz w:val="24"/>
                <w:highlight w:val="none"/>
                <w:lang w:val="zh-CN"/>
              </w:rPr>
              <w:t>量</w:t>
            </w:r>
          </w:p>
        </w:tc>
        <w:tc>
          <w:tcPr>
            <w:tcW w:w="716" w:type="dxa"/>
            <w:tcBorders>
              <w:top w:val="single" w:color="auto" w:sz="6" w:space="0"/>
              <w:left w:val="single" w:color="auto" w:sz="6" w:space="0"/>
              <w:bottom w:val="single" w:color="auto" w:sz="6" w:space="0"/>
              <w:right w:val="single" w:color="auto" w:sz="6" w:space="0"/>
            </w:tcBorders>
            <w:noWrap w:val="0"/>
            <w:vAlign w:val="center"/>
          </w:tcPr>
          <w:p w14:paraId="7644A24F">
            <w:pPr>
              <w:shd w:val="clear" w:color="auto" w:fill="auto"/>
              <w:autoSpaceDE w:val="0"/>
              <w:autoSpaceDN w:val="0"/>
              <w:adjustRightInd w:val="0"/>
              <w:snapToGrid w:val="0"/>
              <w:jc w:val="center"/>
              <w:rPr>
                <w:rFonts w:eastAsia="仿宋_GB2312"/>
                <w:color w:val="auto"/>
                <w:sz w:val="24"/>
                <w:highlight w:val="none"/>
                <w:lang w:val="zh-CN"/>
              </w:rPr>
            </w:pPr>
            <w:r>
              <w:rPr>
                <w:rFonts w:eastAsia="仿宋_GB2312"/>
                <w:color w:val="auto"/>
                <w:sz w:val="24"/>
                <w:highlight w:val="none"/>
                <w:lang w:val="zh-CN"/>
              </w:rPr>
              <w:t>单</w:t>
            </w:r>
          </w:p>
          <w:p w14:paraId="1FF40A31">
            <w:pPr>
              <w:shd w:val="clear" w:color="auto" w:fill="auto"/>
              <w:autoSpaceDE w:val="0"/>
              <w:autoSpaceDN w:val="0"/>
              <w:adjustRightInd w:val="0"/>
              <w:snapToGrid w:val="0"/>
              <w:jc w:val="center"/>
              <w:rPr>
                <w:rFonts w:eastAsia="仿宋_GB2312"/>
                <w:color w:val="auto"/>
                <w:sz w:val="24"/>
                <w:highlight w:val="none"/>
              </w:rPr>
            </w:pPr>
            <w:r>
              <w:rPr>
                <w:rFonts w:eastAsia="仿宋_GB2312"/>
                <w:color w:val="auto"/>
                <w:sz w:val="24"/>
                <w:highlight w:val="none"/>
                <w:lang w:val="zh-CN"/>
              </w:rPr>
              <w:t>价</w:t>
            </w:r>
          </w:p>
        </w:tc>
        <w:tc>
          <w:tcPr>
            <w:tcW w:w="716" w:type="dxa"/>
            <w:tcBorders>
              <w:top w:val="single" w:color="auto" w:sz="6" w:space="0"/>
              <w:left w:val="single" w:color="auto" w:sz="6" w:space="0"/>
              <w:bottom w:val="single" w:color="auto" w:sz="6" w:space="0"/>
              <w:right w:val="single" w:color="auto" w:sz="6" w:space="0"/>
            </w:tcBorders>
            <w:noWrap w:val="0"/>
            <w:vAlign w:val="center"/>
          </w:tcPr>
          <w:p w14:paraId="13DF93DE">
            <w:pPr>
              <w:shd w:val="clear" w:color="auto" w:fill="auto"/>
              <w:autoSpaceDE w:val="0"/>
              <w:autoSpaceDN w:val="0"/>
              <w:adjustRightInd w:val="0"/>
              <w:snapToGrid w:val="0"/>
              <w:jc w:val="center"/>
              <w:rPr>
                <w:rFonts w:eastAsia="仿宋_GB2312"/>
                <w:color w:val="auto"/>
                <w:sz w:val="24"/>
                <w:highlight w:val="none"/>
                <w:lang w:val="zh-CN"/>
              </w:rPr>
            </w:pPr>
            <w:r>
              <w:rPr>
                <w:rFonts w:eastAsia="仿宋_GB2312"/>
                <w:color w:val="auto"/>
                <w:sz w:val="24"/>
                <w:highlight w:val="none"/>
                <w:lang w:val="zh-CN"/>
              </w:rPr>
              <w:t>总</w:t>
            </w:r>
          </w:p>
          <w:p w14:paraId="24D5778E">
            <w:pPr>
              <w:shd w:val="clear" w:color="auto" w:fill="auto"/>
              <w:autoSpaceDE w:val="0"/>
              <w:autoSpaceDN w:val="0"/>
              <w:adjustRightInd w:val="0"/>
              <w:snapToGrid w:val="0"/>
              <w:jc w:val="center"/>
              <w:rPr>
                <w:rFonts w:eastAsia="仿宋_GB2312"/>
                <w:color w:val="auto"/>
                <w:sz w:val="24"/>
                <w:highlight w:val="none"/>
              </w:rPr>
            </w:pPr>
            <w:r>
              <w:rPr>
                <w:rFonts w:eastAsia="仿宋_GB2312"/>
                <w:color w:val="auto"/>
                <w:sz w:val="24"/>
                <w:highlight w:val="none"/>
                <w:lang w:val="zh-CN"/>
              </w:rPr>
              <w:t>价</w:t>
            </w:r>
          </w:p>
        </w:tc>
      </w:tr>
      <w:tr w14:paraId="1B27C7CF">
        <w:tblPrEx>
          <w:tblCellMar>
            <w:top w:w="0" w:type="dxa"/>
            <w:left w:w="108" w:type="dxa"/>
            <w:bottom w:w="0" w:type="dxa"/>
            <w:right w:w="108" w:type="dxa"/>
          </w:tblCellMar>
        </w:tblPrEx>
        <w:trPr>
          <w:trHeight w:val="622" w:hRule="atLeast"/>
          <w:jc w:val="center"/>
        </w:trPr>
        <w:tc>
          <w:tcPr>
            <w:tcW w:w="8882" w:type="dxa"/>
            <w:gridSpan w:val="9"/>
            <w:tcBorders>
              <w:top w:val="single" w:color="auto" w:sz="6" w:space="0"/>
              <w:left w:val="single" w:color="auto" w:sz="6" w:space="0"/>
              <w:bottom w:val="single" w:color="auto" w:sz="6" w:space="0"/>
              <w:right w:val="single" w:color="auto" w:sz="6" w:space="0"/>
            </w:tcBorders>
            <w:noWrap w:val="0"/>
            <w:vAlign w:val="center"/>
          </w:tcPr>
          <w:p w14:paraId="7890EFDE">
            <w:pPr>
              <w:shd w:val="clear" w:color="auto" w:fill="auto"/>
              <w:autoSpaceDE w:val="0"/>
              <w:autoSpaceDN w:val="0"/>
              <w:adjustRightInd w:val="0"/>
              <w:snapToGrid w:val="0"/>
              <w:jc w:val="left"/>
              <w:rPr>
                <w:rFonts w:eastAsia="仿宋_GB2312"/>
                <w:color w:val="auto"/>
                <w:sz w:val="24"/>
                <w:highlight w:val="none"/>
              </w:rPr>
            </w:pPr>
            <w:r>
              <w:rPr>
                <w:rFonts w:eastAsia="仿宋_GB2312"/>
                <w:color w:val="auto"/>
                <w:sz w:val="24"/>
                <w:highlight w:val="none"/>
              </w:rPr>
              <w:t>（1）强制</w:t>
            </w:r>
            <w:r>
              <w:rPr>
                <w:rFonts w:hint="eastAsia" w:eastAsia="仿宋_GB2312"/>
                <w:color w:val="auto"/>
                <w:sz w:val="24"/>
                <w:highlight w:val="none"/>
              </w:rPr>
              <w:t>采购</w:t>
            </w:r>
            <w:r>
              <w:rPr>
                <w:rFonts w:eastAsia="仿宋_GB2312"/>
                <w:color w:val="auto"/>
                <w:sz w:val="24"/>
                <w:highlight w:val="none"/>
              </w:rPr>
              <w:t>类</w:t>
            </w:r>
          </w:p>
        </w:tc>
      </w:tr>
      <w:tr w14:paraId="5D4C14BC">
        <w:tblPrEx>
          <w:tblCellMar>
            <w:top w:w="0" w:type="dxa"/>
            <w:left w:w="108" w:type="dxa"/>
            <w:bottom w:w="0" w:type="dxa"/>
            <w:right w:w="108" w:type="dxa"/>
          </w:tblCellMar>
        </w:tblPrEx>
        <w:trPr>
          <w:trHeight w:val="622" w:hRule="atLeast"/>
          <w:jc w:val="center"/>
        </w:trPr>
        <w:tc>
          <w:tcPr>
            <w:tcW w:w="716" w:type="dxa"/>
            <w:tcBorders>
              <w:top w:val="single" w:color="auto" w:sz="6" w:space="0"/>
              <w:left w:val="single" w:color="auto" w:sz="6" w:space="0"/>
              <w:bottom w:val="single" w:color="auto" w:sz="6" w:space="0"/>
              <w:right w:val="single" w:color="auto" w:sz="6" w:space="0"/>
            </w:tcBorders>
            <w:noWrap w:val="0"/>
            <w:vAlign w:val="center"/>
          </w:tcPr>
          <w:p w14:paraId="62EBCB5F">
            <w:pPr>
              <w:shd w:val="clear" w:color="auto" w:fill="auto"/>
              <w:autoSpaceDE w:val="0"/>
              <w:autoSpaceDN w:val="0"/>
              <w:adjustRightInd w:val="0"/>
              <w:snapToGrid w:val="0"/>
              <w:jc w:val="left"/>
              <w:rPr>
                <w:rFonts w:eastAsia="仿宋_GB2312"/>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noWrap w:val="0"/>
            <w:vAlign w:val="center"/>
          </w:tcPr>
          <w:p w14:paraId="417E2EB3">
            <w:pPr>
              <w:shd w:val="clear" w:color="auto" w:fill="auto"/>
              <w:autoSpaceDE w:val="0"/>
              <w:autoSpaceDN w:val="0"/>
              <w:adjustRightInd w:val="0"/>
              <w:snapToGrid w:val="0"/>
              <w:jc w:val="left"/>
              <w:rPr>
                <w:rFonts w:eastAsia="仿宋_GB2312"/>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noWrap w:val="0"/>
            <w:vAlign w:val="center"/>
          </w:tcPr>
          <w:p w14:paraId="0EE6E88B">
            <w:pPr>
              <w:shd w:val="clear" w:color="auto" w:fill="auto"/>
              <w:autoSpaceDE w:val="0"/>
              <w:autoSpaceDN w:val="0"/>
              <w:adjustRightInd w:val="0"/>
              <w:snapToGrid w:val="0"/>
              <w:jc w:val="left"/>
              <w:rPr>
                <w:rFonts w:eastAsia="仿宋_GB2312"/>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noWrap w:val="0"/>
            <w:vAlign w:val="center"/>
          </w:tcPr>
          <w:p w14:paraId="1BD46D92">
            <w:pPr>
              <w:shd w:val="clear" w:color="auto" w:fill="auto"/>
              <w:autoSpaceDE w:val="0"/>
              <w:autoSpaceDN w:val="0"/>
              <w:adjustRightInd w:val="0"/>
              <w:snapToGrid w:val="0"/>
              <w:jc w:val="left"/>
              <w:rPr>
                <w:rFonts w:eastAsia="仿宋_GB2312"/>
                <w:color w:val="auto"/>
                <w:sz w:val="24"/>
                <w:highlight w:val="none"/>
              </w:rPr>
            </w:pPr>
          </w:p>
        </w:tc>
        <w:tc>
          <w:tcPr>
            <w:tcW w:w="922" w:type="dxa"/>
            <w:tcBorders>
              <w:top w:val="single" w:color="auto" w:sz="6" w:space="0"/>
              <w:left w:val="single" w:color="auto" w:sz="6" w:space="0"/>
              <w:bottom w:val="single" w:color="auto" w:sz="6" w:space="0"/>
              <w:right w:val="single" w:color="auto" w:sz="6" w:space="0"/>
            </w:tcBorders>
            <w:noWrap w:val="0"/>
            <w:vAlign w:val="center"/>
          </w:tcPr>
          <w:p w14:paraId="0D6B7B55">
            <w:pPr>
              <w:shd w:val="clear" w:color="auto" w:fill="auto"/>
              <w:autoSpaceDE w:val="0"/>
              <w:autoSpaceDN w:val="0"/>
              <w:adjustRightInd w:val="0"/>
              <w:snapToGrid w:val="0"/>
              <w:jc w:val="left"/>
              <w:rPr>
                <w:rFonts w:eastAsia="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center"/>
          </w:tcPr>
          <w:p w14:paraId="5FB5C441">
            <w:pPr>
              <w:shd w:val="clear" w:color="auto" w:fill="auto"/>
              <w:autoSpaceDE w:val="0"/>
              <w:autoSpaceDN w:val="0"/>
              <w:adjustRightInd w:val="0"/>
              <w:snapToGrid w:val="0"/>
              <w:jc w:val="left"/>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center"/>
          </w:tcPr>
          <w:p w14:paraId="4DD8C6AE">
            <w:pPr>
              <w:shd w:val="clear" w:color="auto" w:fill="auto"/>
              <w:autoSpaceDE w:val="0"/>
              <w:autoSpaceDN w:val="0"/>
              <w:adjustRightInd w:val="0"/>
              <w:snapToGrid w:val="0"/>
              <w:jc w:val="left"/>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center"/>
          </w:tcPr>
          <w:p w14:paraId="64FE0F4F">
            <w:pPr>
              <w:shd w:val="clear" w:color="auto" w:fill="auto"/>
              <w:autoSpaceDE w:val="0"/>
              <w:autoSpaceDN w:val="0"/>
              <w:adjustRightInd w:val="0"/>
              <w:snapToGrid w:val="0"/>
              <w:jc w:val="left"/>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center"/>
          </w:tcPr>
          <w:p w14:paraId="7C7A8A8E">
            <w:pPr>
              <w:shd w:val="clear" w:color="auto" w:fill="auto"/>
              <w:autoSpaceDE w:val="0"/>
              <w:autoSpaceDN w:val="0"/>
              <w:adjustRightInd w:val="0"/>
              <w:snapToGrid w:val="0"/>
              <w:jc w:val="left"/>
              <w:rPr>
                <w:rFonts w:eastAsia="仿宋_GB2312"/>
                <w:color w:val="auto"/>
                <w:sz w:val="24"/>
                <w:highlight w:val="none"/>
              </w:rPr>
            </w:pPr>
          </w:p>
        </w:tc>
      </w:tr>
      <w:tr w14:paraId="57F42C10">
        <w:tblPrEx>
          <w:tblCellMar>
            <w:top w:w="0" w:type="dxa"/>
            <w:left w:w="108" w:type="dxa"/>
            <w:bottom w:w="0" w:type="dxa"/>
            <w:right w:w="108" w:type="dxa"/>
          </w:tblCellMar>
        </w:tblPrEx>
        <w:trPr>
          <w:trHeight w:val="622" w:hRule="atLeast"/>
          <w:jc w:val="center"/>
        </w:trPr>
        <w:tc>
          <w:tcPr>
            <w:tcW w:w="716" w:type="dxa"/>
            <w:tcBorders>
              <w:top w:val="single" w:color="auto" w:sz="6" w:space="0"/>
              <w:left w:val="single" w:color="auto" w:sz="6" w:space="0"/>
              <w:bottom w:val="single" w:color="auto" w:sz="6" w:space="0"/>
              <w:right w:val="single" w:color="auto" w:sz="6" w:space="0"/>
            </w:tcBorders>
            <w:noWrap w:val="0"/>
            <w:vAlign w:val="center"/>
          </w:tcPr>
          <w:p w14:paraId="4CABF0EB">
            <w:pPr>
              <w:shd w:val="clear" w:color="auto" w:fill="auto"/>
              <w:autoSpaceDE w:val="0"/>
              <w:autoSpaceDN w:val="0"/>
              <w:adjustRightInd w:val="0"/>
              <w:snapToGrid w:val="0"/>
              <w:jc w:val="left"/>
              <w:rPr>
                <w:rFonts w:eastAsia="仿宋_GB2312"/>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noWrap w:val="0"/>
            <w:vAlign w:val="center"/>
          </w:tcPr>
          <w:p w14:paraId="1EF73EFD">
            <w:pPr>
              <w:shd w:val="clear" w:color="auto" w:fill="auto"/>
              <w:autoSpaceDE w:val="0"/>
              <w:autoSpaceDN w:val="0"/>
              <w:adjustRightInd w:val="0"/>
              <w:snapToGrid w:val="0"/>
              <w:jc w:val="left"/>
              <w:rPr>
                <w:rFonts w:eastAsia="仿宋_GB2312"/>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noWrap w:val="0"/>
            <w:vAlign w:val="center"/>
          </w:tcPr>
          <w:p w14:paraId="4E485CCA">
            <w:pPr>
              <w:shd w:val="clear" w:color="auto" w:fill="auto"/>
              <w:autoSpaceDE w:val="0"/>
              <w:autoSpaceDN w:val="0"/>
              <w:adjustRightInd w:val="0"/>
              <w:snapToGrid w:val="0"/>
              <w:jc w:val="left"/>
              <w:rPr>
                <w:rFonts w:eastAsia="仿宋_GB2312"/>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noWrap w:val="0"/>
            <w:vAlign w:val="center"/>
          </w:tcPr>
          <w:p w14:paraId="30948CB4">
            <w:pPr>
              <w:shd w:val="clear" w:color="auto" w:fill="auto"/>
              <w:autoSpaceDE w:val="0"/>
              <w:autoSpaceDN w:val="0"/>
              <w:adjustRightInd w:val="0"/>
              <w:snapToGrid w:val="0"/>
              <w:jc w:val="left"/>
              <w:rPr>
                <w:rFonts w:eastAsia="仿宋_GB2312"/>
                <w:color w:val="auto"/>
                <w:sz w:val="24"/>
                <w:highlight w:val="none"/>
              </w:rPr>
            </w:pPr>
          </w:p>
        </w:tc>
        <w:tc>
          <w:tcPr>
            <w:tcW w:w="922" w:type="dxa"/>
            <w:tcBorders>
              <w:top w:val="single" w:color="auto" w:sz="6" w:space="0"/>
              <w:left w:val="single" w:color="auto" w:sz="6" w:space="0"/>
              <w:bottom w:val="single" w:color="auto" w:sz="6" w:space="0"/>
              <w:right w:val="single" w:color="auto" w:sz="6" w:space="0"/>
            </w:tcBorders>
            <w:noWrap w:val="0"/>
            <w:vAlign w:val="center"/>
          </w:tcPr>
          <w:p w14:paraId="22DE3946">
            <w:pPr>
              <w:shd w:val="clear" w:color="auto" w:fill="auto"/>
              <w:autoSpaceDE w:val="0"/>
              <w:autoSpaceDN w:val="0"/>
              <w:adjustRightInd w:val="0"/>
              <w:snapToGrid w:val="0"/>
              <w:jc w:val="left"/>
              <w:rPr>
                <w:rFonts w:eastAsia="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center"/>
          </w:tcPr>
          <w:p w14:paraId="1E27F261">
            <w:pPr>
              <w:shd w:val="clear" w:color="auto" w:fill="auto"/>
              <w:autoSpaceDE w:val="0"/>
              <w:autoSpaceDN w:val="0"/>
              <w:adjustRightInd w:val="0"/>
              <w:snapToGrid w:val="0"/>
              <w:jc w:val="left"/>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center"/>
          </w:tcPr>
          <w:p w14:paraId="4C050661">
            <w:pPr>
              <w:shd w:val="clear" w:color="auto" w:fill="auto"/>
              <w:autoSpaceDE w:val="0"/>
              <w:autoSpaceDN w:val="0"/>
              <w:adjustRightInd w:val="0"/>
              <w:snapToGrid w:val="0"/>
              <w:jc w:val="left"/>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center"/>
          </w:tcPr>
          <w:p w14:paraId="12D91482">
            <w:pPr>
              <w:shd w:val="clear" w:color="auto" w:fill="auto"/>
              <w:autoSpaceDE w:val="0"/>
              <w:autoSpaceDN w:val="0"/>
              <w:adjustRightInd w:val="0"/>
              <w:snapToGrid w:val="0"/>
              <w:jc w:val="left"/>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center"/>
          </w:tcPr>
          <w:p w14:paraId="38340383">
            <w:pPr>
              <w:shd w:val="clear" w:color="auto" w:fill="auto"/>
              <w:autoSpaceDE w:val="0"/>
              <w:autoSpaceDN w:val="0"/>
              <w:adjustRightInd w:val="0"/>
              <w:snapToGrid w:val="0"/>
              <w:jc w:val="left"/>
              <w:rPr>
                <w:rFonts w:eastAsia="仿宋_GB2312"/>
                <w:color w:val="auto"/>
                <w:sz w:val="24"/>
                <w:highlight w:val="none"/>
              </w:rPr>
            </w:pPr>
          </w:p>
        </w:tc>
      </w:tr>
      <w:tr w14:paraId="0EC1543F">
        <w:tblPrEx>
          <w:tblCellMar>
            <w:top w:w="0" w:type="dxa"/>
            <w:left w:w="108" w:type="dxa"/>
            <w:bottom w:w="0" w:type="dxa"/>
            <w:right w:w="108" w:type="dxa"/>
          </w:tblCellMar>
        </w:tblPrEx>
        <w:trPr>
          <w:trHeight w:val="622" w:hRule="atLeast"/>
          <w:jc w:val="center"/>
        </w:trPr>
        <w:tc>
          <w:tcPr>
            <w:tcW w:w="716" w:type="dxa"/>
            <w:tcBorders>
              <w:top w:val="single" w:color="auto" w:sz="6" w:space="0"/>
              <w:left w:val="single" w:color="auto" w:sz="6" w:space="0"/>
              <w:bottom w:val="single" w:color="auto" w:sz="6" w:space="0"/>
              <w:right w:val="single" w:color="auto" w:sz="6" w:space="0"/>
            </w:tcBorders>
            <w:noWrap w:val="0"/>
            <w:vAlign w:val="center"/>
          </w:tcPr>
          <w:p w14:paraId="18954C08">
            <w:pPr>
              <w:shd w:val="clear" w:color="auto" w:fill="auto"/>
              <w:autoSpaceDE w:val="0"/>
              <w:autoSpaceDN w:val="0"/>
              <w:adjustRightInd w:val="0"/>
              <w:snapToGrid w:val="0"/>
              <w:jc w:val="left"/>
              <w:rPr>
                <w:rFonts w:eastAsia="仿宋_GB2312"/>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noWrap w:val="0"/>
            <w:vAlign w:val="center"/>
          </w:tcPr>
          <w:p w14:paraId="2A2B5A13">
            <w:pPr>
              <w:shd w:val="clear" w:color="auto" w:fill="auto"/>
              <w:autoSpaceDE w:val="0"/>
              <w:autoSpaceDN w:val="0"/>
              <w:adjustRightInd w:val="0"/>
              <w:snapToGrid w:val="0"/>
              <w:jc w:val="left"/>
              <w:rPr>
                <w:rFonts w:eastAsia="仿宋_GB2312"/>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noWrap w:val="0"/>
            <w:vAlign w:val="center"/>
          </w:tcPr>
          <w:p w14:paraId="0EE2A005">
            <w:pPr>
              <w:shd w:val="clear" w:color="auto" w:fill="auto"/>
              <w:autoSpaceDE w:val="0"/>
              <w:autoSpaceDN w:val="0"/>
              <w:adjustRightInd w:val="0"/>
              <w:snapToGrid w:val="0"/>
              <w:jc w:val="left"/>
              <w:rPr>
                <w:rFonts w:eastAsia="仿宋_GB2312"/>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noWrap w:val="0"/>
            <w:vAlign w:val="center"/>
          </w:tcPr>
          <w:p w14:paraId="278DBAB7">
            <w:pPr>
              <w:shd w:val="clear" w:color="auto" w:fill="auto"/>
              <w:autoSpaceDE w:val="0"/>
              <w:autoSpaceDN w:val="0"/>
              <w:adjustRightInd w:val="0"/>
              <w:snapToGrid w:val="0"/>
              <w:jc w:val="left"/>
              <w:rPr>
                <w:rFonts w:eastAsia="仿宋_GB2312"/>
                <w:color w:val="auto"/>
                <w:sz w:val="24"/>
                <w:highlight w:val="none"/>
              </w:rPr>
            </w:pPr>
          </w:p>
        </w:tc>
        <w:tc>
          <w:tcPr>
            <w:tcW w:w="922" w:type="dxa"/>
            <w:tcBorders>
              <w:top w:val="single" w:color="auto" w:sz="6" w:space="0"/>
              <w:left w:val="single" w:color="auto" w:sz="6" w:space="0"/>
              <w:bottom w:val="single" w:color="auto" w:sz="6" w:space="0"/>
              <w:right w:val="single" w:color="auto" w:sz="6" w:space="0"/>
            </w:tcBorders>
            <w:noWrap w:val="0"/>
            <w:vAlign w:val="center"/>
          </w:tcPr>
          <w:p w14:paraId="606C4943">
            <w:pPr>
              <w:shd w:val="clear" w:color="auto" w:fill="auto"/>
              <w:autoSpaceDE w:val="0"/>
              <w:autoSpaceDN w:val="0"/>
              <w:adjustRightInd w:val="0"/>
              <w:snapToGrid w:val="0"/>
              <w:jc w:val="left"/>
              <w:rPr>
                <w:rFonts w:eastAsia="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center"/>
          </w:tcPr>
          <w:p w14:paraId="735699AE">
            <w:pPr>
              <w:shd w:val="clear" w:color="auto" w:fill="auto"/>
              <w:autoSpaceDE w:val="0"/>
              <w:autoSpaceDN w:val="0"/>
              <w:adjustRightInd w:val="0"/>
              <w:snapToGrid w:val="0"/>
              <w:jc w:val="left"/>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center"/>
          </w:tcPr>
          <w:p w14:paraId="29A070D3">
            <w:pPr>
              <w:shd w:val="clear" w:color="auto" w:fill="auto"/>
              <w:autoSpaceDE w:val="0"/>
              <w:autoSpaceDN w:val="0"/>
              <w:adjustRightInd w:val="0"/>
              <w:snapToGrid w:val="0"/>
              <w:jc w:val="left"/>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center"/>
          </w:tcPr>
          <w:p w14:paraId="282129AC">
            <w:pPr>
              <w:shd w:val="clear" w:color="auto" w:fill="auto"/>
              <w:autoSpaceDE w:val="0"/>
              <w:autoSpaceDN w:val="0"/>
              <w:adjustRightInd w:val="0"/>
              <w:snapToGrid w:val="0"/>
              <w:jc w:val="left"/>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center"/>
          </w:tcPr>
          <w:p w14:paraId="3A8B9A85">
            <w:pPr>
              <w:shd w:val="clear" w:color="auto" w:fill="auto"/>
              <w:autoSpaceDE w:val="0"/>
              <w:autoSpaceDN w:val="0"/>
              <w:adjustRightInd w:val="0"/>
              <w:snapToGrid w:val="0"/>
              <w:jc w:val="left"/>
              <w:rPr>
                <w:rFonts w:eastAsia="仿宋_GB2312"/>
                <w:color w:val="auto"/>
                <w:sz w:val="24"/>
                <w:highlight w:val="none"/>
              </w:rPr>
            </w:pPr>
          </w:p>
        </w:tc>
      </w:tr>
      <w:tr w14:paraId="524D8B57">
        <w:tblPrEx>
          <w:tblCellMar>
            <w:top w:w="0" w:type="dxa"/>
            <w:left w:w="108" w:type="dxa"/>
            <w:bottom w:w="0" w:type="dxa"/>
            <w:right w:w="108" w:type="dxa"/>
          </w:tblCellMar>
        </w:tblPrEx>
        <w:trPr>
          <w:trHeight w:val="622" w:hRule="atLeast"/>
          <w:jc w:val="center"/>
        </w:trPr>
        <w:tc>
          <w:tcPr>
            <w:tcW w:w="8882" w:type="dxa"/>
            <w:gridSpan w:val="9"/>
            <w:tcBorders>
              <w:top w:val="single" w:color="auto" w:sz="6" w:space="0"/>
              <w:left w:val="single" w:color="auto" w:sz="6" w:space="0"/>
              <w:bottom w:val="single" w:color="auto" w:sz="6" w:space="0"/>
              <w:right w:val="single" w:color="auto" w:sz="6" w:space="0"/>
            </w:tcBorders>
            <w:noWrap w:val="0"/>
            <w:vAlign w:val="center"/>
          </w:tcPr>
          <w:p w14:paraId="13B07081">
            <w:pPr>
              <w:shd w:val="clear" w:color="auto" w:fill="auto"/>
              <w:autoSpaceDE w:val="0"/>
              <w:autoSpaceDN w:val="0"/>
              <w:adjustRightInd w:val="0"/>
              <w:snapToGrid w:val="0"/>
              <w:jc w:val="left"/>
              <w:rPr>
                <w:rFonts w:eastAsia="仿宋_GB2312"/>
                <w:color w:val="auto"/>
                <w:sz w:val="24"/>
                <w:highlight w:val="none"/>
              </w:rPr>
            </w:pPr>
            <w:r>
              <w:rPr>
                <w:rFonts w:eastAsia="仿宋_GB2312"/>
                <w:color w:val="auto"/>
                <w:sz w:val="24"/>
                <w:highlight w:val="none"/>
              </w:rPr>
              <w:t>（2）</w:t>
            </w:r>
            <w:r>
              <w:rPr>
                <w:rFonts w:hint="eastAsia" w:eastAsia="仿宋_GB2312"/>
                <w:color w:val="auto"/>
                <w:sz w:val="24"/>
                <w:highlight w:val="none"/>
              </w:rPr>
              <w:t>优先采购</w:t>
            </w:r>
            <w:r>
              <w:rPr>
                <w:rFonts w:eastAsia="仿宋_GB2312"/>
                <w:color w:val="auto"/>
                <w:sz w:val="24"/>
                <w:highlight w:val="none"/>
              </w:rPr>
              <w:t>类</w:t>
            </w:r>
          </w:p>
        </w:tc>
      </w:tr>
      <w:tr w14:paraId="41C6F6AC">
        <w:tblPrEx>
          <w:tblCellMar>
            <w:top w:w="0" w:type="dxa"/>
            <w:left w:w="108" w:type="dxa"/>
            <w:bottom w:w="0" w:type="dxa"/>
            <w:right w:w="108" w:type="dxa"/>
          </w:tblCellMar>
        </w:tblPrEx>
        <w:trPr>
          <w:trHeight w:val="622" w:hRule="atLeast"/>
          <w:jc w:val="center"/>
        </w:trPr>
        <w:tc>
          <w:tcPr>
            <w:tcW w:w="716" w:type="dxa"/>
            <w:tcBorders>
              <w:top w:val="single" w:color="auto" w:sz="6" w:space="0"/>
              <w:left w:val="single" w:color="auto" w:sz="6" w:space="0"/>
              <w:bottom w:val="single" w:color="auto" w:sz="6" w:space="0"/>
              <w:right w:val="single" w:color="auto" w:sz="6" w:space="0"/>
            </w:tcBorders>
            <w:noWrap w:val="0"/>
            <w:vAlign w:val="top"/>
          </w:tcPr>
          <w:p w14:paraId="6E4A9313">
            <w:pPr>
              <w:shd w:val="clear" w:color="auto" w:fill="auto"/>
              <w:autoSpaceDE w:val="0"/>
              <w:autoSpaceDN w:val="0"/>
              <w:adjustRightInd w:val="0"/>
              <w:snapToGrid w:val="0"/>
              <w:spacing w:line="360" w:lineRule="auto"/>
              <w:rPr>
                <w:rFonts w:eastAsia="仿宋_GB2312"/>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noWrap w:val="0"/>
            <w:vAlign w:val="top"/>
          </w:tcPr>
          <w:p w14:paraId="4FD89C41">
            <w:pPr>
              <w:shd w:val="clear" w:color="auto" w:fill="auto"/>
              <w:autoSpaceDE w:val="0"/>
              <w:autoSpaceDN w:val="0"/>
              <w:adjustRightInd w:val="0"/>
              <w:snapToGrid w:val="0"/>
              <w:spacing w:line="360" w:lineRule="auto"/>
              <w:rPr>
                <w:rFonts w:eastAsia="仿宋_GB2312"/>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noWrap w:val="0"/>
            <w:vAlign w:val="top"/>
          </w:tcPr>
          <w:p w14:paraId="57B027AC">
            <w:pPr>
              <w:shd w:val="clear" w:color="auto" w:fill="auto"/>
              <w:autoSpaceDE w:val="0"/>
              <w:autoSpaceDN w:val="0"/>
              <w:adjustRightInd w:val="0"/>
              <w:snapToGrid w:val="0"/>
              <w:spacing w:line="360" w:lineRule="auto"/>
              <w:rPr>
                <w:rFonts w:eastAsia="仿宋_GB2312"/>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noWrap w:val="0"/>
            <w:vAlign w:val="top"/>
          </w:tcPr>
          <w:p w14:paraId="57E8A645">
            <w:pPr>
              <w:shd w:val="clear" w:color="auto" w:fill="auto"/>
              <w:autoSpaceDE w:val="0"/>
              <w:autoSpaceDN w:val="0"/>
              <w:adjustRightInd w:val="0"/>
              <w:snapToGrid w:val="0"/>
              <w:spacing w:line="360" w:lineRule="auto"/>
              <w:rPr>
                <w:rFonts w:eastAsia="仿宋_GB2312"/>
                <w:color w:val="auto"/>
                <w:sz w:val="24"/>
                <w:highlight w:val="none"/>
              </w:rPr>
            </w:pPr>
          </w:p>
        </w:tc>
        <w:tc>
          <w:tcPr>
            <w:tcW w:w="922" w:type="dxa"/>
            <w:tcBorders>
              <w:top w:val="single" w:color="auto" w:sz="6" w:space="0"/>
              <w:left w:val="single" w:color="auto" w:sz="6" w:space="0"/>
              <w:bottom w:val="single" w:color="auto" w:sz="6" w:space="0"/>
              <w:right w:val="single" w:color="auto" w:sz="6" w:space="0"/>
            </w:tcBorders>
            <w:noWrap w:val="0"/>
            <w:vAlign w:val="top"/>
          </w:tcPr>
          <w:p w14:paraId="094426F8">
            <w:pPr>
              <w:shd w:val="clear" w:color="auto" w:fill="auto"/>
              <w:autoSpaceDE w:val="0"/>
              <w:autoSpaceDN w:val="0"/>
              <w:adjustRightInd w:val="0"/>
              <w:snapToGrid w:val="0"/>
              <w:spacing w:line="360" w:lineRule="auto"/>
              <w:rPr>
                <w:rFonts w:eastAsia="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517A1630">
            <w:pPr>
              <w:shd w:val="clear" w:color="auto" w:fill="auto"/>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top"/>
          </w:tcPr>
          <w:p w14:paraId="0BD2AA65">
            <w:pPr>
              <w:shd w:val="clear" w:color="auto" w:fill="auto"/>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top"/>
          </w:tcPr>
          <w:p w14:paraId="38DDF4D2">
            <w:pPr>
              <w:shd w:val="clear" w:color="auto" w:fill="auto"/>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top"/>
          </w:tcPr>
          <w:p w14:paraId="776D4EFD">
            <w:pPr>
              <w:shd w:val="clear" w:color="auto" w:fill="auto"/>
              <w:autoSpaceDE w:val="0"/>
              <w:autoSpaceDN w:val="0"/>
              <w:adjustRightInd w:val="0"/>
              <w:snapToGrid w:val="0"/>
              <w:spacing w:line="360" w:lineRule="auto"/>
              <w:rPr>
                <w:rFonts w:eastAsia="仿宋_GB2312"/>
                <w:color w:val="auto"/>
                <w:sz w:val="24"/>
                <w:highlight w:val="none"/>
              </w:rPr>
            </w:pPr>
          </w:p>
        </w:tc>
      </w:tr>
      <w:tr w14:paraId="4CAB328B">
        <w:tblPrEx>
          <w:tblCellMar>
            <w:top w:w="0" w:type="dxa"/>
            <w:left w:w="108" w:type="dxa"/>
            <w:bottom w:w="0" w:type="dxa"/>
            <w:right w:w="108" w:type="dxa"/>
          </w:tblCellMar>
        </w:tblPrEx>
        <w:trPr>
          <w:trHeight w:val="622" w:hRule="atLeast"/>
          <w:jc w:val="center"/>
        </w:trPr>
        <w:tc>
          <w:tcPr>
            <w:tcW w:w="716" w:type="dxa"/>
            <w:tcBorders>
              <w:top w:val="single" w:color="auto" w:sz="6" w:space="0"/>
              <w:left w:val="single" w:color="auto" w:sz="6" w:space="0"/>
              <w:bottom w:val="single" w:color="auto" w:sz="6" w:space="0"/>
              <w:right w:val="single" w:color="auto" w:sz="6" w:space="0"/>
            </w:tcBorders>
            <w:noWrap w:val="0"/>
            <w:vAlign w:val="top"/>
          </w:tcPr>
          <w:p w14:paraId="38D93A5F">
            <w:pPr>
              <w:shd w:val="clear" w:color="auto" w:fill="auto"/>
              <w:autoSpaceDE w:val="0"/>
              <w:autoSpaceDN w:val="0"/>
              <w:adjustRightInd w:val="0"/>
              <w:snapToGrid w:val="0"/>
              <w:spacing w:line="360" w:lineRule="auto"/>
              <w:rPr>
                <w:rFonts w:eastAsia="仿宋_GB2312"/>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noWrap w:val="0"/>
            <w:vAlign w:val="top"/>
          </w:tcPr>
          <w:p w14:paraId="1E22C386">
            <w:pPr>
              <w:shd w:val="clear" w:color="auto" w:fill="auto"/>
              <w:autoSpaceDE w:val="0"/>
              <w:autoSpaceDN w:val="0"/>
              <w:adjustRightInd w:val="0"/>
              <w:snapToGrid w:val="0"/>
              <w:spacing w:line="360" w:lineRule="auto"/>
              <w:rPr>
                <w:rFonts w:eastAsia="仿宋_GB2312"/>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noWrap w:val="0"/>
            <w:vAlign w:val="top"/>
          </w:tcPr>
          <w:p w14:paraId="279633A7">
            <w:pPr>
              <w:shd w:val="clear" w:color="auto" w:fill="auto"/>
              <w:autoSpaceDE w:val="0"/>
              <w:autoSpaceDN w:val="0"/>
              <w:adjustRightInd w:val="0"/>
              <w:snapToGrid w:val="0"/>
              <w:spacing w:line="360" w:lineRule="auto"/>
              <w:rPr>
                <w:rFonts w:eastAsia="仿宋_GB2312"/>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noWrap w:val="0"/>
            <w:vAlign w:val="top"/>
          </w:tcPr>
          <w:p w14:paraId="5697C999">
            <w:pPr>
              <w:shd w:val="clear" w:color="auto" w:fill="auto"/>
              <w:autoSpaceDE w:val="0"/>
              <w:autoSpaceDN w:val="0"/>
              <w:adjustRightInd w:val="0"/>
              <w:snapToGrid w:val="0"/>
              <w:spacing w:line="360" w:lineRule="auto"/>
              <w:rPr>
                <w:rFonts w:eastAsia="仿宋_GB2312"/>
                <w:color w:val="auto"/>
                <w:sz w:val="24"/>
                <w:highlight w:val="none"/>
              </w:rPr>
            </w:pPr>
          </w:p>
        </w:tc>
        <w:tc>
          <w:tcPr>
            <w:tcW w:w="922" w:type="dxa"/>
            <w:tcBorders>
              <w:top w:val="single" w:color="auto" w:sz="6" w:space="0"/>
              <w:left w:val="single" w:color="auto" w:sz="6" w:space="0"/>
              <w:bottom w:val="single" w:color="auto" w:sz="6" w:space="0"/>
              <w:right w:val="single" w:color="auto" w:sz="6" w:space="0"/>
            </w:tcBorders>
            <w:noWrap w:val="0"/>
            <w:vAlign w:val="top"/>
          </w:tcPr>
          <w:p w14:paraId="28D994CD">
            <w:pPr>
              <w:shd w:val="clear" w:color="auto" w:fill="auto"/>
              <w:autoSpaceDE w:val="0"/>
              <w:autoSpaceDN w:val="0"/>
              <w:adjustRightInd w:val="0"/>
              <w:snapToGrid w:val="0"/>
              <w:spacing w:line="360" w:lineRule="auto"/>
              <w:rPr>
                <w:rFonts w:eastAsia="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28606DA7">
            <w:pPr>
              <w:shd w:val="clear" w:color="auto" w:fill="auto"/>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top"/>
          </w:tcPr>
          <w:p w14:paraId="3204A4AC">
            <w:pPr>
              <w:shd w:val="clear" w:color="auto" w:fill="auto"/>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top"/>
          </w:tcPr>
          <w:p w14:paraId="3CE0EA6F">
            <w:pPr>
              <w:shd w:val="clear" w:color="auto" w:fill="auto"/>
              <w:autoSpaceDE w:val="0"/>
              <w:autoSpaceDN w:val="0"/>
              <w:adjustRightInd w:val="0"/>
              <w:snapToGrid w:val="0"/>
              <w:spacing w:line="360" w:lineRule="auto"/>
              <w:rPr>
                <w:rFonts w:eastAsia="仿宋_GB2312"/>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noWrap w:val="0"/>
            <w:vAlign w:val="top"/>
          </w:tcPr>
          <w:p w14:paraId="538ED745">
            <w:pPr>
              <w:shd w:val="clear" w:color="auto" w:fill="auto"/>
              <w:autoSpaceDE w:val="0"/>
              <w:autoSpaceDN w:val="0"/>
              <w:adjustRightInd w:val="0"/>
              <w:snapToGrid w:val="0"/>
              <w:spacing w:line="360" w:lineRule="auto"/>
              <w:rPr>
                <w:rFonts w:eastAsia="仿宋_GB2312"/>
                <w:color w:val="auto"/>
                <w:sz w:val="24"/>
                <w:highlight w:val="none"/>
              </w:rPr>
            </w:pPr>
          </w:p>
        </w:tc>
      </w:tr>
      <w:tr w14:paraId="48A82E5C">
        <w:tblPrEx>
          <w:tblCellMar>
            <w:top w:w="0" w:type="dxa"/>
            <w:left w:w="108" w:type="dxa"/>
            <w:bottom w:w="0" w:type="dxa"/>
            <w:right w:w="108" w:type="dxa"/>
          </w:tblCellMar>
        </w:tblPrEx>
        <w:trPr>
          <w:trHeight w:val="622" w:hRule="atLeast"/>
          <w:jc w:val="center"/>
        </w:trPr>
        <w:tc>
          <w:tcPr>
            <w:tcW w:w="5264" w:type="dxa"/>
            <w:gridSpan w:val="5"/>
            <w:tcBorders>
              <w:top w:val="single" w:color="auto" w:sz="6" w:space="0"/>
              <w:left w:val="single" w:color="auto" w:sz="6" w:space="0"/>
              <w:bottom w:val="single" w:color="auto" w:sz="6" w:space="0"/>
              <w:right w:val="single" w:color="auto" w:sz="6" w:space="0"/>
            </w:tcBorders>
            <w:noWrap w:val="0"/>
            <w:vAlign w:val="center"/>
          </w:tcPr>
          <w:p w14:paraId="6DC6FEBA">
            <w:pPr>
              <w:shd w:val="clear" w:color="auto" w:fill="auto"/>
              <w:autoSpaceDE w:val="0"/>
              <w:autoSpaceDN w:val="0"/>
              <w:adjustRightInd w:val="0"/>
              <w:snapToGrid w:val="0"/>
              <w:jc w:val="center"/>
              <w:rPr>
                <w:rFonts w:eastAsia="仿宋_GB2312"/>
                <w:color w:val="auto"/>
                <w:sz w:val="24"/>
                <w:highlight w:val="none"/>
              </w:rPr>
            </w:pPr>
            <w:r>
              <w:rPr>
                <w:rFonts w:eastAsia="仿宋_GB2312"/>
                <w:color w:val="auto"/>
                <w:sz w:val="24"/>
                <w:highlight w:val="none"/>
              </w:rPr>
              <w:t>合计（人民币）</w:t>
            </w:r>
          </w:p>
        </w:tc>
        <w:tc>
          <w:tcPr>
            <w:tcW w:w="3618" w:type="dxa"/>
            <w:gridSpan w:val="4"/>
            <w:tcBorders>
              <w:top w:val="single" w:color="auto" w:sz="6" w:space="0"/>
              <w:left w:val="single" w:color="auto" w:sz="6" w:space="0"/>
              <w:bottom w:val="single" w:color="auto" w:sz="6" w:space="0"/>
              <w:right w:val="single" w:color="auto" w:sz="6" w:space="0"/>
            </w:tcBorders>
            <w:noWrap w:val="0"/>
            <w:vAlign w:val="center"/>
          </w:tcPr>
          <w:p w14:paraId="24D40494">
            <w:pPr>
              <w:shd w:val="clear" w:color="auto" w:fill="auto"/>
              <w:autoSpaceDE w:val="0"/>
              <w:autoSpaceDN w:val="0"/>
              <w:adjustRightInd w:val="0"/>
              <w:snapToGrid w:val="0"/>
              <w:jc w:val="center"/>
              <w:rPr>
                <w:rFonts w:eastAsia="仿宋_GB2312"/>
                <w:color w:val="auto"/>
                <w:sz w:val="24"/>
                <w:highlight w:val="none"/>
              </w:rPr>
            </w:pPr>
          </w:p>
        </w:tc>
      </w:tr>
      <w:tr w14:paraId="55D46F87">
        <w:tblPrEx>
          <w:tblCellMar>
            <w:top w:w="0" w:type="dxa"/>
            <w:left w:w="108" w:type="dxa"/>
            <w:bottom w:w="0" w:type="dxa"/>
            <w:right w:w="108" w:type="dxa"/>
          </w:tblCellMar>
        </w:tblPrEx>
        <w:trPr>
          <w:trHeight w:val="622" w:hRule="atLeast"/>
          <w:jc w:val="center"/>
        </w:trPr>
        <w:tc>
          <w:tcPr>
            <w:tcW w:w="5264" w:type="dxa"/>
            <w:gridSpan w:val="5"/>
            <w:tcBorders>
              <w:top w:val="single" w:color="auto" w:sz="6" w:space="0"/>
              <w:left w:val="single" w:color="auto" w:sz="6" w:space="0"/>
              <w:bottom w:val="single" w:color="auto" w:sz="6" w:space="0"/>
              <w:right w:val="single" w:color="auto" w:sz="6" w:space="0"/>
            </w:tcBorders>
            <w:noWrap w:val="0"/>
            <w:vAlign w:val="center"/>
          </w:tcPr>
          <w:p w14:paraId="108BDF67">
            <w:pPr>
              <w:shd w:val="clear" w:color="auto" w:fill="auto"/>
              <w:autoSpaceDE w:val="0"/>
              <w:autoSpaceDN w:val="0"/>
              <w:adjustRightInd w:val="0"/>
              <w:snapToGrid w:val="0"/>
              <w:jc w:val="center"/>
              <w:rPr>
                <w:rFonts w:eastAsia="仿宋_GB2312"/>
                <w:color w:val="auto"/>
                <w:sz w:val="24"/>
                <w:highlight w:val="none"/>
              </w:rPr>
            </w:pPr>
            <w:r>
              <w:rPr>
                <w:rFonts w:eastAsia="仿宋_GB2312"/>
                <w:color w:val="auto"/>
                <w:sz w:val="24"/>
                <w:highlight w:val="none"/>
              </w:rPr>
              <w:t>占总价的百分比（%）</w:t>
            </w:r>
          </w:p>
        </w:tc>
        <w:tc>
          <w:tcPr>
            <w:tcW w:w="3618" w:type="dxa"/>
            <w:gridSpan w:val="4"/>
            <w:tcBorders>
              <w:top w:val="single" w:color="auto" w:sz="6" w:space="0"/>
              <w:left w:val="single" w:color="auto" w:sz="6" w:space="0"/>
              <w:bottom w:val="single" w:color="auto" w:sz="6" w:space="0"/>
              <w:right w:val="single" w:color="auto" w:sz="6" w:space="0"/>
            </w:tcBorders>
            <w:noWrap w:val="0"/>
            <w:vAlign w:val="center"/>
          </w:tcPr>
          <w:p w14:paraId="63AC3426">
            <w:pPr>
              <w:shd w:val="clear" w:color="auto" w:fill="auto"/>
              <w:autoSpaceDE w:val="0"/>
              <w:autoSpaceDN w:val="0"/>
              <w:adjustRightInd w:val="0"/>
              <w:snapToGrid w:val="0"/>
              <w:jc w:val="center"/>
              <w:rPr>
                <w:rFonts w:eastAsia="仿宋_GB2312"/>
                <w:color w:val="auto"/>
                <w:sz w:val="24"/>
                <w:highlight w:val="none"/>
              </w:rPr>
            </w:pPr>
          </w:p>
        </w:tc>
      </w:tr>
    </w:tbl>
    <w:p w14:paraId="503A90C3">
      <w:pPr>
        <w:shd w:val="clear" w:color="auto" w:fill="auto"/>
        <w:adjustRightInd w:val="0"/>
        <w:snapToGrid w:val="0"/>
        <w:jc w:val="left"/>
        <w:rPr>
          <w:rFonts w:eastAsia="仿宋_GB2312"/>
          <w:color w:val="auto"/>
          <w:szCs w:val="21"/>
          <w:highlight w:val="none"/>
        </w:rPr>
      </w:pPr>
      <w:r>
        <w:rPr>
          <w:rFonts w:eastAsia="仿宋_GB2312"/>
          <w:color w:val="auto"/>
          <w:szCs w:val="21"/>
          <w:highlight w:val="none"/>
        </w:rPr>
        <w:t>说明：</w:t>
      </w:r>
    </w:p>
    <w:p w14:paraId="46D0875B">
      <w:pPr>
        <w:shd w:val="clear" w:color="auto" w:fill="auto"/>
        <w:adjustRightInd w:val="0"/>
        <w:snapToGrid w:val="0"/>
        <w:ind w:firstLine="420" w:firstLineChars="200"/>
        <w:jc w:val="left"/>
        <w:rPr>
          <w:rFonts w:eastAsia="仿宋_GB2312"/>
          <w:color w:val="auto"/>
          <w:szCs w:val="21"/>
          <w:highlight w:val="none"/>
          <w:lang w:val="zh-CN"/>
        </w:rPr>
      </w:pPr>
      <w:r>
        <w:rPr>
          <w:rFonts w:eastAsia="仿宋_GB2312"/>
          <w:color w:val="auto"/>
          <w:szCs w:val="21"/>
          <w:highlight w:val="none"/>
        </w:rPr>
        <w:t>1、</w:t>
      </w:r>
      <w:r>
        <w:rPr>
          <w:rFonts w:eastAsia="仿宋_GB2312"/>
          <w:color w:val="auto"/>
          <w:szCs w:val="21"/>
          <w:highlight w:val="none"/>
          <w:lang w:val="zh-CN"/>
        </w:rPr>
        <w:t>如投标产品为</w:t>
      </w:r>
      <w:r>
        <w:rPr>
          <w:rFonts w:eastAsia="仿宋_GB2312"/>
          <w:color w:val="auto"/>
          <w:szCs w:val="21"/>
          <w:highlight w:val="none"/>
        </w:rPr>
        <w:t>品目清单中的</w:t>
      </w:r>
      <w:r>
        <w:rPr>
          <w:rFonts w:eastAsia="仿宋_GB2312"/>
          <w:color w:val="auto"/>
          <w:szCs w:val="21"/>
          <w:highlight w:val="none"/>
          <w:lang w:val="zh-CN"/>
        </w:rPr>
        <w:t>节能产品、环境标志产品，须按格式逐项填写，并附相关证明，否则评审时不予计分。</w:t>
      </w:r>
    </w:p>
    <w:p w14:paraId="2D4E380A">
      <w:pPr>
        <w:numPr>
          <w:ilvl w:val="0"/>
          <w:numId w:val="10"/>
        </w:numPr>
        <w:shd w:val="clear" w:color="auto" w:fill="auto"/>
        <w:adjustRightInd w:val="0"/>
        <w:snapToGrid w:val="0"/>
        <w:ind w:firstLine="420" w:firstLineChars="200"/>
        <w:jc w:val="left"/>
        <w:rPr>
          <w:rFonts w:eastAsia="仿宋_GB2312"/>
          <w:color w:val="auto"/>
          <w:szCs w:val="21"/>
          <w:highlight w:val="none"/>
          <w:lang w:val="zh-CN"/>
        </w:rPr>
      </w:pPr>
      <w:r>
        <w:rPr>
          <w:rFonts w:eastAsia="仿宋_GB2312"/>
          <w:color w:val="auto"/>
          <w:szCs w:val="21"/>
          <w:highlight w:val="none"/>
          <w:lang w:val="zh-CN"/>
        </w:rPr>
        <w:t>类别填写：节能产品或环境标志产品。</w:t>
      </w:r>
    </w:p>
    <w:p w14:paraId="04EFCC91">
      <w:pPr>
        <w:shd w:val="clear" w:color="auto" w:fill="auto"/>
        <w:tabs>
          <w:tab w:val="center" w:pos="4153"/>
          <w:tab w:val="right" w:pos="8306"/>
        </w:tabs>
        <w:adjustRightInd w:val="0"/>
        <w:snapToGrid w:val="0"/>
        <w:ind w:firstLine="420" w:firstLineChars="200"/>
        <w:rPr>
          <w:color w:val="auto"/>
          <w:szCs w:val="21"/>
          <w:highlight w:val="none"/>
          <w:lang w:val="zh-CN"/>
        </w:rPr>
      </w:pPr>
      <w:r>
        <w:rPr>
          <w:rFonts w:eastAsia="仿宋_GB2312"/>
          <w:color w:val="auto"/>
          <w:szCs w:val="21"/>
          <w:highlight w:val="none"/>
        </w:rPr>
        <w:t>3、</w:t>
      </w:r>
      <w:r>
        <w:rPr>
          <w:rFonts w:eastAsia="仿宋_GB2312"/>
          <w:color w:val="auto"/>
          <w:szCs w:val="21"/>
          <w:highlight w:val="none"/>
          <w:lang w:val="zh-CN"/>
        </w:rPr>
        <w:t>若所投产品为政府强制采购的节能产品，需提供响应产品经国家确定的认证机构出具的、处于有效期内的节能产品认证证书。</w:t>
      </w:r>
      <w:r>
        <w:rPr>
          <w:rFonts w:eastAsia="仿宋_GB2312"/>
          <w:color w:val="auto"/>
          <w:szCs w:val="21"/>
          <w:highlight w:val="none"/>
        </w:rPr>
        <w:t>强制类产品</w:t>
      </w:r>
      <w:r>
        <w:rPr>
          <w:rFonts w:eastAsia="仿宋_GB2312"/>
          <w:color w:val="auto"/>
          <w:szCs w:val="21"/>
          <w:highlight w:val="none"/>
          <w:lang w:val="zh-CN"/>
        </w:rPr>
        <w:t>具体品目详见《关于印发节能产品政府采购品目清单的通知》（财库[2019]19号文）</w:t>
      </w:r>
      <w:r>
        <w:rPr>
          <w:rFonts w:eastAsia="仿宋_GB2312"/>
          <w:color w:val="auto"/>
          <w:szCs w:val="21"/>
          <w:highlight w:val="none"/>
        </w:rPr>
        <w:t>。</w:t>
      </w:r>
    </w:p>
    <w:p w14:paraId="72E14282">
      <w:pPr>
        <w:shd w:val="clear" w:color="auto" w:fill="auto"/>
        <w:autoSpaceDE w:val="0"/>
        <w:autoSpaceDN w:val="0"/>
        <w:adjustRightInd w:val="0"/>
        <w:snapToGrid w:val="0"/>
        <w:spacing w:line="360" w:lineRule="auto"/>
        <w:ind w:firstLine="1920" w:firstLineChars="800"/>
        <w:rPr>
          <w:rFonts w:eastAsia="仿宋_GB2312"/>
          <w:color w:val="auto"/>
          <w:sz w:val="24"/>
          <w:highlight w:val="none"/>
          <w:u w:val="single"/>
        </w:rPr>
      </w:pPr>
    </w:p>
    <w:p w14:paraId="73C8D95D">
      <w:pPr>
        <w:shd w:val="clear" w:color="auto" w:fill="auto"/>
        <w:spacing w:line="360" w:lineRule="auto"/>
        <w:ind w:firstLine="1920" w:firstLineChars="800"/>
        <w:rPr>
          <w:rFonts w:eastAsia="仿宋_GB2312"/>
          <w:color w:val="auto"/>
          <w:sz w:val="24"/>
          <w:highlight w:val="none"/>
        </w:rPr>
      </w:pPr>
      <w:r>
        <w:rPr>
          <w:rFonts w:hint="eastAsia" w:eastAsia="仿宋_GB2312"/>
          <w:color w:val="auto"/>
          <w:sz w:val="24"/>
          <w:highlight w:val="none"/>
        </w:rPr>
        <w:t>投标人</w:t>
      </w:r>
      <w:r>
        <w:rPr>
          <w:rFonts w:eastAsia="仿宋_GB2312"/>
          <w:color w:val="auto"/>
          <w:sz w:val="24"/>
          <w:highlight w:val="none"/>
        </w:rPr>
        <w:t>（盖</w:t>
      </w:r>
      <w:r>
        <w:rPr>
          <w:rFonts w:hint="eastAsia" w:eastAsia="仿宋_GB2312"/>
          <w:color w:val="auto"/>
          <w:sz w:val="24"/>
          <w:highlight w:val="none"/>
        </w:rPr>
        <w:t>公</w:t>
      </w:r>
      <w:r>
        <w:rPr>
          <w:rFonts w:eastAsia="仿宋_GB2312"/>
          <w:color w:val="auto"/>
          <w:sz w:val="24"/>
          <w:highlight w:val="none"/>
        </w:rPr>
        <w:t>章）：</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p>
    <w:p w14:paraId="26E1829F">
      <w:pPr>
        <w:shd w:val="clear" w:color="auto" w:fill="auto"/>
        <w:spacing w:line="360" w:lineRule="auto"/>
        <w:ind w:firstLine="1920" w:firstLineChars="800"/>
        <w:rPr>
          <w:rFonts w:eastAsia="仿宋_GB2312"/>
          <w:color w:val="auto"/>
          <w:sz w:val="24"/>
          <w:highlight w:val="none"/>
          <w:u w:val="single"/>
        </w:rPr>
      </w:pPr>
      <w:r>
        <w:rPr>
          <w:rFonts w:eastAsia="仿宋_GB2312"/>
          <w:color w:val="auto"/>
          <w:sz w:val="24"/>
          <w:highlight w:val="none"/>
        </w:rPr>
        <w:t>法定代表人</w:t>
      </w:r>
      <w:r>
        <w:rPr>
          <w:rFonts w:hint="eastAsia" w:eastAsia="仿宋"/>
          <w:color w:val="auto"/>
          <w:sz w:val="24"/>
          <w:highlight w:val="none"/>
          <w:lang w:val="zh-CN"/>
        </w:rPr>
        <w:t>（或单位负责人）</w:t>
      </w:r>
      <w:r>
        <w:rPr>
          <w:rFonts w:eastAsia="仿宋_GB2312"/>
          <w:color w:val="auto"/>
          <w:sz w:val="24"/>
          <w:highlight w:val="none"/>
        </w:rPr>
        <w:t>或授权代表（签字</w:t>
      </w:r>
      <w:r>
        <w:rPr>
          <w:rFonts w:hint="eastAsia" w:eastAsia="仿宋_GB2312"/>
          <w:color w:val="auto"/>
          <w:sz w:val="24"/>
          <w:highlight w:val="none"/>
        </w:rPr>
        <w:t>或盖章</w:t>
      </w:r>
      <w:r>
        <w:rPr>
          <w:rFonts w:eastAsia="仿宋_GB2312"/>
          <w:color w:val="auto"/>
          <w:sz w:val="24"/>
          <w:highlight w:val="none"/>
        </w:rPr>
        <w:t>）：</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r>
        <w:rPr>
          <w:rFonts w:eastAsia="仿宋_GB2312"/>
          <w:color w:val="auto"/>
          <w:sz w:val="24"/>
          <w:highlight w:val="none"/>
          <w:u w:val="single"/>
        </w:rPr>
        <w:t xml:space="preserve">       </w:t>
      </w:r>
    </w:p>
    <w:p w14:paraId="38796DF4">
      <w:pPr>
        <w:pStyle w:val="7"/>
        <w:numPr>
          <w:ilvl w:val="0"/>
          <w:numId w:val="0"/>
        </w:numPr>
        <w:shd w:val="clear" w:color="auto" w:fill="auto"/>
        <w:jc w:val="center"/>
        <w:rPr>
          <w:rFonts w:hint="eastAsia" w:ascii="Times New Roman" w:hAnsi="Times New Roman" w:eastAsia="仿宋" w:cs="Times New Roman"/>
          <w:b/>
          <w:color w:val="auto"/>
          <w:kern w:val="0"/>
          <w:sz w:val="30"/>
          <w:szCs w:val="20"/>
          <w:highlight w:val="none"/>
          <w:lang w:val="en-US" w:eastAsia="zh-CN" w:bidi="ar-SA"/>
        </w:rPr>
      </w:pPr>
      <w:r>
        <w:rPr>
          <w:rFonts w:eastAsia="仿宋_GB2312"/>
          <w:color w:val="auto"/>
          <w:sz w:val="24"/>
          <w:highlight w:val="none"/>
        </w:rPr>
        <w:t>日    期：</w:t>
      </w:r>
      <w:r>
        <w:rPr>
          <w:rFonts w:eastAsia="仿宋_GB2312"/>
          <w:color w:val="auto"/>
          <w:sz w:val="32"/>
          <w:highlight w:val="none"/>
          <w:u w:val="single"/>
        </w:rPr>
        <w:t xml:space="preserve">                     </w:t>
      </w:r>
      <w:r>
        <w:rPr>
          <w:rFonts w:hint="eastAsia" w:eastAsia="仿宋_GB2312"/>
          <w:color w:val="auto"/>
          <w:sz w:val="32"/>
          <w:highlight w:val="none"/>
          <w:u w:val="single"/>
        </w:rPr>
        <w:t xml:space="preserve">  </w:t>
      </w:r>
      <w:r>
        <w:rPr>
          <w:rFonts w:eastAsia="仿宋_GB2312"/>
          <w:color w:val="auto"/>
          <w:sz w:val="32"/>
          <w:highlight w:val="none"/>
          <w:u w:val="single"/>
        </w:rPr>
        <w:t xml:space="preserve"> </w:t>
      </w:r>
      <w:r>
        <w:rPr>
          <w:rFonts w:hint="eastAsia" w:eastAsia="仿宋_GB2312"/>
          <w:color w:val="auto"/>
          <w:sz w:val="32"/>
          <w:highlight w:val="none"/>
          <w:u w:val="single"/>
        </w:rPr>
        <w:t xml:space="preserve">    </w:t>
      </w:r>
      <w:r>
        <w:rPr>
          <w:rFonts w:eastAsia="仿宋_GB2312"/>
          <w:color w:val="auto"/>
          <w:sz w:val="24"/>
          <w:highlight w:val="none"/>
        </w:rPr>
        <w:br w:type="page"/>
      </w:r>
      <w:r>
        <w:rPr>
          <w:rFonts w:hint="eastAsia" w:ascii="Times New Roman" w:hAnsi="Times New Roman" w:eastAsia="仿宋" w:cs="Times New Roman"/>
          <w:b/>
          <w:color w:val="auto"/>
          <w:kern w:val="0"/>
          <w:sz w:val="30"/>
          <w:szCs w:val="20"/>
          <w:highlight w:val="none"/>
          <w:lang w:val="en-US" w:eastAsia="zh-CN" w:bidi="ar-SA"/>
        </w:rPr>
        <w:t>第三部分  资格证明文件</w:t>
      </w:r>
    </w:p>
    <w:p w14:paraId="1EDD1080">
      <w:pPr>
        <w:shd w:val="clear" w:color="auto" w:fill="auto"/>
        <w:ind w:firstLine="0" w:firstLineChars="0"/>
        <w:jc w:val="center"/>
        <w:outlineLvl w:val="9"/>
        <w:rPr>
          <w:rFonts w:ascii="Times New Roman" w:hAnsi="Times New Roman" w:eastAsia="仿宋"/>
          <w:color w:val="auto"/>
          <w:highlight w:val="none"/>
        </w:rPr>
      </w:pPr>
      <w:bookmarkStart w:id="387" w:name="_Toc114840461"/>
      <w:bookmarkStart w:id="388" w:name="_Toc105505626"/>
      <w:bookmarkStart w:id="389" w:name="_Toc27885"/>
      <w:bookmarkStart w:id="390" w:name="_Toc142559899"/>
    </w:p>
    <w:p w14:paraId="5A9270EF">
      <w:pPr>
        <w:pStyle w:val="6"/>
        <w:shd w:val="clear" w:color="auto" w:fill="auto"/>
        <w:ind w:firstLine="0" w:firstLineChars="0"/>
        <w:jc w:val="center"/>
        <w:rPr>
          <w:rFonts w:ascii="Times New Roman" w:hAnsi="Times New Roman" w:eastAsia="仿宋"/>
          <w:color w:val="auto"/>
          <w:highlight w:val="none"/>
        </w:rPr>
      </w:pPr>
      <w:bookmarkStart w:id="391" w:name="_Toc26556"/>
      <w:r>
        <w:rPr>
          <w:rFonts w:ascii="Times New Roman" w:hAnsi="Times New Roman" w:eastAsia="仿宋"/>
          <w:color w:val="auto"/>
          <w:highlight w:val="none"/>
        </w:rPr>
        <w:t>一、身份证明文件</w:t>
      </w:r>
      <w:bookmarkEnd w:id="387"/>
      <w:bookmarkEnd w:id="388"/>
      <w:bookmarkEnd w:id="389"/>
      <w:bookmarkEnd w:id="390"/>
      <w:bookmarkEnd w:id="391"/>
    </w:p>
    <w:p w14:paraId="43887866">
      <w:pPr>
        <w:shd w:val="clear" w:color="auto" w:fill="auto"/>
        <w:jc w:val="center"/>
        <w:rPr>
          <w:rFonts w:eastAsia="仿宋_GB2312"/>
          <w:b/>
          <w:color w:val="auto"/>
          <w:sz w:val="28"/>
          <w:szCs w:val="28"/>
          <w:highlight w:val="none"/>
        </w:rPr>
      </w:pPr>
      <w:r>
        <w:rPr>
          <w:rFonts w:hint="eastAsia" w:eastAsia="仿宋_GB2312"/>
          <w:b/>
          <w:color w:val="auto"/>
          <w:sz w:val="28"/>
          <w:szCs w:val="28"/>
          <w:highlight w:val="none"/>
          <w:lang w:val="en-US" w:eastAsia="zh-CN"/>
        </w:rPr>
        <w:t>1</w:t>
      </w:r>
      <w:r>
        <w:rPr>
          <w:rFonts w:eastAsia="仿宋_GB2312"/>
          <w:b/>
          <w:color w:val="auto"/>
          <w:sz w:val="28"/>
          <w:szCs w:val="28"/>
          <w:highlight w:val="none"/>
        </w:rPr>
        <w:t>、法定代表人（或单位负责人）身份证明</w:t>
      </w:r>
    </w:p>
    <w:p w14:paraId="3B1B2C69">
      <w:pPr>
        <w:shd w:val="clear" w:color="auto" w:fill="auto"/>
        <w:spacing w:line="360" w:lineRule="auto"/>
        <w:rPr>
          <w:color w:val="auto"/>
          <w:highlight w:val="none"/>
          <w:shd w:val="clear" w:color="auto" w:fill="FFFFFF"/>
        </w:rPr>
      </w:pPr>
    </w:p>
    <w:p w14:paraId="2D45561D">
      <w:pPr>
        <w:shd w:val="clear" w:color="auto" w:fill="auto"/>
        <w:spacing w:line="360" w:lineRule="auto"/>
        <w:rPr>
          <w:rFonts w:eastAsia="仿宋_GB2312"/>
          <w:color w:val="auto"/>
          <w:sz w:val="24"/>
          <w:highlight w:val="none"/>
        </w:rPr>
      </w:pPr>
      <w:r>
        <w:rPr>
          <w:rFonts w:eastAsia="仿宋_GB2312"/>
          <w:color w:val="auto"/>
          <w:sz w:val="24"/>
          <w:highlight w:val="none"/>
          <w:u w:val="single"/>
        </w:rPr>
        <w:t>（采购代理机构名称）</w:t>
      </w:r>
      <w:r>
        <w:rPr>
          <w:rFonts w:eastAsia="仿宋_GB2312"/>
          <w:color w:val="auto"/>
          <w:sz w:val="24"/>
          <w:highlight w:val="none"/>
        </w:rPr>
        <w:t>：</w:t>
      </w:r>
    </w:p>
    <w:p w14:paraId="5C68D13D">
      <w:pPr>
        <w:shd w:val="clear" w:color="auto" w:fill="auto"/>
        <w:spacing w:line="360" w:lineRule="auto"/>
        <w:ind w:firstLine="600" w:firstLineChars="250"/>
        <w:rPr>
          <w:rFonts w:eastAsia="仿宋_GB2312"/>
          <w:color w:val="auto"/>
          <w:sz w:val="24"/>
          <w:highlight w:val="none"/>
        </w:rPr>
      </w:pPr>
      <w:r>
        <w:rPr>
          <w:rFonts w:eastAsia="仿宋_GB2312"/>
          <w:color w:val="auto"/>
          <w:sz w:val="24"/>
          <w:highlight w:val="none"/>
          <w:u w:val="single"/>
        </w:rPr>
        <w:t xml:space="preserve">        </w:t>
      </w:r>
      <w:r>
        <w:rPr>
          <w:rFonts w:eastAsia="仿宋_GB2312"/>
          <w:color w:val="auto"/>
          <w:sz w:val="24"/>
          <w:highlight w:val="none"/>
        </w:rPr>
        <w:t>（姓名、性别、年龄、身份证号码）在我</w:t>
      </w:r>
      <w:r>
        <w:rPr>
          <w:rFonts w:eastAsia="仿宋_GB2312"/>
          <w:color w:val="auto"/>
          <w:sz w:val="24"/>
          <w:highlight w:val="none"/>
        </w:rPr>
        <w:fldChar w:fldCharType="begin"/>
      </w:r>
      <w:r>
        <w:rPr>
          <w:rFonts w:eastAsia="仿宋_GB2312"/>
          <w:color w:val="auto"/>
          <w:sz w:val="24"/>
          <w:highlight w:val="none"/>
        </w:rPr>
        <w:instrText xml:space="preserve"> HYPERLINK "https://baike.baidu.com/item/%E5%8D%95%E4%BD%8D/32292" \t "_blank" </w:instrText>
      </w:r>
      <w:r>
        <w:rPr>
          <w:rFonts w:eastAsia="仿宋_GB2312"/>
          <w:color w:val="auto"/>
          <w:sz w:val="24"/>
          <w:highlight w:val="none"/>
        </w:rPr>
        <w:fldChar w:fldCharType="separate"/>
      </w:r>
      <w:r>
        <w:rPr>
          <w:rFonts w:eastAsia="仿宋_GB2312"/>
          <w:color w:val="auto"/>
          <w:sz w:val="24"/>
          <w:highlight w:val="none"/>
        </w:rPr>
        <w:t>单位</w:t>
      </w:r>
      <w:r>
        <w:rPr>
          <w:rFonts w:eastAsia="仿宋_GB2312"/>
          <w:color w:val="auto"/>
          <w:sz w:val="24"/>
          <w:highlight w:val="none"/>
        </w:rPr>
        <w:fldChar w:fldCharType="end"/>
      </w:r>
      <w:r>
        <w:rPr>
          <w:rFonts w:eastAsia="仿宋_GB2312"/>
          <w:color w:val="auto"/>
          <w:sz w:val="24"/>
          <w:highlight w:val="none"/>
        </w:rPr>
        <w:t>任</w:t>
      </w:r>
      <w:r>
        <w:rPr>
          <w:rFonts w:eastAsia="仿宋_GB2312"/>
          <w:color w:val="auto"/>
          <w:sz w:val="24"/>
          <w:highlight w:val="none"/>
          <w:u w:val="single"/>
        </w:rPr>
        <w:t xml:space="preserve">       </w:t>
      </w:r>
      <w:r>
        <w:rPr>
          <w:rFonts w:eastAsia="仿宋_GB2312"/>
          <w:color w:val="auto"/>
          <w:sz w:val="24"/>
          <w:highlight w:val="none"/>
        </w:rPr>
        <w:t>（董事长、总经理等）职务，是我单位的法定代表人</w:t>
      </w:r>
      <w:r>
        <w:rPr>
          <w:rFonts w:hint="eastAsia" w:eastAsia="仿宋"/>
          <w:color w:val="auto"/>
          <w:sz w:val="24"/>
          <w:highlight w:val="none"/>
          <w:lang w:val="zh-CN"/>
        </w:rPr>
        <w:t>（或单位负责人）</w:t>
      </w:r>
      <w:r>
        <w:rPr>
          <w:rFonts w:eastAsia="仿宋_GB2312"/>
          <w:color w:val="auto"/>
          <w:sz w:val="24"/>
          <w:highlight w:val="none"/>
        </w:rPr>
        <w:t>。</w:t>
      </w:r>
    </w:p>
    <w:p w14:paraId="337CBB02">
      <w:pPr>
        <w:shd w:val="clear" w:color="auto" w:fill="auto"/>
        <w:spacing w:line="360" w:lineRule="auto"/>
        <w:ind w:firstLine="480"/>
        <w:rPr>
          <w:rFonts w:eastAsia="仿宋_GB2312"/>
          <w:color w:val="auto"/>
          <w:sz w:val="24"/>
          <w:highlight w:val="none"/>
        </w:rPr>
      </w:pPr>
    </w:p>
    <w:p w14:paraId="281CFDEC">
      <w:pPr>
        <w:shd w:val="clear" w:color="auto" w:fill="auto"/>
        <w:spacing w:line="360" w:lineRule="auto"/>
        <w:ind w:firstLine="480"/>
        <w:rPr>
          <w:rFonts w:eastAsia="仿宋_GB2312"/>
          <w:color w:val="auto"/>
          <w:sz w:val="24"/>
          <w:highlight w:val="none"/>
        </w:rPr>
      </w:pPr>
    </w:p>
    <w:p w14:paraId="1A1F5DB0">
      <w:pPr>
        <w:shd w:val="clear" w:color="auto" w:fill="auto"/>
        <w:spacing w:line="360" w:lineRule="auto"/>
        <w:ind w:firstLine="480"/>
        <w:rPr>
          <w:rFonts w:eastAsia="仿宋_GB2312"/>
          <w:color w:val="auto"/>
          <w:sz w:val="24"/>
          <w:highlight w:val="none"/>
        </w:rPr>
      </w:pPr>
      <w:r>
        <w:rPr>
          <w:rFonts w:eastAsia="仿宋_GB2312"/>
          <w:color w:val="auto"/>
          <w:sz w:val="24"/>
          <w:highlight w:val="none"/>
        </w:rPr>
        <w:t>特此证明。</w:t>
      </w:r>
    </w:p>
    <w:p w14:paraId="52567E1F">
      <w:pPr>
        <w:shd w:val="clear" w:color="auto" w:fill="auto"/>
        <w:spacing w:line="360" w:lineRule="auto"/>
        <w:ind w:firstLine="480"/>
        <w:rPr>
          <w:rFonts w:eastAsia="仿宋_GB2312"/>
          <w:color w:val="auto"/>
          <w:sz w:val="24"/>
          <w:highlight w:val="none"/>
        </w:rPr>
      </w:pPr>
    </w:p>
    <w:p w14:paraId="04B45B65">
      <w:pPr>
        <w:shd w:val="clear" w:color="auto" w:fill="auto"/>
        <w:spacing w:line="360" w:lineRule="auto"/>
        <w:ind w:firstLine="480"/>
        <w:rPr>
          <w:rFonts w:eastAsia="仿宋_GB2312"/>
          <w:color w:val="auto"/>
          <w:sz w:val="24"/>
          <w:highlight w:val="none"/>
        </w:rPr>
      </w:pPr>
    </w:p>
    <w:p w14:paraId="793683EE">
      <w:pPr>
        <w:shd w:val="clear" w:color="auto" w:fill="auto"/>
        <w:spacing w:line="360" w:lineRule="auto"/>
        <w:ind w:firstLine="480"/>
        <w:rPr>
          <w:rFonts w:eastAsia="仿宋_GB2312"/>
          <w:color w:val="auto"/>
          <w:sz w:val="24"/>
          <w:highlight w:val="none"/>
        </w:rPr>
      </w:pPr>
    </w:p>
    <w:p w14:paraId="5B1E0211">
      <w:pPr>
        <w:pStyle w:val="18"/>
        <w:shd w:val="clear" w:color="auto" w:fill="auto"/>
        <w:tabs>
          <w:tab w:val="left" w:pos="5580"/>
        </w:tabs>
        <w:spacing w:line="360" w:lineRule="auto"/>
        <w:ind w:left="-540" w:leftChars="-257" w:firstLine="900" w:firstLineChars="375"/>
        <w:rPr>
          <w:rFonts w:ascii="Times New Roman" w:hAnsi="Times New Roman" w:eastAsia="仿宋_GB2312"/>
          <w:color w:val="auto"/>
          <w:sz w:val="24"/>
          <w:highlight w:val="none"/>
        </w:rPr>
      </w:pPr>
      <w:r>
        <w:rPr>
          <w:rFonts w:ascii="Times New Roman" w:hAnsi="Times New Roman" w:eastAsia="仿宋_GB2312"/>
          <w:color w:val="auto"/>
          <w:sz w:val="24"/>
          <w:highlight w:val="none"/>
        </w:rPr>
        <w:t>投标人（</w:t>
      </w:r>
      <w:r>
        <w:rPr>
          <w:rFonts w:hint="eastAsia" w:eastAsia="仿宋_GB2312"/>
          <w:color w:val="auto"/>
          <w:sz w:val="24"/>
          <w:highlight w:val="none"/>
        </w:rPr>
        <w:t>盖</w:t>
      </w:r>
      <w:r>
        <w:rPr>
          <w:rFonts w:eastAsia="仿宋_GB2312"/>
          <w:color w:val="auto"/>
          <w:sz w:val="24"/>
          <w:highlight w:val="none"/>
        </w:rPr>
        <w:t>公章</w:t>
      </w:r>
      <w:r>
        <w:rPr>
          <w:rFonts w:ascii="Times New Roman" w:hAnsi="Times New Roman" w:eastAsia="仿宋_GB2312"/>
          <w:color w:val="auto"/>
          <w:sz w:val="24"/>
          <w:highlight w:val="none"/>
        </w:rPr>
        <w:t>）：</w:t>
      </w:r>
      <w:r>
        <w:rPr>
          <w:rFonts w:ascii="Times New Roman" w:hAnsi="Times New Roman" w:eastAsia="仿宋_GB2312"/>
          <w:color w:val="auto"/>
          <w:sz w:val="24"/>
          <w:highlight w:val="none"/>
          <w:u w:val="single"/>
        </w:rPr>
        <w:t xml:space="preserve">                    </w:t>
      </w:r>
      <w:r>
        <w:rPr>
          <w:rFonts w:hint="eastAsia" w:ascii="Times New Roman" w:hAnsi="Times New Roman" w:eastAsia="仿宋_GB2312"/>
          <w:color w:val="auto"/>
          <w:sz w:val="24"/>
          <w:highlight w:val="none"/>
          <w:u w:val="single"/>
        </w:rPr>
        <w:t xml:space="preserve"> </w:t>
      </w:r>
      <w:r>
        <w:rPr>
          <w:rFonts w:ascii="Times New Roman" w:hAnsi="Times New Roman" w:eastAsia="仿宋_GB2312"/>
          <w:color w:val="auto"/>
          <w:sz w:val="24"/>
          <w:highlight w:val="none"/>
          <w:u w:val="single"/>
        </w:rPr>
        <w:t xml:space="preserve">     </w:t>
      </w:r>
      <w:r>
        <w:rPr>
          <w:rFonts w:hint="eastAsia" w:ascii="Times New Roman" w:hAnsi="Times New Roman" w:eastAsia="仿宋_GB2312"/>
          <w:color w:val="auto"/>
          <w:sz w:val="24"/>
          <w:highlight w:val="none"/>
          <w:u w:val="single"/>
        </w:rPr>
        <w:t xml:space="preserve"> </w:t>
      </w:r>
      <w:r>
        <w:rPr>
          <w:rFonts w:ascii="Times New Roman" w:hAnsi="Times New Roman" w:eastAsia="仿宋_GB2312"/>
          <w:color w:val="auto"/>
          <w:sz w:val="24"/>
          <w:highlight w:val="none"/>
          <w:u w:val="single"/>
        </w:rPr>
        <w:t xml:space="preserve">   </w:t>
      </w:r>
    </w:p>
    <w:p w14:paraId="7BCEFF78">
      <w:pPr>
        <w:pStyle w:val="18"/>
        <w:shd w:val="clear" w:color="auto" w:fill="auto"/>
        <w:tabs>
          <w:tab w:val="left" w:pos="5580"/>
        </w:tabs>
        <w:spacing w:line="360" w:lineRule="auto"/>
        <w:ind w:left="269" w:leftChars="128" w:firstLine="120" w:firstLineChars="50"/>
        <w:rPr>
          <w:rFonts w:ascii="Times New Roman" w:hAnsi="Times New Roman" w:eastAsia="仿宋_GB2312"/>
          <w:color w:val="auto"/>
          <w:sz w:val="24"/>
          <w:highlight w:val="none"/>
        </w:rPr>
      </w:pPr>
      <w:r>
        <w:rPr>
          <w:rFonts w:ascii="Times New Roman" w:hAnsi="Times New Roman" w:eastAsia="仿宋_GB2312"/>
          <w:color w:val="auto"/>
          <w:sz w:val="24"/>
          <w:highlight w:val="none"/>
        </w:rPr>
        <w:t>详细通讯地址：</w:t>
      </w:r>
      <w:r>
        <w:rPr>
          <w:rFonts w:ascii="Times New Roman" w:hAnsi="Times New Roman" w:eastAsia="仿宋_GB2312"/>
          <w:color w:val="auto"/>
          <w:sz w:val="24"/>
          <w:highlight w:val="none"/>
          <w:u w:val="single"/>
        </w:rPr>
        <w:t xml:space="preserve">                           </w:t>
      </w:r>
      <w:r>
        <w:rPr>
          <w:rFonts w:hint="eastAsia" w:ascii="Times New Roman" w:hAnsi="Times New Roman" w:eastAsia="仿宋_GB2312"/>
          <w:color w:val="auto"/>
          <w:sz w:val="24"/>
          <w:highlight w:val="none"/>
          <w:u w:val="single"/>
        </w:rPr>
        <w:t xml:space="preserve">  </w:t>
      </w:r>
      <w:r>
        <w:rPr>
          <w:rFonts w:ascii="Times New Roman" w:hAnsi="Times New Roman" w:eastAsia="仿宋_GB2312"/>
          <w:color w:val="auto"/>
          <w:sz w:val="24"/>
          <w:highlight w:val="none"/>
          <w:u w:val="single"/>
        </w:rPr>
        <w:t xml:space="preserve">     </w:t>
      </w:r>
    </w:p>
    <w:p w14:paraId="4FBE9513">
      <w:pPr>
        <w:pStyle w:val="18"/>
        <w:shd w:val="clear" w:color="auto" w:fill="auto"/>
        <w:tabs>
          <w:tab w:val="left" w:pos="5580"/>
        </w:tabs>
        <w:spacing w:line="360" w:lineRule="auto"/>
        <w:ind w:firstLine="360" w:firstLineChars="150"/>
        <w:rPr>
          <w:rFonts w:ascii="Times New Roman" w:hAnsi="Times New Roman" w:eastAsia="仿宋_GB2312"/>
          <w:color w:val="auto"/>
          <w:sz w:val="24"/>
          <w:highlight w:val="none"/>
        </w:rPr>
      </w:pPr>
      <w:r>
        <w:rPr>
          <w:rFonts w:ascii="Times New Roman" w:hAnsi="Times New Roman" w:eastAsia="仿宋_GB2312"/>
          <w:color w:val="auto"/>
          <w:sz w:val="24"/>
          <w:highlight w:val="none"/>
        </w:rPr>
        <w:t>邮 政 编 码 ：</w:t>
      </w:r>
      <w:r>
        <w:rPr>
          <w:rFonts w:ascii="Times New Roman" w:hAnsi="Times New Roman" w:eastAsia="仿宋_GB2312"/>
          <w:color w:val="auto"/>
          <w:sz w:val="24"/>
          <w:highlight w:val="none"/>
          <w:u w:val="single"/>
        </w:rPr>
        <w:t xml:space="preserve">                         </w:t>
      </w:r>
      <w:r>
        <w:rPr>
          <w:rFonts w:hint="eastAsia" w:ascii="Times New Roman" w:hAnsi="Times New Roman" w:eastAsia="仿宋_GB2312"/>
          <w:color w:val="auto"/>
          <w:sz w:val="24"/>
          <w:highlight w:val="none"/>
          <w:u w:val="single"/>
        </w:rPr>
        <w:t xml:space="preserve">  </w:t>
      </w:r>
      <w:r>
        <w:rPr>
          <w:rFonts w:ascii="Times New Roman" w:hAnsi="Times New Roman" w:eastAsia="仿宋_GB2312"/>
          <w:color w:val="auto"/>
          <w:sz w:val="24"/>
          <w:highlight w:val="none"/>
          <w:u w:val="single"/>
        </w:rPr>
        <w:t xml:space="preserve">       </w:t>
      </w:r>
    </w:p>
    <w:p w14:paraId="751386EF">
      <w:pPr>
        <w:pStyle w:val="18"/>
        <w:shd w:val="clear" w:color="auto" w:fill="auto"/>
        <w:tabs>
          <w:tab w:val="left" w:pos="5580"/>
        </w:tabs>
        <w:spacing w:line="360" w:lineRule="auto"/>
        <w:ind w:firstLine="360" w:firstLineChars="150"/>
        <w:rPr>
          <w:rFonts w:ascii="Times New Roman" w:hAnsi="Times New Roman" w:eastAsia="仿宋_GB2312"/>
          <w:color w:val="auto"/>
          <w:sz w:val="24"/>
          <w:highlight w:val="none"/>
        </w:rPr>
      </w:pPr>
      <w:r>
        <w:rPr>
          <w:rFonts w:ascii="Times New Roman" w:hAnsi="Times New Roman" w:eastAsia="仿宋_GB2312"/>
          <w:color w:val="auto"/>
          <w:sz w:val="24"/>
          <w:highlight w:val="none"/>
        </w:rPr>
        <w:t>电　　　　话：</w:t>
      </w:r>
      <w:r>
        <w:rPr>
          <w:rFonts w:ascii="Times New Roman" w:hAnsi="Times New Roman" w:eastAsia="仿宋_GB2312"/>
          <w:color w:val="auto"/>
          <w:sz w:val="24"/>
          <w:highlight w:val="none"/>
          <w:u w:val="single"/>
        </w:rPr>
        <w:t xml:space="preserve">                         </w:t>
      </w:r>
      <w:r>
        <w:rPr>
          <w:rFonts w:hint="eastAsia" w:ascii="Times New Roman" w:hAnsi="Times New Roman" w:eastAsia="仿宋_GB2312"/>
          <w:color w:val="auto"/>
          <w:sz w:val="24"/>
          <w:highlight w:val="none"/>
          <w:u w:val="single"/>
        </w:rPr>
        <w:t xml:space="preserve">  </w:t>
      </w:r>
      <w:r>
        <w:rPr>
          <w:rFonts w:ascii="Times New Roman" w:hAnsi="Times New Roman" w:eastAsia="仿宋_GB2312"/>
          <w:color w:val="auto"/>
          <w:sz w:val="24"/>
          <w:highlight w:val="none"/>
          <w:u w:val="single"/>
        </w:rPr>
        <w:t xml:space="preserve">       </w:t>
      </w:r>
    </w:p>
    <w:p w14:paraId="5C029719">
      <w:pPr>
        <w:shd w:val="clear" w:color="auto" w:fill="auto"/>
        <w:spacing w:line="360" w:lineRule="auto"/>
        <w:ind w:firstLine="480"/>
        <w:rPr>
          <w:rFonts w:eastAsia="仿宋_GB2312"/>
          <w:color w:val="auto"/>
          <w:sz w:val="24"/>
          <w:highlight w:val="none"/>
        </w:rPr>
      </w:pPr>
    </w:p>
    <w:p w14:paraId="0D83B174">
      <w:pPr>
        <w:shd w:val="clear" w:color="auto" w:fill="auto"/>
        <w:spacing w:line="360" w:lineRule="auto"/>
        <w:ind w:firstLine="480"/>
        <w:rPr>
          <w:rFonts w:eastAsia="仿宋_GB2312"/>
          <w:color w:val="auto"/>
          <w:sz w:val="24"/>
          <w:highlight w:val="none"/>
        </w:rPr>
      </w:pPr>
    </w:p>
    <w:p w14:paraId="4B3FF5B7">
      <w:pPr>
        <w:shd w:val="clear" w:color="auto" w:fill="auto"/>
        <w:spacing w:line="360" w:lineRule="auto"/>
        <w:ind w:firstLine="480"/>
        <w:rPr>
          <w:rFonts w:eastAsia="仿宋_GB2312"/>
          <w:color w:val="auto"/>
          <w:sz w:val="24"/>
          <w:highlight w:val="none"/>
        </w:rPr>
      </w:pPr>
      <w:r>
        <w:rPr>
          <w:rFonts w:eastAsia="仿宋_GB2312"/>
          <w:color w:val="auto"/>
          <w:sz w:val="24"/>
          <w:highlight w:val="none"/>
        </w:rPr>
        <w:t>注：自然人投标的仅需提供身份证</w:t>
      </w:r>
    </w:p>
    <w:p w14:paraId="3E64ECE4">
      <w:pPr>
        <w:pStyle w:val="7"/>
        <w:shd w:val="clear" w:color="auto" w:fill="auto"/>
        <w:ind w:left="0" w:leftChars="0" w:firstLine="0" w:firstLineChars="0"/>
        <w:jc w:val="center"/>
        <w:rPr>
          <w:rFonts w:eastAsia="仿宋_GB2312"/>
          <w:b/>
          <w:color w:val="auto"/>
          <w:sz w:val="28"/>
          <w:szCs w:val="28"/>
          <w:highlight w:val="none"/>
        </w:rPr>
      </w:pPr>
      <w:r>
        <w:rPr>
          <w:rFonts w:eastAsia="仿宋_GB2312"/>
          <w:color w:val="auto"/>
          <w:sz w:val="24"/>
          <w:highlight w:val="none"/>
        </w:rPr>
        <w:br w:type="page"/>
      </w:r>
      <w:bookmarkStart w:id="392" w:name="_Toc60929127"/>
      <w:r>
        <w:rPr>
          <w:rFonts w:hint="eastAsia" w:eastAsia="仿宋_GB2312"/>
          <w:b/>
          <w:color w:val="auto"/>
          <w:sz w:val="28"/>
          <w:szCs w:val="28"/>
          <w:highlight w:val="none"/>
          <w:lang w:val="en-US" w:eastAsia="zh-CN"/>
        </w:rPr>
        <w:t>2</w:t>
      </w:r>
      <w:r>
        <w:rPr>
          <w:rFonts w:eastAsia="仿宋_GB2312"/>
          <w:b/>
          <w:color w:val="auto"/>
          <w:sz w:val="28"/>
          <w:szCs w:val="28"/>
          <w:highlight w:val="none"/>
        </w:rPr>
        <w:t>、法定代表人（或单位负责人）授权书</w:t>
      </w:r>
      <w:bookmarkEnd w:id="392"/>
    </w:p>
    <w:p w14:paraId="7FB386A3">
      <w:pPr>
        <w:pStyle w:val="18"/>
        <w:shd w:val="clear" w:color="auto" w:fill="auto"/>
        <w:tabs>
          <w:tab w:val="left" w:pos="5580"/>
        </w:tabs>
        <w:spacing w:line="360" w:lineRule="auto"/>
        <w:ind w:firstLine="480" w:firstLineChars="200"/>
        <w:rPr>
          <w:rFonts w:ascii="Times New Roman" w:hAnsi="Times New Roman" w:eastAsia="仿宋_GB2312"/>
          <w:color w:val="auto"/>
          <w:sz w:val="24"/>
          <w:highlight w:val="none"/>
        </w:rPr>
      </w:pPr>
      <w:r>
        <w:rPr>
          <w:rFonts w:ascii="Times New Roman" w:hAnsi="Times New Roman" w:eastAsia="仿宋_GB2312"/>
          <w:color w:val="auto"/>
          <w:sz w:val="24"/>
          <w:highlight w:val="none"/>
        </w:rPr>
        <w:t>本授权书声明：注册于</w:t>
      </w:r>
      <w:r>
        <w:rPr>
          <w:rFonts w:ascii="Times New Roman" w:hAnsi="Times New Roman" w:eastAsia="仿宋_GB2312"/>
          <w:color w:val="auto"/>
          <w:sz w:val="24"/>
          <w:highlight w:val="none"/>
          <w:u w:val="single"/>
        </w:rPr>
        <w:t>（国家或地区的名称）</w:t>
      </w:r>
      <w:r>
        <w:rPr>
          <w:rFonts w:ascii="Times New Roman" w:hAnsi="Times New Roman" w:eastAsia="仿宋_GB2312"/>
          <w:color w:val="auto"/>
          <w:sz w:val="24"/>
          <w:highlight w:val="none"/>
        </w:rPr>
        <w:t>的（</w:t>
      </w:r>
      <w:r>
        <w:rPr>
          <w:rFonts w:ascii="Times New Roman" w:hAnsi="Times New Roman" w:eastAsia="仿宋_GB2312"/>
          <w:color w:val="auto"/>
          <w:sz w:val="24"/>
          <w:highlight w:val="none"/>
          <w:u w:val="single"/>
        </w:rPr>
        <w:t>投标人</w:t>
      </w:r>
      <w:r>
        <w:rPr>
          <w:rFonts w:ascii="Times New Roman" w:hAnsi="Times New Roman" w:eastAsia="仿宋_GB2312"/>
          <w:color w:val="auto"/>
          <w:sz w:val="24"/>
          <w:highlight w:val="none"/>
        </w:rPr>
        <w:t>）的（</w:t>
      </w:r>
      <w:r>
        <w:rPr>
          <w:rFonts w:ascii="Times New Roman" w:hAnsi="Times New Roman" w:eastAsia="仿宋_GB2312"/>
          <w:color w:val="auto"/>
          <w:sz w:val="24"/>
          <w:highlight w:val="none"/>
          <w:u w:val="single"/>
        </w:rPr>
        <w:t>法人代表姓名、职务</w:t>
      </w:r>
      <w:r>
        <w:rPr>
          <w:rFonts w:ascii="Times New Roman" w:hAnsi="Times New Roman" w:eastAsia="仿宋_GB2312"/>
          <w:color w:val="auto"/>
          <w:sz w:val="24"/>
          <w:highlight w:val="none"/>
        </w:rPr>
        <w:t>）为我单位法定代表人</w:t>
      </w:r>
      <w:r>
        <w:rPr>
          <w:rFonts w:hint="eastAsia" w:eastAsia="仿宋"/>
          <w:color w:val="auto"/>
          <w:sz w:val="24"/>
          <w:highlight w:val="none"/>
          <w:lang w:val="zh-CN"/>
        </w:rPr>
        <w:t>（或单位负责人）</w:t>
      </w:r>
      <w:r>
        <w:rPr>
          <w:rFonts w:ascii="Times New Roman" w:hAnsi="Times New Roman" w:eastAsia="仿宋_GB2312"/>
          <w:color w:val="auto"/>
          <w:sz w:val="24"/>
          <w:highlight w:val="none"/>
        </w:rPr>
        <w:t>，代表我单位授权（</w:t>
      </w:r>
      <w:r>
        <w:rPr>
          <w:rFonts w:ascii="Times New Roman" w:hAnsi="Times New Roman" w:eastAsia="仿宋_GB2312"/>
          <w:color w:val="auto"/>
          <w:sz w:val="24"/>
          <w:highlight w:val="none"/>
          <w:u w:val="single"/>
        </w:rPr>
        <w:t>被授权人的姓名</w:t>
      </w:r>
      <w:r>
        <w:rPr>
          <w:rFonts w:ascii="Times New Roman" w:hAnsi="Times New Roman" w:eastAsia="仿宋_GB2312"/>
          <w:color w:val="auto"/>
          <w:sz w:val="24"/>
          <w:highlight w:val="none"/>
        </w:rPr>
        <w:t>）为我单位的合法代理人，就（</w:t>
      </w:r>
      <w:r>
        <w:rPr>
          <w:rFonts w:ascii="Times New Roman" w:hAnsi="Times New Roman" w:eastAsia="仿宋_GB2312"/>
          <w:color w:val="auto"/>
          <w:sz w:val="24"/>
          <w:highlight w:val="none"/>
          <w:u w:val="single"/>
        </w:rPr>
        <w:t>项目名称和采购项目编号</w:t>
      </w:r>
      <w:r>
        <w:rPr>
          <w:rFonts w:ascii="Times New Roman" w:hAnsi="Times New Roman" w:eastAsia="仿宋_GB2312"/>
          <w:color w:val="auto"/>
          <w:sz w:val="24"/>
          <w:highlight w:val="none"/>
        </w:rPr>
        <w:t>）投标，以我单位名义处理一切与之有关的事务。</w:t>
      </w:r>
      <w:r>
        <w:rPr>
          <w:rFonts w:ascii="Times New Roman" w:hAnsi="Times New Roman" w:eastAsia="仿宋_GB2312"/>
          <w:color w:val="auto"/>
          <w:sz w:val="24"/>
          <w:highlight w:val="none"/>
        </w:rPr>
        <w:cr/>
      </w:r>
      <w:r>
        <w:rPr>
          <w:rFonts w:ascii="Times New Roman" w:hAnsi="Times New Roman" w:eastAsia="仿宋_GB2312"/>
          <w:color w:val="auto"/>
          <w:sz w:val="24"/>
          <w:highlight w:val="none"/>
        </w:rPr>
        <w:t>　　本授权书于</w:t>
      </w:r>
      <w:r>
        <w:rPr>
          <w:rFonts w:ascii="Times New Roman" w:hAnsi="Times New Roman" w:eastAsia="仿宋_GB2312"/>
          <w:color w:val="auto"/>
          <w:sz w:val="24"/>
          <w:highlight w:val="none"/>
          <w:u w:val="single"/>
        </w:rPr>
        <w:t xml:space="preserve">       </w:t>
      </w:r>
      <w:r>
        <w:rPr>
          <w:rFonts w:ascii="Times New Roman" w:hAnsi="Times New Roman" w:eastAsia="仿宋_GB2312"/>
          <w:color w:val="auto"/>
          <w:sz w:val="24"/>
          <w:highlight w:val="none"/>
        </w:rPr>
        <w:t>年</w:t>
      </w:r>
      <w:r>
        <w:rPr>
          <w:rFonts w:ascii="Times New Roman" w:hAnsi="Times New Roman" w:eastAsia="仿宋_GB2312"/>
          <w:color w:val="auto"/>
          <w:sz w:val="24"/>
          <w:highlight w:val="none"/>
          <w:u w:val="single"/>
        </w:rPr>
        <w:t xml:space="preserve">    </w:t>
      </w:r>
      <w:r>
        <w:rPr>
          <w:rFonts w:ascii="Times New Roman" w:hAnsi="Times New Roman" w:eastAsia="仿宋_GB2312"/>
          <w:color w:val="auto"/>
          <w:sz w:val="24"/>
          <w:highlight w:val="none"/>
        </w:rPr>
        <w:t>月</w:t>
      </w:r>
      <w:r>
        <w:rPr>
          <w:rFonts w:ascii="Times New Roman" w:hAnsi="Times New Roman" w:eastAsia="仿宋_GB2312"/>
          <w:color w:val="auto"/>
          <w:sz w:val="24"/>
          <w:highlight w:val="none"/>
          <w:u w:val="single"/>
        </w:rPr>
        <w:t xml:space="preserve">   </w:t>
      </w:r>
      <w:r>
        <w:rPr>
          <w:rFonts w:ascii="Times New Roman" w:hAnsi="Times New Roman" w:eastAsia="仿宋_GB2312"/>
          <w:color w:val="auto"/>
          <w:sz w:val="24"/>
          <w:highlight w:val="none"/>
        </w:rPr>
        <w:t>日签字生效</w:t>
      </w:r>
      <w:r>
        <w:rPr>
          <w:rFonts w:hint="eastAsia" w:ascii="Times New Roman" w:hAnsi="Times New Roman" w:eastAsia="仿宋_GB2312"/>
          <w:color w:val="auto"/>
          <w:sz w:val="24"/>
          <w:highlight w:val="none"/>
        </w:rPr>
        <w:t>，</w:t>
      </w:r>
      <w:r>
        <w:rPr>
          <w:rFonts w:ascii="Times New Roman" w:hAnsi="Times New Roman" w:eastAsia="仿宋_GB2312"/>
          <w:color w:val="auto"/>
          <w:sz w:val="24"/>
          <w:highlight w:val="none"/>
        </w:rPr>
        <w:t>特此声明。（提示：此日期应不晚于投标函签署日期）</w:t>
      </w:r>
      <w:r>
        <w:rPr>
          <w:rFonts w:ascii="Times New Roman" w:hAnsi="Times New Roman" w:eastAsia="仿宋_GB2312"/>
          <w:color w:val="auto"/>
          <w:sz w:val="24"/>
          <w:highlight w:val="none"/>
        </w:rPr>
        <w:cr/>
      </w:r>
    </w:p>
    <w:p w14:paraId="166A8901">
      <w:pPr>
        <w:pStyle w:val="18"/>
        <w:shd w:val="clear" w:color="auto" w:fill="auto"/>
        <w:tabs>
          <w:tab w:val="left" w:pos="5580"/>
        </w:tabs>
        <w:spacing w:line="360" w:lineRule="auto"/>
        <w:rPr>
          <w:rFonts w:ascii="Times New Roman" w:hAnsi="Times New Roman" w:eastAsia="仿宋_GB2312"/>
          <w:color w:val="auto"/>
          <w:sz w:val="24"/>
          <w:highlight w:val="none"/>
        </w:rPr>
      </w:pPr>
      <w:r>
        <w:rPr>
          <w:rFonts w:ascii="Times New Roman" w:hAnsi="Times New Roman" w:eastAsia="仿宋_GB2312"/>
          <w:color w:val="auto"/>
          <w:sz w:val="24"/>
          <w:highlight w:val="none"/>
          <w:lang w:val="zh-CN"/>
        </w:rPr>
        <w:t>附：授权代表姓名：</w:t>
      </w:r>
      <w:r>
        <w:rPr>
          <w:rFonts w:ascii="Times New Roman" w:hAnsi="Times New Roman" w:eastAsia="仿宋_GB2312"/>
          <w:color w:val="auto"/>
          <w:sz w:val="24"/>
          <w:highlight w:val="none"/>
          <w:u w:val="single"/>
        </w:rPr>
        <w:t xml:space="preserve">          </w:t>
      </w:r>
      <w:r>
        <w:rPr>
          <w:rFonts w:ascii="Times New Roman" w:hAnsi="Times New Roman" w:eastAsia="仿宋_GB2312"/>
          <w:color w:val="auto"/>
          <w:sz w:val="24"/>
          <w:highlight w:val="none"/>
          <w:lang w:val="zh-CN"/>
        </w:rPr>
        <w:t>性别：</w:t>
      </w:r>
      <w:r>
        <w:rPr>
          <w:rFonts w:ascii="Times New Roman" w:hAnsi="Times New Roman" w:eastAsia="仿宋_GB2312"/>
          <w:color w:val="auto"/>
          <w:sz w:val="24"/>
          <w:highlight w:val="none"/>
          <w:u w:val="single"/>
        </w:rPr>
        <w:t xml:space="preserve">    </w:t>
      </w:r>
      <w:r>
        <w:rPr>
          <w:rFonts w:ascii="Times New Roman" w:hAnsi="Times New Roman" w:eastAsia="仿宋_GB2312"/>
          <w:color w:val="auto"/>
          <w:sz w:val="24"/>
          <w:highlight w:val="none"/>
          <w:lang w:val="zh-CN"/>
        </w:rPr>
        <w:t>年龄：</w:t>
      </w:r>
      <w:r>
        <w:rPr>
          <w:rFonts w:ascii="Times New Roman" w:hAnsi="Times New Roman" w:eastAsia="仿宋_GB2312"/>
          <w:color w:val="auto"/>
          <w:sz w:val="24"/>
          <w:highlight w:val="none"/>
          <w:u w:val="single"/>
        </w:rPr>
        <w:t xml:space="preserve">        </w:t>
      </w:r>
    </w:p>
    <w:p w14:paraId="2AE41600">
      <w:pPr>
        <w:shd w:val="clear" w:color="auto" w:fill="auto"/>
        <w:autoSpaceDE w:val="0"/>
        <w:autoSpaceDN w:val="0"/>
        <w:adjustRightInd w:val="0"/>
        <w:spacing w:line="360" w:lineRule="auto"/>
        <w:ind w:firstLine="630"/>
        <w:rPr>
          <w:rFonts w:eastAsia="仿宋_GB2312"/>
          <w:color w:val="auto"/>
          <w:sz w:val="24"/>
          <w:highlight w:val="none"/>
        </w:rPr>
      </w:pPr>
      <w:r>
        <w:rPr>
          <w:rFonts w:eastAsia="仿宋_GB2312"/>
          <w:color w:val="auto"/>
          <w:sz w:val="24"/>
          <w:highlight w:val="none"/>
          <w:lang w:val="zh-CN"/>
        </w:rPr>
        <w:t>职</w:t>
      </w:r>
      <w:r>
        <w:rPr>
          <w:rFonts w:eastAsia="仿宋_GB2312"/>
          <w:color w:val="auto"/>
          <w:sz w:val="24"/>
          <w:highlight w:val="none"/>
        </w:rPr>
        <w:t xml:space="preserve">    </w:t>
      </w:r>
      <w:r>
        <w:rPr>
          <w:rFonts w:eastAsia="仿宋_GB2312"/>
          <w:color w:val="auto"/>
          <w:sz w:val="24"/>
          <w:highlight w:val="none"/>
          <w:lang w:val="zh-CN"/>
        </w:rPr>
        <w:t>务：</w:t>
      </w:r>
      <w:r>
        <w:rPr>
          <w:rFonts w:eastAsia="仿宋_GB2312"/>
          <w:color w:val="auto"/>
          <w:sz w:val="24"/>
          <w:highlight w:val="none"/>
          <w:u w:val="single"/>
        </w:rPr>
        <w:t xml:space="preserve">             </w:t>
      </w:r>
      <w:r>
        <w:rPr>
          <w:rFonts w:eastAsia="仿宋_GB2312"/>
          <w:color w:val="auto"/>
          <w:sz w:val="24"/>
          <w:highlight w:val="none"/>
          <w:lang w:val="zh-CN"/>
        </w:rPr>
        <w:t>身份证号码：</w:t>
      </w:r>
      <w:r>
        <w:rPr>
          <w:rFonts w:eastAsia="仿宋_GB2312"/>
          <w:color w:val="auto"/>
          <w:sz w:val="24"/>
          <w:highlight w:val="none"/>
          <w:u w:val="single"/>
        </w:rPr>
        <w:t xml:space="preserve">             </w:t>
      </w:r>
    </w:p>
    <w:p w14:paraId="2EF37D78">
      <w:pPr>
        <w:shd w:val="clear" w:color="auto" w:fill="auto"/>
        <w:autoSpaceDE w:val="0"/>
        <w:autoSpaceDN w:val="0"/>
        <w:adjustRightInd w:val="0"/>
        <w:spacing w:line="360" w:lineRule="auto"/>
        <w:ind w:firstLine="630"/>
        <w:rPr>
          <w:rFonts w:eastAsia="仿宋_GB2312"/>
          <w:color w:val="auto"/>
          <w:sz w:val="24"/>
          <w:highlight w:val="none"/>
          <w:u w:val="single"/>
        </w:rPr>
      </w:pPr>
      <w:r>
        <w:rPr>
          <w:rFonts w:eastAsia="仿宋_GB2312"/>
          <w:color w:val="auto"/>
          <w:sz w:val="24"/>
          <w:highlight w:val="none"/>
          <w:lang w:val="zh-CN"/>
        </w:rPr>
        <w:t>通讯地址：</w:t>
      </w:r>
      <w:r>
        <w:rPr>
          <w:rFonts w:eastAsia="仿宋_GB2312"/>
          <w:color w:val="auto"/>
          <w:sz w:val="24"/>
          <w:highlight w:val="none"/>
          <w:u w:val="single"/>
        </w:rPr>
        <w:t xml:space="preserve">                                      </w:t>
      </w:r>
    </w:p>
    <w:p w14:paraId="45FD09FD">
      <w:pPr>
        <w:shd w:val="clear" w:color="auto" w:fill="auto"/>
        <w:autoSpaceDE w:val="0"/>
        <w:autoSpaceDN w:val="0"/>
        <w:adjustRightInd w:val="0"/>
        <w:spacing w:line="360" w:lineRule="auto"/>
        <w:ind w:firstLine="630"/>
        <w:rPr>
          <w:rFonts w:eastAsia="仿宋_GB2312"/>
          <w:color w:val="auto"/>
          <w:sz w:val="24"/>
          <w:highlight w:val="none"/>
          <w:u w:val="single"/>
        </w:rPr>
      </w:pPr>
      <w:r>
        <w:rPr>
          <w:rFonts w:eastAsia="仿宋_GB2312"/>
          <w:color w:val="auto"/>
          <w:sz w:val="24"/>
          <w:highlight w:val="none"/>
          <w:lang w:val="zh-CN"/>
        </w:rPr>
        <w:t>邮政编码：</w:t>
      </w:r>
      <w:r>
        <w:rPr>
          <w:rFonts w:eastAsia="仿宋_GB2312"/>
          <w:color w:val="auto"/>
          <w:sz w:val="24"/>
          <w:highlight w:val="none"/>
          <w:u w:val="single"/>
        </w:rPr>
        <w:t xml:space="preserve">            </w:t>
      </w:r>
      <w:r>
        <w:rPr>
          <w:rFonts w:eastAsia="仿宋_GB2312"/>
          <w:color w:val="auto"/>
          <w:sz w:val="24"/>
          <w:highlight w:val="none"/>
        </w:rPr>
        <w:t xml:space="preserve">      </w:t>
      </w:r>
      <w:r>
        <w:rPr>
          <w:rFonts w:eastAsia="仿宋_GB2312"/>
          <w:color w:val="auto"/>
          <w:sz w:val="24"/>
          <w:highlight w:val="none"/>
          <w:lang w:val="zh-CN"/>
        </w:rPr>
        <w:t>电话：</w:t>
      </w:r>
      <w:r>
        <w:rPr>
          <w:rFonts w:eastAsia="仿宋_GB2312"/>
          <w:color w:val="auto"/>
          <w:sz w:val="24"/>
          <w:highlight w:val="none"/>
          <w:u w:val="single"/>
        </w:rPr>
        <w:t xml:space="preserve">               </w:t>
      </w:r>
    </w:p>
    <w:p w14:paraId="1FA9756E">
      <w:pPr>
        <w:shd w:val="clear" w:color="auto" w:fill="auto"/>
        <w:autoSpaceDE w:val="0"/>
        <w:autoSpaceDN w:val="0"/>
        <w:adjustRightInd w:val="0"/>
        <w:spacing w:line="360" w:lineRule="auto"/>
        <w:rPr>
          <w:rFonts w:eastAsia="仿宋_GB2312"/>
          <w:color w:val="auto"/>
          <w:sz w:val="24"/>
          <w:highlight w:val="none"/>
        </w:rPr>
      </w:pPr>
    </w:p>
    <w:p w14:paraId="2389E580">
      <w:pPr>
        <w:shd w:val="clear" w:color="auto" w:fill="auto"/>
        <w:autoSpaceDE w:val="0"/>
        <w:autoSpaceDN w:val="0"/>
        <w:adjustRightInd w:val="0"/>
        <w:spacing w:line="360" w:lineRule="auto"/>
        <w:ind w:firstLine="360" w:firstLineChars="150"/>
        <w:rPr>
          <w:rFonts w:eastAsia="仿宋_GB2312"/>
          <w:color w:val="auto"/>
          <w:sz w:val="24"/>
          <w:highlight w:val="none"/>
        </w:rPr>
      </w:pPr>
      <w:r>
        <w:rPr>
          <w:rFonts w:eastAsia="仿宋_GB2312"/>
          <w:color w:val="auto"/>
          <w:sz w:val="24"/>
          <w:highlight w:val="none"/>
          <w:lang w:val="zh-CN"/>
        </w:rPr>
        <w:t>法定代表人</w:t>
      </w:r>
      <w:r>
        <w:rPr>
          <w:rFonts w:hint="eastAsia" w:eastAsia="仿宋"/>
          <w:color w:val="auto"/>
          <w:sz w:val="24"/>
          <w:highlight w:val="none"/>
          <w:lang w:val="zh-CN"/>
        </w:rPr>
        <w:t>（或单位负责人）</w:t>
      </w:r>
      <w:r>
        <w:rPr>
          <w:rFonts w:eastAsia="仿宋_GB2312"/>
          <w:color w:val="auto"/>
          <w:sz w:val="24"/>
          <w:highlight w:val="none"/>
        </w:rPr>
        <w:t>及</w:t>
      </w:r>
      <w:r>
        <w:rPr>
          <w:rFonts w:eastAsia="仿宋_GB2312"/>
          <w:color w:val="auto"/>
          <w:sz w:val="24"/>
          <w:highlight w:val="none"/>
          <w:lang w:val="zh-CN"/>
        </w:rPr>
        <w:t>授权代表身份证复印件</w:t>
      </w:r>
    </w:p>
    <w:tbl>
      <w:tblPr>
        <w:tblStyle w:val="36"/>
        <w:tblW w:w="0" w:type="auto"/>
        <w:tblInd w:w="679" w:type="dxa"/>
        <w:tblLayout w:type="fixed"/>
        <w:tblCellMar>
          <w:top w:w="0" w:type="dxa"/>
          <w:left w:w="108" w:type="dxa"/>
          <w:bottom w:w="0" w:type="dxa"/>
          <w:right w:w="108" w:type="dxa"/>
        </w:tblCellMar>
      </w:tblPr>
      <w:tblGrid>
        <w:gridCol w:w="4049"/>
        <w:gridCol w:w="3885"/>
      </w:tblGrid>
      <w:tr w14:paraId="28B8084E">
        <w:tblPrEx>
          <w:tblCellMar>
            <w:top w:w="0" w:type="dxa"/>
            <w:left w:w="108" w:type="dxa"/>
            <w:bottom w:w="0" w:type="dxa"/>
            <w:right w:w="108" w:type="dxa"/>
          </w:tblCellMar>
        </w:tblPrEx>
        <w:trPr>
          <w:trHeight w:val="2770" w:hRule="atLeast"/>
        </w:trPr>
        <w:tc>
          <w:tcPr>
            <w:tcW w:w="4049" w:type="dxa"/>
            <w:tcBorders>
              <w:top w:val="single" w:color="auto" w:sz="6" w:space="0"/>
              <w:left w:val="single" w:color="auto" w:sz="6" w:space="0"/>
              <w:bottom w:val="single" w:color="auto" w:sz="6" w:space="0"/>
              <w:right w:val="single" w:color="auto" w:sz="6" w:space="0"/>
            </w:tcBorders>
            <w:noWrap w:val="0"/>
            <w:vAlign w:val="center"/>
          </w:tcPr>
          <w:p w14:paraId="4230D63A">
            <w:pPr>
              <w:shd w:val="clear" w:color="auto" w:fill="auto"/>
              <w:autoSpaceDE w:val="0"/>
              <w:autoSpaceDN w:val="0"/>
              <w:adjustRightInd w:val="0"/>
              <w:spacing w:line="312" w:lineRule="auto"/>
              <w:jc w:val="center"/>
              <w:rPr>
                <w:rFonts w:eastAsia="仿宋_GB2312"/>
                <w:color w:val="auto"/>
                <w:sz w:val="24"/>
                <w:highlight w:val="none"/>
                <w:lang w:val="zh-CN"/>
              </w:rPr>
            </w:pPr>
            <w:r>
              <w:rPr>
                <w:rFonts w:eastAsia="仿宋_GB2312"/>
                <w:color w:val="auto"/>
                <w:sz w:val="24"/>
                <w:highlight w:val="none"/>
                <w:lang w:val="zh-CN"/>
              </w:rPr>
              <w:t>法定代表人</w:t>
            </w:r>
            <w:r>
              <w:rPr>
                <w:rFonts w:hint="eastAsia" w:eastAsia="仿宋"/>
                <w:color w:val="auto"/>
                <w:sz w:val="24"/>
                <w:highlight w:val="none"/>
                <w:lang w:val="zh-CN"/>
              </w:rPr>
              <w:t>（或单位负责人）</w:t>
            </w:r>
            <w:r>
              <w:rPr>
                <w:rFonts w:eastAsia="仿宋_GB2312"/>
                <w:color w:val="auto"/>
                <w:sz w:val="24"/>
                <w:highlight w:val="none"/>
                <w:lang w:val="zh-CN"/>
              </w:rPr>
              <w:t>身份证复印件</w:t>
            </w:r>
          </w:p>
          <w:p w14:paraId="793EBD9C">
            <w:pPr>
              <w:shd w:val="clear" w:color="auto" w:fill="auto"/>
              <w:autoSpaceDE w:val="0"/>
              <w:autoSpaceDN w:val="0"/>
              <w:adjustRightInd w:val="0"/>
              <w:spacing w:line="312" w:lineRule="auto"/>
              <w:jc w:val="center"/>
              <w:rPr>
                <w:rFonts w:eastAsia="仿宋_GB2312"/>
                <w:color w:val="auto"/>
                <w:sz w:val="24"/>
                <w:highlight w:val="none"/>
                <w:u w:val="single"/>
              </w:rPr>
            </w:pPr>
            <w:r>
              <w:rPr>
                <w:rFonts w:eastAsia="仿宋_GB2312"/>
                <w:color w:val="auto"/>
                <w:sz w:val="24"/>
                <w:highlight w:val="none"/>
                <w:lang w:val="zh-CN"/>
              </w:rPr>
              <w:t>（正反面）</w:t>
            </w:r>
          </w:p>
        </w:tc>
        <w:tc>
          <w:tcPr>
            <w:tcW w:w="3885" w:type="dxa"/>
            <w:tcBorders>
              <w:top w:val="single" w:color="auto" w:sz="6" w:space="0"/>
              <w:left w:val="single" w:color="auto" w:sz="6" w:space="0"/>
              <w:bottom w:val="single" w:color="auto" w:sz="6" w:space="0"/>
              <w:right w:val="single" w:color="auto" w:sz="6" w:space="0"/>
            </w:tcBorders>
            <w:noWrap w:val="0"/>
            <w:vAlign w:val="center"/>
          </w:tcPr>
          <w:p w14:paraId="6B213FE4">
            <w:pPr>
              <w:shd w:val="clear" w:color="auto" w:fill="auto"/>
              <w:autoSpaceDE w:val="0"/>
              <w:autoSpaceDN w:val="0"/>
              <w:adjustRightInd w:val="0"/>
              <w:spacing w:line="312" w:lineRule="auto"/>
              <w:jc w:val="center"/>
              <w:rPr>
                <w:rFonts w:eastAsia="仿宋_GB2312"/>
                <w:color w:val="auto"/>
                <w:sz w:val="24"/>
                <w:highlight w:val="none"/>
                <w:lang w:val="zh-CN"/>
              </w:rPr>
            </w:pPr>
            <w:r>
              <w:rPr>
                <w:rFonts w:eastAsia="仿宋_GB2312"/>
                <w:color w:val="auto"/>
                <w:sz w:val="24"/>
                <w:highlight w:val="none"/>
                <w:lang w:val="zh-CN"/>
              </w:rPr>
              <w:t>授权代表身份证复印件</w:t>
            </w:r>
          </w:p>
          <w:p w14:paraId="6CE57668">
            <w:pPr>
              <w:shd w:val="clear" w:color="auto" w:fill="auto"/>
              <w:autoSpaceDE w:val="0"/>
              <w:autoSpaceDN w:val="0"/>
              <w:adjustRightInd w:val="0"/>
              <w:spacing w:line="312" w:lineRule="auto"/>
              <w:jc w:val="center"/>
              <w:rPr>
                <w:rFonts w:eastAsia="仿宋_GB2312"/>
                <w:color w:val="auto"/>
                <w:sz w:val="24"/>
                <w:highlight w:val="none"/>
                <w:u w:val="single"/>
              </w:rPr>
            </w:pPr>
            <w:r>
              <w:rPr>
                <w:rFonts w:eastAsia="仿宋_GB2312"/>
                <w:color w:val="auto"/>
                <w:sz w:val="24"/>
                <w:highlight w:val="none"/>
                <w:lang w:val="zh-CN"/>
              </w:rPr>
              <w:t>（正反面）</w:t>
            </w:r>
          </w:p>
        </w:tc>
      </w:tr>
    </w:tbl>
    <w:p w14:paraId="12876C9A">
      <w:pPr>
        <w:shd w:val="clear" w:color="auto" w:fill="auto"/>
        <w:adjustRightInd w:val="0"/>
        <w:snapToGrid w:val="0"/>
        <w:spacing w:line="360" w:lineRule="auto"/>
        <w:rPr>
          <w:rFonts w:eastAsia="仿宋_GB2312"/>
          <w:color w:val="auto"/>
          <w:sz w:val="24"/>
          <w:highlight w:val="none"/>
        </w:rPr>
      </w:pPr>
      <w:r>
        <w:rPr>
          <w:rFonts w:eastAsia="仿宋_GB2312"/>
          <w:color w:val="auto"/>
          <w:sz w:val="24"/>
          <w:highlight w:val="none"/>
        </w:rPr>
        <w:t xml:space="preserve">  </w:t>
      </w:r>
    </w:p>
    <w:p w14:paraId="3F3F0DBC">
      <w:pPr>
        <w:shd w:val="clear" w:color="auto" w:fill="auto"/>
        <w:adjustRightInd w:val="0"/>
        <w:snapToGrid w:val="0"/>
        <w:spacing w:line="360" w:lineRule="auto"/>
        <w:ind w:firstLine="360" w:firstLineChars="150"/>
        <w:rPr>
          <w:rFonts w:eastAsia="仿宋_GB2312"/>
          <w:color w:val="auto"/>
          <w:sz w:val="24"/>
          <w:highlight w:val="none"/>
        </w:rPr>
      </w:pPr>
      <w:r>
        <w:rPr>
          <w:rFonts w:eastAsia="仿宋_GB2312"/>
          <w:color w:val="auto"/>
          <w:sz w:val="24"/>
          <w:highlight w:val="none"/>
        </w:rPr>
        <w:t xml:space="preserve"> </w:t>
      </w:r>
    </w:p>
    <w:p w14:paraId="11D5228C">
      <w:pPr>
        <w:shd w:val="clear" w:color="auto" w:fill="auto"/>
        <w:adjustRightInd w:val="0"/>
        <w:snapToGrid w:val="0"/>
        <w:spacing w:line="360" w:lineRule="auto"/>
        <w:ind w:firstLine="360" w:firstLineChars="150"/>
        <w:rPr>
          <w:rFonts w:eastAsia="仿宋_GB2312"/>
          <w:color w:val="auto"/>
          <w:sz w:val="24"/>
          <w:highlight w:val="none"/>
        </w:rPr>
      </w:pPr>
      <w:r>
        <w:rPr>
          <w:rFonts w:eastAsia="仿宋_GB2312"/>
          <w:color w:val="auto"/>
          <w:sz w:val="24"/>
          <w:highlight w:val="none"/>
        </w:rPr>
        <w:t>投标人（</w:t>
      </w:r>
      <w:r>
        <w:rPr>
          <w:rFonts w:hint="eastAsia" w:eastAsia="仿宋_GB2312"/>
          <w:color w:val="auto"/>
          <w:sz w:val="24"/>
          <w:highlight w:val="none"/>
        </w:rPr>
        <w:t>盖</w:t>
      </w:r>
      <w:r>
        <w:rPr>
          <w:rFonts w:eastAsia="仿宋_GB2312"/>
          <w:color w:val="auto"/>
          <w:sz w:val="24"/>
          <w:highlight w:val="none"/>
        </w:rPr>
        <w:t xml:space="preserve">公章） ：                </w:t>
      </w:r>
    </w:p>
    <w:p w14:paraId="47AE0026">
      <w:pPr>
        <w:shd w:val="clear" w:color="auto" w:fill="auto"/>
        <w:adjustRightInd w:val="0"/>
        <w:snapToGrid w:val="0"/>
        <w:spacing w:line="360" w:lineRule="auto"/>
        <w:ind w:firstLine="360" w:firstLineChars="150"/>
        <w:rPr>
          <w:rFonts w:eastAsia="仿宋_GB2312"/>
          <w:color w:val="auto"/>
          <w:sz w:val="24"/>
          <w:highlight w:val="none"/>
        </w:rPr>
      </w:pPr>
    </w:p>
    <w:p w14:paraId="365FF427">
      <w:pPr>
        <w:shd w:val="clear" w:color="auto" w:fill="auto"/>
        <w:adjustRightInd w:val="0"/>
        <w:snapToGrid w:val="0"/>
        <w:spacing w:line="360" w:lineRule="auto"/>
        <w:ind w:firstLine="360" w:firstLineChars="150"/>
        <w:rPr>
          <w:rFonts w:eastAsia="仿宋_GB2312"/>
          <w:color w:val="auto"/>
          <w:sz w:val="24"/>
          <w:highlight w:val="none"/>
        </w:rPr>
      </w:pPr>
      <w:r>
        <w:rPr>
          <w:rFonts w:eastAsia="仿宋_GB2312"/>
          <w:color w:val="auto"/>
          <w:sz w:val="24"/>
          <w:highlight w:val="none"/>
        </w:rPr>
        <w:t>法定代表人</w:t>
      </w:r>
      <w:r>
        <w:rPr>
          <w:rFonts w:hint="eastAsia" w:eastAsia="仿宋_GB2312"/>
          <w:color w:val="auto"/>
          <w:sz w:val="24"/>
          <w:highlight w:val="none"/>
        </w:rPr>
        <w:t>（或单位负责人）</w:t>
      </w:r>
      <w:r>
        <w:rPr>
          <w:rFonts w:eastAsia="仿宋_GB2312"/>
          <w:color w:val="auto"/>
          <w:sz w:val="24"/>
          <w:highlight w:val="none"/>
        </w:rPr>
        <w:t>（签字</w:t>
      </w:r>
      <w:r>
        <w:rPr>
          <w:rFonts w:hint="eastAsia" w:eastAsia="仿宋_GB2312"/>
          <w:color w:val="auto"/>
          <w:sz w:val="24"/>
          <w:highlight w:val="none"/>
        </w:rPr>
        <w:t>或盖章</w:t>
      </w:r>
      <w:r>
        <w:rPr>
          <w:rFonts w:eastAsia="仿宋_GB2312"/>
          <w:color w:val="auto"/>
          <w:sz w:val="24"/>
          <w:highlight w:val="none"/>
        </w:rPr>
        <w:t>）：</w:t>
      </w:r>
    </w:p>
    <w:p w14:paraId="5709803E">
      <w:pPr>
        <w:shd w:val="clear" w:color="auto" w:fill="auto"/>
        <w:spacing w:line="360" w:lineRule="auto"/>
        <w:rPr>
          <w:rFonts w:eastAsia="仿宋_GB2312"/>
          <w:color w:val="auto"/>
          <w:sz w:val="24"/>
          <w:highlight w:val="none"/>
        </w:rPr>
      </w:pPr>
    </w:p>
    <w:p w14:paraId="33B7B1A4">
      <w:pPr>
        <w:shd w:val="clear" w:color="auto" w:fill="auto"/>
        <w:spacing w:line="360" w:lineRule="auto"/>
        <w:ind w:firstLine="480" w:firstLineChars="200"/>
        <w:rPr>
          <w:rFonts w:eastAsia="仿宋_GB2312"/>
          <w:color w:val="auto"/>
          <w:sz w:val="24"/>
          <w:highlight w:val="none"/>
        </w:rPr>
      </w:pPr>
      <w:r>
        <w:rPr>
          <w:rFonts w:eastAsia="仿宋_GB2312"/>
          <w:color w:val="auto"/>
          <w:sz w:val="24"/>
          <w:highlight w:val="none"/>
        </w:rPr>
        <w:t>注：自然人投标的或法定代表人</w:t>
      </w:r>
      <w:r>
        <w:rPr>
          <w:rFonts w:hint="eastAsia" w:eastAsia="仿宋"/>
          <w:color w:val="auto"/>
          <w:sz w:val="24"/>
          <w:highlight w:val="none"/>
          <w:lang w:val="zh-CN"/>
        </w:rPr>
        <w:t>（或单位负责人）</w:t>
      </w:r>
      <w:r>
        <w:rPr>
          <w:rFonts w:eastAsia="仿宋_GB2312"/>
          <w:color w:val="auto"/>
          <w:sz w:val="24"/>
          <w:highlight w:val="none"/>
        </w:rPr>
        <w:t>投标的无需提供</w:t>
      </w:r>
    </w:p>
    <w:p w14:paraId="3FD9BBFE">
      <w:pPr>
        <w:shd w:val="clear" w:color="auto" w:fill="auto"/>
        <w:spacing w:line="360" w:lineRule="auto"/>
        <w:ind w:firstLine="480"/>
        <w:rPr>
          <w:rFonts w:eastAsia="仿宋_GB2312"/>
          <w:color w:val="auto"/>
          <w:sz w:val="24"/>
          <w:highlight w:val="none"/>
        </w:rPr>
      </w:pPr>
    </w:p>
    <w:p w14:paraId="6AB5C76D">
      <w:pPr>
        <w:shd w:val="clear" w:color="auto" w:fill="auto"/>
        <w:jc w:val="center"/>
        <w:rPr>
          <w:rFonts w:hint="eastAsia" w:ascii="仿宋_GB2312" w:hAnsi="仿宋_GB2312" w:eastAsia="仿宋_GB2312" w:cs="仿宋_GB2312"/>
          <w:b/>
          <w:color w:val="auto"/>
          <w:sz w:val="28"/>
          <w:szCs w:val="28"/>
          <w:highlight w:val="none"/>
        </w:rPr>
      </w:pPr>
      <w:bookmarkStart w:id="393" w:name="_Toc60929128"/>
      <w:r>
        <w:rPr>
          <w:rFonts w:eastAsia="仿宋_GB2312"/>
          <w:b/>
          <w:color w:val="auto"/>
          <w:sz w:val="28"/>
          <w:szCs w:val="28"/>
          <w:highlight w:val="none"/>
        </w:rPr>
        <w:br w:type="page"/>
      </w:r>
      <w:bookmarkEnd w:id="393"/>
      <w:bookmarkStart w:id="394" w:name="_Toc60929129"/>
      <w:r>
        <w:rPr>
          <w:rFonts w:hint="eastAsia" w:ascii="仿宋_GB2312" w:hAnsi="仿宋_GB2312" w:eastAsia="仿宋_GB2312" w:cs="仿宋_GB2312"/>
          <w:b/>
          <w:color w:val="auto"/>
          <w:sz w:val="28"/>
          <w:szCs w:val="28"/>
          <w:highlight w:val="none"/>
        </w:rPr>
        <w:t>3、授权代表本单位证明</w:t>
      </w:r>
      <w:bookmarkEnd w:id="394"/>
    </w:p>
    <w:p w14:paraId="6E1A3EDA">
      <w:pPr>
        <w:shd w:val="clear" w:color="auto" w:fill="auto"/>
        <w:spacing w:after="120"/>
        <w:rPr>
          <w:color w:val="auto"/>
          <w:highlight w:val="none"/>
        </w:rPr>
      </w:pPr>
    </w:p>
    <w:p w14:paraId="0CFA25FC">
      <w:pPr>
        <w:shd w:val="clear" w:color="auto" w:fill="auto"/>
        <w:autoSpaceDE w:val="0"/>
        <w:autoSpaceDN w:val="0"/>
        <w:adjustRightInd w:val="0"/>
        <w:spacing w:line="348" w:lineRule="auto"/>
        <w:jc w:val="center"/>
        <w:rPr>
          <w:rFonts w:hint="eastAsia" w:ascii="仿宋" w:hAnsi="仿宋" w:eastAsia="仿宋"/>
          <w:color w:val="auto"/>
          <w:sz w:val="28"/>
          <w:szCs w:val="28"/>
          <w:highlight w:val="none"/>
          <w:lang w:val="zh-CN"/>
        </w:rPr>
      </w:pPr>
      <w:r>
        <w:rPr>
          <w:rFonts w:hint="eastAsia" w:ascii="仿宋" w:hAnsi="仿宋" w:eastAsia="仿宋"/>
          <w:color w:val="auto"/>
          <w:sz w:val="28"/>
          <w:szCs w:val="28"/>
          <w:highlight w:val="none"/>
          <w:lang w:val="zh-CN"/>
        </w:rPr>
        <w:t>（</w:t>
      </w:r>
      <w:r>
        <w:rPr>
          <w:rFonts w:hint="eastAsia" w:ascii="仿宋" w:hAnsi="仿宋" w:eastAsia="仿宋"/>
          <w:color w:val="auto"/>
          <w:sz w:val="28"/>
          <w:szCs w:val="28"/>
          <w:highlight w:val="none"/>
          <w:lang w:val="en-US" w:eastAsia="zh-CN"/>
        </w:rPr>
        <w:t>提供授权代表在本单位</w:t>
      </w:r>
      <w:r>
        <w:rPr>
          <w:rFonts w:hint="eastAsia" w:ascii="仿宋" w:hAnsi="仿宋" w:eastAsia="仿宋"/>
          <w:color w:val="auto"/>
          <w:sz w:val="28"/>
          <w:szCs w:val="28"/>
          <w:highlight w:val="none"/>
        </w:rPr>
        <w:t>养老保险缴纳证明</w:t>
      </w:r>
      <w:r>
        <w:rPr>
          <w:rFonts w:hint="eastAsia" w:ascii="仿宋" w:hAnsi="仿宋" w:eastAsia="仿宋"/>
          <w:color w:val="auto"/>
          <w:sz w:val="28"/>
          <w:szCs w:val="28"/>
          <w:highlight w:val="none"/>
          <w:lang w:val="zh-CN"/>
        </w:rPr>
        <w:t>）</w:t>
      </w:r>
    </w:p>
    <w:p w14:paraId="53A1D48A">
      <w:pPr>
        <w:shd w:val="clear" w:color="auto" w:fill="auto"/>
        <w:autoSpaceDE w:val="0"/>
        <w:autoSpaceDN w:val="0"/>
        <w:adjustRightInd w:val="0"/>
        <w:spacing w:line="348" w:lineRule="auto"/>
        <w:jc w:val="center"/>
        <w:rPr>
          <w:rFonts w:hint="eastAsia" w:ascii="仿宋" w:hAnsi="仿宋" w:eastAsia="仿宋"/>
          <w:color w:val="auto"/>
          <w:sz w:val="28"/>
          <w:szCs w:val="28"/>
          <w:highlight w:val="none"/>
          <w:lang w:val="zh-CN"/>
        </w:rPr>
      </w:pPr>
    </w:p>
    <w:p w14:paraId="5C3E9690">
      <w:pPr>
        <w:shd w:val="clear" w:color="auto" w:fill="auto"/>
        <w:autoSpaceDE w:val="0"/>
        <w:autoSpaceDN w:val="0"/>
        <w:adjustRightInd w:val="0"/>
        <w:spacing w:line="348" w:lineRule="auto"/>
        <w:jc w:val="center"/>
        <w:rPr>
          <w:rFonts w:hint="eastAsia" w:ascii="仿宋" w:hAnsi="仿宋" w:eastAsia="仿宋"/>
          <w:color w:val="auto"/>
          <w:sz w:val="28"/>
          <w:szCs w:val="28"/>
          <w:highlight w:val="none"/>
          <w:lang w:val="zh-CN"/>
        </w:rPr>
      </w:pPr>
    </w:p>
    <w:p w14:paraId="37082835">
      <w:pPr>
        <w:shd w:val="clear" w:color="auto" w:fill="auto"/>
        <w:autoSpaceDE w:val="0"/>
        <w:autoSpaceDN w:val="0"/>
        <w:adjustRightInd w:val="0"/>
        <w:spacing w:line="348" w:lineRule="auto"/>
        <w:jc w:val="center"/>
        <w:rPr>
          <w:rFonts w:hint="eastAsia" w:ascii="仿宋" w:hAnsi="仿宋" w:eastAsia="仿宋"/>
          <w:color w:val="auto"/>
          <w:sz w:val="28"/>
          <w:szCs w:val="28"/>
          <w:highlight w:val="none"/>
          <w:lang w:val="zh-CN"/>
        </w:rPr>
      </w:pPr>
    </w:p>
    <w:p w14:paraId="23D59CA0">
      <w:pPr>
        <w:pStyle w:val="6"/>
        <w:shd w:val="clear" w:color="auto" w:fill="auto"/>
        <w:ind w:firstLine="0" w:firstLineChars="0"/>
        <w:jc w:val="center"/>
        <w:rPr>
          <w:rFonts w:eastAsia="仿宋_GB2312"/>
          <w:b w:val="0"/>
          <w:color w:val="auto"/>
          <w:sz w:val="32"/>
          <w:szCs w:val="32"/>
          <w:highlight w:val="none"/>
        </w:rPr>
      </w:pPr>
      <w:r>
        <w:rPr>
          <w:color w:val="auto"/>
          <w:highlight w:val="none"/>
        </w:rPr>
        <w:br w:type="page"/>
      </w:r>
      <w:bookmarkStart w:id="395" w:name="_Toc62194347"/>
      <w:bookmarkStart w:id="396" w:name="_Toc6830"/>
      <w:bookmarkStart w:id="397" w:name="_Toc60929130"/>
      <w:r>
        <w:rPr>
          <w:rFonts w:hint="eastAsia" w:ascii="Times New Roman" w:hAnsi="Times New Roman" w:eastAsia="仿宋_GB2312"/>
          <w:color w:val="auto"/>
          <w:sz w:val="32"/>
          <w:szCs w:val="32"/>
          <w:highlight w:val="none"/>
          <w:lang w:val="en-US" w:eastAsia="zh-CN"/>
        </w:rPr>
        <w:t>二、</w:t>
      </w:r>
      <w:r>
        <w:rPr>
          <w:rFonts w:hint="eastAsia" w:ascii="Times New Roman" w:hAnsi="Times New Roman" w:eastAsia="仿宋_GB2312"/>
          <w:color w:val="auto"/>
          <w:sz w:val="32"/>
          <w:szCs w:val="32"/>
          <w:highlight w:val="none"/>
        </w:rPr>
        <w:t>资格证明文件</w:t>
      </w:r>
      <w:bookmarkEnd w:id="395"/>
      <w:bookmarkEnd w:id="396"/>
      <w:bookmarkEnd w:id="397"/>
    </w:p>
    <w:p w14:paraId="4357A532">
      <w:pPr>
        <w:shd w:val="clear" w:color="auto" w:fill="auto"/>
        <w:snapToGrid w:val="0"/>
        <w:spacing w:line="360" w:lineRule="auto"/>
        <w:ind w:left="708" w:hanging="708" w:hangingChars="295"/>
        <w:jc w:val="center"/>
        <w:rPr>
          <w:rFonts w:eastAsia="仿宋_GB2312"/>
          <w:color w:val="auto"/>
          <w:sz w:val="24"/>
          <w:highlight w:val="none"/>
        </w:rPr>
      </w:pPr>
    </w:p>
    <w:p w14:paraId="4A069678">
      <w:pPr>
        <w:shd w:val="clear" w:color="auto" w:fill="auto"/>
        <w:tabs>
          <w:tab w:val="left" w:pos="5580"/>
        </w:tabs>
        <w:snapToGrid w:val="0"/>
        <w:spacing w:line="360" w:lineRule="auto"/>
        <w:rPr>
          <w:rFonts w:eastAsia="仿宋_GB2312"/>
          <w:color w:val="auto"/>
          <w:sz w:val="24"/>
          <w:highlight w:val="none"/>
        </w:rPr>
      </w:pPr>
      <w:r>
        <w:rPr>
          <w:rFonts w:eastAsia="仿宋_GB2312"/>
          <w:color w:val="auto"/>
          <w:sz w:val="24"/>
          <w:highlight w:val="none"/>
        </w:rPr>
        <w:t>符合《政府采购法》第二十二条的规定供应商条件，并提供以下证明材料；</w:t>
      </w:r>
    </w:p>
    <w:p w14:paraId="67D422FA">
      <w:pPr>
        <w:shd w:val="clear" w:color="auto" w:fill="auto"/>
        <w:snapToGrid w:val="0"/>
        <w:spacing w:line="360" w:lineRule="auto"/>
        <w:ind w:firstLine="480" w:firstLineChars="200"/>
        <w:rPr>
          <w:rFonts w:eastAsia="仿宋_GB2312"/>
          <w:color w:val="auto"/>
          <w:sz w:val="24"/>
          <w:highlight w:val="none"/>
        </w:rPr>
      </w:pPr>
      <w:r>
        <w:rPr>
          <w:rFonts w:eastAsia="仿宋_GB2312"/>
          <w:color w:val="auto"/>
          <w:sz w:val="24"/>
          <w:highlight w:val="none"/>
        </w:rPr>
        <w:t>（1）投标人合法注册的法人或其他组织的营业执照等证明文件，自然人的身份证明（格式要求见附件6-1）；</w:t>
      </w:r>
    </w:p>
    <w:p w14:paraId="00A4BE55">
      <w:pPr>
        <w:shd w:val="clear" w:color="auto" w:fill="auto"/>
        <w:snapToGrid w:val="0"/>
        <w:spacing w:line="360" w:lineRule="auto"/>
        <w:ind w:firstLine="480" w:firstLineChars="200"/>
        <w:rPr>
          <w:rFonts w:eastAsia="仿宋_GB2312"/>
          <w:color w:val="auto"/>
          <w:sz w:val="24"/>
          <w:highlight w:val="none"/>
        </w:rPr>
      </w:pPr>
      <w:r>
        <w:rPr>
          <w:rFonts w:eastAsia="仿宋_GB2312"/>
          <w:color w:val="auto"/>
          <w:sz w:val="24"/>
          <w:highlight w:val="none"/>
        </w:rPr>
        <w:t>（2）</w:t>
      </w:r>
      <w:r>
        <w:rPr>
          <w:rFonts w:hint="eastAsia" w:eastAsia="仿宋_GB2312"/>
          <w:color w:val="auto"/>
          <w:sz w:val="24"/>
          <w:highlight w:val="none"/>
          <w:lang w:eastAsia="zh-CN"/>
        </w:rPr>
        <w:t>202</w:t>
      </w:r>
      <w:r>
        <w:rPr>
          <w:rFonts w:hint="eastAsia" w:eastAsia="仿宋_GB2312"/>
          <w:color w:val="auto"/>
          <w:sz w:val="24"/>
          <w:highlight w:val="none"/>
          <w:lang w:val="en-US" w:eastAsia="zh-CN"/>
        </w:rPr>
        <w:t>4</w:t>
      </w:r>
      <w:r>
        <w:rPr>
          <w:rFonts w:hint="eastAsia" w:eastAsia="仿宋_GB2312"/>
          <w:color w:val="auto"/>
          <w:sz w:val="24"/>
          <w:highlight w:val="none"/>
        </w:rPr>
        <w:t>年度经审计的财务报告</w:t>
      </w:r>
      <w:r>
        <w:rPr>
          <w:rFonts w:eastAsia="仿宋_GB2312"/>
          <w:color w:val="auto"/>
          <w:sz w:val="24"/>
          <w:highlight w:val="none"/>
        </w:rPr>
        <w:t>复印件（</w:t>
      </w:r>
      <w:r>
        <w:rPr>
          <w:rFonts w:hint="eastAsia" w:ascii="仿宋_GB2312" w:hAnsi="仿宋_GB2312" w:eastAsia="仿宋_GB2312" w:cs="仿宋_GB2312"/>
          <w:color w:val="auto"/>
          <w:sz w:val="24"/>
          <w:highlight w:val="none"/>
        </w:rPr>
        <w:t>包括</w:t>
      </w:r>
      <w:r>
        <w:rPr>
          <w:rFonts w:hint="eastAsia" w:ascii="仿宋_GB2312" w:hAnsi="仿宋_GB2312" w:eastAsia="仿宋_GB2312" w:cs="仿宋_GB2312"/>
          <w:color w:val="auto"/>
          <w:sz w:val="24"/>
          <w:highlight w:val="none"/>
          <w:lang w:val="en-US" w:eastAsia="zh-CN"/>
        </w:rPr>
        <w:t>报告正文、</w:t>
      </w:r>
      <w:r>
        <w:rPr>
          <w:rFonts w:hint="eastAsia" w:ascii="仿宋_GB2312" w:hAnsi="仿宋_GB2312" w:eastAsia="仿宋_GB2312" w:cs="仿宋_GB2312"/>
          <w:color w:val="auto"/>
          <w:sz w:val="24"/>
          <w:highlight w:val="none"/>
        </w:rPr>
        <w:t>资产负债表、现金流量表、利润表</w:t>
      </w:r>
      <w:r>
        <w:rPr>
          <w:rFonts w:hint="eastAsia" w:ascii="仿宋_GB2312" w:hAnsi="仿宋_GB2312" w:eastAsia="仿宋_GB2312" w:cs="仿宋_GB2312"/>
          <w:color w:val="auto"/>
          <w:sz w:val="24"/>
          <w:highlight w:val="none"/>
          <w:lang w:val="en-US" w:eastAsia="zh-CN"/>
        </w:rPr>
        <w:t>、附注和会计师事务所营业执照，报告正文应当有会计师事务所公章和2名注册会计师的签字及盖章。且审计报告应当经过注册会计师行业统一监管平台备案赋码。</w:t>
      </w:r>
      <w:r>
        <w:rPr>
          <w:rFonts w:eastAsia="仿宋_GB2312"/>
          <w:color w:val="auto"/>
          <w:sz w:val="24"/>
          <w:highlight w:val="none"/>
        </w:rPr>
        <w:t>），或</w:t>
      </w:r>
      <w:r>
        <w:rPr>
          <w:rFonts w:hint="eastAsia" w:ascii="仿宋_GB2312" w:hAnsi="仿宋_GB2312" w:eastAsia="仿宋_GB2312" w:cs="仿宋_GB2312"/>
          <w:color w:val="auto"/>
          <w:spacing w:val="0"/>
          <w:sz w:val="24"/>
          <w:szCs w:val="24"/>
          <w:highlight w:val="none"/>
          <w:lang w:val="en-US" w:eastAsia="zh-CN"/>
        </w:rPr>
        <w:t>递交</w:t>
      </w:r>
      <w:r>
        <w:rPr>
          <w:rFonts w:hint="eastAsia" w:ascii="仿宋_GB2312" w:hAnsi="仿宋_GB2312" w:eastAsia="仿宋_GB2312" w:cs="仿宋_GB2312"/>
          <w:color w:val="auto"/>
          <w:spacing w:val="0"/>
          <w:sz w:val="24"/>
          <w:szCs w:val="24"/>
          <w:highlight w:val="none"/>
          <w:lang w:eastAsia="zh-CN"/>
        </w:rPr>
        <w:t>投标</w:t>
      </w:r>
      <w:r>
        <w:rPr>
          <w:rFonts w:hint="eastAsia" w:ascii="仿宋_GB2312" w:hAnsi="仿宋_GB2312" w:eastAsia="仿宋_GB2312" w:cs="仿宋_GB2312"/>
          <w:color w:val="auto"/>
          <w:spacing w:val="0"/>
          <w:sz w:val="24"/>
          <w:szCs w:val="24"/>
          <w:highlight w:val="none"/>
          <w:lang w:val="en-US" w:eastAsia="zh-CN"/>
        </w:rPr>
        <w:t>文件</w:t>
      </w:r>
      <w:r>
        <w:rPr>
          <w:rFonts w:hint="eastAsia" w:ascii="仿宋_GB2312" w:hAnsi="仿宋_GB2312" w:eastAsia="仿宋_GB2312" w:cs="仿宋_GB2312"/>
          <w:color w:val="auto"/>
          <w:spacing w:val="0"/>
          <w:sz w:val="24"/>
          <w:szCs w:val="24"/>
          <w:highlight w:val="none"/>
          <w:lang w:eastAsia="zh-CN"/>
        </w:rPr>
        <w:t>截止</w:t>
      </w:r>
      <w:r>
        <w:rPr>
          <w:rFonts w:hint="eastAsia" w:ascii="仿宋_GB2312" w:hAnsi="仿宋_GB2312" w:eastAsia="仿宋_GB2312" w:cs="仿宋_GB2312"/>
          <w:color w:val="auto"/>
          <w:spacing w:val="0"/>
          <w:sz w:val="24"/>
          <w:szCs w:val="24"/>
          <w:highlight w:val="none"/>
          <w:lang w:val="en-US" w:eastAsia="zh-CN"/>
        </w:rPr>
        <w:t>时间</w:t>
      </w:r>
      <w:r>
        <w:rPr>
          <w:rFonts w:hint="eastAsia" w:eastAsia="仿宋_GB2312"/>
          <w:color w:val="auto"/>
          <w:sz w:val="24"/>
          <w:highlight w:val="none"/>
          <w:lang w:val="en-US" w:eastAsia="zh-CN"/>
        </w:rPr>
        <w:t>前三个月内</w:t>
      </w:r>
      <w:r>
        <w:rPr>
          <w:rFonts w:hint="eastAsia" w:ascii="仿宋_GB2312" w:hAnsi="仿宋_GB2312" w:eastAsia="仿宋_GB2312" w:cs="仿宋_GB2312"/>
          <w:color w:val="auto"/>
          <w:spacing w:val="0"/>
          <w:sz w:val="24"/>
          <w:szCs w:val="24"/>
          <w:highlight w:val="none"/>
        </w:rPr>
        <w:t>投标人</w:t>
      </w:r>
      <w:r>
        <w:rPr>
          <w:rFonts w:hint="eastAsia" w:ascii="仿宋_GB2312" w:hAnsi="仿宋_GB2312" w:eastAsia="仿宋_GB2312" w:cs="仿宋_GB2312"/>
          <w:color w:val="auto"/>
          <w:spacing w:val="0"/>
          <w:sz w:val="24"/>
          <w:szCs w:val="24"/>
          <w:highlight w:val="none"/>
          <w:lang w:val="en-US" w:eastAsia="zh-CN"/>
        </w:rPr>
        <w:t>基本账户</w:t>
      </w:r>
      <w:r>
        <w:rPr>
          <w:rFonts w:eastAsia="仿宋_GB2312"/>
          <w:color w:val="auto"/>
          <w:sz w:val="24"/>
          <w:highlight w:val="none"/>
        </w:rPr>
        <w:t>开户银行出具的资信证明（格式要求见附件6-2）；</w:t>
      </w:r>
    </w:p>
    <w:p w14:paraId="0C4B1B50">
      <w:pPr>
        <w:shd w:val="clear" w:color="auto" w:fill="auto"/>
        <w:snapToGrid w:val="0"/>
        <w:spacing w:line="360" w:lineRule="auto"/>
        <w:ind w:firstLine="480" w:firstLineChars="200"/>
        <w:rPr>
          <w:rFonts w:eastAsia="仿宋_GB2312"/>
          <w:color w:val="auto"/>
          <w:sz w:val="24"/>
          <w:highlight w:val="none"/>
        </w:rPr>
      </w:pPr>
      <w:r>
        <w:rPr>
          <w:rFonts w:hint="eastAsia" w:eastAsia="仿宋_GB2312"/>
          <w:color w:val="auto"/>
          <w:sz w:val="24"/>
          <w:highlight w:val="none"/>
        </w:rPr>
        <w:t>（3）</w:t>
      </w:r>
      <w:r>
        <w:rPr>
          <w:rFonts w:eastAsia="仿宋_GB2312"/>
          <w:color w:val="auto"/>
          <w:sz w:val="24"/>
          <w:highlight w:val="none"/>
        </w:rPr>
        <w:t>依法缴纳税收和社会保障资金的证明材料复印件（格式见附件6-3、6-4）</w:t>
      </w:r>
    </w:p>
    <w:p w14:paraId="0125B910">
      <w:pPr>
        <w:shd w:val="clear" w:color="auto" w:fill="auto"/>
        <w:snapToGrid w:val="0"/>
        <w:spacing w:line="360" w:lineRule="auto"/>
        <w:ind w:firstLine="480" w:firstLineChars="200"/>
        <w:rPr>
          <w:rFonts w:eastAsia="仿宋_GB2312"/>
          <w:color w:val="auto"/>
          <w:sz w:val="24"/>
          <w:highlight w:val="none"/>
        </w:rPr>
      </w:pPr>
      <w:r>
        <w:rPr>
          <w:rFonts w:eastAsia="仿宋_GB2312"/>
          <w:color w:val="auto"/>
          <w:sz w:val="24"/>
          <w:highlight w:val="none"/>
        </w:rPr>
        <w:t>（</w:t>
      </w:r>
      <w:r>
        <w:rPr>
          <w:rFonts w:hint="eastAsia" w:eastAsia="仿宋_GB2312"/>
          <w:color w:val="auto"/>
          <w:sz w:val="24"/>
          <w:highlight w:val="none"/>
        </w:rPr>
        <w:t>4</w:t>
      </w:r>
      <w:r>
        <w:rPr>
          <w:rFonts w:eastAsia="仿宋_GB2312"/>
          <w:color w:val="auto"/>
          <w:sz w:val="24"/>
          <w:highlight w:val="none"/>
        </w:rPr>
        <w:t>）具备履行合同所必需的设备和专业技术能力的承诺原件（格式见附件6-5）</w:t>
      </w:r>
    </w:p>
    <w:p w14:paraId="76E1D1EB">
      <w:pPr>
        <w:shd w:val="clear" w:color="auto" w:fill="auto"/>
        <w:snapToGrid w:val="0"/>
        <w:spacing w:line="360" w:lineRule="auto"/>
        <w:ind w:firstLine="480" w:firstLineChars="200"/>
        <w:rPr>
          <w:rFonts w:eastAsia="仿宋_GB2312"/>
          <w:color w:val="auto"/>
          <w:sz w:val="24"/>
          <w:highlight w:val="none"/>
        </w:rPr>
      </w:pPr>
      <w:r>
        <w:rPr>
          <w:rFonts w:eastAsia="仿宋_GB2312"/>
          <w:color w:val="auto"/>
          <w:sz w:val="24"/>
          <w:highlight w:val="none"/>
        </w:rPr>
        <w:t>（</w:t>
      </w:r>
      <w:r>
        <w:rPr>
          <w:rFonts w:hint="eastAsia" w:eastAsia="仿宋_GB2312"/>
          <w:color w:val="auto"/>
          <w:sz w:val="24"/>
          <w:highlight w:val="none"/>
        </w:rPr>
        <w:t>5</w:t>
      </w:r>
      <w:r>
        <w:rPr>
          <w:rFonts w:eastAsia="仿宋_GB2312"/>
          <w:color w:val="auto"/>
          <w:sz w:val="24"/>
          <w:highlight w:val="none"/>
        </w:rPr>
        <w:t>）</w:t>
      </w:r>
      <w:r>
        <w:rPr>
          <w:rFonts w:hint="eastAsia" w:eastAsia="仿宋_GB2312"/>
          <w:color w:val="auto"/>
          <w:sz w:val="24"/>
          <w:highlight w:val="none"/>
        </w:rPr>
        <w:t>投标人</w:t>
      </w:r>
      <w:r>
        <w:rPr>
          <w:rFonts w:eastAsia="仿宋_GB2312"/>
          <w:color w:val="auto"/>
          <w:sz w:val="24"/>
          <w:highlight w:val="none"/>
        </w:rPr>
        <w:t>参加政府采购活动前3年内在经营活动中没有重大违法记录的书面声明原件（格式见附件6-6）</w:t>
      </w:r>
    </w:p>
    <w:p w14:paraId="43429322">
      <w:pPr>
        <w:shd w:val="clear" w:color="auto" w:fill="auto"/>
        <w:snapToGrid w:val="0"/>
        <w:spacing w:line="360" w:lineRule="auto"/>
        <w:ind w:firstLine="480" w:firstLineChars="200"/>
        <w:rPr>
          <w:rFonts w:eastAsia="仿宋_GB2312"/>
          <w:color w:val="auto"/>
          <w:sz w:val="24"/>
          <w:highlight w:val="none"/>
        </w:rPr>
      </w:pPr>
      <w:r>
        <w:rPr>
          <w:rFonts w:eastAsia="仿宋_GB2312"/>
          <w:color w:val="auto"/>
          <w:sz w:val="24"/>
          <w:highlight w:val="none"/>
        </w:rPr>
        <w:t>（</w:t>
      </w:r>
      <w:r>
        <w:rPr>
          <w:rFonts w:hint="eastAsia" w:eastAsia="仿宋_GB2312"/>
          <w:color w:val="auto"/>
          <w:sz w:val="24"/>
          <w:highlight w:val="none"/>
        </w:rPr>
        <w:t>6</w:t>
      </w:r>
      <w:r>
        <w:rPr>
          <w:rFonts w:eastAsia="仿宋_GB2312"/>
          <w:color w:val="auto"/>
          <w:sz w:val="24"/>
          <w:highlight w:val="none"/>
        </w:rPr>
        <w:t>）</w:t>
      </w:r>
      <w:r>
        <w:rPr>
          <w:rFonts w:hint="eastAsia" w:eastAsia="仿宋_GB2312"/>
          <w:color w:val="auto"/>
          <w:sz w:val="24"/>
          <w:highlight w:val="none"/>
        </w:rPr>
        <w:t>投标人</w:t>
      </w:r>
      <w:r>
        <w:rPr>
          <w:rFonts w:eastAsia="仿宋_GB2312"/>
          <w:color w:val="auto"/>
          <w:sz w:val="24"/>
          <w:highlight w:val="none"/>
        </w:rPr>
        <w:t>控股股东名称、控股公司的名称和存在管理、被管理关系的单位名称说明（格式见附件6-7）</w:t>
      </w:r>
    </w:p>
    <w:p w14:paraId="09CB4DF2">
      <w:pPr>
        <w:shd w:val="clear" w:color="auto" w:fill="auto"/>
        <w:snapToGrid w:val="0"/>
        <w:spacing w:line="360" w:lineRule="auto"/>
        <w:ind w:firstLine="480" w:firstLineChars="200"/>
        <w:rPr>
          <w:rFonts w:eastAsia="仿宋_GB2312"/>
          <w:color w:val="auto"/>
          <w:sz w:val="24"/>
          <w:highlight w:val="none"/>
        </w:rPr>
      </w:pPr>
      <w:r>
        <w:rPr>
          <w:rFonts w:eastAsia="仿宋_GB2312"/>
          <w:color w:val="auto"/>
          <w:sz w:val="24"/>
          <w:highlight w:val="none"/>
        </w:rPr>
        <w:t>（</w:t>
      </w:r>
      <w:r>
        <w:rPr>
          <w:rFonts w:hint="eastAsia" w:eastAsia="仿宋_GB2312"/>
          <w:color w:val="auto"/>
          <w:sz w:val="24"/>
          <w:highlight w:val="none"/>
        </w:rPr>
        <w:t>7</w:t>
      </w:r>
      <w:r>
        <w:rPr>
          <w:rFonts w:eastAsia="仿宋_GB2312"/>
          <w:color w:val="auto"/>
          <w:sz w:val="24"/>
          <w:highlight w:val="none"/>
        </w:rPr>
        <w:t>）</w:t>
      </w:r>
      <w:r>
        <w:rPr>
          <w:rFonts w:hint="eastAsia" w:eastAsia="仿宋_GB2312"/>
          <w:color w:val="auto"/>
          <w:sz w:val="24"/>
          <w:highlight w:val="none"/>
        </w:rPr>
        <w:t>投标人</w:t>
      </w:r>
      <w:r>
        <w:rPr>
          <w:rFonts w:eastAsia="仿宋_GB2312"/>
          <w:color w:val="auto"/>
          <w:sz w:val="24"/>
          <w:highlight w:val="none"/>
        </w:rPr>
        <w:t>是否属于为本项目提供整体设计、规范编制或者项目管理、监理、检测等服务的</w:t>
      </w:r>
      <w:r>
        <w:rPr>
          <w:rFonts w:hint="eastAsia" w:eastAsia="仿宋_GB2312"/>
          <w:color w:val="auto"/>
          <w:sz w:val="24"/>
          <w:highlight w:val="none"/>
        </w:rPr>
        <w:t>投标人</w:t>
      </w:r>
      <w:r>
        <w:rPr>
          <w:rFonts w:eastAsia="仿宋_GB2312"/>
          <w:color w:val="auto"/>
          <w:sz w:val="24"/>
          <w:highlight w:val="none"/>
        </w:rPr>
        <w:t>声明原件（格式见附件6-8）</w:t>
      </w:r>
    </w:p>
    <w:p w14:paraId="4634B113">
      <w:pPr>
        <w:shd w:val="clear" w:color="auto" w:fill="auto"/>
        <w:snapToGrid w:val="0"/>
        <w:spacing w:line="360" w:lineRule="auto"/>
        <w:ind w:firstLine="480" w:firstLineChars="200"/>
        <w:rPr>
          <w:rFonts w:ascii="Times New Roman" w:hAnsi="Times New Roman" w:eastAsia="仿宋_GB2312" w:cs="Times New Roman"/>
          <w:color w:val="auto"/>
          <w:sz w:val="24"/>
          <w:highlight w:val="none"/>
        </w:rPr>
      </w:pPr>
      <w:r>
        <w:rPr>
          <w:rFonts w:eastAsia="仿宋_GB2312"/>
          <w:color w:val="auto"/>
          <w:sz w:val="24"/>
          <w:highlight w:val="none"/>
        </w:rPr>
        <w:t>（</w:t>
      </w:r>
      <w:r>
        <w:rPr>
          <w:rFonts w:hint="eastAsia" w:eastAsia="仿宋_GB2312"/>
          <w:color w:val="auto"/>
          <w:sz w:val="24"/>
          <w:highlight w:val="none"/>
        </w:rPr>
        <w:t>8</w:t>
      </w:r>
      <w:r>
        <w:rPr>
          <w:rFonts w:eastAsia="仿宋_GB2312"/>
          <w:color w:val="auto"/>
          <w:sz w:val="24"/>
          <w:highlight w:val="none"/>
        </w:rPr>
        <w:t>）证明</w:t>
      </w:r>
      <w:r>
        <w:rPr>
          <w:rFonts w:hint="eastAsia" w:eastAsia="仿宋_GB2312"/>
          <w:color w:val="auto"/>
          <w:sz w:val="24"/>
          <w:highlight w:val="none"/>
        </w:rPr>
        <w:t>投标人</w:t>
      </w:r>
      <w:r>
        <w:rPr>
          <w:rFonts w:eastAsia="仿宋_GB2312"/>
          <w:color w:val="auto"/>
          <w:sz w:val="24"/>
          <w:highlight w:val="none"/>
        </w:rPr>
        <w:t>符合特定资格条件的证明材料；</w:t>
      </w:r>
    </w:p>
    <w:p w14:paraId="349C51AA">
      <w:pPr>
        <w:pStyle w:val="18"/>
        <w:shd w:val="clear" w:color="auto" w:fill="auto"/>
        <w:tabs>
          <w:tab w:val="left" w:pos="5580"/>
        </w:tabs>
        <w:spacing w:line="360" w:lineRule="auto"/>
        <w:ind w:left="1080" w:leftChars="257" w:hanging="540"/>
        <w:rPr>
          <w:rFonts w:ascii="Times New Roman" w:hAnsi="Times New Roman" w:eastAsia="仿宋_GB2312"/>
          <w:b/>
          <w:color w:val="auto"/>
          <w:sz w:val="24"/>
          <w:highlight w:val="none"/>
        </w:rPr>
      </w:pPr>
      <w:r>
        <w:rPr>
          <w:rFonts w:ascii="Times New Roman" w:hAnsi="Times New Roman" w:eastAsia="仿宋_GB2312"/>
          <w:b/>
          <w:color w:val="auto"/>
          <w:sz w:val="24"/>
          <w:highlight w:val="none"/>
        </w:rPr>
        <w:t>要求：</w:t>
      </w:r>
      <w:r>
        <w:rPr>
          <w:rFonts w:hint="eastAsia" w:ascii="Times New Roman" w:hAnsi="Times New Roman" w:eastAsia="仿宋_GB2312"/>
          <w:b/>
          <w:color w:val="auto"/>
          <w:sz w:val="24"/>
          <w:highlight w:val="none"/>
          <w:lang w:val="en-US" w:eastAsia="zh-CN"/>
        </w:rPr>
        <w:t>以上资格证明文件须提供原件或加盖投标人红色公章的复印件。</w:t>
      </w:r>
      <w:r>
        <w:rPr>
          <w:rFonts w:ascii="Times New Roman" w:hAnsi="Times New Roman" w:eastAsia="仿宋_GB2312"/>
          <w:b/>
          <w:color w:val="auto"/>
          <w:sz w:val="24"/>
          <w:highlight w:val="none"/>
        </w:rPr>
        <w:t xml:space="preserve">      </w:t>
      </w:r>
    </w:p>
    <w:p w14:paraId="2347369C">
      <w:pPr>
        <w:shd w:val="clear" w:color="auto" w:fill="auto"/>
        <w:rPr>
          <w:rFonts w:eastAsia="仿宋_GB2312"/>
          <w:b/>
          <w:color w:val="auto"/>
          <w:sz w:val="24"/>
          <w:szCs w:val="32"/>
          <w:highlight w:val="none"/>
        </w:rPr>
      </w:pPr>
      <w:bookmarkStart w:id="398" w:name="_Toc7005120"/>
    </w:p>
    <w:p w14:paraId="62A3595A">
      <w:pPr>
        <w:shd w:val="clear" w:color="auto" w:fill="auto"/>
        <w:rPr>
          <w:rFonts w:eastAsia="仿宋_GB2312"/>
          <w:b/>
          <w:color w:val="auto"/>
          <w:sz w:val="24"/>
          <w:szCs w:val="32"/>
          <w:highlight w:val="none"/>
        </w:rPr>
      </w:pPr>
    </w:p>
    <w:p w14:paraId="7710E856">
      <w:pPr>
        <w:shd w:val="clear" w:color="auto" w:fill="auto"/>
        <w:rPr>
          <w:rFonts w:eastAsia="仿宋_GB2312"/>
          <w:b/>
          <w:color w:val="auto"/>
          <w:sz w:val="24"/>
          <w:szCs w:val="32"/>
          <w:highlight w:val="none"/>
        </w:rPr>
      </w:pPr>
    </w:p>
    <w:p w14:paraId="4BCEAE19">
      <w:pPr>
        <w:shd w:val="clear" w:color="auto" w:fill="auto"/>
        <w:rPr>
          <w:rFonts w:eastAsia="仿宋_GB2312"/>
          <w:b/>
          <w:color w:val="auto"/>
          <w:sz w:val="24"/>
          <w:szCs w:val="32"/>
          <w:highlight w:val="none"/>
        </w:rPr>
      </w:pPr>
    </w:p>
    <w:p w14:paraId="11AF0586">
      <w:pPr>
        <w:shd w:val="clear" w:color="auto" w:fill="auto"/>
        <w:rPr>
          <w:rFonts w:eastAsia="仿宋_GB2312"/>
          <w:b/>
          <w:color w:val="auto"/>
          <w:sz w:val="24"/>
          <w:szCs w:val="32"/>
          <w:highlight w:val="none"/>
        </w:rPr>
      </w:pPr>
    </w:p>
    <w:p w14:paraId="5399B496">
      <w:pPr>
        <w:pStyle w:val="11"/>
        <w:shd w:val="clear" w:color="auto" w:fill="auto"/>
        <w:rPr>
          <w:rFonts w:eastAsia="仿宋_GB2312"/>
          <w:b/>
          <w:color w:val="auto"/>
          <w:sz w:val="24"/>
          <w:szCs w:val="32"/>
          <w:highlight w:val="none"/>
        </w:rPr>
      </w:pPr>
    </w:p>
    <w:p w14:paraId="787A9533">
      <w:pPr>
        <w:shd w:val="clear" w:color="auto" w:fill="auto"/>
        <w:rPr>
          <w:rFonts w:eastAsia="仿宋_GB2312"/>
          <w:b/>
          <w:color w:val="auto"/>
          <w:sz w:val="24"/>
          <w:szCs w:val="32"/>
          <w:highlight w:val="none"/>
        </w:rPr>
      </w:pPr>
    </w:p>
    <w:p w14:paraId="1A3A218A">
      <w:pPr>
        <w:pStyle w:val="11"/>
        <w:shd w:val="clear" w:color="auto" w:fill="auto"/>
        <w:rPr>
          <w:color w:val="auto"/>
          <w:highlight w:val="none"/>
        </w:rPr>
      </w:pPr>
    </w:p>
    <w:p w14:paraId="1766E316">
      <w:pPr>
        <w:pStyle w:val="11"/>
        <w:shd w:val="clear" w:color="auto" w:fill="auto"/>
        <w:rPr>
          <w:rFonts w:eastAsia="仿宋_GB2312"/>
          <w:b/>
          <w:color w:val="auto"/>
          <w:sz w:val="24"/>
          <w:szCs w:val="32"/>
          <w:highlight w:val="none"/>
        </w:rPr>
      </w:pPr>
    </w:p>
    <w:p w14:paraId="3B8749D4">
      <w:pPr>
        <w:shd w:val="clear" w:color="auto" w:fill="auto"/>
        <w:rPr>
          <w:color w:val="auto"/>
          <w:highlight w:val="none"/>
        </w:rPr>
      </w:pPr>
    </w:p>
    <w:p w14:paraId="36FEA5FE">
      <w:pPr>
        <w:shd w:val="clear" w:color="auto" w:fill="auto"/>
        <w:rPr>
          <w:rFonts w:eastAsia="仿宋_GB2312"/>
          <w:b/>
          <w:color w:val="auto"/>
          <w:sz w:val="24"/>
          <w:szCs w:val="32"/>
          <w:highlight w:val="none"/>
        </w:rPr>
      </w:pPr>
    </w:p>
    <w:p w14:paraId="0784C80C">
      <w:pPr>
        <w:shd w:val="clear" w:color="auto" w:fill="auto"/>
        <w:rPr>
          <w:rFonts w:eastAsia="仿宋_GB2312"/>
          <w:b/>
          <w:color w:val="auto"/>
          <w:sz w:val="24"/>
          <w:szCs w:val="32"/>
          <w:highlight w:val="none"/>
        </w:rPr>
      </w:pPr>
    </w:p>
    <w:p w14:paraId="434880C0">
      <w:pPr>
        <w:shd w:val="clear" w:color="auto" w:fill="auto"/>
        <w:rPr>
          <w:rFonts w:eastAsia="仿宋_GB2312"/>
          <w:b/>
          <w:color w:val="auto"/>
          <w:sz w:val="24"/>
          <w:szCs w:val="32"/>
          <w:highlight w:val="none"/>
        </w:rPr>
      </w:pPr>
      <w:r>
        <w:rPr>
          <w:rFonts w:eastAsia="仿宋_GB2312"/>
          <w:b/>
          <w:color w:val="auto"/>
          <w:sz w:val="24"/>
          <w:szCs w:val="32"/>
          <w:highlight w:val="none"/>
        </w:rPr>
        <w:t xml:space="preserve">6-1  </w:t>
      </w:r>
      <w:r>
        <w:rPr>
          <w:rFonts w:hint="eastAsia" w:eastAsia="仿宋_GB2312"/>
          <w:b/>
          <w:color w:val="auto"/>
          <w:sz w:val="24"/>
          <w:szCs w:val="32"/>
          <w:highlight w:val="none"/>
        </w:rPr>
        <w:t>投标人</w:t>
      </w:r>
      <w:r>
        <w:rPr>
          <w:rFonts w:eastAsia="仿宋_GB2312"/>
          <w:b/>
          <w:color w:val="auto"/>
          <w:sz w:val="24"/>
          <w:szCs w:val="32"/>
          <w:highlight w:val="none"/>
        </w:rPr>
        <w:t>的企业法人营业执照副本复印件（加盖公章）</w:t>
      </w:r>
      <w:bookmarkEnd w:id="398"/>
    </w:p>
    <w:p w14:paraId="68AD1374">
      <w:pPr>
        <w:shd w:val="clear" w:color="auto" w:fill="auto"/>
        <w:jc w:val="left"/>
        <w:rPr>
          <w:rFonts w:eastAsia="仿宋_GB2312"/>
          <w:color w:val="auto"/>
          <w:sz w:val="24"/>
          <w:highlight w:val="none"/>
        </w:rPr>
      </w:pPr>
    </w:p>
    <w:p w14:paraId="17C30D52">
      <w:pPr>
        <w:shd w:val="clear" w:color="auto" w:fill="auto"/>
        <w:tabs>
          <w:tab w:val="left" w:pos="993"/>
          <w:tab w:val="left" w:pos="1030"/>
          <w:tab w:val="left" w:pos="8364"/>
        </w:tabs>
        <w:snapToGrid w:val="0"/>
        <w:spacing w:after="156" w:afterLines="50"/>
        <w:ind w:right="-57" w:rightChars="-27"/>
        <w:rPr>
          <w:rFonts w:eastAsia="仿宋_GB2312"/>
          <w:color w:val="auto"/>
          <w:sz w:val="24"/>
          <w:highlight w:val="none"/>
        </w:rPr>
      </w:pPr>
      <w:r>
        <w:rPr>
          <w:rFonts w:eastAsia="仿宋_GB2312"/>
          <w:color w:val="auto"/>
          <w:sz w:val="24"/>
          <w:highlight w:val="none"/>
        </w:rPr>
        <w:t>（注：根据项目实际情况，本项内容可能要求提供“事业单位法人证书”、执业许可证、自然人身份证明等证明材料）</w:t>
      </w:r>
    </w:p>
    <w:p w14:paraId="3AE11A2C">
      <w:pPr>
        <w:shd w:val="clear" w:color="auto" w:fill="auto"/>
        <w:adjustRightInd w:val="0"/>
        <w:spacing w:line="360" w:lineRule="atLeast"/>
        <w:jc w:val="left"/>
        <w:textAlignment w:val="baseline"/>
        <w:rPr>
          <w:rFonts w:eastAsia="仿宋_GB2312"/>
          <w:b/>
          <w:color w:val="auto"/>
          <w:sz w:val="28"/>
          <w:highlight w:val="none"/>
        </w:rPr>
      </w:pPr>
      <w:r>
        <w:rPr>
          <w:rFonts w:eastAsia="仿宋_GB2312"/>
          <w:b/>
          <w:color w:val="auto"/>
          <w:sz w:val="28"/>
          <w:highlight w:val="none"/>
        </w:rPr>
        <w:t xml:space="preserve"> </w:t>
      </w:r>
    </w:p>
    <w:p w14:paraId="5699357E">
      <w:pPr>
        <w:shd w:val="clear" w:color="auto" w:fill="auto"/>
        <w:rPr>
          <w:rFonts w:hint="eastAsia" w:eastAsia="仿宋_GB2312"/>
          <w:b/>
          <w:color w:val="auto"/>
          <w:sz w:val="24"/>
          <w:szCs w:val="32"/>
          <w:highlight w:val="none"/>
          <w:lang w:eastAsia="zh-CN"/>
        </w:rPr>
      </w:pPr>
      <w:bookmarkStart w:id="399" w:name="_Toc7005121"/>
      <w:bookmarkStart w:id="400" w:name="_Ref527015333"/>
      <w:r>
        <w:rPr>
          <w:rFonts w:eastAsia="仿宋_GB2312"/>
          <w:b/>
          <w:color w:val="auto"/>
          <w:sz w:val="24"/>
          <w:szCs w:val="32"/>
          <w:highlight w:val="none"/>
        </w:rPr>
        <w:t xml:space="preserve">6-2  </w:t>
      </w:r>
      <w:r>
        <w:rPr>
          <w:rFonts w:hint="eastAsia" w:eastAsia="仿宋_GB2312"/>
          <w:b/>
          <w:color w:val="auto"/>
          <w:sz w:val="24"/>
          <w:szCs w:val="32"/>
          <w:highlight w:val="none"/>
          <w:lang w:val="en-US" w:eastAsia="zh-CN"/>
        </w:rPr>
        <w:t>2024年度</w:t>
      </w:r>
      <w:r>
        <w:rPr>
          <w:rFonts w:eastAsia="仿宋_GB2312"/>
          <w:b/>
          <w:color w:val="auto"/>
          <w:sz w:val="24"/>
          <w:szCs w:val="32"/>
          <w:highlight w:val="none"/>
        </w:rPr>
        <w:t>经审计的财务</w:t>
      </w:r>
      <w:bookmarkEnd w:id="399"/>
      <w:bookmarkEnd w:id="400"/>
      <w:r>
        <w:rPr>
          <w:rFonts w:hint="eastAsia" w:eastAsia="仿宋_GB2312"/>
          <w:b/>
          <w:color w:val="auto"/>
          <w:sz w:val="24"/>
          <w:szCs w:val="32"/>
          <w:highlight w:val="none"/>
          <w:lang w:val="en-US" w:eastAsia="zh-CN"/>
        </w:rPr>
        <w:t>报告</w:t>
      </w:r>
    </w:p>
    <w:p w14:paraId="6A39F234">
      <w:pPr>
        <w:shd w:val="clear" w:color="auto" w:fill="auto"/>
        <w:spacing w:line="360" w:lineRule="auto"/>
        <w:rPr>
          <w:rFonts w:eastAsia="仿宋_GB2312"/>
          <w:color w:val="auto"/>
          <w:szCs w:val="21"/>
          <w:highlight w:val="none"/>
        </w:rPr>
      </w:pPr>
    </w:p>
    <w:p w14:paraId="0A0676BC">
      <w:pPr>
        <w:shd w:val="clear" w:color="auto" w:fill="auto"/>
        <w:tabs>
          <w:tab w:val="left" w:pos="993"/>
          <w:tab w:val="left" w:pos="1030"/>
          <w:tab w:val="left" w:pos="8364"/>
        </w:tabs>
        <w:snapToGrid w:val="0"/>
        <w:spacing w:after="156" w:afterLines="50"/>
        <w:ind w:right="-57" w:rightChars="-27"/>
        <w:rPr>
          <w:rFonts w:eastAsia="仿宋_GB2312"/>
          <w:color w:val="auto"/>
          <w:sz w:val="24"/>
          <w:highlight w:val="none"/>
        </w:rPr>
      </w:pPr>
      <w:r>
        <w:rPr>
          <w:rFonts w:hint="eastAsia" w:eastAsia="仿宋_GB2312"/>
          <w:color w:val="auto"/>
          <w:sz w:val="24"/>
          <w:highlight w:val="none"/>
          <w:lang w:val="en-US" w:eastAsia="zh-CN"/>
        </w:rPr>
        <w:t>投标人</w:t>
      </w:r>
      <w:r>
        <w:rPr>
          <w:rFonts w:eastAsia="仿宋_GB2312"/>
          <w:color w:val="auto"/>
          <w:sz w:val="24"/>
          <w:highlight w:val="none"/>
        </w:rPr>
        <w:t>提供</w:t>
      </w:r>
      <w:r>
        <w:rPr>
          <w:rFonts w:hint="eastAsia" w:eastAsia="仿宋_GB2312"/>
          <w:color w:val="auto"/>
          <w:sz w:val="24"/>
          <w:highlight w:val="none"/>
          <w:lang w:eastAsia="zh-CN"/>
        </w:rPr>
        <w:t>202</w:t>
      </w:r>
      <w:r>
        <w:rPr>
          <w:rFonts w:hint="eastAsia" w:eastAsia="仿宋_GB2312"/>
          <w:color w:val="auto"/>
          <w:sz w:val="24"/>
          <w:highlight w:val="none"/>
          <w:lang w:val="en-US" w:eastAsia="zh-CN"/>
        </w:rPr>
        <w:t>4</w:t>
      </w:r>
      <w:r>
        <w:rPr>
          <w:rFonts w:hint="eastAsia" w:eastAsia="仿宋_GB2312"/>
          <w:color w:val="auto"/>
          <w:sz w:val="24"/>
          <w:highlight w:val="none"/>
        </w:rPr>
        <w:t>年度经审计的财务报告</w:t>
      </w:r>
      <w:r>
        <w:rPr>
          <w:rFonts w:eastAsia="仿宋_GB2312"/>
          <w:color w:val="auto"/>
          <w:sz w:val="24"/>
          <w:highlight w:val="none"/>
        </w:rPr>
        <w:t>（</w:t>
      </w:r>
      <w:r>
        <w:rPr>
          <w:rFonts w:hint="eastAsia" w:ascii="仿宋_GB2312" w:hAnsi="仿宋_GB2312" w:eastAsia="仿宋_GB2312" w:cs="仿宋_GB2312"/>
          <w:color w:val="auto"/>
          <w:sz w:val="24"/>
          <w:highlight w:val="none"/>
        </w:rPr>
        <w:t>包括</w:t>
      </w:r>
      <w:r>
        <w:rPr>
          <w:rFonts w:hint="eastAsia" w:ascii="仿宋_GB2312" w:hAnsi="仿宋_GB2312" w:eastAsia="仿宋_GB2312" w:cs="仿宋_GB2312"/>
          <w:color w:val="auto"/>
          <w:sz w:val="24"/>
          <w:highlight w:val="none"/>
          <w:lang w:val="en-US" w:eastAsia="zh-CN"/>
        </w:rPr>
        <w:t>报告正文、</w:t>
      </w:r>
      <w:r>
        <w:rPr>
          <w:rFonts w:hint="eastAsia" w:ascii="仿宋_GB2312" w:hAnsi="仿宋_GB2312" w:eastAsia="仿宋_GB2312" w:cs="仿宋_GB2312"/>
          <w:color w:val="auto"/>
          <w:sz w:val="24"/>
          <w:highlight w:val="none"/>
        </w:rPr>
        <w:t>资产负债表、现金流量表、利润表</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附注和会计师事务所营业执照，报告正文应当有会计师事务所公章和2名注册会计师的签字及盖章。且出具的审计报告应当经过注册会计师行业统一监管平台备案赋码。</w:t>
      </w:r>
      <w:r>
        <w:rPr>
          <w:rFonts w:eastAsia="仿宋_GB2312"/>
          <w:color w:val="auto"/>
          <w:sz w:val="24"/>
          <w:highlight w:val="none"/>
        </w:rPr>
        <w:t>）复印件或扫描件</w:t>
      </w:r>
      <w:r>
        <w:rPr>
          <w:rFonts w:hint="eastAsia" w:eastAsia="仿宋_GB2312"/>
          <w:color w:val="auto"/>
          <w:sz w:val="24"/>
          <w:highlight w:val="none"/>
          <w:lang w:eastAsia="zh-CN"/>
        </w:rPr>
        <w:t>，</w:t>
      </w:r>
      <w:r>
        <w:rPr>
          <w:rFonts w:eastAsia="仿宋_GB2312"/>
          <w:color w:val="auto"/>
          <w:sz w:val="24"/>
          <w:highlight w:val="none"/>
        </w:rPr>
        <w:t>所有复印件或扫描件需加盖单位公章。</w:t>
      </w:r>
    </w:p>
    <w:p w14:paraId="36290B8A">
      <w:pPr>
        <w:shd w:val="clear" w:color="auto" w:fill="auto"/>
        <w:spacing w:line="360" w:lineRule="auto"/>
        <w:rPr>
          <w:rFonts w:eastAsia="仿宋_GB2312"/>
          <w:color w:val="auto"/>
          <w:szCs w:val="21"/>
          <w:highlight w:val="none"/>
        </w:rPr>
      </w:pPr>
    </w:p>
    <w:p w14:paraId="06DBAC85">
      <w:pPr>
        <w:shd w:val="clear" w:color="auto" w:fill="auto"/>
        <w:rPr>
          <w:rFonts w:eastAsia="仿宋_GB2312"/>
          <w:b/>
          <w:color w:val="auto"/>
          <w:sz w:val="24"/>
          <w:szCs w:val="32"/>
          <w:highlight w:val="none"/>
        </w:rPr>
      </w:pPr>
      <w:bookmarkStart w:id="401" w:name="_Toc7005122"/>
      <w:r>
        <w:rPr>
          <w:rFonts w:eastAsia="仿宋_GB2312"/>
          <w:b/>
          <w:color w:val="auto"/>
          <w:sz w:val="24"/>
          <w:szCs w:val="32"/>
          <w:highlight w:val="none"/>
        </w:rPr>
        <w:t xml:space="preserve">或  6-2  </w:t>
      </w:r>
      <w:bookmarkEnd w:id="401"/>
      <w:r>
        <w:rPr>
          <w:rFonts w:hint="eastAsia" w:eastAsia="仿宋_GB2312"/>
          <w:b/>
          <w:color w:val="auto"/>
          <w:sz w:val="24"/>
          <w:szCs w:val="32"/>
          <w:highlight w:val="none"/>
        </w:rPr>
        <w:t>递交投标文件截止时间前三个月内投标人</w:t>
      </w:r>
      <w:r>
        <w:rPr>
          <w:rFonts w:hint="eastAsia" w:eastAsia="仿宋_GB2312"/>
          <w:b/>
          <w:color w:val="auto"/>
          <w:sz w:val="24"/>
          <w:szCs w:val="32"/>
          <w:highlight w:val="none"/>
          <w:lang w:val="en-US" w:eastAsia="zh-CN"/>
        </w:rPr>
        <w:t>基本账户</w:t>
      </w:r>
      <w:r>
        <w:rPr>
          <w:rFonts w:hint="eastAsia" w:eastAsia="仿宋_GB2312"/>
          <w:b/>
          <w:color w:val="auto"/>
          <w:sz w:val="24"/>
          <w:szCs w:val="32"/>
          <w:highlight w:val="none"/>
        </w:rPr>
        <w:t>开户银行出具的资信证明</w:t>
      </w:r>
    </w:p>
    <w:p w14:paraId="448AAB57">
      <w:pPr>
        <w:shd w:val="clear" w:color="auto" w:fill="auto"/>
        <w:spacing w:line="360" w:lineRule="auto"/>
        <w:rPr>
          <w:rFonts w:eastAsia="仿宋_GB2312"/>
          <w:color w:val="auto"/>
          <w:szCs w:val="21"/>
          <w:highlight w:val="none"/>
        </w:rPr>
      </w:pPr>
    </w:p>
    <w:p w14:paraId="254F7156">
      <w:pPr>
        <w:shd w:val="clear" w:color="auto" w:fill="auto"/>
        <w:tabs>
          <w:tab w:val="left" w:pos="5580"/>
        </w:tabs>
        <w:spacing w:before="120" w:line="360" w:lineRule="auto"/>
        <w:rPr>
          <w:rFonts w:eastAsia="仿宋_GB2312"/>
          <w:color w:val="auto"/>
          <w:sz w:val="24"/>
          <w:highlight w:val="none"/>
        </w:rPr>
      </w:pPr>
    </w:p>
    <w:p w14:paraId="23106320">
      <w:pPr>
        <w:shd w:val="clear" w:color="auto" w:fill="auto"/>
        <w:rPr>
          <w:rFonts w:eastAsia="仿宋_GB2312"/>
          <w:b/>
          <w:color w:val="auto"/>
          <w:sz w:val="24"/>
          <w:szCs w:val="32"/>
          <w:highlight w:val="none"/>
        </w:rPr>
      </w:pPr>
      <w:bookmarkStart w:id="402" w:name="_Toc7005123"/>
      <w:r>
        <w:rPr>
          <w:rFonts w:eastAsia="仿宋_GB2312"/>
          <w:b/>
          <w:color w:val="auto"/>
          <w:sz w:val="24"/>
          <w:szCs w:val="32"/>
          <w:highlight w:val="none"/>
        </w:rPr>
        <w:t>6-3  依法缴纳税收的证明</w:t>
      </w:r>
      <w:bookmarkEnd w:id="402"/>
    </w:p>
    <w:p w14:paraId="5237A6D2">
      <w:pPr>
        <w:shd w:val="clear" w:color="auto" w:fill="auto"/>
        <w:tabs>
          <w:tab w:val="left" w:pos="993"/>
          <w:tab w:val="left" w:pos="1030"/>
          <w:tab w:val="left" w:pos="8364"/>
        </w:tabs>
        <w:snapToGrid w:val="0"/>
        <w:spacing w:after="156" w:afterLines="50"/>
        <w:ind w:left="420" w:right="-57" w:rightChars="-27" w:firstLine="480" w:firstLineChars="200"/>
        <w:jc w:val="left"/>
        <w:rPr>
          <w:rFonts w:eastAsia="仿宋_GB2312"/>
          <w:color w:val="auto"/>
          <w:sz w:val="24"/>
          <w:highlight w:val="none"/>
        </w:rPr>
      </w:pPr>
    </w:p>
    <w:p w14:paraId="12887C45">
      <w:pPr>
        <w:shd w:val="clear" w:color="auto" w:fill="auto"/>
        <w:tabs>
          <w:tab w:val="left" w:pos="993"/>
          <w:tab w:val="left" w:pos="1030"/>
          <w:tab w:val="left" w:pos="8364"/>
        </w:tabs>
        <w:snapToGrid w:val="0"/>
        <w:spacing w:after="156" w:afterLines="50"/>
        <w:ind w:right="-57" w:rightChars="-27"/>
        <w:jc w:val="left"/>
        <w:rPr>
          <w:rFonts w:eastAsia="仿宋_GB2312"/>
          <w:color w:val="auto"/>
          <w:sz w:val="24"/>
          <w:highlight w:val="none"/>
        </w:rPr>
      </w:pPr>
      <w:r>
        <w:rPr>
          <w:rFonts w:eastAsia="仿宋_GB2312"/>
          <w:color w:val="auto"/>
          <w:sz w:val="24"/>
          <w:highlight w:val="none"/>
        </w:rPr>
        <w:t>说明：</w:t>
      </w:r>
    </w:p>
    <w:p w14:paraId="4D894899">
      <w:pPr>
        <w:shd w:val="clear" w:color="auto" w:fill="auto"/>
        <w:tabs>
          <w:tab w:val="left" w:pos="993"/>
          <w:tab w:val="left" w:pos="1030"/>
          <w:tab w:val="left" w:pos="8364"/>
        </w:tabs>
        <w:snapToGrid w:val="0"/>
        <w:spacing w:after="156" w:afterLines="50"/>
        <w:ind w:left="420" w:right="-57" w:rightChars="-27" w:firstLine="480" w:firstLineChars="200"/>
        <w:jc w:val="left"/>
        <w:rPr>
          <w:rFonts w:eastAsia="仿宋_GB2312"/>
          <w:color w:val="auto"/>
          <w:sz w:val="24"/>
          <w:highlight w:val="none"/>
        </w:rPr>
      </w:pPr>
      <w:r>
        <w:rPr>
          <w:rFonts w:eastAsia="仿宋_GB2312"/>
          <w:color w:val="auto"/>
          <w:sz w:val="24"/>
          <w:highlight w:val="none"/>
        </w:rPr>
        <w:t>1、</w:t>
      </w:r>
      <w:r>
        <w:rPr>
          <w:rFonts w:hint="eastAsia" w:eastAsia="仿宋_GB2312"/>
          <w:color w:val="auto"/>
          <w:sz w:val="24"/>
          <w:highlight w:val="none"/>
        </w:rPr>
        <w:t>投标人</w:t>
      </w:r>
      <w:r>
        <w:rPr>
          <w:rFonts w:eastAsia="仿宋_GB2312"/>
          <w:color w:val="auto"/>
          <w:sz w:val="24"/>
          <w:highlight w:val="none"/>
        </w:rPr>
        <w:t>应提供</w:t>
      </w:r>
      <w:r>
        <w:rPr>
          <w:rFonts w:hint="eastAsia" w:eastAsia="仿宋_GB2312"/>
          <w:color w:val="auto"/>
          <w:sz w:val="24"/>
          <w:highlight w:val="none"/>
        </w:rPr>
        <w:t>投标截止时间前</w:t>
      </w:r>
      <w:r>
        <w:rPr>
          <w:rFonts w:eastAsia="仿宋_GB2312"/>
          <w:color w:val="auto"/>
          <w:sz w:val="24"/>
          <w:highlight w:val="none"/>
        </w:rPr>
        <w:t>近六个月中任何一个月</w:t>
      </w:r>
      <w:r>
        <w:rPr>
          <w:rFonts w:hint="eastAsia" w:eastAsia="仿宋_GB2312"/>
          <w:color w:val="auto"/>
          <w:sz w:val="24"/>
          <w:highlight w:val="none"/>
        </w:rPr>
        <w:t>缴税凭证，时间以税款所属时期为准</w:t>
      </w:r>
      <w:r>
        <w:rPr>
          <w:rFonts w:eastAsia="仿宋_GB2312"/>
          <w:color w:val="auto"/>
          <w:sz w:val="24"/>
          <w:highlight w:val="none"/>
        </w:rPr>
        <w:t>（银行出具的缴税凭证或税务机关出具的证明的复印件，并加盖本单位公章）。</w:t>
      </w:r>
    </w:p>
    <w:p w14:paraId="4921FFEA">
      <w:pPr>
        <w:shd w:val="clear" w:color="auto" w:fill="auto"/>
        <w:tabs>
          <w:tab w:val="left" w:pos="993"/>
          <w:tab w:val="left" w:pos="1030"/>
          <w:tab w:val="left" w:pos="8364"/>
        </w:tabs>
        <w:snapToGrid w:val="0"/>
        <w:spacing w:after="156" w:afterLines="50"/>
        <w:ind w:right="-57" w:rightChars="-27" w:firstLine="960" w:firstLineChars="400"/>
        <w:jc w:val="left"/>
        <w:rPr>
          <w:rFonts w:eastAsia="仿宋_GB2312"/>
          <w:color w:val="auto"/>
          <w:sz w:val="24"/>
          <w:highlight w:val="none"/>
        </w:rPr>
      </w:pPr>
      <w:r>
        <w:rPr>
          <w:rFonts w:eastAsia="仿宋_GB2312"/>
          <w:color w:val="auto"/>
          <w:sz w:val="24"/>
          <w:highlight w:val="none"/>
        </w:rPr>
        <w:t>2、依法免税</w:t>
      </w:r>
      <w:r>
        <w:rPr>
          <w:rFonts w:hint="eastAsia" w:eastAsia="仿宋_GB2312"/>
          <w:color w:val="auto"/>
          <w:sz w:val="24"/>
          <w:highlight w:val="none"/>
        </w:rPr>
        <w:t>或无须缴纳税收</w:t>
      </w:r>
      <w:r>
        <w:rPr>
          <w:rFonts w:eastAsia="仿宋_GB2312"/>
          <w:color w:val="auto"/>
          <w:sz w:val="24"/>
          <w:highlight w:val="none"/>
        </w:rPr>
        <w:t>的</w:t>
      </w:r>
      <w:r>
        <w:rPr>
          <w:rFonts w:hint="eastAsia" w:eastAsia="仿宋_GB2312"/>
          <w:color w:val="auto"/>
          <w:sz w:val="24"/>
          <w:highlight w:val="none"/>
        </w:rPr>
        <w:t>投标人</w:t>
      </w:r>
      <w:r>
        <w:rPr>
          <w:rFonts w:eastAsia="仿宋_GB2312"/>
          <w:color w:val="auto"/>
          <w:sz w:val="24"/>
          <w:highlight w:val="none"/>
        </w:rPr>
        <w:t>，应提供相应证明</w:t>
      </w:r>
      <w:r>
        <w:rPr>
          <w:rFonts w:hint="eastAsia" w:eastAsia="仿宋_GB2312"/>
          <w:color w:val="auto"/>
          <w:sz w:val="24"/>
          <w:highlight w:val="none"/>
          <w:lang w:val="en-US" w:eastAsia="zh-CN"/>
        </w:rPr>
        <w:t>文件</w:t>
      </w:r>
      <w:r>
        <w:rPr>
          <w:rFonts w:eastAsia="仿宋_GB2312"/>
          <w:color w:val="auto"/>
          <w:sz w:val="24"/>
          <w:highlight w:val="none"/>
        </w:rPr>
        <w:t>。</w:t>
      </w:r>
    </w:p>
    <w:p w14:paraId="6FA9E37B">
      <w:pPr>
        <w:shd w:val="clear" w:color="auto" w:fill="auto"/>
        <w:tabs>
          <w:tab w:val="left" w:pos="993"/>
          <w:tab w:val="left" w:pos="1030"/>
          <w:tab w:val="left" w:pos="8364"/>
        </w:tabs>
        <w:snapToGrid w:val="0"/>
        <w:spacing w:after="156" w:afterLines="50"/>
        <w:ind w:left="420" w:right="-57" w:rightChars="-27" w:firstLine="480" w:firstLineChars="200"/>
        <w:jc w:val="left"/>
        <w:rPr>
          <w:rFonts w:eastAsia="仿宋_GB2312"/>
          <w:color w:val="auto"/>
          <w:sz w:val="24"/>
          <w:highlight w:val="none"/>
        </w:rPr>
      </w:pPr>
    </w:p>
    <w:p w14:paraId="445AC070">
      <w:pPr>
        <w:shd w:val="clear" w:color="auto" w:fill="auto"/>
        <w:rPr>
          <w:rFonts w:eastAsia="仿宋_GB2312"/>
          <w:b/>
          <w:color w:val="auto"/>
          <w:highlight w:val="none"/>
        </w:rPr>
      </w:pPr>
    </w:p>
    <w:p w14:paraId="23219528">
      <w:pPr>
        <w:shd w:val="clear" w:color="auto" w:fill="auto"/>
        <w:rPr>
          <w:rFonts w:eastAsia="仿宋_GB2312"/>
          <w:b/>
          <w:color w:val="auto"/>
          <w:sz w:val="24"/>
          <w:szCs w:val="32"/>
          <w:highlight w:val="none"/>
        </w:rPr>
      </w:pPr>
      <w:bookmarkStart w:id="403" w:name="_Toc7005124"/>
      <w:r>
        <w:rPr>
          <w:rFonts w:eastAsia="仿宋_GB2312"/>
          <w:b/>
          <w:color w:val="auto"/>
          <w:sz w:val="24"/>
          <w:szCs w:val="32"/>
          <w:highlight w:val="none"/>
        </w:rPr>
        <w:t>6-4  社会保障资金缴纳记录</w:t>
      </w:r>
      <w:bookmarkEnd w:id="403"/>
    </w:p>
    <w:p w14:paraId="2EE075C1">
      <w:pPr>
        <w:shd w:val="clear" w:color="auto" w:fill="auto"/>
        <w:tabs>
          <w:tab w:val="left" w:pos="993"/>
          <w:tab w:val="left" w:pos="1030"/>
          <w:tab w:val="left" w:pos="8364"/>
        </w:tabs>
        <w:snapToGrid w:val="0"/>
        <w:spacing w:after="156" w:afterLines="50"/>
        <w:ind w:left="420" w:leftChars="200" w:right="-57" w:rightChars="-27"/>
        <w:jc w:val="left"/>
        <w:rPr>
          <w:rFonts w:eastAsia="仿宋_GB2312"/>
          <w:color w:val="auto"/>
          <w:sz w:val="24"/>
          <w:highlight w:val="none"/>
        </w:rPr>
      </w:pPr>
      <w:r>
        <w:rPr>
          <w:rFonts w:eastAsia="仿宋_GB2312"/>
          <w:color w:val="auto"/>
          <w:sz w:val="24"/>
          <w:highlight w:val="none"/>
        </w:rPr>
        <w:cr/>
      </w:r>
    </w:p>
    <w:p w14:paraId="26D53863">
      <w:pPr>
        <w:shd w:val="clear" w:color="auto" w:fill="auto"/>
        <w:tabs>
          <w:tab w:val="left" w:pos="993"/>
          <w:tab w:val="left" w:pos="1030"/>
          <w:tab w:val="left" w:pos="8364"/>
        </w:tabs>
        <w:snapToGrid w:val="0"/>
        <w:spacing w:after="156" w:afterLines="50"/>
        <w:ind w:left="420" w:leftChars="200" w:right="-57" w:rightChars="-27"/>
        <w:jc w:val="left"/>
        <w:rPr>
          <w:rFonts w:eastAsia="仿宋_GB2312"/>
          <w:color w:val="auto"/>
          <w:sz w:val="24"/>
          <w:highlight w:val="none"/>
        </w:rPr>
      </w:pPr>
      <w:r>
        <w:rPr>
          <w:rFonts w:eastAsia="仿宋_GB2312"/>
          <w:color w:val="auto"/>
          <w:sz w:val="24"/>
          <w:highlight w:val="none"/>
        </w:rPr>
        <w:t>说明：</w:t>
      </w:r>
    </w:p>
    <w:p w14:paraId="0B445E53">
      <w:pPr>
        <w:shd w:val="clear" w:color="auto" w:fill="auto"/>
        <w:tabs>
          <w:tab w:val="left" w:pos="993"/>
          <w:tab w:val="left" w:pos="1030"/>
          <w:tab w:val="left" w:pos="8364"/>
        </w:tabs>
        <w:snapToGrid w:val="0"/>
        <w:spacing w:after="156" w:afterLines="50"/>
        <w:ind w:left="420" w:leftChars="200" w:right="-57" w:rightChars="-27" w:firstLine="420" w:firstLineChars="175"/>
        <w:jc w:val="left"/>
        <w:rPr>
          <w:rFonts w:eastAsia="仿宋_GB2312"/>
          <w:color w:val="auto"/>
          <w:sz w:val="24"/>
          <w:highlight w:val="none"/>
        </w:rPr>
      </w:pPr>
      <w:r>
        <w:rPr>
          <w:rFonts w:eastAsia="仿宋_GB2312"/>
          <w:color w:val="auto"/>
          <w:sz w:val="24"/>
          <w:highlight w:val="none"/>
        </w:rPr>
        <w:t>1、</w:t>
      </w:r>
      <w:r>
        <w:rPr>
          <w:rFonts w:hint="eastAsia" w:eastAsia="仿宋_GB2312"/>
          <w:color w:val="auto"/>
          <w:sz w:val="24"/>
          <w:highlight w:val="none"/>
        </w:rPr>
        <w:t>投标人</w:t>
      </w:r>
      <w:r>
        <w:rPr>
          <w:rFonts w:eastAsia="仿宋_GB2312"/>
          <w:color w:val="auto"/>
          <w:sz w:val="24"/>
          <w:highlight w:val="none"/>
        </w:rPr>
        <w:t>应提供</w:t>
      </w:r>
      <w:r>
        <w:rPr>
          <w:rFonts w:hint="eastAsia" w:eastAsia="仿宋_GB2312"/>
          <w:color w:val="auto"/>
          <w:sz w:val="24"/>
          <w:highlight w:val="none"/>
        </w:rPr>
        <w:t>投标截止时间前</w:t>
      </w:r>
      <w:r>
        <w:rPr>
          <w:rFonts w:eastAsia="仿宋_GB2312"/>
          <w:color w:val="auto"/>
          <w:sz w:val="24"/>
          <w:highlight w:val="none"/>
        </w:rPr>
        <w:t>近六个月中至少一个月的缴纳社会保险的凭据（专用收据或社会保险缴纳清单），并加盖本单位公章。</w:t>
      </w:r>
    </w:p>
    <w:p w14:paraId="341F4F07">
      <w:pPr>
        <w:shd w:val="clear" w:color="auto" w:fill="auto"/>
        <w:tabs>
          <w:tab w:val="left" w:pos="993"/>
          <w:tab w:val="left" w:pos="1030"/>
          <w:tab w:val="left" w:pos="8364"/>
        </w:tabs>
        <w:snapToGrid w:val="0"/>
        <w:spacing w:after="156" w:afterLines="50"/>
        <w:ind w:left="420" w:leftChars="200" w:right="-57" w:rightChars="-27" w:firstLine="420" w:firstLineChars="175"/>
        <w:jc w:val="left"/>
        <w:rPr>
          <w:rFonts w:eastAsia="仿宋_GB2312"/>
          <w:b/>
          <w:color w:val="auto"/>
          <w:sz w:val="24"/>
          <w:highlight w:val="none"/>
        </w:rPr>
      </w:pPr>
      <w:r>
        <w:rPr>
          <w:rFonts w:eastAsia="仿宋_GB2312"/>
          <w:color w:val="auto"/>
          <w:sz w:val="24"/>
          <w:highlight w:val="none"/>
        </w:rPr>
        <w:t>2、不需要缴纳社会保障资金的</w:t>
      </w:r>
      <w:r>
        <w:rPr>
          <w:rFonts w:hint="eastAsia" w:eastAsia="仿宋_GB2312"/>
          <w:color w:val="auto"/>
          <w:sz w:val="24"/>
          <w:highlight w:val="none"/>
        </w:rPr>
        <w:t>投标人</w:t>
      </w:r>
      <w:r>
        <w:rPr>
          <w:rFonts w:eastAsia="仿宋_GB2312"/>
          <w:color w:val="auto"/>
          <w:sz w:val="24"/>
          <w:highlight w:val="none"/>
        </w:rPr>
        <w:t>，应提供相应文件证明其不需要缴纳社会保障资金。</w:t>
      </w:r>
      <w:bookmarkStart w:id="404" w:name="_Toc7005125"/>
    </w:p>
    <w:p w14:paraId="6AD8EFF8">
      <w:pPr>
        <w:shd w:val="clear" w:color="auto" w:fill="auto"/>
        <w:rPr>
          <w:rFonts w:eastAsia="仿宋_GB2312"/>
          <w:b/>
          <w:color w:val="auto"/>
          <w:sz w:val="24"/>
          <w:highlight w:val="none"/>
        </w:rPr>
      </w:pPr>
    </w:p>
    <w:p w14:paraId="650EAB54">
      <w:pPr>
        <w:shd w:val="clear" w:color="auto" w:fill="auto"/>
        <w:rPr>
          <w:rFonts w:eastAsia="仿宋_GB2312"/>
          <w:b/>
          <w:color w:val="auto"/>
          <w:sz w:val="24"/>
          <w:highlight w:val="none"/>
        </w:rPr>
      </w:pPr>
    </w:p>
    <w:p w14:paraId="0B7F46A9">
      <w:pPr>
        <w:shd w:val="clear" w:color="auto" w:fill="auto"/>
        <w:rPr>
          <w:rFonts w:eastAsia="仿宋_GB2312"/>
          <w:b/>
          <w:color w:val="auto"/>
          <w:sz w:val="24"/>
          <w:highlight w:val="none"/>
        </w:rPr>
      </w:pPr>
    </w:p>
    <w:p w14:paraId="7797C8EB">
      <w:pPr>
        <w:shd w:val="clear" w:color="auto" w:fill="auto"/>
        <w:rPr>
          <w:rFonts w:eastAsia="仿宋_GB2312"/>
          <w:b/>
          <w:color w:val="auto"/>
          <w:sz w:val="24"/>
          <w:highlight w:val="none"/>
        </w:rPr>
      </w:pPr>
    </w:p>
    <w:p w14:paraId="2E805C89">
      <w:pPr>
        <w:shd w:val="clear" w:color="auto" w:fill="auto"/>
        <w:rPr>
          <w:rFonts w:eastAsia="仿宋_GB2312"/>
          <w:b/>
          <w:color w:val="auto"/>
          <w:sz w:val="24"/>
          <w:highlight w:val="none"/>
        </w:rPr>
      </w:pPr>
    </w:p>
    <w:p w14:paraId="4E8A9802">
      <w:pPr>
        <w:shd w:val="clear" w:color="auto" w:fill="auto"/>
        <w:rPr>
          <w:rFonts w:eastAsia="仿宋_GB2312"/>
          <w:b/>
          <w:color w:val="auto"/>
          <w:sz w:val="24"/>
          <w:highlight w:val="none"/>
        </w:rPr>
      </w:pPr>
    </w:p>
    <w:p w14:paraId="4BAC9DF8">
      <w:pPr>
        <w:shd w:val="clear" w:color="auto" w:fill="auto"/>
        <w:rPr>
          <w:rFonts w:eastAsia="仿宋_GB2312"/>
          <w:b/>
          <w:color w:val="auto"/>
          <w:sz w:val="24"/>
          <w:highlight w:val="none"/>
        </w:rPr>
      </w:pPr>
      <w:r>
        <w:rPr>
          <w:rFonts w:eastAsia="仿宋_GB2312"/>
          <w:b/>
          <w:color w:val="auto"/>
          <w:sz w:val="24"/>
          <w:highlight w:val="none"/>
        </w:rPr>
        <w:t>6-5  具备履行合同所必需的设备和专业技术能力承诺书</w:t>
      </w:r>
      <w:bookmarkEnd w:id="404"/>
      <w:r>
        <w:rPr>
          <w:rFonts w:eastAsia="仿宋_GB2312"/>
          <w:b/>
          <w:color w:val="auto"/>
          <w:sz w:val="24"/>
          <w:highlight w:val="none"/>
        </w:rPr>
        <w:t xml:space="preserve">                                                                                                                                                                                                                                                                                                                                                                                                                                                                                                                                                                                                                                                                                                      </w:t>
      </w:r>
    </w:p>
    <w:p w14:paraId="0E38E9DB">
      <w:pPr>
        <w:shd w:val="clear" w:color="auto" w:fill="auto"/>
        <w:ind w:firstLine="480"/>
        <w:rPr>
          <w:rFonts w:eastAsia="仿宋_GB2312"/>
          <w:color w:val="auto"/>
          <w:kern w:val="0"/>
          <w:sz w:val="24"/>
          <w:highlight w:val="none"/>
        </w:rPr>
      </w:pPr>
    </w:p>
    <w:p w14:paraId="4CE8CA00">
      <w:pPr>
        <w:shd w:val="clear" w:color="auto" w:fill="auto"/>
        <w:ind w:firstLine="480"/>
        <w:rPr>
          <w:rFonts w:eastAsia="仿宋_GB2312"/>
          <w:color w:val="auto"/>
          <w:kern w:val="0"/>
          <w:sz w:val="24"/>
          <w:highlight w:val="none"/>
        </w:rPr>
      </w:pPr>
    </w:p>
    <w:p w14:paraId="2A1BFF67">
      <w:pPr>
        <w:shd w:val="clear" w:color="auto" w:fill="auto"/>
        <w:rPr>
          <w:rFonts w:eastAsia="仿宋_GB2312"/>
          <w:color w:val="auto"/>
          <w:kern w:val="0"/>
          <w:sz w:val="24"/>
          <w:highlight w:val="none"/>
        </w:rPr>
      </w:pPr>
      <w:r>
        <w:rPr>
          <w:rFonts w:eastAsia="仿宋_GB2312"/>
          <w:color w:val="auto"/>
          <w:kern w:val="0"/>
          <w:sz w:val="24"/>
          <w:highlight w:val="none"/>
        </w:rPr>
        <w:t xml:space="preserve">陕西省采购招标有限责任公司：   </w:t>
      </w:r>
    </w:p>
    <w:p w14:paraId="19575B72">
      <w:pPr>
        <w:shd w:val="clear" w:color="auto" w:fill="auto"/>
        <w:ind w:firstLine="480"/>
        <w:rPr>
          <w:rFonts w:eastAsia="仿宋_GB2312"/>
          <w:color w:val="auto"/>
          <w:kern w:val="0"/>
          <w:sz w:val="24"/>
          <w:highlight w:val="none"/>
        </w:rPr>
      </w:pPr>
    </w:p>
    <w:p w14:paraId="5981B06B">
      <w:pPr>
        <w:shd w:val="clear" w:color="auto" w:fill="auto"/>
        <w:ind w:firstLine="480"/>
        <w:rPr>
          <w:rFonts w:eastAsia="仿宋_GB2312"/>
          <w:color w:val="auto"/>
          <w:kern w:val="0"/>
          <w:sz w:val="24"/>
          <w:highlight w:val="none"/>
        </w:rPr>
      </w:pPr>
      <w:r>
        <w:rPr>
          <w:rFonts w:eastAsia="仿宋_GB2312"/>
          <w:color w:val="auto"/>
          <w:kern w:val="0"/>
          <w:sz w:val="24"/>
          <w:highlight w:val="none"/>
        </w:rPr>
        <w:t>我公司承诺</w:t>
      </w:r>
      <w:r>
        <w:rPr>
          <w:rFonts w:eastAsia="仿宋_GB2312"/>
          <w:color w:val="auto"/>
          <w:sz w:val="24"/>
          <w:highlight w:val="none"/>
        </w:rPr>
        <w:t>具备履行合同所必需的设备和专业技术能力</w:t>
      </w:r>
      <w:r>
        <w:rPr>
          <w:rFonts w:eastAsia="仿宋_GB2312"/>
          <w:color w:val="auto"/>
          <w:kern w:val="0"/>
          <w:sz w:val="24"/>
          <w:highlight w:val="none"/>
        </w:rPr>
        <w:t>。</w:t>
      </w:r>
    </w:p>
    <w:p w14:paraId="62755800">
      <w:pPr>
        <w:shd w:val="clear" w:color="auto" w:fill="auto"/>
        <w:ind w:firstLine="480"/>
        <w:rPr>
          <w:rFonts w:eastAsia="仿宋_GB2312"/>
          <w:b/>
          <w:color w:val="auto"/>
          <w:sz w:val="24"/>
          <w:highlight w:val="none"/>
        </w:rPr>
      </w:pPr>
    </w:p>
    <w:p w14:paraId="70109FAA">
      <w:pPr>
        <w:shd w:val="clear" w:color="auto" w:fill="auto"/>
        <w:ind w:firstLine="480"/>
        <w:rPr>
          <w:rFonts w:eastAsia="仿宋_GB2312"/>
          <w:b/>
          <w:color w:val="auto"/>
          <w:sz w:val="24"/>
          <w:highlight w:val="none"/>
        </w:rPr>
      </w:pPr>
    </w:p>
    <w:p w14:paraId="4EBDB0F7">
      <w:pPr>
        <w:shd w:val="clear" w:color="auto" w:fill="auto"/>
        <w:spacing w:before="120" w:after="120" w:line="360" w:lineRule="auto"/>
        <w:ind w:firstLine="480" w:firstLineChars="200"/>
        <w:rPr>
          <w:rFonts w:eastAsia="仿宋_GB2312"/>
          <w:color w:val="auto"/>
          <w:sz w:val="24"/>
          <w:highlight w:val="none"/>
          <w:u w:val="single"/>
        </w:rPr>
      </w:pPr>
      <w:r>
        <w:rPr>
          <w:rFonts w:hint="eastAsia" w:eastAsia="仿宋_GB2312"/>
          <w:color w:val="auto"/>
          <w:sz w:val="24"/>
          <w:highlight w:val="none"/>
        </w:rPr>
        <w:t>投标人</w:t>
      </w:r>
      <w:r>
        <w:rPr>
          <w:rFonts w:eastAsia="仿宋_GB2312"/>
          <w:color w:val="auto"/>
          <w:sz w:val="24"/>
          <w:highlight w:val="none"/>
        </w:rPr>
        <w:t>（</w:t>
      </w:r>
      <w:r>
        <w:rPr>
          <w:rFonts w:hint="eastAsia" w:eastAsia="仿宋_GB2312"/>
          <w:color w:val="auto"/>
          <w:sz w:val="24"/>
          <w:highlight w:val="none"/>
        </w:rPr>
        <w:t>盖</w:t>
      </w:r>
      <w:r>
        <w:rPr>
          <w:rFonts w:eastAsia="仿宋_GB2312"/>
          <w:color w:val="auto"/>
          <w:sz w:val="24"/>
          <w:highlight w:val="none"/>
        </w:rPr>
        <w:t xml:space="preserve">公章）： </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r>
        <w:rPr>
          <w:rFonts w:eastAsia="仿宋_GB2312"/>
          <w:color w:val="auto"/>
          <w:sz w:val="24"/>
          <w:highlight w:val="none"/>
          <w:u w:val="single"/>
        </w:rPr>
        <w:t xml:space="preserve">     </w:t>
      </w:r>
    </w:p>
    <w:p w14:paraId="62AD9D10">
      <w:pPr>
        <w:shd w:val="clear" w:color="auto" w:fill="auto"/>
        <w:spacing w:before="120" w:after="120" w:line="360" w:lineRule="auto"/>
        <w:ind w:firstLine="480" w:firstLineChars="200"/>
        <w:rPr>
          <w:rFonts w:eastAsia="仿宋_GB2312"/>
          <w:color w:val="auto"/>
          <w:sz w:val="24"/>
          <w:highlight w:val="none"/>
          <w:u w:val="single"/>
        </w:rPr>
      </w:pPr>
      <w:r>
        <w:rPr>
          <w:rFonts w:eastAsia="仿宋_GB2312"/>
          <w:color w:val="auto"/>
          <w:sz w:val="24"/>
          <w:highlight w:val="none"/>
        </w:rPr>
        <w:t>法定代表人</w:t>
      </w:r>
      <w:r>
        <w:rPr>
          <w:rFonts w:hint="eastAsia" w:eastAsia="仿宋"/>
          <w:color w:val="auto"/>
          <w:sz w:val="24"/>
          <w:highlight w:val="none"/>
          <w:lang w:val="zh-CN"/>
        </w:rPr>
        <w:t>（或单位负责人）</w:t>
      </w:r>
      <w:r>
        <w:rPr>
          <w:rFonts w:eastAsia="仿宋_GB2312"/>
          <w:color w:val="auto"/>
          <w:sz w:val="24"/>
          <w:highlight w:val="none"/>
        </w:rPr>
        <w:t>或其授权代表（签字</w:t>
      </w:r>
      <w:r>
        <w:rPr>
          <w:rFonts w:hint="eastAsia" w:eastAsia="仿宋_GB2312"/>
          <w:color w:val="auto"/>
          <w:sz w:val="24"/>
          <w:highlight w:val="none"/>
        </w:rPr>
        <w:t>或盖章</w:t>
      </w:r>
      <w:r>
        <w:rPr>
          <w:rFonts w:eastAsia="仿宋_GB2312"/>
          <w:color w:val="auto"/>
          <w:sz w:val="24"/>
          <w:highlight w:val="none"/>
        </w:rPr>
        <w:t>）：</w:t>
      </w:r>
      <w:r>
        <w:rPr>
          <w:rFonts w:eastAsia="仿宋_GB2312"/>
          <w:color w:val="auto"/>
          <w:sz w:val="24"/>
          <w:highlight w:val="none"/>
          <w:u w:val="single"/>
        </w:rPr>
        <w:t xml:space="preserve">              </w:t>
      </w:r>
    </w:p>
    <w:p w14:paraId="68860790">
      <w:pPr>
        <w:shd w:val="clear" w:color="auto" w:fill="auto"/>
        <w:spacing w:before="120" w:after="120" w:line="360" w:lineRule="auto"/>
        <w:ind w:firstLine="480" w:firstLineChars="200"/>
        <w:rPr>
          <w:rFonts w:eastAsia="仿宋_GB2312"/>
          <w:color w:val="auto"/>
          <w:sz w:val="24"/>
          <w:highlight w:val="none"/>
        </w:rPr>
      </w:pPr>
      <w:r>
        <w:rPr>
          <w:rFonts w:eastAsia="仿宋_GB2312"/>
          <w:color w:val="auto"/>
          <w:sz w:val="24"/>
          <w:highlight w:val="none"/>
        </w:rPr>
        <w:t>日    期：</w:t>
      </w:r>
      <w:r>
        <w:rPr>
          <w:rFonts w:eastAsia="仿宋_GB2312"/>
          <w:color w:val="auto"/>
          <w:sz w:val="24"/>
          <w:highlight w:val="none"/>
          <w:u w:val="single"/>
        </w:rPr>
        <w:t xml:space="preserve">     </w:t>
      </w:r>
      <w:r>
        <w:rPr>
          <w:rFonts w:eastAsia="仿宋_GB2312"/>
          <w:color w:val="auto"/>
          <w:sz w:val="24"/>
          <w:highlight w:val="none"/>
        </w:rPr>
        <w:t>年</w:t>
      </w:r>
      <w:r>
        <w:rPr>
          <w:rFonts w:eastAsia="仿宋_GB2312"/>
          <w:color w:val="auto"/>
          <w:sz w:val="24"/>
          <w:highlight w:val="none"/>
          <w:u w:val="single"/>
        </w:rPr>
        <w:t xml:space="preserve">      </w:t>
      </w:r>
      <w:r>
        <w:rPr>
          <w:rFonts w:eastAsia="仿宋_GB2312"/>
          <w:color w:val="auto"/>
          <w:sz w:val="24"/>
          <w:highlight w:val="none"/>
        </w:rPr>
        <w:t>月</w:t>
      </w:r>
      <w:r>
        <w:rPr>
          <w:rFonts w:eastAsia="仿宋_GB2312"/>
          <w:color w:val="auto"/>
          <w:sz w:val="24"/>
          <w:highlight w:val="none"/>
          <w:u w:val="single"/>
        </w:rPr>
        <w:t xml:space="preserve">     </w:t>
      </w:r>
      <w:r>
        <w:rPr>
          <w:rFonts w:eastAsia="仿宋_GB2312"/>
          <w:color w:val="auto"/>
          <w:sz w:val="24"/>
          <w:highlight w:val="none"/>
        </w:rPr>
        <w:t>日</w:t>
      </w:r>
    </w:p>
    <w:p w14:paraId="188A386F">
      <w:pPr>
        <w:shd w:val="clear" w:color="auto" w:fill="auto"/>
        <w:ind w:right="280"/>
        <w:rPr>
          <w:rFonts w:eastAsia="仿宋_GB2312"/>
          <w:color w:val="auto"/>
          <w:sz w:val="24"/>
          <w:highlight w:val="none"/>
        </w:rPr>
      </w:pPr>
    </w:p>
    <w:p w14:paraId="3FEAF7DD">
      <w:pPr>
        <w:shd w:val="clear" w:color="auto" w:fill="auto"/>
        <w:tabs>
          <w:tab w:val="left" w:pos="5580"/>
        </w:tabs>
        <w:spacing w:before="120" w:line="360" w:lineRule="auto"/>
        <w:ind w:firstLine="480" w:firstLineChars="200"/>
        <w:rPr>
          <w:rFonts w:eastAsia="仿宋_GB2312"/>
          <w:color w:val="auto"/>
          <w:sz w:val="24"/>
          <w:highlight w:val="none"/>
        </w:rPr>
      </w:pPr>
    </w:p>
    <w:p w14:paraId="2E44A0A6">
      <w:pPr>
        <w:widowControl/>
        <w:shd w:val="clear" w:color="auto" w:fill="auto"/>
        <w:jc w:val="left"/>
        <w:rPr>
          <w:rFonts w:eastAsia="仿宋_GB2312"/>
          <w:b/>
          <w:color w:val="auto"/>
          <w:sz w:val="24"/>
          <w:highlight w:val="none"/>
        </w:rPr>
      </w:pPr>
    </w:p>
    <w:p w14:paraId="1F082990">
      <w:pPr>
        <w:shd w:val="clear" w:color="auto" w:fill="auto"/>
        <w:rPr>
          <w:rFonts w:eastAsia="仿宋_GB2312"/>
          <w:b/>
          <w:color w:val="auto"/>
          <w:sz w:val="24"/>
          <w:szCs w:val="32"/>
          <w:highlight w:val="none"/>
        </w:rPr>
      </w:pPr>
      <w:bookmarkStart w:id="405" w:name="_Toc7005126"/>
      <w:r>
        <w:rPr>
          <w:rFonts w:eastAsia="仿宋_GB2312"/>
          <w:b/>
          <w:color w:val="auto"/>
          <w:sz w:val="24"/>
          <w:szCs w:val="32"/>
          <w:highlight w:val="none"/>
        </w:rPr>
        <w:t xml:space="preserve"> </w:t>
      </w:r>
      <w:bookmarkStart w:id="406" w:name="_Toc60928818"/>
      <w:bookmarkStart w:id="407" w:name="_Toc60929131"/>
      <w:bookmarkStart w:id="408" w:name="_Toc60928899"/>
      <w:r>
        <w:rPr>
          <w:rFonts w:eastAsia="仿宋_GB2312"/>
          <w:b/>
          <w:color w:val="auto"/>
          <w:sz w:val="24"/>
          <w:szCs w:val="32"/>
          <w:highlight w:val="none"/>
        </w:rPr>
        <w:t xml:space="preserve">6-6  </w:t>
      </w:r>
      <w:r>
        <w:rPr>
          <w:rFonts w:hint="eastAsia" w:eastAsia="仿宋_GB2312"/>
          <w:b/>
          <w:color w:val="auto"/>
          <w:sz w:val="24"/>
          <w:szCs w:val="32"/>
          <w:highlight w:val="none"/>
        </w:rPr>
        <w:t>投标人</w:t>
      </w:r>
      <w:r>
        <w:rPr>
          <w:rFonts w:eastAsia="仿宋_GB2312"/>
          <w:b/>
          <w:color w:val="auto"/>
          <w:sz w:val="24"/>
          <w:szCs w:val="32"/>
          <w:highlight w:val="none"/>
        </w:rPr>
        <w:t>参加政府采购活动前3年内在经营活动中没有重大违法记录的书面声明</w:t>
      </w:r>
      <w:bookmarkEnd w:id="405"/>
      <w:bookmarkEnd w:id="406"/>
      <w:bookmarkEnd w:id="407"/>
      <w:bookmarkEnd w:id="408"/>
    </w:p>
    <w:p w14:paraId="0AC55A96">
      <w:pPr>
        <w:shd w:val="clear" w:color="auto" w:fill="auto"/>
        <w:jc w:val="center"/>
        <w:rPr>
          <w:rFonts w:eastAsia="仿宋_GB2312"/>
          <w:color w:val="auto"/>
          <w:sz w:val="24"/>
          <w:highlight w:val="none"/>
        </w:rPr>
      </w:pPr>
    </w:p>
    <w:p w14:paraId="49556AB9">
      <w:pPr>
        <w:shd w:val="clear" w:color="auto" w:fill="auto"/>
        <w:tabs>
          <w:tab w:val="left" w:pos="5580"/>
        </w:tabs>
        <w:spacing w:before="120" w:line="360" w:lineRule="auto"/>
        <w:rPr>
          <w:rFonts w:eastAsia="仿宋_GB2312"/>
          <w:color w:val="auto"/>
          <w:sz w:val="24"/>
          <w:highlight w:val="none"/>
        </w:rPr>
      </w:pPr>
      <w:r>
        <w:rPr>
          <w:rFonts w:eastAsia="仿宋_GB2312"/>
          <w:color w:val="auto"/>
          <w:sz w:val="24"/>
          <w:highlight w:val="none"/>
        </w:rPr>
        <w:t xml:space="preserve">陕西省采购招标有限责任公司：  </w:t>
      </w:r>
    </w:p>
    <w:p w14:paraId="3B68B0F2">
      <w:pPr>
        <w:shd w:val="clear" w:color="auto" w:fill="auto"/>
        <w:tabs>
          <w:tab w:val="left" w:pos="5580"/>
        </w:tabs>
        <w:spacing w:before="120" w:line="360" w:lineRule="auto"/>
        <w:ind w:firstLine="480" w:firstLineChars="200"/>
        <w:rPr>
          <w:rFonts w:eastAsia="仿宋_GB2312"/>
          <w:color w:val="auto"/>
          <w:sz w:val="24"/>
          <w:highlight w:val="none"/>
        </w:rPr>
      </w:pPr>
      <w:r>
        <w:rPr>
          <w:rFonts w:hint="eastAsia" w:eastAsia="仿宋_GB2312"/>
          <w:color w:val="auto"/>
          <w:sz w:val="24"/>
          <w:highlight w:val="none"/>
        </w:rPr>
        <w:t>我公司郑重承诺在参加本项目政府采购活动前三年内，在经营活动中无重大违法记录。</w:t>
      </w:r>
    </w:p>
    <w:p w14:paraId="795335C1">
      <w:pPr>
        <w:shd w:val="clear" w:color="auto" w:fill="auto"/>
        <w:tabs>
          <w:tab w:val="left" w:pos="5580"/>
        </w:tabs>
        <w:spacing w:before="120" w:line="360" w:lineRule="auto"/>
        <w:ind w:firstLine="480" w:firstLineChars="200"/>
        <w:rPr>
          <w:rFonts w:eastAsia="仿宋_GB2312"/>
          <w:color w:val="auto"/>
          <w:sz w:val="24"/>
          <w:highlight w:val="none"/>
        </w:rPr>
      </w:pPr>
      <w:r>
        <w:rPr>
          <w:rFonts w:eastAsia="仿宋_GB2312"/>
          <w:color w:val="auto"/>
          <w:sz w:val="24"/>
          <w:highlight w:val="none"/>
        </w:rPr>
        <w:t>特此声明。</w:t>
      </w:r>
    </w:p>
    <w:p w14:paraId="1FA48DC3">
      <w:pPr>
        <w:shd w:val="clear" w:color="auto" w:fill="auto"/>
        <w:tabs>
          <w:tab w:val="left" w:pos="5580"/>
        </w:tabs>
        <w:spacing w:before="120" w:line="360" w:lineRule="auto"/>
        <w:ind w:firstLine="480" w:firstLineChars="200"/>
        <w:rPr>
          <w:rFonts w:eastAsia="仿宋_GB2312"/>
          <w:color w:val="auto"/>
          <w:sz w:val="24"/>
          <w:highlight w:val="none"/>
        </w:rPr>
      </w:pPr>
    </w:p>
    <w:p w14:paraId="7CAA2543">
      <w:pPr>
        <w:shd w:val="clear" w:color="auto" w:fill="auto"/>
        <w:spacing w:before="120" w:after="120" w:line="360" w:lineRule="auto"/>
        <w:ind w:firstLine="480" w:firstLineChars="200"/>
        <w:rPr>
          <w:rFonts w:eastAsia="仿宋_GB2312"/>
          <w:color w:val="auto"/>
          <w:sz w:val="24"/>
          <w:highlight w:val="none"/>
          <w:u w:val="single"/>
        </w:rPr>
      </w:pPr>
      <w:r>
        <w:rPr>
          <w:rFonts w:hint="eastAsia" w:eastAsia="仿宋_GB2312"/>
          <w:color w:val="auto"/>
          <w:sz w:val="24"/>
          <w:highlight w:val="none"/>
        </w:rPr>
        <w:t>投标人</w:t>
      </w:r>
      <w:r>
        <w:rPr>
          <w:rFonts w:eastAsia="仿宋_GB2312"/>
          <w:color w:val="auto"/>
          <w:sz w:val="24"/>
          <w:highlight w:val="none"/>
        </w:rPr>
        <w:t>（</w:t>
      </w:r>
      <w:r>
        <w:rPr>
          <w:rFonts w:hint="eastAsia" w:eastAsia="仿宋_GB2312"/>
          <w:color w:val="auto"/>
          <w:sz w:val="24"/>
          <w:highlight w:val="none"/>
        </w:rPr>
        <w:t>盖</w:t>
      </w:r>
      <w:r>
        <w:rPr>
          <w:rFonts w:eastAsia="仿宋_GB2312"/>
          <w:color w:val="auto"/>
          <w:sz w:val="24"/>
          <w:highlight w:val="none"/>
        </w:rPr>
        <w:t xml:space="preserve">公章）： </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r>
        <w:rPr>
          <w:rFonts w:eastAsia="仿宋_GB2312"/>
          <w:color w:val="auto"/>
          <w:sz w:val="24"/>
          <w:highlight w:val="none"/>
          <w:u w:val="single"/>
        </w:rPr>
        <w:t xml:space="preserve">   </w:t>
      </w:r>
    </w:p>
    <w:p w14:paraId="02641E7A">
      <w:pPr>
        <w:shd w:val="clear" w:color="auto" w:fill="auto"/>
        <w:spacing w:before="120" w:after="120" w:line="360" w:lineRule="auto"/>
        <w:ind w:firstLine="480" w:firstLineChars="200"/>
        <w:rPr>
          <w:rFonts w:eastAsia="仿宋_GB2312"/>
          <w:color w:val="auto"/>
          <w:sz w:val="24"/>
          <w:highlight w:val="none"/>
          <w:u w:val="single"/>
        </w:rPr>
      </w:pPr>
      <w:r>
        <w:rPr>
          <w:rFonts w:eastAsia="仿宋_GB2312"/>
          <w:color w:val="auto"/>
          <w:sz w:val="24"/>
          <w:highlight w:val="none"/>
        </w:rPr>
        <w:t>法定代表人</w:t>
      </w:r>
      <w:r>
        <w:rPr>
          <w:rFonts w:hint="eastAsia" w:eastAsia="仿宋"/>
          <w:color w:val="auto"/>
          <w:sz w:val="24"/>
          <w:highlight w:val="none"/>
          <w:lang w:val="zh-CN"/>
        </w:rPr>
        <w:t>（或单位负责人）</w:t>
      </w:r>
      <w:r>
        <w:rPr>
          <w:rFonts w:eastAsia="仿宋_GB2312"/>
          <w:color w:val="auto"/>
          <w:sz w:val="24"/>
          <w:highlight w:val="none"/>
        </w:rPr>
        <w:t>或其授权代表（签字</w:t>
      </w:r>
      <w:r>
        <w:rPr>
          <w:rFonts w:hint="eastAsia" w:eastAsia="仿宋_GB2312"/>
          <w:color w:val="auto"/>
          <w:sz w:val="24"/>
          <w:highlight w:val="none"/>
        </w:rPr>
        <w:t>或盖章</w:t>
      </w:r>
      <w:r>
        <w:rPr>
          <w:rFonts w:eastAsia="仿宋_GB2312"/>
          <w:color w:val="auto"/>
          <w:sz w:val="24"/>
          <w:highlight w:val="none"/>
        </w:rPr>
        <w:t>）：</w:t>
      </w:r>
      <w:r>
        <w:rPr>
          <w:rFonts w:eastAsia="仿宋_GB2312"/>
          <w:color w:val="auto"/>
          <w:sz w:val="24"/>
          <w:highlight w:val="none"/>
          <w:u w:val="single"/>
        </w:rPr>
        <w:t xml:space="preserve">                  </w:t>
      </w:r>
    </w:p>
    <w:p w14:paraId="54A6C845">
      <w:pPr>
        <w:shd w:val="clear" w:color="auto" w:fill="auto"/>
        <w:spacing w:before="120" w:after="120" w:line="360" w:lineRule="auto"/>
        <w:ind w:firstLine="480" w:firstLineChars="200"/>
        <w:rPr>
          <w:rFonts w:eastAsia="仿宋_GB2312"/>
          <w:color w:val="auto"/>
          <w:sz w:val="24"/>
          <w:highlight w:val="none"/>
        </w:rPr>
      </w:pPr>
      <w:r>
        <w:rPr>
          <w:rFonts w:eastAsia="仿宋_GB2312"/>
          <w:color w:val="auto"/>
          <w:sz w:val="24"/>
          <w:highlight w:val="none"/>
        </w:rPr>
        <w:t>日    期：</w:t>
      </w:r>
      <w:r>
        <w:rPr>
          <w:rFonts w:eastAsia="仿宋_GB2312"/>
          <w:color w:val="auto"/>
          <w:sz w:val="24"/>
          <w:highlight w:val="none"/>
          <w:u w:val="single"/>
        </w:rPr>
        <w:t xml:space="preserve">     </w:t>
      </w:r>
      <w:r>
        <w:rPr>
          <w:rFonts w:eastAsia="仿宋_GB2312"/>
          <w:color w:val="auto"/>
          <w:sz w:val="24"/>
          <w:highlight w:val="none"/>
        </w:rPr>
        <w:t>年</w:t>
      </w:r>
      <w:r>
        <w:rPr>
          <w:rFonts w:eastAsia="仿宋_GB2312"/>
          <w:color w:val="auto"/>
          <w:sz w:val="24"/>
          <w:highlight w:val="none"/>
          <w:u w:val="single"/>
        </w:rPr>
        <w:t xml:space="preserve">      </w:t>
      </w:r>
      <w:r>
        <w:rPr>
          <w:rFonts w:eastAsia="仿宋_GB2312"/>
          <w:color w:val="auto"/>
          <w:sz w:val="24"/>
          <w:highlight w:val="none"/>
        </w:rPr>
        <w:t>月</w:t>
      </w:r>
      <w:r>
        <w:rPr>
          <w:rFonts w:eastAsia="仿宋_GB2312"/>
          <w:color w:val="auto"/>
          <w:sz w:val="24"/>
          <w:highlight w:val="none"/>
          <w:u w:val="single"/>
        </w:rPr>
        <w:t xml:space="preserve">     </w:t>
      </w:r>
      <w:r>
        <w:rPr>
          <w:rFonts w:eastAsia="仿宋_GB2312"/>
          <w:color w:val="auto"/>
          <w:sz w:val="24"/>
          <w:highlight w:val="none"/>
        </w:rPr>
        <w:t>日</w:t>
      </w:r>
    </w:p>
    <w:p w14:paraId="56D73FA8">
      <w:pPr>
        <w:shd w:val="clear" w:color="auto" w:fill="auto"/>
        <w:spacing w:after="120"/>
        <w:rPr>
          <w:rFonts w:eastAsia="仿宋_GB2312"/>
          <w:color w:val="auto"/>
          <w:highlight w:val="none"/>
        </w:rPr>
      </w:pPr>
    </w:p>
    <w:p w14:paraId="41AE653C">
      <w:pPr>
        <w:shd w:val="clear" w:color="auto" w:fill="auto"/>
        <w:jc w:val="left"/>
        <w:rPr>
          <w:rFonts w:eastAsia="仿宋_GB2312"/>
          <w:b/>
          <w:color w:val="auto"/>
          <w:highlight w:val="none"/>
        </w:rPr>
      </w:pPr>
      <w:bookmarkStart w:id="409" w:name="_Toc60928819"/>
      <w:bookmarkStart w:id="410" w:name="_Toc7005127"/>
      <w:bookmarkStart w:id="411" w:name="_Toc60929132"/>
      <w:bookmarkStart w:id="412" w:name="_Toc60928900"/>
    </w:p>
    <w:p w14:paraId="4A81204B">
      <w:pPr>
        <w:shd w:val="clear" w:color="auto" w:fill="auto"/>
        <w:rPr>
          <w:rFonts w:eastAsia="仿宋_GB2312"/>
          <w:b/>
          <w:color w:val="auto"/>
          <w:highlight w:val="none"/>
        </w:rPr>
      </w:pPr>
    </w:p>
    <w:p w14:paraId="6F834DA6">
      <w:pPr>
        <w:shd w:val="clear" w:color="auto" w:fill="auto"/>
        <w:rPr>
          <w:rFonts w:eastAsia="仿宋_GB2312"/>
          <w:b/>
          <w:color w:val="auto"/>
          <w:highlight w:val="none"/>
        </w:rPr>
      </w:pPr>
    </w:p>
    <w:p w14:paraId="064343A5">
      <w:pPr>
        <w:shd w:val="clear" w:color="auto" w:fill="auto"/>
        <w:rPr>
          <w:rFonts w:eastAsia="仿宋_GB2312"/>
          <w:b/>
          <w:color w:val="auto"/>
          <w:highlight w:val="none"/>
        </w:rPr>
      </w:pPr>
    </w:p>
    <w:p w14:paraId="3294825F">
      <w:pPr>
        <w:shd w:val="clear" w:color="auto" w:fill="auto"/>
        <w:rPr>
          <w:rFonts w:eastAsia="仿宋_GB2312"/>
          <w:b/>
          <w:color w:val="auto"/>
          <w:highlight w:val="none"/>
        </w:rPr>
      </w:pPr>
    </w:p>
    <w:p w14:paraId="430CF95E">
      <w:pPr>
        <w:pStyle w:val="7"/>
        <w:shd w:val="clear" w:color="auto" w:fill="auto"/>
        <w:rPr>
          <w:rFonts w:eastAsia="仿宋_GB2312"/>
          <w:b/>
          <w:color w:val="auto"/>
          <w:highlight w:val="none"/>
        </w:rPr>
      </w:pPr>
    </w:p>
    <w:p w14:paraId="32EDCB52">
      <w:pPr>
        <w:pStyle w:val="7"/>
        <w:shd w:val="clear" w:color="auto" w:fill="auto"/>
        <w:rPr>
          <w:rFonts w:eastAsia="仿宋_GB2312"/>
          <w:b/>
          <w:color w:val="auto"/>
          <w:highlight w:val="none"/>
        </w:rPr>
      </w:pPr>
    </w:p>
    <w:p w14:paraId="55A02A57">
      <w:pPr>
        <w:pStyle w:val="7"/>
        <w:shd w:val="clear" w:color="auto" w:fill="auto"/>
        <w:rPr>
          <w:rFonts w:eastAsia="仿宋_GB2312"/>
          <w:b/>
          <w:color w:val="auto"/>
          <w:highlight w:val="none"/>
        </w:rPr>
      </w:pPr>
    </w:p>
    <w:p w14:paraId="0EE2B8F5">
      <w:pPr>
        <w:shd w:val="clear" w:color="auto" w:fill="auto"/>
        <w:rPr>
          <w:rFonts w:eastAsia="仿宋_GB2312"/>
          <w:b/>
          <w:color w:val="auto"/>
          <w:sz w:val="24"/>
          <w:szCs w:val="32"/>
          <w:highlight w:val="none"/>
        </w:rPr>
      </w:pPr>
    </w:p>
    <w:p w14:paraId="3471DEA5">
      <w:pPr>
        <w:shd w:val="clear" w:color="auto" w:fill="auto"/>
        <w:rPr>
          <w:rFonts w:eastAsia="仿宋_GB2312"/>
          <w:b/>
          <w:color w:val="auto"/>
          <w:sz w:val="24"/>
          <w:szCs w:val="32"/>
          <w:highlight w:val="none"/>
        </w:rPr>
      </w:pPr>
      <w:r>
        <w:rPr>
          <w:rFonts w:eastAsia="仿宋_GB2312"/>
          <w:b/>
          <w:color w:val="auto"/>
          <w:sz w:val="24"/>
          <w:szCs w:val="32"/>
          <w:highlight w:val="none"/>
        </w:rPr>
        <w:t xml:space="preserve">6-7  </w:t>
      </w:r>
      <w:r>
        <w:rPr>
          <w:rFonts w:hint="eastAsia" w:eastAsia="仿宋_GB2312"/>
          <w:b/>
          <w:color w:val="auto"/>
          <w:sz w:val="24"/>
          <w:szCs w:val="32"/>
          <w:highlight w:val="none"/>
        </w:rPr>
        <w:t>投标人</w:t>
      </w:r>
      <w:r>
        <w:rPr>
          <w:rFonts w:eastAsia="仿宋_GB2312"/>
          <w:b/>
          <w:color w:val="auto"/>
          <w:sz w:val="24"/>
          <w:szCs w:val="32"/>
          <w:highlight w:val="none"/>
        </w:rPr>
        <w:t>控股股东名称、控股公司的名称和存在管理、被管理关系的单位名称说明</w:t>
      </w:r>
      <w:bookmarkEnd w:id="409"/>
      <w:bookmarkEnd w:id="410"/>
      <w:bookmarkEnd w:id="411"/>
      <w:bookmarkEnd w:id="412"/>
    </w:p>
    <w:p w14:paraId="3193C2DB">
      <w:pPr>
        <w:shd w:val="clear" w:color="auto" w:fill="auto"/>
        <w:ind w:firstLine="420"/>
        <w:rPr>
          <w:rFonts w:eastAsia="仿宋_GB2312"/>
          <w:color w:val="auto"/>
          <w:szCs w:val="21"/>
          <w:highlight w:val="none"/>
        </w:rPr>
      </w:pPr>
    </w:p>
    <w:p w14:paraId="43618DFB">
      <w:pPr>
        <w:shd w:val="clear" w:color="auto" w:fill="auto"/>
        <w:rPr>
          <w:rFonts w:eastAsia="仿宋_GB2312"/>
          <w:color w:val="auto"/>
          <w:sz w:val="24"/>
          <w:highlight w:val="none"/>
        </w:rPr>
      </w:pPr>
    </w:p>
    <w:p w14:paraId="090A6A7E">
      <w:pPr>
        <w:shd w:val="clear" w:color="auto" w:fill="auto"/>
        <w:rPr>
          <w:rFonts w:eastAsia="仿宋_GB2312"/>
          <w:color w:val="auto"/>
          <w:sz w:val="24"/>
          <w:highlight w:val="none"/>
        </w:rPr>
      </w:pPr>
      <w:r>
        <w:rPr>
          <w:rFonts w:eastAsia="仿宋_GB2312"/>
          <w:color w:val="auto"/>
          <w:sz w:val="24"/>
          <w:highlight w:val="none"/>
        </w:rPr>
        <w:t>陕西省采购招标有限责任公司：</w:t>
      </w:r>
    </w:p>
    <w:p w14:paraId="55BA5DA5">
      <w:pPr>
        <w:pStyle w:val="14"/>
        <w:shd w:val="clear" w:color="auto" w:fill="auto"/>
        <w:rPr>
          <w:rFonts w:ascii="Times New Roman" w:hAnsi="Times New Roman"/>
          <w:color w:val="auto"/>
          <w:highlight w:val="none"/>
        </w:rPr>
      </w:pPr>
    </w:p>
    <w:p w14:paraId="18EE0C8B">
      <w:pPr>
        <w:shd w:val="clear" w:color="auto" w:fill="auto"/>
        <w:ind w:firstLine="426"/>
        <w:rPr>
          <w:rFonts w:eastAsia="仿宋_GB2312"/>
          <w:color w:val="auto"/>
          <w:sz w:val="24"/>
          <w:highlight w:val="none"/>
        </w:rPr>
      </w:pPr>
      <w:r>
        <w:rPr>
          <w:rFonts w:eastAsia="仿宋_GB2312"/>
          <w:color w:val="auto"/>
          <w:sz w:val="24"/>
          <w:highlight w:val="none"/>
        </w:rPr>
        <w:t>与我方的法定代表人（单位负责人）为同一人的企业如下：</w:t>
      </w:r>
    </w:p>
    <w:p w14:paraId="2DB90147">
      <w:pPr>
        <w:shd w:val="clear" w:color="auto" w:fill="auto"/>
        <w:ind w:firstLine="426"/>
        <w:rPr>
          <w:rFonts w:eastAsia="仿宋_GB2312"/>
          <w:color w:val="auto"/>
          <w:sz w:val="24"/>
          <w:highlight w:val="none"/>
        </w:rPr>
      </w:pPr>
    </w:p>
    <w:p w14:paraId="0423A27C">
      <w:pPr>
        <w:shd w:val="clear" w:color="auto" w:fill="auto"/>
        <w:ind w:firstLine="426"/>
        <w:rPr>
          <w:rFonts w:eastAsia="仿宋_GB2312"/>
          <w:color w:val="auto"/>
          <w:sz w:val="24"/>
          <w:highlight w:val="none"/>
        </w:rPr>
      </w:pPr>
      <w:r>
        <w:rPr>
          <w:rFonts w:eastAsia="仿宋_GB2312"/>
          <w:color w:val="auto"/>
          <w:sz w:val="24"/>
          <w:highlight w:val="none"/>
        </w:rPr>
        <w:t>我方的控股股东如下：</w:t>
      </w:r>
    </w:p>
    <w:p w14:paraId="49197B72">
      <w:pPr>
        <w:shd w:val="clear" w:color="auto" w:fill="auto"/>
        <w:ind w:firstLine="426"/>
        <w:rPr>
          <w:rFonts w:eastAsia="仿宋_GB2312"/>
          <w:color w:val="auto"/>
          <w:sz w:val="24"/>
          <w:highlight w:val="none"/>
        </w:rPr>
      </w:pPr>
    </w:p>
    <w:p w14:paraId="31A48396">
      <w:pPr>
        <w:shd w:val="clear" w:color="auto" w:fill="auto"/>
        <w:ind w:firstLine="426"/>
        <w:rPr>
          <w:rFonts w:eastAsia="仿宋_GB2312"/>
          <w:color w:val="auto"/>
          <w:sz w:val="24"/>
          <w:highlight w:val="none"/>
        </w:rPr>
      </w:pPr>
      <w:r>
        <w:rPr>
          <w:rFonts w:eastAsia="仿宋_GB2312"/>
          <w:color w:val="auto"/>
          <w:sz w:val="24"/>
          <w:highlight w:val="none"/>
        </w:rPr>
        <w:t>我方直接控股的企业如下：</w:t>
      </w:r>
    </w:p>
    <w:p w14:paraId="12947789">
      <w:pPr>
        <w:shd w:val="clear" w:color="auto" w:fill="auto"/>
        <w:ind w:firstLine="426"/>
        <w:rPr>
          <w:rFonts w:eastAsia="仿宋_GB2312"/>
          <w:color w:val="auto"/>
          <w:sz w:val="24"/>
          <w:highlight w:val="none"/>
        </w:rPr>
      </w:pPr>
    </w:p>
    <w:p w14:paraId="283453A6">
      <w:pPr>
        <w:shd w:val="clear" w:color="auto" w:fill="auto"/>
        <w:ind w:firstLine="426"/>
        <w:rPr>
          <w:rFonts w:eastAsia="仿宋_GB2312"/>
          <w:color w:val="auto"/>
          <w:sz w:val="24"/>
          <w:highlight w:val="none"/>
        </w:rPr>
      </w:pPr>
      <w:r>
        <w:rPr>
          <w:rFonts w:eastAsia="仿宋_GB2312"/>
          <w:color w:val="auto"/>
          <w:sz w:val="24"/>
          <w:highlight w:val="none"/>
        </w:rPr>
        <w:t>与我方存在管理、被管理关系的单位名称如下：</w:t>
      </w:r>
    </w:p>
    <w:p w14:paraId="10F1330D">
      <w:pPr>
        <w:shd w:val="clear" w:color="auto" w:fill="auto"/>
        <w:ind w:firstLine="426"/>
        <w:rPr>
          <w:rFonts w:eastAsia="仿宋_GB2312"/>
          <w:color w:val="auto"/>
          <w:sz w:val="24"/>
          <w:highlight w:val="none"/>
        </w:rPr>
      </w:pPr>
    </w:p>
    <w:p w14:paraId="4C4880B5">
      <w:pPr>
        <w:shd w:val="clear" w:color="auto" w:fill="auto"/>
        <w:ind w:firstLine="426"/>
        <w:rPr>
          <w:rFonts w:eastAsia="仿宋_GB2312"/>
          <w:color w:val="auto"/>
          <w:szCs w:val="21"/>
          <w:highlight w:val="none"/>
        </w:rPr>
      </w:pPr>
    </w:p>
    <w:p w14:paraId="5435086D">
      <w:pPr>
        <w:shd w:val="clear" w:color="auto" w:fill="auto"/>
        <w:spacing w:before="120" w:after="120" w:line="360" w:lineRule="auto"/>
        <w:ind w:firstLine="480" w:firstLineChars="200"/>
        <w:rPr>
          <w:rFonts w:eastAsia="仿宋_GB2312"/>
          <w:color w:val="auto"/>
          <w:sz w:val="24"/>
          <w:highlight w:val="none"/>
          <w:u w:val="single"/>
        </w:rPr>
      </w:pPr>
      <w:r>
        <w:rPr>
          <w:rFonts w:hint="eastAsia" w:eastAsia="仿宋_GB2312"/>
          <w:color w:val="auto"/>
          <w:sz w:val="24"/>
          <w:highlight w:val="none"/>
        </w:rPr>
        <w:t>投标人</w:t>
      </w:r>
      <w:r>
        <w:rPr>
          <w:rFonts w:eastAsia="仿宋_GB2312"/>
          <w:color w:val="auto"/>
          <w:sz w:val="24"/>
          <w:highlight w:val="none"/>
        </w:rPr>
        <w:t>名称（</w:t>
      </w:r>
      <w:r>
        <w:rPr>
          <w:rFonts w:hint="eastAsia" w:eastAsia="仿宋_GB2312"/>
          <w:color w:val="auto"/>
          <w:sz w:val="24"/>
          <w:highlight w:val="none"/>
        </w:rPr>
        <w:t>盖</w:t>
      </w:r>
      <w:r>
        <w:rPr>
          <w:rFonts w:eastAsia="仿宋_GB2312"/>
          <w:color w:val="auto"/>
          <w:sz w:val="24"/>
          <w:highlight w:val="none"/>
        </w:rPr>
        <w:t xml:space="preserve">公章）： </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r>
        <w:rPr>
          <w:rFonts w:eastAsia="仿宋_GB2312"/>
          <w:color w:val="auto"/>
          <w:sz w:val="24"/>
          <w:highlight w:val="none"/>
          <w:u w:val="single"/>
        </w:rPr>
        <w:t xml:space="preserve">     </w:t>
      </w:r>
    </w:p>
    <w:p w14:paraId="06B8D0A4">
      <w:pPr>
        <w:shd w:val="clear" w:color="auto" w:fill="auto"/>
        <w:spacing w:before="120" w:after="120" w:line="360" w:lineRule="auto"/>
        <w:ind w:firstLine="480" w:firstLineChars="200"/>
        <w:rPr>
          <w:rFonts w:eastAsia="仿宋_GB2312"/>
          <w:color w:val="auto"/>
          <w:sz w:val="24"/>
          <w:highlight w:val="none"/>
          <w:u w:val="single"/>
        </w:rPr>
      </w:pPr>
      <w:r>
        <w:rPr>
          <w:rFonts w:eastAsia="仿宋_GB2312"/>
          <w:color w:val="auto"/>
          <w:sz w:val="24"/>
          <w:highlight w:val="none"/>
        </w:rPr>
        <w:t>法定代表人</w:t>
      </w:r>
      <w:r>
        <w:rPr>
          <w:rFonts w:hint="eastAsia" w:eastAsia="仿宋"/>
          <w:color w:val="auto"/>
          <w:sz w:val="24"/>
          <w:highlight w:val="none"/>
          <w:lang w:val="zh-CN"/>
        </w:rPr>
        <w:t>（或单位负责人）</w:t>
      </w:r>
      <w:r>
        <w:rPr>
          <w:rFonts w:eastAsia="仿宋_GB2312"/>
          <w:color w:val="auto"/>
          <w:sz w:val="24"/>
          <w:highlight w:val="none"/>
        </w:rPr>
        <w:t>或其授权代表（签字</w:t>
      </w:r>
      <w:r>
        <w:rPr>
          <w:rFonts w:hint="eastAsia" w:eastAsia="仿宋_GB2312"/>
          <w:color w:val="auto"/>
          <w:sz w:val="24"/>
          <w:highlight w:val="none"/>
        </w:rPr>
        <w:t>或盖章</w:t>
      </w:r>
      <w:r>
        <w:rPr>
          <w:rFonts w:eastAsia="仿宋_GB2312"/>
          <w:color w:val="auto"/>
          <w:sz w:val="24"/>
          <w:highlight w:val="none"/>
        </w:rPr>
        <w:t>）：</w:t>
      </w:r>
      <w:r>
        <w:rPr>
          <w:rFonts w:eastAsia="仿宋_GB2312"/>
          <w:color w:val="auto"/>
          <w:sz w:val="24"/>
          <w:highlight w:val="none"/>
          <w:u w:val="single"/>
        </w:rPr>
        <w:t xml:space="preserve">                  </w:t>
      </w:r>
    </w:p>
    <w:p w14:paraId="1B8B16ED">
      <w:pPr>
        <w:shd w:val="clear" w:color="auto" w:fill="auto"/>
        <w:spacing w:before="120" w:after="120" w:line="360" w:lineRule="auto"/>
        <w:ind w:firstLine="480" w:firstLineChars="200"/>
        <w:rPr>
          <w:rFonts w:eastAsia="仿宋_GB2312"/>
          <w:color w:val="auto"/>
          <w:sz w:val="24"/>
          <w:highlight w:val="none"/>
        </w:rPr>
      </w:pPr>
      <w:r>
        <w:rPr>
          <w:rFonts w:eastAsia="仿宋_GB2312"/>
          <w:color w:val="auto"/>
          <w:sz w:val="24"/>
          <w:highlight w:val="none"/>
        </w:rPr>
        <w:t>日    期：</w:t>
      </w:r>
      <w:r>
        <w:rPr>
          <w:rFonts w:eastAsia="仿宋_GB2312"/>
          <w:color w:val="auto"/>
          <w:sz w:val="24"/>
          <w:highlight w:val="none"/>
          <w:u w:val="single"/>
        </w:rPr>
        <w:t xml:space="preserve">     </w:t>
      </w:r>
      <w:r>
        <w:rPr>
          <w:rFonts w:eastAsia="仿宋_GB2312"/>
          <w:color w:val="auto"/>
          <w:sz w:val="24"/>
          <w:highlight w:val="none"/>
        </w:rPr>
        <w:t>年</w:t>
      </w:r>
      <w:r>
        <w:rPr>
          <w:rFonts w:eastAsia="仿宋_GB2312"/>
          <w:color w:val="auto"/>
          <w:sz w:val="24"/>
          <w:highlight w:val="none"/>
          <w:u w:val="single"/>
        </w:rPr>
        <w:t xml:space="preserve">      </w:t>
      </w:r>
      <w:r>
        <w:rPr>
          <w:rFonts w:eastAsia="仿宋_GB2312"/>
          <w:color w:val="auto"/>
          <w:sz w:val="24"/>
          <w:highlight w:val="none"/>
        </w:rPr>
        <w:t>月</w:t>
      </w:r>
      <w:r>
        <w:rPr>
          <w:rFonts w:eastAsia="仿宋_GB2312"/>
          <w:color w:val="auto"/>
          <w:sz w:val="24"/>
          <w:highlight w:val="none"/>
          <w:u w:val="single"/>
        </w:rPr>
        <w:t xml:space="preserve">     </w:t>
      </w:r>
      <w:r>
        <w:rPr>
          <w:rFonts w:eastAsia="仿宋_GB2312"/>
          <w:color w:val="auto"/>
          <w:sz w:val="24"/>
          <w:highlight w:val="none"/>
        </w:rPr>
        <w:t>日</w:t>
      </w:r>
    </w:p>
    <w:p w14:paraId="2BEA589B">
      <w:pPr>
        <w:shd w:val="clear" w:color="auto" w:fill="auto"/>
        <w:ind w:firstLine="420" w:firstLineChars="200"/>
        <w:rPr>
          <w:rFonts w:eastAsia="仿宋_GB2312"/>
          <w:color w:val="auto"/>
          <w:szCs w:val="21"/>
          <w:highlight w:val="none"/>
        </w:rPr>
      </w:pPr>
    </w:p>
    <w:p w14:paraId="18D23060">
      <w:pPr>
        <w:shd w:val="clear" w:color="auto" w:fill="auto"/>
        <w:jc w:val="left"/>
        <w:rPr>
          <w:rFonts w:eastAsia="仿宋_GB2312"/>
          <w:b/>
          <w:color w:val="auto"/>
          <w:sz w:val="24"/>
          <w:highlight w:val="none"/>
        </w:rPr>
      </w:pPr>
    </w:p>
    <w:p w14:paraId="42ADD6A0">
      <w:pPr>
        <w:shd w:val="clear" w:color="auto" w:fill="auto"/>
        <w:rPr>
          <w:rFonts w:eastAsia="仿宋_GB2312"/>
          <w:b/>
          <w:color w:val="auto"/>
          <w:sz w:val="24"/>
          <w:szCs w:val="32"/>
          <w:highlight w:val="none"/>
        </w:rPr>
      </w:pPr>
      <w:bookmarkStart w:id="413" w:name="_Toc60928901"/>
      <w:bookmarkStart w:id="414" w:name="_Toc60929133"/>
      <w:bookmarkStart w:id="415" w:name="_Toc7005128"/>
      <w:bookmarkStart w:id="416" w:name="_Toc60928820"/>
      <w:r>
        <w:rPr>
          <w:rFonts w:eastAsia="仿宋_GB2312"/>
          <w:b/>
          <w:color w:val="auto"/>
          <w:sz w:val="24"/>
          <w:szCs w:val="32"/>
          <w:highlight w:val="none"/>
        </w:rPr>
        <w:t xml:space="preserve">6-8  </w:t>
      </w:r>
      <w:r>
        <w:rPr>
          <w:rFonts w:hint="eastAsia" w:eastAsia="仿宋_GB2312"/>
          <w:b/>
          <w:color w:val="auto"/>
          <w:sz w:val="24"/>
          <w:szCs w:val="32"/>
          <w:highlight w:val="none"/>
        </w:rPr>
        <w:t>投标人</w:t>
      </w:r>
      <w:r>
        <w:rPr>
          <w:rFonts w:eastAsia="仿宋_GB2312"/>
          <w:b/>
          <w:color w:val="auto"/>
          <w:sz w:val="24"/>
          <w:szCs w:val="32"/>
          <w:highlight w:val="none"/>
        </w:rPr>
        <w:t>是否属于为本项目提供整体设计、规范编制或者项目管理、监理、检测等服务的</w:t>
      </w:r>
      <w:r>
        <w:rPr>
          <w:rFonts w:hint="eastAsia" w:eastAsia="仿宋_GB2312"/>
          <w:b/>
          <w:color w:val="auto"/>
          <w:sz w:val="24"/>
          <w:szCs w:val="32"/>
          <w:highlight w:val="none"/>
        </w:rPr>
        <w:t>投标人</w:t>
      </w:r>
      <w:r>
        <w:rPr>
          <w:rFonts w:eastAsia="仿宋_GB2312"/>
          <w:b/>
          <w:color w:val="auto"/>
          <w:sz w:val="24"/>
          <w:szCs w:val="32"/>
          <w:highlight w:val="none"/>
        </w:rPr>
        <w:t>声明</w:t>
      </w:r>
      <w:bookmarkEnd w:id="413"/>
      <w:bookmarkEnd w:id="414"/>
      <w:bookmarkEnd w:id="415"/>
      <w:bookmarkEnd w:id="416"/>
    </w:p>
    <w:p w14:paraId="755695CC">
      <w:pPr>
        <w:shd w:val="clear" w:color="auto" w:fill="auto"/>
        <w:ind w:firstLine="420"/>
        <w:rPr>
          <w:rFonts w:eastAsia="仿宋_GB2312"/>
          <w:color w:val="auto"/>
          <w:szCs w:val="21"/>
          <w:highlight w:val="none"/>
        </w:rPr>
      </w:pPr>
    </w:p>
    <w:p w14:paraId="29CFF79E">
      <w:pPr>
        <w:shd w:val="clear" w:color="auto" w:fill="auto"/>
        <w:spacing w:line="360" w:lineRule="auto"/>
        <w:rPr>
          <w:rFonts w:eastAsia="仿宋_GB2312"/>
          <w:color w:val="auto"/>
          <w:szCs w:val="21"/>
          <w:highlight w:val="none"/>
        </w:rPr>
      </w:pPr>
    </w:p>
    <w:p w14:paraId="1CBFB378">
      <w:pPr>
        <w:shd w:val="clear" w:color="auto" w:fill="auto"/>
        <w:spacing w:line="360" w:lineRule="auto"/>
        <w:rPr>
          <w:rFonts w:eastAsia="仿宋_GB2312"/>
          <w:color w:val="auto"/>
          <w:sz w:val="24"/>
          <w:highlight w:val="none"/>
        </w:rPr>
      </w:pPr>
      <w:r>
        <w:rPr>
          <w:rFonts w:eastAsia="仿宋_GB2312"/>
          <w:color w:val="auto"/>
          <w:sz w:val="24"/>
          <w:highlight w:val="none"/>
        </w:rPr>
        <w:t>陕西省采购招标有限责任公司：</w:t>
      </w:r>
    </w:p>
    <w:p w14:paraId="403F10C5">
      <w:pPr>
        <w:shd w:val="clear" w:color="auto" w:fill="auto"/>
        <w:spacing w:line="360" w:lineRule="auto"/>
        <w:ind w:firstLine="480" w:firstLineChars="200"/>
        <w:rPr>
          <w:rFonts w:eastAsia="仿宋_GB2312"/>
          <w:color w:val="auto"/>
          <w:sz w:val="24"/>
          <w:highlight w:val="none"/>
        </w:rPr>
      </w:pPr>
      <w:r>
        <w:rPr>
          <w:rFonts w:eastAsia="仿宋_GB2312"/>
          <w:color w:val="auto"/>
          <w:sz w:val="24"/>
          <w:highlight w:val="none"/>
        </w:rPr>
        <w:t xml:space="preserve">我方 </w:t>
      </w:r>
      <w:r>
        <w:rPr>
          <w:rFonts w:eastAsia="仿宋_GB2312"/>
          <w:color w:val="auto"/>
          <w:sz w:val="24"/>
          <w:highlight w:val="none"/>
          <w:u w:val="single"/>
        </w:rPr>
        <w:t xml:space="preserve">不属于 </w:t>
      </w:r>
      <w:r>
        <w:rPr>
          <w:rFonts w:eastAsia="仿宋_GB2312"/>
          <w:color w:val="auto"/>
          <w:sz w:val="24"/>
          <w:highlight w:val="none"/>
        </w:rPr>
        <w:t>为本项目提供整体设计、规范编制或者项目管理、监理、检测等服务的供应商。</w:t>
      </w:r>
    </w:p>
    <w:p w14:paraId="7F55EA7F">
      <w:pPr>
        <w:shd w:val="clear" w:color="auto" w:fill="auto"/>
        <w:ind w:firstLine="426"/>
        <w:rPr>
          <w:rFonts w:eastAsia="仿宋_GB2312"/>
          <w:color w:val="auto"/>
          <w:sz w:val="24"/>
          <w:highlight w:val="none"/>
        </w:rPr>
      </w:pPr>
    </w:p>
    <w:p w14:paraId="2E433E85">
      <w:pPr>
        <w:shd w:val="clear" w:color="auto" w:fill="auto"/>
        <w:ind w:firstLine="426"/>
        <w:rPr>
          <w:rFonts w:eastAsia="仿宋_GB2312"/>
          <w:color w:val="auto"/>
          <w:szCs w:val="21"/>
          <w:highlight w:val="none"/>
        </w:rPr>
      </w:pPr>
    </w:p>
    <w:p w14:paraId="517D2DE3">
      <w:pPr>
        <w:shd w:val="clear" w:color="auto" w:fill="auto"/>
        <w:spacing w:before="120" w:after="120" w:line="360" w:lineRule="auto"/>
        <w:ind w:firstLine="480" w:firstLineChars="200"/>
        <w:rPr>
          <w:rFonts w:eastAsia="仿宋_GB2312"/>
          <w:color w:val="auto"/>
          <w:sz w:val="24"/>
          <w:highlight w:val="none"/>
          <w:u w:val="single"/>
        </w:rPr>
      </w:pPr>
      <w:r>
        <w:rPr>
          <w:rFonts w:hint="eastAsia" w:eastAsia="仿宋_GB2312"/>
          <w:color w:val="auto"/>
          <w:sz w:val="24"/>
          <w:highlight w:val="none"/>
        </w:rPr>
        <w:t>投标人</w:t>
      </w:r>
      <w:r>
        <w:rPr>
          <w:rFonts w:eastAsia="仿宋_GB2312"/>
          <w:color w:val="auto"/>
          <w:sz w:val="24"/>
          <w:highlight w:val="none"/>
        </w:rPr>
        <w:t>名称（</w:t>
      </w:r>
      <w:r>
        <w:rPr>
          <w:rFonts w:hint="eastAsia" w:eastAsia="仿宋_GB2312"/>
          <w:color w:val="auto"/>
          <w:sz w:val="24"/>
          <w:highlight w:val="none"/>
        </w:rPr>
        <w:t>盖</w:t>
      </w:r>
      <w:r>
        <w:rPr>
          <w:rFonts w:eastAsia="仿宋_GB2312"/>
          <w:color w:val="auto"/>
          <w:sz w:val="24"/>
          <w:highlight w:val="none"/>
        </w:rPr>
        <w:t xml:space="preserve">公章）： </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r>
        <w:rPr>
          <w:rFonts w:eastAsia="仿宋_GB2312"/>
          <w:color w:val="auto"/>
          <w:sz w:val="24"/>
          <w:highlight w:val="none"/>
          <w:u w:val="single"/>
        </w:rPr>
        <w:t xml:space="preserve">          </w:t>
      </w:r>
    </w:p>
    <w:p w14:paraId="1972166E">
      <w:pPr>
        <w:shd w:val="clear" w:color="auto" w:fill="auto"/>
        <w:spacing w:before="120" w:after="120" w:line="360" w:lineRule="auto"/>
        <w:ind w:firstLine="480" w:firstLineChars="200"/>
        <w:rPr>
          <w:rFonts w:eastAsia="仿宋_GB2312"/>
          <w:color w:val="auto"/>
          <w:sz w:val="24"/>
          <w:highlight w:val="none"/>
          <w:u w:val="single"/>
        </w:rPr>
      </w:pPr>
      <w:r>
        <w:rPr>
          <w:rFonts w:eastAsia="仿宋_GB2312"/>
          <w:color w:val="auto"/>
          <w:sz w:val="24"/>
          <w:highlight w:val="none"/>
        </w:rPr>
        <w:t>法定代表人</w:t>
      </w:r>
      <w:r>
        <w:rPr>
          <w:rFonts w:hint="eastAsia" w:eastAsia="仿宋"/>
          <w:color w:val="auto"/>
          <w:sz w:val="24"/>
          <w:highlight w:val="none"/>
          <w:lang w:val="zh-CN"/>
        </w:rPr>
        <w:t>（或单位负责人）</w:t>
      </w:r>
      <w:r>
        <w:rPr>
          <w:rFonts w:eastAsia="仿宋_GB2312"/>
          <w:color w:val="auto"/>
          <w:sz w:val="24"/>
          <w:highlight w:val="none"/>
        </w:rPr>
        <w:t>或其授权代表（签字</w:t>
      </w:r>
      <w:r>
        <w:rPr>
          <w:rFonts w:hint="eastAsia" w:eastAsia="仿宋_GB2312"/>
          <w:color w:val="auto"/>
          <w:sz w:val="24"/>
          <w:highlight w:val="none"/>
        </w:rPr>
        <w:t>或盖章</w:t>
      </w:r>
      <w:r>
        <w:rPr>
          <w:rFonts w:eastAsia="仿宋_GB2312"/>
          <w:color w:val="auto"/>
          <w:sz w:val="24"/>
          <w:highlight w:val="none"/>
        </w:rPr>
        <w:t>）：</w:t>
      </w:r>
      <w:r>
        <w:rPr>
          <w:rFonts w:eastAsia="仿宋_GB2312"/>
          <w:color w:val="auto"/>
          <w:sz w:val="24"/>
          <w:highlight w:val="none"/>
          <w:u w:val="single"/>
        </w:rPr>
        <w:t xml:space="preserve">                  </w:t>
      </w:r>
    </w:p>
    <w:p w14:paraId="3E6DA53E">
      <w:pPr>
        <w:shd w:val="clear" w:color="auto" w:fill="auto"/>
        <w:spacing w:before="120" w:after="120" w:line="360" w:lineRule="auto"/>
        <w:ind w:firstLine="480" w:firstLineChars="200"/>
        <w:rPr>
          <w:rFonts w:eastAsia="仿宋_GB2312"/>
          <w:color w:val="auto"/>
          <w:sz w:val="24"/>
          <w:highlight w:val="none"/>
        </w:rPr>
      </w:pPr>
      <w:r>
        <w:rPr>
          <w:rFonts w:eastAsia="仿宋_GB2312"/>
          <w:color w:val="auto"/>
          <w:sz w:val="24"/>
          <w:highlight w:val="none"/>
        </w:rPr>
        <w:t>日    期：</w:t>
      </w:r>
      <w:r>
        <w:rPr>
          <w:rFonts w:eastAsia="仿宋_GB2312"/>
          <w:color w:val="auto"/>
          <w:sz w:val="24"/>
          <w:highlight w:val="none"/>
          <w:u w:val="single"/>
        </w:rPr>
        <w:t xml:space="preserve">     </w:t>
      </w:r>
      <w:r>
        <w:rPr>
          <w:rFonts w:eastAsia="仿宋_GB2312"/>
          <w:color w:val="auto"/>
          <w:sz w:val="24"/>
          <w:highlight w:val="none"/>
        </w:rPr>
        <w:t>年</w:t>
      </w:r>
      <w:r>
        <w:rPr>
          <w:rFonts w:eastAsia="仿宋_GB2312"/>
          <w:color w:val="auto"/>
          <w:sz w:val="24"/>
          <w:highlight w:val="none"/>
          <w:u w:val="single"/>
        </w:rPr>
        <w:t xml:space="preserve">      </w:t>
      </w:r>
      <w:r>
        <w:rPr>
          <w:rFonts w:eastAsia="仿宋_GB2312"/>
          <w:color w:val="auto"/>
          <w:sz w:val="24"/>
          <w:highlight w:val="none"/>
        </w:rPr>
        <w:t>月</w:t>
      </w:r>
      <w:r>
        <w:rPr>
          <w:rFonts w:eastAsia="仿宋_GB2312"/>
          <w:color w:val="auto"/>
          <w:sz w:val="24"/>
          <w:highlight w:val="none"/>
          <w:u w:val="single"/>
        </w:rPr>
        <w:t xml:space="preserve">     </w:t>
      </w:r>
      <w:r>
        <w:rPr>
          <w:rFonts w:eastAsia="仿宋_GB2312"/>
          <w:color w:val="auto"/>
          <w:sz w:val="24"/>
          <w:highlight w:val="none"/>
        </w:rPr>
        <w:t>日</w:t>
      </w:r>
    </w:p>
    <w:p w14:paraId="104D766C">
      <w:pPr>
        <w:shd w:val="clear" w:color="auto" w:fill="auto"/>
        <w:rPr>
          <w:rFonts w:eastAsia="仿宋_GB2312"/>
          <w:b/>
          <w:color w:val="auto"/>
          <w:highlight w:val="none"/>
        </w:rPr>
      </w:pPr>
      <w:bookmarkStart w:id="417" w:name="_Toc7005129"/>
      <w:bookmarkStart w:id="418" w:name="_Toc60928821"/>
      <w:bookmarkStart w:id="419" w:name="_Toc60928902"/>
      <w:bookmarkStart w:id="420" w:name="_Toc60929134"/>
    </w:p>
    <w:p w14:paraId="36FD190B">
      <w:pPr>
        <w:shd w:val="clear" w:color="auto" w:fill="auto"/>
        <w:rPr>
          <w:rFonts w:eastAsia="仿宋_GB2312"/>
          <w:b/>
          <w:color w:val="auto"/>
          <w:highlight w:val="none"/>
        </w:rPr>
      </w:pPr>
    </w:p>
    <w:p w14:paraId="74C8B078">
      <w:pPr>
        <w:shd w:val="clear" w:color="auto" w:fill="auto"/>
        <w:rPr>
          <w:rFonts w:eastAsia="仿宋_GB2312"/>
          <w:b/>
          <w:color w:val="auto"/>
          <w:sz w:val="24"/>
          <w:szCs w:val="32"/>
          <w:highlight w:val="none"/>
        </w:rPr>
      </w:pPr>
      <w:r>
        <w:rPr>
          <w:rFonts w:eastAsia="仿宋_GB2312"/>
          <w:b/>
          <w:color w:val="auto"/>
          <w:sz w:val="24"/>
          <w:szCs w:val="32"/>
          <w:highlight w:val="none"/>
        </w:rPr>
        <w:t>6-9  证明</w:t>
      </w:r>
      <w:r>
        <w:rPr>
          <w:rFonts w:hint="eastAsia" w:eastAsia="仿宋_GB2312"/>
          <w:b/>
          <w:color w:val="auto"/>
          <w:sz w:val="24"/>
          <w:szCs w:val="32"/>
          <w:highlight w:val="none"/>
        </w:rPr>
        <w:t>投标人</w:t>
      </w:r>
      <w:r>
        <w:rPr>
          <w:rFonts w:eastAsia="仿宋_GB2312"/>
          <w:b/>
          <w:color w:val="auto"/>
          <w:sz w:val="24"/>
          <w:szCs w:val="32"/>
          <w:highlight w:val="none"/>
        </w:rPr>
        <w:t>符合特定资格条件的证明材料</w:t>
      </w:r>
      <w:bookmarkEnd w:id="417"/>
      <w:r>
        <w:rPr>
          <w:rFonts w:eastAsia="仿宋_GB2312"/>
          <w:b/>
          <w:color w:val="auto"/>
          <w:sz w:val="24"/>
          <w:szCs w:val="32"/>
          <w:highlight w:val="none"/>
        </w:rPr>
        <w:t>：</w:t>
      </w:r>
      <w:bookmarkEnd w:id="418"/>
      <w:bookmarkEnd w:id="419"/>
      <w:bookmarkEnd w:id="420"/>
      <w:bookmarkStart w:id="421" w:name="_Toc532473497"/>
      <w:bookmarkStart w:id="422" w:name="_Toc1083"/>
      <w:bookmarkStart w:id="423" w:name="_Toc22472"/>
      <w:bookmarkStart w:id="424" w:name="_Toc515647807"/>
      <w:r>
        <w:rPr>
          <w:rFonts w:hint="eastAsia" w:eastAsia="仿宋_GB2312"/>
          <w:b w:val="0"/>
          <w:bCs/>
          <w:color w:val="auto"/>
          <w:sz w:val="24"/>
          <w:szCs w:val="32"/>
          <w:highlight w:val="none"/>
        </w:rPr>
        <w:t>（未提供格式的供应商自行拟定）</w:t>
      </w:r>
    </w:p>
    <w:p w14:paraId="3CDCAB58">
      <w:pPr>
        <w:pStyle w:val="7"/>
        <w:shd w:val="clear" w:color="auto" w:fill="auto"/>
        <w:ind w:left="0" w:leftChars="0" w:firstLine="0" w:firstLineChars="0"/>
        <w:rPr>
          <w:rFonts w:eastAsia="仿宋_GB2312"/>
          <w:b/>
          <w:color w:val="auto"/>
          <w:sz w:val="24"/>
          <w:szCs w:val="32"/>
          <w:highlight w:val="none"/>
        </w:rPr>
      </w:pPr>
    </w:p>
    <w:p w14:paraId="644B650C">
      <w:pPr>
        <w:pStyle w:val="7"/>
        <w:shd w:val="clear" w:color="auto" w:fill="auto"/>
        <w:rPr>
          <w:rFonts w:eastAsia="仿宋_GB2312"/>
          <w:b/>
          <w:color w:val="auto"/>
          <w:sz w:val="24"/>
          <w:szCs w:val="32"/>
          <w:highlight w:val="none"/>
        </w:rPr>
      </w:pPr>
    </w:p>
    <w:p w14:paraId="14539BF8">
      <w:pPr>
        <w:widowControl/>
        <w:shd w:val="clear" w:color="auto" w:fill="auto"/>
        <w:jc w:val="left"/>
        <w:rPr>
          <w:color w:val="auto"/>
          <w:highlight w:val="none"/>
        </w:rPr>
      </w:pPr>
    </w:p>
    <w:p w14:paraId="3FB33477">
      <w:pPr>
        <w:pStyle w:val="7"/>
        <w:numPr>
          <w:ilvl w:val="0"/>
          <w:numId w:val="0"/>
        </w:numPr>
        <w:shd w:val="clear" w:color="auto" w:fill="auto"/>
        <w:ind w:left="0" w:leftChars="0" w:firstLine="0" w:firstLineChars="0"/>
        <w:jc w:val="center"/>
        <w:rPr>
          <w:rFonts w:hint="eastAsia" w:ascii="Times New Roman" w:hAnsi="Times New Roman" w:eastAsia="仿宋" w:cs="Times New Roman"/>
          <w:b/>
          <w:color w:val="auto"/>
          <w:kern w:val="0"/>
          <w:sz w:val="30"/>
          <w:szCs w:val="20"/>
          <w:highlight w:val="none"/>
          <w:lang w:val="zh-CN" w:eastAsia="zh-CN" w:bidi="ar-SA"/>
        </w:rPr>
      </w:pPr>
      <w:r>
        <w:rPr>
          <w:rFonts w:ascii="Times New Roman" w:hAnsi="Times New Roman" w:eastAsia="仿宋"/>
          <w:color w:val="auto"/>
          <w:highlight w:val="none"/>
          <w:lang w:val="zh-CN"/>
        </w:rPr>
        <w:br w:type="page"/>
      </w:r>
      <w:r>
        <w:rPr>
          <w:rFonts w:hint="eastAsia" w:ascii="Times New Roman" w:hAnsi="Times New Roman" w:eastAsia="仿宋" w:cs="Times New Roman"/>
          <w:b/>
          <w:color w:val="auto"/>
          <w:kern w:val="0"/>
          <w:sz w:val="30"/>
          <w:szCs w:val="20"/>
          <w:highlight w:val="none"/>
          <w:lang w:val="zh-CN" w:eastAsia="zh-CN" w:bidi="ar-SA"/>
        </w:rPr>
        <w:t xml:space="preserve"> </w:t>
      </w:r>
      <w:r>
        <w:rPr>
          <w:rFonts w:hint="eastAsia" w:ascii="Times New Roman" w:hAnsi="Times New Roman" w:eastAsia="仿宋" w:cs="Times New Roman"/>
          <w:b/>
          <w:color w:val="auto"/>
          <w:kern w:val="0"/>
          <w:sz w:val="30"/>
          <w:szCs w:val="20"/>
          <w:highlight w:val="none"/>
          <w:lang w:val="en-US" w:eastAsia="zh-CN" w:bidi="ar-SA"/>
        </w:rPr>
        <w:t xml:space="preserve">第四部分 </w:t>
      </w:r>
      <w:r>
        <w:rPr>
          <w:rFonts w:hint="eastAsia" w:ascii="Times New Roman" w:hAnsi="Times New Roman" w:eastAsia="仿宋" w:cs="Times New Roman"/>
          <w:b/>
          <w:color w:val="auto"/>
          <w:kern w:val="0"/>
          <w:sz w:val="30"/>
          <w:szCs w:val="20"/>
          <w:highlight w:val="none"/>
          <w:lang w:val="zh-CN" w:eastAsia="zh-CN" w:bidi="ar-SA"/>
        </w:rPr>
        <w:t>投标人概况</w:t>
      </w:r>
    </w:p>
    <w:p w14:paraId="6EEC4489">
      <w:pPr>
        <w:pStyle w:val="7"/>
        <w:numPr>
          <w:ilvl w:val="0"/>
          <w:numId w:val="0"/>
        </w:numPr>
        <w:shd w:val="clear" w:color="auto" w:fill="auto"/>
        <w:ind w:left="0" w:leftChars="0" w:firstLine="0" w:firstLineChars="0"/>
        <w:jc w:val="center"/>
        <w:rPr>
          <w:rFonts w:hint="eastAsia" w:ascii="Times New Roman" w:hAnsi="Times New Roman" w:eastAsia="仿宋" w:cs="Times New Roman"/>
          <w:b/>
          <w:color w:val="auto"/>
          <w:kern w:val="0"/>
          <w:sz w:val="30"/>
          <w:szCs w:val="20"/>
          <w:highlight w:val="none"/>
          <w:lang w:val="zh-CN" w:eastAsia="zh-CN" w:bidi="ar-SA"/>
        </w:rPr>
      </w:pPr>
    </w:p>
    <w:p w14:paraId="2A0A3F5B">
      <w:pPr>
        <w:pStyle w:val="18"/>
        <w:shd w:val="clear" w:color="auto" w:fill="auto"/>
        <w:spacing w:line="360" w:lineRule="auto"/>
        <w:jc w:val="center"/>
        <w:rPr>
          <w:rFonts w:ascii="Times New Roman" w:hAnsi="Times New Roman" w:eastAsia="仿宋"/>
          <w:b/>
          <w:color w:val="auto"/>
          <w:kern w:val="0"/>
          <w:sz w:val="30"/>
          <w:szCs w:val="30"/>
          <w:highlight w:val="none"/>
          <w:shd w:val="clear" w:color="auto" w:fill="FFFFFF"/>
        </w:rPr>
      </w:pPr>
      <w:bookmarkStart w:id="425" w:name="_Toc105438110"/>
      <w:bookmarkStart w:id="426" w:name="_Toc105505631"/>
      <w:bookmarkStart w:id="427" w:name="_Toc19072"/>
      <w:bookmarkStart w:id="428" w:name="_Toc114840466"/>
      <w:r>
        <w:rPr>
          <w:rFonts w:ascii="Times New Roman" w:hAnsi="Times New Roman" w:eastAsia="仿宋"/>
          <w:b/>
          <w:color w:val="auto"/>
          <w:kern w:val="0"/>
          <w:sz w:val="30"/>
          <w:szCs w:val="30"/>
          <w:highlight w:val="none"/>
          <w:shd w:val="clear" w:color="auto" w:fill="FFFFFF"/>
        </w:rPr>
        <w:t>（一）投标人基本信息</w:t>
      </w:r>
      <w:bookmarkEnd w:id="425"/>
      <w:bookmarkEnd w:id="426"/>
      <w:bookmarkEnd w:id="427"/>
      <w:bookmarkEnd w:id="428"/>
    </w:p>
    <w:p w14:paraId="1B60C170">
      <w:pPr>
        <w:shd w:val="clear" w:color="auto" w:fill="auto"/>
        <w:tabs>
          <w:tab w:val="left" w:pos="993"/>
          <w:tab w:val="left" w:pos="1030"/>
          <w:tab w:val="left" w:pos="8364"/>
        </w:tabs>
        <w:snapToGrid w:val="0"/>
        <w:spacing w:after="120" w:afterLines="50"/>
        <w:ind w:right="-57" w:rightChars="-27"/>
        <w:jc w:val="center"/>
        <w:rPr>
          <w:rFonts w:eastAsia="仿宋"/>
          <w:color w:val="auto"/>
          <w:sz w:val="24"/>
          <w:highlight w:val="none"/>
        </w:rPr>
      </w:pPr>
      <w:bookmarkStart w:id="429" w:name="_Toc105438111"/>
      <w:bookmarkStart w:id="430" w:name="_Toc105505632"/>
      <w:bookmarkStart w:id="431" w:name="_Toc342"/>
      <w:bookmarkStart w:id="432" w:name="_Toc114840467"/>
      <w:r>
        <w:rPr>
          <w:rFonts w:eastAsia="仿宋"/>
          <w:color w:val="auto"/>
          <w:sz w:val="24"/>
          <w:highlight w:val="none"/>
        </w:rPr>
        <w:t>（格式自拟）</w:t>
      </w:r>
      <w:bookmarkEnd w:id="429"/>
      <w:bookmarkEnd w:id="430"/>
      <w:bookmarkEnd w:id="431"/>
      <w:bookmarkEnd w:id="432"/>
    </w:p>
    <w:p w14:paraId="7F51CB14">
      <w:pPr>
        <w:pStyle w:val="7"/>
        <w:numPr>
          <w:ilvl w:val="0"/>
          <w:numId w:val="0"/>
        </w:numPr>
        <w:shd w:val="clear" w:color="auto" w:fill="auto"/>
        <w:ind w:left="0" w:leftChars="0" w:firstLine="0" w:firstLineChars="0"/>
        <w:jc w:val="center"/>
        <w:rPr>
          <w:rFonts w:hint="eastAsia" w:ascii="Times New Roman" w:hAnsi="Times New Roman" w:eastAsia="仿宋" w:cs="Times New Roman"/>
          <w:b/>
          <w:color w:val="auto"/>
          <w:kern w:val="0"/>
          <w:sz w:val="30"/>
          <w:szCs w:val="20"/>
          <w:highlight w:val="none"/>
          <w:lang w:val="zh-CN" w:eastAsia="zh-CN" w:bidi="ar-SA"/>
        </w:rPr>
      </w:pPr>
    </w:p>
    <w:p w14:paraId="2934F7BA">
      <w:pPr>
        <w:pStyle w:val="7"/>
        <w:numPr>
          <w:ilvl w:val="0"/>
          <w:numId w:val="0"/>
        </w:numPr>
        <w:shd w:val="clear" w:color="auto" w:fill="auto"/>
        <w:ind w:left="0" w:leftChars="0" w:firstLine="0" w:firstLineChars="0"/>
        <w:jc w:val="center"/>
        <w:rPr>
          <w:rFonts w:hint="eastAsia" w:ascii="Times New Roman" w:hAnsi="Times New Roman" w:eastAsia="仿宋" w:cs="Times New Roman"/>
          <w:b/>
          <w:color w:val="auto"/>
          <w:kern w:val="0"/>
          <w:sz w:val="30"/>
          <w:szCs w:val="20"/>
          <w:highlight w:val="none"/>
          <w:lang w:val="zh-CN" w:eastAsia="zh-CN" w:bidi="ar-SA"/>
        </w:rPr>
      </w:pPr>
    </w:p>
    <w:p w14:paraId="43114226">
      <w:pPr>
        <w:pStyle w:val="7"/>
        <w:numPr>
          <w:ilvl w:val="0"/>
          <w:numId w:val="0"/>
        </w:numPr>
        <w:shd w:val="clear" w:color="auto" w:fill="auto"/>
        <w:ind w:left="0" w:leftChars="0" w:firstLine="0" w:firstLineChars="0"/>
        <w:jc w:val="center"/>
        <w:rPr>
          <w:rFonts w:hint="eastAsia" w:ascii="Times New Roman" w:hAnsi="Times New Roman" w:eastAsia="仿宋" w:cs="Times New Roman"/>
          <w:b/>
          <w:color w:val="auto"/>
          <w:kern w:val="0"/>
          <w:sz w:val="30"/>
          <w:szCs w:val="20"/>
          <w:highlight w:val="none"/>
          <w:lang w:val="zh-CN" w:eastAsia="zh-CN" w:bidi="ar-SA"/>
        </w:rPr>
      </w:pPr>
    </w:p>
    <w:p w14:paraId="3F1038F4">
      <w:pPr>
        <w:pStyle w:val="7"/>
        <w:numPr>
          <w:ilvl w:val="0"/>
          <w:numId w:val="0"/>
        </w:numPr>
        <w:shd w:val="clear" w:color="auto" w:fill="auto"/>
        <w:ind w:left="0" w:leftChars="0" w:firstLine="0" w:firstLineChars="0"/>
        <w:jc w:val="center"/>
        <w:rPr>
          <w:rFonts w:hint="eastAsia" w:ascii="Times New Roman" w:hAnsi="Times New Roman" w:eastAsia="仿宋" w:cs="Times New Roman"/>
          <w:b/>
          <w:color w:val="auto"/>
          <w:kern w:val="0"/>
          <w:sz w:val="30"/>
          <w:szCs w:val="20"/>
          <w:highlight w:val="none"/>
          <w:lang w:val="zh-CN" w:eastAsia="zh-CN" w:bidi="ar-SA"/>
        </w:rPr>
      </w:pPr>
    </w:p>
    <w:p w14:paraId="40C0E21C">
      <w:pPr>
        <w:pStyle w:val="7"/>
        <w:numPr>
          <w:ilvl w:val="0"/>
          <w:numId w:val="0"/>
        </w:numPr>
        <w:shd w:val="clear" w:color="auto" w:fill="auto"/>
        <w:ind w:left="0" w:leftChars="0" w:firstLine="0" w:firstLineChars="0"/>
        <w:jc w:val="center"/>
        <w:rPr>
          <w:rFonts w:hint="eastAsia" w:ascii="Times New Roman" w:hAnsi="Times New Roman" w:eastAsia="仿宋" w:cs="Times New Roman"/>
          <w:b/>
          <w:color w:val="auto"/>
          <w:kern w:val="0"/>
          <w:sz w:val="30"/>
          <w:szCs w:val="20"/>
          <w:highlight w:val="none"/>
          <w:lang w:val="zh-CN" w:eastAsia="zh-CN" w:bidi="ar-SA"/>
        </w:rPr>
      </w:pPr>
    </w:p>
    <w:p w14:paraId="78BFB049">
      <w:pPr>
        <w:pStyle w:val="7"/>
        <w:numPr>
          <w:ilvl w:val="0"/>
          <w:numId w:val="0"/>
        </w:numPr>
        <w:shd w:val="clear" w:color="auto" w:fill="auto"/>
        <w:ind w:left="0" w:leftChars="0" w:firstLine="0" w:firstLineChars="0"/>
        <w:jc w:val="center"/>
        <w:rPr>
          <w:rFonts w:hint="eastAsia" w:ascii="Times New Roman" w:hAnsi="Times New Roman" w:eastAsia="仿宋" w:cs="Times New Roman"/>
          <w:b/>
          <w:color w:val="auto"/>
          <w:kern w:val="0"/>
          <w:sz w:val="30"/>
          <w:szCs w:val="20"/>
          <w:highlight w:val="none"/>
          <w:lang w:val="zh-CN" w:eastAsia="zh-CN" w:bidi="ar-SA"/>
        </w:rPr>
      </w:pPr>
    </w:p>
    <w:p w14:paraId="0D1EE3FE">
      <w:pPr>
        <w:pStyle w:val="7"/>
        <w:numPr>
          <w:ilvl w:val="0"/>
          <w:numId w:val="0"/>
        </w:numPr>
        <w:shd w:val="clear" w:color="auto" w:fill="auto"/>
        <w:ind w:left="0" w:leftChars="0" w:firstLine="0" w:firstLineChars="0"/>
        <w:jc w:val="center"/>
        <w:rPr>
          <w:rFonts w:hint="eastAsia" w:ascii="Times New Roman" w:hAnsi="Times New Roman" w:eastAsia="仿宋" w:cs="Times New Roman"/>
          <w:b/>
          <w:color w:val="auto"/>
          <w:kern w:val="0"/>
          <w:sz w:val="30"/>
          <w:szCs w:val="20"/>
          <w:highlight w:val="none"/>
          <w:lang w:val="zh-CN" w:eastAsia="zh-CN" w:bidi="ar-SA"/>
        </w:rPr>
      </w:pPr>
    </w:p>
    <w:p w14:paraId="4AC30E46">
      <w:pPr>
        <w:pStyle w:val="7"/>
        <w:numPr>
          <w:ilvl w:val="0"/>
          <w:numId w:val="0"/>
        </w:numPr>
        <w:shd w:val="clear" w:color="auto" w:fill="auto"/>
        <w:ind w:left="0" w:leftChars="0" w:firstLine="0" w:firstLineChars="0"/>
        <w:jc w:val="center"/>
        <w:rPr>
          <w:rFonts w:hint="eastAsia" w:ascii="Times New Roman" w:hAnsi="Times New Roman" w:eastAsia="仿宋" w:cs="Times New Roman"/>
          <w:b/>
          <w:color w:val="auto"/>
          <w:kern w:val="0"/>
          <w:sz w:val="30"/>
          <w:szCs w:val="20"/>
          <w:highlight w:val="none"/>
          <w:lang w:val="zh-CN" w:eastAsia="zh-CN" w:bidi="ar-SA"/>
        </w:rPr>
      </w:pPr>
    </w:p>
    <w:p w14:paraId="35B26F54">
      <w:pPr>
        <w:pStyle w:val="7"/>
        <w:numPr>
          <w:ilvl w:val="0"/>
          <w:numId w:val="0"/>
        </w:numPr>
        <w:shd w:val="clear" w:color="auto" w:fill="auto"/>
        <w:ind w:left="0" w:leftChars="0" w:firstLine="0" w:firstLineChars="0"/>
        <w:jc w:val="center"/>
        <w:rPr>
          <w:rFonts w:hint="eastAsia" w:ascii="Times New Roman" w:hAnsi="Times New Roman" w:eastAsia="仿宋" w:cs="Times New Roman"/>
          <w:b/>
          <w:color w:val="auto"/>
          <w:kern w:val="0"/>
          <w:sz w:val="30"/>
          <w:szCs w:val="20"/>
          <w:highlight w:val="none"/>
          <w:lang w:val="zh-CN" w:eastAsia="zh-CN" w:bidi="ar-SA"/>
        </w:rPr>
      </w:pPr>
    </w:p>
    <w:p w14:paraId="2FBA69F6">
      <w:pPr>
        <w:pStyle w:val="7"/>
        <w:numPr>
          <w:ilvl w:val="0"/>
          <w:numId w:val="0"/>
        </w:numPr>
        <w:shd w:val="clear" w:color="auto" w:fill="auto"/>
        <w:ind w:left="0" w:leftChars="0" w:firstLine="0" w:firstLineChars="0"/>
        <w:jc w:val="center"/>
        <w:rPr>
          <w:rFonts w:hint="eastAsia" w:ascii="Times New Roman" w:hAnsi="Times New Roman" w:eastAsia="仿宋" w:cs="Times New Roman"/>
          <w:b/>
          <w:color w:val="auto"/>
          <w:kern w:val="0"/>
          <w:sz w:val="30"/>
          <w:szCs w:val="20"/>
          <w:highlight w:val="none"/>
          <w:lang w:val="zh-CN" w:eastAsia="zh-CN" w:bidi="ar-SA"/>
        </w:rPr>
      </w:pPr>
    </w:p>
    <w:p w14:paraId="6E64F2BD">
      <w:pPr>
        <w:pStyle w:val="7"/>
        <w:numPr>
          <w:ilvl w:val="0"/>
          <w:numId w:val="0"/>
        </w:numPr>
        <w:shd w:val="clear" w:color="auto" w:fill="auto"/>
        <w:ind w:left="0" w:leftChars="0" w:firstLine="0" w:firstLineChars="0"/>
        <w:jc w:val="center"/>
        <w:rPr>
          <w:rFonts w:hint="eastAsia" w:ascii="Times New Roman" w:hAnsi="Times New Roman" w:eastAsia="仿宋" w:cs="Times New Roman"/>
          <w:b/>
          <w:color w:val="auto"/>
          <w:kern w:val="0"/>
          <w:sz w:val="30"/>
          <w:szCs w:val="20"/>
          <w:highlight w:val="none"/>
          <w:lang w:val="zh-CN" w:eastAsia="zh-CN" w:bidi="ar-SA"/>
        </w:rPr>
      </w:pPr>
    </w:p>
    <w:p w14:paraId="46059C5B">
      <w:pPr>
        <w:pStyle w:val="7"/>
        <w:numPr>
          <w:ilvl w:val="0"/>
          <w:numId w:val="0"/>
        </w:numPr>
        <w:shd w:val="clear" w:color="auto" w:fill="auto"/>
        <w:ind w:left="0" w:leftChars="0" w:firstLine="0" w:firstLineChars="0"/>
        <w:jc w:val="center"/>
        <w:rPr>
          <w:rFonts w:hint="eastAsia" w:ascii="Times New Roman" w:hAnsi="Times New Roman" w:eastAsia="仿宋" w:cs="Times New Roman"/>
          <w:b/>
          <w:color w:val="auto"/>
          <w:kern w:val="0"/>
          <w:sz w:val="30"/>
          <w:szCs w:val="20"/>
          <w:highlight w:val="none"/>
          <w:lang w:val="zh-CN" w:eastAsia="zh-CN" w:bidi="ar-SA"/>
        </w:rPr>
      </w:pPr>
    </w:p>
    <w:p w14:paraId="69E8F518">
      <w:pPr>
        <w:pStyle w:val="7"/>
        <w:numPr>
          <w:ilvl w:val="0"/>
          <w:numId w:val="0"/>
        </w:numPr>
        <w:shd w:val="clear" w:color="auto" w:fill="auto"/>
        <w:ind w:left="0" w:leftChars="0" w:firstLine="0" w:firstLineChars="0"/>
        <w:jc w:val="center"/>
        <w:rPr>
          <w:rFonts w:hint="eastAsia" w:ascii="Times New Roman" w:hAnsi="Times New Roman" w:eastAsia="仿宋" w:cs="Times New Roman"/>
          <w:b/>
          <w:color w:val="auto"/>
          <w:kern w:val="0"/>
          <w:sz w:val="30"/>
          <w:szCs w:val="20"/>
          <w:highlight w:val="none"/>
          <w:lang w:val="zh-CN" w:eastAsia="zh-CN" w:bidi="ar-SA"/>
        </w:rPr>
      </w:pPr>
    </w:p>
    <w:p w14:paraId="53133971">
      <w:pPr>
        <w:pStyle w:val="7"/>
        <w:numPr>
          <w:ilvl w:val="0"/>
          <w:numId w:val="0"/>
        </w:numPr>
        <w:shd w:val="clear" w:color="auto" w:fill="auto"/>
        <w:ind w:left="0" w:leftChars="0" w:firstLine="0" w:firstLineChars="0"/>
        <w:jc w:val="center"/>
        <w:rPr>
          <w:rFonts w:hint="eastAsia" w:ascii="Times New Roman" w:hAnsi="Times New Roman" w:eastAsia="仿宋" w:cs="Times New Roman"/>
          <w:b/>
          <w:color w:val="auto"/>
          <w:kern w:val="0"/>
          <w:sz w:val="30"/>
          <w:szCs w:val="20"/>
          <w:highlight w:val="none"/>
          <w:lang w:val="zh-CN" w:eastAsia="zh-CN" w:bidi="ar-SA"/>
        </w:rPr>
      </w:pPr>
    </w:p>
    <w:p w14:paraId="7CEE04D5">
      <w:pPr>
        <w:pStyle w:val="7"/>
        <w:numPr>
          <w:ilvl w:val="0"/>
          <w:numId w:val="0"/>
        </w:numPr>
        <w:shd w:val="clear" w:color="auto" w:fill="auto"/>
        <w:ind w:left="0" w:leftChars="0" w:firstLine="0" w:firstLineChars="0"/>
        <w:jc w:val="center"/>
        <w:rPr>
          <w:rFonts w:hint="eastAsia" w:ascii="Times New Roman" w:hAnsi="Times New Roman" w:eastAsia="仿宋" w:cs="Times New Roman"/>
          <w:b/>
          <w:color w:val="auto"/>
          <w:kern w:val="0"/>
          <w:sz w:val="30"/>
          <w:szCs w:val="20"/>
          <w:highlight w:val="none"/>
          <w:lang w:val="zh-CN" w:eastAsia="zh-CN" w:bidi="ar-SA"/>
        </w:rPr>
      </w:pPr>
    </w:p>
    <w:p w14:paraId="120C827E">
      <w:pPr>
        <w:pStyle w:val="7"/>
        <w:numPr>
          <w:ilvl w:val="0"/>
          <w:numId w:val="0"/>
        </w:numPr>
        <w:shd w:val="clear" w:color="auto" w:fill="auto"/>
        <w:ind w:left="0" w:leftChars="0" w:firstLine="0" w:firstLineChars="0"/>
        <w:jc w:val="center"/>
        <w:rPr>
          <w:rFonts w:hint="eastAsia" w:ascii="Times New Roman" w:hAnsi="Times New Roman" w:eastAsia="仿宋" w:cs="Times New Roman"/>
          <w:b/>
          <w:color w:val="auto"/>
          <w:kern w:val="0"/>
          <w:sz w:val="30"/>
          <w:szCs w:val="20"/>
          <w:highlight w:val="none"/>
          <w:lang w:val="zh-CN" w:eastAsia="zh-CN" w:bidi="ar-SA"/>
        </w:rPr>
      </w:pPr>
    </w:p>
    <w:p w14:paraId="6E64209B">
      <w:pPr>
        <w:pStyle w:val="7"/>
        <w:numPr>
          <w:ilvl w:val="0"/>
          <w:numId w:val="0"/>
        </w:numPr>
        <w:shd w:val="clear" w:color="auto" w:fill="auto"/>
        <w:ind w:left="0" w:leftChars="0" w:firstLine="0" w:firstLineChars="0"/>
        <w:jc w:val="center"/>
        <w:rPr>
          <w:rFonts w:hint="eastAsia" w:ascii="Times New Roman" w:hAnsi="Times New Roman" w:eastAsia="仿宋" w:cs="Times New Roman"/>
          <w:b/>
          <w:color w:val="auto"/>
          <w:kern w:val="0"/>
          <w:sz w:val="30"/>
          <w:szCs w:val="20"/>
          <w:highlight w:val="none"/>
          <w:lang w:val="zh-CN" w:eastAsia="zh-CN" w:bidi="ar-SA"/>
        </w:rPr>
      </w:pPr>
    </w:p>
    <w:p w14:paraId="49C27242">
      <w:pPr>
        <w:pStyle w:val="7"/>
        <w:numPr>
          <w:ilvl w:val="0"/>
          <w:numId w:val="0"/>
        </w:numPr>
        <w:shd w:val="clear" w:color="auto" w:fill="auto"/>
        <w:ind w:left="0" w:leftChars="0" w:firstLine="0" w:firstLineChars="0"/>
        <w:jc w:val="center"/>
        <w:rPr>
          <w:rFonts w:hint="eastAsia" w:ascii="Times New Roman" w:hAnsi="Times New Roman" w:eastAsia="仿宋" w:cs="Times New Roman"/>
          <w:b/>
          <w:color w:val="auto"/>
          <w:kern w:val="0"/>
          <w:sz w:val="30"/>
          <w:szCs w:val="20"/>
          <w:highlight w:val="none"/>
          <w:lang w:val="zh-CN" w:eastAsia="zh-CN" w:bidi="ar-SA"/>
        </w:rPr>
      </w:pPr>
    </w:p>
    <w:p w14:paraId="0CEBFF52">
      <w:pPr>
        <w:pStyle w:val="7"/>
        <w:numPr>
          <w:ilvl w:val="0"/>
          <w:numId w:val="0"/>
        </w:numPr>
        <w:shd w:val="clear" w:color="auto" w:fill="auto"/>
        <w:ind w:left="0" w:leftChars="0" w:firstLine="0" w:firstLineChars="0"/>
        <w:jc w:val="center"/>
        <w:rPr>
          <w:rFonts w:hint="eastAsia" w:ascii="Times New Roman" w:hAnsi="Times New Roman" w:eastAsia="仿宋" w:cs="Times New Roman"/>
          <w:b/>
          <w:color w:val="auto"/>
          <w:kern w:val="0"/>
          <w:sz w:val="30"/>
          <w:szCs w:val="20"/>
          <w:highlight w:val="none"/>
          <w:lang w:val="zh-CN" w:eastAsia="zh-CN" w:bidi="ar-SA"/>
        </w:rPr>
      </w:pPr>
    </w:p>
    <w:p w14:paraId="31F2387D">
      <w:pPr>
        <w:pStyle w:val="7"/>
        <w:numPr>
          <w:ilvl w:val="0"/>
          <w:numId w:val="0"/>
        </w:numPr>
        <w:shd w:val="clear" w:color="auto" w:fill="auto"/>
        <w:ind w:left="0" w:leftChars="0" w:firstLine="0" w:firstLineChars="0"/>
        <w:jc w:val="center"/>
        <w:rPr>
          <w:rFonts w:hint="eastAsia" w:ascii="Times New Roman" w:hAnsi="Times New Roman" w:eastAsia="仿宋" w:cs="Times New Roman"/>
          <w:b/>
          <w:color w:val="auto"/>
          <w:kern w:val="0"/>
          <w:sz w:val="30"/>
          <w:szCs w:val="20"/>
          <w:highlight w:val="none"/>
          <w:lang w:val="zh-CN" w:eastAsia="zh-CN" w:bidi="ar-SA"/>
        </w:rPr>
      </w:pPr>
    </w:p>
    <w:p w14:paraId="7884145E">
      <w:pPr>
        <w:pStyle w:val="7"/>
        <w:numPr>
          <w:ilvl w:val="0"/>
          <w:numId w:val="0"/>
        </w:numPr>
        <w:shd w:val="clear" w:color="auto" w:fill="auto"/>
        <w:ind w:left="0" w:leftChars="0" w:firstLine="0" w:firstLineChars="0"/>
        <w:jc w:val="center"/>
        <w:rPr>
          <w:rFonts w:hint="eastAsia" w:ascii="Times New Roman" w:hAnsi="Times New Roman" w:eastAsia="仿宋" w:cs="Times New Roman"/>
          <w:b/>
          <w:color w:val="auto"/>
          <w:kern w:val="0"/>
          <w:sz w:val="30"/>
          <w:szCs w:val="20"/>
          <w:highlight w:val="none"/>
          <w:lang w:val="zh-CN" w:eastAsia="zh-CN" w:bidi="ar-SA"/>
        </w:rPr>
      </w:pPr>
    </w:p>
    <w:p w14:paraId="6FB2B97D">
      <w:pPr>
        <w:pStyle w:val="7"/>
        <w:numPr>
          <w:ilvl w:val="0"/>
          <w:numId w:val="0"/>
        </w:numPr>
        <w:shd w:val="clear" w:color="auto" w:fill="auto"/>
        <w:ind w:left="0" w:leftChars="0" w:firstLine="0" w:firstLineChars="0"/>
        <w:jc w:val="center"/>
        <w:rPr>
          <w:rFonts w:hint="eastAsia" w:ascii="Times New Roman" w:hAnsi="Times New Roman" w:eastAsia="仿宋" w:cs="Times New Roman"/>
          <w:b/>
          <w:color w:val="auto"/>
          <w:kern w:val="0"/>
          <w:sz w:val="30"/>
          <w:szCs w:val="20"/>
          <w:highlight w:val="none"/>
          <w:lang w:val="zh-CN" w:eastAsia="zh-CN" w:bidi="ar-SA"/>
        </w:rPr>
      </w:pPr>
    </w:p>
    <w:p w14:paraId="6A1D6689">
      <w:pPr>
        <w:pStyle w:val="7"/>
        <w:numPr>
          <w:ilvl w:val="0"/>
          <w:numId w:val="0"/>
        </w:numPr>
        <w:shd w:val="clear" w:color="auto" w:fill="auto"/>
        <w:ind w:left="0" w:leftChars="0" w:firstLine="0" w:firstLineChars="0"/>
        <w:jc w:val="center"/>
        <w:rPr>
          <w:rFonts w:hint="eastAsia" w:ascii="Times New Roman" w:hAnsi="Times New Roman" w:eastAsia="仿宋" w:cs="Times New Roman"/>
          <w:b/>
          <w:color w:val="auto"/>
          <w:kern w:val="0"/>
          <w:sz w:val="30"/>
          <w:szCs w:val="20"/>
          <w:highlight w:val="none"/>
          <w:lang w:val="zh-CN" w:eastAsia="zh-CN" w:bidi="ar-SA"/>
        </w:rPr>
      </w:pPr>
    </w:p>
    <w:p w14:paraId="3C4E6CD0">
      <w:pPr>
        <w:pStyle w:val="7"/>
        <w:numPr>
          <w:ilvl w:val="0"/>
          <w:numId w:val="0"/>
        </w:numPr>
        <w:shd w:val="clear" w:color="auto" w:fill="auto"/>
        <w:ind w:left="0" w:leftChars="0" w:firstLine="0" w:firstLineChars="0"/>
        <w:jc w:val="center"/>
        <w:rPr>
          <w:rFonts w:hint="eastAsia" w:ascii="Times New Roman" w:hAnsi="Times New Roman" w:eastAsia="仿宋" w:cs="Times New Roman"/>
          <w:b/>
          <w:color w:val="auto"/>
          <w:kern w:val="0"/>
          <w:sz w:val="30"/>
          <w:szCs w:val="20"/>
          <w:highlight w:val="none"/>
          <w:lang w:val="zh-CN" w:eastAsia="zh-CN" w:bidi="ar-SA"/>
        </w:rPr>
      </w:pPr>
    </w:p>
    <w:p w14:paraId="5F9C1864">
      <w:pPr>
        <w:pStyle w:val="7"/>
        <w:numPr>
          <w:ilvl w:val="0"/>
          <w:numId w:val="0"/>
        </w:numPr>
        <w:shd w:val="clear" w:color="auto" w:fill="auto"/>
        <w:ind w:left="0" w:leftChars="0" w:firstLine="0" w:firstLineChars="0"/>
        <w:jc w:val="center"/>
        <w:rPr>
          <w:rFonts w:hint="eastAsia" w:ascii="Times New Roman" w:hAnsi="Times New Roman" w:eastAsia="仿宋" w:cs="Times New Roman"/>
          <w:b/>
          <w:color w:val="auto"/>
          <w:kern w:val="0"/>
          <w:sz w:val="30"/>
          <w:szCs w:val="20"/>
          <w:highlight w:val="none"/>
          <w:lang w:val="zh-CN" w:eastAsia="zh-CN" w:bidi="ar-SA"/>
        </w:rPr>
      </w:pPr>
    </w:p>
    <w:p w14:paraId="2BE90333">
      <w:pPr>
        <w:pStyle w:val="7"/>
        <w:numPr>
          <w:ilvl w:val="0"/>
          <w:numId w:val="0"/>
        </w:numPr>
        <w:shd w:val="clear" w:color="auto" w:fill="auto"/>
        <w:ind w:left="0" w:leftChars="0" w:firstLine="0" w:firstLineChars="0"/>
        <w:jc w:val="center"/>
        <w:rPr>
          <w:rFonts w:hint="eastAsia" w:ascii="Times New Roman" w:hAnsi="Times New Roman" w:eastAsia="仿宋" w:cs="Times New Roman"/>
          <w:b/>
          <w:color w:val="auto"/>
          <w:kern w:val="0"/>
          <w:sz w:val="30"/>
          <w:szCs w:val="20"/>
          <w:highlight w:val="none"/>
          <w:lang w:val="zh-CN" w:eastAsia="zh-CN" w:bidi="ar-SA"/>
        </w:rPr>
      </w:pPr>
    </w:p>
    <w:p w14:paraId="4E8D00CD">
      <w:pPr>
        <w:pStyle w:val="7"/>
        <w:numPr>
          <w:ilvl w:val="0"/>
          <w:numId w:val="0"/>
        </w:numPr>
        <w:shd w:val="clear" w:color="auto" w:fill="auto"/>
        <w:ind w:left="0" w:leftChars="0" w:firstLine="0" w:firstLineChars="0"/>
        <w:jc w:val="center"/>
        <w:rPr>
          <w:rFonts w:hint="eastAsia" w:ascii="Times New Roman" w:hAnsi="Times New Roman" w:eastAsia="仿宋" w:cs="Times New Roman"/>
          <w:b/>
          <w:color w:val="auto"/>
          <w:kern w:val="0"/>
          <w:sz w:val="30"/>
          <w:szCs w:val="20"/>
          <w:highlight w:val="none"/>
          <w:lang w:val="zh-CN" w:eastAsia="zh-CN" w:bidi="ar-SA"/>
        </w:rPr>
      </w:pPr>
    </w:p>
    <w:p w14:paraId="0FFAFC53">
      <w:pPr>
        <w:pStyle w:val="7"/>
        <w:numPr>
          <w:ilvl w:val="0"/>
          <w:numId w:val="0"/>
        </w:numPr>
        <w:shd w:val="clear" w:color="auto" w:fill="auto"/>
        <w:ind w:left="0" w:leftChars="0" w:firstLine="0" w:firstLineChars="0"/>
        <w:jc w:val="center"/>
        <w:rPr>
          <w:rFonts w:hint="eastAsia" w:ascii="Times New Roman" w:hAnsi="Times New Roman" w:eastAsia="仿宋" w:cs="Times New Roman"/>
          <w:b/>
          <w:color w:val="auto"/>
          <w:kern w:val="0"/>
          <w:sz w:val="30"/>
          <w:szCs w:val="20"/>
          <w:highlight w:val="none"/>
          <w:lang w:val="zh-CN" w:eastAsia="zh-CN" w:bidi="ar-SA"/>
        </w:rPr>
      </w:pPr>
    </w:p>
    <w:p w14:paraId="75A4D38F">
      <w:pPr>
        <w:pStyle w:val="7"/>
        <w:numPr>
          <w:ilvl w:val="0"/>
          <w:numId w:val="0"/>
        </w:numPr>
        <w:shd w:val="clear" w:color="auto" w:fill="auto"/>
        <w:ind w:left="0" w:leftChars="0" w:firstLine="0" w:firstLineChars="0"/>
        <w:jc w:val="center"/>
        <w:rPr>
          <w:rFonts w:hint="eastAsia" w:ascii="Times New Roman" w:hAnsi="Times New Roman" w:eastAsia="仿宋" w:cs="Times New Roman"/>
          <w:b/>
          <w:color w:val="auto"/>
          <w:kern w:val="0"/>
          <w:sz w:val="30"/>
          <w:szCs w:val="20"/>
          <w:highlight w:val="none"/>
          <w:lang w:val="zh-CN" w:eastAsia="zh-CN" w:bidi="ar-SA"/>
        </w:rPr>
      </w:pPr>
    </w:p>
    <w:p w14:paraId="77DDB596">
      <w:pPr>
        <w:pStyle w:val="7"/>
        <w:numPr>
          <w:ilvl w:val="0"/>
          <w:numId w:val="0"/>
        </w:numPr>
        <w:shd w:val="clear" w:color="auto" w:fill="auto"/>
        <w:ind w:left="0" w:leftChars="0" w:firstLine="0" w:firstLineChars="0"/>
        <w:jc w:val="center"/>
        <w:rPr>
          <w:rFonts w:hint="eastAsia" w:ascii="Times New Roman" w:hAnsi="Times New Roman" w:eastAsia="仿宋" w:cs="Times New Roman"/>
          <w:b/>
          <w:color w:val="auto"/>
          <w:kern w:val="0"/>
          <w:sz w:val="30"/>
          <w:szCs w:val="20"/>
          <w:highlight w:val="none"/>
          <w:lang w:val="zh-CN" w:eastAsia="zh-CN" w:bidi="ar-SA"/>
        </w:rPr>
      </w:pPr>
    </w:p>
    <w:p w14:paraId="5AC2F46B">
      <w:pPr>
        <w:pStyle w:val="7"/>
        <w:numPr>
          <w:ilvl w:val="0"/>
          <w:numId w:val="0"/>
        </w:numPr>
        <w:shd w:val="clear" w:color="auto" w:fill="auto"/>
        <w:ind w:left="0" w:leftChars="0" w:firstLine="0" w:firstLineChars="0"/>
        <w:jc w:val="center"/>
        <w:rPr>
          <w:rFonts w:hint="eastAsia" w:ascii="Times New Roman" w:hAnsi="Times New Roman" w:eastAsia="仿宋" w:cs="Times New Roman"/>
          <w:b/>
          <w:color w:val="auto"/>
          <w:kern w:val="0"/>
          <w:sz w:val="30"/>
          <w:szCs w:val="20"/>
          <w:highlight w:val="none"/>
          <w:lang w:val="zh-CN" w:eastAsia="zh-CN" w:bidi="ar-SA"/>
        </w:rPr>
      </w:pPr>
    </w:p>
    <w:p w14:paraId="3FDB2755">
      <w:pPr>
        <w:pStyle w:val="7"/>
        <w:numPr>
          <w:ilvl w:val="0"/>
          <w:numId w:val="0"/>
        </w:numPr>
        <w:shd w:val="clear" w:color="auto" w:fill="auto"/>
        <w:ind w:left="0" w:leftChars="0" w:firstLine="0" w:firstLineChars="0"/>
        <w:jc w:val="center"/>
        <w:rPr>
          <w:rFonts w:hint="eastAsia" w:ascii="Times New Roman" w:hAnsi="Times New Roman" w:eastAsia="仿宋" w:cs="Times New Roman"/>
          <w:b/>
          <w:color w:val="auto"/>
          <w:kern w:val="0"/>
          <w:sz w:val="30"/>
          <w:szCs w:val="20"/>
          <w:highlight w:val="none"/>
          <w:lang w:val="zh-CN" w:eastAsia="zh-CN" w:bidi="ar-SA"/>
        </w:rPr>
      </w:pPr>
    </w:p>
    <w:p w14:paraId="6F8DBA19">
      <w:pPr>
        <w:pStyle w:val="7"/>
        <w:numPr>
          <w:ilvl w:val="0"/>
          <w:numId w:val="0"/>
        </w:numPr>
        <w:shd w:val="clear" w:color="auto" w:fill="auto"/>
        <w:ind w:left="0" w:leftChars="0" w:firstLine="0" w:firstLineChars="0"/>
        <w:jc w:val="center"/>
        <w:rPr>
          <w:rFonts w:hint="eastAsia" w:ascii="Times New Roman" w:hAnsi="Times New Roman" w:eastAsia="仿宋" w:cs="Times New Roman"/>
          <w:b/>
          <w:color w:val="auto"/>
          <w:kern w:val="0"/>
          <w:sz w:val="30"/>
          <w:szCs w:val="20"/>
          <w:highlight w:val="none"/>
          <w:lang w:val="zh-CN" w:eastAsia="zh-CN" w:bidi="ar-SA"/>
        </w:rPr>
      </w:pPr>
    </w:p>
    <w:p w14:paraId="7F59C48A">
      <w:pPr>
        <w:pStyle w:val="7"/>
        <w:numPr>
          <w:ilvl w:val="0"/>
          <w:numId w:val="0"/>
        </w:numPr>
        <w:shd w:val="clear" w:color="auto" w:fill="auto"/>
        <w:ind w:left="0" w:leftChars="0" w:firstLine="0" w:firstLineChars="0"/>
        <w:jc w:val="center"/>
        <w:rPr>
          <w:rFonts w:hint="eastAsia" w:ascii="Times New Roman" w:hAnsi="Times New Roman" w:eastAsia="仿宋" w:cs="Times New Roman"/>
          <w:b/>
          <w:color w:val="auto"/>
          <w:kern w:val="0"/>
          <w:sz w:val="30"/>
          <w:szCs w:val="20"/>
          <w:highlight w:val="none"/>
          <w:lang w:val="zh-CN" w:eastAsia="zh-CN" w:bidi="ar-SA"/>
        </w:rPr>
      </w:pPr>
    </w:p>
    <w:p w14:paraId="74ABA4B0">
      <w:pPr>
        <w:pStyle w:val="7"/>
        <w:numPr>
          <w:ilvl w:val="0"/>
          <w:numId w:val="0"/>
        </w:numPr>
        <w:shd w:val="clear" w:color="auto" w:fill="auto"/>
        <w:ind w:left="0" w:leftChars="0" w:firstLine="0" w:firstLineChars="0"/>
        <w:jc w:val="center"/>
        <w:rPr>
          <w:rFonts w:hint="eastAsia" w:ascii="Times New Roman" w:hAnsi="Times New Roman" w:eastAsia="仿宋" w:cs="Times New Roman"/>
          <w:b/>
          <w:color w:val="auto"/>
          <w:kern w:val="0"/>
          <w:sz w:val="30"/>
          <w:szCs w:val="20"/>
          <w:highlight w:val="none"/>
          <w:lang w:val="zh-CN" w:eastAsia="zh-CN" w:bidi="ar-SA"/>
        </w:rPr>
      </w:pPr>
    </w:p>
    <w:p w14:paraId="73F6BBC5">
      <w:pPr>
        <w:pStyle w:val="7"/>
        <w:numPr>
          <w:ilvl w:val="0"/>
          <w:numId w:val="0"/>
        </w:numPr>
        <w:shd w:val="clear" w:color="auto" w:fill="auto"/>
        <w:ind w:left="0" w:leftChars="0" w:firstLine="0" w:firstLineChars="0"/>
        <w:jc w:val="center"/>
        <w:rPr>
          <w:rFonts w:ascii="Times New Roman" w:hAnsi="Times New Roman" w:eastAsia="仿宋"/>
          <w:b/>
          <w:color w:val="auto"/>
          <w:kern w:val="0"/>
          <w:sz w:val="30"/>
          <w:szCs w:val="30"/>
          <w:highlight w:val="none"/>
          <w:shd w:val="clear" w:color="auto" w:fill="FFFFFF"/>
        </w:rPr>
      </w:pPr>
      <w:r>
        <w:rPr>
          <w:rFonts w:hint="eastAsia" w:ascii="Times New Roman" w:hAnsi="Times New Roman" w:eastAsia="仿宋"/>
          <w:b/>
          <w:color w:val="auto"/>
          <w:kern w:val="0"/>
          <w:sz w:val="30"/>
          <w:szCs w:val="30"/>
          <w:highlight w:val="none"/>
          <w:shd w:val="clear" w:color="auto" w:fill="FFFFFF"/>
          <w:lang w:val="en-US" w:eastAsia="zh-CN" w:bidi="ar-SA"/>
        </w:rPr>
        <w:t>（二）</w:t>
      </w:r>
      <w:r>
        <w:rPr>
          <w:rFonts w:ascii="Times New Roman" w:hAnsi="Times New Roman" w:eastAsia="仿宋"/>
          <w:b/>
          <w:color w:val="auto"/>
          <w:kern w:val="0"/>
          <w:sz w:val="30"/>
          <w:szCs w:val="30"/>
          <w:highlight w:val="none"/>
          <w:shd w:val="clear" w:color="auto" w:fill="FFFFFF"/>
        </w:rPr>
        <w:t>投标人性质</w:t>
      </w:r>
    </w:p>
    <w:p w14:paraId="73F390F7">
      <w:pPr>
        <w:shd w:val="clear" w:color="auto" w:fill="auto"/>
        <w:ind w:firstLine="0" w:firstLineChars="0"/>
        <w:jc w:val="center"/>
        <w:outlineLvl w:val="9"/>
        <w:rPr>
          <w:rFonts w:ascii="Times New Roman" w:hAnsi="Times New Roman" w:eastAsia="仿宋_GB2312"/>
          <w:color w:val="auto"/>
          <w:sz w:val="32"/>
          <w:szCs w:val="32"/>
          <w:highlight w:val="none"/>
        </w:rPr>
      </w:pPr>
      <w:bookmarkStart w:id="433" w:name="_Toc62194354"/>
    </w:p>
    <w:p w14:paraId="4D773E11">
      <w:pPr>
        <w:pStyle w:val="6"/>
        <w:shd w:val="clear" w:color="auto" w:fill="auto"/>
        <w:ind w:firstLine="0" w:firstLineChars="0"/>
        <w:jc w:val="center"/>
        <w:rPr>
          <w:rFonts w:hint="eastAsia" w:ascii="Times New Roman" w:hAnsi="Times New Roman" w:eastAsia="仿宋_GB2312"/>
          <w:color w:val="auto"/>
          <w:sz w:val="32"/>
          <w:szCs w:val="32"/>
          <w:highlight w:val="none"/>
        </w:rPr>
      </w:pPr>
      <w:bookmarkStart w:id="434" w:name="_Toc2760"/>
      <w:r>
        <w:rPr>
          <w:rFonts w:ascii="Times New Roman" w:hAnsi="Times New Roman" w:eastAsia="仿宋_GB2312"/>
          <w:color w:val="auto"/>
          <w:sz w:val="32"/>
          <w:szCs w:val="32"/>
          <w:highlight w:val="none"/>
        </w:rPr>
        <w:t>中小企业声明函</w:t>
      </w:r>
      <w:r>
        <w:rPr>
          <w:rFonts w:hint="eastAsia" w:ascii="Times New Roman" w:hAnsi="Times New Roman" w:eastAsia="仿宋_GB2312"/>
          <w:color w:val="auto"/>
          <w:sz w:val="32"/>
          <w:szCs w:val="32"/>
          <w:highlight w:val="none"/>
        </w:rPr>
        <w:t>（</w:t>
      </w:r>
      <w:r>
        <w:rPr>
          <w:rFonts w:ascii="Times New Roman" w:hAnsi="Times New Roman" w:eastAsia="仿宋_GB2312"/>
          <w:color w:val="auto"/>
          <w:sz w:val="32"/>
          <w:szCs w:val="32"/>
          <w:highlight w:val="none"/>
        </w:rPr>
        <w:t>货物</w:t>
      </w:r>
      <w:bookmarkEnd w:id="433"/>
      <w:r>
        <w:rPr>
          <w:rFonts w:hint="eastAsia" w:ascii="Times New Roman" w:hAnsi="Times New Roman" w:eastAsia="仿宋_GB2312"/>
          <w:color w:val="auto"/>
          <w:sz w:val="32"/>
          <w:szCs w:val="32"/>
          <w:highlight w:val="none"/>
        </w:rPr>
        <w:t>）</w:t>
      </w:r>
      <w:bookmarkEnd w:id="434"/>
    </w:p>
    <w:p w14:paraId="4E5D356C">
      <w:pPr>
        <w:shd w:val="clear" w:color="auto" w:fill="auto"/>
        <w:jc w:val="center"/>
        <w:rPr>
          <w:rFonts w:eastAsia="仿宋_GB2312"/>
          <w:color w:val="auto"/>
          <w:sz w:val="24"/>
          <w:szCs w:val="22"/>
          <w:highlight w:val="none"/>
        </w:rPr>
      </w:pPr>
      <w:r>
        <w:rPr>
          <w:rFonts w:eastAsia="仿宋_GB2312"/>
          <w:color w:val="auto"/>
          <w:sz w:val="24"/>
          <w:szCs w:val="22"/>
          <w:highlight w:val="none"/>
        </w:rPr>
        <w:t>（注</w:t>
      </w:r>
      <w:r>
        <w:rPr>
          <w:rFonts w:hint="eastAsia" w:eastAsia="仿宋_GB2312"/>
          <w:color w:val="auto"/>
          <w:kern w:val="0"/>
          <w:sz w:val="24"/>
          <w:highlight w:val="none"/>
        </w:rPr>
        <w:t>（</w:t>
      </w:r>
      <w:r>
        <w:rPr>
          <w:rFonts w:eastAsia="仿宋_GB2312"/>
          <w:color w:val="auto"/>
          <w:kern w:val="0"/>
          <w:sz w:val="24"/>
          <w:highlight w:val="none"/>
        </w:rPr>
        <w:t>联合体</w:t>
      </w:r>
      <w:r>
        <w:rPr>
          <w:rFonts w:hint="eastAsia" w:eastAsia="仿宋_GB2312"/>
          <w:color w:val="auto"/>
          <w:kern w:val="0"/>
          <w:sz w:val="24"/>
          <w:highlight w:val="none"/>
        </w:rPr>
        <w:t>）</w:t>
      </w:r>
      <w:r>
        <w:rPr>
          <w:rFonts w:eastAsia="仿宋_GB2312"/>
          <w:color w:val="auto"/>
          <w:sz w:val="24"/>
          <w:szCs w:val="22"/>
          <w:highlight w:val="none"/>
        </w:rPr>
        <w:t>：符合中小企业划型标准的企业请提供本函，不符合的不提供本函）</w:t>
      </w:r>
    </w:p>
    <w:p w14:paraId="4C6C0B9C">
      <w:pPr>
        <w:shd w:val="clear" w:color="auto" w:fill="auto"/>
        <w:snapToGrid w:val="0"/>
        <w:spacing w:before="120" w:beforeLines="50"/>
        <w:ind w:firstLine="480" w:firstLineChars="200"/>
        <w:rPr>
          <w:color w:val="auto"/>
          <w:sz w:val="24"/>
          <w:szCs w:val="22"/>
          <w:highlight w:val="none"/>
        </w:rPr>
      </w:pPr>
    </w:p>
    <w:p w14:paraId="542AC841">
      <w:pPr>
        <w:shd w:val="clear" w:color="auto" w:fill="auto"/>
        <w:spacing w:line="560" w:lineRule="exact"/>
        <w:ind w:firstLine="480" w:firstLineChars="200"/>
        <w:rPr>
          <w:rFonts w:eastAsia="仿宋_GB2312"/>
          <w:color w:val="auto"/>
          <w:kern w:val="0"/>
          <w:sz w:val="24"/>
          <w:highlight w:val="none"/>
        </w:rPr>
      </w:pPr>
      <w:r>
        <w:rPr>
          <w:rFonts w:eastAsia="仿宋_GB2312"/>
          <w:color w:val="auto"/>
          <w:kern w:val="0"/>
          <w:sz w:val="24"/>
          <w:highlight w:val="none"/>
        </w:rPr>
        <w:t>本公司郑重声明，根据《政府采购促进中小企业发展管理办法》</w:t>
      </w:r>
      <w:r>
        <w:rPr>
          <w:rFonts w:hint="eastAsia" w:eastAsia="仿宋_GB2312"/>
          <w:color w:val="auto"/>
          <w:kern w:val="0"/>
          <w:sz w:val="24"/>
          <w:highlight w:val="none"/>
        </w:rPr>
        <w:t>（</w:t>
      </w:r>
      <w:r>
        <w:rPr>
          <w:rFonts w:eastAsia="仿宋_GB2312"/>
          <w:color w:val="auto"/>
          <w:kern w:val="0"/>
          <w:sz w:val="24"/>
          <w:highlight w:val="none"/>
        </w:rPr>
        <w:t>财库</w:t>
      </w:r>
      <w:r>
        <w:rPr>
          <w:rFonts w:hint="eastAsia" w:eastAsia="仿宋_GB2312"/>
          <w:color w:val="auto"/>
          <w:kern w:val="0"/>
          <w:sz w:val="24"/>
          <w:highlight w:val="none"/>
        </w:rPr>
        <w:t>﹝</w:t>
      </w:r>
      <w:r>
        <w:rPr>
          <w:rFonts w:eastAsia="仿宋_GB2312"/>
          <w:color w:val="auto"/>
          <w:kern w:val="0"/>
          <w:sz w:val="24"/>
          <w:highlight w:val="none"/>
        </w:rPr>
        <w:t>2020</w:t>
      </w:r>
      <w:r>
        <w:rPr>
          <w:rFonts w:hint="eastAsia" w:eastAsia="仿宋_GB2312"/>
          <w:color w:val="auto"/>
          <w:kern w:val="0"/>
          <w:sz w:val="24"/>
          <w:highlight w:val="none"/>
        </w:rPr>
        <w:t>﹞</w:t>
      </w:r>
      <w:r>
        <w:rPr>
          <w:rFonts w:eastAsia="仿宋_GB2312"/>
          <w:color w:val="auto"/>
          <w:kern w:val="0"/>
          <w:sz w:val="24"/>
          <w:highlight w:val="none"/>
        </w:rPr>
        <w:t>46号</w:t>
      </w:r>
      <w:r>
        <w:rPr>
          <w:rFonts w:hint="eastAsia" w:eastAsia="仿宋_GB2312"/>
          <w:color w:val="auto"/>
          <w:kern w:val="0"/>
          <w:sz w:val="24"/>
          <w:highlight w:val="none"/>
        </w:rPr>
        <w:t>）</w:t>
      </w:r>
      <w:r>
        <w:rPr>
          <w:rFonts w:eastAsia="仿宋_GB2312"/>
          <w:color w:val="auto"/>
          <w:kern w:val="0"/>
          <w:sz w:val="24"/>
          <w:highlight w:val="none"/>
        </w:rPr>
        <w:t>的规定，本公司</w:t>
      </w:r>
      <w:r>
        <w:rPr>
          <w:rFonts w:hint="eastAsia" w:eastAsia="仿宋_GB2312"/>
          <w:color w:val="auto"/>
          <w:kern w:val="0"/>
          <w:sz w:val="24"/>
          <w:highlight w:val="none"/>
        </w:rPr>
        <w:t>（</w:t>
      </w:r>
      <w:r>
        <w:rPr>
          <w:rFonts w:eastAsia="仿宋_GB2312"/>
          <w:color w:val="auto"/>
          <w:kern w:val="0"/>
          <w:sz w:val="24"/>
          <w:highlight w:val="none"/>
        </w:rPr>
        <w:t>联合体</w:t>
      </w:r>
      <w:r>
        <w:rPr>
          <w:rFonts w:hint="eastAsia" w:eastAsia="仿宋_GB2312"/>
          <w:color w:val="auto"/>
          <w:kern w:val="0"/>
          <w:sz w:val="24"/>
          <w:highlight w:val="none"/>
        </w:rPr>
        <w:t>）</w:t>
      </w:r>
      <w:r>
        <w:rPr>
          <w:rFonts w:eastAsia="仿宋_GB2312"/>
          <w:color w:val="auto"/>
          <w:kern w:val="0"/>
          <w:sz w:val="24"/>
          <w:highlight w:val="none"/>
        </w:rPr>
        <w:t>参加</w:t>
      </w:r>
      <w:r>
        <w:rPr>
          <w:rFonts w:eastAsia="仿宋_GB2312"/>
          <w:color w:val="auto"/>
          <w:kern w:val="0"/>
          <w:sz w:val="24"/>
          <w:highlight w:val="none"/>
          <w:u w:val="single"/>
        </w:rPr>
        <w:t xml:space="preserve">  </w:t>
      </w:r>
      <w:r>
        <w:rPr>
          <w:rFonts w:hint="eastAsia" w:eastAsia="仿宋_GB2312"/>
          <w:color w:val="auto"/>
          <w:kern w:val="0"/>
          <w:sz w:val="24"/>
          <w:highlight w:val="none"/>
          <w:u w:val="single"/>
        </w:rPr>
        <w:t>（</w:t>
      </w:r>
      <w:r>
        <w:rPr>
          <w:rFonts w:eastAsia="仿宋_GB2312"/>
          <w:color w:val="auto"/>
          <w:kern w:val="0"/>
          <w:sz w:val="24"/>
          <w:highlight w:val="none"/>
          <w:u w:val="single"/>
        </w:rPr>
        <w:t>单位名称</w:t>
      </w:r>
      <w:r>
        <w:rPr>
          <w:rFonts w:hint="eastAsia" w:eastAsia="仿宋_GB2312"/>
          <w:color w:val="auto"/>
          <w:kern w:val="0"/>
          <w:sz w:val="24"/>
          <w:highlight w:val="none"/>
          <w:u w:val="single"/>
        </w:rPr>
        <w:t>）</w:t>
      </w:r>
      <w:r>
        <w:rPr>
          <w:rFonts w:eastAsia="仿宋_GB2312"/>
          <w:color w:val="auto"/>
          <w:kern w:val="0"/>
          <w:sz w:val="24"/>
          <w:highlight w:val="none"/>
          <w:u w:val="single"/>
        </w:rPr>
        <w:t xml:space="preserve"> </w:t>
      </w:r>
      <w:r>
        <w:rPr>
          <w:rFonts w:eastAsia="仿宋_GB2312"/>
          <w:color w:val="auto"/>
          <w:kern w:val="0"/>
          <w:sz w:val="24"/>
          <w:highlight w:val="none"/>
        </w:rPr>
        <w:t xml:space="preserve"> 的</w:t>
      </w:r>
      <w:r>
        <w:rPr>
          <w:rFonts w:eastAsia="仿宋_GB2312"/>
          <w:color w:val="auto"/>
          <w:kern w:val="0"/>
          <w:sz w:val="24"/>
          <w:highlight w:val="none"/>
          <w:u w:val="single"/>
        </w:rPr>
        <w:t xml:space="preserve"> </w:t>
      </w:r>
      <w:r>
        <w:rPr>
          <w:rFonts w:hint="eastAsia" w:eastAsia="仿宋_GB2312"/>
          <w:color w:val="auto"/>
          <w:kern w:val="0"/>
          <w:sz w:val="24"/>
          <w:highlight w:val="none"/>
          <w:u w:val="single"/>
        </w:rPr>
        <w:t>（</w:t>
      </w:r>
      <w:r>
        <w:rPr>
          <w:rFonts w:eastAsia="仿宋_GB2312"/>
          <w:color w:val="auto"/>
          <w:kern w:val="0"/>
          <w:sz w:val="24"/>
          <w:highlight w:val="none"/>
          <w:u w:val="single"/>
        </w:rPr>
        <w:t>项目名称</w:t>
      </w:r>
      <w:r>
        <w:rPr>
          <w:rFonts w:hint="eastAsia" w:eastAsia="仿宋_GB2312"/>
          <w:color w:val="auto"/>
          <w:kern w:val="0"/>
          <w:sz w:val="24"/>
          <w:highlight w:val="none"/>
          <w:u w:val="single"/>
        </w:rPr>
        <w:t>）</w:t>
      </w:r>
      <w:r>
        <w:rPr>
          <w:rFonts w:eastAsia="仿宋_GB2312"/>
          <w:color w:val="auto"/>
          <w:kern w:val="0"/>
          <w:sz w:val="24"/>
          <w:highlight w:val="none"/>
          <w:u w:val="single"/>
        </w:rPr>
        <w:t xml:space="preserve"> 采购</w:t>
      </w:r>
      <w:r>
        <w:rPr>
          <w:rFonts w:eastAsia="仿宋_GB2312"/>
          <w:color w:val="auto"/>
          <w:kern w:val="0"/>
          <w:sz w:val="24"/>
          <w:highlight w:val="none"/>
        </w:rPr>
        <w:t>活动，提供的货物全部由符合政策要求的中小企业制造。相关企业</w:t>
      </w:r>
      <w:r>
        <w:rPr>
          <w:rFonts w:hint="eastAsia" w:eastAsia="仿宋_GB2312"/>
          <w:color w:val="auto"/>
          <w:kern w:val="0"/>
          <w:sz w:val="24"/>
          <w:highlight w:val="none"/>
        </w:rPr>
        <w:t>（</w:t>
      </w:r>
      <w:r>
        <w:rPr>
          <w:rFonts w:eastAsia="仿宋_GB2312"/>
          <w:color w:val="auto"/>
          <w:kern w:val="0"/>
          <w:sz w:val="24"/>
          <w:highlight w:val="none"/>
        </w:rPr>
        <w:t>含联合体中的中小企业、签订分包意向协议的中小企业</w:t>
      </w:r>
      <w:r>
        <w:rPr>
          <w:rFonts w:hint="eastAsia" w:eastAsia="仿宋_GB2312"/>
          <w:color w:val="auto"/>
          <w:kern w:val="0"/>
          <w:sz w:val="24"/>
          <w:highlight w:val="none"/>
        </w:rPr>
        <w:t>）</w:t>
      </w:r>
      <w:r>
        <w:rPr>
          <w:rFonts w:eastAsia="仿宋_GB2312"/>
          <w:color w:val="auto"/>
          <w:kern w:val="0"/>
          <w:sz w:val="24"/>
          <w:highlight w:val="none"/>
        </w:rPr>
        <w:t>的具体情况如下：</w:t>
      </w:r>
    </w:p>
    <w:p w14:paraId="1064F475">
      <w:pPr>
        <w:shd w:val="clear" w:color="auto" w:fill="auto"/>
        <w:spacing w:line="560" w:lineRule="exact"/>
        <w:ind w:left="-10" w:leftChars="-5" w:firstLine="489" w:firstLineChars="204"/>
        <w:rPr>
          <w:rFonts w:eastAsia="仿宋_GB2312"/>
          <w:color w:val="auto"/>
          <w:kern w:val="0"/>
          <w:sz w:val="24"/>
          <w:highlight w:val="none"/>
        </w:rPr>
      </w:pPr>
      <w:r>
        <w:rPr>
          <w:rFonts w:hint="eastAsia" w:eastAsia="仿宋_GB2312"/>
          <w:color w:val="auto"/>
          <w:kern w:val="0"/>
          <w:sz w:val="24"/>
          <w:highlight w:val="none"/>
        </w:rPr>
        <w:t>1.</w:t>
      </w:r>
      <w:r>
        <w:rPr>
          <w:rFonts w:eastAsia="仿宋_GB2312"/>
          <w:color w:val="auto"/>
          <w:kern w:val="0"/>
          <w:sz w:val="24"/>
          <w:highlight w:val="none"/>
        </w:rPr>
        <w:t xml:space="preserve"> </w:t>
      </w:r>
      <w:r>
        <w:rPr>
          <w:rFonts w:eastAsia="仿宋_GB2312"/>
          <w:color w:val="auto"/>
          <w:kern w:val="0"/>
          <w:sz w:val="24"/>
          <w:highlight w:val="none"/>
          <w:u w:val="single"/>
        </w:rPr>
        <w:t xml:space="preserve"> </w:t>
      </w:r>
      <w:r>
        <w:rPr>
          <w:rFonts w:hint="eastAsia" w:eastAsia="仿宋_GB2312"/>
          <w:color w:val="auto"/>
          <w:kern w:val="0"/>
          <w:sz w:val="24"/>
          <w:highlight w:val="none"/>
          <w:u w:val="single"/>
        </w:rPr>
        <w:t>（</w:t>
      </w:r>
      <w:r>
        <w:rPr>
          <w:rFonts w:eastAsia="仿宋_GB2312"/>
          <w:color w:val="auto"/>
          <w:kern w:val="0"/>
          <w:sz w:val="24"/>
          <w:highlight w:val="none"/>
          <w:u w:val="single"/>
        </w:rPr>
        <w:t>标的名称</w:t>
      </w:r>
      <w:r>
        <w:rPr>
          <w:rFonts w:hint="eastAsia" w:eastAsia="仿宋_GB2312"/>
          <w:color w:val="auto"/>
          <w:kern w:val="0"/>
          <w:sz w:val="24"/>
          <w:highlight w:val="none"/>
          <w:u w:val="single"/>
        </w:rPr>
        <w:t>）</w:t>
      </w:r>
      <w:r>
        <w:rPr>
          <w:rFonts w:eastAsia="仿宋_GB2312"/>
          <w:color w:val="auto"/>
          <w:kern w:val="0"/>
          <w:sz w:val="24"/>
          <w:highlight w:val="none"/>
          <w:u w:val="single"/>
        </w:rPr>
        <w:t xml:space="preserve">  </w:t>
      </w:r>
      <w:r>
        <w:rPr>
          <w:rFonts w:eastAsia="仿宋_GB2312"/>
          <w:color w:val="auto"/>
          <w:kern w:val="0"/>
          <w:sz w:val="24"/>
          <w:highlight w:val="none"/>
        </w:rPr>
        <w:t>，属于</w:t>
      </w:r>
      <w:r>
        <w:rPr>
          <w:rFonts w:eastAsia="仿宋_GB2312"/>
          <w:color w:val="auto"/>
          <w:kern w:val="0"/>
          <w:sz w:val="24"/>
          <w:highlight w:val="none"/>
          <w:u w:val="single"/>
        </w:rPr>
        <w:t xml:space="preserve">  </w:t>
      </w:r>
      <w:r>
        <w:rPr>
          <w:rFonts w:hint="eastAsia" w:eastAsia="仿宋_GB2312"/>
          <w:color w:val="auto"/>
          <w:kern w:val="0"/>
          <w:sz w:val="24"/>
          <w:highlight w:val="none"/>
          <w:u w:val="single"/>
        </w:rPr>
        <w:t>（</w:t>
      </w:r>
      <w:r>
        <w:rPr>
          <w:rFonts w:eastAsia="仿宋_GB2312"/>
          <w:color w:val="auto"/>
          <w:kern w:val="0"/>
          <w:sz w:val="24"/>
          <w:highlight w:val="none"/>
          <w:u w:val="single"/>
        </w:rPr>
        <w:t xml:space="preserve"> 采购文件中明确的所属行业</w:t>
      </w:r>
      <w:r>
        <w:rPr>
          <w:rFonts w:hint="eastAsia" w:eastAsia="仿宋_GB2312"/>
          <w:color w:val="auto"/>
          <w:kern w:val="0"/>
          <w:sz w:val="24"/>
          <w:highlight w:val="none"/>
          <w:u w:val="single"/>
        </w:rPr>
        <w:t>）</w:t>
      </w:r>
      <w:r>
        <w:rPr>
          <w:rFonts w:eastAsia="仿宋_GB2312"/>
          <w:color w:val="auto"/>
          <w:kern w:val="0"/>
          <w:sz w:val="24"/>
          <w:highlight w:val="none"/>
          <w:u w:val="single"/>
        </w:rPr>
        <w:t xml:space="preserve"> 行业</w:t>
      </w:r>
      <w:r>
        <w:rPr>
          <w:rFonts w:eastAsia="仿宋_GB2312"/>
          <w:color w:val="auto"/>
          <w:kern w:val="0"/>
          <w:sz w:val="24"/>
          <w:highlight w:val="none"/>
        </w:rPr>
        <w:t xml:space="preserve"> ；制造商为</w:t>
      </w:r>
      <w:r>
        <w:rPr>
          <w:rFonts w:eastAsia="仿宋_GB2312"/>
          <w:color w:val="auto"/>
          <w:kern w:val="0"/>
          <w:sz w:val="24"/>
          <w:highlight w:val="none"/>
          <w:u w:val="single"/>
        </w:rPr>
        <w:t xml:space="preserve"> </w:t>
      </w:r>
      <w:r>
        <w:rPr>
          <w:rFonts w:hint="eastAsia" w:eastAsia="仿宋_GB2312"/>
          <w:color w:val="auto"/>
          <w:kern w:val="0"/>
          <w:sz w:val="24"/>
          <w:highlight w:val="none"/>
          <w:u w:val="single"/>
        </w:rPr>
        <w:t>（</w:t>
      </w:r>
      <w:r>
        <w:rPr>
          <w:rFonts w:eastAsia="仿宋_GB2312"/>
          <w:color w:val="auto"/>
          <w:kern w:val="0"/>
          <w:sz w:val="24"/>
          <w:highlight w:val="none"/>
          <w:u w:val="single"/>
        </w:rPr>
        <w:t>企业名称</w:t>
      </w:r>
      <w:r>
        <w:rPr>
          <w:rFonts w:hint="eastAsia" w:eastAsia="仿宋_GB2312"/>
          <w:color w:val="auto"/>
          <w:kern w:val="0"/>
          <w:sz w:val="24"/>
          <w:highlight w:val="none"/>
          <w:u w:val="single"/>
        </w:rPr>
        <w:t>）</w:t>
      </w:r>
      <w:r>
        <w:rPr>
          <w:rFonts w:eastAsia="仿宋_GB2312"/>
          <w:color w:val="auto"/>
          <w:kern w:val="0"/>
          <w:sz w:val="24"/>
          <w:highlight w:val="none"/>
          <w:u w:val="single"/>
        </w:rPr>
        <w:t xml:space="preserve">  </w:t>
      </w:r>
      <w:r>
        <w:rPr>
          <w:rFonts w:eastAsia="仿宋_GB2312"/>
          <w:color w:val="auto"/>
          <w:kern w:val="0"/>
          <w:sz w:val="24"/>
          <w:highlight w:val="none"/>
        </w:rPr>
        <w:t>，从业人员</w:t>
      </w:r>
      <w:r>
        <w:rPr>
          <w:rFonts w:eastAsia="仿宋_GB2312"/>
          <w:color w:val="auto"/>
          <w:kern w:val="0"/>
          <w:sz w:val="24"/>
          <w:highlight w:val="none"/>
          <w:u w:val="single"/>
        </w:rPr>
        <w:t xml:space="preserve">      </w:t>
      </w:r>
      <w:r>
        <w:rPr>
          <w:rFonts w:eastAsia="仿宋_GB2312"/>
          <w:color w:val="auto"/>
          <w:kern w:val="0"/>
          <w:sz w:val="24"/>
          <w:highlight w:val="none"/>
        </w:rPr>
        <w:t>人，营业收入为</w:t>
      </w:r>
      <w:r>
        <w:rPr>
          <w:rFonts w:eastAsia="仿宋_GB2312"/>
          <w:color w:val="auto"/>
          <w:kern w:val="0"/>
          <w:sz w:val="24"/>
          <w:highlight w:val="none"/>
          <w:u w:val="single"/>
        </w:rPr>
        <w:t xml:space="preserve">     </w:t>
      </w:r>
      <w:r>
        <w:rPr>
          <w:rFonts w:eastAsia="仿宋_GB2312"/>
          <w:color w:val="auto"/>
          <w:kern w:val="0"/>
          <w:sz w:val="24"/>
          <w:highlight w:val="none"/>
        </w:rPr>
        <w:t>万元，资产总额为</w:t>
      </w:r>
      <w:r>
        <w:rPr>
          <w:rFonts w:eastAsia="仿宋_GB2312"/>
          <w:color w:val="auto"/>
          <w:kern w:val="0"/>
          <w:sz w:val="24"/>
          <w:highlight w:val="none"/>
          <w:u w:val="single"/>
        </w:rPr>
        <w:t xml:space="preserve">     </w:t>
      </w:r>
      <w:r>
        <w:rPr>
          <w:rFonts w:eastAsia="仿宋_GB2312"/>
          <w:color w:val="auto"/>
          <w:kern w:val="0"/>
          <w:sz w:val="24"/>
          <w:highlight w:val="none"/>
        </w:rPr>
        <w:t xml:space="preserve">万元，属于 </w:t>
      </w:r>
      <w:r>
        <w:rPr>
          <w:rFonts w:hint="eastAsia" w:eastAsia="仿宋_GB2312"/>
          <w:color w:val="auto"/>
          <w:kern w:val="0"/>
          <w:sz w:val="24"/>
          <w:highlight w:val="none"/>
          <w:u w:val="single"/>
        </w:rPr>
        <w:t>（</w:t>
      </w:r>
      <w:r>
        <w:rPr>
          <w:rFonts w:eastAsia="仿宋_GB2312"/>
          <w:color w:val="auto"/>
          <w:kern w:val="0"/>
          <w:sz w:val="24"/>
          <w:highlight w:val="none"/>
          <w:u w:val="single"/>
        </w:rPr>
        <w:t>中型企业、小型企业、微型企业）</w:t>
      </w:r>
      <w:r>
        <w:rPr>
          <w:rFonts w:eastAsia="仿宋_GB2312"/>
          <w:color w:val="auto"/>
          <w:kern w:val="0"/>
          <w:sz w:val="24"/>
          <w:highlight w:val="none"/>
        </w:rPr>
        <w:t>；</w:t>
      </w:r>
    </w:p>
    <w:p w14:paraId="21A8BF91">
      <w:pPr>
        <w:shd w:val="clear" w:color="auto" w:fill="auto"/>
        <w:spacing w:line="560" w:lineRule="exact"/>
        <w:ind w:left="-10" w:leftChars="-5" w:firstLine="489" w:firstLineChars="204"/>
        <w:rPr>
          <w:rFonts w:eastAsia="仿宋_GB2312"/>
          <w:color w:val="auto"/>
          <w:kern w:val="0"/>
          <w:sz w:val="24"/>
          <w:highlight w:val="none"/>
        </w:rPr>
      </w:pPr>
      <w:r>
        <w:rPr>
          <w:rFonts w:hint="eastAsia" w:eastAsia="仿宋_GB2312"/>
          <w:color w:val="auto"/>
          <w:kern w:val="0"/>
          <w:sz w:val="24"/>
          <w:highlight w:val="none"/>
        </w:rPr>
        <w:t>2.</w:t>
      </w:r>
      <w:r>
        <w:rPr>
          <w:rFonts w:eastAsia="仿宋_GB2312"/>
          <w:color w:val="auto"/>
          <w:kern w:val="0"/>
          <w:sz w:val="24"/>
          <w:highlight w:val="none"/>
        </w:rPr>
        <w:t xml:space="preserve"> </w:t>
      </w:r>
      <w:r>
        <w:rPr>
          <w:rFonts w:eastAsia="仿宋_GB2312"/>
          <w:color w:val="auto"/>
          <w:kern w:val="0"/>
          <w:sz w:val="24"/>
          <w:highlight w:val="none"/>
          <w:u w:val="single"/>
        </w:rPr>
        <w:t xml:space="preserve"> </w:t>
      </w:r>
      <w:r>
        <w:rPr>
          <w:rFonts w:hint="eastAsia" w:eastAsia="仿宋_GB2312"/>
          <w:color w:val="auto"/>
          <w:kern w:val="0"/>
          <w:sz w:val="24"/>
          <w:highlight w:val="none"/>
          <w:u w:val="single"/>
        </w:rPr>
        <w:t>（</w:t>
      </w:r>
      <w:r>
        <w:rPr>
          <w:rFonts w:eastAsia="仿宋_GB2312"/>
          <w:color w:val="auto"/>
          <w:kern w:val="0"/>
          <w:sz w:val="24"/>
          <w:highlight w:val="none"/>
          <w:u w:val="single"/>
        </w:rPr>
        <w:t>标的名称</w:t>
      </w:r>
      <w:r>
        <w:rPr>
          <w:rFonts w:hint="eastAsia" w:eastAsia="仿宋_GB2312"/>
          <w:color w:val="auto"/>
          <w:kern w:val="0"/>
          <w:sz w:val="24"/>
          <w:highlight w:val="none"/>
          <w:u w:val="single"/>
        </w:rPr>
        <w:t>）</w:t>
      </w:r>
      <w:r>
        <w:rPr>
          <w:rFonts w:eastAsia="仿宋_GB2312"/>
          <w:color w:val="auto"/>
          <w:kern w:val="0"/>
          <w:sz w:val="24"/>
          <w:highlight w:val="none"/>
          <w:u w:val="single"/>
        </w:rPr>
        <w:t xml:space="preserve">  </w:t>
      </w:r>
      <w:r>
        <w:rPr>
          <w:rFonts w:eastAsia="仿宋_GB2312"/>
          <w:color w:val="auto"/>
          <w:kern w:val="0"/>
          <w:sz w:val="24"/>
          <w:highlight w:val="none"/>
        </w:rPr>
        <w:t>，属于</w:t>
      </w:r>
      <w:r>
        <w:rPr>
          <w:rFonts w:eastAsia="仿宋_GB2312"/>
          <w:color w:val="auto"/>
          <w:kern w:val="0"/>
          <w:sz w:val="24"/>
          <w:highlight w:val="none"/>
          <w:u w:val="single"/>
        </w:rPr>
        <w:t xml:space="preserve">  </w:t>
      </w:r>
      <w:r>
        <w:rPr>
          <w:rFonts w:hint="eastAsia" w:eastAsia="仿宋_GB2312"/>
          <w:color w:val="auto"/>
          <w:kern w:val="0"/>
          <w:sz w:val="24"/>
          <w:highlight w:val="none"/>
          <w:u w:val="single"/>
        </w:rPr>
        <w:t>（</w:t>
      </w:r>
      <w:r>
        <w:rPr>
          <w:rFonts w:eastAsia="仿宋_GB2312"/>
          <w:color w:val="auto"/>
          <w:kern w:val="0"/>
          <w:sz w:val="24"/>
          <w:highlight w:val="none"/>
          <w:u w:val="single"/>
        </w:rPr>
        <w:t xml:space="preserve"> 采购文件中明确的所属行业</w:t>
      </w:r>
      <w:r>
        <w:rPr>
          <w:rFonts w:hint="eastAsia" w:eastAsia="仿宋_GB2312"/>
          <w:color w:val="auto"/>
          <w:kern w:val="0"/>
          <w:sz w:val="24"/>
          <w:highlight w:val="none"/>
          <w:u w:val="single"/>
        </w:rPr>
        <w:t>）</w:t>
      </w:r>
      <w:r>
        <w:rPr>
          <w:rFonts w:eastAsia="仿宋_GB2312"/>
          <w:color w:val="auto"/>
          <w:kern w:val="0"/>
          <w:sz w:val="24"/>
          <w:highlight w:val="none"/>
          <w:u w:val="single"/>
        </w:rPr>
        <w:t xml:space="preserve"> 行业</w:t>
      </w:r>
      <w:r>
        <w:rPr>
          <w:rFonts w:eastAsia="仿宋_GB2312"/>
          <w:color w:val="auto"/>
          <w:kern w:val="0"/>
          <w:sz w:val="24"/>
          <w:highlight w:val="none"/>
        </w:rPr>
        <w:t xml:space="preserve"> ；制造商为</w:t>
      </w:r>
      <w:r>
        <w:rPr>
          <w:rFonts w:eastAsia="仿宋_GB2312"/>
          <w:color w:val="auto"/>
          <w:kern w:val="0"/>
          <w:sz w:val="24"/>
          <w:highlight w:val="none"/>
          <w:u w:val="single"/>
        </w:rPr>
        <w:t xml:space="preserve"> </w:t>
      </w:r>
      <w:r>
        <w:rPr>
          <w:rFonts w:hint="eastAsia" w:eastAsia="仿宋_GB2312"/>
          <w:color w:val="auto"/>
          <w:kern w:val="0"/>
          <w:sz w:val="24"/>
          <w:highlight w:val="none"/>
          <w:u w:val="single"/>
        </w:rPr>
        <w:t>（</w:t>
      </w:r>
      <w:r>
        <w:rPr>
          <w:rFonts w:eastAsia="仿宋_GB2312"/>
          <w:color w:val="auto"/>
          <w:kern w:val="0"/>
          <w:sz w:val="24"/>
          <w:highlight w:val="none"/>
          <w:u w:val="single"/>
        </w:rPr>
        <w:t>企业名称</w:t>
      </w:r>
      <w:r>
        <w:rPr>
          <w:rFonts w:hint="eastAsia" w:eastAsia="仿宋_GB2312"/>
          <w:color w:val="auto"/>
          <w:kern w:val="0"/>
          <w:sz w:val="24"/>
          <w:highlight w:val="none"/>
          <w:u w:val="single"/>
        </w:rPr>
        <w:t>）</w:t>
      </w:r>
      <w:r>
        <w:rPr>
          <w:rFonts w:eastAsia="仿宋_GB2312"/>
          <w:color w:val="auto"/>
          <w:kern w:val="0"/>
          <w:sz w:val="24"/>
          <w:highlight w:val="none"/>
          <w:u w:val="single"/>
        </w:rPr>
        <w:t xml:space="preserve">  </w:t>
      </w:r>
      <w:r>
        <w:rPr>
          <w:rFonts w:eastAsia="仿宋_GB2312"/>
          <w:color w:val="auto"/>
          <w:kern w:val="0"/>
          <w:sz w:val="24"/>
          <w:highlight w:val="none"/>
        </w:rPr>
        <w:t>，从业人员</w:t>
      </w:r>
      <w:r>
        <w:rPr>
          <w:rFonts w:eastAsia="仿宋_GB2312"/>
          <w:color w:val="auto"/>
          <w:kern w:val="0"/>
          <w:sz w:val="24"/>
          <w:highlight w:val="none"/>
          <w:u w:val="single"/>
        </w:rPr>
        <w:t xml:space="preserve">      </w:t>
      </w:r>
      <w:r>
        <w:rPr>
          <w:rFonts w:eastAsia="仿宋_GB2312"/>
          <w:color w:val="auto"/>
          <w:kern w:val="0"/>
          <w:sz w:val="24"/>
          <w:highlight w:val="none"/>
        </w:rPr>
        <w:t>人，营业收入为</w:t>
      </w:r>
      <w:r>
        <w:rPr>
          <w:rFonts w:eastAsia="仿宋_GB2312"/>
          <w:color w:val="auto"/>
          <w:kern w:val="0"/>
          <w:sz w:val="24"/>
          <w:highlight w:val="none"/>
          <w:u w:val="single"/>
        </w:rPr>
        <w:t xml:space="preserve">     </w:t>
      </w:r>
      <w:r>
        <w:rPr>
          <w:rFonts w:eastAsia="仿宋_GB2312"/>
          <w:color w:val="auto"/>
          <w:kern w:val="0"/>
          <w:sz w:val="24"/>
          <w:highlight w:val="none"/>
        </w:rPr>
        <w:t>万元，资产总额为</w:t>
      </w:r>
      <w:r>
        <w:rPr>
          <w:rFonts w:eastAsia="仿宋_GB2312"/>
          <w:color w:val="auto"/>
          <w:kern w:val="0"/>
          <w:sz w:val="24"/>
          <w:highlight w:val="none"/>
          <w:u w:val="single"/>
        </w:rPr>
        <w:t xml:space="preserve">     </w:t>
      </w:r>
      <w:r>
        <w:rPr>
          <w:rFonts w:eastAsia="仿宋_GB2312"/>
          <w:color w:val="auto"/>
          <w:kern w:val="0"/>
          <w:sz w:val="24"/>
          <w:highlight w:val="none"/>
        </w:rPr>
        <w:t xml:space="preserve">万元，属于 </w:t>
      </w:r>
      <w:r>
        <w:rPr>
          <w:rFonts w:hint="eastAsia" w:eastAsia="仿宋_GB2312"/>
          <w:color w:val="auto"/>
          <w:kern w:val="0"/>
          <w:sz w:val="24"/>
          <w:highlight w:val="none"/>
          <w:u w:val="single"/>
        </w:rPr>
        <w:t>（</w:t>
      </w:r>
      <w:r>
        <w:rPr>
          <w:rFonts w:eastAsia="仿宋_GB2312"/>
          <w:color w:val="auto"/>
          <w:kern w:val="0"/>
          <w:sz w:val="24"/>
          <w:highlight w:val="none"/>
          <w:u w:val="single"/>
        </w:rPr>
        <w:t>中型企业、小型企业、微型企业）</w:t>
      </w:r>
      <w:r>
        <w:rPr>
          <w:rFonts w:eastAsia="仿宋_GB2312"/>
          <w:color w:val="auto"/>
          <w:kern w:val="0"/>
          <w:sz w:val="24"/>
          <w:highlight w:val="none"/>
        </w:rPr>
        <w:t>；</w:t>
      </w:r>
    </w:p>
    <w:p w14:paraId="7E7361A5">
      <w:pPr>
        <w:shd w:val="clear" w:color="auto" w:fill="auto"/>
        <w:spacing w:line="560" w:lineRule="exact"/>
        <w:ind w:firstLine="480" w:firstLineChars="200"/>
        <w:rPr>
          <w:rFonts w:eastAsia="仿宋_GB2312"/>
          <w:color w:val="auto"/>
          <w:kern w:val="0"/>
          <w:sz w:val="24"/>
          <w:highlight w:val="none"/>
        </w:rPr>
      </w:pPr>
      <w:r>
        <w:rPr>
          <w:rFonts w:eastAsia="仿宋_GB2312"/>
          <w:color w:val="auto"/>
          <w:kern w:val="0"/>
          <w:sz w:val="24"/>
          <w:highlight w:val="none"/>
        </w:rPr>
        <w:t>……</w:t>
      </w:r>
    </w:p>
    <w:p w14:paraId="5EFF6319">
      <w:pPr>
        <w:shd w:val="clear" w:color="auto" w:fill="auto"/>
        <w:spacing w:line="560" w:lineRule="exact"/>
        <w:ind w:firstLine="480" w:firstLineChars="200"/>
        <w:rPr>
          <w:rFonts w:eastAsia="仿宋_GB2312"/>
          <w:color w:val="auto"/>
          <w:kern w:val="0"/>
          <w:sz w:val="24"/>
          <w:highlight w:val="none"/>
        </w:rPr>
      </w:pPr>
      <w:r>
        <w:rPr>
          <w:rFonts w:eastAsia="仿宋_GB2312"/>
          <w:color w:val="auto"/>
          <w:kern w:val="0"/>
          <w:sz w:val="24"/>
          <w:highlight w:val="none"/>
        </w:rPr>
        <w:t>以上企业，不属于大企业的分支机构，不存在控股股东为大企业的情形，也不存在与大企业的负责人为同一人的情形。</w:t>
      </w:r>
    </w:p>
    <w:p w14:paraId="51B3672A">
      <w:pPr>
        <w:shd w:val="clear" w:color="auto" w:fill="auto"/>
        <w:spacing w:line="560" w:lineRule="exact"/>
        <w:ind w:firstLine="480" w:firstLineChars="200"/>
        <w:rPr>
          <w:rFonts w:eastAsia="仿宋_GB2312"/>
          <w:color w:val="auto"/>
          <w:kern w:val="0"/>
          <w:sz w:val="24"/>
          <w:highlight w:val="none"/>
        </w:rPr>
      </w:pPr>
      <w:r>
        <w:rPr>
          <w:rFonts w:eastAsia="仿宋_GB2312"/>
          <w:color w:val="auto"/>
          <w:kern w:val="0"/>
          <w:sz w:val="24"/>
          <w:highlight w:val="none"/>
        </w:rPr>
        <w:t>本企业对上述声明内容的真实性负责。如有虚假，将依法承担相应责任。</w:t>
      </w:r>
    </w:p>
    <w:p w14:paraId="71ABC6EB">
      <w:pPr>
        <w:shd w:val="clear" w:color="auto" w:fill="auto"/>
        <w:spacing w:line="560" w:lineRule="exact"/>
        <w:ind w:firstLine="3480" w:firstLineChars="1450"/>
        <w:rPr>
          <w:rFonts w:eastAsia="仿宋_GB2312"/>
          <w:color w:val="auto"/>
          <w:kern w:val="0"/>
          <w:sz w:val="24"/>
          <w:highlight w:val="none"/>
        </w:rPr>
      </w:pPr>
    </w:p>
    <w:p w14:paraId="080C6AA8">
      <w:pPr>
        <w:shd w:val="clear" w:color="auto" w:fill="auto"/>
        <w:spacing w:line="560" w:lineRule="exact"/>
        <w:ind w:firstLine="3480" w:firstLineChars="1450"/>
        <w:rPr>
          <w:rFonts w:eastAsia="仿宋_GB2312"/>
          <w:color w:val="auto"/>
          <w:kern w:val="0"/>
          <w:sz w:val="24"/>
          <w:highlight w:val="none"/>
        </w:rPr>
      </w:pPr>
    </w:p>
    <w:p w14:paraId="7B20DFBC">
      <w:pPr>
        <w:shd w:val="clear" w:color="auto" w:fill="auto"/>
        <w:spacing w:line="560" w:lineRule="exact"/>
        <w:ind w:firstLine="3480" w:firstLineChars="1450"/>
        <w:rPr>
          <w:rFonts w:eastAsia="仿宋_GB2312"/>
          <w:color w:val="auto"/>
          <w:kern w:val="0"/>
          <w:sz w:val="24"/>
          <w:highlight w:val="none"/>
        </w:rPr>
      </w:pPr>
      <w:r>
        <w:rPr>
          <w:rFonts w:eastAsia="仿宋_GB2312"/>
          <w:color w:val="auto"/>
          <w:kern w:val="0"/>
          <w:sz w:val="24"/>
          <w:highlight w:val="none"/>
        </w:rPr>
        <w:t>企业名称</w:t>
      </w:r>
      <w:r>
        <w:rPr>
          <w:rFonts w:hint="eastAsia" w:eastAsia="仿宋_GB2312"/>
          <w:color w:val="auto"/>
          <w:kern w:val="0"/>
          <w:sz w:val="24"/>
          <w:highlight w:val="none"/>
        </w:rPr>
        <w:t>（</w:t>
      </w:r>
      <w:r>
        <w:rPr>
          <w:rFonts w:eastAsia="仿宋_GB2312"/>
          <w:color w:val="auto"/>
          <w:kern w:val="0"/>
          <w:sz w:val="24"/>
          <w:highlight w:val="none"/>
        </w:rPr>
        <w:t>盖章</w:t>
      </w:r>
      <w:r>
        <w:rPr>
          <w:rFonts w:hint="eastAsia" w:eastAsia="仿宋_GB2312"/>
          <w:color w:val="auto"/>
          <w:kern w:val="0"/>
          <w:sz w:val="24"/>
          <w:highlight w:val="none"/>
        </w:rPr>
        <w:t>）</w:t>
      </w:r>
      <w:r>
        <w:rPr>
          <w:rFonts w:eastAsia="仿宋_GB2312"/>
          <w:color w:val="auto"/>
          <w:kern w:val="0"/>
          <w:sz w:val="24"/>
          <w:highlight w:val="none"/>
        </w:rPr>
        <w:t>：</w:t>
      </w:r>
    </w:p>
    <w:p w14:paraId="773299D8">
      <w:pPr>
        <w:shd w:val="clear" w:color="auto" w:fill="auto"/>
        <w:spacing w:line="560" w:lineRule="exact"/>
        <w:ind w:firstLine="3480" w:firstLineChars="1450"/>
        <w:rPr>
          <w:rFonts w:eastAsia="仿宋_GB2312"/>
          <w:color w:val="auto"/>
          <w:kern w:val="0"/>
          <w:sz w:val="24"/>
          <w:szCs w:val="22"/>
          <w:highlight w:val="none"/>
        </w:rPr>
      </w:pPr>
      <w:r>
        <w:rPr>
          <w:rFonts w:eastAsia="仿宋_GB2312"/>
          <w:color w:val="auto"/>
          <w:kern w:val="0"/>
          <w:sz w:val="24"/>
          <w:highlight w:val="none"/>
        </w:rPr>
        <w:t>日期：</w:t>
      </w:r>
    </w:p>
    <w:p w14:paraId="1751E010">
      <w:pPr>
        <w:shd w:val="clear" w:color="auto" w:fill="auto"/>
        <w:spacing w:line="360" w:lineRule="auto"/>
        <w:rPr>
          <w:rFonts w:eastAsia="Arial Unicode MS"/>
          <w:color w:val="auto"/>
          <w:highlight w:val="none"/>
        </w:rPr>
      </w:pPr>
    </w:p>
    <w:p w14:paraId="066B2226">
      <w:pPr>
        <w:shd w:val="clear" w:color="auto" w:fill="auto"/>
        <w:ind w:left="450" w:hanging="450" w:hangingChars="150"/>
        <w:rPr>
          <w:rFonts w:eastAsia="华文仿宋"/>
          <w:color w:val="auto"/>
          <w:kern w:val="0"/>
          <w:sz w:val="18"/>
          <w:szCs w:val="18"/>
          <w:highlight w:val="none"/>
        </w:rPr>
      </w:pPr>
      <w:r>
        <w:rPr>
          <w:rFonts w:eastAsia="华文仿宋"/>
          <w:color w:val="auto"/>
          <w:kern w:val="0"/>
          <w:sz w:val="30"/>
          <w:szCs w:val="30"/>
          <w:highlight w:val="none"/>
        </w:rPr>
        <w:t xml:space="preserve"> </w:t>
      </w:r>
      <w:r>
        <w:rPr>
          <w:rFonts w:eastAsia="华文仿宋"/>
          <w:color w:val="auto"/>
          <w:kern w:val="0"/>
          <w:sz w:val="30"/>
          <w:szCs w:val="30"/>
          <w:highlight w:val="none"/>
          <w:u w:val="single"/>
        </w:rPr>
        <w:t xml:space="preserve">                                                     </w:t>
      </w:r>
      <w:r>
        <w:rPr>
          <w:rFonts w:eastAsia="华文仿宋"/>
          <w:color w:val="auto"/>
          <w:kern w:val="0"/>
          <w:sz w:val="30"/>
          <w:szCs w:val="30"/>
          <w:highlight w:val="none"/>
        </w:rPr>
        <w:t xml:space="preserve">    </w:t>
      </w:r>
      <w:r>
        <w:rPr>
          <w:rFonts w:eastAsia="华文仿宋"/>
          <w:color w:val="auto"/>
          <w:kern w:val="0"/>
          <w:sz w:val="18"/>
          <w:szCs w:val="18"/>
          <w:highlight w:val="none"/>
        </w:rPr>
        <w:t xml:space="preserve"> </w:t>
      </w:r>
    </w:p>
    <w:p w14:paraId="682470BD">
      <w:pPr>
        <w:shd w:val="clear" w:color="auto" w:fill="auto"/>
        <w:ind w:left="315" w:leftChars="150" w:firstLine="270" w:firstLineChars="150"/>
        <w:rPr>
          <w:rFonts w:eastAsia="华文仿宋"/>
          <w:color w:val="auto"/>
          <w:kern w:val="0"/>
          <w:sz w:val="18"/>
          <w:szCs w:val="18"/>
          <w:highlight w:val="none"/>
        </w:rPr>
      </w:pPr>
      <w:r>
        <w:rPr>
          <w:rFonts w:eastAsia="华文仿宋"/>
          <w:color w:val="auto"/>
          <w:kern w:val="0"/>
          <w:sz w:val="18"/>
          <w:szCs w:val="18"/>
          <w:highlight w:val="none"/>
        </w:rPr>
        <w:t>（从业人员、营业收入、资产总额填报上一年度数据，无上一年度数据的新成立企业可不填报）</w:t>
      </w:r>
    </w:p>
    <w:p w14:paraId="46E1705D">
      <w:pPr>
        <w:shd w:val="clear" w:color="auto" w:fill="auto"/>
        <w:rPr>
          <w:rFonts w:eastAsia="华文仿宋"/>
          <w:color w:val="auto"/>
          <w:kern w:val="0"/>
          <w:sz w:val="18"/>
          <w:szCs w:val="18"/>
          <w:highlight w:val="none"/>
        </w:rPr>
      </w:pPr>
    </w:p>
    <w:p w14:paraId="0C9A7E51">
      <w:pPr>
        <w:pStyle w:val="6"/>
        <w:shd w:val="clear" w:color="auto" w:fill="auto"/>
        <w:ind w:firstLine="0" w:firstLineChars="0"/>
        <w:jc w:val="center"/>
        <w:rPr>
          <w:rFonts w:ascii="Times New Roman" w:hAnsi="Times New Roman" w:eastAsia="仿宋_GB2312"/>
          <w:color w:val="auto"/>
          <w:sz w:val="32"/>
          <w:szCs w:val="32"/>
          <w:highlight w:val="none"/>
        </w:rPr>
      </w:pPr>
      <w:bookmarkStart w:id="435" w:name="_Toc60929143"/>
      <w:bookmarkStart w:id="436" w:name="_Toc1054"/>
      <w:bookmarkStart w:id="437" w:name="_Toc62194356"/>
      <w:bookmarkStart w:id="438" w:name="_Toc60928911"/>
      <w:bookmarkStart w:id="439" w:name="_Toc532473512"/>
      <w:bookmarkStart w:id="440" w:name="_Toc515647824"/>
      <w:bookmarkStart w:id="441" w:name="_Toc11803"/>
      <w:bookmarkStart w:id="442" w:name="_Toc10977"/>
      <w:r>
        <w:rPr>
          <w:rFonts w:ascii="Times New Roman" w:hAnsi="Times New Roman" w:eastAsia="仿宋_GB2312"/>
          <w:color w:val="auto"/>
          <w:sz w:val="32"/>
          <w:szCs w:val="32"/>
          <w:highlight w:val="none"/>
        </w:rPr>
        <w:t>投标人监狱企业声明函</w:t>
      </w:r>
      <w:bookmarkEnd w:id="435"/>
      <w:bookmarkEnd w:id="436"/>
      <w:bookmarkEnd w:id="437"/>
      <w:bookmarkEnd w:id="438"/>
    </w:p>
    <w:bookmarkEnd w:id="439"/>
    <w:p w14:paraId="69C0B9D3">
      <w:pPr>
        <w:shd w:val="clear" w:color="auto" w:fill="auto"/>
        <w:spacing w:line="360" w:lineRule="auto"/>
        <w:ind w:left="1080" w:leftChars="257" w:hanging="540"/>
        <w:jc w:val="center"/>
        <w:rPr>
          <w:rFonts w:eastAsia="仿宋_GB2312"/>
          <w:b/>
          <w:color w:val="auto"/>
          <w:kern w:val="0"/>
          <w:sz w:val="24"/>
          <w:szCs w:val="20"/>
          <w:highlight w:val="none"/>
        </w:rPr>
      </w:pPr>
    </w:p>
    <w:p w14:paraId="67E11398">
      <w:pPr>
        <w:widowControl/>
        <w:shd w:val="clear" w:color="auto" w:fill="auto"/>
        <w:spacing w:before="100" w:beforeAutospacing="1" w:after="100" w:afterAutospacing="1" w:line="360" w:lineRule="auto"/>
        <w:ind w:firstLine="480" w:firstLineChars="200"/>
        <w:jc w:val="left"/>
        <w:rPr>
          <w:rFonts w:eastAsia="仿宋_GB2312"/>
          <w:color w:val="auto"/>
          <w:kern w:val="0"/>
          <w:sz w:val="24"/>
          <w:highlight w:val="none"/>
        </w:rPr>
      </w:pPr>
      <w:r>
        <w:rPr>
          <w:rFonts w:eastAsia="仿宋_GB2312"/>
          <w:color w:val="auto"/>
          <w:kern w:val="0"/>
          <w:sz w:val="24"/>
          <w:highlight w:val="none"/>
        </w:rPr>
        <w:t>本单位郑重声明下列事项（按照实际情况勾选或填空）：</w:t>
      </w:r>
    </w:p>
    <w:p w14:paraId="4F98CB7C">
      <w:pPr>
        <w:widowControl/>
        <w:shd w:val="clear" w:color="auto" w:fill="auto"/>
        <w:spacing w:before="100" w:beforeAutospacing="1" w:after="100" w:afterAutospacing="1" w:line="360" w:lineRule="auto"/>
        <w:ind w:firstLine="480" w:firstLineChars="200"/>
        <w:jc w:val="left"/>
        <w:rPr>
          <w:rFonts w:eastAsia="仿宋_GB2312"/>
          <w:color w:val="auto"/>
          <w:kern w:val="0"/>
          <w:sz w:val="24"/>
          <w:highlight w:val="none"/>
        </w:rPr>
      </w:pPr>
      <w:r>
        <w:rPr>
          <w:rFonts w:eastAsia="仿宋_GB2312"/>
          <w:color w:val="auto"/>
          <w:kern w:val="0"/>
          <w:sz w:val="24"/>
          <w:highlight w:val="none"/>
        </w:rPr>
        <w:t>本单位为直接投标人提供本单位制造的货物。</w:t>
      </w:r>
    </w:p>
    <w:p w14:paraId="3E7AFBD9">
      <w:pPr>
        <w:widowControl/>
        <w:shd w:val="clear" w:color="auto" w:fill="auto"/>
        <w:spacing w:before="100" w:beforeAutospacing="1" w:after="100" w:afterAutospacing="1" w:line="360" w:lineRule="auto"/>
        <w:ind w:firstLine="360" w:firstLineChars="150"/>
        <w:jc w:val="left"/>
        <w:rPr>
          <w:rFonts w:eastAsia="仿宋_GB2312"/>
          <w:color w:val="auto"/>
          <w:kern w:val="0"/>
          <w:sz w:val="24"/>
          <w:highlight w:val="none"/>
        </w:rPr>
      </w:pPr>
      <w:r>
        <w:rPr>
          <w:rFonts w:eastAsia="仿宋_GB2312"/>
          <w:color w:val="auto"/>
          <w:kern w:val="0"/>
          <w:sz w:val="24"/>
          <w:highlight w:val="none"/>
        </w:rPr>
        <w:t>（1）本企业（单位）</w:t>
      </w:r>
      <w:r>
        <w:rPr>
          <w:rFonts w:eastAsia="仿宋_GB2312"/>
          <w:color w:val="auto"/>
          <w:kern w:val="0"/>
          <w:sz w:val="24"/>
          <w:highlight w:val="none"/>
          <w:u w:val="single"/>
        </w:rPr>
        <w:t xml:space="preserve">        </w:t>
      </w:r>
      <w:r>
        <w:rPr>
          <w:rFonts w:eastAsia="仿宋_GB2312"/>
          <w:color w:val="auto"/>
          <w:kern w:val="0"/>
          <w:sz w:val="24"/>
          <w:highlight w:val="none"/>
        </w:rPr>
        <w:t>（请填写：是、不是）监狱企业。如果是，后附省级以上监狱管理局、戒毒管理局（含新疆生产建设兵团）出具的属于监狱企业的证明文件。</w:t>
      </w:r>
    </w:p>
    <w:p w14:paraId="4F06D85F">
      <w:pPr>
        <w:widowControl/>
        <w:shd w:val="clear" w:color="auto" w:fill="auto"/>
        <w:spacing w:before="100" w:beforeAutospacing="1" w:after="100" w:afterAutospacing="1" w:line="360" w:lineRule="auto"/>
        <w:ind w:firstLine="420"/>
        <w:jc w:val="left"/>
        <w:rPr>
          <w:rFonts w:eastAsia="仿宋_GB2312"/>
          <w:color w:val="auto"/>
          <w:kern w:val="0"/>
          <w:sz w:val="24"/>
          <w:highlight w:val="none"/>
        </w:rPr>
      </w:pPr>
      <w:r>
        <w:rPr>
          <w:rFonts w:eastAsia="仿宋_GB2312"/>
          <w:color w:val="auto"/>
          <w:kern w:val="0"/>
          <w:sz w:val="24"/>
          <w:highlight w:val="none"/>
        </w:rPr>
        <w:t>（2）本企业（单位）</w:t>
      </w:r>
      <w:r>
        <w:rPr>
          <w:rFonts w:eastAsia="仿宋_GB2312"/>
          <w:color w:val="auto"/>
          <w:kern w:val="0"/>
          <w:sz w:val="24"/>
          <w:highlight w:val="none"/>
          <w:u w:val="single"/>
        </w:rPr>
        <w:t xml:space="preserve">        </w:t>
      </w:r>
      <w:r>
        <w:rPr>
          <w:rFonts w:eastAsia="仿宋_GB2312"/>
          <w:color w:val="auto"/>
          <w:kern w:val="0"/>
          <w:sz w:val="24"/>
          <w:highlight w:val="none"/>
        </w:rPr>
        <w:t>（请填写：是、不是）为联合体一方，提供本企业（单位）制造的货物，由本企业（单位）承担工程、提供服务。本企业（单位）提供协议合同金额占到共同投标协议合同总金额的比例为</w:t>
      </w:r>
      <w:r>
        <w:rPr>
          <w:rFonts w:eastAsia="仿宋_GB2312"/>
          <w:color w:val="auto"/>
          <w:kern w:val="0"/>
          <w:sz w:val="24"/>
          <w:highlight w:val="none"/>
          <w:u w:val="single"/>
        </w:rPr>
        <w:t xml:space="preserve">       </w:t>
      </w:r>
      <w:r>
        <w:rPr>
          <w:rFonts w:eastAsia="仿宋_GB2312"/>
          <w:color w:val="auto"/>
          <w:kern w:val="0"/>
          <w:sz w:val="24"/>
          <w:highlight w:val="none"/>
        </w:rPr>
        <w:t>。</w:t>
      </w:r>
    </w:p>
    <w:p w14:paraId="27F28453">
      <w:pPr>
        <w:widowControl/>
        <w:shd w:val="clear" w:color="auto" w:fill="auto"/>
        <w:spacing w:before="100" w:beforeAutospacing="1" w:after="100" w:afterAutospacing="1" w:line="360" w:lineRule="auto"/>
        <w:jc w:val="left"/>
        <w:rPr>
          <w:rFonts w:eastAsia="仿宋_GB2312"/>
          <w:color w:val="auto"/>
          <w:kern w:val="0"/>
          <w:sz w:val="24"/>
          <w:highlight w:val="none"/>
        </w:rPr>
      </w:pPr>
      <w:r>
        <w:rPr>
          <w:rFonts w:eastAsia="仿宋_GB2312"/>
          <w:color w:val="auto"/>
          <w:kern w:val="0"/>
          <w:sz w:val="24"/>
          <w:highlight w:val="none"/>
        </w:rPr>
        <w:t>　　本企业（单位）对上述声明的真实性负责。如有虚假，将依法承担相应责任。</w:t>
      </w:r>
    </w:p>
    <w:p w14:paraId="1F51B7BC">
      <w:pPr>
        <w:widowControl/>
        <w:shd w:val="clear" w:color="auto" w:fill="auto"/>
        <w:spacing w:before="100" w:beforeAutospacing="1" w:after="100" w:afterAutospacing="1" w:line="360" w:lineRule="auto"/>
        <w:jc w:val="left"/>
        <w:rPr>
          <w:rFonts w:eastAsia="仿宋_GB2312"/>
          <w:b/>
          <w:color w:val="auto"/>
          <w:kern w:val="0"/>
          <w:sz w:val="24"/>
          <w:szCs w:val="20"/>
          <w:highlight w:val="none"/>
        </w:rPr>
      </w:pPr>
      <w:r>
        <w:rPr>
          <w:rFonts w:eastAsia="仿宋_GB2312"/>
          <w:color w:val="auto"/>
          <w:kern w:val="0"/>
          <w:sz w:val="24"/>
          <w:highlight w:val="none"/>
        </w:rPr>
        <w:t>　</w:t>
      </w:r>
      <w:r>
        <w:rPr>
          <w:rFonts w:eastAsia="仿宋_GB2312"/>
          <w:b/>
          <w:color w:val="auto"/>
          <w:kern w:val="0"/>
          <w:sz w:val="24"/>
          <w:szCs w:val="20"/>
          <w:highlight w:val="none"/>
        </w:rPr>
        <w:t>　</w:t>
      </w:r>
    </w:p>
    <w:p w14:paraId="384FD9A4">
      <w:pPr>
        <w:shd w:val="clear" w:color="auto" w:fill="auto"/>
        <w:spacing w:line="360" w:lineRule="auto"/>
        <w:ind w:firstLine="1920" w:firstLineChars="800"/>
        <w:rPr>
          <w:rFonts w:eastAsia="仿宋_GB2312"/>
          <w:color w:val="auto"/>
          <w:sz w:val="24"/>
          <w:highlight w:val="none"/>
        </w:rPr>
      </w:pPr>
      <w:r>
        <w:rPr>
          <w:rFonts w:hint="eastAsia" w:eastAsia="仿宋_GB2312"/>
          <w:color w:val="auto"/>
          <w:sz w:val="24"/>
          <w:highlight w:val="none"/>
        </w:rPr>
        <w:t>投标人</w:t>
      </w:r>
      <w:r>
        <w:rPr>
          <w:rFonts w:eastAsia="仿宋_GB2312"/>
          <w:color w:val="auto"/>
          <w:sz w:val="24"/>
          <w:highlight w:val="none"/>
        </w:rPr>
        <w:t>（盖</w:t>
      </w:r>
      <w:r>
        <w:rPr>
          <w:rFonts w:hint="eastAsia" w:eastAsia="仿宋_GB2312"/>
          <w:color w:val="auto"/>
          <w:sz w:val="24"/>
          <w:highlight w:val="none"/>
        </w:rPr>
        <w:t>公</w:t>
      </w:r>
      <w:r>
        <w:rPr>
          <w:rFonts w:eastAsia="仿宋_GB2312"/>
          <w:color w:val="auto"/>
          <w:sz w:val="24"/>
          <w:highlight w:val="none"/>
        </w:rPr>
        <w:t>章）：</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p>
    <w:p w14:paraId="5038AAE8">
      <w:pPr>
        <w:shd w:val="clear" w:color="auto" w:fill="auto"/>
        <w:spacing w:line="360" w:lineRule="auto"/>
        <w:ind w:firstLine="1920" w:firstLineChars="800"/>
        <w:rPr>
          <w:rFonts w:eastAsia="仿宋_GB2312"/>
          <w:color w:val="auto"/>
          <w:sz w:val="24"/>
          <w:highlight w:val="none"/>
          <w:u w:val="single"/>
        </w:rPr>
      </w:pPr>
      <w:r>
        <w:rPr>
          <w:rFonts w:eastAsia="仿宋_GB2312"/>
          <w:color w:val="auto"/>
          <w:sz w:val="24"/>
          <w:highlight w:val="none"/>
        </w:rPr>
        <w:t>法定代表人或授权代表（签字</w:t>
      </w:r>
      <w:r>
        <w:rPr>
          <w:rFonts w:hint="eastAsia" w:eastAsia="仿宋_GB2312"/>
          <w:color w:val="auto"/>
          <w:sz w:val="24"/>
          <w:highlight w:val="none"/>
        </w:rPr>
        <w:t>或盖章</w:t>
      </w:r>
      <w:r>
        <w:rPr>
          <w:rFonts w:eastAsia="仿宋_GB2312"/>
          <w:color w:val="auto"/>
          <w:sz w:val="24"/>
          <w:highlight w:val="none"/>
        </w:rPr>
        <w:t>）：</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r>
        <w:rPr>
          <w:rFonts w:eastAsia="仿宋_GB2312"/>
          <w:color w:val="auto"/>
          <w:sz w:val="24"/>
          <w:highlight w:val="none"/>
          <w:u w:val="single"/>
        </w:rPr>
        <w:t xml:space="preserve">     </w:t>
      </w:r>
    </w:p>
    <w:p w14:paraId="14253D91">
      <w:pPr>
        <w:shd w:val="clear" w:color="auto" w:fill="auto"/>
        <w:spacing w:line="360" w:lineRule="auto"/>
        <w:ind w:firstLine="1920" w:firstLineChars="800"/>
        <w:rPr>
          <w:rFonts w:eastAsia="仿宋_GB2312"/>
          <w:color w:val="auto"/>
          <w:kern w:val="0"/>
          <w:sz w:val="24"/>
          <w:highlight w:val="none"/>
          <w:u w:val="single"/>
        </w:rPr>
      </w:pPr>
      <w:r>
        <w:rPr>
          <w:rFonts w:eastAsia="仿宋_GB2312"/>
          <w:color w:val="auto"/>
          <w:sz w:val="24"/>
          <w:highlight w:val="none"/>
        </w:rPr>
        <w:t>日    期：</w:t>
      </w:r>
      <w:r>
        <w:rPr>
          <w:rFonts w:eastAsia="仿宋_GB2312"/>
          <w:color w:val="auto"/>
          <w:sz w:val="32"/>
          <w:highlight w:val="none"/>
          <w:u w:val="single"/>
        </w:rPr>
        <w:t xml:space="preserve">                      </w:t>
      </w:r>
      <w:r>
        <w:rPr>
          <w:rFonts w:hint="eastAsia" w:eastAsia="仿宋_GB2312"/>
          <w:color w:val="auto"/>
          <w:sz w:val="32"/>
          <w:highlight w:val="none"/>
          <w:u w:val="single"/>
        </w:rPr>
        <w:t xml:space="preserve">      </w:t>
      </w:r>
    </w:p>
    <w:p w14:paraId="7A2FF768">
      <w:pPr>
        <w:widowControl/>
        <w:shd w:val="clear" w:color="auto" w:fill="auto"/>
        <w:spacing w:before="100" w:beforeAutospacing="1" w:after="100" w:afterAutospacing="1" w:line="360" w:lineRule="auto"/>
        <w:jc w:val="left"/>
        <w:rPr>
          <w:rFonts w:eastAsia="仿宋_GB2312"/>
          <w:color w:val="auto"/>
          <w:kern w:val="0"/>
          <w:sz w:val="24"/>
          <w:highlight w:val="none"/>
          <w:u w:val="single"/>
        </w:rPr>
      </w:pPr>
      <w:r>
        <w:rPr>
          <w:rFonts w:eastAsia="仿宋_GB2312"/>
          <w:color w:val="auto"/>
          <w:kern w:val="0"/>
          <w:sz w:val="24"/>
          <w:highlight w:val="none"/>
          <w:u w:val="single"/>
        </w:rPr>
        <w:t>注：符合《关于政府采购支持监狱企业发展有关问题的通知》价格扣减条件的</w:t>
      </w:r>
      <w:r>
        <w:rPr>
          <w:rFonts w:hint="eastAsia" w:eastAsia="仿宋_GB2312"/>
          <w:color w:val="auto"/>
          <w:kern w:val="0"/>
          <w:sz w:val="24"/>
          <w:highlight w:val="none"/>
          <w:u w:val="single"/>
        </w:rPr>
        <w:t>投标人</w:t>
      </w:r>
      <w:r>
        <w:rPr>
          <w:rFonts w:eastAsia="仿宋_GB2312"/>
          <w:color w:val="auto"/>
          <w:kern w:val="0"/>
          <w:sz w:val="24"/>
          <w:highlight w:val="none"/>
          <w:u w:val="single"/>
        </w:rPr>
        <w:t>须提交。</w:t>
      </w:r>
    </w:p>
    <w:p w14:paraId="5574CDAC">
      <w:pPr>
        <w:shd w:val="clear" w:color="auto" w:fill="auto"/>
        <w:spacing w:line="360" w:lineRule="auto"/>
        <w:rPr>
          <w:rFonts w:eastAsia="仿宋_GB2312"/>
          <w:color w:val="auto"/>
          <w:kern w:val="0"/>
          <w:sz w:val="24"/>
          <w:szCs w:val="20"/>
          <w:highlight w:val="none"/>
        </w:rPr>
      </w:pPr>
    </w:p>
    <w:p w14:paraId="75E2EF58">
      <w:pPr>
        <w:pStyle w:val="7"/>
        <w:shd w:val="clear" w:color="auto" w:fill="auto"/>
        <w:rPr>
          <w:rFonts w:eastAsia="仿宋_GB2312"/>
          <w:color w:val="auto"/>
          <w:kern w:val="0"/>
          <w:sz w:val="24"/>
          <w:szCs w:val="20"/>
          <w:highlight w:val="none"/>
        </w:rPr>
      </w:pPr>
    </w:p>
    <w:p w14:paraId="5392358D">
      <w:pPr>
        <w:pStyle w:val="7"/>
        <w:shd w:val="clear" w:color="auto" w:fill="auto"/>
        <w:rPr>
          <w:rFonts w:eastAsia="仿宋_GB2312"/>
          <w:color w:val="auto"/>
          <w:kern w:val="0"/>
          <w:sz w:val="24"/>
          <w:szCs w:val="20"/>
          <w:highlight w:val="none"/>
        </w:rPr>
      </w:pPr>
    </w:p>
    <w:p w14:paraId="32D2E0A7">
      <w:pPr>
        <w:pStyle w:val="7"/>
        <w:shd w:val="clear" w:color="auto" w:fill="auto"/>
        <w:rPr>
          <w:rFonts w:eastAsia="仿宋_GB2312"/>
          <w:color w:val="auto"/>
          <w:kern w:val="0"/>
          <w:sz w:val="24"/>
          <w:szCs w:val="20"/>
          <w:highlight w:val="none"/>
        </w:rPr>
      </w:pPr>
    </w:p>
    <w:p w14:paraId="5377BD08">
      <w:pPr>
        <w:pStyle w:val="7"/>
        <w:shd w:val="clear" w:color="auto" w:fill="auto"/>
        <w:rPr>
          <w:rFonts w:eastAsia="仿宋_GB2312"/>
          <w:color w:val="auto"/>
          <w:kern w:val="0"/>
          <w:sz w:val="24"/>
          <w:szCs w:val="20"/>
          <w:highlight w:val="none"/>
        </w:rPr>
      </w:pPr>
    </w:p>
    <w:p w14:paraId="1FCB3D55">
      <w:pPr>
        <w:pStyle w:val="14"/>
        <w:shd w:val="clear" w:color="auto" w:fill="auto"/>
        <w:rPr>
          <w:color w:val="auto"/>
          <w:highlight w:val="none"/>
        </w:rPr>
      </w:pPr>
    </w:p>
    <w:p w14:paraId="68A88875">
      <w:pPr>
        <w:pStyle w:val="6"/>
        <w:shd w:val="clear" w:color="auto" w:fill="auto"/>
        <w:ind w:firstLine="0" w:firstLineChars="0"/>
        <w:jc w:val="center"/>
        <w:rPr>
          <w:rFonts w:ascii="Times New Roman" w:hAnsi="Times New Roman" w:eastAsia="仿宋_GB2312"/>
          <w:color w:val="auto"/>
          <w:sz w:val="32"/>
          <w:szCs w:val="32"/>
          <w:highlight w:val="none"/>
        </w:rPr>
      </w:pPr>
      <w:bookmarkStart w:id="443" w:name="_Toc62194357"/>
      <w:bookmarkStart w:id="444" w:name="_Toc60928912"/>
      <w:bookmarkStart w:id="445" w:name="_Toc19934"/>
      <w:bookmarkStart w:id="446" w:name="_Toc60929144"/>
      <w:bookmarkStart w:id="447" w:name="_Toc532473513"/>
      <w:r>
        <w:rPr>
          <w:rFonts w:ascii="Times New Roman" w:hAnsi="Times New Roman" w:eastAsia="仿宋_GB2312"/>
          <w:color w:val="auto"/>
          <w:sz w:val="32"/>
          <w:szCs w:val="32"/>
          <w:highlight w:val="none"/>
        </w:rPr>
        <w:t>残疾人福利性单位声明函</w:t>
      </w:r>
      <w:bookmarkEnd w:id="443"/>
      <w:bookmarkEnd w:id="444"/>
      <w:bookmarkEnd w:id="445"/>
      <w:bookmarkEnd w:id="446"/>
    </w:p>
    <w:bookmarkEnd w:id="447"/>
    <w:p w14:paraId="2DF1880B">
      <w:pPr>
        <w:shd w:val="clear" w:color="auto" w:fill="auto"/>
        <w:spacing w:line="360" w:lineRule="auto"/>
        <w:ind w:left="1080" w:leftChars="257" w:hanging="540"/>
        <w:jc w:val="center"/>
        <w:rPr>
          <w:rFonts w:eastAsia="仿宋_GB2312"/>
          <w:color w:val="auto"/>
          <w:kern w:val="0"/>
          <w:sz w:val="24"/>
          <w:szCs w:val="20"/>
          <w:highlight w:val="none"/>
        </w:rPr>
      </w:pPr>
    </w:p>
    <w:p w14:paraId="53122E2C">
      <w:pPr>
        <w:shd w:val="clear" w:color="auto" w:fill="auto"/>
        <w:spacing w:line="360" w:lineRule="auto"/>
        <w:ind w:firstLine="567"/>
        <w:rPr>
          <w:rFonts w:eastAsia="仿宋_GB2312"/>
          <w:color w:val="auto"/>
          <w:kern w:val="0"/>
          <w:sz w:val="24"/>
          <w:szCs w:val="20"/>
          <w:highlight w:val="none"/>
        </w:rPr>
      </w:pPr>
      <w:r>
        <w:rPr>
          <w:rFonts w:eastAsia="仿宋_GB2312"/>
          <w:color w:val="auto"/>
          <w:kern w:val="0"/>
          <w:sz w:val="24"/>
          <w:szCs w:val="20"/>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eastAsia="仿宋_GB2312"/>
          <w:color w:val="auto"/>
          <w:kern w:val="0"/>
          <w:sz w:val="24"/>
          <w:szCs w:val="20"/>
          <w:highlight w:val="none"/>
          <w:u w:val="single"/>
          <w:lang w:eastAsia="zh-CN"/>
        </w:rPr>
        <w:t>（</w:t>
      </w:r>
      <w:r>
        <w:rPr>
          <w:rFonts w:hint="eastAsia" w:eastAsia="仿宋_GB2312"/>
          <w:color w:val="auto"/>
          <w:kern w:val="0"/>
          <w:sz w:val="24"/>
          <w:szCs w:val="20"/>
          <w:highlight w:val="none"/>
          <w:u w:val="single"/>
          <w:lang w:val="en-US" w:eastAsia="zh-CN"/>
        </w:rPr>
        <w:t>采购人名称</w:t>
      </w:r>
      <w:r>
        <w:rPr>
          <w:rFonts w:hint="eastAsia" w:eastAsia="仿宋_GB2312"/>
          <w:color w:val="auto"/>
          <w:kern w:val="0"/>
          <w:sz w:val="24"/>
          <w:szCs w:val="20"/>
          <w:highlight w:val="none"/>
          <w:u w:val="single"/>
          <w:lang w:eastAsia="zh-CN"/>
        </w:rPr>
        <w:t>）</w:t>
      </w:r>
      <w:r>
        <w:rPr>
          <w:rFonts w:eastAsia="仿宋_GB2312"/>
          <w:color w:val="auto"/>
          <w:kern w:val="0"/>
          <w:sz w:val="24"/>
          <w:szCs w:val="20"/>
          <w:highlight w:val="none"/>
        </w:rPr>
        <w:t>的</w:t>
      </w:r>
      <w:r>
        <w:rPr>
          <w:rFonts w:hint="eastAsia" w:eastAsia="仿宋_GB2312"/>
          <w:color w:val="auto"/>
          <w:kern w:val="0"/>
          <w:sz w:val="24"/>
          <w:szCs w:val="20"/>
          <w:highlight w:val="none"/>
          <w:u w:val="single"/>
          <w:lang w:eastAsia="zh-CN"/>
        </w:rPr>
        <w:t>（</w:t>
      </w:r>
      <w:r>
        <w:rPr>
          <w:rFonts w:hint="eastAsia" w:eastAsia="仿宋_GB2312"/>
          <w:color w:val="auto"/>
          <w:kern w:val="0"/>
          <w:sz w:val="24"/>
          <w:szCs w:val="20"/>
          <w:highlight w:val="none"/>
          <w:u w:val="single"/>
          <w:lang w:val="en-US" w:eastAsia="zh-CN"/>
        </w:rPr>
        <w:t>项目名称</w:t>
      </w:r>
      <w:r>
        <w:rPr>
          <w:rFonts w:hint="eastAsia" w:eastAsia="仿宋_GB2312"/>
          <w:color w:val="auto"/>
          <w:kern w:val="0"/>
          <w:sz w:val="24"/>
          <w:szCs w:val="20"/>
          <w:highlight w:val="none"/>
          <w:u w:val="single"/>
          <w:lang w:eastAsia="zh-CN"/>
        </w:rPr>
        <w:t>）</w:t>
      </w:r>
      <w:r>
        <w:rPr>
          <w:rFonts w:eastAsia="仿宋_GB2312"/>
          <w:color w:val="auto"/>
          <w:kern w:val="0"/>
          <w:sz w:val="24"/>
          <w:szCs w:val="20"/>
          <w:highlight w:val="none"/>
        </w:rPr>
        <w:t>采购活动提供本单位制造的货物</w:t>
      </w:r>
      <w:r>
        <w:rPr>
          <w:rFonts w:eastAsia="仿宋_GB2312"/>
          <w:color w:val="auto"/>
          <w:kern w:val="0"/>
          <w:sz w:val="24"/>
          <w:highlight w:val="none"/>
        </w:rPr>
        <w:t>（由本单位承担提供服务）</w:t>
      </w:r>
      <w:r>
        <w:rPr>
          <w:rFonts w:eastAsia="仿宋_GB2312"/>
          <w:color w:val="auto"/>
          <w:kern w:val="0"/>
          <w:sz w:val="24"/>
          <w:szCs w:val="20"/>
          <w:highlight w:val="none"/>
        </w:rPr>
        <w:t>，或者提供其他残疾人福利性单位制造的货物（不包括使用非残疾人福利性单位注册商标的货物）。</w:t>
      </w:r>
    </w:p>
    <w:p w14:paraId="6856C85E">
      <w:pPr>
        <w:shd w:val="clear" w:color="auto" w:fill="auto"/>
        <w:spacing w:line="360" w:lineRule="auto"/>
        <w:ind w:left="1080" w:leftChars="257" w:hanging="540"/>
        <w:rPr>
          <w:rFonts w:eastAsia="仿宋_GB2312"/>
          <w:color w:val="auto"/>
          <w:kern w:val="0"/>
          <w:sz w:val="24"/>
          <w:szCs w:val="20"/>
          <w:highlight w:val="none"/>
        </w:rPr>
      </w:pPr>
      <w:r>
        <w:rPr>
          <w:rFonts w:eastAsia="仿宋_GB2312"/>
          <w:color w:val="auto"/>
          <w:kern w:val="0"/>
          <w:sz w:val="24"/>
          <w:szCs w:val="20"/>
          <w:highlight w:val="none"/>
        </w:rPr>
        <w:t>本单位对上述声明的真实性负责。如有虚假，将依法承担相应责任。</w:t>
      </w:r>
    </w:p>
    <w:p w14:paraId="27D1028A">
      <w:pPr>
        <w:shd w:val="clear" w:color="auto" w:fill="auto"/>
        <w:spacing w:line="360" w:lineRule="auto"/>
        <w:ind w:left="1080" w:leftChars="257" w:hanging="540"/>
        <w:jc w:val="center"/>
        <w:rPr>
          <w:rFonts w:eastAsia="仿宋_GB2312"/>
          <w:color w:val="auto"/>
          <w:kern w:val="0"/>
          <w:sz w:val="24"/>
          <w:szCs w:val="20"/>
          <w:highlight w:val="none"/>
        </w:rPr>
      </w:pPr>
    </w:p>
    <w:p w14:paraId="3050E55B">
      <w:pPr>
        <w:shd w:val="clear" w:color="auto" w:fill="auto"/>
        <w:spacing w:line="360" w:lineRule="auto"/>
        <w:ind w:left="1080" w:leftChars="257" w:hanging="540"/>
        <w:jc w:val="center"/>
        <w:rPr>
          <w:rFonts w:eastAsia="仿宋_GB2312"/>
          <w:color w:val="auto"/>
          <w:kern w:val="0"/>
          <w:sz w:val="24"/>
          <w:szCs w:val="20"/>
          <w:highlight w:val="none"/>
        </w:rPr>
      </w:pPr>
    </w:p>
    <w:p w14:paraId="5E2F0839">
      <w:pPr>
        <w:shd w:val="clear" w:color="auto" w:fill="auto"/>
        <w:spacing w:line="360" w:lineRule="auto"/>
        <w:ind w:left="1080" w:leftChars="257" w:hanging="540"/>
        <w:rPr>
          <w:rFonts w:eastAsia="仿宋_GB2312"/>
          <w:color w:val="auto"/>
          <w:kern w:val="0"/>
          <w:sz w:val="24"/>
          <w:szCs w:val="20"/>
          <w:highlight w:val="none"/>
          <w:u w:val="single"/>
        </w:rPr>
      </w:pPr>
      <w:r>
        <w:rPr>
          <w:rFonts w:eastAsia="仿宋_GB2312"/>
          <w:color w:val="auto"/>
          <w:kern w:val="0"/>
          <w:sz w:val="24"/>
          <w:szCs w:val="20"/>
          <w:highlight w:val="none"/>
        </w:rPr>
        <w:t>残疾人福利性单位（</w:t>
      </w:r>
      <w:r>
        <w:rPr>
          <w:rFonts w:eastAsia="仿宋_GB2312"/>
          <w:color w:val="auto"/>
          <w:sz w:val="24"/>
          <w:highlight w:val="none"/>
        </w:rPr>
        <w:t>盖</w:t>
      </w:r>
      <w:r>
        <w:rPr>
          <w:rFonts w:hint="eastAsia" w:eastAsia="仿宋_GB2312"/>
          <w:color w:val="auto"/>
          <w:sz w:val="24"/>
          <w:highlight w:val="none"/>
        </w:rPr>
        <w:t>公</w:t>
      </w:r>
      <w:r>
        <w:rPr>
          <w:rFonts w:eastAsia="仿宋_GB2312"/>
          <w:color w:val="auto"/>
          <w:sz w:val="24"/>
          <w:highlight w:val="none"/>
        </w:rPr>
        <w:t>章</w:t>
      </w:r>
      <w:r>
        <w:rPr>
          <w:rFonts w:eastAsia="仿宋_GB2312"/>
          <w:color w:val="auto"/>
          <w:kern w:val="0"/>
          <w:sz w:val="24"/>
          <w:szCs w:val="20"/>
          <w:highlight w:val="none"/>
        </w:rPr>
        <w:t>）：</w:t>
      </w:r>
      <w:r>
        <w:rPr>
          <w:rFonts w:eastAsia="仿宋_GB2312"/>
          <w:color w:val="auto"/>
          <w:kern w:val="0"/>
          <w:sz w:val="24"/>
          <w:szCs w:val="20"/>
          <w:highlight w:val="none"/>
          <w:u w:val="single"/>
        </w:rPr>
        <w:t xml:space="preserve">                  </w:t>
      </w:r>
      <w:r>
        <w:rPr>
          <w:rFonts w:hint="eastAsia" w:eastAsia="仿宋_GB2312"/>
          <w:color w:val="auto"/>
          <w:kern w:val="0"/>
          <w:sz w:val="24"/>
          <w:szCs w:val="20"/>
          <w:highlight w:val="none"/>
          <w:u w:val="single"/>
        </w:rPr>
        <w:t xml:space="preserve">      </w:t>
      </w:r>
    </w:p>
    <w:p w14:paraId="22E214D5">
      <w:pPr>
        <w:shd w:val="clear" w:color="auto" w:fill="auto"/>
        <w:spacing w:line="360" w:lineRule="auto"/>
        <w:ind w:left="1080" w:leftChars="257" w:hanging="540"/>
        <w:rPr>
          <w:rFonts w:eastAsia="仿宋_GB2312"/>
          <w:color w:val="auto"/>
          <w:kern w:val="0"/>
          <w:sz w:val="24"/>
          <w:szCs w:val="20"/>
          <w:highlight w:val="none"/>
        </w:rPr>
      </w:pPr>
      <w:r>
        <w:rPr>
          <w:rFonts w:eastAsia="仿宋_GB2312"/>
          <w:color w:val="auto"/>
          <w:kern w:val="0"/>
          <w:sz w:val="24"/>
          <w:highlight w:val="none"/>
        </w:rPr>
        <w:t>法定代表人或授权代表（签字</w:t>
      </w:r>
      <w:r>
        <w:rPr>
          <w:rFonts w:hint="eastAsia" w:eastAsia="仿宋_GB2312"/>
          <w:color w:val="auto"/>
          <w:kern w:val="0"/>
          <w:sz w:val="24"/>
          <w:highlight w:val="none"/>
        </w:rPr>
        <w:t>或盖章</w:t>
      </w:r>
      <w:r>
        <w:rPr>
          <w:rFonts w:eastAsia="仿宋_GB2312"/>
          <w:color w:val="auto"/>
          <w:kern w:val="0"/>
          <w:sz w:val="24"/>
          <w:highlight w:val="none"/>
        </w:rPr>
        <w:t xml:space="preserve">）:  </w:t>
      </w:r>
      <w:r>
        <w:rPr>
          <w:rFonts w:eastAsia="仿宋_GB2312"/>
          <w:color w:val="auto"/>
          <w:kern w:val="0"/>
          <w:sz w:val="24"/>
          <w:szCs w:val="20"/>
          <w:highlight w:val="none"/>
          <w:u w:val="single"/>
        </w:rPr>
        <w:t xml:space="preserve">       </w:t>
      </w:r>
      <w:r>
        <w:rPr>
          <w:rFonts w:hint="eastAsia" w:eastAsia="仿宋_GB2312"/>
          <w:color w:val="auto"/>
          <w:kern w:val="0"/>
          <w:sz w:val="24"/>
          <w:szCs w:val="20"/>
          <w:highlight w:val="none"/>
          <w:u w:val="single"/>
        </w:rPr>
        <w:t xml:space="preserve">  </w:t>
      </w:r>
      <w:r>
        <w:rPr>
          <w:rFonts w:eastAsia="仿宋_GB2312"/>
          <w:color w:val="auto"/>
          <w:kern w:val="0"/>
          <w:sz w:val="24"/>
          <w:szCs w:val="20"/>
          <w:highlight w:val="none"/>
          <w:u w:val="single"/>
        </w:rPr>
        <w:t xml:space="preserve">      </w:t>
      </w:r>
      <w:r>
        <w:rPr>
          <w:rFonts w:eastAsia="仿宋_GB2312"/>
          <w:color w:val="auto"/>
          <w:kern w:val="0"/>
          <w:sz w:val="24"/>
          <w:highlight w:val="none"/>
        </w:rPr>
        <w:t xml:space="preserve">         </w:t>
      </w:r>
    </w:p>
    <w:p w14:paraId="3C6965BD">
      <w:pPr>
        <w:shd w:val="clear" w:color="auto" w:fill="auto"/>
        <w:spacing w:line="360" w:lineRule="auto"/>
        <w:ind w:firstLine="600" w:firstLineChars="250"/>
        <w:rPr>
          <w:rFonts w:eastAsia="仿宋_GB2312"/>
          <w:color w:val="auto"/>
          <w:kern w:val="0"/>
          <w:sz w:val="24"/>
          <w:szCs w:val="20"/>
          <w:highlight w:val="none"/>
          <w:u w:val="single"/>
        </w:rPr>
      </w:pPr>
      <w:r>
        <w:rPr>
          <w:rFonts w:eastAsia="仿宋_GB2312"/>
          <w:color w:val="auto"/>
          <w:kern w:val="0"/>
          <w:sz w:val="24"/>
          <w:szCs w:val="20"/>
          <w:highlight w:val="none"/>
        </w:rPr>
        <w:t>日  期：</w:t>
      </w:r>
      <w:r>
        <w:rPr>
          <w:rFonts w:eastAsia="仿宋_GB2312"/>
          <w:color w:val="auto"/>
          <w:kern w:val="0"/>
          <w:sz w:val="24"/>
          <w:szCs w:val="20"/>
          <w:highlight w:val="none"/>
          <w:u w:val="single"/>
        </w:rPr>
        <w:t xml:space="preserve">                             </w:t>
      </w:r>
      <w:r>
        <w:rPr>
          <w:rFonts w:hint="eastAsia" w:eastAsia="仿宋_GB2312"/>
          <w:color w:val="auto"/>
          <w:kern w:val="0"/>
          <w:sz w:val="24"/>
          <w:szCs w:val="20"/>
          <w:highlight w:val="none"/>
          <w:u w:val="single"/>
        </w:rPr>
        <w:t xml:space="preserve">              </w:t>
      </w:r>
    </w:p>
    <w:p w14:paraId="1AB54565">
      <w:pPr>
        <w:shd w:val="clear" w:color="auto" w:fill="auto"/>
        <w:spacing w:line="360" w:lineRule="auto"/>
        <w:ind w:firstLine="600" w:firstLineChars="250"/>
        <w:rPr>
          <w:rFonts w:eastAsia="仿宋_GB2312"/>
          <w:color w:val="auto"/>
          <w:kern w:val="0"/>
          <w:sz w:val="24"/>
          <w:szCs w:val="20"/>
          <w:highlight w:val="none"/>
          <w:u w:val="single"/>
        </w:rPr>
      </w:pPr>
    </w:p>
    <w:p w14:paraId="2A7AF37B">
      <w:pPr>
        <w:shd w:val="clear" w:color="auto" w:fill="auto"/>
        <w:spacing w:line="360" w:lineRule="auto"/>
        <w:ind w:firstLine="600" w:firstLineChars="250"/>
        <w:rPr>
          <w:rFonts w:eastAsia="仿宋_GB2312"/>
          <w:color w:val="auto"/>
          <w:kern w:val="0"/>
          <w:sz w:val="24"/>
          <w:szCs w:val="20"/>
          <w:highlight w:val="none"/>
          <w:u w:val="single"/>
        </w:rPr>
      </w:pPr>
    </w:p>
    <w:p w14:paraId="0E32B734">
      <w:pPr>
        <w:shd w:val="clear" w:color="auto" w:fill="auto"/>
        <w:spacing w:line="360" w:lineRule="auto"/>
        <w:ind w:firstLine="600" w:firstLineChars="250"/>
        <w:rPr>
          <w:rFonts w:eastAsia="仿宋_GB2312"/>
          <w:color w:val="auto"/>
          <w:kern w:val="0"/>
          <w:sz w:val="24"/>
          <w:szCs w:val="20"/>
          <w:highlight w:val="none"/>
          <w:u w:val="single"/>
        </w:rPr>
      </w:pPr>
    </w:p>
    <w:p w14:paraId="02701C59">
      <w:pPr>
        <w:shd w:val="clear" w:color="auto" w:fill="auto"/>
        <w:spacing w:line="360" w:lineRule="auto"/>
        <w:ind w:firstLine="600" w:firstLineChars="250"/>
        <w:rPr>
          <w:rFonts w:eastAsia="仿宋_GB2312"/>
          <w:color w:val="auto"/>
          <w:kern w:val="0"/>
          <w:sz w:val="24"/>
          <w:szCs w:val="20"/>
          <w:highlight w:val="none"/>
          <w:u w:val="single"/>
        </w:rPr>
      </w:pPr>
    </w:p>
    <w:p w14:paraId="2EC96C2A">
      <w:pPr>
        <w:shd w:val="clear" w:color="auto" w:fill="auto"/>
        <w:spacing w:line="360" w:lineRule="auto"/>
        <w:ind w:firstLine="600" w:firstLineChars="250"/>
        <w:rPr>
          <w:rFonts w:eastAsia="仿宋_GB2312"/>
          <w:color w:val="auto"/>
          <w:kern w:val="0"/>
          <w:sz w:val="24"/>
          <w:szCs w:val="20"/>
          <w:highlight w:val="none"/>
          <w:u w:val="single"/>
        </w:rPr>
      </w:pPr>
    </w:p>
    <w:p w14:paraId="408D69B5">
      <w:pPr>
        <w:shd w:val="clear" w:color="auto" w:fill="auto"/>
        <w:spacing w:line="360" w:lineRule="auto"/>
        <w:ind w:firstLine="600" w:firstLineChars="250"/>
        <w:rPr>
          <w:rFonts w:eastAsia="仿宋_GB2312"/>
          <w:color w:val="auto"/>
          <w:kern w:val="0"/>
          <w:sz w:val="24"/>
          <w:szCs w:val="20"/>
          <w:highlight w:val="none"/>
          <w:u w:val="single"/>
        </w:rPr>
      </w:pPr>
    </w:p>
    <w:p w14:paraId="61E0B882">
      <w:pPr>
        <w:shd w:val="clear" w:color="auto" w:fill="auto"/>
        <w:spacing w:line="360" w:lineRule="auto"/>
        <w:rPr>
          <w:rFonts w:eastAsia="仿宋_GB2312"/>
          <w:color w:val="auto"/>
          <w:kern w:val="0"/>
          <w:sz w:val="24"/>
          <w:szCs w:val="20"/>
          <w:highlight w:val="none"/>
          <w:u w:val="single"/>
        </w:rPr>
      </w:pPr>
      <w:r>
        <w:rPr>
          <w:rFonts w:eastAsia="仿宋_GB2312"/>
          <w:color w:val="auto"/>
          <w:kern w:val="0"/>
          <w:sz w:val="24"/>
          <w:szCs w:val="20"/>
          <w:highlight w:val="none"/>
          <w:u w:val="single"/>
        </w:rPr>
        <w:t>注：符合《财政部 民政部 中国残疾人联合会关于促进残疾人就业政府采购政策的通知》价格扣减条件的</w:t>
      </w:r>
      <w:r>
        <w:rPr>
          <w:rFonts w:hint="eastAsia" w:eastAsia="仿宋_GB2312"/>
          <w:color w:val="auto"/>
          <w:kern w:val="0"/>
          <w:sz w:val="24"/>
          <w:szCs w:val="20"/>
          <w:highlight w:val="none"/>
          <w:u w:val="single"/>
        </w:rPr>
        <w:t>投标人</w:t>
      </w:r>
      <w:r>
        <w:rPr>
          <w:rFonts w:eastAsia="仿宋_GB2312"/>
          <w:color w:val="auto"/>
          <w:kern w:val="0"/>
          <w:sz w:val="24"/>
          <w:szCs w:val="20"/>
          <w:highlight w:val="none"/>
          <w:u w:val="single"/>
        </w:rPr>
        <w:t>须提交。</w:t>
      </w:r>
    </w:p>
    <w:p w14:paraId="786F12F6">
      <w:pPr>
        <w:widowControl/>
        <w:numPr>
          <w:ilvl w:val="0"/>
          <w:numId w:val="0"/>
        </w:numPr>
        <w:shd w:val="clear" w:color="auto" w:fill="auto"/>
        <w:spacing w:before="100" w:beforeAutospacing="1" w:after="100" w:afterAutospacing="1" w:line="360" w:lineRule="auto"/>
        <w:jc w:val="center"/>
        <w:rPr>
          <w:rFonts w:hint="eastAsia" w:ascii="Times New Roman" w:hAnsi="Times New Roman" w:eastAsia="仿宋" w:cs="Times New Roman"/>
          <w:b/>
          <w:color w:val="auto"/>
          <w:kern w:val="0"/>
          <w:sz w:val="30"/>
          <w:szCs w:val="20"/>
          <w:highlight w:val="none"/>
          <w:lang w:val="en-US" w:eastAsia="zh-CN" w:bidi="ar-SA"/>
        </w:rPr>
      </w:pPr>
    </w:p>
    <w:p w14:paraId="7921C2D0">
      <w:pPr>
        <w:widowControl/>
        <w:numPr>
          <w:ilvl w:val="0"/>
          <w:numId w:val="0"/>
        </w:numPr>
        <w:shd w:val="clear" w:color="auto" w:fill="auto"/>
        <w:spacing w:before="100" w:beforeAutospacing="1" w:after="100" w:afterAutospacing="1" w:line="360" w:lineRule="auto"/>
        <w:jc w:val="center"/>
        <w:rPr>
          <w:rFonts w:hint="eastAsia" w:ascii="Times New Roman" w:hAnsi="Times New Roman" w:eastAsia="仿宋" w:cs="Times New Roman"/>
          <w:b/>
          <w:color w:val="auto"/>
          <w:kern w:val="0"/>
          <w:sz w:val="30"/>
          <w:szCs w:val="20"/>
          <w:highlight w:val="none"/>
          <w:lang w:val="en-US" w:eastAsia="zh-CN" w:bidi="ar-SA"/>
        </w:rPr>
      </w:pPr>
    </w:p>
    <w:p w14:paraId="5AC5AD9F">
      <w:pPr>
        <w:widowControl/>
        <w:numPr>
          <w:ilvl w:val="0"/>
          <w:numId w:val="0"/>
        </w:numPr>
        <w:shd w:val="clear" w:color="auto" w:fill="auto"/>
        <w:spacing w:before="100" w:beforeAutospacing="1" w:after="100" w:afterAutospacing="1" w:line="360" w:lineRule="auto"/>
        <w:jc w:val="center"/>
        <w:rPr>
          <w:rFonts w:hint="eastAsia" w:ascii="Times New Roman" w:hAnsi="Times New Roman" w:eastAsia="仿宋" w:cs="Times New Roman"/>
          <w:b/>
          <w:color w:val="auto"/>
          <w:kern w:val="0"/>
          <w:sz w:val="30"/>
          <w:szCs w:val="20"/>
          <w:highlight w:val="none"/>
          <w:lang w:val="en-US" w:eastAsia="zh-CN" w:bidi="ar-SA"/>
        </w:rPr>
      </w:pPr>
    </w:p>
    <w:p w14:paraId="78D0EFD4">
      <w:pPr>
        <w:widowControl/>
        <w:numPr>
          <w:ilvl w:val="0"/>
          <w:numId w:val="0"/>
        </w:numPr>
        <w:shd w:val="clear" w:color="auto" w:fill="auto"/>
        <w:spacing w:before="100" w:beforeAutospacing="1" w:after="100" w:afterAutospacing="1" w:line="360" w:lineRule="auto"/>
        <w:jc w:val="center"/>
        <w:rPr>
          <w:rFonts w:hint="eastAsia" w:ascii="Times New Roman" w:hAnsi="Times New Roman" w:eastAsia="仿宋" w:cs="Times New Roman"/>
          <w:b/>
          <w:color w:val="auto"/>
          <w:kern w:val="0"/>
          <w:sz w:val="30"/>
          <w:szCs w:val="20"/>
          <w:highlight w:val="none"/>
          <w:lang w:val="en-US" w:eastAsia="zh-CN" w:bidi="ar-SA"/>
        </w:rPr>
      </w:pPr>
    </w:p>
    <w:p w14:paraId="1FAAE370">
      <w:pPr>
        <w:widowControl/>
        <w:numPr>
          <w:ilvl w:val="0"/>
          <w:numId w:val="0"/>
        </w:numPr>
        <w:shd w:val="clear" w:color="auto" w:fill="auto"/>
        <w:spacing w:before="100" w:beforeAutospacing="1" w:after="100" w:afterAutospacing="1" w:line="360" w:lineRule="auto"/>
        <w:jc w:val="center"/>
        <w:rPr>
          <w:rFonts w:hint="eastAsia" w:ascii="Times New Roman" w:hAnsi="Times New Roman" w:eastAsia="仿宋" w:cs="Times New Roman"/>
          <w:b/>
          <w:color w:val="auto"/>
          <w:kern w:val="0"/>
          <w:sz w:val="30"/>
          <w:szCs w:val="20"/>
          <w:highlight w:val="none"/>
          <w:lang w:val="en-US" w:eastAsia="zh-CN" w:bidi="ar-SA"/>
        </w:rPr>
      </w:pPr>
    </w:p>
    <w:p w14:paraId="13003070">
      <w:pPr>
        <w:widowControl/>
        <w:numPr>
          <w:ilvl w:val="0"/>
          <w:numId w:val="0"/>
        </w:numPr>
        <w:shd w:val="clear" w:color="auto" w:fill="auto"/>
        <w:spacing w:before="100" w:beforeAutospacing="1" w:after="100" w:afterAutospacing="1" w:line="360" w:lineRule="auto"/>
        <w:jc w:val="center"/>
        <w:rPr>
          <w:color w:val="auto"/>
          <w:highlight w:val="none"/>
        </w:rPr>
      </w:pPr>
      <w:r>
        <w:rPr>
          <w:rFonts w:hint="eastAsia" w:ascii="Times New Roman" w:hAnsi="Times New Roman" w:eastAsia="仿宋" w:cs="Times New Roman"/>
          <w:b/>
          <w:color w:val="auto"/>
          <w:kern w:val="0"/>
          <w:sz w:val="30"/>
          <w:szCs w:val="20"/>
          <w:highlight w:val="none"/>
          <w:lang w:val="en-US" w:eastAsia="zh-CN" w:bidi="ar-SA"/>
        </w:rPr>
        <w:t>第五部分</w:t>
      </w:r>
      <w:bookmarkEnd w:id="440"/>
      <w:bookmarkEnd w:id="441"/>
      <w:bookmarkEnd w:id="442"/>
      <w:bookmarkStart w:id="448" w:name="_Toc114840471"/>
      <w:bookmarkStart w:id="449" w:name="_Toc12944"/>
      <w:bookmarkStart w:id="450" w:name="_Toc105438112"/>
      <w:bookmarkStart w:id="451" w:name="_Toc23814"/>
      <w:bookmarkStart w:id="452" w:name="_Toc142559904"/>
      <w:r>
        <w:rPr>
          <w:rFonts w:hint="eastAsia" w:ascii="Times New Roman" w:hAnsi="Times New Roman" w:eastAsia="仿宋" w:cs="Times New Roman"/>
          <w:b/>
          <w:color w:val="auto"/>
          <w:kern w:val="0"/>
          <w:sz w:val="30"/>
          <w:szCs w:val="20"/>
          <w:highlight w:val="none"/>
          <w:lang w:val="en-US" w:eastAsia="zh-CN" w:bidi="ar-SA"/>
        </w:rPr>
        <w:t xml:space="preserve"> 投标人参加政府采购活动承诺书</w:t>
      </w:r>
      <w:bookmarkEnd w:id="448"/>
      <w:bookmarkEnd w:id="449"/>
      <w:bookmarkEnd w:id="450"/>
      <w:bookmarkEnd w:id="451"/>
      <w:bookmarkEnd w:id="452"/>
    </w:p>
    <w:p w14:paraId="2EF3030B">
      <w:pPr>
        <w:pStyle w:val="6"/>
        <w:shd w:val="clear" w:color="auto" w:fill="auto"/>
        <w:ind w:firstLine="0" w:firstLineChars="0"/>
        <w:jc w:val="center"/>
        <w:rPr>
          <w:rFonts w:ascii="Times New Roman" w:hAnsi="Times New Roman" w:eastAsia="仿宋"/>
          <w:color w:val="auto"/>
          <w:highlight w:val="none"/>
        </w:rPr>
      </w:pPr>
      <w:bookmarkStart w:id="453" w:name="_Toc142559905"/>
      <w:bookmarkStart w:id="454" w:name="_Toc114840473"/>
      <w:bookmarkStart w:id="455" w:name="_Toc22345"/>
      <w:bookmarkStart w:id="456" w:name="_Toc105505638"/>
      <w:bookmarkStart w:id="457" w:name="_Toc17892"/>
      <w:bookmarkStart w:id="458" w:name="_Toc16244"/>
      <w:r>
        <w:rPr>
          <w:rFonts w:ascii="Times New Roman" w:hAnsi="Times New Roman" w:eastAsia="仿宋"/>
          <w:color w:val="auto"/>
          <w:highlight w:val="none"/>
        </w:rPr>
        <w:t>参加政府采购活动行为自律承诺书</w:t>
      </w:r>
      <w:bookmarkEnd w:id="453"/>
      <w:bookmarkEnd w:id="454"/>
      <w:bookmarkEnd w:id="455"/>
      <w:bookmarkEnd w:id="456"/>
      <w:bookmarkEnd w:id="457"/>
      <w:bookmarkEnd w:id="458"/>
    </w:p>
    <w:p w14:paraId="6EC9268F">
      <w:pPr>
        <w:shd w:val="clear" w:color="auto" w:fill="auto"/>
        <w:spacing w:line="360" w:lineRule="auto"/>
        <w:ind w:firstLine="480" w:firstLineChars="200"/>
        <w:rPr>
          <w:rFonts w:eastAsia="仿宋"/>
          <w:color w:val="auto"/>
          <w:sz w:val="24"/>
          <w:highlight w:val="none"/>
        </w:rPr>
      </w:pPr>
      <w:r>
        <w:rPr>
          <w:rFonts w:eastAsia="仿宋"/>
          <w:color w:val="auto"/>
          <w:sz w:val="24"/>
          <w:highlight w:val="none"/>
        </w:rPr>
        <w:t>作为参加本次政府采购项目的投标人，我方郑重承诺在参与政府采购活动中遵纪守法、公平竞争、诚实守信，如有违反愿承担一切责任及后果：</w:t>
      </w:r>
    </w:p>
    <w:p w14:paraId="19770AA9">
      <w:pPr>
        <w:shd w:val="clear" w:color="auto" w:fill="auto"/>
        <w:spacing w:line="360" w:lineRule="auto"/>
        <w:ind w:firstLine="480" w:firstLineChars="200"/>
        <w:rPr>
          <w:rFonts w:eastAsia="仿宋"/>
          <w:color w:val="auto"/>
          <w:sz w:val="24"/>
          <w:highlight w:val="none"/>
        </w:rPr>
      </w:pPr>
      <w:r>
        <w:rPr>
          <w:rFonts w:eastAsia="仿宋"/>
          <w:color w:val="auto"/>
          <w:sz w:val="24"/>
          <w:highlight w:val="none"/>
        </w:rPr>
        <w:t>1．不与采购人、采购代理机构、政府采购评审专家恶意串通，不向其行贿或提供其他不正当利益；</w:t>
      </w:r>
    </w:p>
    <w:p w14:paraId="219ED66E">
      <w:pPr>
        <w:shd w:val="clear" w:color="auto" w:fill="auto"/>
        <w:spacing w:line="360" w:lineRule="auto"/>
        <w:ind w:firstLine="480" w:firstLineChars="200"/>
        <w:rPr>
          <w:rFonts w:eastAsia="仿宋"/>
          <w:color w:val="auto"/>
          <w:sz w:val="24"/>
          <w:highlight w:val="none"/>
        </w:rPr>
      </w:pPr>
      <w:r>
        <w:rPr>
          <w:rFonts w:eastAsia="仿宋"/>
          <w:color w:val="auto"/>
          <w:sz w:val="24"/>
          <w:highlight w:val="none"/>
        </w:rPr>
        <w:t>2．不与其他投标人恶意串通，采取“围标、串标、陪标”等商业欺诈手段谋取中标、成交；</w:t>
      </w:r>
    </w:p>
    <w:p w14:paraId="4AEA1503">
      <w:pPr>
        <w:shd w:val="clear" w:color="auto" w:fill="auto"/>
        <w:spacing w:line="360" w:lineRule="auto"/>
        <w:ind w:firstLine="480" w:firstLineChars="200"/>
        <w:rPr>
          <w:rFonts w:eastAsia="仿宋"/>
          <w:color w:val="auto"/>
          <w:sz w:val="24"/>
          <w:highlight w:val="none"/>
        </w:rPr>
      </w:pPr>
      <w:r>
        <w:rPr>
          <w:rFonts w:eastAsia="仿宋"/>
          <w:color w:val="auto"/>
          <w:sz w:val="24"/>
          <w:highlight w:val="none"/>
        </w:rPr>
        <w:t>3．不提供虚假或无效证明文件（包括但不限于资格证明文件、合同及验收文件、检验检测报告、从业人员资格证书、机构或所投产品的各类认证证书等）或虚假材料谋取中标、成交；</w:t>
      </w:r>
    </w:p>
    <w:p w14:paraId="125BB8F5">
      <w:pPr>
        <w:shd w:val="clear" w:color="auto" w:fill="auto"/>
        <w:spacing w:line="360" w:lineRule="auto"/>
        <w:ind w:firstLine="480" w:firstLineChars="200"/>
        <w:rPr>
          <w:rFonts w:eastAsia="仿宋"/>
          <w:color w:val="auto"/>
          <w:sz w:val="24"/>
          <w:highlight w:val="none"/>
        </w:rPr>
      </w:pPr>
      <w:r>
        <w:rPr>
          <w:rFonts w:eastAsia="仿宋"/>
          <w:color w:val="auto"/>
          <w:sz w:val="24"/>
          <w:highlight w:val="none"/>
        </w:rPr>
        <w:t>4．不采取不正当手段诋毁、排挤其他投标人；</w:t>
      </w:r>
    </w:p>
    <w:p w14:paraId="2C4A943F">
      <w:pPr>
        <w:shd w:val="clear" w:color="auto" w:fill="auto"/>
        <w:spacing w:line="360" w:lineRule="auto"/>
        <w:ind w:firstLine="480" w:firstLineChars="200"/>
        <w:rPr>
          <w:rFonts w:eastAsia="仿宋"/>
          <w:color w:val="auto"/>
          <w:sz w:val="24"/>
          <w:highlight w:val="none"/>
        </w:rPr>
      </w:pPr>
      <w:r>
        <w:rPr>
          <w:rFonts w:eastAsia="仿宋"/>
          <w:color w:val="auto"/>
          <w:sz w:val="24"/>
          <w:highlight w:val="none"/>
        </w:rPr>
        <w:t>5．不以不正当理由拒不与采购人签订政府采购合同，或逾期签订政府采购合同，或不按照采购文件确定的事项签订政府采购合同；</w:t>
      </w:r>
    </w:p>
    <w:p w14:paraId="3D8DD279">
      <w:pPr>
        <w:shd w:val="clear" w:color="auto" w:fill="auto"/>
        <w:spacing w:line="360" w:lineRule="auto"/>
        <w:ind w:firstLine="480" w:firstLineChars="200"/>
        <w:rPr>
          <w:rFonts w:eastAsia="仿宋"/>
          <w:color w:val="auto"/>
          <w:sz w:val="24"/>
          <w:highlight w:val="none"/>
        </w:rPr>
      </w:pPr>
      <w:r>
        <w:rPr>
          <w:rFonts w:eastAsia="仿宋"/>
          <w:color w:val="auto"/>
          <w:sz w:val="24"/>
          <w:highlight w:val="none"/>
        </w:rPr>
        <w:t>6．不以不正当理由拒绝履行合同义务，不会擅自变更、中止或者终止政府采购合同或将政府采购合同转包；</w:t>
      </w:r>
    </w:p>
    <w:p w14:paraId="47166A8A">
      <w:pPr>
        <w:shd w:val="clear" w:color="auto" w:fill="auto"/>
        <w:spacing w:line="360" w:lineRule="auto"/>
        <w:ind w:firstLine="480" w:firstLineChars="200"/>
        <w:rPr>
          <w:rFonts w:eastAsia="仿宋"/>
          <w:color w:val="auto"/>
          <w:sz w:val="24"/>
          <w:highlight w:val="none"/>
        </w:rPr>
      </w:pPr>
      <w:r>
        <w:rPr>
          <w:rFonts w:eastAsia="仿宋"/>
          <w:color w:val="auto"/>
          <w:sz w:val="24"/>
          <w:highlight w:val="none"/>
        </w:rPr>
        <w:t>7．不在提供商品、服务实施过程中提供假冒伪劣产品，损害采购人的合法权益或公共利益；</w:t>
      </w:r>
    </w:p>
    <w:p w14:paraId="1D9A925E">
      <w:pPr>
        <w:shd w:val="clear" w:color="auto" w:fill="auto"/>
        <w:spacing w:line="360" w:lineRule="auto"/>
        <w:ind w:firstLine="480" w:firstLineChars="200"/>
        <w:rPr>
          <w:rFonts w:eastAsia="仿宋"/>
          <w:color w:val="auto"/>
          <w:sz w:val="24"/>
          <w:highlight w:val="none"/>
        </w:rPr>
      </w:pPr>
      <w:r>
        <w:rPr>
          <w:rFonts w:eastAsia="仿宋"/>
          <w:color w:val="auto"/>
          <w:sz w:val="24"/>
          <w:highlight w:val="none"/>
        </w:rPr>
        <w:t>8．不采取捏造事实、提供虚假材料或者以非法手段取得证明材料进行质疑和投诉；</w:t>
      </w:r>
    </w:p>
    <w:p w14:paraId="2180A96B">
      <w:pPr>
        <w:shd w:val="clear" w:color="auto" w:fill="auto"/>
        <w:spacing w:line="360" w:lineRule="auto"/>
        <w:ind w:firstLine="480" w:firstLineChars="200"/>
        <w:rPr>
          <w:rFonts w:eastAsia="仿宋"/>
          <w:color w:val="auto"/>
          <w:sz w:val="24"/>
          <w:highlight w:val="none"/>
        </w:rPr>
      </w:pPr>
      <w:r>
        <w:rPr>
          <w:rFonts w:eastAsia="仿宋"/>
          <w:color w:val="auto"/>
          <w:sz w:val="24"/>
          <w:highlight w:val="none"/>
        </w:rPr>
        <w:t>9．不发生其他有悖于政府采购公开、公平、公正和诚信原则的行为。</w:t>
      </w:r>
    </w:p>
    <w:p w14:paraId="1F58BC50">
      <w:pPr>
        <w:shd w:val="clear" w:color="auto" w:fill="auto"/>
        <w:spacing w:line="360" w:lineRule="auto"/>
        <w:ind w:firstLine="480" w:firstLineChars="200"/>
        <w:rPr>
          <w:rFonts w:eastAsia="仿宋"/>
          <w:color w:val="auto"/>
          <w:sz w:val="24"/>
          <w:highlight w:val="none"/>
        </w:rPr>
      </w:pPr>
      <w:r>
        <w:rPr>
          <w:rFonts w:eastAsia="仿宋"/>
          <w:color w:val="auto"/>
          <w:sz w:val="24"/>
          <w:highlight w:val="none"/>
        </w:rPr>
        <w:t>10．尊重和接受政府采购监督管理部门的监督和采购人、采购代理机构的政府采购工作要求，愿意承担因违约行为给采购人造成的损失。</w:t>
      </w:r>
    </w:p>
    <w:p w14:paraId="0A2E614F">
      <w:pPr>
        <w:shd w:val="clear" w:color="auto" w:fill="auto"/>
        <w:spacing w:line="360" w:lineRule="auto"/>
        <w:ind w:firstLine="3376" w:firstLineChars="1407"/>
        <w:rPr>
          <w:rFonts w:eastAsia="仿宋"/>
          <w:color w:val="auto"/>
          <w:sz w:val="24"/>
          <w:highlight w:val="none"/>
        </w:rPr>
      </w:pPr>
      <w:r>
        <w:rPr>
          <w:rFonts w:eastAsia="仿宋"/>
          <w:color w:val="auto"/>
          <w:sz w:val="24"/>
          <w:highlight w:val="none"/>
        </w:rPr>
        <w:t>投标人：（投标人全称并加盖公章）</w:t>
      </w:r>
    </w:p>
    <w:p w14:paraId="544311D4">
      <w:pPr>
        <w:shd w:val="clear" w:color="auto" w:fill="auto"/>
        <w:spacing w:line="360" w:lineRule="auto"/>
        <w:ind w:firstLine="3376" w:firstLineChars="1407"/>
        <w:rPr>
          <w:rFonts w:eastAsia="仿宋"/>
          <w:color w:val="auto"/>
          <w:sz w:val="24"/>
          <w:highlight w:val="none"/>
        </w:rPr>
      </w:pPr>
      <w:r>
        <w:rPr>
          <w:rFonts w:eastAsia="仿宋"/>
          <w:color w:val="auto"/>
          <w:sz w:val="24"/>
          <w:highlight w:val="none"/>
        </w:rPr>
        <w:t>日  期：    年  月  日</w:t>
      </w:r>
    </w:p>
    <w:p w14:paraId="12F871F8">
      <w:pPr>
        <w:pStyle w:val="7"/>
        <w:numPr>
          <w:ilvl w:val="0"/>
          <w:numId w:val="0"/>
        </w:numPr>
        <w:shd w:val="clear" w:color="auto" w:fill="auto"/>
        <w:ind w:leftChars="0"/>
        <w:jc w:val="center"/>
        <w:rPr>
          <w:rFonts w:hint="eastAsia" w:ascii="Times New Roman" w:hAnsi="Times New Roman" w:eastAsia="仿宋"/>
          <w:b/>
          <w:color w:val="auto"/>
          <w:kern w:val="0"/>
          <w:sz w:val="30"/>
          <w:szCs w:val="30"/>
          <w:highlight w:val="none"/>
          <w:shd w:val="clear" w:color="auto" w:fill="FFFFFF"/>
          <w:lang w:val="zh-CN" w:eastAsia="zh-CN"/>
        </w:rPr>
      </w:pPr>
    </w:p>
    <w:p w14:paraId="2CFD0393">
      <w:pPr>
        <w:pStyle w:val="7"/>
        <w:numPr>
          <w:ilvl w:val="0"/>
          <w:numId w:val="0"/>
        </w:numPr>
        <w:shd w:val="clear" w:color="auto" w:fill="auto"/>
        <w:ind w:leftChars="0"/>
        <w:jc w:val="center"/>
        <w:rPr>
          <w:rFonts w:hint="eastAsia" w:ascii="Times New Roman" w:hAnsi="Times New Roman" w:eastAsia="仿宋"/>
          <w:b/>
          <w:color w:val="auto"/>
          <w:kern w:val="0"/>
          <w:sz w:val="30"/>
          <w:szCs w:val="30"/>
          <w:highlight w:val="none"/>
          <w:shd w:val="clear" w:color="auto" w:fill="FFFFFF"/>
          <w:lang w:val="zh-CN" w:eastAsia="zh-CN"/>
        </w:rPr>
      </w:pPr>
    </w:p>
    <w:p w14:paraId="3E75ED12">
      <w:pPr>
        <w:pStyle w:val="7"/>
        <w:numPr>
          <w:ilvl w:val="0"/>
          <w:numId w:val="0"/>
        </w:numPr>
        <w:shd w:val="clear" w:color="auto" w:fill="auto"/>
        <w:ind w:leftChars="0"/>
        <w:jc w:val="center"/>
        <w:rPr>
          <w:rFonts w:hint="eastAsia" w:ascii="Times New Roman" w:hAnsi="Times New Roman" w:eastAsia="仿宋"/>
          <w:b/>
          <w:color w:val="auto"/>
          <w:kern w:val="0"/>
          <w:sz w:val="30"/>
          <w:szCs w:val="30"/>
          <w:highlight w:val="none"/>
          <w:shd w:val="clear" w:color="auto" w:fill="FFFFFF"/>
          <w:lang w:val="zh-CN" w:eastAsia="zh-CN"/>
        </w:rPr>
      </w:pPr>
    </w:p>
    <w:p w14:paraId="02572F45">
      <w:pPr>
        <w:pStyle w:val="7"/>
        <w:numPr>
          <w:ilvl w:val="0"/>
          <w:numId w:val="0"/>
        </w:numPr>
        <w:shd w:val="clear" w:color="auto" w:fill="auto"/>
        <w:ind w:leftChars="0"/>
        <w:jc w:val="center"/>
        <w:rPr>
          <w:rFonts w:hint="eastAsia" w:ascii="Times New Roman" w:hAnsi="Times New Roman" w:eastAsia="仿宋"/>
          <w:b/>
          <w:color w:val="auto"/>
          <w:kern w:val="0"/>
          <w:sz w:val="30"/>
          <w:szCs w:val="30"/>
          <w:highlight w:val="none"/>
          <w:shd w:val="clear" w:color="auto" w:fill="FFFFFF"/>
          <w:lang w:val="zh-CN" w:eastAsia="zh-CN"/>
        </w:rPr>
      </w:pPr>
    </w:p>
    <w:p w14:paraId="0F49ED4F">
      <w:pPr>
        <w:pStyle w:val="7"/>
        <w:numPr>
          <w:ilvl w:val="0"/>
          <w:numId w:val="0"/>
        </w:numPr>
        <w:shd w:val="clear" w:color="auto" w:fill="auto"/>
        <w:ind w:left="0" w:leftChars="0" w:firstLine="420" w:firstLineChars="0"/>
        <w:jc w:val="center"/>
        <w:rPr>
          <w:rFonts w:hint="eastAsia" w:ascii="Times New Roman" w:hAnsi="Times New Roman" w:eastAsia="仿宋"/>
          <w:b/>
          <w:color w:val="auto"/>
          <w:kern w:val="0"/>
          <w:sz w:val="30"/>
          <w:szCs w:val="30"/>
          <w:highlight w:val="none"/>
          <w:shd w:val="clear" w:color="auto" w:fill="FFFFFF"/>
          <w:lang w:val="zh-CN" w:eastAsia="zh-CN"/>
        </w:rPr>
      </w:pPr>
      <w:r>
        <w:rPr>
          <w:rFonts w:hint="eastAsia" w:ascii="Times New Roman" w:hAnsi="Times New Roman" w:eastAsia="仿宋"/>
          <w:b/>
          <w:color w:val="auto"/>
          <w:kern w:val="0"/>
          <w:sz w:val="30"/>
          <w:szCs w:val="30"/>
          <w:highlight w:val="none"/>
          <w:shd w:val="clear" w:color="auto" w:fill="FFFFFF"/>
          <w:lang w:val="zh-CN" w:eastAsia="zh-CN" w:bidi="ar-SA"/>
        </w:rPr>
        <w:t>第六部分</w:t>
      </w:r>
      <w:r>
        <w:rPr>
          <w:rFonts w:hint="eastAsia" w:ascii="Times New Roman" w:hAnsi="Times New Roman" w:eastAsia="仿宋"/>
          <w:b/>
          <w:color w:val="auto"/>
          <w:kern w:val="0"/>
          <w:sz w:val="30"/>
          <w:szCs w:val="30"/>
          <w:highlight w:val="none"/>
          <w:shd w:val="clear" w:color="auto" w:fill="FFFFFF"/>
          <w:lang w:val="zh-CN" w:eastAsia="zh-CN"/>
        </w:rPr>
        <w:t xml:space="preserve"> 投标方案</w:t>
      </w:r>
    </w:p>
    <w:p w14:paraId="789E5A09">
      <w:pPr>
        <w:pStyle w:val="18"/>
        <w:shd w:val="clear" w:color="auto" w:fill="auto"/>
        <w:spacing w:line="360" w:lineRule="auto"/>
        <w:ind w:left="1080" w:leftChars="257" w:hanging="540"/>
        <w:rPr>
          <w:rFonts w:ascii="Times New Roman" w:hAnsi="Times New Roman" w:eastAsia="仿宋_GB2312"/>
          <w:color w:val="auto"/>
          <w:sz w:val="24"/>
          <w:highlight w:val="none"/>
        </w:rPr>
      </w:pPr>
    </w:p>
    <w:p w14:paraId="1A487BA0">
      <w:pPr>
        <w:pStyle w:val="6"/>
        <w:shd w:val="clear" w:color="auto" w:fill="auto"/>
        <w:ind w:firstLine="0" w:firstLineChars="0"/>
        <w:jc w:val="center"/>
        <w:rPr>
          <w:rFonts w:ascii="Times New Roman" w:hAnsi="Times New Roman" w:eastAsia="仿宋_GB2312"/>
          <w:color w:val="auto"/>
          <w:sz w:val="32"/>
          <w:szCs w:val="32"/>
          <w:highlight w:val="none"/>
        </w:rPr>
      </w:pPr>
      <w:bookmarkStart w:id="459" w:name="_Toc12082"/>
      <w:bookmarkStart w:id="460" w:name="_Toc60928908"/>
      <w:bookmarkStart w:id="461" w:name="_Toc60929140"/>
      <w:bookmarkStart w:id="462" w:name="_Toc62194352"/>
      <w:bookmarkStart w:id="463" w:name="_Toc216582817"/>
      <w:bookmarkStart w:id="464" w:name="_Toc532473509"/>
      <w:bookmarkStart w:id="465" w:name="_Toc28959"/>
      <w:bookmarkStart w:id="466" w:name="_Toc22563"/>
      <w:bookmarkStart w:id="467" w:name="_Toc515647820"/>
      <w:r>
        <w:rPr>
          <w:rFonts w:ascii="Times New Roman" w:hAnsi="Times New Roman" w:eastAsia="仿宋_GB2312"/>
          <w:color w:val="auto"/>
          <w:sz w:val="32"/>
          <w:szCs w:val="32"/>
          <w:highlight w:val="none"/>
        </w:rPr>
        <w:t>技术偏离表</w:t>
      </w:r>
      <w:bookmarkEnd w:id="459"/>
      <w:bookmarkEnd w:id="460"/>
      <w:bookmarkEnd w:id="461"/>
      <w:bookmarkEnd w:id="462"/>
      <w:bookmarkEnd w:id="463"/>
    </w:p>
    <w:bookmarkEnd w:id="464"/>
    <w:bookmarkEnd w:id="465"/>
    <w:bookmarkEnd w:id="466"/>
    <w:bookmarkEnd w:id="467"/>
    <w:p w14:paraId="0B78D9EC">
      <w:pPr>
        <w:pStyle w:val="14"/>
        <w:shd w:val="clear" w:color="auto" w:fill="auto"/>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项目编号：</w:t>
      </w:r>
    </w:p>
    <w:p w14:paraId="132FFF76">
      <w:pPr>
        <w:pStyle w:val="14"/>
        <w:shd w:val="clear" w:color="auto" w:fill="auto"/>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项目名称：</w:t>
      </w:r>
    </w:p>
    <w:p w14:paraId="3CE77437">
      <w:pPr>
        <w:pStyle w:val="14"/>
        <w:shd w:val="clear" w:color="auto" w:fill="auto"/>
        <w:rPr>
          <w:rFonts w:ascii="Times New Roman" w:hAnsi="Times New Roman" w:eastAsia="仿宋_GB2312"/>
          <w:color w:val="auto"/>
          <w:sz w:val="24"/>
          <w:highlight w:val="none"/>
        </w:rPr>
      </w:pPr>
      <w:r>
        <w:rPr>
          <w:rFonts w:hint="eastAsia" w:ascii="Times New Roman" w:hAnsi="Times New Roman" w:eastAsia="仿宋_GB2312" w:cs="Times New Roman"/>
          <w:color w:val="auto"/>
          <w:highlight w:val="none"/>
          <w:lang w:val="en-US" w:eastAsia="zh-CN"/>
        </w:rPr>
        <w:t>包号：</w:t>
      </w:r>
      <w:r>
        <w:rPr>
          <w:rFonts w:ascii="Times New Roman" w:hAnsi="Times New Roman" w:eastAsia="仿宋_GB2312"/>
          <w:color w:val="auto"/>
          <w:sz w:val="24"/>
          <w:highlight w:val="none"/>
        </w:rPr>
        <w:t xml:space="preserve">  </w:t>
      </w:r>
    </w:p>
    <w:tbl>
      <w:tblPr>
        <w:tblStyle w:val="36"/>
        <w:tblW w:w="87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422"/>
        <w:gridCol w:w="993"/>
        <w:gridCol w:w="1842"/>
        <w:gridCol w:w="1560"/>
        <w:gridCol w:w="1134"/>
        <w:gridCol w:w="1112"/>
      </w:tblGrid>
      <w:tr w14:paraId="79387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85" w:type="dxa"/>
            <w:noWrap w:val="0"/>
            <w:vAlign w:val="center"/>
          </w:tcPr>
          <w:p w14:paraId="747D8E51">
            <w:pPr>
              <w:pStyle w:val="18"/>
              <w:shd w:val="clear" w:color="auto" w:fill="auto"/>
              <w:ind w:left="-31" w:leftChars="-15"/>
              <w:jc w:val="center"/>
              <w:rPr>
                <w:rFonts w:ascii="Times New Roman" w:hAnsi="Times New Roman" w:eastAsia="黑体"/>
                <w:color w:val="auto"/>
                <w:sz w:val="24"/>
                <w:highlight w:val="none"/>
              </w:rPr>
            </w:pPr>
            <w:r>
              <w:rPr>
                <w:rFonts w:ascii="Times New Roman" w:hAnsi="Times New Roman" w:eastAsia="黑体"/>
                <w:color w:val="auto"/>
                <w:sz w:val="24"/>
                <w:highlight w:val="none"/>
              </w:rPr>
              <w:t>序号</w:t>
            </w:r>
          </w:p>
        </w:tc>
        <w:tc>
          <w:tcPr>
            <w:tcW w:w="1422" w:type="dxa"/>
            <w:noWrap w:val="0"/>
            <w:vAlign w:val="center"/>
          </w:tcPr>
          <w:p w14:paraId="301843E9">
            <w:pPr>
              <w:pStyle w:val="18"/>
              <w:shd w:val="clear" w:color="auto" w:fill="auto"/>
              <w:ind w:left="-149" w:leftChars="-71"/>
              <w:jc w:val="center"/>
              <w:rPr>
                <w:rFonts w:ascii="Times New Roman" w:hAnsi="Times New Roman" w:eastAsia="黑体"/>
                <w:color w:val="auto"/>
                <w:sz w:val="24"/>
                <w:highlight w:val="none"/>
              </w:rPr>
            </w:pPr>
            <w:r>
              <w:rPr>
                <w:rFonts w:ascii="Times New Roman" w:hAnsi="Times New Roman" w:eastAsia="黑体"/>
                <w:color w:val="auto"/>
                <w:sz w:val="24"/>
                <w:highlight w:val="none"/>
              </w:rPr>
              <w:t>货物名称</w:t>
            </w:r>
          </w:p>
        </w:tc>
        <w:tc>
          <w:tcPr>
            <w:tcW w:w="993" w:type="dxa"/>
            <w:noWrap w:val="0"/>
            <w:vAlign w:val="center"/>
          </w:tcPr>
          <w:p w14:paraId="61375172">
            <w:pPr>
              <w:pStyle w:val="18"/>
              <w:shd w:val="clear" w:color="auto" w:fill="auto"/>
              <w:ind w:left="-107" w:leftChars="-51"/>
              <w:jc w:val="center"/>
              <w:rPr>
                <w:rFonts w:ascii="Times New Roman" w:hAnsi="Times New Roman" w:eastAsia="黑体"/>
                <w:color w:val="auto"/>
                <w:sz w:val="24"/>
                <w:highlight w:val="none"/>
              </w:rPr>
            </w:pPr>
            <w:r>
              <w:rPr>
                <w:rFonts w:ascii="Times New Roman" w:hAnsi="Times New Roman" w:eastAsia="黑体"/>
                <w:color w:val="auto"/>
                <w:sz w:val="24"/>
                <w:highlight w:val="none"/>
              </w:rPr>
              <w:t>数量</w:t>
            </w:r>
          </w:p>
        </w:tc>
        <w:tc>
          <w:tcPr>
            <w:tcW w:w="1842" w:type="dxa"/>
            <w:noWrap w:val="0"/>
            <w:vAlign w:val="center"/>
          </w:tcPr>
          <w:p w14:paraId="28FC99E8">
            <w:pPr>
              <w:pStyle w:val="18"/>
              <w:shd w:val="clear" w:color="auto" w:fill="auto"/>
              <w:ind w:left="-206" w:leftChars="-98" w:right="-166" w:rightChars="-79"/>
              <w:jc w:val="center"/>
              <w:rPr>
                <w:rFonts w:ascii="Times New Roman" w:hAnsi="Times New Roman" w:eastAsia="黑体"/>
                <w:color w:val="auto"/>
                <w:sz w:val="24"/>
                <w:highlight w:val="none"/>
              </w:rPr>
            </w:pPr>
            <w:r>
              <w:rPr>
                <w:rFonts w:ascii="Times New Roman" w:hAnsi="Times New Roman" w:eastAsia="黑体"/>
                <w:color w:val="auto"/>
                <w:sz w:val="24"/>
                <w:highlight w:val="none"/>
              </w:rPr>
              <w:t>招标要求</w:t>
            </w:r>
          </w:p>
        </w:tc>
        <w:tc>
          <w:tcPr>
            <w:tcW w:w="1560" w:type="dxa"/>
            <w:noWrap w:val="0"/>
            <w:vAlign w:val="center"/>
          </w:tcPr>
          <w:p w14:paraId="2AEAB202">
            <w:pPr>
              <w:pStyle w:val="18"/>
              <w:shd w:val="clear" w:color="auto" w:fill="auto"/>
              <w:ind w:left="-48" w:leftChars="-23"/>
              <w:jc w:val="center"/>
              <w:rPr>
                <w:rFonts w:ascii="Times New Roman" w:hAnsi="Times New Roman" w:eastAsia="黑体"/>
                <w:color w:val="auto"/>
                <w:sz w:val="24"/>
                <w:highlight w:val="none"/>
              </w:rPr>
            </w:pPr>
            <w:r>
              <w:rPr>
                <w:rFonts w:ascii="Times New Roman" w:hAnsi="Times New Roman" w:eastAsia="黑体"/>
                <w:color w:val="auto"/>
                <w:sz w:val="24"/>
                <w:highlight w:val="none"/>
              </w:rPr>
              <w:t>投标响应</w:t>
            </w:r>
          </w:p>
        </w:tc>
        <w:tc>
          <w:tcPr>
            <w:tcW w:w="1134" w:type="dxa"/>
            <w:noWrap w:val="0"/>
            <w:vAlign w:val="center"/>
          </w:tcPr>
          <w:p w14:paraId="7C61E1A9">
            <w:pPr>
              <w:pStyle w:val="18"/>
              <w:shd w:val="clear" w:color="auto" w:fill="auto"/>
              <w:ind w:left="-34" w:leftChars="-16"/>
              <w:jc w:val="center"/>
              <w:rPr>
                <w:rFonts w:ascii="Times New Roman" w:hAnsi="Times New Roman" w:eastAsia="黑体"/>
                <w:color w:val="auto"/>
                <w:sz w:val="24"/>
                <w:highlight w:val="none"/>
              </w:rPr>
            </w:pPr>
            <w:r>
              <w:rPr>
                <w:rFonts w:ascii="Times New Roman" w:hAnsi="Times New Roman" w:eastAsia="黑体"/>
                <w:color w:val="auto"/>
                <w:sz w:val="24"/>
                <w:highlight w:val="none"/>
              </w:rPr>
              <w:t>偏离</w:t>
            </w:r>
          </w:p>
        </w:tc>
        <w:tc>
          <w:tcPr>
            <w:tcW w:w="1112" w:type="dxa"/>
            <w:noWrap w:val="0"/>
            <w:vAlign w:val="center"/>
          </w:tcPr>
          <w:p w14:paraId="7DDF1BE3">
            <w:pPr>
              <w:pStyle w:val="18"/>
              <w:shd w:val="clear" w:color="auto" w:fill="auto"/>
              <w:ind w:left="-82" w:leftChars="-39"/>
              <w:jc w:val="center"/>
              <w:rPr>
                <w:rFonts w:ascii="Times New Roman" w:hAnsi="Times New Roman" w:eastAsia="黑体"/>
                <w:color w:val="auto"/>
                <w:sz w:val="24"/>
                <w:highlight w:val="none"/>
              </w:rPr>
            </w:pPr>
            <w:r>
              <w:rPr>
                <w:rFonts w:ascii="Times New Roman" w:hAnsi="Times New Roman" w:eastAsia="黑体"/>
                <w:color w:val="auto"/>
                <w:sz w:val="24"/>
                <w:highlight w:val="none"/>
              </w:rPr>
              <w:t>说明</w:t>
            </w:r>
          </w:p>
        </w:tc>
      </w:tr>
      <w:tr w14:paraId="52045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85" w:type="dxa"/>
            <w:noWrap w:val="0"/>
            <w:vAlign w:val="top"/>
          </w:tcPr>
          <w:p w14:paraId="0B325C2B">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422" w:type="dxa"/>
            <w:noWrap w:val="0"/>
            <w:vAlign w:val="top"/>
          </w:tcPr>
          <w:p w14:paraId="1C1C49CE">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993" w:type="dxa"/>
            <w:noWrap w:val="0"/>
            <w:vAlign w:val="top"/>
          </w:tcPr>
          <w:p w14:paraId="30132963">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842" w:type="dxa"/>
            <w:noWrap w:val="0"/>
            <w:vAlign w:val="top"/>
          </w:tcPr>
          <w:p w14:paraId="0CCB8DEF">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560" w:type="dxa"/>
            <w:noWrap w:val="0"/>
            <w:vAlign w:val="top"/>
          </w:tcPr>
          <w:p w14:paraId="554DBD71">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134" w:type="dxa"/>
            <w:noWrap w:val="0"/>
            <w:vAlign w:val="top"/>
          </w:tcPr>
          <w:p w14:paraId="2BD49C3D">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112" w:type="dxa"/>
            <w:noWrap w:val="0"/>
            <w:vAlign w:val="top"/>
          </w:tcPr>
          <w:p w14:paraId="12D3B180">
            <w:pPr>
              <w:pStyle w:val="18"/>
              <w:shd w:val="clear" w:color="auto" w:fill="auto"/>
              <w:spacing w:line="360" w:lineRule="auto"/>
              <w:ind w:left="1080" w:leftChars="257" w:hanging="540"/>
              <w:rPr>
                <w:rFonts w:ascii="Times New Roman" w:hAnsi="Times New Roman" w:eastAsia="仿宋_GB2312"/>
                <w:color w:val="auto"/>
                <w:sz w:val="24"/>
                <w:highlight w:val="none"/>
              </w:rPr>
            </w:pPr>
          </w:p>
        </w:tc>
      </w:tr>
      <w:tr w14:paraId="239EA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85" w:type="dxa"/>
            <w:noWrap w:val="0"/>
            <w:vAlign w:val="top"/>
          </w:tcPr>
          <w:p w14:paraId="3C19AB9D">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422" w:type="dxa"/>
            <w:noWrap w:val="0"/>
            <w:vAlign w:val="top"/>
          </w:tcPr>
          <w:p w14:paraId="59F5D62B">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993" w:type="dxa"/>
            <w:noWrap w:val="0"/>
            <w:vAlign w:val="top"/>
          </w:tcPr>
          <w:p w14:paraId="06325D3D">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842" w:type="dxa"/>
            <w:noWrap w:val="0"/>
            <w:vAlign w:val="top"/>
          </w:tcPr>
          <w:p w14:paraId="0D23D962">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560" w:type="dxa"/>
            <w:noWrap w:val="0"/>
            <w:vAlign w:val="top"/>
          </w:tcPr>
          <w:p w14:paraId="34D2AAE6">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134" w:type="dxa"/>
            <w:noWrap w:val="0"/>
            <w:vAlign w:val="top"/>
          </w:tcPr>
          <w:p w14:paraId="0E0F3C34">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112" w:type="dxa"/>
            <w:noWrap w:val="0"/>
            <w:vAlign w:val="top"/>
          </w:tcPr>
          <w:p w14:paraId="7BAC794B">
            <w:pPr>
              <w:pStyle w:val="18"/>
              <w:shd w:val="clear" w:color="auto" w:fill="auto"/>
              <w:spacing w:line="360" w:lineRule="auto"/>
              <w:ind w:left="1080" w:leftChars="257" w:hanging="540"/>
              <w:rPr>
                <w:rFonts w:ascii="Times New Roman" w:hAnsi="Times New Roman" w:eastAsia="仿宋_GB2312"/>
                <w:color w:val="auto"/>
                <w:sz w:val="24"/>
                <w:highlight w:val="none"/>
              </w:rPr>
            </w:pPr>
          </w:p>
        </w:tc>
      </w:tr>
      <w:tr w14:paraId="12A76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85" w:type="dxa"/>
            <w:noWrap w:val="0"/>
            <w:vAlign w:val="top"/>
          </w:tcPr>
          <w:p w14:paraId="28D8BAF9">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422" w:type="dxa"/>
            <w:noWrap w:val="0"/>
            <w:vAlign w:val="top"/>
          </w:tcPr>
          <w:p w14:paraId="2BAB06B7">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993" w:type="dxa"/>
            <w:noWrap w:val="0"/>
            <w:vAlign w:val="top"/>
          </w:tcPr>
          <w:p w14:paraId="709A3805">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842" w:type="dxa"/>
            <w:noWrap w:val="0"/>
            <w:vAlign w:val="top"/>
          </w:tcPr>
          <w:p w14:paraId="32A90FA9">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560" w:type="dxa"/>
            <w:noWrap w:val="0"/>
            <w:vAlign w:val="top"/>
          </w:tcPr>
          <w:p w14:paraId="706F7F3B">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134" w:type="dxa"/>
            <w:noWrap w:val="0"/>
            <w:vAlign w:val="top"/>
          </w:tcPr>
          <w:p w14:paraId="7DDCA617">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112" w:type="dxa"/>
            <w:noWrap w:val="0"/>
            <w:vAlign w:val="top"/>
          </w:tcPr>
          <w:p w14:paraId="6E1E003A">
            <w:pPr>
              <w:pStyle w:val="18"/>
              <w:shd w:val="clear" w:color="auto" w:fill="auto"/>
              <w:spacing w:line="360" w:lineRule="auto"/>
              <w:ind w:left="1080" w:leftChars="257" w:hanging="540"/>
              <w:rPr>
                <w:rFonts w:ascii="Times New Roman" w:hAnsi="Times New Roman" w:eastAsia="仿宋_GB2312"/>
                <w:color w:val="auto"/>
                <w:sz w:val="24"/>
                <w:highlight w:val="none"/>
              </w:rPr>
            </w:pPr>
          </w:p>
        </w:tc>
      </w:tr>
      <w:tr w14:paraId="0A35C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85" w:type="dxa"/>
            <w:noWrap w:val="0"/>
            <w:vAlign w:val="top"/>
          </w:tcPr>
          <w:p w14:paraId="6FBDE538">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422" w:type="dxa"/>
            <w:noWrap w:val="0"/>
            <w:vAlign w:val="top"/>
          </w:tcPr>
          <w:p w14:paraId="4D3B51A0">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993" w:type="dxa"/>
            <w:noWrap w:val="0"/>
            <w:vAlign w:val="top"/>
          </w:tcPr>
          <w:p w14:paraId="2D88530D">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842" w:type="dxa"/>
            <w:noWrap w:val="0"/>
            <w:vAlign w:val="top"/>
          </w:tcPr>
          <w:p w14:paraId="71367C89">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560" w:type="dxa"/>
            <w:noWrap w:val="0"/>
            <w:vAlign w:val="top"/>
          </w:tcPr>
          <w:p w14:paraId="11E2CA45">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134" w:type="dxa"/>
            <w:noWrap w:val="0"/>
            <w:vAlign w:val="top"/>
          </w:tcPr>
          <w:p w14:paraId="104F18ED">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112" w:type="dxa"/>
            <w:noWrap w:val="0"/>
            <w:vAlign w:val="top"/>
          </w:tcPr>
          <w:p w14:paraId="3427846D">
            <w:pPr>
              <w:pStyle w:val="18"/>
              <w:shd w:val="clear" w:color="auto" w:fill="auto"/>
              <w:spacing w:line="360" w:lineRule="auto"/>
              <w:ind w:left="1080" w:leftChars="257" w:hanging="540"/>
              <w:rPr>
                <w:rFonts w:ascii="Times New Roman" w:hAnsi="Times New Roman" w:eastAsia="仿宋_GB2312"/>
                <w:color w:val="auto"/>
                <w:sz w:val="24"/>
                <w:highlight w:val="none"/>
              </w:rPr>
            </w:pPr>
          </w:p>
        </w:tc>
      </w:tr>
      <w:tr w14:paraId="36174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85" w:type="dxa"/>
            <w:noWrap w:val="0"/>
            <w:vAlign w:val="top"/>
          </w:tcPr>
          <w:p w14:paraId="0A079B2B">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422" w:type="dxa"/>
            <w:noWrap w:val="0"/>
            <w:vAlign w:val="top"/>
          </w:tcPr>
          <w:p w14:paraId="5591ED31">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993" w:type="dxa"/>
            <w:noWrap w:val="0"/>
            <w:vAlign w:val="top"/>
          </w:tcPr>
          <w:p w14:paraId="6FE6EB30">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842" w:type="dxa"/>
            <w:noWrap w:val="0"/>
            <w:vAlign w:val="top"/>
          </w:tcPr>
          <w:p w14:paraId="33076ECC">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560" w:type="dxa"/>
            <w:noWrap w:val="0"/>
            <w:vAlign w:val="top"/>
          </w:tcPr>
          <w:p w14:paraId="3CDE2FAA">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134" w:type="dxa"/>
            <w:noWrap w:val="0"/>
            <w:vAlign w:val="top"/>
          </w:tcPr>
          <w:p w14:paraId="48017644">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112" w:type="dxa"/>
            <w:noWrap w:val="0"/>
            <w:vAlign w:val="top"/>
          </w:tcPr>
          <w:p w14:paraId="3311A0A9">
            <w:pPr>
              <w:pStyle w:val="18"/>
              <w:shd w:val="clear" w:color="auto" w:fill="auto"/>
              <w:spacing w:line="360" w:lineRule="auto"/>
              <w:ind w:left="1080" w:leftChars="257" w:hanging="540"/>
              <w:rPr>
                <w:rFonts w:ascii="Times New Roman" w:hAnsi="Times New Roman" w:eastAsia="仿宋_GB2312"/>
                <w:color w:val="auto"/>
                <w:sz w:val="24"/>
                <w:highlight w:val="none"/>
              </w:rPr>
            </w:pPr>
          </w:p>
        </w:tc>
      </w:tr>
      <w:tr w14:paraId="19559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85" w:type="dxa"/>
            <w:noWrap w:val="0"/>
            <w:vAlign w:val="top"/>
          </w:tcPr>
          <w:p w14:paraId="0E2F9E11">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422" w:type="dxa"/>
            <w:noWrap w:val="0"/>
            <w:vAlign w:val="top"/>
          </w:tcPr>
          <w:p w14:paraId="67799B8D">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993" w:type="dxa"/>
            <w:noWrap w:val="0"/>
            <w:vAlign w:val="top"/>
          </w:tcPr>
          <w:p w14:paraId="119C7186">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842" w:type="dxa"/>
            <w:noWrap w:val="0"/>
            <w:vAlign w:val="top"/>
          </w:tcPr>
          <w:p w14:paraId="13A24A5F">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560" w:type="dxa"/>
            <w:noWrap w:val="0"/>
            <w:vAlign w:val="top"/>
          </w:tcPr>
          <w:p w14:paraId="5D741A45">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134" w:type="dxa"/>
            <w:noWrap w:val="0"/>
            <w:vAlign w:val="top"/>
          </w:tcPr>
          <w:p w14:paraId="1CBAE176">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112" w:type="dxa"/>
            <w:noWrap w:val="0"/>
            <w:vAlign w:val="top"/>
          </w:tcPr>
          <w:p w14:paraId="2EBE519E">
            <w:pPr>
              <w:pStyle w:val="18"/>
              <w:shd w:val="clear" w:color="auto" w:fill="auto"/>
              <w:spacing w:line="360" w:lineRule="auto"/>
              <w:ind w:left="1080" w:leftChars="257" w:hanging="540"/>
              <w:rPr>
                <w:rFonts w:ascii="Times New Roman" w:hAnsi="Times New Roman" w:eastAsia="仿宋_GB2312"/>
                <w:color w:val="auto"/>
                <w:sz w:val="24"/>
                <w:highlight w:val="none"/>
              </w:rPr>
            </w:pPr>
          </w:p>
        </w:tc>
      </w:tr>
      <w:tr w14:paraId="1D03B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85" w:type="dxa"/>
            <w:noWrap w:val="0"/>
            <w:vAlign w:val="top"/>
          </w:tcPr>
          <w:p w14:paraId="6712619F">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422" w:type="dxa"/>
            <w:noWrap w:val="0"/>
            <w:vAlign w:val="top"/>
          </w:tcPr>
          <w:p w14:paraId="6448AB0A">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993" w:type="dxa"/>
            <w:noWrap w:val="0"/>
            <w:vAlign w:val="top"/>
          </w:tcPr>
          <w:p w14:paraId="6B338F7C">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842" w:type="dxa"/>
            <w:noWrap w:val="0"/>
            <w:vAlign w:val="top"/>
          </w:tcPr>
          <w:p w14:paraId="22873B82">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560" w:type="dxa"/>
            <w:noWrap w:val="0"/>
            <w:vAlign w:val="top"/>
          </w:tcPr>
          <w:p w14:paraId="66C507C7">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134" w:type="dxa"/>
            <w:noWrap w:val="0"/>
            <w:vAlign w:val="top"/>
          </w:tcPr>
          <w:p w14:paraId="3E9D92A4">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112" w:type="dxa"/>
            <w:noWrap w:val="0"/>
            <w:vAlign w:val="top"/>
          </w:tcPr>
          <w:p w14:paraId="02AAA3F0">
            <w:pPr>
              <w:pStyle w:val="18"/>
              <w:shd w:val="clear" w:color="auto" w:fill="auto"/>
              <w:spacing w:line="360" w:lineRule="auto"/>
              <w:ind w:left="1080" w:leftChars="257" w:hanging="540"/>
              <w:rPr>
                <w:rFonts w:ascii="Times New Roman" w:hAnsi="Times New Roman" w:eastAsia="仿宋_GB2312"/>
                <w:color w:val="auto"/>
                <w:sz w:val="24"/>
                <w:highlight w:val="none"/>
              </w:rPr>
            </w:pPr>
          </w:p>
        </w:tc>
      </w:tr>
      <w:tr w14:paraId="0C059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85" w:type="dxa"/>
            <w:noWrap w:val="0"/>
            <w:vAlign w:val="top"/>
          </w:tcPr>
          <w:p w14:paraId="577BB824">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422" w:type="dxa"/>
            <w:noWrap w:val="0"/>
            <w:vAlign w:val="top"/>
          </w:tcPr>
          <w:p w14:paraId="50C1B05B">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993" w:type="dxa"/>
            <w:noWrap w:val="0"/>
            <w:vAlign w:val="top"/>
          </w:tcPr>
          <w:p w14:paraId="1C4F4683">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842" w:type="dxa"/>
            <w:noWrap w:val="0"/>
            <w:vAlign w:val="top"/>
          </w:tcPr>
          <w:p w14:paraId="16A05B06">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560" w:type="dxa"/>
            <w:noWrap w:val="0"/>
            <w:vAlign w:val="top"/>
          </w:tcPr>
          <w:p w14:paraId="7412543B">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134" w:type="dxa"/>
            <w:noWrap w:val="0"/>
            <w:vAlign w:val="top"/>
          </w:tcPr>
          <w:p w14:paraId="5CD3966D">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112" w:type="dxa"/>
            <w:noWrap w:val="0"/>
            <w:vAlign w:val="top"/>
          </w:tcPr>
          <w:p w14:paraId="35FE92C8">
            <w:pPr>
              <w:pStyle w:val="18"/>
              <w:shd w:val="clear" w:color="auto" w:fill="auto"/>
              <w:spacing w:line="360" w:lineRule="auto"/>
              <w:ind w:left="1080" w:leftChars="257" w:hanging="540"/>
              <w:rPr>
                <w:rFonts w:ascii="Times New Roman" w:hAnsi="Times New Roman" w:eastAsia="仿宋_GB2312"/>
                <w:color w:val="auto"/>
                <w:sz w:val="24"/>
                <w:highlight w:val="none"/>
              </w:rPr>
            </w:pPr>
          </w:p>
        </w:tc>
      </w:tr>
      <w:tr w14:paraId="67D9B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685" w:type="dxa"/>
            <w:noWrap w:val="0"/>
            <w:vAlign w:val="top"/>
          </w:tcPr>
          <w:p w14:paraId="5E8FF53C">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422" w:type="dxa"/>
            <w:noWrap w:val="0"/>
            <w:vAlign w:val="top"/>
          </w:tcPr>
          <w:p w14:paraId="379A8216">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993" w:type="dxa"/>
            <w:noWrap w:val="0"/>
            <w:vAlign w:val="top"/>
          </w:tcPr>
          <w:p w14:paraId="47834DC9">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842" w:type="dxa"/>
            <w:noWrap w:val="0"/>
            <w:vAlign w:val="top"/>
          </w:tcPr>
          <w:p w14:paraId="466C198A">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560" w:type="dxa"/>
            <w:noWrap w:val="0"/>
            <w:vAlign w:val="top"/>
          </w:tcPr>
          <w:p w14:paraId="36A8C293">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134" w:type="dxa"/>
            <w:noWrap w:val="0"/>
            <w:vAlign w:val="top"/>
          </w:tcPr>
          <w:p w14:paraId="1DEB4DA1">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112" w:type="dxa"/>
            <w:noWrap w:val="0"/>
            <w:vAlign w:val="top"/>
          </w:tcPr>
          <w:p w14:paraId="5041F7A0">
            <w:pPr>
              <w:pStyle w:val="18"/>
              <w:shd w:val="clear" w:color="auto" w:fill="auto"/>
              <w:spacing w:line="360" w:lineRule="auto"/>
              <w:ind w:left="1080" w:leftChars="257" w:hanging="540"/>
              <w:rPr>
                <w:rFonts w:ascii="Times New Roman" w:hAnsi="Times New Roman" w:eastAsia="仿宋_GB2312"/>
                <w:color w:val="auto"/>
                <w:sz w:val="24"/>
                <w:highlight w:val="none"/>
              </w:rPr>
            </w:pPr>
          </w:p>
        </w:tc>
      </w:tr>
      <w:tr w14:paraId="1EA3A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85" w:type="dxa"/>
            <w:noWrap w:val="0"/>
            <w:vAlign w:val="top"/>
          </w:tcPr>
          <w:p w14:paraId="7F17A070">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422" w:type="dxa"/>
            <w:noWrap w:val="0"/>
            <w:vAlign w:val="top"/>
          </w:tcPr>
          <w:p w14:paraId="0E7EBA9E">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993" w:type="dxa"/>
            <w:noWrap w:val="0"/>
            <w:vAlign w:val="top"/>
          </w:tcPr>
          <w:p w14:paraId="21A80D38">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842" w:type="dxa"/>
            <w:noWrap w:val="0"/>
            <w:vAlign w:val="top"/>
          </w:tcPr>
          <w:p w14:paraId="207F1F73">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560" w:type="dxa"/>
            <w:noWrap w:val="0"/>
            <w:vAlign w:val="top"/>
          </w:tcPr>
          <w:p w14:paraId="13CB69E7">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134" w:type="dxa"/>
            <w:noWrap w:val="0"/>
            <w:vAlign w:val="top"/>
          </w:tcPr>
          <w:p w14:paraId="7A66507D">
            <w:pPr>
              <w:pStyle w:val="18"/>
              <w:shd w:val="clear" w:color="auto" w:fill="auto"/>
              <w:spacing w:line="360" w:lineRule="auto"/>
              <w:ind w:left="1080" w:leftChars="257" w:hanging="540"/>
              <w:rPr>
                <w:rFonts w:ascii="Times New Roman" w:hAnsi="Times New Roman" w:eastAsia="仿宋_GB2312"/>
                <w:color w:val="auto"/>
                <w:sz w:val="24"/>
                <w:highlight w:val="none"/>
              </w:rPr>
            </w:pPr>
          </w:p>
        </w:tc>
        <w:tc>
          <w:tcPr>
            <w:tcW w:w="1112" w:type="dxa"/>
            <w:noWrap w:val="0"/>
            <w:vAlign w:val="top"/>
          </w:tcPr>
          <w:p w14:paraId="4A550436">
            <w:pPr>
              <w:pStyle w:val="18"/>
              <w:shd w:val="clear" w:color="auto" w:fill="auto"/>
              <w:spacing w:line="360" w:lineRule="auto"/>
              <w:ind w:left="1080" w:leftChars="257" w:hanging="540"/>
              <w:rPr>
                <w:rFonts w:ascii="Times New Roman" w:hAnsi="Times New Roman" w:eastAsia="仿宋_GB2312"/>
                <w:color w:val="auto"/>
                <w:sz w:val="24"/>
                <w:highlight w:val="none"/>
              </w:rPr>
            </w:pPr>
          </w:p>
        </w:tc>
      </w:tr>
    </w:tbl>
    <w:p w14:paraId="7F2CD1E5">
      <w:pPr>
        <w:pStyle w:val="18"/>
        <w:shd w:val="clear" w:color="auto" w:fill="auto"/>
        <w:spacing w:line="360" w:lineRule="auto"/>
        <w:ind w:left="1080" w:leftChars="257" w:hanging="540"/>
        <w:rPr>
          <w:rFonts w:ascii="Times New Roman" w:hAnsi="Times New Roman" w:eastAsia="仿宋_GB2312"/>
          <w:color w:val="auto"/>
          <w:sz w:val="24"/>
          <w:highlight w:val="none"/>
        </w:rPr>
      </w:pPr>
    </w:p>
    <w:p w14:paraId="041F7EB1">
      <w:pPr>
        <w:shd w:val="clear" w:color="auto" w:fill="auto"/>
        <w:spacing w:line="360" w:lineRule="auto"/>
        <w:ind w:firstLine="1920" w:firstLineChars="800"/>
        <w:rPr>
          <w:rFonts w:eastAsia="仿宋_GB2312"/>
          <w:color w:val="auto"/>
          <w:sz w:val="24"/>
          <w:highlight w:val="none"/>
        </w:rPr>
      </w:pPr>
      <w:r>
        <w:rPr>
          <w:rFonts w:hint="eastAsia" w:eastAsia="仿宋_GB2312"/>
          <w:color w:val="auto"/>
          <w:sz w:val="24"/>
          <w:highlight w:val="none"/>
        </w:rPr>
        <w:t>投标人</w:t>
      </w:r>
      <w:r>
        <w:rPr>
          <w:rFonts w:eastAsia="仿宋_GB2312"/>
          <w:color w:val="auto"/>
          <w:sz w:val="24"/>
          <w:highlight w:val="none"/>
        </w:rPr>
        <w:t>（盖</w:t>
      </w:r>
      <w:r>
        <w:rPr>
          <w:rFonts w:hint="eastAsia" w:eastAsia="仿宋_GB2312"/>
          <w:color w:val="auto"/>
          <w:sz w:val="24"/>
          <w:highlight w:val="none"/>
        </w:rPr>
        <w:t>公</w:t>
      </w:r>
      <w:r>
        <w:rPr>
          <w:rFonts w:eastAsia="仿宋_GB2312"/>
          <w:color w:val="auto"/>
          <w:sz w:val="24"/>
          <w:highlight w:val="none"/>
        </w:rPr>
        <w:t>章）：</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p>
    <w:p w14:paraId="1B0C23B7">
      <w:pPr>
        <w:shd w:val="clear" w:color="auto" w:fill="auto"/>
        <w:spacing w:line="360" w:lineRule="auto"/>
        <w:ind w:firstLine="1920" w:firstLineChars="800"/>
        <w:rPr>
          <w:rFonts w:eastAsia="仿宋_GB2312"/>
          <w:color w:val="auto"/>
          <w:sz w:val="24"/>
          <w:highlight w:val="none"/>
          <w:u w:val="single"/>
        </w:rPr>
      </w:pPr>
      <w:r>
        <w:rPr>
          <w:rFonts w:eastAsia="仿宋_GB2312"/>
          <w:color w:val="auto"/>
          <w:sz w:val="24"/>
          <w:highlight w:val="none"/>
        </w:rPr>
        <w:t>法定代表人</w:t>
      </w:r>
      <w:r>
        <w:rPr>
          <w:rFonts w:hint="eastAsia" w:eastAsia="仿宋"/>
          <w:color w:val="auto"/>
          <w:sz w:val="24"/>
          <w:highlight w:val="none"/>
          <w:lang w:val="zh-CN"/>
        </w:rPr>
        <w:t>（或单位负责人）</w:t>
      </w:r>
      <w:r>
        <w:rPr>
          <w:rFonts w:eastAsia="仿宋_GB2312"/>
          <w:color w:val="auto"/>
          <w:sz w:val="24"/>
          <w:highlight w:val="none"/>
        </w:rPr>
        <w:t>或授权代表（签字</w:t>
      </w:r>
      <w:r>
        <w:rPr>
          <w:rFonts w:hint="eastAsia" w:eastAsia="仿宋_GB2312"/>
          <w:color w:val="auto"/>
          <w:sz w:val="24"/>
          <w:highlight w:val="none"/>
        </w:rPr>
        <w:t>或盖章</w:t>
      </w:r>
      <w:r>
        <w:rPr>
          <w:rFonts w:eastAsia="仿宋_GB2312"/>
          <w:color w:val="auto"/>
          <w:sz w:val="24"/>
          <w:highlight w:val="none"/>
        </w:rPr>
        <w:t>）：</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r>
        <w:rPr>
          <w:rFonts w:eastAsia="仿宋_GB2312"/>
          <w:color w:val="auto"/>
          <w:sz w:val="24"/>
          <w:highlight w:val="none"/>
          <w:u w:val="single"/>
        </w:rPr>
        <w:t xml:space="preserve">   </w:t>
      </w:r>
    </w:p>
    <w:p w14:paraId="32E829EC">
      <w:pPr>
        <w:pStyle w:val="18"/>
        <w:shd w:val="clear" w:color="auto" w:fill="auto"/>
        <w:tabs>
          <w:tab w:val="left" w:pos="5580"/>
        </w:tabs>
        <w:spacing w:line="360" w:lineRule="auto"/>
        <w:ind w:firstLine="1920" w:firstLineChars="800"/>
        <w:rPr>
          <w:rFonts w:ascii="Times New Roman" w:hAnsi="Times New Roman" w:eastAsia="仿宋_GB2312"/>
          <w:color w:val="auto"/>
          <w:sz w:val="24"/>
          <w:highlight w:val="none"/>
        </w:rPr>
      </w:pPr>
      <w:r>
        <w:rPr>
          <w:rFonts w:eastAsia="仿宋_GB2312"/>
          <w:color w:val="auto"/>
          <w:sz w:val="24"/>
          <w:highlight w:val="none"/>
        </w:rPr>
        <w:t>日    期：</w:t>
      </w:r>
      <w:r>
        <w:rPr>
          <w:rFonts w:eastAsia="仿宋_GB2312"/>
          <w:color w:val="auto"/>
          <w:sz w:val="32"/>
          <w:highlight w:val="none"/>
          <w:u w:val="single"/>
        </w:rPr>
        <w:t xml:space="preserve">                      </w:t>
      </w:r>
      <w:r>
        <w:rPr>
          <w:rFonts w:hint="eastAsia" w:eastAsia="仿宋_GB2312"/>
          <w:color w:val="auto"/>
          <w:sz w:val="32"/>
          <w:highlight w:val="none"/>
          <w:u w:val="single"/>
        </w:rPr>
        <w:t xml:space="preserve">      </w:t>
      </w:r>
    </w:p>
    <w:p w14:paraId="73992279">
      <w:pPr>
        <w:pStyle w:val="18"/>
        <w:shd w:val="clear" w:color="auto" w:fill="auto"/>
        <w:spacing w:line="360" w:lineRule="auto"/>
        <w:rPr>
          <w:rFonts w:ascii="Times New Roman" w:hAnsi="Times New Roman" w:eastAsia="仿宋_GB2312"/>
          <w:color w:val="auto"/>
          <w:sz w:val="24"/>
          <w:highlight w:val="none"/>
          <w:u w:val="single"/>
        </w:rPr>
      </w:pPr>
    </w:p>
    <w:p w14:paraId="2AC17A87">
      <w:pPr>
        <w:pStyle w:val="18"/>
        <w:shd w:val="clear" w:color="auto" w:fill="auto"/>
        <w:spacing w:line="360" w:lineRule="auto"/>
        <w:rPr>
          <w:rFonts w:ascii="Times New Roman" w:hAnsi="Times New Roman" w:eastAsia="仿宋_GB2312"/>
          <w:color w:val="auto"/>
          <w:szCs w:val="21"/>
          <w:highlight w:val="none"/>
        </w:rPr>
      </w:pPr>
      <w:r>
        <w:rPr>
          <w:rFonts w:ascii="Times New Roman" w:hAnsi="Times New Roman" w:eastAsia="仿宋_GB2312"/>
          <w:color w:val="auto"/>
          <w:szCs w:val="21"/>
          <w:highlight w:val="none"/>
        </w:rPr>
        <w:t>注：1.投标文件技术参数指标响应内容必须按照投标产品实际参数指标填写，与相关证明材料一致，不得直接将采购文件的技术参数指标要求完全复制作为投标文件响应内容，否则将会影响评审得分。</w:t>
      </w:r>
    </w:p>
    <w:p w14:paraId="1CC159F3">
      <w:pPr>
        <w:pStyle w:val="18"/>
        <w:shd w:val="clear" w:color="auto" w:fill="auto"/>
        <w:spacing w:line="360" w:lineRule="auto"/>
        <w:ind w:left="1080" w:leftChars="257" w:hanging="540"/>
        <w:rPr>
          <w:rFonts w:ascii="Times New Roman" w:hAnsi="Times New Roman" w:eastAsia="仿宋_GB2312"/>
          <w:color w:val="auto"/>
          <w:szCs w:val="21"/>
          <w:highlight w:val="none"/>
        </w:rPr>
      </w:pPr>
      <w:r>
        <w:rPr>
          <w:rFonts w:ascii="Times New Roman" w:hAnsi="Times New Roman" w:eastAsia="仿宋_GB2312"/>
          <w:color w:val="auto"/>
          <w:szCs w:val="21"/>
          <w:highlight w:val="none"/>
        </w:rPr>
        <w:t>2.务必完整填写所有指标响应参数；必须在备注栏进行明确说明偏离情况，且偏离</w:t>
      </w:r>
    </w:p>
    <w:p w14:paraId="7FCF064F">
      <w:pPr>
        <w:pStyle w:val="18"/>
        <w:shd w:val="clear" w:color="auto" w:fill="auto"/>
        <w:spacing w:line="360" w:lineRule="auto"/>
        <w:rPr>
          <w:rFonts w:ascii="Times New Roman" w:hAnsi="Times New Roman" w:eastAsia="仿宋_GB2312"/>
          <w:color w:val="auto"/>
          <w:szCs w:val="21"/>
          <w:highlight w:val="none"/>
        </w:rPr>
      </w:pPr>
      <w:r>
        <w:rPr>
          <w:rFonts w:ascii="Times New Roman" w:hAnsi="Times New Roman" w:eastAsia="仿宋_GB2312"/>
          <w:color w:val="auto"/>
          <w:szCs w:val="21"/>
          <w:highlight w:val="none"/>
        </w:rPr>
        <w:t>情况与实际相符，否则将会影响评审得分。</w:t>
      </w:r>
    </w:p>
    <w:p w14:paraId="1F96718B">
      <w:pPr>
        <w:pStyle w:val="18"/>
        <w:shd w:val="clear" w:color="auto" w:fill="auto"/>
        <w:spacing w:line="360" w:lineRule="auto"/>
        <w:ind w:left="1080" w:leftChars="257" w:hanging="540"/>
        <w:rPr>
          <w:rFonts w:ascii="Times New Roman" w:hAnsi="Times New Roman" w:eastAsia="仿宋_GB2312"/>
          <w:color w:val="auto"/>
          <w:szCs w:val="21"/>
          <w:highlight w:val="none"/>
        </w:rPr>
      </w:pPr>
      <w:r>
        <w:rPr>
          <w:rFonts w:ascii="Times New Roman" w:hAnsi="Times New Roman" w:eastAsia="仿宋_GB2312"/>
          <w:color w:val="auto"/>
          <w:szCs w:val="21"/>
          <w:highlight w:val="none"/>
        </w:rPr>
        <w:t>3.采购文件中约定的每项采购内容的技术偏离情况都必须体现在此技术偏离表中，</w:t>
      </w:r>
    </w:p>
    <w:p w14:paraId="6F808355">
      <w:pPr>
        <w:pStyle w:val="18"/>
        <w:shd w:val="clear" w:color="auto" w:fill="auto"/>
        <w:spacing w:line="360" w:lineRule="auto"/>
        <w:rPr>
          <w:rFonts w:ascii="Times New Roman" w:hAnsi="Times New Roman" w:eastAsia="仿宋_GB2312"/>
          <w:color w:val="auto"/>
          <w:sz w:val="24"/>
          <w:highlight w:val="none"/>
        </w:rPr>
      </w:pPr>
      <w:r>
        <w:rPr>
          <w:rFonts w:ascii="Times New Roman" w:hAnsi="Times New Roman" w:eastAsia="仿宋_GB2312"/>
          <w:color w:val="auto"/>
          <w:szCs w:val="21"/>
          <w:highlight w:val="none"/>
        </w:rPr>
        <w:t>否则将会影响评审得分。</w:t>
      </w:r>
    </w:p>
    <w:p w14:paraId="6EDD3BE3">
      <w:pPr>
        <w:pStyle w:val="6"/>
        <w:shd w:val="clear" w:color="auto" w:fill="auto"/>
        <w:ind w:firstLine="0" w:firstLineChars="0"/>
        <w:jc w:val="center"/>
        <w:rPr>
          <w:rFonts w:ascii="Times New Roman" w:hAnsi="Times New Roman" w:eastAsia="仿宋_GB2312"/>
          <w:color w:val="auto"/>
          <w:sz w:val="32"/>
          <w:szCs w:val="32"/>
          <w:highlight w:val="none"/>
        </w:rPr>
      </w:pPr>
      <w:bookmarkStart w:id="468" w:name="_Toc62194353"/>
      <w:bookmarkStart w:id="469" w:name="_Toc216582818"/>
      <w:bookmarkStart w:id="470" w:name="_Toc4711"/>
      <w:bookmarkStart w:id="471" w:name="_Toc60929141"/>
      <w:bookmarkStart w:id="472" w:name="_Toc60928909"/>
      <w:bookmarkStart w:id="473" w:name="_Toc515647821"/>
      <w:bookmarkStart w:id="474" w:name="_Toc1980"/>
      <w:bookmarkStart w:id="475" w:name="_Toc23"/>
      <w:bookmarkStart w:id="476" w:name="_Toc532473510"/>
      <w:r>
        <w:rPr>
          <w:rFonts w:ascii="Times New Roman" w:hAnsi="Times New Roman" w:eastAsia="仿宋_GB2312"/>
          <w:color w:val="auto"/>
          <w:sz w:val="32"/>
          <w:szCs w:val="32"/>
          <w:highlight w:val="none"/>
        </w:rPr>
        <w:t>商务条款偏离表</w:t>
      </w:r>
      <w:bookmarkEnd w:id="468"/>
      <w:bookmarkEnd w:id="469"/>
      <w:bookmarkEnd w:id="470"/>
      <w:bookmarkEnd w:id="471"/>
      <w:bookmarkEnd w:id="472"/>
    </w:p>
    <w:bookmarkEnd w:id="473"/>
    <w:bookmarkEnd w:id="474"/>
    <w:bookmarkEnd w:id="475"/>
    <w:bookmarkEnd w:id="476"/>
    <w:p w14:paraId="0A2329E5">
      <w:pPr>
        <w:pStyle w:val="14"/>
        <w:shd w:val="clear" w:color="auto" w:fill="auto"/>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项目编号：</w:t>
      </w:r>
    </w:p>
    <w:p w14:paraId="62CB23F3">
      <w:pPr>
        <w:pStyle w:val="14"/>
        <w:shd w:val="clear" w:color="auto" w:fill="auto"/>
        <w:rPr>
          <w:rFonts w:ascii="Times New Roman" w:hAnsi="Times New Roman" w:eastAsia="仿宋_GB2312" w:cs="Times New Roman"/>
          <w:color w:val="auto"/>
          <w:highlight w:val="none"/>
        </w:rPr>
      </w:pPr>
      <w:r>
        <w:rPr>
          <w:rFonts w:ascii="Times New Roman" w:hAnsi="Times New Roman" w:eastAsia="仿宋_GB2312" w:cs="Times New Roman"/>
          <w:color w:val="auto"/>
          <w:highlight w:val="none"/>
        </w:rPr>
        <w:t>项目名称：</w:t>
      </w:r>
    </w:p>
    <w:p w14:paraId="1B36FE76">
      <w:pPr>
        <w:pStyle w:val="14"/>
        <w:shd w:val="clear" w:color="auto" w:fill="auto"/>
        <w:rPr>
          <w:rFonts w:ascii="Times New Roman" w:hAnsi="Times New Roman" w:eastAsia="仿宋_GB2312"/>
          <w:color w:val="auto"/>
          <w:sz w:val="24"/>
          <w:highlight w:val="none"/>
        </w:rPr>
      </w:pPr>
      <w:r>
        <w:rPr>
          <w:rFonts w:hint="eastAsia" w:ascii="Times New Roman" w:hAnsi="Times New Roman" w:eastAsia="仿宋_GB2312" w:cs="Times New Roman"/>
          <w:color w:val="auto"/>
          <w:highlight w:val="none"/>
          <w:lang w:val="en-US" w:eastAsia="zh-CN"/>
        </w:rPr>
        <w:t>包号：</w:t>
      </w:r>
      <w:r>
        <w:rPr>
          <w:rFonts w:ascii="Times New Roman" w:hAnsi="Times New Roman" w:eastAsia="仿宋_GB2312" w:cs="Times New Roman"/>
          <w:color w:val="auto"/>
          <w:highlight w:val="none"/>
        </w:rPr>
        <w:t xml:space="preserve">  </w:t>
      </w:r>
      <w:r>
        <w:rPr>
          <w:rFonts w:ascii="Times New Roman" w:hAnsi="Times New Roman" w:eastAsia="仿宋_GB2312"/>
          <w:color w:val="auto"/>
          <w:sz w:val="24"/>
          <w:highlight w:val="none"/>
        </w:rPr>
        <w:t xml:space="preserve"> </w:t>
      </w:r>
    </w:p>
    <w:tbl>
      <w:tblPr>
        <w:tblStyle w:val="36"/>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2040"/>
        <w:gridCol w:w="2520"/>
        <w:gridCol w:w="1792"/>
        <w:gridCol w:w="1628"/>
      </w:tblGrid>
      <w:tr w14:paraId="5346F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6D2814B4">
            <w:pPr>
              <w:pStyle w:val="18"/>
              <w:shd w:val="clear" w:color="auto" w:fill="auto"/>
              <w:jc w:val="center"/>
              <w:rPr>
                <w:rFonts w:ascii="Times New Roman" w:hAnsi="Times New Roman" w:eastAsia="黑体"/>
                <w:color w:val="auto"/>
                <w:sz w:val="24"/>
                <w:highlight w:val="none"/>
              </w:rPr>
            </w:pPr>
            <w:r>
              <w:rPr>
                <w:rFonts w:ascii="Times New Roman" w:hAnsi="Times New Roman" w:eastAsia="黑体"/>
                <w:color w:val="auto"/>
                <w:sz w:val="24"/>
                <w:highlight w:val="none"/>
              </w:rPr>
              <w:t>序号</w:t>
            </w:r>
          </w:p>
        </w:tc>
        <w:tc>
          <w:tcPr>
            <w:tcW w:w="2040" w:type="dxa"/>
            <w:noWrap w:val="0"/>
            <w:vAlign w:val="center"/>
          </w:tcPr>
          <w:p w14:paraId="0A935CDC">
            <w:pPr>
              <w:pStyle w:val="18"/>
              <w:shd w:val="clear" w:color="auto" w:fill="auto"/>
              <w:jc w:val="center"/>
              <w:rPr>
                <w:rFonts w:ascii="Times New Roman" w:hAnsi="Times New Roman" w:eastAsia="黑体"/>
                <w:color w:val="auto"/>
                <w:sz w:val="24"/>
                <w:highlight w:val="none"/>
              </w:rPr>
            </w:pPr>
            <w:r>
              <w:rPr>
                <w:rFonts w:ascii="Times New Roman" w:hAnsi="Times New Roman" w:eastAsia="黑体"/>
                <w:color w:val="auto"/>
                <w:sz w:val="24"/>
                <w:highlight w:val="none"/>
              </w:rPr>
              <w:t>招标要求</w:t>
            </w:r>
          </w:p>
        </w:tc>
        <w:tc>
          <w:tcPr>
            <w:tcW w:w="2520" w:type="dxa"/>
            <w:noWrap w:val="0"/>
            <w:vAlign w:val="center"/>
          </w:tcPr>
          <w:p w14:paraId="7B9B1612">
            <w:pPr>
              <w:pStyle w:val="18"/>
              <w:shd w:val="clear" w:color="auto" w:fill="auto"/>
              <w:jc w:val="center"/>
              <w:rPr>
                <w:rFonts w:ascii="Times New Roman" w:hAnsi="Times New Roman" w:eastAsia="黑体"/>
                <w:color w:val="auto"/>
                <w:sz w:val="24"/>
                <w:highlight w:val="none"/>
              </w:rPr>
            </w:pPr>
            <w:r>
              <w:rPr>
                <w:rFonts w:ascii="Times New Roman" w:hAnsi="Times New Roman" w:eastAsia="黑体"/>
                <w:color w:val="auto"/>
                <w:sz w:val="24"/>
                <w:highlight w:val="none"/>
              </w:rPr>
              <w:t>投标响应</w:t>
            </w:r>
          </w:p>
        </w:tc>
        <w:tc>
          <w:tcPr>
            <w:tcW w:w="1792" w:type="dxa"/>
            <w:noWrap w:val="0"/>
            <w:vAlign w:val="center"/>
          </w:tcPr>
          <w:p w14:paraId="681AA52B">
            <w:pPr>
              <w:pStyle w:val="18"/>
              <w:shd w:val="clear" w:color="auto" w:fill="auto"/>
              <w:jc w:val="center"/>
              <w:rPr>
                <w:rFonts w:ascii="Times New Roman" w:hAnsi="Times New Roman" w:eastAsia="黑体"/>
                <w:color w:val="auto"/>
                <w:sz w:val="24"/>
                <w:highlight w:val="none"/>
              </w:rPr>
            </w:pPr>
            <w:r>
              <w:rPr>
                <w:rFonts w:ascii="Times New Roman" w:hAnsi="Times New Roman" w:eastAsia="黑体"/>
                <w:color w:val="auto"/>
                <w:sz w:val="24"/>
                <w:highlight w:val="none"/>
              </w:rPr>
              <w:t>偏离</w:t>
            </w:r>
          </w:p>
        </w:tc>
        <w:tc>
          <w:tcPr>
            <w:tcW w:w="1628" w:type="dxa"/>
            <w:noWrap w:val="0"/>
            <w:vAlign w:val="center"/>
          </w:tcPr>
          <w:p w14:paraId="3FC1090F">
            <w:pPr>
              <w:pStyle w:val="18"/>
              <w:shd w:val="clear" w:color="auto" w:fill="auto"/>
              <w:jc w:val="center"/>
              <w:rPr>
                <w:rFonts w:ascii="Times New Roman" w:hAnsi="Times New Roman" w:eastAsia="黑体"/>
                <w:color w:val="auto"/>
                <w:sz w:val="24"/>
                <w:highlight w:val="none"/>
              </w:rPr>
            </w:pPr>
            <w:r>
              <w:rPr>
                <w:rFonts w:ascii="Times New Roman" w:hAnsi="Times New Roman" w:eastAsia="黑体"/>
                <w:color w:val="auto"/>
                <w:sz w:val="24"/>
                <w:highlight w:val="none"/>
              </w:rPr>
              <w:t>说明</w:t>
            </w:r>
          </w:p>
        </w:tc>
      </w:tr>
      <w:tr w14:paraId="6CC89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244750F0">
            <w:pPr>
              <w:pStyle w:val="18"/>
              <w:shd w:val="clear" w:color="auto" w:fill="auto"/>
              <w:ind w:left="1080" w:leftChars="257" w:hanging="540"/>
              <w:jc w:val="center"/>
              <w:rPr>
                <w:rFonts w:ascii="Times New Roman" w:hAnsi="Times New Roman" w:eastAsia="仿宋_GB2312"/>
                <w:color w:val="auto"/>
                <w:sz w:val="24"/>
                <w:highlight w:val="none"/>
              </w:rPr>
            </w:pPr>
          </w:p>
        </w:tc>
        <w:tc>
          <w:tcPr>
            <w:tcW w:w="2040" w:type="dxa"/>
            <w:noWrap w:val="0"/>
            <w:vAlign w:val="center"/>
          </w:tcPr>
          <w:p w14:paraId="175967DD">
            <w:pPr>
              <w:shd w:val="clear" w:color="auto" w:fill="auto"/>
              <w:jc w:val="center"/>
              <w:rPr>
                <w:rFonts w:eastAsia="仿宋"/>
                <w:bCs/>
                <w:color w:val="auto"/>
                <w:sz w:val="24"/>
                <w:highlight w:val="none"/>
              </w:rPr>
            </w:pPr>
            <w:r>
              <w:rPr>
                <w:rFonts w:eastAsia="仿宋"/>
                <w:bCs/>
                <w:color w:val="auto"/>
                <w:sz w:val="24"/>
                <w:highlight w:val="none"/>
              </w:rPr>
              <w:t>交货期</w:t>
            </w:r>
          </w:p>
        </w:tc>
        <w:tc>
          <w:tcPr>
            <w:tcW w:w="2520" w:type="dxa"/>
            <w:noWrap w:val="0"/>
            <w:vAlign w:val="center"/>
          </w:tcPr>
          <w:p w14:paraId="0AF7E961">
            <w:pPr>
              <w:pStyle w:val="18"/>
              <w:shd w:val="clear" w:color="auto" w:fill="auto"/>
              <w:ind w:left="1080" w:leftChars="257" w:hanging="540"/>
              <w:jc w:val="center"/>
              <w:rPr>
                <w:rFonts w:ascii="Times New Roman" w:hAnsi="Times New Roman" w:eastAsia="仿宋_GB2312"/>
                <w:color w:val="auto"/>
                <w:sz w:val="24"/>
                <w:highlight w:val="none"/>
              </w:rPr>
            </w:pPr>
          </w:p>
        </w:tc>
        <w:tc>
          <w:tcPr>
            <w:tcW w:w="1792" w:type="dxa"/>
            <w:noWrap w:val="0"/>
            <w:vAlign w:val="center"/>
          </w:tcPr>
          <w:p w14:paraId="228AE9F3">
            <w:pPr>
              <w:pStyle w:val="18"/>
              <w:shd w:val="clear" w:color="auto" w:fill="auto"/>
              <w:ind w:left="1080" w:leftChars="257" w:hanging="540"/>
              <w:jc w:val="center"/>
              <w:rPr>
                <w:rFonts w:ascii="Times New Roman" w:hAnsi="Times New Roman" w:eastAsia="仿宋_GB2312"/>
                <w:color w:val="auto"/>
                <w:sz w:val="24"/>
                <w:highlight w:val="none"/>
              </w:rPr>
            </w:pPr>
          </w:p>
        </w:tc>
        <w:tc>
          <w:tcPr>
            <w:tcW w:w="1628" w:type="dxa"/>
            <w:noWrap w:val="0"/>
            <w:vAlign w:val="center"/>
          </w:tcPr>
          <w:p w14:paraId="76EBBC9B">
            <w:pPr>
              <w:pStyle w:val="18"/>
              <w:shd w:val="clear" w:color="auto" w:fill="auto"/>
              <w:ind w:left="1080" w:leftChars="257" w:hanging="540"/>
              <w:jc w:val="center"/>
              <w:rPr>
                <w:rFonts w:ascii="Times New Roman" w:hAnsi="Times New Roman" w:eastAsia="仿宋_GB2312"/>
                <w:color w:val="auto"/>
                <w:sz w:val="24"/>
                <w:highlight w:val="none"/>
              </w:rPr>
            </w:pPr>
          </w:p>
        </w:tc>
      </w:tr>
      <w:tr w14:paraId="65B99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2A8B11D2">
            <w:pPr>
              <w:pStyle w:val="18"/>
              <w:shd w:val="clear" w:color="auto" w:fill="auto"/>
              <w:ind w:left="1080" w:leftChars="257" w:hanging="540"/>
              <w:jc w:val="center"/>
              <w:rPr>
                <w:rFonts w:ascii="Times New Roman" w:hAnsi="Times New Roman" w:eastAsia="仿宋_GB2312"/>
                <w:color w:val="auto"/>
                <w:sz w:val="24"/>
                <w:highlight w:val="none"/>
              </w:rPr>
            </w:pPr>
          </w:p>
        </w:tc>
        <w:tc>
          <w:tcPr>
            <w:tcW w:w="2040" w:type="dxa"/>
            <w:noWrap w:val="0"/>
            <w:vAlign w:val="center"/>
          </w:tcPr>
          <w:p w14:paraId="5B703746">
            <w:pPr>
              <w:shd w:val="clear" w:color="auto" w:fill="auto"/>
              <w:jc w:val="center"/>
              <w:rPr>
                <w:rFonts w:eastAsia="仿宋"/>
                <w:bCs/>
                <w:color w:val="auto"/>
                <w:sz w:val="24"/>
                <w:highlight w:val="none"/>
              </w:rPr>
            </w:pPr>
            <w:r>
              <w:rPr>
                <w:rFonts w:eastAsia="仿宋"/>
                <w:bCs/>
                <w:color w:val="auto"/>
                <w:sz w:val="24"/>
                <w:highlight w:val="none"/>
              </w:rPr>
              <w:t>付款方式</w:t>
            </w:r>
          </w:p>
        </w:tc>
        <w:tc>
          <w:tcPr>
            <w:tcW w:w="2520" w:type="dxa"/>
            <w:noWrap w:val="0"/>
            <w:vAlign w:val="center"/>
          </w:tcPr>
          <w:p w14:paraId="785CFA23">
            <w:pPr>
              <w:pStyle w:val="18"/>
              <w:shd w:val="clear" w:color="auto" w:fill="auto"/>
              <w:ind w:left="1080" w:leftChars="257" w:hanging="540"/>
              <w:jc w:val="center"/>
              <w:rPr>
                <w:rFonts w:ascii="Times New Roman" w:hAnsi="Times New Roman" w:eastAsia="仿宋_GB2312"/>
                <w:color w:val="auto"/>
                <w:sz w:val="24"/>
                <w:highlight w:val="none"/>
              </w:rPr>
            </w:pPr>
          </w:p>
        </w:tc>
        <w:tc>
          <w:tcPr>
            <w:tcW w:w="1792" w:type="dxa"/>
            <w:noWrap w:val="0"/>
            <w:vAlign w:val="center"/>
          </w:tcPr>
          <w:p w14:paraId="207BB524">
            <w:pPr>
              <w:pStyle w:val="18"/>
              <w:shd w:val="clear" w:color="auto" w:fill="auto"/>
              <w:ind w:left="1080" w:leftChars="257" w:hanging="540"/>
              <w:jc w:val="center"/>
              <w:rPr>
                <w:rFonts w:ascii="Times New Roman" w:hAnsi="Times New Roman" w:eastAsia="仿宋_GB2312"/>
                <w:color w:val="auto"/>
                <w:sz w:val="24"/>
                <w:highlight w:val="none"/>
              </w:rPr>
            </w:pPr>
          </w:p>
        </w:tc>
        <w:tc>
          <w:tcPr>
            <w:tcW w:w="1628" w:type="dxa"/>
            <w:noWrap w:val="0"/>
            <w:vAlign w:val="center"/>
          </w:tcPr>
          <w:p w14:paraId="13F5608A">
            <w:pPr>
              <w:pStyle w:val="18"/>
              <w:shd w:val="clear" w:color="auto" w:fill="auto"/>
              <w:ind w:left="1080" w:leftChars="257" w:hanging="540"/>
              <w:jc w:val="center"/>
              <w:rPr>
                <w:rFonts w:ascii="Times New Roman" w:hAnsi="Times New Roman" w:eastAsia="仿宋_GB2312"/>
                <w:color w:val="auto"/>
                <w:sz w:val="24"/>
                <w:highlight w:val="none"/>
              </w:rPr>
            </w:pPr>
          </w:p>
        </w:tc>
      </w:tr>
      <w:tr w14:paraId="16268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02D67BE2">
            <w:pPr>
              <w:pStyle w:val="18"/>
              <w:shd w:val="clear" w:color="auto" w:fill="auto"/>
              <w:ind w:left="1080" w:leftChars="257" w:hanging="540"/>
              <w:jc w:val="center"/>
              <w:rPr>
                <w:rFonts w:ascii="Times New Roman" w:hAnsi="Times New Roman" w:eastAsia="仿宋_GB2312"/>
                <w:color w:val="auto"/>
                <w:sz w:val="24"/>
                <w:highlight w:val="none"/>
              </w:rPr>
            </w:pPr>
          </w:p>
        </w:tc>
        <w:tc>
          <w:tcPr>
            <w:tcW w:w="2040" w:type="dxa"/>
            <w:noWrap w:val="0"/>
            <w:vAlign w:val="center"/>
          </w:tcPr>
          <w:p w14:paraId="4AA85F3E">
            <w:pPr>
              <w:shd w:val="clear" w:color="auto" w:fill="auto"/>
              <w:jc w:val="center"/>
              <w:rPr>
                <w:rFonts w:eastAsia="仿宋"/>
                <w:bCs/>
                <w:color w:val="auto"/>
                <w:sz w:val="24"/>
                <w:highlight w:val="none"/>
              </w:rPr>
            </w:pPr>
            <w:r>
              <w:rPr>
                <w:rFonts w:eastAsia="仿宋"/>
                <w:bCs/>
                <w:color w:val="auto"/>
                <w:sz w:val="24"/>
                <w:highlight w:val="none"/>
              </w:rPr>
              <w:t>质保期</w:t>
            </w:r>
          </w:p>
        </w:tc>
        <w:tc>
          <w:tcPr>
            <w:tcW w:w="2520" w:type="dxa"/>
            <w:noWrap w:val="0"/>
            <w:vAlign w:val="center"/>
          </w:tcPr>
          <w:p w14:paraId="6B8CAAD8">
            <w:pPr>
              <w:pStyle w:val="18"/>
              <w:shd w:val="clear" w:color="auto" w:fill="auto"/>
              <w:ind w:left="1080" w:leftChars="257" w:hanging="540"/>
              <w:jc w:val="center"/>
              <w:rPr>
                <w:rFonts w:ascii="Times New Roman" w:hAnsi="Times New Roman" w:eastAsia="仿宋_GB2312"/>
                <w:color w:val="auto"/>
                <w:sz w:val="24"/>
                <w:highlight w:val="none"/>
              </w:rPr>
            </w:pPr>
          </w:p>
        </w:tc>
        <w:tc>
          <w:tcPr>
            <w:tcW w:w="1792" w:type="dxa"/>
            <w:noWrap w:val="0"/>
            <w:vAlign w:val="center"/>
          </w:tcPr>
          <w:p w14:paraId="6B32FD4E">
            <w:pPr>
              <w:pStyle w:val="18"/>
              <w:shd w:val="clear" w:color="auto" w:fill="auto"/>
              <w:ind w:left="1080" w:leftChars="257" w:hanging="540"/>
              <w:jc w:val="center"/>
              <w:rPr>
                <w:rFonts w:ascii="Times New Roman" w:hAnsi="Times New Roman" w:eastAsia="仿宋_GB2312"/>
                <w:color w:val="auto"/>
                <w:sz w:val="24"/>
                <w:highlight w:val="none"/>
              </w:rPr>
            </w:pPr>
          </w:p>
        </w:tc>
        <w:tc>
          <w:tcPr>
            <w:tcW w:w="1628" w:type="dxa"/>
            <w:noWrap w:val="0"/>
            <w:vAlign w:val="center"/>
          </w:tcPr>
          <w:p w14:paraId="3634A3E0">
            <w:pPr>
              <w:pStyle w:val="18"/>
              <w:shd w:val="clear" w:color="auto" w:fill="auto"/>
              <w:ind w:left="1080" w:leftChars="257" w:hanging="540"/>
              <w:jc w:val="center"/>
              <w:rPr>
                <w:rFonts w:ascii="Times New Roman" w:hAnsi="Times New Roman" w:eastAsia="仿宋_GB2312"/>
                <w:color w:val="auto"/>
                <w:sz w:val="24"/>
                <w:highlight w:val="none"/>
              </w:rPr>
            </w:pPr>
          </w:p>
        </w:tc>
      </w:tr>
      <w:tr w14:paraId="501FF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65DF3B0B">
            <w:pPr>
              <w:pStyle w:val="18"/>
              <w:shd w:val="clear" w:color="auto" w:fill="auto"/>
              <w:ind w:left="1080" w:leftChars="257" w:hanging="540"/>
              <w:jc w:val="center"/>
              <w:rPr>
                <w:rFonts w:ascii="Times New Roman" w:hAnsi="Times New Roman" w:eastAsia="仿宋_GB2312"/>
                <w:color w:val="auto"/>
                <w:sz w:val="24"/>
                <w:highlight w:val="none"/>
              </w:rPr>
            </w:pPr>
          </w:p>
        </w:tc>
        <w:tc>
          <w:tcPr>
            <w:tcW w:w="2040" w:type="dxa"/>
            <w:noWrap w:val="0"/>
            <w:vAlign w:val="center"/>
          </w:tcPr>
          <w:p w14:paraId="66D8CB20">
            <w:pPr>
              <w:shd w:val="clear" w:color="auto" w:fill="auto"/>
              <w:jc w:val="center"/>
              <w:rPr>
                <w:rFonts w:eastAsia="仿宋"/>
                <w:bCs/>
                <w:color w:val="auto"/>
                <w:sz w:val="24"/>
                <w:highlight w:val="none"/>
              </w:rPr>
            </w:pPr>
            <w:r>
              <w:rPr>
                <w:rFonts w:eastAsia="仿宋"/>
                <w:bCs/>
                <w:color w:val="auto"/>
                <w:sz w:val="24"/>
                <w:highlight w:val="none"/>
              </w:rPr>
              <w:t>投标文件有效期</w:t>
            </w:r>
          </w:p>
        </w:tc>
        <w:tc>
          <w:tcPr>
            <w:tcW w:w="2520" w:type="dxa"/>
            <w:noWrap w:val="0"/>
            <w:vAlign w:val="center"/>
          </w:tcPr>
          <w:p w14:paraId="1570CA3F">
            <w:pPr>
              <w:pStyle w:val="18"/>
              <w:shd w:val="clear" w:color="auto" w:fill="auto"/>
              <w:ind w:left="1080" w:leftChars="257" w:hanging="540"/>
              <w:jc w:val="center"/>
              <w:rPr>
                <w:rFonts w:ascii="Times New Roman" w:hAnsi="Times New Roman" w:eastAsia="仿宋_GB2312"/>
                <w:color w:val="auto"/>
                <w:sz w:val="24"/>
                <w:highlight w:val="none"/>
              </w:rPr>
            </w:pPr>
          </w:p>
        </w:tc>
        <w:tc>
          <w:tcPr>
            <w:tcW w:w="1792" w:type="dxa"/>
            <w:noWrap w:val="0"/>
            <w:vAlign w:val="center"/>
          </w:tcPr>
          <w:p w14:paraId="7FB57327">
            <w:pPr>
              <w:pStyle w:val="18"/>
              <w:shd w:val="clear" w:color="auto" w:fill="auto"/>
              <w:ind w:left="1080" w:leftChars="257" w:hanging="540"/>
              <w:jc w:val="center"/>
              <w:rPr>
                <w:rFonts w:ascii="Times New Roman" w:hAnsi="Times New Roman" w:eastAsia="仿宋_GB2312"/>
                <w:color w:val="auto"/>
                <w:sz w:val="24"/>
                <w:highlight w:val="none"/>
              </w:rPr>
            </w:pPr>
          </w:p>
        </w:tc>
        <w:tc>
          <w:tcPr>
            <w:tcW w:w="1628" w:type="dxa"/>
            <w:noWrap w:val="0"/>
            <w:vAlign w:val="center"/>
          </w:tcPr>
          <w:p w14:paraId="7DED02E6">
            <w:pPr>
              <w:pStyle w:val="18"/>
              <w:shd w:val="clear" w:color="auto" w:fill="auto"/>
              <w:ind w:left="1080" w:leftChars="257" w:hanging="540"/>
              <w:jc w:val="center"/>
              <w:rPr>
                <w:rFonts w:ascii="Times New Roman" w:hAnsi="Times New Roman" w:eastAsia="仿宋_GB2312"/>
                <w:color w:val="auto"/>
                <w:sz w:val="24"/>
                <w:highlight w:val="none"/>
              </w:rPr>
            </w:pPr>
          </w:p>
        </w:tc>
      </w:tr>
      <w:tr w14:paraId="37995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4DE08007">
            <w:pPr>
              <w:pStyle w:val="18"/>
              <w:shd w:val="clear" w:color="auto" w:fill="auto"/>
              <w:ind w:left="1080" w:leftChars="257" w:hanging="540"/>
              <w:jc w:val="center"/>
              <w:rPr>
                <w:rFonts w:ascii="Times New Roman" w:hAnsi="Times New Roman" w:eastAsia="仿宋_GB2312"/>
                <w:color w:val="auto"/>
                <w:sz w:val="24"/>
                <w:highlight w:val="none"/>
              </w:rPr>
            </w:pPr>
          </w:p>
        </w:tc>
        <w:tc>
          <w:tcPr>
            <w:tcW w:w="2040" w:type="dxa"/>
            <w:noWrap w:val="0"/>
            <w:vAlign w:val="center"/>
          </w:tcPr>
          <w:p w14:paraId="3DABBA48">
            <w:pPr>
              <w:shd w:val="clear" w:color="auto" w:fill="auto"/>
              <w:jc w:val="center"/>
              <w:rPr>
                <w:rFonts w:eastAsia="仿宋"/>
                <w:bCs/>
                <w:color w:val="auto"/>
                <w:sz w:val="24"/>
                <w:highlight w:val="none"/>
              </w:rPr>
            </w:pPr>
            <w:r>
              <w:rPr>
                <w:rFonts w:eastAsia="仿宋"/>
                <w:bCs/>
                <w:color w:val="auto"/>
                <w:sz w:val="24"/>
                <w:highlight w:val="none"/>
              </w:rPr>
              <w:t>...</w:t>
            </w:r>
          </w:p>
        </w:tc>
        <w:tc>
          <w:tcPr>
            <w:tcW w:w="2520" w:type="dxa"/>
            <w:noWrap w:val="0"/>
            <w:vAlign w:val="center"/>
          </w:tcPr>
          <w:p w14:paraId="7D86D5B9">
            <w:pPr>
              <w:pStyle w:val="18"/>
              <w:shd w:val="clear" w:color="auto" w:fill="auto"/>
              <w:ind w:left="1080" w:leftChars="257" w:hanging="540"/>
              <w:jc w:val="center"/>
              <w:rPr>
                <w:rFonts w:ascii="Times New Roman" w:hAnsi="Times New Roman" w:eastAsia="仿宋_GB2312"/>
                <w:color w:val="auto"/>
                <w:sz w:val="24"/>
                <w:highlight w:val="none"/>
              </w:rPr>
            </w:pPr>
          </w:p>
        </w:tc>
        <w:tc>
          <w:tcPr>
            <w:tcW w:w="1792" w:type="dxa"/>
            <w:noWrap w:val="0"/>
            <w:vAlign w:val="center"/>
          </w:tcPr>
          <w:p w14:paraId="3A8A76FF">
            <w:pPr>
              <w:pStyle w:val="18"/>
              <w:shd w:val="clear" w:color="auto" w:fill="auto"/>
              <w:ind w:left="1080" w:leftChars="257" w:hanging="540"/>
              <w:jc w:val="center"/>
              <w:rPr>
                <w:rFonts w:ascii="Times New Roman" w:hAnsi="Times New Roman" w:eastAsia="仿宋_GB2312"/>
                <w:color w:val="auto"/>
                <w:sz w:val="24"/>
                <w:highlight w:val="none"/>
              </w:rPr>
            </w:pPr>
          </w:p>
        </w:tc>
        <w:tc>
          <w:tcPr>
            <w:tcW w:w="1628" w:type="dxa"/>
            <w:noWrap w:val="0"/>
            <w:vAlign w:val="center"/>
          </w:tcPr>
          <w:p w14:paraId="0095DD24">
            <w:pPr>
              <w:pStyle w:val="18"/>
              <w:shd w:val="clear" w:color="auto" w:fill="auto"/>
              <w:ind w:left="1080" w:leftChars="257" w:hanging="540"/>
              <w:jc w:val="center"/>
              <w:rPr>
                <w:rFonts w:ascii="Times New Roman" w:hAnsi="Times New Roman" w:eastAsia="仿宋_GB2312"/>
                <w:color w:val="auto"/>
                <w:sz w:val="24"/>
                <w:highlight w:val="none"/>
              </w:rPr>
            </w:pPr>
          </w:p>
        </w:tc>
      </w:tr>
      <w:tr w14:paraId="0D86B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05A32B56">
            <w:pPr>
              <w:pStyle w:val="18"/>
              <w:shd w:val="clear" w:color="auto" w:fill="auto"/>
              <w:ind w:left="1080" w:leftChars="257" w:hanging="540"/>
              <w:jc w:val="center"/>
              <w:rPr>
                <w:rFonts w:ascii="Times New Roman" w:hAnsi="Times New Roman" w:eastAsia="仿宋_GB2312"/>
                <w:color w:val="auto"/>
                <w:sz w:val="24"/>
                <w:highlight w:val="none"/>
              </w:rPr>
            </w:pPr>
          </w:p>
        </w:tc>
        <w:tc>
          <w:tcPr>
            <w:tcW w:w="2040" w:type="dxa"/>
            <w:noWrap w:val="0"/>
            <w:vAlign w:val="center"/>
          </w:tcPr>
          <w:p w14:paraId="40140F8B">
            <w:pPr>
              <w:shd w:val="clear" w:color="auto" w:fill="auto"/>
              <w:jc w:val="center"/>
              <w:rPr>
                <w:rFonts w:eastAsia="仿宋"/>
                <w:bCs/>
                <w:color w:val="auto"/>
                <w:sz w:val="24"/>
                <w:highlight w:val="none"/>
              </w:rPr>
            </w:pPr>
          </w:p>
        </w:tc>
        <w:tc>
          <w:tcPr>
            <w:tcW w:w="2520" w:type="dxa"/>
            <w:noWrap w:val="0"/>
            <w:vAlign w:val="center"/>
          </w:tcPr>
          <w:p w14:paraId="19BC3DA9">
            <w:pPr>
              <w:pStyle w:val="18"/>
              <w:shd w:val="clear" w:color="auto" w:fill="auto"/>
              <w:ind w:left="1080" w:leftChars="257" w:hanging="540"/>
              <w:jc w:val="center"/>
              <w:rPr>
                <w:rFonts w:ascii="Times New Roman" w:hAnsi="Times New Roman" w:eastAsia="仿宋_GB2312"/>
                <w:color w:val="auto"/>
                <w:sz w:val="24"/>
                <w:highlight w:val="none"/>
              </w:rPr>
            </w:pPr>
          </w:p>
        </w:tc>
        <w:tc>
          <w:tcPr>
            <w:tcW w:w="1792" w:type="dxa"/>
            <w:noWrap w:val="0"/>
            <w:vAlign w:val="center"/>
          </w:tcPr>
          <w:p w14:paraId="6E7EBAE2">
            <w:pPr>
              <w:pStyle w:val="18"/>
              <w:shd w:val="clear" w:color="auto" w:fill="auto"/>
              <w:ind w:left="1080" w:leftChars="257" w:hanging="540"/>
              <w:jc w:val="center"/>
              <w:rPr>
                <w:rFonts w:ascii="Times New Roman" w:hAnsi="Times New Roman" w:eastAsia="仿宋_GB2312"/>
                <w:color w:val="auto"/>
                <w:sz w:val="24"/>
                <w:highlight w:val="none"/>
              </w:rPr>
            </w:pPr>
          </w:p>
        </w:tc>
        <w:tc>
          <w:tcPr>
            <w:tcW w:w="1628" w:type="dxa"/>
            <w:noWrap w:val="0"/>
            <w:vAlign w:val="center"/>
          </w:tcPr>
          <w:p w14:paraId="4F9CB394">
            <w:pPr>
              <w:pStyle w:val="18"/>
              <w:shd w:val="clear" w:color="auto" w:fill="auto"/>
              <w:ind w:left="1080" w:leftChars="257" w:hanging="540"/>
              <w:jc w:val="center"/>
              <w:rPr>
                <w:rFonts w:ascii="Times New Roman" w:hAnsi="Times New Roman" w:eastAsia="仿宋_GB2312"/>
                <w:color w:val="auto"/>
                <w:sz w:val="24"/>
                <w:highlight w:val="none"/>
              </w:rPr>
            </w:pPr>
          </w:p>
        </w:tc>
      </w:tr>
      <w:tr w14:paraId="75307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2113E264">
            <w:pPr>
              <w:pStyle w:val="18"/>
              <w:shd w:val="clear" w:color="auto" w:fill="auto"/>
              <w:ind w:left="1080" w:leftChars="257" w:hanging="540"/>
              <w:jc w:val="center"/>
              <w:rPr>
                <w:rFonts w:ascii="Times New Roman" w:hAnsi="Times New Roman" w:eastAsia="仿宋_GB2312"/>
                <w:color w:val="auto"/>
                <w:sz w:val="24"/>
                <w:highlight w:val="none"/>
              </w:rPr>
            </w:pPr>
          </w:p>
        </w:tc>
        <w:tc>
          <w:tcPr>
            <w:tcW w:w="2040" w:type="dxa"/>
            <w:noWrap w:val="0"/>
            <w:vAlign w:val="center"/>
          </w:tcPr>
          <w:p w14:paraId="73679D10">
            <w:pPr>
              <w:shd w:val="clear" w:color="auto" w:fill="auto"/>
              <w:jc w:val="center"/>
              <w:rPr>
                <w:rFonts w:eastAsia="仿宋"/>
                <w:bCs/>
                <w:color w:val="auto"/>
                <w:sz w:val="24"/>
                <w:highlight w:val="none"/>
              </w:rPr>
            </w:pPr>
          </w:p>
        </w:tc>
        <w:tc>
          <w:tcPr>
            <w:tcW w:w="2520" w:type="dxa"/>
            <w:noWrap w:val="0"/>
            <w:vAlign w:val="center"/>
          </w:tcPr>
          <w:p w14:paraId="002C7697">
            <w:pPr>
              <w:pStyle w:val="18"/>
              <w:shd w:val="clear" w:color="auto" w:fill="auto"/>
              <w:ind w:left="1080" w:leftChars="257" w:hanging="540"/>
              <w:jc w:val="center"/>
              <w:rPr>
                <w:rFonts w:ascii="Times New Roman" w:hAnsi="Times New Roman" w:eastAsia="仿宋_GB2312"/>
                <w:color w:val="auto"/>
                <w:sz w:val="24"/>
                <w:highlight w:val="none"/>
              </w:rPr>
            </w:pPr>
          </w:p>
        </w:tc>
        <w:tc>
          <w:tcPr>
            <w:tcW w:w="1792" w:type="dxa"/>
            <w:noWrap w:val="0"/>
            <w:vAlign w:val="center"/>
          </w:tcPr>
          <w:p w14:paraId="147BFF83">
            <w:pPr>
              <w:pStyle w:val="18"/>
              <w:shd w:val="clear" w:color="auto" w:fill="auto"/>
              <w:ind w:left="1080" w:leftChars="257" w:hanging="540"/>
              <w:jc w:val="center"/>
              <w:rPr>
                <w:rFonts w:ascii="Times New Roman" w:hAnsi="Times New Roman" w:eastAsia="仿宋_GB2312"/>
                <w:color w:val="auto"/>
                <w:sz w:val="24"/>
                <w:highlight w:val="none"/>
              </w:rPr>
            </w:pPr>
          </w:p>
        </w:tc>
        <w:tc>
          <w:tcPr>
            <w:tcW w:w="1628" w:type="dxa"/>
            <w:noWrap w:val="0"/>
            <w:vAlign w:val="center"/>
          </w:tcPr>
          <w:p w14:paraId="2C40D463">
            <w:pPr>
              <w:pStyle w:val="18"/>
              <w:shd w:val="clear" w:color="auto" w:fill="auto"/>
              <w:ind w:left="1080" w:leftChars="257" w:hanging="540"/>
              <w:jc w:val="center"/>
              <w:rPr>
                <w:rFonts w:ascii="Times New Roman" w:hAnsi="Times New Roman" w:eastAsia="仿宋_GB2312"/>
                <w:color w:val="auto"/>
                <w:sz w:val="24"/>
                <w:highlight w:val="none"/>
              </w:rPr>
            </w:pPr>
          </w:p>
        </w:tc>
      </w:tr>
      <w:tr w14:paraId="61F18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205D2FF2">
            <w:pPr>
              <w:pStyle w:val="18"/>
              <w:shd w:val="clear" w:color="auto" w:fill="auto"/>
              <w:ind w:left="1080" w:leftChars="257" w:hanging="540"/>
              <w:jc w:val="center"/>
              <w:rPr>
                <w:rFonts w:ascii="Times New Roman" w:hAnsi="Times New Roman" w:eastAsia="仿宋_GB2312"/>
                <w:color w:val="auto"/>
                <w:sz w:val="24"/>
                <w:highlight w:val="none"/>
              </w:rPr>
            </w:pPr>
          </w:p>
        </w:tc>
        <w:tc>
          <w:tcPr>
            <w:tcW w:w="2040" w:type="dxa"/>
            <w:noWrap w:val="0"/>
            <w:vAlign w:val="center"/>
          </w:tcPr>
          <w:p w14:paraId="28C725C5">
            <w:pPr>
              <w:pStyle w:val="18"/>
              <w:shd w:val="clear" w:color="auto" w:fill="auto"/>
              <w:ind w:left="1080" w:leftChars="257" w:hanging="540"/>
              <w:jc w:val="center"/>
              <w:rPr>
                <w:rFonts w:ascii="Times New Roman" w:hAnsi="Times New Roman" w:eastAsia="仿宋_GB2312"/>
                <w:color w:val="auto"/>
                <w:sz w:val="24"/>
                <w:highlight w:val="none"/>
              </w:rPr>
            </w:pPr>
          </w:p>
        </w:tc>
        <w:tc>
          <w:tcPr>
            <w:tcW w:w="2520" w:type="dxa"/>
            <w:noWrap w:val="0"/>
            <w:vAlign w:val="center"/>
          </w:tcPr>
          <w:p w14:paraId="57CB20DF">
            <w:pPr>
              <w:pStyle w:val="18"/>
              <w:shd w:val="clear" w:color="auto" w:fill="auto"/>
              <w:ind w:left="1080" w:leftChars="257" w:hanging="540"/>
              <w:jc w:val="center"/>
              <w:rPr>
                <w:rFonts w:ascii="Times New Roman" w:hAnsi="Times New Roman" w:eastAsia="仿宋_GB2312"/>
                <w:color w:val="auto"/>
                <w:sz w:val="24"/>
                <w:highlight w:val="none"/>
              </w:rPr>
            </w:pPr>
          </w:p>
        </w:tc>
        <w:tc>
          <w:tcPr>
            <w:tcW w:w="1792" w:type="dxa"/>
            <w:noWrap w:val="0"/>
            <w:vAlign w:val="center"/>
          </w:tcPr>
          <w:p w14:paraId="2CA86945">
            <w:pPr>
              <w:pStyle w:val="18"/>
              <w:shd w:val="clear" w:color="auto" w:fill="auto"/>
              <w:ind w:left="1080" w:leftChars="257" w:hanging="540"/>
              <w:jc w:val="center"/>
              <w:rPr>
                <w:rFonts w:ascii="Times New Roman" w:hAnsi="Times New Roman" w:eastAsia="仿宋_GB2312"/>
                <w:color w:val="auto"/>
                <w:sz w:val="24"/>
                <w:highlight w:val="none"/>
              </w:rPr>
            </w:pPr>
          </w:p>
        </w:tc>
        <w:tc>
          <w:tcPr>
            <w:tcW w:w="1628" w:type="dxa"/>
            <w:noWrap w:val="0"/>
            <w:vAlign w:val="center"/>
          </w:tcPr>
          <w:p w14:paraId="6CB744D5">
            <w:pPr>
              <w:pStyle w:val="18"/>
              <w:shd w:val="clear" w:color="auto" w:fill="auto"/>
              <w:ind w:left="1080" w:leftChars="257" w:hanging="540"/>
              <w:jc w:val="center"/>
              <w:rPr>
                <w:rFonts w:ascii="Times New Roman" w:hAnsi="Times New Roman" w:eastAsia="仿宋_GB2312"/>
                <w:color w:val="auto"/>
                <w:sz w:val="24"/>
                <w:highlight w:val="none"/>
              </w:rPr>
            </w:pPr>
          </w:p>
        </w:tc>
      </w:tr>
      <w:tr w14:paraId="1A305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7B7E77B2">
            <w:pPr>
              <w:pStyle w:val="18"/>
              <w:shd w:val="clear" w:color="auto" w:fill="auto"/>
              <w:ind w:left="1080" w:leftChars="257" w:hanging="540"/>
              <w:jc w:val="center"/>
              <w:rPr>
                <w:rFonts w:ascii="Times New Roman" w:hAnsi="Times New Roman" w:eastAsia="仿宋_GB2312"/>
                <w:color w:val="auto"/>
                <w:sz w:val="24"/>
                <w:highlight w:val="none"/>
              </w:rPr>
            </w:pPr>
          </w:p>
        </w:tc>
        <w:tc>
          <w:tcPr>
            <w:tcW w:w="2040" w:type="dxa"/>
            <w:noWrap w:val="0"/>
            <w:vAlign w:val="center"/>
          </w:tcPr>
          <w:p w14:paraId="366F2020">
            <w:pPr>
              <w:pStyle w:val="18"/>
              <w:shd w:val="clear" w:color="auto" w:fill="auto"/>
              <w:ind w:left="1080" w:leftChars="257" w:hanging="540"/>
              <w:jc w:val="center"/>
              <w:rPr>
                <w:rFonts w:ascii="Times New Roman" w:hAnsi="Times New Roman" w:eastAsia="仿宋_GB2312"/>
                <w:color w:val="auto"/>
                <w:sz w:val="24"/>
                <w:highlight w:val="none"/>
              </w:rPr>
            </w:pPr>
          </w:p>
        </w:tc>
        <w:tc>
          <w:tcPr>
            <w:tcW w:w="2520" w:type="dxa"/>
            <w:noWrap w:val="0"/>
            <w:vAlign w:val="center"/>
          </w:tcPr>
          <w:p w14:paraId="770CD3AD">
            <w:pPr>
              <w:pStyle w:val="18"/>
              <w:shd w:val="clear" w:color="auto" w:fill="auto"/>
              <w:ind w:left="1080" w:leftChars="257" w:hanging="540"/>
              <w:jc w:val="center"/>
              <w:rPr>
                <w:rFonts w:ascii="Times New Roman" w:hAnsi="Times New Roman" w:eastAsia="仿宋_GB2312"/>
                <w:color w:val="auto"/>
                <w:sz w:val="24"/>
                <w:highlight w:val="none"/>
              </w:rPr>
            </w:pPr>
          </w:p>
        </w:tc>
        <w:tc>
          <w:tcPr>
            <w:tcW w:w="1792" w:type="dxa"/>
            <w:noWrap w:val="0"/>
            <w:vAlign w:val="center"/>
          </w:tcPr>
          <w:p w14:paraId="2ED219C2">
            <w:pPr>
              <w:pStyle w:val="18"/>
              <w:shd w:val="clear" w:color="auto" w:fill="auto"/>
              <w:ind w:left="1080" w:leftChars="257" w:hanging="540"/>
              <w:jc w:val="center"/>
              <w:rPr>
                <w:rFonts w:ascii="Times New Roman" w:hAnsi="Times New Roman" w:eastAsia="仿宋_GB2312"/>
                <w:color w:val="auto"/>
                <w:sz w:val="24"/>
                <w:highlight w:val="none"/>
              </w:rPr>
            </w:pPr>
          </w:p>
        </w:tc>
        <w:tc>
          <w:tcPr>
            <w:tcW w:w="1628" w:type="dxa"/>
            <w:noWrap w:val="0"/>
            <w:vAlign w:val="center"/>
          </w:tcPr>
          <w:p w14:paraId="4A9A3355">
            <w:pPr>
              <w:pStyle w:val="18"/>
              <w:shd w:val="clear" w:color="auto" w:fill="auto"/>
              <w:ind w:left="1080" w:leftChars="257" w:hanging="540"/>
              <w:jc w:val="center"/>
              <w:rPr>
                <w:rFonts w:ascii="Times New Roman" w:hAnsi="Times New Roman" w:eastAsia="仿宋_GB2312"/>
                <w:color w:val="auto"/>
                <w:sz w:val="24"/>
                <w:highlight w:val="none"/>
              </w:rPr>
            </w:pPr>
          </w:p>
        </w:tc>
      </w:tr>
      <w:tr w14:paraId="04E0A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5DC130A6">
            <w:pPr>
              <w:pStyle w:val="18"/>
              <w:shd w:val="clear" w:color="auto" w:fill="auto"/>
              <w:ind w:left="1080" w:leftChars="257" w:hanging="540"/>
              <w:jc w:val="center"/>
              <w:rPr>
                <w:rFonts w:ascii="Times New Roman" w:hAnsi="Times New Roman" w:eastAsia="仿宋_GB2312"/>
                <w:color w:val="auto"/>
                <w:sz w:val="24"/>
                <w:highlight w:val="none"/>
              </w:rPr>
            </w:pPr>
          </w:p>
        </w:tc>
        <w:tc>
          <w:tcPr>
            <w:tcW w:w="2040" w:type="dxa"/>
            <w:noWrap w:val="0"/>
            <w:vAlign w:val="center"/>
          </w:tcPr>
          <w:p w14:paraId="06F14DFA">
            <w:pPr>
              <w:pStyle w:val="18"/>
              <w:shd w:val="clear" w:color="auto" w:fill="auto"/>
              <w:ind w:left="1080" w:leftChars="257" w:hanging="540"/>
              <w:jc w:val="center"/>
              <w:rPr>
                <w:rFonts w:ascii="Times New Roman" w:hAnsi="Times New Roman" w:eastAsia="仿宋_GB2312"/>
                <w:color w:val="auto"/>
                <w:sz w:val="24"/>
                <w:highlight w:val="none"/>
              </w:rPr>
            </w:pPr>
          </w:p>
        </w:tc>
        <w:tc>
          <w:tcPr>
            <w:tcW w:w="2520" w:type="dxa"/>
            <w:noWrap w:val="0"/>
            <w:vAlign w:val="center"/>
          </w:tcPr>
          <w:p w14:paraId="720EF27F">
            <w:pPr>
              <w:pStyle w:val="18"/>
              <w:shd w:val="clear" w:color="auto" w:fill="auto"/>
              <w:ind w:left="1080" w:leftChars="257" w:hanging="540"/>
              <w:jc w:val="center"/>
              <w:rPr>
                <w:rFonts w:ascii="Times New Roman" w:hAnsi="Times New Roman" w:eastAsia="仿宋_GB2312"/>
                <w:color w:val="auto"/>
                <w:sz w:val="24"/>
                <w:highlight w:val="none"/>
              </w:rPr>
            </w:pPr>
          </w:p>
        </w:tc>
        <w:tc>
          <w:tcPr>
            <w:tcW w:w="1792" w:type="dxa"/>
            <w:noWrap w:val="0"/>
            <w:vAlign w:val="center"/>
          </w:tcPr>
          <w:p w14:paraId="0B8A9A04">
            <w:pPr>
              <w:pStyle w:val="18"/>
              <w:shd w:val="clear" w:color="auto" w:fill="auto"/>
              <w:ind w:left="1080" w:leftChars="257" w:hanging="540"/>
              <w:jc w:val="center"/>
              <w:rPr>
                <w:rFonts w:ascii="Times New Roman" w:hAnsi="Times New Roman" w:eastAsia="仿宋_GB2312"/>
                <w:color w:val="auto"/>
                <w:sz w:val="24"/>
                <w:highlight w:val="none"/>
              </w:rPr>
            </w:pPr>
          </w:p>
        </w:tc>
        <w:tc>
          <w:tcPr>
            <w:tcW w:w="1628" w:type="dxa"/>
            <w:noWrap w:val="0"/>
            <w:vAlign w:val="center"/>
          </w:tcPr>
          <w:p w14:paraId="1314C695">
            <w:pPr>
              <w:pStyle w:val="18"/>
              <w:shd w:val="clear" w:color="auto" w:fill="auto"/>
              <w:ind w:left="1080" w:leftChars="257" w:hanging="540"/>
              <w:jc w:val="center"/>
              <w:rPr>
                <w:rFonts w:ascii="Times New Roman" w:hAnsi="Times New Roman" w:eastAsia="仿宋_GB2312"/>
                <w:color w:val="auto"/>
                <w:sz w:val="24"/>
                <w:highlight w:val="none"/>
              </w:rPr>
            </w:pPr>
          </w:p>
        </w:tc>
      </w:tr>
      <w:tr w14:paraId="636B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2B895256">
            <w:pPr>
              <w:pStyle w:val="18"/>
              <w:shd w:val="clear" w:color="auto" w:fill="auto"/>
              <w:ind w:left="1080" w:leftChars="257" w:hanging="540"/>
              <w:jc w:val="center"/>
              <w:rPr>
                <w:rFonts w:ascii="Times New Roman" w:hAnsi="Times New Roman" w:eastAsia="仿宋_GB2312"/>
                <w:color w:val="auto"/>
                <w:sz w:val="24"/>
                <w:highlight w:val="none"/>
              </w:rPr>
            </w:pPr>
          </w:p>
        </w:tc>
        <w:tc>
          <w:tcPr>
            <w:tcW w:w="2040" w:type="dxa"/>
            <w:noWrap w:val="0"/>
            <w:vAlign w:val="center"/>
          </w:tcPr>
          <w:p w14:paraId="2B36077C">
            <w:pPr>
              <w:pStyle w:val="18"/>
              <w:shd w:val="clear" w:color="auto" w:fill="auto"/>
              <w:ind w:left="1080" w:leftChars="257" w:hanging="540"/>
              <w:jc w:val="center"/>
              <w:rPr>
                <w:rFonts w:ascii="Times New Roman" w:hAnsi="Times New Roman" w:eastAsia="仿宋_GB2312"/>
                <w:color w:val="auto"/>
                <w:sz w:val="24"/>
                <w:highlight w:val="none"/>
              </w:rPr>
            </w:pPr>
          </w:p>
        </w:tc>
        <w:tc>
          <w:tcPr>
            <w:tcW w:w="2520" w:type="dxa"/>
            <w:noWrap w:val="0"/>
            <w:vAlign w:val="center"/>
          </w:tcPr>
          <w:p w14:paraId="7CE5A428">
            <w:pPr>
              <w:pStyle w:val="18"/>
              <w:shd w:val="clear" w:color="auto" w:fill="auto"/>
              <w:ind w:left="1080" w:leftChars="257" w:hanging="540"/>
              <w:jc w:val="center"/>
              <w:rPr>
                <w:rFonts w:ascii="Times New Roman" w:hAnsi="Times New Roman" w:eastAsia="仿宋_GB2312"/>
                <w:color w:val="auto"/>
                <w:sz w:val="24"/>
                <w:highlight w:val="none"/>
              </w:rPr>
            </w:pPr>
          </w:p>
        </w:tc>
        <w:tc>
          <w:tcPr>
            <w:tcW w:w="1792" w:type="dxa"/>
            <w:noWrap w:val="0"/>
            <w:vAlign w:val="center"/>
          </w:tcPr>
          <w:p w14:paraId="6FEF9028">
            <w:pPr>
              <w:pStyle w:val="18"/>
              <w:shd w:val="clear" w:color="auto" w:fill="auto"/>
              <w:ind w:left="1080" w:leftChars="257" w:hanging="540"/>
              <w:jc w:val="center"/>
              <w:rPr>
                <w:rFonts w:ascii="Times New Roman" w:hAnsi="Times New Roman" w:eastAsia="仿宋_GB2312"/>
                <w:color w:val="auto"/>
                <w:sz w:val="24"/>
                <w:highlight w:val="none"/>
              </w:rPr>
            </w:pPr>
          </w:p>
        </w:tc>
        <w:tc>
          <w:tcPr>
            <w:tcW w:w="1628" w:type="dxa"/>
            <w:noWrap w:val="0"/>
            <w:vAlign w:val="center"/>
          </w:tcPr>
          <w:p w14:paraId="5275D10F">
            <w:pPr>
              <w:pStyle w:val="18"/>
              <w:shd w:val="clear" w:color="auto" w:fill="auto"/>
              <w:ind w:left="1080" w:leftChars="257" w:hanging="540"/>
              <w:jc w:val="center"/>
              <w:rPr>
                <w:rFonts w:ascii="Times New Roman" w:hAnsi="Times New Roman" w:eastAsia="仿宋_GB2312"/>
                <w:color w:val="auto"/>
                <w:sz w:val="24"/>
                <w:highlight w:val="none"/>
              </w:rPr>
            </w:pPr>
          </w:p>
        </w:tc>
      </w:tr>
      <w:tr w14:paraId="36C42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28DCA9A8">
            <w:pPr>
              <w:pStyle w:val="18"/>
              <w:shd w:val="clear" w:color="auto" w:fill="auto"/>
              <w:ind w:left="1080" w:leftChars="257" w:hanging="540"/>
              <w:jc w:val="center"/>
              <w:rPr>
                <w:rFonts w:ascii="Times New Roman" w:hAnsi="Times New Roman" w:eastAsia="仿宋_GB2312"/>
                <w:color w:val="auto"/>
                <w:sz w:val="24"/>
                <w:highlight w:val="none"/>
              </w:rPr>
            </w:pPr>
          </w:p>
        </w:tc>
        <w:tc>
          <w:tcPr>
            <w:tcW w:w="2040" w:type="dxa"/>
            <w:noWrap w:val="0"/>
            <w:vAlign w:val="center"/>
          </w:tcPr>
          <w:p w14:paraId="15F3D563">
            <w:pPr>
              <w:pStyle w:val="18"/>
              <w:shd w:val="clear" w:color="auto" w:fill="auto"/>
              <w:ind w:left="1080" w:leftChars="257" w:hanging="540"/>
              <w:jc w:val="center"/>
              <w:rPr>
                <w:rFonts w:ascii="Times New Roman" w:hAnsi="Times New Roman" w:eastAsia="仿宋_GB2312"/>
                <w:color w:val="auto"/>
                <w:sz w:val="24"/>
                <w:highlight w:val="none"/>
              </w:rPr>
            </w:pPr>
          </w:p>
        </w:tc>
        <w:tc>
          <w:tcPr>
            <w:tcW w:w="2520" w:type="dxa"/>
            <w:noWrap w:val="0"/>
            <w:vAlign w:val="center"/>
          </w:tcPr>
          <w:p w14:paraId="776DD6CE">
            <w:pPr>
              <w:pStyle w:val="18"/>
              <w:shd w:val="clear" w:color="auto" w:fill="auto"/>
              <w:ind w:left="1080" w:leftChars="257" w:hanging="540"/>
              <w:jc w:val="center"/>
              <w:rPr>
                <w:rFonts w:ascii="Times New Roman" w:hAnsi="Times New Roman" w:eastAsia="仿宋_GB2312"/>
                <w:color w:val="auto"/>
                <w:sz w:val="24"/>
                <w:highlight w:val="none"/>
              </w:rPr>
            </w:pPr>
          </w:p>
        </w:tc>
        <w:tc>
          <w:tcPr>
            <w:tcW w:w="1792" w:type="dxa"/>
            <w:noWrap w:val="0"/>
            <w:vAlign w:val="center"/>
          </w:tcPr>
          <w:p w14:paraId="159C8A10">
            <w:pPr>
              <w:pStyle w:val="18"/>
              <w:shd w:val="clear" w:color="auto" w:fill="auto"/>
              <w:ind w:left="1080" w:leftChars="257" w:hanging="540"/>
              <w:jc w:val="center"/>
              <w:rPr>
                <w:rFonts w:ascii="Times New Roman" w:hAnsi="Times New Roman" w:eastAsia="仿宋_GB2312"/>
                <w:color w:val="auto"/>
                <w:sz w:val="24"/>
                <w:highlight w:val="none"/>
              </w:rPr>
            </w:pPr>
          </w:p>
        </w:tc>
        <w:tc>
          <w:tcPr>
            <w:tcW w:w="1628" w:type="dxa"/>
            <w:noWrap w:val="0"/>
            <w:vAlign w:val="center"/>
          </w:tcPr>
          <w:p w14:paraId="14B7EE0A">
            <w:pPr>
              <w:pStyle w:val="18"/>
              <w:shd w:val="clear" w:color="auto" w:fill="auto"/>
              <w:ind w:left="1080" w:leftChars="257" w:hanging="540"/>
              <w:jc w:val="center"/>
              <w:rPr>
                <w:rFonts w:ascii="Times New Roman" w:hAnsi="Times New Roman" w:eastAsia="仿宋_GB2312"/>
                <w:color w:val="auto"/>
                <w:sz w:val="24"/>
                <w:highlight w:val="none"/>
              </w:rPr>
            </w:pPr>
          </w:p>
        </w:tc>
      </w:tr>
      <w:tr w14:paraId="0BAE4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72021E68">
            <w:pPr>
              <w:pStyle w:val="18"/>
              <w:shd w:val="clear" w:color="auto" w:fill="auto"/>
              <w:ind w:left="1080" w:leftChars="257" w:hanging="540"/>
              <w:jc w:val="center"/>
              <w:rPr>
                <w:rFonts w:ascii="Times New Roman" w:hAnsi="Times New Roman" w:eastAsia="仿宋_GB2312"/>
                <w:color w:val="auto"/>
                <w:sz w:val="24"/>
                <w:highlight w:val="none"/>
              </w:rPr>
            </w:pPr>
          </w:p>
        </w:tc>
        <w:tc>
          <w:tcPr>
            <w:tcW w:w="2040" w:type="dxa"/>
            <w:noWrap w:val="0"/>
            <w:vAlign w:val="center"/>
          </w:tcPr>
          <w:p w14:paraId="484AAE7B">
            <w:pPr>
              <w:pStyle w:val="18"/>
              <w:shd w:val="clear" w:color="auto" w:fill="auto"/>
              <w:ind w:left="1080" w:leftChars="257" w:hanging="540"/>
              <w:jc w:val="center"/>
              <w:rPr>
                <w:rFonts w:ascii="Times New Roman" w:hAnsi="Times New Roman" w:eastAsia="仿宋_GB2312"/>
                <w:color w:val="auto"/>
                <w:sz w:val="24"/>
                <w:highlight w:val="none"/>
              </w:rPr>
            </w:pPr>
          </w:p>
        </w:tc>
        <w:tc>
          <w:tcPr>
            <w:tcW w:w="2520" w:type="dxa"/>
            <w:noWrap w:val="0"/>
            <w:vAlign w:val="center"/>
          </w:tcPr>
          <w:p w14:paraId="70A1D119">
            <w:pPr>
              <w:pStyle w:val="18"/>
              <w:shd w:val="clear" w:color="auto" w:fill="auto"/>
              <w:ind w:left="1080" w:leftChars="257" w:hanging="540"/>
              <w:jc w:val="center"/>
              <w:rPr>
                <w:rFonts w:ascii="Times New Roman" w:hAnsi="Times New Roman" w:eastAsia="仿宋_GB2312"/>
                <w:color w:val="auto"/>
                <w:sz w:val="24"/>
                <w:highlight w:val="none"/>
              </w:rPr>
            </w:pPr>
          </w:p>
        </w:tc>
        <w:tc>
          <w:tcPr>
            <w:tcW w:w="1792" w:type="dxa"/>
            <w:noWrap w:val="0"/>
            <w:vAlign w:val="center"/>
          </w:tcPr>
          <w:p w14:paraId="4CC0103F">
            <w:pPr>
              <w:pStyle w:val="18"/>
              <w:shd w:val="clear" w:color="auto" w:fill="auto"/>
              <w:ind w:left="1080" w:leftChars="257" w:hanging="540"/>
              <w:jc w:val="center"/>
              <w:rPr>
                <w:rFonts w:ascii="Times New Roman" w:hAnsi="Times New Roman" w:eastAsia="仿宋_GB2312"/>
                <w:color w:val="auto"/>
                <w:sz w:val="24"/>
                <w:highlight w:val="none"/>
              </w:rPr>
            </w:pPr>
          </w:p>
        </w:tc>
        <w:tc>
          <w:tcPr>
            <w:tcW w:w="1628" w:type="dxa"/>
            <w:noWrap w:val="0"/>
            <w:vAlign w:val="center"/>
          </w:tcPr>
          <w:p w14:paraId="5FE699F1">
            <w:pPr>
              <w:pStyle w:val="18"/>
              <w:shd w:val="clear" w:color="auto" w:fill="auto"/>
              <w:ind w:left="1080" w:leftChars="257" w:hanging="540"/>
              <w:jc w:val="center"/>
              <w:rPr>
                <w:rFonts w:ascii="Times New Roman" w:hAnsi="Times New Roman" w:eastAsia="仿宋_GB2312"/>
                <w:color w:val="auto"/>
                <w:sz w:val="24"/>
                <w:highlight w:val="none"/>
              </w:rPr>
            </w:pPr>
          </w:p>
        </w:tc>
      </w:tr>
      <w:tr w14:paraId="6D449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center"/>
          </w:tcPr>
          <w:p w14:paraId="315720D2">
            <w:pPr>
              <w:pStyle w:val="18"/>
              <w:shd w:val="clear" w:color="auto" w:fill="auto"/>
              <w:ind w:left="1080" w:leftChars="257" w:hanging="540"/>
              <w:jc w:val="center"/>
              <w:rPr>
                <w:rFonts w:ascii="Times New Roman" w:hAnsi="Times New Roman" w:eastAsia="仿宋_GB2312"/>
                <w:color w:val="auto"/>
                <w:sz w:val="24"/>
                <w:highlight w:val="none"/>
              </w:rPr>
            </w:pPr>
          </w:p>
        </w:tc>
        <w:tc>
          <w:tcPr>
            <w:tcW w:w="2040" w:type="dxa"/>
            <w:noWrap w:val="0"/>
            <w:vAlign w:val="center"/>
          </w:tcPr>
          <w:p w14:paraId="60153C74">
            <w:pPr>
              <w:pStyle w:val="18"/>
              <w:shd w:val="clear" w:color="auto" w:fill="auto"/>
              <w:ind w:left="1080" w:leftChars="257" w:hanging="540"/>
              <w:jc w:val="center"/>
              <w:rPr>
                <w:rFonts w:ascii="Times New Roman" w:hAnsi="Times New Roman" w:eastAsia="仿宋_GB2312"/>
                <w:color w:val="auto"/>
                <w:sz w:val="24"/>
                <w:highlight w:val="none"/>
              </w:rPr>
            </w:pPr>
          </w:p>
        </w:tc>
        <w:tc>
          <w:tcPr>
            <w:tcW w:w="2520" w:type="dxa"/>
            <w:noWrap w:val="0"/>
            <w:vAlign w:val="center"/>
          </w:tcPr>
          <w:p w14:paraId="356055B0">
            <w:pPr>
              <w:pStyle w:val="18"/>
              <w:shd w:val="clear" w:color="auto" w:fill="auto"/>
              <w:ind w:left="1080" w:leftChars="257" w:hanging="540"/>
              <w:jc w:val="center"/>
              <w:rPr>
                <w:rFonts w:ascii="Times New Roman" w:hAnsi="Times New Roman" w:eastAsia="仿宋_GB2312"/>
                <w:color w:val="auto"/>
                <w:sz w:val="24"/>
                <w:highlight w:val="none"/>
              </w:rPr>
            </w:pPr>
          </w:p>
        </w:tc>
        <w:tc>
          <w:tcPr>
            <w:tcW w:w="1792" w:type="dxa"/>
            <w:noWrap w:val="0"/>
            <w:vAlign w:val="center"/>
          </w:tcPr>
          <w:p w14:paraId="626DA1F7">
            <w:pPr>
              <w:pStyle w:val="18"/>
              <w:shd w:val="clear" w:color="auto" w:fill="auto"/>
              <w:ind w:left="1080" w:leftChars="257" w:hanging="540"/>
              <w:jc w:val="center"/>
              <w:rPr>
                <w:rFonts w:ascii="Times New Roman" w:hAnsi="Times New Roman" w:eastAsia="仿宋_GB2312"/>
                <w:color w:val="auto"/>
                <w:sz w:val="24"/>
                <w:highlight w:val="none"/>
              </w:rPr>
            </w:pPr>
          </w:p>
        </w:tc>
        <w:tc>
          <w:tcPr>
            <w:tcW w:w="1628" w:type="dxa"/>
            <w:noWrap w:val="0"/>
            <w:vAlign w:val="center"/>
          </w:tcPr>
          <w:p w14:paraId="518C3F02">
            <w:pPr>
              <w:pStyle w:val="18"/>
              <w:shd w:val="clear" w:color="auto" w:fill="auto"/>
              <w:ind w:left="1080" w:leftChars="257" w:hanging="540"/>
              <w:jc w:val="center"/>
              <w:rPr>
                <w:rFonts w:ascii="Times New Roman" w:hAnsi="Times New Roman" w:eastAsia="仿宋_GB2312"/>
                <w:color w:val="auto"/>
                <w:sz w:val="24"/>
                <w:highlight w:val="none"/>
              </w:rPr>
            </w:pPr>
          </w:p>
        </w:tc>
      </w:tr>
    </w:tbl>
    <w:p w14:paraId="02534620">
      <w:pPr>
        <w:pStyle w:val="18"/>
        <w:shd w:val="clear" w:color="auto" w:fill="auto"/>
        <w:spacing w:line="360" w:lineRule="auto"/>
        <w:rPr>
          <w:rFonts w:ascii="Times New Roman" w:hAnsi="Times New Roman" w:eastAsia="仿宋_GB2312"/>
          <w:color w:val="auto"/>
          <w:sz w:val="24"/>
          <w:highlight w:val="none"/>
        </w:rPr>
      </w:pPr>
      <w:r>
        <w:rPr>
          <w:rFonts w:ascii="Times New Roman" w:hAnsi="Times New Roman" w:eastAsia="仿宋_GB2312"/>
          <w:color w:val="auto"/>
          <w:sz w:val="24"/>
          <w:highlight w:val="none"/>
        </w:rPr>
        <w:t>声明：除本商务偏离表中所列的偏离项目外，其他所有商务均完全响应“招标文件”中的要求</w:t>
      </w:r>
    </w:p>
    <w:p w14:paraId="25BE4DAC">
      <w:pPr>
        <w:pStyle w:val="18"/>
        <w:shd w:val="clear" w:color="auto" w:fill="auto"/>
        <w:spacing w:line="360" w:lineRule="auto"/>
        <w:rPr>
          <w:rFonts w:ascii="Times New Roman" w:hAnsi="Times New Roman" w:eastAsia="仿宋_GB2312"/>
          <w:color w:val="auto"/>
          <w:sz w:val="24"/>
          <w:highlight w:val="none"/>
        </w:rPr>
      </w:pPr>
    </w:p>
    <w:p w14:paraId="4185CB4F">
      <w:pPr>
        <w:shd w:val="clear" w:color="auto" w:fill="auto"/>
        <w:spacing w:line="360" w:lineRule="auto"/>
        <w:ind w:firstLine="1920" w:firstLineChars="800"/>
        <w:rPr>
          <w:rFonts w:eastAsia="仿宋_GB2312"/>
          <w:color w:val="auto"/>
          <w:sz w:val="24"/>
          <w:highlight w:val="none"/>
        </w:rPr>
      </w:pPr>
      <w:bookmarkStart w:id="477" w:name="_Toc532473511"/>
      <w:bookmarkStart w:id="478" w:name="_Toc515647823"/>
      <w:bookmarkStart w:id="479" w:name="_Toc21312"/>
      <w:bookmarkStart w:id="480" w:name="_Toc10725"/>
      <w:r>
        <w:rPr>
          <w:rFonts w:hint="eastAsia" w:eastAsia="仿宋_GB2312"/>
          <w:color w:val="auto"/>
          <w:sz w:val="24"/>
          <w:highlight w:val="none"/>
        </w:rPr>
        <w:t>投标人</w:t>
      </w:r>
      <w:r>
        <w:rPr>
          <w:rFonts w:eastAsia="仿宋_GB2312"/>
          <w:color w:val="auto"/>
          <w:sz w:val="24"/>
          <w:highlight w:val="none"/>
        </w:rPr>
        <w:t>（盖</w:t>
      </w:r>
      <w:r>
        <w:rPr>
          <w:rFonts w:hint="eastAsia" w:eastAsia="仿宋_GB2312"/>
          <w:color w:val="auto"/>
          <w:sz w:val="24"/>
          <w:highlight w:val="none"/>
        </w:rPr>
        <w:t>公</w:t>
      </w:r>
      <w:r>
        <w:rPr>
          <w:rFonts w:eastAsia="仿宋_GB2312"/>
          <w:color w:val="auto"/>
          <w:sz w:val="24"/>
          <w:highlight w:val="none"/>
        </w:rPr>
        <w:t>章）：</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p>
    <w:p w14:paraId="5FF5634D">
      <w:pPr>
        <w:shd w:val="clear" w:color="auto" w:fill="auto"/>
        <w:spacing w:line="360" w:lineRule="auto"/>
        <w:ind w:firstLine="1920" w:firstLineChars="800"/>
        <w:rPr>
          <w:rFonts w:eastAsia="仿宋_GB2312"/>
          <w:color w:val="auto"/>
          <w:sz w:val="24"/>
          <w:highlight w:val="none"/>
          <w:u w:val="single"/>
        </w:rPr>
      </w:pPr>
      <w:r>
        <w:rPr>
          <w:rFonts w:eastAsia="仿宋_GB2312"/>
          <w:color w:val="auto"/>
          <w:sz w:val="24"/>
          <w:highlight w:val="none"/>
        </w:rPr>
        <w:t>法定代表人</w:t>
      </w:r>
      <w:r>
        <w:rPr>
          <w:rFonts w:hint="eastAsia" w:eastAsia="仿宋"/>
          <w:color w:val="auto"/>
          <w:sz w:val="24"/>
          <w:highlight w:val="none"/>
          <w:lang w:val="zh-CN"/>
        </w:rPr>
        <w:t>（或单位负责人）</w:t>
      </w:r>
      <w:r>
        <w:rPr>
          <w:rFonts w:eastAsia="仿宋_GB2312"/>
          <w:color w:val="auto"/>
          <w:sz w:val="24"/>
          <w:highlight w:val="none"/>
        </w:rPr>
        <w:t>或授权代表（签字</w:t>
      </w:r>
      <w:r>
        <w:rPr>
          <w:rFonts w:hint="eastAsia" w:eastAsia="仿宋_GB2312"/>
          <w:color w:val="auto"/>
          <w:sz w:val="24"/>
          <w:highlight w:val="none"/>
        </w:rPr>
        <w:t>或盖章</w:t>
      </w:r>
      <w:r>
        <w:rPr>
          <w:rFonts w:eastAsia="仿宋_GB2312"/>
          <w:color w:val="auto"/>
          <w:sz w:val="24"/>
          <w:highlight w:val="none"/>
        </w:rPr>
        <w:t>）：</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r>
        <w:rPr>
          <w:rFonts w:eastAsia="仿宋_GB2312"/>
          <w:color w:val="auto"/>
          <w:sz w:val="24"/>
          <w:highlight w:val="none"/>
          <w:u w:val="single"/>
        </w:rPr>
        <w:t xml:space="preserve">       </w:t>
      </w:r>
    </w:p>
    <w:p w14:paraId="1D3B263E">
      <w:pPr>
        <w:pStyle w:val="18"/>
        <w:shd w:val="clear" w:color="auto" w:fill="auto"/>
        <w:tabs>
          <w:tab w:val="left" w:pos="5580"/>
        </w:tabs>
        <w:spacing w:line="360" w:lineRule="auto"/>
        <w:ind w:firstLine="1920" w:firstLineChars="800"/>
        <w:rPr>
          <w:rFonts w:ascii="Times New Roman" w:hAnsi="Times New Roman" w:eastAsia="仿宋_GB2312"/>
          <w:color w:val="auto"/>
          <w:sz w:val="24"/>
          <w:highlight w:val="none"/>
        </w:rPr>
      </w:pPr>
      <w:r>
        <w:rPr>
          <w:rFonts w:eastAsia="仿宋_GB2312"/>
          <w:color w:val="auto"/>
          <w:sz w:val="24"/>
          <w:highlight w:val="none"/>
        </w:rPr>
        <w:t>日    期：</w:t>
      </w:r>
      <w:r>
        <w:rPr>
          <w:rFonts w:eastAsia="仿宋_GB2312"/>
          <w:color w:val="auto"/>
          <w:sz w:val="32"/>
          <w:highlight w:val="none"/>
          <w:u w:val="single"/>
        </w:rPr>
        <w:t xml:space="preserve">                     </w:t>
      </w:r>
      <w:r>
        <w:rPr>
          <w:rFonts w:hint="eastAsia" w:eastAsia="仿宋_GB2312"/>
          <w:color w:val="auto"/>
          <w:sz w:val="32"/>
          <w:highlight w:val="none"/>
          <w:u w:val="single"/>
        </w:rPr>
        <w:t xml:space="preserve">  </w:t>
      </w:r>
      <w:r>
        <w:rPr>
          <w:rFonts w:eastAsia="仿宋_GB2312"/>
          <w:color w:val="auto"/>
          <w:sz w:val="32"/>
          <w:highlight w:val="none"/>
          <w:u w:val="single"/>
        </w:rPr>
        <w:t xml:space="preserve"> </w:t>
      </w:r>
      <w:r>
        <w:rPr>
          <w:rFonts w:hint="eastAsia" w:eastAsia="仿宋_GB2312"/>
          <w:color w:val="auto"/>
          <w:sz w:val="32"/>
          <w:highlight w:val="none"/>
          <w:u w:val="single"/>
        </w:rPr>
        <w:t xml:space="preserve">    </w:t>
      </w:r>
    </w:p>
    <w:bookmarkEnd w:id="477"/>
    <w:bookmarkEnd w:id="478"/>
    <w:bookmarkEnd w:id="479"/>
    <w:bookmarkEnd w:id="480"/>
    <w:p w14:paraId="394F0F66">
      <w:pPr>
        <w:widowControl/>
        <w:shd w:val="clear" w:color="auto" w:fill="auto"/>
        <w:spacing w:before="100" w:beforeAutospacing="1" w:after="100" w:afterAutospacing="1" w:line="360" w:lineRule="auto"/>
        <w:rPr>
          <w:rFonts w:eastAsia="仿宋_GB2312"/>
          <w:color w:val="auto"/>
          <w:sz w:val="24"/>
          <w:highlight w:val="none"/>
        </w:rPr>
      </w:pPr>
    </w:p>
    <w:p w14:paraId="0B52ACC5">
      <w:pPr>
        <w:widowControl/>
        <w:shd w:val="clear" w:color="auto" w:fill="auto"/>
        <w:spacing w:before="100" w:beforeAutospacing="1" w:after="100" w:afterAutospacing="1" w:line="360" w:lineRule="auto"/>
        <w:rPr>
          <w:rFonts w:eastAsia="仿宋_GB2312"/>
          <w:color w:val="auto"/>
          <w:sz w:val="24"/>
          <w:highlight w:val="none"/>
        </w:rPr>
      </w:pPr>
    </w:p>
    <w:p w14:paraId="1D968BB0">
      <w:pPr>
        <w:pStyle w:val="6"/>
        <w:shd w:val="clear" w:color="auto" w:fill="auto"/>
        <w:ind w:firstLine="0" w:firstLineChars="0"/>
        <w:jc w:val="center"/>
        <w:rPr>
          <w:rFonts w:ascii="Times New Roman" w:hAnsi="Times New Roman" w:eastAsia="仿宋_GB2312"/>
          <w:color w:val="auto"/>
          <w:sz w:val="32"/>
          <w:szCs w:val="32"/>
          <w:highlight w:val="none"/>
        </w:rPr>
      </w:pPr>
      <w:bookmarkStart w:id="481" w:name="_Toc62194358"/>
      <w:bookmarkStart w:id="482" w:name="_Toc4525"/>
      <w:r>
        <w:rPr>
          <w:rFonts w:ascii="Times New Roman" w:hAnsi="Times New Roman" w:eastAsia="仿宋_GB2312"/>
          <w:color w:val="auto"/>
          <w:sz w:val="32"/>
          <w:szCs w:val="32"/>
          <w:highlight w:val="none"/>
        </w:rPr>
        <w:t>符合评分标准要求的商务文件</w:t>
      </w:r>
      <w:bookmarkEnd w:id="481"/>
      <w:bookmarkEnd w:id="482"/>
    </w:p>
    <w:p w14:paraId="6C3CC7E8">
      <w:pPr>
        <w:pStyle w:val="7"/>
        <w:shd w:val="clear" w:color="auto" w:fill="auto"/>
        <w:spacing w:line="360" w:lineRule="auto"/>
        <w:ind w:left="0" w:leftChars="0" w:firstLine="0" w:firstLineChars="0"/>
        <w:rPr>
          <w:rFonts w:hint="eastAsia" w:ascii="Times New Roman" w:eastAsia="仿宋_GB2312"/>
          <w:color w:val="auto"/>
          <w:highlight w:val="none"/>
          <w:lang w:eastAsia="zh-CN"/>
        </w:rPr>
      </w:pPr>
    </w:p>
    <w:p w14:paraId="6A12460A">
      <w:pPr>
        <w:pStyle w:val="7"/>
        <w:shd w:val="clear" w:color="auto" w:fill="auto"/>
        <w:spacing w:line="360" w:lineRule="auto"/>
        <w:ind w:left="0" w:leftChars="0" w:firstLine="0" w:firstLineChars="0"/>
        <w:rPr>
          <w:rFonts w:hint="eastAsia" w:ascii="Times New Roman" w:eastAsia="仿宋_GB2312"/>
          <w:color w:val="auto"/>
          <w:highlight w:val="none"/>
          <w:lang w:eastAsia="zh-CN"/>
        </w:rPr>
      </w:pPr>
    </w:p>
    <w:p w14:paraId="033A71E5">
      <w:pPr>
        <w:pStyle w:val="7"/>
        <w:shd w:val="clear" w:color="auto" w:fill="auto"/>
        <w:spacing w:line="360" w:lineRule="auto"/>
        <w:ind w:left="0" w:leftChars="0" w:firstLine="0" w:firstLineChars="0"/>
        <w:rPr>
          <w:rFonts w:hint="eastAsia" w:ascii="Times New Roman" w:eastAsia="仿宋_GB2312"/>
          <w:color w:val="auto"/>
          <w:highlight w:val="none"/>
          <w:lang w:eastAsia="zh-CN"/>
        </w:rPr>
      </w:pPr>
    </w:p>
    <w:p w14:paraId="6B0446DC">
      <w:pPr>
        <w:pStyle w:val="7"/>
        <w:shd w:val="clear" w:color="auto" w:fill="auto"/>
        <w:spacing w:line="360" w:lineRule="auto"/>
        <w:ind w:left="0" w:leftChars="0" w:firstLine="0" w:firstLineChars="0"/>
        <w:rPr>
          <w:rFonts w:hint="eastAsia" w:ascii="Times New Roman" w:eastAsia="仿宋_GB2312"/>
          <w:color w:val="auto"/>
          <w:highlight w:val="none"/>
          <w:lang w:eastAsia="zh-CN"/>
        </w:rPr>
      </w:pPr>
    </w:p>
    <w:p w14:paraId="0233ECA4">
      <w:pPr>
        <w:pStyle w:val="7"/>
        <w:shd w:val="clear" w:color="auto" w:fill="auto"/>
        <w:spacing w:line="360" w:lineRule="auto"/>
        <w:ind w:left="0" w:leftChars="0" w:firstLine="0" w:firstLineChars="0"/>
        <w:rPr>
          <w:rFonts w:hint="eastAsia" w:ascii="Times New Roman" w:eastAsia="仿宋_GB2312"/>
          <w:color w:val="auto"/>
          <w:highlight w:val="none"/>
          <w:lang w:eastAsia="zh-CN"/>
        </w:rPr>
      </w:pPr>
    </w:p>
    <w:p w14:paraId="762166EE">
      <w:pPr>
        <w:pStyle w:val="7"/>
        <w:shd w:val="clear" w:color="auto" w:fill="auto"/>
        <w:spacing w:line="360" w:lineRule="auto"/>
        <w:ind w:left="0" w:leftChars="0" w:firstLine="0" w:firstLineChars="0"/>
        <w:rPr>
          <w:rFonts w:hint="eastAsia" w:ascii="Times New Roman" w:eastAsia="仿宋_GB2312"/>
          <w:color w:val="auto"/>
          <w:highlight w:val="none"/>
          <w:lang w:eastAsia="zh-CN"/>
        </w:rPr>
      </w:pPr>
    </w:p>
    <w:p w14:paraId="2D0FEC30">
      <w:pPr>
        <w:pStyle w:val="7"/>
        <w:shd w:val="clear" w:color="auto" w:fill="auto"/>
        <w:spacing w:line="360" w:lineRule="auto"/>
        <w:ind w:left="0" w:leftChars="0" w:firstLine="0" w:firstLineChars="0"/>
        <w:rPr>
          <w:rFonts w:hint="eastAsia" w:ascii="Times New Roman" w:eastAsia="仿宋_GB2312"/>
          <w:color w:val="auto"/>
          <w:highlight w:val="none"/>
          <w:lang w:eastAsia="zh-CN"/>
        </w:rPr>
      </w:pPr>
    </w:p>
    <w:p w14:paraId="6425460D">
      <w:pPr>
        <w:pStyle w:val="7"/>
        <w:shd w:val="clear" w:color="auto" w:fill="auto"/>
        <w:spacing w:line="360" w:lineRule="auto"/>
        <w:ind w:left="0" w:leftChars="0" w:firstLine="0" w:firstLineChars="0"/>
        <w:rPr>
          <w:rFonts w:hint="eastAsia" w:ascii="Times New Roman" w:eastAsia="仿宋_GB2312"/>
          <w:color w:val="auto"/>
          <w:highlight w:val="none"/>
          <w:lang w:eastAsia="zh-CN"/>
        </w:rPr>
      </w:pPr>
    </w:p>
    <w:p w14:paraId="32AB5398">
      <w:pPr>
        <w:pStyle w:val="7"/>
        <w:shd w:val="clear" w:color="auto" w:fill="auto"/>
        <w:spacing w:line="360" w:lineRule="auto"/>
        <w:ind w:left="0" w:leftChars="0" w:firstLine="0" w:firstLineChars="0"/>
        <w:rPr>
          <w:rFonts w:hint="eastAsia" w:ascii="Times New Roman" w:eastAsia="仿宋_GB2312"/>
          <w:color w:val="auto"/>
          <w:highlight w:val="none"/>
          <w:lang w:eastAsia="zh-CN"/>
        </w:rPr>
      </w:pPr>
    </w:p>
    <w:p w14:paraId="147DC1E6">
      <w:pPr>
        <w:pStyle w:val="7"/>
        <w:shd w:val="clear" w:color="auto" w:fill="auto"/>
        <w:spacing w:line="360" w:lineRule="auto"/>
        <w:ind w:left="0" w:leftChars="0" w:firstLine="0" w:firstLineChars="0"/>
        <w:rPr>
          <w:rFonts w:hint="eastAsia" w:ascii="Times New Roman" w:eastAsia="仿宋_GB2312"/>
          <w:color w:val="auto"/>
          <w:highlight w:val="none"/>
          <w:lang w:eastAsia="zh-CN"/>
        </w:rPr>
      </w:pPr>
    </w:p>
    <w:p w14:paraId="032DE3F6">
      <w:pPr>
        <w:pStyle w:val="7"/>
        <w:shd w:val="clear" w:color="auto" w:fill="auto"/>
        <w:spacing w:line="360" w:lineRule="auto"/>
        <w:ind w:left="0" w:leftChars="0" w:firstLine="0" w:firstLineChars="0"/>
        <w:rPr>
          <w:rFonts w:hint="eastAsia" w:ascii="Times New Roman" w:eastAsia="仿宋_GB2312"/>
          <w:color w:val="auto"/>
          <w:highlight w:val="none"/>
          <w:lang w:eastAsia="zh-CN"/>
        </w:rPr>
      </w:pPr>
    </w:p>
    <w:p w14:paraId="39AF427E">
      <w:pPr>
        <w:pStyle w:val="7"/>
        <w:shd w:val="clear" w:color="auto" w:fill="auto"/>
        <w:spacing w:line="360" w:lineRule="auto"/>
        <w:ind w:left="0" w:leftChars="0" w:firstLine="0" w:firstLineChars="0"/>
        <w:rPr>
          <w:rFonts w:hint="eastAsia" w:ascii="Times New Roman" w:eastAsia="仿宋_GB2312"/>
          <w:color w:val="auto"/>
          <w:highlight w:val="none"/>
          <w:lang w:eastAsia="zh-CN"/>
        </w:rPr>
      </w:pPr>
    </w:p>
    <w:p w14:paraId="0DF9548B">
      <w:pPr>
        <w:pStyle w:val="7"/>
        <w:shd w:val="clear" w:color="auto" w:fill="auto"/>
        <w:spacing w:line="360" w:lineRule="auto"/>
        <w:ind w:left="0" w:leftChars="0" w:firstLine="0" w:firstLineChars="0"/>
        <w:rPr>
          <w:rFonts w:hint="eastAsia" w:ascii="Times New Roman" w:eastAsia="仿宋_GB2312"/>
          <w:color w:val="auto"/>
          <w:highlight w:val="none"/>
          <w:lang w:eastAsia="zh-CN"/>
        </w:rPr>
      </w:pPr>
    </w:p>
    <w:p w14:paraId="287CF157">
      <w:pPr>
        <w:pStyle w:val="7"/>
        <w:shd w:val="clear" w:color="auto" w:fill="auto"/>
        <w:spacing w:line="360" w:lineRule="auto"/>
        <w:ind w:left="0" w:leftChars="0" w:firstLine="0" w:firstLineChars="0"/>
        <w:rPr>
          <w:rFonts w:hint="eastAsia" w:ascii="Times New Roman" w:eastAsia="仿宋_GB2312"/>
          <w:color w:val="auto"/>
          <w:highlight w:val="none"/>
          <w:lang w:eastAsia="zh-CN"/>
        </w:rPr>
      </w:pPr>
    </w:p>
    <w:p w14:paraId="153D7C24">
      <w:pPr>
        <w:pStyle w:val="7"/>
        <w:shd w:val="clear" w:color="auto" w:fill="auto"/>
        <w:spacing w:line="360" w:lineRule="auto"/>
        <w:ind w:left="0" w:leftChars="0" w:firstLine="0" w:firstLineChars="0"/>
        <w:rPr>
          <w:rFonts w:hint="eastAsia" w:ascii="Times New Roman" w:eastAsia="仿宋_GB2312"/>
          <w:color w:val="auto"/>
          <w:highlight w:val="none"/>
          <w:lang w:eastAsia="zh-CN"/>
        </w:rPr>
      </w:pPr>
    </w:p>
    <w:p w14:paraId="0002038D">
      <w:pPr>
        <w:pStyle w:val="7"/>
        <w:shd w:val="clear" w:color="auto" w:fill="auto"/>
        <w:spacing w:line="360" w:lineRule="auto"/>
        <w:ind w:left="0" w:leftChars="0" w:firstLine="0" w:firstLineChars="0"/>
        <w:rPr>
          <w:rFonts w:hint="eastAsia" w:ascii="Times New Roman" w:eastAsia="仿宋_GB2312"/>
          <w:color w:val="auto"/>
          <w:highlight w:val="none"/>
          <w:lang w:eastAsia="zh-CN"/>
        </w:rPr>
      </w:pPr>
    </w:p>
    <w:p w14:paraId="61A16E9C">
      <w:pPr>
        <w:pStyle w:val="7"/>
        <w:shd w:val="clear" w:color="auto" w:fill="auto"/>
        <w:spacing w:line="360" w:lineRule="auto"/>
        <w:ind w:left="0" w:leftChars="0" w:firstLine="0" w:firstLineChars="0"/>
        <w:rPr>
          <w:rFonts w:hint="eastAsia" w:ascii="Times New Roman" w:eastAsia="仿宋_GB2312"/>
          <w:color w:val="auto"/>
          <w:highlight w:val="none"/>
          <w:lang w:eastAsia="zh-CN"/>
        </w:rPr>
      </w:pPr>
    </w:p>
    <w:p w14:paraId="365AFD9A">
      <w:pPr>
        <w:pStyle w:val="7"/>
        <w:shd w:val="clear" w:color="auto" w:fill="auto"/>
        <w:spacing w:line="360" w:lineRule="auto"/>
        <w:ind w:left="0" w:leftChars="0" w:firstLine="0" w:firstLineChars="0"/>
        <w:rPr>
          <w:rFonts w:hint="eastAsia" w:ascii="Times New Roman" w:eastAsia="仿宋_GB2312"/>
          <w:color w:val="auto"/>
          <w:highlight w:val="none"/>
          <w:lang w:eastAsia="zh-CN"/>
        </w:rPr>
      </w:pPr>
    </w:p>
    <w:p w14:paraId="51E349A8">
      <w:pPr>
        <w:pStyle w:val="7"/>
        <w:shd w:val="clear" w:color="auto" w:fill="auto"/>
        <w:spacing w:line="360" w:lineRule="auto"/>
        <w:ind w:left="0" w:leftChars="0" w:firstLine="0" w:firstLineChars="0"/>
        <w:rPr>
          <w:rFonts w:hint="eastAsia" w:ascii="Times New Roman" w:eastAsia="仿宋_GB2312"/>
          <w:color w:val="auto"/>
          <w:highlight w:val="none"/>
          <w:lang w:eastAsia="zh-CN"/>
        </w:rPr>
      </w:pPr>
    </w:p>
    <w:p w14:paraId="0F49DCCA">
      <w:pPr>
        <w:pStyle w:val="7"/>
        <w:shd w:val="clear" w:color="auto" w:fill="auto"/>
        <w:spacing w:line="360" w:lineRule="auto"/>
        <w:ind w:left="0" w:leftChars="0" w:firstLine="0" w:firstLineChars="0"/>
        <w:rPr>
          <w:rFonts w:hint="eastAsia" w:ascii="Times New Roman" w:eastAsia="仿宋_GB2312"/>
          <w:color w:val="auto"/>
          <w:highlight w:val="none"/>
          <w:lang w:eastAsia="zh-CN"/>
        </w:rPr>
      </w:pPr>
    </w:p>
    <w:p w14:paraId="4C2B6938">
      <w:pPr>
        <w:pStyle w:val="7"/>
        <w:shd w:val="clear" w:color="auto" w:fill="auto"/>
        <w:spacing w:line="360" w:lineRule="auto"/>
        <w:ind w:left="0" w:leftChars="0" w:firstLine="0" w:firstLineChars="0"/>
        <w:rPr>
          <w:rFonts w:hint="eastAsia" w:ascii="Times New Roman" w:eastAsia="仿宋_GB2312"/>
          <w:color w:val="auto"/>
          <w:highlight w:val="none"/>
          <w:lang w:eastAsia="zh-CN"/>
        </w:rPr>
      </w:pPr>
    </w:p>
    <w:p w14:paraId="3CD1CFB1">
      <w:pPr>
        <w:pStyle w:val="7"/>
        <w:shd w:val="clear" w:color="auto" w:fill="auto"/>
        <w:spacing w:line="360" w:lineRule="auto"/>
        <w:ind w:left="0" w:leftChars="0" w:firstLine="0" w:firstLineChars="0"/>
        <w:rPr>
          <w:rFonts w:hint="eastAsia" w:ascii="Times New Roman" w:eastAsia="仿宋_GB2312"/>
          <w:color w:val="auto"/>
          <w:highlight w:val="none"/>
          <w:lang w:eastAsia="zh-CN"/>
        </w:rPr>
      </w:pPr>
    </w:p>
    <w:p w14:paraId="1605E7EA">
      <w:pPr>
        <w:pStyle w:val="7"/>
        <w:shd w:val="clear" w:color="auto" w:fill="auto"/>
        <w:spacing w:line="360" w:lineRule="auto"/>
        <w:ind w:left="0" w:leftChars="0" w:firstLine="0" w:firstLineChars="0"/>
        <w:rPr>
          <w:rFonts w:hint="eastAsia" w:ascii="Times New Roman" w:eastAsia="仿宋_GB2312"/>
          <w:color w:val="auto"/>
          <w:highlight w:val="none"/>
          <w:lang w:eastAsia="zh-CN"/>
        </w:rPr>
      </w:pPr>
    </w:p>
    <w:p w14:paraId="3231F4BD">
      <w:pPr>
        <w:pStyle w:val="7"/>
        <w:shd w:val="clear" w:color="auto" w:fill="auto"/>
        <w:spacing w:line="360" w:lineRule="auto"/>
        <w:ind w:left="0" w:leftChars="0" w:firstLine="0" w:firstLineChars="0"/>
        <w:rPr>
          <w:rFonts w:hint="eastAsia" w:ascii="Times New Roman" w:eastAsia="仿宋_GB2312"/>
          <w:color w:val="auto"/>
          <w:highlight w:val="none"/>
          <w:lang w:eastAsia="zh-CN"/>
        </w:rPr>
      </w:pPr>
    </w:p>
    <w:p w14:paraId="7F3577B4">
      <w:pPr>
        <w:pStyle w:val="7"/>
        <w:shd w:val="clear" w:color="auto" w:fill="auto"/>
        <w:spacing w:line="360" w:lineRule="auto"/>
        <w:ind w:left="0" w:leftChars="0" w:firstLine="0" w:firstLineChars="0"/>
        <w:rPr>
          <w:rFonts w:hint="eastAsia" w:ascii="Times New Roman" w:eastAsia="仿宋_GB2312"/>
          <w:color w:val="auto"/>
          <w:highlight w:val="none"/>
          <w:lang w:eastAsia="zh-CN"/>
        </w:rPr>
      </w:pPr>
    </w:p>
    <w:p w14:paraId="5E990920">
      <w:pPr>
        <w:pStyle w:val="7"/>
        <w:shd w:val="clear" w:color="auto" w:fill="auto"/>
        <w:spacing w:line="360" w:lineRule="auto"/>
        <w:ind w:left="0" w:leftChars="0" w:firstLine="0" w:firstLineChars="0"/>
        <w:rPr>
          <w:rFonts w:hint="eastAsia" w:ascii="Times New Roman" w:eastAsia="仿宋_GB2312"/>
          <w:color w:val="auto"/>
          <w:highlight w:val="none"/>
          <w:lang w:eastAsia="zh-CN"/>
        </w:rPr>
      </w:pPr>
    </w:p>
    <w:p w14:paraId="4AD2BC84">
      <w:pPr>
        <w:pStyle w:val="7"/>
        <w:shd w:val="clear" w:color="auto" w:fill="auto"/>
        <w:spacing w:line="360" w:lineRule="auto"/>
        <w:ind w:left="0" w:leftChars="0" w:firstLine="0" w:firstLineChars="0"/>
        <w:rPr>
          <w:rFonts w:hint="eastAsia" w:ascii="Times New Roman" w:eastAsia="仿宋_GB2312"/>
          <w:color w:val="auto"/>
          <w:highlight w:val="none"/>
          <w:lang w:eastAsia="zh-CN"/>
        </w:rPr>
      </w:pPr>
    </w:p>
    <w:p w14:paraId="129D5A95">
      <w:pPr>
        <w:pStyle w:val="7"/>
        <w:shd w:val="clear" w:color="auto" w:fill="auto"/>
        <w:spacing w:line="360" w:lineRule="auto"/>
        <w:ind w:left="0" w:leftChars="0" w:firstLine="0" w:firstLineChars="0"/>
        <w:rPr>
          <w:rFonts w:hint="eastAsia" w:ascii="Times New Roman" w:eastAsia="仿宋_GB2312"/>
          <w:color w:val="auto"/>
          <w:highlight w:val="none"/>
          <w:lang w:eastAsia="zh-CN"/>
        </w:rPr>
      </w:pPr>
    </w:p>
    <w:p w14:paraId="66304508">
      <w:pPr>
        <w:pStyle w:val="7"/>
        <w:shd w:val="clear" w:color="auto" w:fill="auto"/>
        <w:spacing w:line="360" w:lineRule="auto"/>
        <w:ind w:left="0" w:leftChars="0" w:firstLine="0" w:firstLineChars="0"/>
        <w:rPr>
          <w:rFonts w:hint="eastAsia" w:ascii="Times New Roman" w:eastAsia="仿宋_GB2312"/>
          <w:color w:val="auto"/>
          <w:highlight w:val="none"/>
          <w:lang w:eastAsia="zh-CN"/>
        </w:rPr>
      </w:pPr>
    </w:p>
    <w:p w14:paraId="6A8E12EF">
      <w:pPr>
        <w:pStyle w:val="7"/>
        <w:shd w:val="clear" w:color="auto" w:fill="auto"/>
        <w:spacing w:line="360" w:lineRule="auto"/>
        <w:ind w:left="0" w:leftChars="0" w:firstLine="0" w:firstLineChars="0"/>
        <w:rPr>
          <w:rFonts w:hint="eastAsia" w:ascii="Times New Roman" w:eastAsia="仿宋_GB2312"/>
          <w:color w:val="auto"/>
          <w:highlight w:val="none"/>
          <w:lang w:eastAsia="zh-CN"/>
        </w:rPr>
      </w:pPr>
    </w:p>
    <w:p w14:paraId="5E0E443E">
      <w:pPr>
        <w:pStyle w:val="7"/>
        <w:shd w:val="clear" w:color="auto" w:fill="auto"/>
        <w:spacing w:line="360" w:lineRule="auto"/>
        <w:ind w:left="0" w:leftChars="0" w:firstLine="0" w:firstLineChars="0"/>
        <w:rPr>
          <w:rFonts w:hint="eastAsia" w:ascii="Times New Roman" w:eastAsia="仿宋_GB2312"/>
          <w:color w:val="auto"/>
          <w:highlight w:val="none"/>
          <w:lang w:eastAsia="zh-CN"/>
        </w:rPr>
      </w:pPr>
    </w:p>
    <w:p w14:paraId="0E3F001A">
      <w:pPr>
        <w:pStyle w:val="7"/>
        <w:shd w:val="clear" w:color="auto" w:fill="auto"/>
        <w:spacing w:line="360" w:lineRule="auto"/>
        <w:ind w:left="0" w:leftChars="0" w:firstLine="0" w:firstLineChars="0"/>
        <w:rPr>
          <w:rFonts w:hint="eastAsia" w:ascii="Times New Roman" w:eastAsia="仿宋_GB2312"/>
          <w:color w:val="auto"/>
          <w:highlight w:val="none"/>
          <w:lang w:eastAsia="zh-CN"/>
        </w:rPr>
      </w:pPr>
    </w:p>
    <w:p w14:paraId="14746AFF">
      <w:pPr>
        <w:pStyle w:val="6"/>
        <w:shd w:val="clear" w:color="auto" w:fill="auto"/>
        <w:ind w:firstLine="1124" w:firstLineChars="350"/>
        <w:rPr>
          <w:rFonts w:ascii="Times New Roman" w:hAnsi="Times New Roman" w:eastAsia="仿宋_GB2312"/>
          <w:color w:val="auto"/>
          <w:sz w:val="32"/>
          <w:szCs w:val="32"/>
          <w:highlight w:val="none"/>
        </w:rPr>
      </w:pPr>
      <w:bookmarkStart w:id="483" w:name="_Toc7198"/>
      <w:bookmarkStart w:id="484" w:name="_Toc62194359"/>
      <w:r>
        <w:rPr>
          <w:rFonts w:ascii="Times New Roman" w:hAnsi="Times New Roman" w:eastAsia="仿宋_GB2312"/>
          <w:color w:val="auto"/>
          <w:sz w:val="32"/>
          <w:szCs w:val="32"/>
          <w:highlight w:val="none"/>
        </w:rPr>
        <w:t>投标人须知第10条要求的所有技术文件</w:t>
      </w:r>
      <w:bookmarkEnd w:id="483"/>
      <w:bookmarkEnd w:id="484"/>
      <w:bookmarkStart w:id="485" w:name="_Toc60929148"/>
      <w:bookmarkStart w:id="486" w:name="_Toc60928916"/>
    </w:p>
    <w:p w14:paraId="5E0975B3">
      <w:pPr>
        <w:pStyle w:val="7"/>
        <w:shd w:val="clear" w:color="auto" w:fill="auto"/>
        <w:rPr>
          <w:rFonts w:ascii="Times New Roman" w:hAnsi="Times New Roman" w:eastAsia="仿宋_GB2312"/>
          <w:color w:val="auto"/>
          <w:sz w:val="32"/>
          <w:szCs w:val="32"/>
          <w:highlight w:val="none"/>
        </w:rPr>
      </w:pPr>
    </w:p>
    <w:p w14:paraId="70041DB7">
      <w:pPr>
        <w:pStyle w:val="7"/>
        <w:shd w:val="clear" w:color="auto" w:fill="auto"/>
        <w:rPr>
          <w:rFonts w:ascii="Times New Roman" w:hAnsi="Times New Roman" w:eastAsia="仿宋_GB2312"/>
          <w:color w:val="auto"/>
          <w:sz w:val="32"/>
          <w:szCs w:val="32"/>
          <w:highlight w:val="none"/>
        </w:rPr>
      </w:pPr>
    </w:p>
    <w:p w14:paraId="365A26B6">
      <w:pPr>
        <w:pStyle w:val="7"/>
        <w:shd w:val="clear" w:color="auto" w:fill="auto"/>
        <w:rPr>
          <w:rFonts w:ascii="Times New Roman" w:hAnsi="Times New Roman" w:eastAsia="仿宋_GB2312"/>
          <w:color w:val="auto"/>
          <w:sz w:val="32"/>
          <w:szCs w:val="32"/>
          <w:highlight w:val="none"/>
        </w:rPr>
      </w:pPr>
    </w:p>
    <w:p w14:paraId="251534D9">
      <w:pPr>
        <w:pStyle w:val="7"/>
        <w:shd w:val="clear" w:color="auto" w:fill="auto"/>
        <w:rPr>
          <w:rFonts w:ascii="Times New Roman" w:hAnsi="Times New Roman" w:eastAsia="仿宋_GB2312"/>
          <w:color w:val="auto"/>
          <w:sz w:val="32"/>
          <w:szCs w:val="32"/>
          <w:highlight w:val="none"/>
        </w:rPr>
      </w:pPr>
    </w:p>
    <w:p w14:paraId="212AF922">
      <w:pPr>
        <w:pStyle w:val="7"/>
        <w:shd w:val="clear" w:color="auto" w:fill="auto"/>
        <w:rPr>
          <w:rFonts w:ascii="Times New Roman" w:hAnsi="Times New Roman" w:eastAsia="仿宋_GB2312"/>
          <w:color w:val="auto"/>
          <w:sz w:val="32"/>
          <w:szCs w:val="32"/>
          <w:highlight w:val="none"/>
        </w:rPr>
      </w:pPr>
    </w:p>
    <w:p w14:paraId="706C62DA">
      <w:pPr>
        <w:pStyle w:val="7"/>
        <w:shd w:val="clear" w:color="auto" w:fill="auto"/>
        <w:rPr>
          <w:rFonts w:ascii="Times New Roman" w:hAnsi="Times New Roman" w:eastAsia="仿宋_GB2312"/>
          <w:color w:val="auto"/>
          <w:sz w:val="32"/>
          <w:szCs w:val="32"/>
          <w:highlight w:val="none"/>
        </w:rPr>
      </w:pPr>
    </w:p>
    <w:p w14:paraId="68DA9B66">
      <w:pPr>
        <w:pStyle w:val="7"/>
        <w:shd w:val="clear" w:color="auto" w:fill="auto"/>
        <w:rPr>
          <w:rFonts w:ascii="Times New Roman" w:hAnsi="Times New Roman" w:eastAsia="仿宋_GB2312"/>
          <w:color w:val="auto"/>
          <w:sz w:val="32"/>
          <w:szCs w:val="32"/>
          <w:highlight w:val="none"/>
        </w:rPr>
      </w:pPr>
    </w:p>
    <w:p w14:paraId="561508FC">
      <w:pPr>
        <w:pStyle w:val="7"/>
        <w:shd w:val="clear" w:color="auto" w:fill="auto"/>
        <w:rPr>
          <w:rFonts w:ascii="Times New Roman" w:hAnsi="Times New Roman" w:eastAsia="仿宋_GB2312"/>
          <w:color w:val="auto"/>
          <w:sz w:val="32"/>
          <w:szCs w:val="32"/>
          <w:highlight w:val="none"/>
        </w:rPr>
      </w:pPr>
    </w:p>
    <w:p w14:paraId="1BC25430">
      <w:pPr>
        <w:pStyle w:val="7"/>
        <w:shd w:val="clear" w:color="auto" w:fill="auto"/>
        <w:rPr>
          <w:rFonts w:ascii="Times New Roman" w:hAnsi="Times New Roman" w:eastAsia="仿宋_GB2312"/>
          <w:color w:val="auto"/>
          <w:sz w:val="32"/>
          <w:szCs w:val="32"/>
          <w:highlight w:val="none"/>
        </w:rPr>
      </w:pPr>
    </w:p>
    <w:p w14:paraId="6BD3199A">
      <w:pPr>
        <w:pStyle w:val="7"/>
        <w:shd w:val="clear" w:color="auto" w:fill="auto"/>
        <w:rPr>
          <w:rFonts w:ascii="Times New Roman" w:hAnsi="Times New Roman" w:eastAsia="仿宋_GB2312"/>
          <w:color w:val="auto"/>
          <w:sz w:val="32"/>
          <w:szCs w:val="32"/>
          <w:highlight w:val="none"/>
        </w:rPr>
      </w:pPr>
    </w:p>
    <w:p w14:paraId="762FC014">
      <w:pPr>
        <w:pStyle w:val="7"/>
        <w:shd w:val="clear" w:color="auto" w:fill="auto"/>
        <w:rPr>
          <w:rFonts w:ascii="Times New Roman" w:hAnsi="Times New Roman" w:eastAsia="仿宋_GB2312"/>
          <w:color w:val="auto"/>
          <w:sz w:val="32"/>
          <w:szCs w:val="32"/>
          <w:highlight w:val="none"/>
        </w:rPr>
      </w:pPr>
    </w:p>
    <w:p w14:paraId="1A017E74">
      <w:pPr>
        <w:pStyle w:val="7"/>
        <w:shd w:val="clear" w:color="auto" w:fill="auto"/>
        <w:rPr>
          <w:rFonts w:ascii="Times New Roman" w:hAnsi="Times New Roman" w:eastAsia="仿宋_GB2312"/>
          <w:color w:val="auto"/>
          <w:sz w:val="32"/>
          <w:szCs w:val="32"/>
          <w:highlight w:val="none"/>
        </w:rPr>
      </w:pPr>
    </w:p>
    <w:p w14:paraId="25A499A3">
      <w:pPr>
        <w:pStyle w:val="7"/>
        <w:shd w:val="clear" w:color="auto" w:fill="auto"/>
        <w:rPr>
          <w:rFonts w:ascii="Times New Roman" w:hAnsi="Times New Roman" w:eastAsia="仿宋_GB2312"/>
          <w:color w:val="auto"/>
          <w:sz w:val="32"/>
          <w:szCs w:val="32"/>
          <w:highlight w:val="none"/>
        </w:rPr>
      </w:pPr>
    </w:p>
    <w:p w14:paraId="043444B0">
      <w:pPr>
        <w:pStyle w:val="7"/>
        <w:shd w:val="clear" w:color="auto" w:fill="auto"/>
        <w:rPr>
          <w:rFonts w:ascii="Times New Roman" w:hAnsi="Times New Roman" w:eastAsia="仿宋_GB2312"/>
          <w:color w:val="auto"/>
          <w:sz w:val="32"/>
          <w:szCs w:val="32"/>
          <w:highlight w:val="none"/>
        </w:rPr>
      </w:pPr>
    </w:p>
    <w:p w14:paraId="1D40F162">
      <w:pPr>
        <w:pStyle w:val="7"/>
        <w:shd w:val="clear" w:color="auto" w:fill="auto"/>
        <w:rPr>
          <w:rFonts w:ascii="Times New Roman" w:hAnsi="Times New Roman" w:eastAsia="仿宋_GB2312"/>
          <w:color w:val="auto"/>
          <w:sz w:val="32"/>
          <w:szCs w:val="32"/>
          <w:highlight w:val="none"/>
        </w:rPr>
      </w:pPr>
    </w:p>
    <w:p w14:paraId="054EB4AF">
      <w:pPr>
        <w:pStyle w:val="7"/>
        <w:shd w:val="clear" w:color="auto" w:fill="auto"/>
        <w:rPr>
          <w:rFonts w:ascii="Times New Roman" w:hAnsi="Times New Roman" w:eastAsia="仿宋_GB2312"/>
          <w:color w:val="auto"/>
          <w:sz w:val="32"/>
          <w:szCs w:val="32"/>
          <w:highlight w:val="none"/>
        </w:rPr>
      </w:pPr>
    </w:p>
    <w:p w14:paraId="58916F9C">
      <w:pPr>
        <w:pStyle w:val="7"/>
        <w:shd w:val="clear" w:color="auto" w:fill="auto"/>
        <w:rPr>
          <w:rFonts w:ascii="Times New Roman" w:hAnsi="Times New Roman" w:eastAsia="仿宋_GB2312"/>
          <w:color w:val="auto"/>
          <w:sz w:val="32"/>
          <w:szCs w:val="32"/>
          <w:highlight w:val="none"/>
        </w:rPr>
      </w:pPr>
    </w:p>
    <w:p w14:paraId="01AC27DC">
      <w:pPr>
        <w:pStyle w:val="7"/>
        <w:shd w:val="clear" w:color="auto" w:fill="auto"/>
        <w:rPr>
          <w:rFonts w:ascii="Times New Roman" w:hAnsi="Times New Roman" w:eastAsia="仿宋_GB2312"/>
          <w:color w:val="auto"/>
          <w:sz w:val="32"/>
          <w:szCs w:val="32"/>
          <w:highlight w:val="none"/>
        </w:rPr>
      </w:pPr>
    </w:p>
    <w:p w14:paraId="280DE8E7">
      <w:pPr>
        <w:pStyle w:val="7"/>
        <w:shd w:val="clear" w:color="auto" w:fill="auto"/>
        <w:rPr>
          <w:rFonts w:ascii="Times New Roman" w:hAnsi="Times New Roman" w:eastAsia="仿宋_GB2312"/>
          <w:color w:val="auto"/>
          <w:sz w:val="32"/>
          <w:szCs w:val="32"/>
          <w:highlight w:val="none"/>
        </w:rPr>
      </w:pPr>
    </w:p>
    <w:p w14:paraId="29205E0F">
      <w:pPr>
        <w:pStyle w:val="7"/>
        <w:shd w:val="clear" w:color="auto" w:fill="auto"/>
        <w:rPr>
          <w:rFonts w:ascii="Times New Roman" w:hAnsi="Times New Roman" w:eastAsia="仿宋_GB2312"/>
          <w:color w:val="auto"/>
          <w:sz w:val="32"/>
          <w:szCs w:val="32"/>
          <w:highlight w:val="none"/>
        </w:rPr>
      </w:pPr>
    </w:p>
    <w:p w14:paraId="46EBC0F4">
      <w:pPr>
        <w:pStyle w:val="7"/>
        <w:shd w:val="clear" w:color="auto" w:fill="auto"/>
        <w:rPr>
          <w:rFonts w:ascii="Times New Roman" w:hAnsi="Times New Roman" w:eastAsia="仿宋_GB2312"/>
          <w:color w:val="auto"/>
          <w:sz w:val="32"/>
          <w:szCs w:val="32"/>
          <w:highlight w:val="none"/>
        </w:rPr>
      </w:pPr>
    </w:p>
    <w:p w14:paraId="7D500114">
      <w:pPr>
        <w:pStyle w:val="7"/>
        <w:shd w:val="clear" w:color="auto" w:fill="auto"/>
        <w:rPr>
          <w:rFonts w:ascii="Times New Roman" w:hAnsi="Times New Roman" w:eastAsia="仿宋_GB2312"/>
          <w:color w:val="auto"/>
          <w:sz w:val="32"/>
          <w:szCs w:val="32"/>
          <w:highlight w:val="none"/>
        </w:rPr>
      </w:pPr>
    </w:p>
    <w:p w14:paraId="0BB3744C">
      <w:pPr>
        <w:pStyle w:val="7"/>
        <w:shd w:val="clear" w:color="auto" w:fill="auto"/>
        <w:rPr>
          <w:rFonts w:ascii="Times New Roman" w:hAnsi="Times New Roman" w:eastAsia="仿宋_GB2312"/>
          <w:color w:val="auto"/>
          <w:sz w:val="32"/>
          <w:szCs w:val="32"/>
          <w:highlight w:val="none"/>
        </w:rPr>
      </w:pPr>
    </w:p>
    <w:p w14:paraId="3113104B">
      <w:pPr>
        <w:pStyle w:val="7"/>
        <w:shd w:val="clear" w:color="auto" w:fill="auto"/>
        <w:rPr>
          <w:rFonts w:ascii="Times New Roman" w:hAnsi="Times New Roman" w:eastAsia="仿宋_GB2312"/>
          <w:color w:val="auto"/>
          <w:sz w:val="32"/>
          <w:szCs w:val="32"/>
          <w:highlight w:val="none"/>
        </w:rPr>
      </w:pPr>
    </w:p>
    <w:p w14:paraId="52B819CB">
      <w:pPr>
        <w:pStyle w:val="7"/>
        <w:shd w:val="clear" w:color="auto" w:fill="auto"/>
        <w:rPr>
          <w:rFonts w:ascii="Times New Roman" w:hAnsi="Times New Roman" w:eastAsia="仿宋_GB2312"/>
          <w:color w:val="auto"/>
          <w:sz w:val="32"/>
          <w:szCs w:val="32"/>
          <w:highlight w:val="none"/>
        </w:rPr>
      </w:pPr>
    </w:p>
    <w:p w14:paraId="4D7794F4">
      <w:pPr>
        <w:pStyle w:val="7"/>
        <w:shd w:val="clear" w:color="auto" w:fill="auto"/>
        <w:rPr>
          <w:rFonts w:ascii="Times New Roman" w:hAnsi="Times New Roman" w:eastAsia="仿宋_GB2312"/>
          <w:color w:val="auto"/>
          <w:sz w:val="32"/>
          <w:szCs w:val="32"/>
          <w:highlight w:val="none"/>
        </w:rPr>
      </w:pPr>
    </w:p>
    <w:p w14:paraId="0D2CB4F8">
      <w:pPr>
        <w:pStyle w:val="7"/>
        <w:shd w:val="clear" w:color="auto" w:fill="auto"/>
        <w:rPr>
          <w:rFonts w:ascii="Times New Roman" w:hAnsi="Times New Roman" w:eastAsia="仿宋_GB2312"/>
          <w:color w:val="auto"/>
          <w:sz w:val="32"/>
          <w:szCs w:val="32"/>
          <w:highlight w:val="none"/>
        </w:rPr>
      </w:pPr>
    </w:p>
    <w:p w14:paraId="101A4F46">
      <w:pPr>
        <w:pStyle w:val="7"/>
        <w:shd w:val="clear" w:color="auto" w:fill="auto"/>
        <w:rPr>
          <w:rFonts w:ascii="Times New Roman" w:hAnsi="Times New Roman" w:eastAsia="仿宋_GB2312"/>
          <w:color w:val="auto"/>
          <w:sz w:val="32"/>
          <w:szCs w:val="32"/>
          <w:highlight w:val="none"/>
        </w:rPr>
      </w:pPr>
    </w:p>
    <w:p w14:paraId="0D819A2A">
      <w:pPr>
        <w:pStyle w:val="7"/>
        <w:shd w:val="clear" w:color="auto" w:fill="auto"/>
        <w:rPr>
          <w:rFonts w:ascii="Times New Roman" w:hAnsi="Times New Roman" w:eastAsia="仿宋_GB2312"/>
          <w:color w:val="auto"/>
          <w:sz w:val="32"/>
          <w:szCs w:val="32"/>
          <w:highlight w:val="none"/>
        </w:rPr>
      </w:pPr>
    </w:p>
    <w:p w14:paraId="2D3A1551">
      <w:pPr>
        <w:pStyle w:val="7"/>
        <w:shd w:val="clear" w:color="auto" w:fill="auto"/>
        <w:rPr>
          <w:rFonts w:ascii="Times New Roman" w:hAnsi="Times New Roman" w:eastAsia="仿宋_GB2312"/>
          <w:color w:val="auto"/>
          <w:sz w:val="32"/>
          <w:szCs w:val="32"/>
          <w:highlight w:val="none"/>
        </w:rPr>
      </w:pPr>
    </w:p>
    <w:p w14:paraId="67320779">
      <w:pPr>
        <w:pStyle w:val="7"/>
        <w:shd w:val="clear" w:color="auto" w:fill="auto"/>
        <w:rPr>
          <w:rFonts w:ascii="Times New Roman" w:hAnsi="Times New Roman" w:eastAsia="仿宋_GB2312"/>
          <w:color w:val="auto"/>
          <w:sz w:val="32"/>
          <w:szCs w:val="32"/>
          <w:highlight w:val="none"/>
        </w:rPr>
      </w:pPr>
    </w:p>
    <w:p w14:paraId="4BFE727D">
      <w:pPr>
        <w:pStyle w:val="7"/>
        <w:shd w:val="clear" w:color="auto" w:fill="auto"/>
        <w:rPr>
          <w:rFonts w:ascii="Times New Roman" w:hAnsi="Times New Roman" w:eastAsia="仿宋_GB2312"/>
          <w:color w:val="auto"/>
          <w:sz w:val="32"/>
          <w:szCs w:val="32"/>
          <w:highlight w:val="none"/>
        </w:rPr>
      </w:pPr>
    </w:p>
    <w:p w14:paraId="1420404F">
      <w:pPr>
        <w:pStyle w:val="7"/>
        <w:shd w:val="clear" w:color="auto" w:fill="auto"/>
        <w:rPr>
          <w:rFonts w:ascii="Times New Roman" w:hAnsi="Times New Roman" w:eastAsia="仿宋_GB2312"/>
          <w:color w:val="auto"/>
          <w:sz w:val="32"/>
          <w:szCs w:val="32"/>
          <w:highlight w:val="none"/>
        </w:rPr>
      </w:pPr>
    </w:p>
    <w:p w14:paraId="7BE20F1A">
      <w:pPr>
        <w:pStyle w:val="7"/>
        <w:shd w:val="clear" w:color="auto" w:fill="auto"/>
        <w:rPr>
          <w:rFonts w:ascii="Times New Roman" w:hAnsi="Times New Roman" w:eastAsia="仿宋_GB2312"/>
          <w:color w:val="auto"/>
          <w:sz w:val="32"/>
          <w:szCs w:val="32"/>
          <w:highlight w:val="none"/>
        </w:rPr>
      </w:pPr>
    </w:p>
    <w:p w14:paraId="0DD48601">
      <w:pPr>
        <w:pStyle w:val="7"/>
        <w:shd w:val="clear" w:color="auto" w:fill="auto"/>
        <w:rPr>
          <w:rFonts w:ascii="Times New Roman" w:hAnsi="Times New Roman" w:eastAsia="仿宋_GB2312"/>
          <w:color w:val="auto"/>
          <w:sz w:val="32"/>
          <w:szCs w:val="32"/>
          <w:highlight w:val="none"/>
        </w:rPr>
      </w:pPr>
    </w:p>
    <w:p w14:paraId="55995DC6">
      <w:pPr>
        <w:pStyle w:val="6"/>
        <w:shd w:val="clear" w:color="auto" w:fill="auto"/>
        <w:ind w:firstLine="0" w:firstLineChars="0"/>
        <w:jc w:val="center"/>
        <w:rPr>
          <w:rFonts w:ascii="Times New Roman" w:hAnsi="Times New Roman" w:eastAsia="仿宋_GB2312"/>
          <w:color w:val="auto"/>
          <w:sz w:val="32"/>
          <w:szCs w:val="32"/>
          <w:highlight w:val="none"/>
        </w:rPr>
      </w:pPr>
      <w:bookmarkStart w:id="487" w:name="_Toc6958"/>
      <w:bookmarkStart w:id="488" w:name="_Toc62194360"/>
      <w:r>
        <w:rPr>
          <w:rFonts w:ascii="Times New Roman" w:hAnsi="Times New Roman" w:eastAsia="仿宋_GB2312"/>
          <w:color w:val="auto"/>
          <w:sz w:val="32"/>
          <w:szCs w:val="32"/>
          <w:highlight w:val="none"/>
        </w:rPr>
        <w:t>投标方案或技术方案</w:t>
      </w:r>
      <w:bookmarkEnd w:id="485"/>
      <w:bookmarkEnd w:id="486"/>
      <w:bookmarkEnd w:id="487"/>
      <w:bookmarkEnd w:id="488"/>
      <w:bookmarkStart w:id="489" w:name="_Toc60929149"/>
      <w:bookmarkStart w:id="490" w:name="_Toc60928917"/>
    </w:p>
    <w:p w14:paraId="587029CC">
      <w:pPr>
        <w:pStyle w:val="14"/>
        <w:shd w:val="clear" w:color="auto" w:fill="auto"/>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（格式自拟，内容应包含评标办法中要求的内容）</w:t>
      </w:r>
      <w:bookmarkEnd w:id="489"/>
      <w:bookmarkEnd w:id="490"/>
    </w:p>
    <w:p w14:paraId="13480570">
      <w:pPr>
        <w:shd w:val="clear" w:color="auto" w:fill="auto"/>
        <w:rPr>
          <w:rFonts w:eastAsia="仿宋_GB2312"/>
          <w:color w:val="auto"/>
          <w:highlight w:val="none"/>
        </w:rPr>
      </w:pPr>
    </w:p>
    <w:p w14:paraId="1E204C9C">
      <w:pPr>
        <w:pStyle w:val="7"/>
        <w:shd w:val="clear" w:color="auto" w:fill="auto"/>
        <w:spacing w:line="360" w:lineRule="auto"/>
        <w:ind w:left="0" w:leftChars="0" w:firstLine="0" w:firstLineChars="0"/>
        <w:rPr>
          <w:rFonts w:ascii="Times New Roman"/>
          <w:color w:val="auto"/>
          <w:highlight w:val="none"/>
        </w:rPr>
      </w:pPr>
    </w:p>
    <w:p w14:paraId="7F5468DB">
      <w:pPr>
        <w:pStyle w:val="7"/>
        <w:shd w:val="clear" w:color="auto" w:fill="auto"/>
        <w:spacing w:line="360" w:lineRule="auto"/>
        <w:ind w:left="0" w:leftChars="0" w:firstLine="0" w:firstLineChars="0"/>
        <w:rPr>
          <w:rFonts w:ascii="Times New Roman"/>
          <w:color w:val="auto"/>
          <w:highlight w:val="none"/>
        </w:rPr>
      </w:pPr>
    </w:p>
    <w:p w14:paraId="6FC490B7">
      <w:pPr>
        <w:pStyle w:val="7"/>
        <w:shd w:val="clear" w:color="auto" w:fill="auto"/>
        <w:spacing w:line="360" w:lineRule="auto"/>
        <w:ind w:left="0" w:leftChars="0" w:firstLine="0" w:firstLineChars="0"/>
        <w:rPr>
          <w:rFonts w:ascii="Times New Roman"/>
          <w:color w:val="auto"/>
          <w:highlight w:val="none"/>
        </w:rPr>
      </w:pPr>
    </w:p>
    <w:p w14:paraId="00190A7E">
      <w:pPr>
        <w:pStyle w:val="7"/>
        <w:shd w:val="clear" w:color="auto" w:fill="auto"/>
        <w:spacing w:line="360" w:lineRule="auto"/>
        <w:ind w:left="0" w:leftChars="0" w:firstLine="0" w:firstLineChars="0"/>
        <w:rPr>
          <w:rFonts w:ascii="Times New Roman"/>
          <w:color w:val="auto"/>
          <w:highlight w:val="none"/>
        </w:rPr>
      </w:pPr>
    </w:p>
    <w:p w14:paraId="6EA8DA93">
      <w:pPr>
        <w:pStyle w:val="7"/>
        <w:shd w:val="clear" w:color="auto" w:fill="auto"/>
        <w:spacing w:line="360" w:lineRule="auto"/>
        <w:ind w:left="0" w:leftChars="0" w:firstLine="0" w:firstLineChars="0"/>
        <w:rPr>
          <w:rFonts w:ascii="Times New Roman"/>
          <w:color w:val="auto"/>
          <w:highlight w:val="none"/>
        </w:rPr>
      </w:pPr>
    </w:p>
    <w:p w14:paraId="69A32D64">
      <w:pPr>
        <w:pStyle w:val="7"/>
        <w:shd w:val="clear" w:color="auto" w:fill="auto"/>
        <w:spacing w:line="360" w:lineRule="auto"/>
        <w:ind w:left="0" w:leftChars="0" w:firstLine="0" w:firstLineChars="0"/>
        <w:rPr>
          <w:rFonts w:ascii="Times New Roman"/>
          <w:color w:val="auto"/>
          <w:highlight w:val="none"/>
        </w:rPr>
      </w:pPr>
    </w:p>
    <w:p w14:paraId="555837AC">
      <w:pPr>
        <w:pStyle w:val="7"/>
        <w:shd w:val="clear" w:color="auto" w:fill="auto"/>
        <w:spacing w:line="360" w:lineRule="auto"/>
        <w:ind w:left="0" w:leftChars="0" w:firstLine="0" w:firstLineChars="0"/>
        <w:rPr>
          <w:rFonts w:ascii="Times New Roman"/>
          <w:color w:val="auto"/>
          <w:highlight w:val="none"/>
        </w:rPr>
      </w:pPr>
    </w:p>
    <w:p w14:paraId="41C8CA18">
      <w:pPr>
        <w:pStyle w:val="7"/>
        <w:shd w:val="clear" w:color="auto" w:fill="auto"/>
        <w:spacing w:line="360" w:lineRule="auto"/>
        <w:ind w:left="0" w:leftChars="0" w:firstLine="0" w:firstLineChars="0"/>
        <w:rPr>
          <w:rFonts w:ascii="Times New Roman"/>
          <w:color w:val="auto"/>
          <w:highlight w:val="none"/>
        </w:rPr>
      </w:pPr>
    </w:p>
    <w:p w14:paraId="715DAE66">
      <w:pPr>
        <w:pStyle w:val="7"/>
        <w:shd w:val="clear" w:color="auto" w:fill="auto"/>
        <w:spacing w:line="360" w:lineRule="auto"/>
        <w:ind w:left="0" w:leftChars="0" w:firstLine="0" w:firstLineChars="0"/>
        <w:rPr>
          <w:rFonts w:ascii="Times New Roman"/>
          <w:color w:val="auto"/>
          <w:highlight w:val="none"/>
        </w:rPr>
      </w:pPr>
    </w:p>
    <w:p w14:paraId="51860695">
      <w:pPr>
        <w:pStyle w:val="7"/>
        <w:shd w:val="clear" w:color="auto" w:fill="auto"/>
        <w:spacing w:line="360" w:lineRule="auto"/>
        <w:ind w:left="0" w:leftChars="0" w:firstLine="0" w:firstLineChars="0"/>
        <w:rPr>
          <w:rFonts w:ascii="Times New Roman"/>
          <w:color w:val="auto"/>
          <w:highlight w:val="none"/>
        </w:rPr>
      </w:pPr>
    </w:p>
    <w:p w14:paraId="32C62648">
      <w:pPr>
        <w:pStyle w:val="7"/>
        <w:shd w:val="clear" w:color="auto" w:fill="auto"/>
        <w:spacing w:line="360" w:lineRule="auto"/>
        <w:ind w:left="0" w:leftChars="0" w:firstLine="0" w:firstLineChars="0"/>
        <w:rPr>
          <w:rFonts w:ascii="Times New Roman"/>
          <w:color w:val="auto"/>
          <w:highlight w:val="none"/>
        </w:rPr>
      </w:pPr>
    </w:p>
    <w:p w14:paraId="668D6E0E">
      <w:pPr>
        <w:pStyle w:val="7"/>
        <w:shd w:val="clear" w:color="auto" w:fill="auto"/>
        <w:spacing w:line="360" w:lineRule="auto"/>
        <w:ind w:left="0" w:leftChars="0" w:firstLine="0" w:firstLineChars="0"/>
        <w:rPr>
          <w:rFonts w:ascii="Times New Roman"/>
          <w:color w:val="auto"/>
          <w:highlight w:val="none"/>
        </w:rPr>
      </w:pPr>
    </w:p>
    <w:p w14:paraId="71EC9030">
      <w:pPr>
        <w:pStyle w:val="7"/>
        <w:shd w:val="clear" w:color="auto" w:fill="auto"/>
        <w:spacing w:line="360" w:lineRule="auto"/>
        <w:ind w:left="0" w:leftChars="0" w:firstLine="0" w:firstLineChars="0"/>
        <w:rPr>
          <w:rFonts w:ascii="Times New Roman"/>
          <w:color w:val="auto"/>
          <w:highlight w:val="none"/>
        </w:rPr>
      </w:pPr>
    </w:p>
    <w:p w14:paraId="1A8C7D02">
      <w:pPr>
        <w:pStyle w:val="7"/>
        <w:shd w:val="clear" w:color="auto" w:fill="auto"/>
        <w:spacing w:line="360" w:lineRule="auto"/>
        <w:ind w:left="0" w:leftChars="0" w:firstLine="0" w:firstLineChars="0"/>
        <w:rPr>
          <w:rFonts w:ascii="Times New Roman"/>
          <w:color w:val="auto"/>
          <w:highlight w:val="none"/>
        </w:rPr>
      </w:pPr>
    </w:p>
    <w:p w14:paraId="06127F56">
      <w:pPr>
        <w:pStyle w:val="7"/>
        <w:shd w:val="clear" w:color="auto" w:fill="auto"/>
        <w:spacing w:line="360" w:lineRule="auto"/>
        <w:ind w:left="0" w:leftChars="0" w:firstLine="0" w:firstLineChars="0"/>
        <w:rPr>
          <w:rFonts w:ascii="Times New Roman"/>
          <w:color w:val="auto"/>
          <w:highlight w:val="none"/>
        </w:rPr>
      </w:pPr>
    </w:p>
    <w:p w14:paraId="222F98DF">
      <w:pPr>
        <w:pStyle w:val="7"/>
        <w:shd w:val="clear" w:color="auto" w:fill="auto"/>
        <w:spacing w:line="360" w:lineRule="auto"/>
        <w:ind w:left="0" w:leftChars="0" w:firstLine="0" w:firstLineChars="0"/>
        <w:rPr>
          <w:rFonts w:ascii="Times New Roman"/>
          <w:color w:val="auto"/>
          <w:highlight w:val="none"/>
        </w:rPr>
      </w:pPr>
    </w:p>
    <w:p w14:paraId="59FFFFF2">
      <w:pPr>
        <w:pStyle w:val="7"/>
        <w:shd w:val="clear" w:color="auto" w:fill="auto"/>
        <w:spacing w:line="360" w:lineRule="auto"/>
        <w:ind w:left="0" w:leftChars="0" w:firstLine="0" w:firstLineChars="0"/>
        <w:rPr>
          <w:rFonts w:ascii="Times New Roman"/>
          <w:color w:val="auto"/>
          <w:highlight w:val="none"/>
        </w:rPr>
      </w:pPr>
    </w:p>
    <w:p w14:paraId="26BA422B">
      <w:pPr>
        <w:pStyle w:val="7"/>
        <w:shd w:val="clear" w:color="auto" w:fill="auto"/>
        <w:spacing w:line="360" w:lineRule="auto"/>
        <w:ind w:left="0" w:leftChars="0" w:firstLine="0" w:firstLineChars="0"/>
        <w:rPr>
          <w:rFonts w:ascii="Times New Roman"/>
          <w:color w:val="auto"/>
          <w:highlight w:val="none"/>
        </w:rPr>
      </w:pPr>
    </w:p>
    <w:p w14:paraId="04D1013C">
      <w:pPr>
        <w:pStyle w:val="7"/>
        <w:shd w:val="clear" w:color="auto" w:fill="auto"/>
        <w:spacing w:line="360" w:lineRule="auto"/>
        <w:ind w:left="0" w:leftChars="0" w:firstLine="0" w:firstLineChars="0"/>
        <w:rPr>
          <w:rFonts w:ascii="Times New Roman"/>
          <w:color w:val="auto"/>
          <w:highlight w:val="none"/>
        </w:rPr>
      </w:pPr>
    </w:p>
    <w:p w14:paraId="330F4AA2">
      <w:pPr>
        <w:pStyle w:val="7"/>
        <w:shd w:val="clear" w:color="auto" w:fill="auto"/>
        <w:spacing w:line="360" w:lineRule="auto"/>
        <w:ind w:left="0" w:leftChars="0" w:firstLine="0" w:firstLineChars="0"/>
        <w:rPr>
          <w:rFonts w:ascii="Times New Roman"/>
          <w:color w:val="auto"/>
          <w:highlight w:val="none"/>
        </w:rPr>
      </w:pPr>
    </w:p>
    <w:p w14:paraId="386FB770">
      <w:pPr>
        <w:pStyle w:val="7"/>
        <w:shd w:val="clear" w:color="auto" w:fill="auto"/>
        <w:spacing w:line="360" w:lineRule="auto"/>
        <w:ind w:left="0" w:leftChars="0" w:firstLine="0" w:firstLineChars="0"/>
        <w:rPr>
          <w:rFonts w:ascii="Times New Roman"/>
          <w:color w:val="auto"/>
          <w:highlight w:val="none"/>
        </w:rPr>
      </w:pPr>
    </w:p>
    <w:p w14:paraId="68AA39F0">
      <w:pPr>
        <w:pStyle w:val="7"/>
        <w:shd w:val="clear" w:color="auto" w:fill="auto"/>
        <w:spacing w:line="360" w:lineRule="auto"/>
        <w:ind w:left="0" w:leftChars="0" w:firstLine="0" w:firstLineChars="0"/>
        <w:rPr>
          <w:rFonts w:ascii="Times New Roman"/>
          <w:color w:val="auto"/>
          <w:highlight w:val="none"/>
        </w:rPr>
      </w:pPr>
    </w:p>
    <w:p w14:paraId="51FC4015">
      <w:pPr>
        <w:pStyle w:val="7"/>
        <w:shd w:val="clear" w:color="auto" w:fill="auto"/>
        <w:spacing w:line="360" w:lineRule="auto"/>
        <w:ind w:left="0" w:leftChars="0" w:firstLine="0" w:firstLineChars="0"/>
        <w:rPr>
          <w:rFonts w:ascii="Times New Roman"/>
          <w:color w:val="auto"/>
          <w:highlight w:val="none"/>
        </w:rPr>
      </w:pPr>
    </w:p>
    <w:p w14:paraId="31B37F0C">
      <w:pPr>
        <w:pStyle w:val="7"/>
        <w:shd w:val="clear" w:color="auto" w:fill="auto"/>
        <w:spacing w:line="360" w:lineRule="auto"/>
        <w:ind w:left="0" w:leftChars="0" w:firstLine="0" w:firstLineChars="0"/>
        <w:rPr>
          <w:rFonts w:ascii="Times New Roman"/>
          <w:color w:val="auto"/>
          <w:highlight w:val="none"/>
        </w:rPr>
      </w:pPr>
    </w:p>
    <w:p w14:paraId="0B73A867">
      <w:pPr>
        <w:pStyle w:val="7"/>
        <w:shd w:val="clear" w:color="auto" w:fill="auto"/>
        <w:spacing w:line="360" w:lineRule="auto"/>
        <w:ind w:left="0" w:leftChars="0" w:firstLine="0" w:firstLineChars="0"/>
        <w:rPr>
          <w:rFonts w:ascii="Times New Roman"/>
          <w:color w:val="auto"/>
          <w:highlight w:val="none"/>
        </w:rPr>
      </w:pPr>
    </w:p>
    <w:p w14:paraId="03580F09">
      <w:pPr>
        <w:pStyle w:val="7"/>
        <w:shd w:val="clear" w:color="auto" w:fill="auto"/>
        <w:spacing w:line="360" w:lineRule="auto"/>
        <w:ind w:left="0" w:leftChars="0" w:firstLine="0" w:firstLineChars="0"/>
        <w:rPr>
          <w:rFonts w:ascii="Times New Roman"/>
          <w:color w:val="auto"/>
          <w:highlight w:val="none"/>
        </w:rPr>
      </w:pPr>
    </w:p>
    <w:p w14:paraId="12BC2556">
      <w:pPr>
        <w:pStyle w:val="7"/>
        <w:shd w:val="clear" w:color="auto" w:fill="auto"/>
        <w:spacing w:line="360" w:lineRule="auto"/>
        <w:ind w:left="0" w:leftChars="0" w:firstLine="0" w:firstLineChars="0"/>
        <w:rPr>
          <w:rFonts w:ascii="Times New Roman"/>
          <w:color w:val="auto"/>
          <w:highlight w:val="none"/>
        </w:rPr>
      </w:pPr>
    </w:p>
    <w:p w14:paraId="6CE2928F">
      <w:pPr>
        <w:pStyle w:val="7"/>
        <w:shd w:val="clear" w:color="auto" w:fill="auto"/>
        <w:spacing w:line="360" w:lineRule="auto"/>
        <w:ind w:left="0" w:leftChars="0" w:firstLine="0" w:firstLineChars="0"/>
        <w:rPr>
          <w:rFonts w:ascii="Times New Roman"/>
          <w:color w:val="auto"/>
          <w:highlight w:val="none"/>
        </w:rPr>
      </w:pPr>
    </w:p>
    <w:p w14:paraId="464EE2AE">
      <w:pPr>
        <w:pStyle w:val="7"/>
        <w:shd w:val="clear" w:color="auto" w:fill="auto"/>
        <w:spacing w:line="360" w:lineRule="auto"/>
        <w:ind w:left="0" w:leftChars="0" w:firstLine="0" w:firstLineChars="0"/>
        <w:rPr>
          <w:rFonts w:ascii="Times New Roman"/>
          <w:color w:val="auto"/>
          <w:highlight w:val="none"/>
        </w:rPr>
      </w:pPr>
    </w:p>
    <w:p w14:paraId="55BDC5CF">
      <w:pPr>
        <w:pStyle w:val="6"/>
        <w:shd w:val="clear" w:color="auto" w:fill="auto"/>
        <w:ind w:firstLine="0" w:firstLineChars="0"/>
        <w:jc w:val="center"/>
        <w:rPr>
          <w:rFonts w:ascii="Times New Roman" w:hAnsi="Times New Roman" w:eastAsia="仿宋_GB2312"/>
          <w:color w:val="auto"/>
          <w:sz w:val="32"/>
          <w:szCs w:val="32"/>
          <w:highlight w:val="none"/>
        </w:rPr>
      </w:pPr>
      <w:bookmarkStart w:id="491" w:name="_Toc23874"/>
      <w:bookmarkStart w:id="492" w:name="_Toc60929150"/>
      <w:bookmarkStart w:id="493" w:name="_Toc62194361"/>
      <w:bookmarkStart w:id="494" w:name="_Toc60928918"/>
      <w:r>
        <w:rPr>
          <w:rFonts w:ascii="Times New Roman" w:hAnsi="Times New Roman" w:eastAsia="仿宋_GB2312"/>
          <w:color w:val="auto"/>
          <w:sz w:val="32"/>
          <w:szCs w:val="32"/>
          <w:highlight w:val="none"/>
        </w:rPr>
        <w:t>业绩一览表</w:t>
      </w:r>
      <w:bookmarkEnd w:id="491"/>
      <w:bookmarkEnd w:id="492"/>
      <w:bookmarkEnd w:id="493"/>
      <w:bookmarkEnd w:id="494"/>
    </w:p>
    <w:p w14:paraId="26F20E5D">
      <w:pPr>
        <w:shd w:val="clear" w:color="auto" w:fill="auto"/>
        <w:rPr>
          <w:rFonts w:eastAsia="仿宋"/>
          <w:color w:val="auto"/>
          <w:sz w:val="24"/>
          <w:highlight w:val="none"/>
          <w:u w:val="single"/>
        </w:rPr>
      </w:pPr>
    </w:p>
    <w:tbl>
      <w:tblPr>
        <w:tblStyle w:val="36"/>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48"/>
        <w:gridCol w:w="1980"/>
        <w:gridCol w:w="1800"/>
        <w:gridCol w:w="1441"/>
        <w:gridCol w:w="2700"/>
      </w:tblGrid>
      <w:tr w14:paraId="546BA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431673EC">
            <w:pPr>
              <w:shd w:val="clear" w:color="auto" w:fill="auto"/>
              <w:jc w:val="center"/>
              <w:rPr>
                <w:rFonts w:eastAsia="黑体"/>
                <w:color w:val="auto"/>
                <w:sz w:val="24"/>
                <w:highlight w:val="none"/>
              </w:rPr>
            </w:pPr>
            <w:r>
              <w:rPr>
                <w:rFonts w:eastAsia="黑体"/>
                <w:color w:val="auto"/>
                <w:sz w:val="24"/>
                <w:highlight w:val="none"/>
              </w:rPr>
              <w:t>序号</w:t>
            </w:r>
          </w:p>
        </w:tc>
        <w:tc>
          <w:tcPr>
            <w:tcW w:w="1980" w:type="dxa"/>
            <w:noWrap w:val="0"/>
            <w:vAlign w:val="center"/>
          </w:tcPr>
          <w:p w14:paraId="66F0380D">
            <w:pPr>
              <w:shd w:val="clear" w:color="auto" w:fill="auto"/>
              <w:jc w:val="center"/>
              <w:rPr>
                <w:rFonts w:eastAsia="黑体"/>
                <w:color w:val="auto"/>
                <w:sz w:val="24"/>
                <w:highlight w:val="none"/>
              </w:rPr>
            </w:pPr>
            <w:r>
              <w:rPr>
                <w:rFonts w:eastAsia="黑体"/>
                <w:color w:val="auto"/>
                <w:sz w:val="24"/>
                <w:highlight w:val="none"/>
              </w:rPr>
              <w:t>项目名称</w:t>
            </w:r>
          </w:p>
        </w:tc>
        <w:tc>
          <w:tcPr>
            <w:tcW w:w="1800" w:type="dxa"/>
            <w:tcBorders>
              <w:left w:val="single" w:color="auto" w:sz="4" w:space="0"/>
              <w:right w:val="single" w:color="auto" w:sz="4" w:space="0"/>
            </w:tcBorders>
            <w:noWrap w:val="0"/>
            <w:vAlign w:val="center"/>
          </w:tcPr>
          <w:p w14:paraId="78175549">
            <w:pPr>
              <w:shd w:val="clear" w:color="auto" w:fill="auto"/>
              <w:jc w:val="center"/>
              <w:rPr>
                <w:rFonts w:eastAsia="黑体"/>
                <w:color w:val="auto"/>
                <w:sz w:val="24"/>
                <w:highlight w:val="none"/>
              </w:rPr>
            </w:pPr>
            <w:r>
              <w:rPr>
                <w:rFonts w:eastAsia="黑体"/>
                <w:color w:val="auto"/>
                <w:sz w:val="24"/>
                <w:highlight w:val="none"/>
              </w:rPr>
              <w:t>合同金额（万元）</w:t>
            </w:r>
          </w:p>
        </w:tc>
        <w:tc>
          <w:tcPr>
            <w:tcW w:w="1441" w:type="dxa"/>
            <w:noWrap w:val="0"/>
            <w:vAlign w:val="center"/>
          </w:tcPr>
          <w:p w14:paraId="242546DB">
            <w:pPr>
              <w:shd w:val="clear" w:color="auto" w:fill="auto"/>
              <w:jc w:val="center"/>
              <w:rPr>
                <w:rFonts w:eastAsia="黑体"/>
                <w:color w:val="auto"/>
                <w:sz w:val="24"/>
                <w:highlight w:val="none"/>
              </w:rPr>
            </w:pPr>
            <w:r>
              <w:rPr>
                <w:rFonts w:eastAsia="黑体"/>
                <w:color w:val="auto"/>
                <w:sz w:val="24"/>
                <w:highlight w:val="none"/>
              </w:rPr>
              <w:t>完成日期</w:t>
            </w:r>
          </w:p>
        </w:tc>
        <w:tc>
          <w:tcPr>
            <w:tcW w:w="2700" w:type="dxa"/>
            <w:noWrap w:val="0"/>
            <w:vAlign w:val="center"/>
          </w:tcPr>
          <w:p w14:paraId="4118E5E1">
            <w:pPr>
              <w:shd w:val="clear" w:color="auto" w:fill="auto"/>
              <w:jc w:val="center"/>
              <w:rPr>
                <w:rFonts w:eastAsia="黑体"/>
                <w:color w:val="auto"/>
                <w:sz w:val="24"/>
                <w:highlight w:val="none"/>
              </w:rPr>
            </w:pPr>
            <w:r>
              <w:rPr>
                <w:rFonts w:eastAsia="黑体"/>
                <w:color w:val="auto"/>
                <w:sz w:val="24"/>
                <w:highlight w:val="none"/>
              </w:rPr>
              <w:t>业主名称、联系人及电话</w:t>
            </w:r>
          </w:p>
        </w:tc>
      </w:tr>
      <w:tr w14:paraId="1E3433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46A8BAD4">
            <w:pPr>
              <w:shd w:val="clear" w:color="auto" w:fill="auto"/>
              <w:jc w:val="center"/>
              <w:rPr>
                <w:rFonts w:eastAsia="仿宋"/>
                <w:color w:val="auto"/>
                <w:sz w:val="24"/>
                <w:highlight w:val="none"/>
              </w:rPr>
            </w:pPr>
            <w:r>
              <w:rPr>
                <w:rFonts w:eastAsia="仿宋"/>
                <w:color w:val="auto"/>
                <w:sz w:val="24"/>
                <w:highlight w:val="none"/>
              </w:rPr>
              <w:t>1</w:t>
            </w:r>
          </w:p>
        </w:tc>
        <w:tc>
          <w:tcPr>
            <w:tcW w:w="1980" w:type="dxa"/>
            <w:noWrap w:val="0"/>
            <w:vAlign w:val="center"/>
          </w:tcPr>
          <w:p w14:paraId="4E6C4FCA">
            <w:pPr>
              <w:shd w:val="clear" w:color="auto" w:fill="auto"/>
              <w:jc w:val="center"/>
              <w:rPr>
                <w:rFonts w:eastAsia="仿宋"/>
                <w:color w:val="auto"/>
                <w:sz w:val="24"/>
                <w:highlight w:val="none"/>
              </w:rPr>
            </w:pPr>
          </w:p>
        </w:tc>
        <w:tc>
          <w:tcPr>
            <w:tcW w:w="1800" w:type="dxa"/>
            <w:tcBorders>
              <w:left w:val="single" w:color="auto" w:sz="4" w:space="0"/>
              <w:right w:val="single" w:color="auto" w:sz="4" w:space="0"/>
            </w:tcBorders>
            <w:noWrap w:val="0"/>
            <w:vAlign w:val="center"/>
          </w:tcPr>
          <w:p w14:paraId="49411652">
            <w:pPr>
              <w:shd w:val="clear" w:color="auto" w:fill="auto"/>
              <w:jc w:val="center"/>
              <w:rPr>
                <w:rFonts w:eastAsia="仿宋"/>
                <w:color w:val="auto"/>
                <w:sz w:val="24"/>
                <w:highlight w:val="none"/>
              </w:rPr>
            </w:pPr>
          </w:p>
        </w:tc>
        <w:tc>
          <w:tcPr>
            <w:tcW w:w="1441" w:type="dxa"/>
            <w:noWrap w:val="0"/>
            <w:vAlign w:val="center"/>
          </w:tcPr>
          <w:p w14:paraId="2E4EA625">
            <w:pPr>
              <w:shd w:val="clear" w:color="auto" w:fill="auto"/>
              <w:jc w:val="center"/>
              <w:rPr>
                <w:rFonts w:eastAsia="仿宋"/>
                <w:color w:val="auto"/>
                <w:sz w:val="24"/>
                <w:highlight w:val="none"/>
              </w:rPr>
            </w:pPr>
          </w:p>
        </w:tc>
        <w:tc>
          <w:tcPr>
            <w:tcW w:w="2700" w:type="dxa"/>
            <w:noWrap w:val="0"/>
            <w:vAlign w:val="top"/>
          </w:tcPr>
          <w:p w14:paraId="1CC68F92">
            <w:pPr>
              <w:shd w:val="clear" w:color="auto" w:fill="auto"/>
              <w:jc w:val="center"/>
              <w:rPr>
                <w:rFonts w:eastAsia="仿宋"/>
                <w:color w:val="auto"/>
                <w:sz w:val="24"/>
                <w:highlight w:val="none"/>
              </w:rPr>
            </w:pPr>
          </w:p>
        </w:tc>
      </w:tr>
      <w:tr w14:paraId="3E6299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45507362">
            <w:pPr>
              <w:shd w:val="clear" w:color="auto" w:fill="auto"/>
              <w:jc w:val="center"/>
              <w:rPr>
                <w:rFonts w:eastAsia="仿宋"/>
                <w:color w:val="auto"/>
                <w:sz w:val="24"/>
                <w:highlight w:val="none"/>
              </w:rPr>
            </w:pPr>
            <w:r>
              <w:rPr>
                <w:rFonts w:eastAsia="仿宋"/>
                <w:color w:val="auto"/>
                <w:sz w:val="24"/>
                <w:highlight w:val="none"/>
              </w:rPr>
              <w:t>2</w:t>
            </w:r>
          </w:p>
        </w:tc>
        <w:tc>
          <w:tcPr>
            <w:tcW w:w="1980" w:type="dxa"/>
            <w:noWrap w:val="0"/>
            <w:vAlign w:val="center"/>
          </w:tcPr>
          <w:p w14:paraId="6FA7059F">
            <w:pPr>
              <w:shd w:val="clear" w:color="auto" w:fill="auto"/>
              <w:jc w:val="center"/>
              <w:rPr>
                <w:rFonts w:eastAsia="仿宋"/>
                <w:color w:val="auto"/>
                <w:sz w:val="24"/>
                <w:highlight w:val="none"/>
              </w:rPr>
            </w:pPr>
          </w:p>
        </w:tc>
        <w:tc>
          <w:tcPr>
            <w:tcW w:w="1800" w:type="dxa"/>
            <w:tcBorders>
              <w:left w:val="single" w:color="auto" w:sz="4" w:space="0"/>
              <w:right w:val="single" w:color="auto" w:sz="4" w:space="0"/>
            </w:tcBorders>
            <w:noWrap w:val="0"/>
            <w:vAlign w:val="center"/>
          </w:tcPr>
          <w:p w14:paraId="259EAFC7">
            <w:pPr>
              <w:shd w:val="clear" w:color="auto" w:fill="auto"/>
              <w:jc w:val="center"/>
              <w:rPr>
                <w:rFonts w:eastAsia="仿宋"/>
                <w:color w:val="auto"/>
                <w:sz w:val="24"/>
                <w:highlight w:val="none"/>
              </w:rPr>
            </w:pPr>
          </w:p>
        </w:tc>
        <w:tc>
          <w:tcPr>
            <w:tcW w:w="1441" w:type="dxa"/>
            <w:noWrap w:val="0"/>
            <w:vAlign w:val="center"/>
          </w:tcPr>
          <w:p w14:paraId="1E4325D1">
            <w:pPr>
              <w:shd w:val="clear" w:color="auto" w:fill="auto"/>
              <w:jc w:val="center"/>
              <w:rPr>
                <w:rFonts w:eastAsia="仿宋"/>
                <w:color w:val="auto"/>
                <w:sz w:val="24"/>
                <w:highlight w:val="none"/>
              </w:rPr>
            </w:pPr>
          </w:p>
        </w:tc>
        <w:tc>
          <w:tcPr>
            <w:tcW w:w="2700" w:type="dxa"/>
            <w:noWrap w:val="0"/>
            <w:vAlign w:val="top"/>
          </w:tcPr>
          <w:p w14:paraId="7DA69356">
            <w:pPr>
              <w:shd w:val="clear" w:color="auto" w:fill="auto"/>
              <w:jc w:val="center"/>
              <w:rPr>
                <w:rFonts w:eastAsia="仿宋"/>
                <w:color w:val="auto"/>
                <w:sz w:val="24"/>
                <w:highlight w:val="none"/>
              </w:rPr>
            </w:pPr>
          </w:p>
        </w:tc>
      </w:tr>
      <w:tr w14:paraId="3E0987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33404053">
            <w:pPr>
              <w:shd w:val="clear" w:color="auto" w:fill="auto"/>
              <w:jc w:val="center"/>
              <w:rPr>
                <w:rFonts w:eastAsia="仿宋"/>
                <w:color w:val="auto"/>
                <w:sz w:val="24"/>
                <w:highlight w:val="none"/>
              </w:rPr>
            </w:pPr>
            <w:r>
              <w:rPr>
                <w:rFonts w:eastAsia="仿宋"/>
                <w:color w:val="auto"/>
                <w:sz w:val="24"/>
                <w:highlight w:val="none"/>
              </w:rPr>
              <w:t>3</w:t>
            </w:r>
          </w:p>
        </w:tc>
        <w:tc>
          <w:tcPr>
            <w:tcW w:w="1980" w:type="dxa"/>
            <w:noWrap w:val="0"/>
            <w:vAlign w:val="center"/>
          </w:tcPr>
          <w:p w14:paraId="5AA7C893">
            <w:pPr>
              <w:shd w:val="clear" w:color="auto" w:fill="auto"/>
              <w:jc w:val="center"/>
              <w:rPr>
                <w:rFonts w:eastAsia="仿宋"/>
                <w:color w:val="auto"/>
                <w:sz w:val="24"/>
                <w:highlight w:val="none"/>
              </w:rPr>
            </w:pPr>
          </w:p>
        </w:tc>
        <w:tc>
          <w:tcPr>
            <w:tcW w:w="1800" w:type="dxa"/>
            <w:tcBorders>
              <w:left w:val="single" w:color="auto" w:sz="4" w:space="0"/>
              <w:right w:val="single" w:color="auto" w:sz="4" w:space="0"/>
            </w:tcBorders>
            <w:noWrap w:val="0"/>
            <w:vAlign w:val="center"/>
          </w:tcPr>
          <w:p w14:paraId="4DE959E5">
            <w:pPr>
              <w:shd w:val="clear" w:color="auto" w:fill="auto"/>
              <w:jc w:val="center"/>
              <w:rPr>
                <w:rFonts w:eastAsia="仿宋"/>
                <w:color w:val="auto"/>
                <w:sz w:val="24"/>
                <w:highlight w:val="none"/>
              </w:rPr>
            </w:pPr>
          </w:p>
        </w:tc>
        <w:tc>
          <w:tcPr>
            <w:tcW w:w="1441" w:type="dxa"/>
            <w:noWrap w:val="0"/>
            <w:vAlign w:val="center"/>
          </w:tcPr>
          <w:p w14:paraId="7CD37C98">
            <w:pPr>
              <w:shd w:val="clear" w:color="auto" w:fill="auto"/>
              <w:jc w:val="center"/>
              <w:rPr>
                <w:rFonts w:eastAsia="仿宋"/>
                <w:color w:val="auto"/>
                <w:sz w:val="24"/>
                <w:highlight w:val="none"/>
              </w:rPr>
            </w:pPr>
          </w:p>
        </w:tc>
        <w:tc>
          <w:tcPr>
            <w:tcW w:w="2700" w:type="dxa"/>
            <w:noWrap w:val="0"/>
            <w:vAlign w:val="top"/>
          </w:tcPr>
          <w:p w14:paraId="00245872">
            <w:pPr>
              <w:shd w:val="clear" w:color="auto" w:fill="auto"/>
              <w:jc w:val="center"/>
              <w:rPr>
                <w:rFonts w:eastAsia="仿宋"/>
                <w:color w:val="auto"/>
                <w:sz w:val="24"/>
                <w:highlight w:val="none"/>
              </w:rPr>
            </w:pPr>
          </w:p>
        </w:tc>
      </w:tr>
      <w:tr w14:paraId="1B6B19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08543D8D">
            <w:pPr>
              <w:shd w:val="clear" w:color="auto" w:fill="auto"/>
              <w:jc w:val="center"/>
              <w:rPr>
                <w:rFonts w:eastAsia="仿宋"/>
                <w:color w:val="auto"/>
                <w:sz w:val="24"/>
                <w:highlight w:val="none"/>
              </w:rPr>
            </w:pPr>
            <w:r>
              <w:rPr>
                <w:rFonts w:eastAsia="仿宋"/>
                <w:color w:val="auto"/>
                <w:sz w:val="24"/>
                <w:highlight w:val="none"/>
              </w:rPr>
              <w:t>4</w:t>
            </w:r>
          </w:p>
        </w:tc>
        <w:tc>
          <w:tcPr>
            <w:tcW w:w="1980" w:type="dxa"/>
            <w:noWrap w:val="0"/>
            <w:vAlign w:val="center"/>
          </w:tcPr>
          <w:p w14:paraId="66EA55E7">
            <w:pPr>
              <w:shd w:val="clear" w:color="auto" w:fill="auto"/>
              <w:jc w:val="center"/>
              <w:rPr>
                <w:rFonts w:eastAsia="仿宋"/>
                <w:color w:val="auto"/>
                <w:sz w:val="24"/>
                <w:highlight w:val="none"/>
              </w:rPr>
            </w:pPr>
          </w:p>
        </w:tc>
        <w:tc>
          <w:tcPr>
            <w:tcW w:w="1800" w:type="dxa"/>
            <w:tcBorders>
              <w:left w:val="single" w:color="auto" w:sz="4" w:space="0"/>
              <w:right w:val="single" w:color="auto" w:sz="4" w:space="0"/>
            </w:tcBorders>
            <w:noWrap w:val="0"/>
            <w:vAlign w:val="center"/>
          </w:tcPr>
          <w:p w14:paraId="598E6274">
            <w:pPr>
              <w:shd w:val="clear" w:color="auto" w:fill="auto"/>
              <w:jc w:val="center"/>
              <w:rPr>
                <w:rFonts w:eastAsia="仿宋"/>
                <w:color w:val="auto"/>
                <w:sz w:val="24"/>
                <w:highlight w:val="none"/>
              </w:rPr>
            </w:pPr>
          </w:p>
        </w:tc>
        <w:tc>
          <w:tcPr>
            <w:tcW w:w="1441" w:type="dxa"/>
            <w:noWrap w:val="0"/>
            <w:vAlign w:val="center"/>
          </w:tcPr>
          <w:p w14:paraId="71D634FB">
            <w:pPr>
              <w:shd w:val="clear" w:color="auto" w:fill="auto"/>
              <w:jc w:val="center"/>
              <w:rPr>
                <w:rFonts w:eastAsia="仿宋"/>
                <w:color w:val="auto"/>
                <w:sz w:val="24"/>
                <w:highlight w:val="none"/>
              </w:rPr>
            </w:pPr>
          </w:p>
        </w:tc>
        <w:tc>
          <w:tcPr>
            <w:tcW w:w="2700" w:type="dxa"/>
            <w:noWrap w:val="0"/>
            <w:vAlign w:val="top"/>
          </w:tcPr>
          <w:p w14:paraId="5BBF695C">
            <w:pPr>
              <w:shd w:val="clear" w:color="auto" w:fill="auto"/>
              <w:jc w:val="center"/>
              <w:rPr>
                <w:rFonts w:eastAsia="仿宋"/>
                <w:color w:val="auto"/>
                <w:sz w:val="24"/>
                <w:highlight w:val="none"/>
              </w:rPr>
            </w:pPr>
          </w:p>
        </w:tc>
      </w:tr>
      <w:tr w14:paraId="6F13E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41667A48">
            <w:pPr>
              <w:shd w:val="clear" w:color="auto" w:fill="auto"/>
              <w:jc w:val="center"/>
              <w:rPr>
                <w:rFonts w:eastAsia="仿宋"/>
                <w:color w:val="auto"/>
                <w:sz w:val="24"/>
                <w:highlight w:val="none"/>
              </w:rPr>
            </w:pPr>
            <w:r>
              <w:rPr>
                <w:rFonts w:eastAsia="仿宋"/>
                <w:color w:val="auto"/>
                <w:sz w:val="24"/>
                <w:highlight w:val="none"/>
              </w:rPr>
              <w:t>5</w:t>
            </w:r>
          </w:p>
        </w:tc>
        <w:tc>
          <w:tcPr>
            <w:tcW w:w="1980" w:type="dxa"/>
            <w:noWrap w:val="0"/>
            <w:vAlign w:val="center"/>
          </w:tcPr>
          <w:p w14:paraId="05273E98">
            <w:pPr>
              <w:shd w:val="clear" w:color="auto" w:fill="auto"/>
              <w:jc w:val="center"/>
              <w:rPr>
                <w:rFonts w:eastAsia="仿宋"/>
                <w:color w:val="auto"/>
                <w:sz w:val="24"/>
                <w:highlight w:val="none"/>
              </w:rPr>
            </w:pPr>
          </w:p>
        </w:tc>
        <w:tc>
          <w:tcPr>
            <w:tcW w:w="1800" w:type="dxa"/>
            <w:tcBorders>
              <w:left w:val="single" w:color="auto" w:sz="4" w:space="0"/>
              <w:right w:val="single" w:color="auto" w:sz="4" w:space="0"/>
            </w:tcBorders>
            <w:noWrap w:val="0"/>
            <w:vAlign w:val="center"/>
          </w:tcPr>
          <w:p w14:paraId="3491E4CE">
            <w:pPr>
              <w:shd w:val="clear" w:color="auto" w:fill="auto"/>
              <w:jc w:val="center"/>
              <w:rPr>
                <w:rFonts w:eastAsia="仿宋"/>
                <w:color w:val="auto"/>
                <w:sz w:val="24"/>
                <w:highlight w:val="none"/>
              </w:rPr>
            </w:pPr>
          </w:p>
        </w:tc>
        <w:tc>
          <w:tcPr>
            <w:tcW w:w="1441" w:type="dxa"/>
            <w:noWrap w:val="0"/>
            <w:vAlign w:val="center"/>
          </w:tcPr>
          <w:p w14:paraId="2FC58E9A">
            <w:pPr>
              <w:shd w:val="clear" w:color="auto" w:fill="auto"/>
              <w:jc w:val="center"/>
              <w:rPr>
                <w:rFonts w:eastAsia="仿宋"/>
                <w:color w:val="auto"/>
                <w:sz w:val="24"/>
                <w:highlight w:val="none"/>
              </w:rPr>
            </w:pPr>
          </w:p>
        </w:tc>
        <w:tc>
          <w:tcPr>
            <w:tcW w:w="2700" w:type="dxa"/>
            <w:noWrap w:val="0"/>
            <w:vAlign w:val="top"/>
          </w:tcPr>
          <w:p w14:paraId="727BEFD7">
            <w:pPr>
              <w:shd w:val="clear" w:color="auto" w:fill="auto"/>
              <w:jc w:val="center"/>
              <w:rPr>
                <w:rFonts w:eastAsia="仿宋"/>
                <w:color w:val="auto"/>
                <w:sz w:val="24"/>
                <w:highlight w:val="none"/>
              </w:rPr>
            </w:pPr>
          </w:p>
        </w:tc>
      </w:tr>
      <w:tr w14:paraId="37DB78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41FE34BA">
            <w:pPr>
              <w:shd w:val="clear" w:color="auto" w:fill="auto"/>
              <w:jc w:val="center"/>
              <w:rPr>
                <w:rFonts w:eastAsia="仿宋"/>
                <w:color w:val="auto"/>
                <w:sz w:val="24"/>
                <w:highlight w:val="none"/>
              </w:rPr>
            </w:pPr>
            <w:r>
              <w:rPr>
                <w:rFonts w:eastAsia="仿宋"/>
                <w:color w:val="auto"/>
                <w:sz w:val="24"/>
                <w:highlight w:val="none"/>
              </w:rPr>
              <w:t>…</w:t>
            </w:r>
          </w:p>
        </w:tc>
        <w:tc>
          <w:tcPr>
            <w:tcW w:w="1980" w:type="dxa"/>
            <w:noWrap w:val="0"/>
            <w:vAlign w:val="center"/>
          </w:tcPr>
          <w:p w14:paraId="75508059">
            <w:pPr>
              <w:shd w:val="clear" w:color="auto" w:fill="auto"/>
              <w:jc w:val="center"/>
              <w:rPr>
                <w:rFonts w:eastAsia="仿宋"/>
                <w:color w:val="auto"/>
                <w:sz w:val="24"/>
                <w:highlight w:val="none"/>
              </w:rPr>
            </w:pPr>
          </w:p>
        </w:tc>
        <w:tc>
          <w:tcPr>
            <w:tcW w:w="1800" w:type="dxa"/>
            <w:tcBorders>
              <w:left w:val="single" w:color="auto" w:sz="4" w:space="0"/>
              <w:right w:val="single" w:color="auto" w:sz="4" w:space="0"/>
            </w:tcBorders>
            <w:noWrap w:val="0"/>
            <w:vAlign w:val="center"/>
          </w:tcPr>
          <w:p w14:paraId="4168828B">
            <w:pPr>
              <w:shd w:val="clear" w:color="auto" w:fill="auto"/>
              <w:jc w:val="center"/>
              <w:rPr>
                <w:rFonts w:eastAsia="仿宋"/>
                <w:color w:val="auto"/>
                <w:sz w:val="24"/>
                <w:highlight w:val="none"/>
              </w:rPr>
            </w:pPr>
          </w:p>
        </w:tc>
        <w:tc>
          <w:tcPr>
            <w:tcW w:w="1441" w:type="dxa"/>
            <w:noWrap w:val="0"/>
            <w:vAlign w:val="center"/>
          </w:tcPr>
          <w:p w14:paraId="203E4570">
            <w:pPr>
              <w:shd w:val="clear" w:color="auto" w:fill="auto"/>
              <w:jc w:val="center"/>
              <w:rPr>
                <w:rFonts w:eastAsia="仿宋"/>
                <w:color w:val="auto"/>
                <w:sz w:val="24"/>
                <w:highlight w:val="none"/>
              </w:rPr>
            </w:pPr>
          </w:p>
        </w:tc>
        <w:tc>
          <w:tcPr>
            <w:tcW w:w="2700" w:type="dxa"/>
            <w:noWrap w:val="0"/>
            <w:vAlign w:val="top"/>
          </w:tcPr>
          <w:p w14:paraId="7A49A348">
            <w:pPr>
              <w:shd w:val="clear" w:color="auto" w:fill="auto"/>
              <w:jc w:val="center"/>
              <w:rPr>
                <w:rFonts w:eastAsia="仿宋"/>
                <w:color w:val="auto"/>
                <w:sz w:val="24"/>
                <w:highlight w:val="none"/>
              </w:rPr>
            </w:pPr>
          </w:p>
        </w:tc>
      </w:tr>
      <w:tr w14:paraId="46A925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4E13A01F">
            <w:pPr>
              <w:shd w:val="clear" w:color="auto" w:fill="auto"/>
              <w:jc w:val="center"/>
              <w:rPr>
                <w:rFonts w:eastAsia="仿宋"/>
                <w:color w:val="auto"/>
                <w:sz w:val="24"/>
                <w:highlight w:val="none"/>
              </w:rPr>
            </w:pPr>
          </w:p>
        </w:tc>
        <w:tc>
          <w:tcPr>
            <w:tcW w:w="1980" w:type="dxa"/>
            <w:noWrap w:val="0"/>
            <w:vAlign w:val="center"/>
          </w:tcPr>
          <w:p w14:paraId="1BB900B6">
            <w:pPr>
              <w:shd w:val="clear" w:color="auto" w:fill="auto"/>
              <w:jc w:val="center"/>
              <w:rPr>
                <w:rFonts w:eastAsia="仿宋"/>
                <w:color w:val="auto"/>
                <w:sz w:val="24"/>
                <w:highlight w:val="none"/>
              </w:rPr>
            </w:pPr>
          </w:p>
        </w:tc>
        <w:tc>
          <w:tcPr>
            <w:tcW w:w="1800" w:type="dxa"/>
            <w:tcBorders>
              <w:left w:val="single" w:color="auto" w:sz="4" w:space="0"/>
              <w:right w:val="single" w:color="auto" w:sz="4" w:space="0"/>
            </w:tcBorders>
            <w:noWrap w:val="0"/>
            <w:vAlign w:val="center"/>
          </w:tcPr>
          <w:p w14:paraId="18376A64">
            <w:pPr>
              <w:shd w:val="clear" w:color="auto" w:fill="auto"/>
              <w:jc w:val="center"/>
              <w:rPr>
                <w:rFonts w:eastAsia="仿宋"/>
                <w:color w:val="auto"/>
                <w:sz w:val="24"/>
                <w:highlight w:val="none"/>
              </w:rPr>
            </w:pPr>
          </w:p>
        </w:tc>
        <w:tc>
          <w:tcPr>
            <w:tcW w:w="1441" w:type="dxa"/>
            <w:noWrap w:val="0"/>
            <w:vAlign w:val="center"/>
          </w:tcPr>
          <w:p w14:paraId="1CB5DE3A">
            <w:pPr>
              <w:shd w:val="clear" w:color="auto" w:fill="auto"/>
              <w:jc w:val="center"/>
              <w:rPr>
                <w:rFonts w:eastAsia="仿宋"/>
                <w:color w:val="auto"/>
                <w:sz w:val="24"/>
                <w:highlight w:val="none"/>
              </w:rPr>
            </w:pPr>
          </w:p>
        </w:tc>
        <w:tc>
          <w:tcPr>
            <w:tcW w:w="2700" w:type="dxa"/>
            <w:noWrap w:val="0"/>
            <w:vAlign w:val="top"/>
          </w:tcPr>
          <w:p w14:paraId="48A78CA9">
            <w:pPr>
              <w:shd w:val="clear" w:color="auto" w:fill="auto"/>
              <w:jc w:val="center"/>
              <w:rPr>
                <w:rFonts w:eastAsia="仿宋"/>
                <w:color w:val="auto"/>
                <w:sz w:val="24"/>
                <w:highlight w:val="none"/>
              </w:rPr>
            </w:pPr>
          </w:p>
        </w:tc>
      </w:tr>
      <w:tr w14:paraId="6091A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0DBF6A50">
            <w:pPr>
              <w:shd w:val="clear" w:color="auto" w:fill="auto"/>
              <w:jc w:val="center"/>
              <w:rPr>
                <w:rFonts w:eastAsia="仿宋"/>
                <w:color w:val="auto"/>
                <w:sz w:val="24"/>
                <w:highlight w:val="none"/>
              </w:rPr>
            </w:pPr>
          </w:p>
        </w:tc>
        <w:tc>
          <w:tcPr>
            <w:tcW w:w="1980" w:type="dxa"/>
            <w:noWrap w:val="0"/>
            <w:vAlign w:val="center"/>
          </w:tcPr>
          <w:p w14:paraId="2F1872ED">
            <w:pPr>
              <w:shd w:val="clear" w:color="auto" w:fill="auto"/>
              <w:jc w:val="center"/>
              <w:rPr>
                <w:rFonts w:eastAsia="仿宋"/>
                <w:color w:val="auto"/>
                <w:sz w:val="24"/>
                <w:highlight w:val="none"/>
              </w:rPr>
            </w:pPr>
          </w:p>
        </w:tc>
        <w:tc>
          <w:tcPr>
            <w:tcW w:w="1800" w:type="dxa"/>
            <w:tcBorders>
              <w:left w:val="single" w:color="auto" w:sz="4" w:space="0"/>
              <w:right w:val="single" w:color="auto" w:sz="4" w:space="0"/>
            </w:tcBorders>
            <w:noWrap w:val="0"/>
            <w:vAlign w:val="center"/>
          </w:tcPr>
          <w:p w14:paraId="052F20BF">
            <w:pPr>
              <w:shd w:val="clear" w:color="auto" w:fill="auto"/>
              <w:jc w:val="center"/>
              <w:rPr>
                <w:rFonts w:eastAsia="仿宋"/>
                <w:color w:val="auto"/>
                <w:sz w:val="24"/>
                <w:highlight w:val="none"/>
              </w:rPr>
            </w:pPr>
          </w:p>
        </w:tc>
        <w:tc>
          <w:tcPr>
            <w:tcW w:w="1441" w:type="dxa"/>
            <w:noWrap w:val="0"/>
            <w:vAlign w:val="center"/>
          </w:tcPr>
          <w:p w14:paraId="62CE7614">
            <w:pPr>
              <w:shd w:val="clear" w:color="auto" w:fill="auto"/>
              <w:jc w:val="center"/>
              <w:rPr>
                <w:rFonts w:eastAsia="仿宋"/>
                <w:color w:val="auto"/>
                <w:sz w:val="24"/>
                <w:highlight w:val="none"/>
              </w:rPr>
            </w:pPr>
          </w:p>
        </w:tc>
        <w:tc>
          <w:tcPr>
            <w:tcW w:w="2700" w:type="dxa"/>
            <w:noWrap w:val="0"/>
            <w:vAlign w:val="top"/>
          </w:tcPr>
          <w:p w14:paraId="4F6571EB">
            <w:pPr>
              <w:shd w:val="clear" w:color="auto" w:fill="auto"/>
              <w:jc w:val="center"/>
              <w:rPr>
                <w:rFonts w:eastAsia="仿宋"/>
                <w:color w:val="auto"/>
                <w:sz w:val="24"/>
                <w:highlight w:val="none"/>
              </w:rPr>
            </w:pPr>
          </w:p>
        </w:tc>
      </w:tr>
      <w:tr w14:paraId="3EC7FE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2F5EE794">
            <w:pPr>
              <w:shd w:val="clear" w:color="auto" w:fill="auto"/>
              <w:jc w:val="center"/>
              <w:rPr>
                <w:rFonts w:eastAsia="仿宋"/>
                <w:color w:val="auto"/>
                <w:sz w:val="24"/>
                <w:highlight w:val="none"/>
              </w:rPr>
            </w:pPr>
          </w:p>
        </w:tc>
        <w:tc>
          <w:tcPr>
            <w:tcW w:w="1980" w:type="dxa"/>
            <w:noWrap w:val="0"/>
            <w:vAlign w:val="center"/>
          </w:tcPr>
          <w:p w14:paraId="699896C6">
            <w:pPr>
              <w:shd w:val="clear" w:color="auto" w:fill="auto"/>
              <w:jc w:val="center"/>
              <w:rPr>
                <w:rFonts w:eastAsia="仿宋"/>
                <w:color w:val="auto"/>
                <w:sz w:val="24"/>
                <w:highlight w:val="none"/>
              </w:rPr>
            </w:pPr>
          </w:p>
        </w:tc>
        <w:tc>
          <w:tcPr>
            <w:tcW w:w="1800" w:type="dxa"/>
            <w:tcBorders>
              <w:left w:val="single" w:color="auto" w:sz="4" w:space="0"/>
              <w:right w:val="single" w:color="auto" w:sz="4" w:space="0"/>
            </w:tcBorders>
            <w:noWrap w:val="0"/>
            <w:vAlign w:val="center"/>
          </w:tcPr>
          <w:p w14:paraId="705A4522">
            <w:pPr>
              <w:shd w:val="clear" w:color="auto" w:fill="auto"/>
              <w:jc w:val="center"/>
              <w:rPr>
                <w:rFonts w:eastAsia="仿宋"/>
                <w:color w:val="auto"/>
                <w:sz w:val="24"/>
                <w:highlight w:val="none"/>
              </w:rPr>
            </w:pPr>
          </w:p>
        </w:tc>
        <w:tc>
          <w:tcPr>
            <w:tcW w:w="1441" w:type="dxa"/>
            <w:noWrap w:val="0"/>
            <w:vAlign w:val="center"/>
          </w:tcPr>
          <w:p w14:paraId="50101DA4">
            <w:pPr>
              <w:shd w:val="clear" w:color="auto" w:fill="auto"/>
              <w:jc w:val="center"/>
              <w:rPr>
                <w:rFonts w:eastAsia="仿宋"/>
                <w:color w:val="auto"/>
                <w:sz w:val="24"/>
                <w:highlight w:val="none"/>
              </w:rPr>
            </w:pPr>
          </w:p>
        </w:tc>
        <w:tc>
          <w:tcPr>
            <w:tcW w:w="2700" w:type="dxa"/>
            <w:noWrap w:val="0"/>
            <w:vAlign w:val="top"/>
          </w:tcPr>
          <w:p w14:paraId="4ED02CC9">
            <w:pPr>
              <w:shd w:val="clear" w:color="auto" w:fill="auto"/>
              <w:jc w:val="center"/>
              <w:rPr>
                <w:rFonts w:eastAsia="仿宋"/>
                <w:color w:val="auto"/>
                <w:sz w:val="24"/>
                <w:highlight w:val="none"/>
              </w:rPr>
            </w:pPr>
          </w:p>
        </w:tc>
      </w:tr>
      <w:tr w14:paraId="7F48C9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25D72623">
            <w:pPr>
              <w:shd w:val="clear" w:color="auto" w:fill="auto"/>
              <w:jc w:val="center"/>
              <w:rPr>
                <w:rFonts w:eastAsia="仿宋"/>
                <w:color w:val="auto"/>
                <w:sz w:val="24"/>
                <w:highlight w:val="none"/>
              </w:rPr>
            </w:pPr>
          </w:p>
        </w:tc>
        <w:tc>
          <w:tcPr>
            <w:tcW w:w="1980" w:type="dxa"/>
            <w:noWrap w:val="0"/>
            <w:vAlign w:val="center"/>
          </w:tcPr>
          <w:p w14:paraId="1F6C8A1C">
            <w:pPr>
              <w:shd w:val="clear" w:color="auto" w:fill="auto"/>
              <w:jc w:val="center"/>
              <w:rPr>
                <w:rFonts w:eastAsia="仿宋"/>
                <w:color w:val="auto"/>
                <w:sz w:val="24"/>
                <w:highlight w:val="none"/>
              </w:rPr>
            </w:pPr>
          </w:p>
        </w:tc>
        <w:tc>
          <w:tcPr>
            <w:tcW w:w="1800" w:type="dxa"/>
            <w:tcBorders>
              <w:left w:val="single" w:color="auto" w:sz="4" w:space="0"/>
              <w:right w:val="single" w:color="auto" w:sz="4" w:space="0"/>
            </w:tcBorders>
            <w:noWrap w:val="0"/>
            <w:vAlign w:val="center"/>
          </w:tcPr>
          <w:p w14:paraId="04221EB4">
            <w:pPr>
              <w:shd w:val="clear" w:color="auto" w:fill="auto"/>
              <w:jc w:val="center"/>
              <w:rPr>
                <w:rFonts w:eastAsia="仿宋"/>
                <w:color w:val="auto"/>
                <w:sz w:val="24"/>
                <w:highlight w:val="none"/>
              </w:rPr>
            </w:pPr>
          </w:p>
        </w:tc>
        <w:tc>
          <w:tcPr>
            <w:tcW w:w="1441" w:type="dxa"/>
            <w:noWrap w:val="0"/>
            <w:vAlign w:val="center"/>
          </w:tcPr>
          <w:p w14:paraId="2BC6CA0F">
            <w:pPr>
              <w:shd w:val="clear" w:color="auto" w:fill="auto"/>
              <w:jc w:val="center"/>
              <w:rPr>
                <w:rFonts w:eastAsia="仿宋"/>
                <w:color w:val="auto"/>
                <w:sz w:val="24"/>
                <w:highlight w:val="none"/>
              </w:rPr>
            </w:pPr>
          </w:p>
        </w:tc>
        <w:tc>
          <w:tcPr>
            <w:tcW w:w="2700" w:type="dxa"/>
            <w:noWrap w:val="0"/>
            <w:vAlign w:val="top"/>
          </w:tcPr>
          <w:p w14:paraId="1A23C448">
            <w:pPr>
              <w:shd w:val="clear" w:color="auto" w:fill="auto"/>
              <w:jc w:val="center"/>
              <w:rPr>
                <w:rFonts w:eastAsia="仿宋"/>
                <w:color w:val="auto"/>
                <w:sz w:val="24"/>
                <w:highlight w:val="none"/>
              </w:rPr>
            </w:pPr>
          </w:p>
        </w:tc>
      </w:tr>
    </w:tbl>
    <w:p w14:paraId="05AC38E0">
      <w:pPr>
        <w:shd w:val="clear" w:color="auto" w:fill="auto"/>
        <w:snapToGrid w:val="0"/>
        <w:ind w:left="349" w:hanging="348" w:hangingChars="166"/>
        <w:rPr>
          <w:rFonts w:eastAsia="仿宋"/>
          <w:color w:val="auto"/>
          <w:highlight w:val="none"/>
        </w:rPr>
      </w:pPr>
    </w:p>
    <w:p w14:paraId="0A91E08B">
      <w:pPr>
        <w:shd w:val="clear" w:color="auto" w:fill="auto"/>
        <w:snapToGrid w:val="0"/>
        <w:ind w:left="349" w:hanging="348" w:hangingChars="166"/>
        <w:rPr>
          <w:rFonts w:eastAsia="仿宋"/>
          <w:color w:val="auto"/>
          <w:highlight w:val="none"/>
        </w:rPr>
      </w:pPr>
      <w:r>
        <w:rPr>
          <w:rFonts w:eastAsia="仿宋"/>
          <w:color w:val="auto"/>
          <w:highlight w:val="none"/>
        </w:rPr>
        <w:t xml:space="preserve">注：1. </w:t>
      </w:r>
      <w:r>
        <w:rPr>
          <w:rFonts w:hint="eastAsia" w:eastAsia="仿宋"/>
          <w:color w:val="auto"/>
          <w:highlight w:val="none"/>
        </w:rPr>
        <w:t>投标人</w:t>
      </w:r>
      <w:r>
        <w:rPr>
          <w:rFonts w:eastAsia="仿宋"/>
          <w:color w:val="auto"/>
          <w:highlight w:val="none"/>
        </w:rPr>
        <w:t>应如实列出以上情况，如有隐瞒，一经查实将导致其投标申请被拒绝。</w:t>
      </w:r>
    </w:p>
    <w:p w14:paraId="22E1C5C1">
      <w:pPr>
        <w:shd w:val="clear" w:color="auto" w:fill="auto"/>
        <w:rPr>
          <w:rFonts w:eastAsia="仿宋"/>
          <w:color w:val="auto"/>
          <w:highlight w:val="none"/>
        </w:rPr>
      </w:pPr>
      <w:r>
        <w:rPr>
          <w:rFonts w:eastAsia="仿宋"/>
          <w:color w:val="auto"/>
          <w:highlight w:val="none"/>
        </w:rPr>
        <w:t>2、每个项目合同须单独具表，提供双方签订的合同复印件加盖公章，无相关证明的项目在评审时将不予确认。</w:t>
      </w:r>
    </w:p>
    <w:p w14:paraId="7A3D6A62">
      <w:pPr>
        <w:shd w:val="clear" w:color="auto" w:fill="auto"/>
        <w:rPr>
          <w:rFonts w:eastAsia="仿宋"/>
          <w:color w:val="auto"/>
          <w:highlight w:val="none"/>
        </w:rPr>
      </w:pPr>
    </w:p>
    <w:p w14:paraId="42D35B08">
      <w:pPr>
        <w:pStyle w:val="14"/>
        <w:shd w:val="clear" w:color="auto" w:fill="auto"/>
        <w:rPr>
          <w:color w:val="auto"/>
          <w:highlight w:val="none"/>
        </w:rPr>
      </w:pPr>
    </w:p>
    <w:p w14:paraId="33C82041">
      <w:pPr>
        <w:shd w:val="clear" w:color="auto" w:fill="auto"/>
        <w:spacing w:line="360" w:lineRule="auto"/>
        <w:ind w:firstLine="1920" w:firstLineChars="800"/>
        <w:rPr>
          <w:rFonts w:eastAsia="仿宋_GB2312"/>
          <w:color w:val="auto"/>
          <w:sz w:val="24"/>
          <w:highlight w:val="none"/>
        </w:rPr>
      </w:pPr>
      <w:r>
        <w:rPr>
          <w:rFonts w:hint="eastAsia" w:eastAsia="仿宋_GB2312"/>
          <w:color w:val="auto"/>
          <w:sz w:val="24"/>
          <w:highlight w:val="none"/>
        </w:rPr>
        <w:t>投标人</w:t>
      </w:r>
      <w:r>
        <w:rPr>
          <w:rFonts w:eastAsia="仿宋_GB2312"/>
          <w:color w:val="auto"/>
          <w:sz w:val="24"/>
          <w:highlight w:val="none"/>
        </w:rPr>
        <w:t>（盖</w:t>
      </w:r>
      <w:r>
        <w:rPr>
          <w:rFonts w:hint="eastAsia" w:eastAsia="仿宋_GB2312"/>
          <w:color w:val="auto"/>
          <w:sz w:val="24"/>
          <w:highlight w:val="none"/>
        </w:rPr>
        <w:t>公</w:t>
      </w:r>
      <w:r>
        <w:rPr>
          <w:rFonts w:eastAsia="仿宋_GB2312"/>
          <w:color w:val="auto"/>
          <w:sz w:val="24"/>
          <w:highlight w:val="none"/>
        </w:rPr>
        <w:t>章）：</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p>
    <w:p w14:paraId="3E0E0280">
      <w:pPr>
        <w:shd w:val="clear" w:color="auto" w:fill="auto"/>
        <w:spacing w:line="360" w:lineRule="auto"/>
        <w:ind w:firstLine="1920" w:firstLineChars="800"/>
        <w:rPr>
          <w:rFonts w:eastAsia="仿宋_GB2312"/>
          <w:color w:val="auto"/>
          <w:sz w:val="24"/>
          <w:highlight w:val="none"/>
          <w:u w:val="single"/>
        </w:rPr>
      </w:pPr>
      <w:r>
        <w:rPr>
          <w:rFonts w:eastAsia="仿宋_GB2312"/>
          <w:color w:val="auto"/>
          <w:sz w:val="24"/>
          <w:highlight w:val="none"/>
        </w:rPr>
        <w:t>法定代表人</w:t>
      </w:r>
      <w:r>
        <w:rPr>
          <w:rFonts w:hint="eastAsia" w:eastAsia="仿宋"/>
          <w:color w:val="auto"/>
          <w:sz w:val="24"/>
          <w:highlight w:val="none"/>
          <w:lang w:val="zh-CN"/>
        </w:rPr>
        <w:t>（或单位负责人）</w:t>
      </w:r>
      <w:r>
        <w:rPr>
          <w:rFonts w:eastAsia="仿宋_GB2312"/>
          <w:color w:val="auto"/>
          <w:sz w:val="24"/>
          <w:highlight w:val="none"/>
        </w:rPr>
        <w:t>或授权代表（签字</w:t>
      </w:r>
      <w:r>
        <w:rPr>
          <w:rFonts w:hint="eastAsia" w:eastAsia="仿宋_GB2312"/>
          <w:color w:val="auto"/>
          <w:sz w:val="24"/>
          <w:highlight w:val="none"/>
        </w:rPr>
        <w:t>或盖章</w:t>
      </w:r>
      <w:r>
        <w:rPr>
          <w:rFonts w:eastAsia="仿宋_GB2312"/>
          <w:color w:val="auto"/>
          <w:sz w:val="24"/>
          <w:highlight w:val="none"/>
        </w:rPr>
        <w:t>）：</w:t>
      </w:r>
      <w:r>
        <w:rPr>
          <w:rFonts w:eastAsia="仿宋_GB2312"/>
          <w:color w:val="auto"/>
          <w:sz w:val="24"/>
          <w:highlight w:val="none"/>
          <w:u w:val="single"/>
        </w:rPr>
        <w:t xml:space="preserve">     </w:t>
      </w:r>
      <w:r>
        <w:rPr>
          <w:rFonts w:hint="eastAsia" w:eastAsia="仿宋_GB2312"/>
          <w:color w:val="auto"/>
          <w:sz w:val="24"/>
          <w:highlight w:val="none"/>
          <w:u w:val="single"/>
        </w:rPr>
        <w:t xml:space="preserve">  </w:t>
      </w:r>
      <w:r>
        <w:rPr>
          <w:rFonts w:eastAsia="仿宋_GB2312"/>
          <w:color w:val="auto"/>
          <w:sz w:val="24"/>
          <w:highlight w:val="none"/>
          <w:u w:val="single"/>
        </w:rPr>
        <w:t xml:space="preserve">    </w:t>
      </w:r>
    </w:p>
    <w:p w14:paraId="10421631">
      <w:pPr>
        <w:pStyle w:val="18"/>
        <w:shd w:val="clear" w:color="auto" w:fill="auto"/>
        <w:tabs>
          <w:tab w:val="left" w:pos="5580"/>
        </w:tabs>
        <w:spacing w:line="360" w:lineRule="auto"/>
        <w:ind w:firstLine="1920" w:firstLineChars="800"/>
        <w:rPr>
          <w:rFonts w:ascii="Times New Roman" w:hAnsi="Times New Roman" w:eastAsia="仿宋_GB2312"/>
          <w:color w:val="auto"/>
          <w:sz w:val="24"/>
          <w:highlight w:val="none"/>
        </w:rPr>
      </w:pPr>
      <w:r>
        <w:rPr>
          <w:rFonts w:eastAsia="仿宋_GB2312"/>
          <w:color w:val="auto"/>
          <w:sz w:val="24"/>
          <w:highlight w:val="none"/>
        </w:rPr>
        <w:t>日    期：</w:t>
      </w:r>
      <w:r>
        <w:rPr>
          <w:rFonts w:eastAsia="仿宋_GB2312"/>
          <w:color w:val="auto"/>
          <w:sz w:val="32"/>
          <w:highlight w:val="none"/>
          <w:u w:val="single"/>
        </w:rPr>
        <w:t xml:space="preserve">                      </w:t>
      </w:r>
      <w:r>
        <w:rPr>
          <w:rFonts w:hint="eastAsia" w:eastAsia="仿宋_GB2312"/>
          <w:color w:val="auto"/>
          <w:sz w:val="32"/>
          <w:highlight w:val="none"/>
          <w:u w:val="single"/>
        </w:rPr>
        <w:t xml:space="preserve">      </w:t>
      </w:r>
    </w:p>
    <w:p w14:paraId="385A9D16">
      <w:pPr>
        <w:shd w:val="clear" w:color="auto" w:fill="auto"/>
        <w:rPr>
          <w:rFonts w:eastAsia="仿宋"/>
          <w:color w:val="auto"/>
          <w:highlight w:val="none"/>
        </w:rPr>
      </w:pPr>
    </w:p>
    <w:p w14:paraId="709BA4C2">
      <w:pPr>
        <w:pStyle w:val="6"/>
        <w:shd w:val="clear" w:color="auto" w:fill="auto"/>
        <w:ind w:firstLine="0" w:firstLineChars="0"/>
        <w:jc w:val="center"/>
        <w:rPr>
          <w:rFonts w:ascii="Times New Roman" w:hAnsi="Times New Roman" w:eastAsia="仿宋_GB2312"/>
          <w:color w:val="auto"/>
          <w:sz w:val="32"/>
          <w:szCs w:val="32"/>
          <w:highlight w:val="none"/>
        </w:rPr>
      </w:pPr>
      <w:bookmarkStart w:id="495" w:name="_Toc62194362"/>
      <w:bookmarkStart w:id="496" w:name="_Toc60928919"/>
      <w:bookmarkStart w:id="497" w:name="_Toc60929151"/>
      <w:bookmarkStart w:id="498" w:name="_Toc18922"/>
      <w:r>
        <w:rPr>
          <w:rFonts w:ascii="Times New Roman" w:hAnsi="Times New Roman" w:eastAsia="仿宋_GB2312"/>
          <w:color w:val="auto"/>
          <w:sz w:val="32"/>
          <w:szCs w:val="32"/>
          <w:highlight w:val="none"/>
        </w:rPr>
        <w:t>投标人须知前附表要求的其他文件</w:t>
      </w:r>
      <w:bookmarkEnd w:id="495"/>
      <w:bookmarkEnd w:id="496"/>
      <w:bookmarkEnd w:id="497"/>
      <w:bookmarkEnd w:id="498"/>
    </w:p>
    <w:p w14:paraId="7625E052">
      <w:pPr>
        <w:pStyle w:val="6"/>
        <w:shd w:val="clear" w:color="auto" w:fill="auto"/>
        <w:ind w:firstLine="0" w:firstLineChars="0"/>
        <w:jc w:val="both"/>
        <w:rPr>
          <w:rFonts w:ascii="Times New Roman" w:hAnsi="Times New Roman" w:eastAsia="仿宋_GB2312"/>
          <w:color w:val="auto"/>
          <w:sz w:val="32"/>
          <w:szCs w:val="32"/>
          <w:highlight w:val="none"/>
        </w:rPr>
      </w:pPr>
    </w:p>
    <w:p w14:paraId="5FCE15EC">
      <w:pPr>
        <w:shd w:val="clear" w:color="auto" w:fill="auto"/>
        <w:rPr>
          <w:color w:val="auto"/>
          <w:highlight w:val="none"/>
        </w:rPr>
      </w:pPr>
    </w:p>
    <w:p w14:paraId="393E77D9">
      <w:pPr>
        <w:pStyle w:val="7"/>
        <w:numPr>
          <w:ilvl w:val="0"/>
          <w:numId w:val="0"/>
        </w:numPr>
        <w:shd w:val="clear" w:color="auto" w:fill="auto"/>
        <w:ind w:left="420" w:leftChars="0"/>
        <w:jc w:val="center"/>
        <w:rPr>
          <w:rFonts w:hint="eastAsia" w:ascii="Times New Roman" w:hAnsi="Times New Roman" w:eastAsia="仿宋"/>
          <w:b/>
          <w:color w:val="auto"/>
          <w:kern w:val="0"/>
          <w:sz w:val="30"/>
          <w:szCs w:val="30"/>
          <w:highlight w:val="none"/>
          <w:shd w:val="clear" w:color="auto" w:fill="FFFFFF"/>
          <w:lang w:val="zh-CN" w:eastAsia="zh-CN"/>
        </w:rPr>
      </w:pPr>
    </w:p>
    <w:p w14:paraId="0BEFC92B">
      <w:pPr>
        <w:pStyle w:val="7"/>
        <w:numPr>
          <w:ilvl w:val="0"/>
          <w:numId w:val="0"/>
        </w:numPr>
        <w:shd w:val="clear" w:color="auto" w:fill="auto"/>
        <w:ind w:left="0" w:leftChars="0" w:firstLine="0" w:firstLineChars="0"/>
        <w:jc w:val="center"/>
        <w:rPr>
          <w:rFonts w:hint="eastAsia" w:ascii="Times New Roman" w:hAnsi="Times New Roman" w:eastAsia="仿宋" w:cs="Times New Roman"/>
          <w:b/>
          <w:color w:val="auto"/>
          <w:kern w:val="0"/>
          <w:sz w:val="30"/>
          <w:szCs w:val="20"/>
          <w:highlight w:val="none"/>
          <w:lang w:val="zh-CN" w:eastAsia="zh-CN" w:bidi="ar-SA"/>
        </w:rPr>
      </w:pPr>
    </w:p>
    <w:p w14:paraId="4F90D22D">
      <w:pPr>
        <w:pStyle w:val="7"/>
        <w:numPr>
          <w:ilvl w:val="0"/>
          <w:numId w:val="0"/>
        </w:numPr>
        <w:shd w:val="clear" w:color="auto" w:fill="auto"/>
        <w:ind w:left="0" w:leftChars="0" w:firstLine="0" w:firstLineChars="0"/>
        <w:jc w:val="center"/>
        <w:rPr>
          <w:rFonts w:hint="eastAsia" w:ascii="Times New Roman" w:hAnsi="Times New Roman" w:eastAsia="仿宋" w:cs="Times New Roman"/>
          <w:b/>
          <w:color w:val="auto"/>
          <w:kern w:val="0"/>
          <w:sz w:val="30"/>
          <w:szCs w:val="20"/>
          <w:highlight w:val="none"/>
          <w:lang w:val="zh-CN" w:eastAsia="zh-CN" w:bidi="ar-SA"/>
        </w:rPr>
      </w:pPr>
    </w:p>
    <w:p w14:paraId="77AD4860">
      <w:pPr>
        <w:pStyle w:val="7"/>
        <w:numPr>
          <w:ilvl w:val="0"/>
          <w:numId w:val="0"/>
        </w:numPr>
        <w:shd w:val="clear" w:color="auto" w:fill="auto"/>
        <w:ind w:leftChars="0"/>
        <w:jc w:val="center"/>
        <w:rPr>
          <w:rFonts w:hint="eastAsia" w:ascii="Times New Roman" w:hAnsi="Times New Roman" w:eastAsia="仿宋" w:cs="Times New Roman"/>
          <w:b/>
          <w:color w:val="auto"/>
          <w:kern w:val="0"/>
          <w:sz w:val="30"/>
          <w:szCs w:val="20"/>
          <w:highlight w:val="none"/>
          <w:lang w:val="zh-CN" w:eastAsia="zh-CN" w:bidi="ar-SA"/>
        </w:rPr>
      </w:pPr>
    </w:p>
    <w:bookmarkEnd w:id="421"/>
    <w:bookmarkEnd w:id="422"/>
    <w:bookmarkEnd w:id="423"/>
    <w:bookmarkEnd w:id="424"/>
    <w:p w14:paraId="68D5BEF4">
      <w:pPr>
        <w:pStyle w:val="7"/>
        <w:numPr>
          <w:ilvl w:val="0"/>
          <w:numId w:val="0"/>
        </w:numPr>
        <w:shd w:val="clear" w:color="auto" w:fill="auto"/>
        <w:jc w:val="center"/>
        <w:rPr>
          <w:rFonts w:hint="eastAsia" w:ascii="Times New Roman" w:hAnsi="Times New Roman" w:eastAsia="仿宋" w:cs="Times New Roman"/>
          <w:b/>
          <w:color w:val="auto"/>
          <w:kern w:val="0"/>
          <w:sz w:val="30"/>
          <w:szCs w:val="20"/>
          <w:highlight w:val="none"/>
          <w:lang w:val="en-US" w:eastAsia="zh-CN" w:bidi="ar-SA"/>
        </w:rPr>
      </w:pPr>
    </w:p>
    <w:sectPr>
      <w:footerReference r:id="rId7" w:type="default"/>
      <w:pgSz w:w="11907" w:h="16840"/>
      <w:pgMar w:top="1474" w:right="1814" w:bottom="1474" w:left="1814" w:header="851" w:footer="851" w:gutter="0"/>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734533E-1948-450D-887E-27017AA162D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方正黑体简体">
    <w:altName w:val="微软雅黑"/>
    <w:panose1 w:val="00000000000000000000"/>
    <w:charset w:val="86"/>
    <w:family w:val="script"/>
    <w:pitch w:val="default"/>
    <w:sig w:usb0="00000000" w:usb1="0000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仿宋_GB2312">
    <w:altName w:val="仿宋"/>
    <w:panose1 w:val="02010609030101010101"/>
    <w:charset w:val="86"/>
    <w:family w:val="auto"/>
    <w:pitch w:val="default"/>
    <w:sig w:usb0="00000001" w:usb1="080E0000" w:usb2="00000000" w:usb3="00000000" w:csb0="00040000" w:csb1="00000000"/>
    <w:embedRegular r:id="rId2" w:fontKey="{81E18B84-2B1F-47C1-9360-E1653E2E7CB5}"/>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40001" w:csb1="00000000"/>
  </w:font>
  <w:font w:name="Consolas">
    <w:panose1 w:val="020B0609020204030204"/>
    <w:charset w:val="00"/>
    <w:family w:val="modern"/>
    <w:pitch w:val="default"/>
    <w:sig w:usb0="E00006FF" w:usb1="0000FCFF" w:usb2="00000001" w:usb3="00000000" w:csb0="6000019F" w:csb1="DFD7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embedRegular r:id="rId3" w:fontKey="{0AEF5400-B766-445A-AB39-809E26E724CC}"/>
  </w:font>
  <w:font w:name="SourceHanSansCN-Regular">
    <w:altName w:val="Segoe Print"/>
    <w:panose1 w:val="00000000000000000000"/>
    <w:charset w:val="00"/>
    <w:family w:val="auto"/>
    <w:pitch w:val="default"/>
    <w:sig w:usb0="00000000" w:usb1="00000000" w:usb2="00000000" w:usb3="00000000" w:csb0="00040001" w:csb1="00000000"/>
  </w:font>
  <w:font w:name="楷体_GB2312">
    <w:altName w:val="楷体"/>
    <w:panose1 w:val="02010609030101010101"/>
    <w:charset w:val="86"/>
    <w:family w:val="modern"/>
    <w:pitch w:val="default"/>
    <w:sig w:usb0="00000001" w:usb1="080E0000" w:usb2="00000000" w:usb3="00000000" w:csb0="00040000" w:csb1="00000000"/>
    <w:embedRegular r:id="rId4" w:fontKey="{AED73139-A053-4C8D-B712-BE7187CCCD09}"/>
  </w:font>
  <w:font w:name="仿宋">
    <w:panose1 w:val="02010609060101010101"/>
    <w:charset w:val="86"/>
    <w:family w:val="modern"/>
    <w:pitch w:val="default"/>
    <w:sig w:usb0="800002BF" w:usb1="38CF7CFA" w:usb2="00000016" w:usb3="00000000" w:csb0="00040001" w:csb1="00000000"/>
    <w:embedRegular r:id="rId5" w:fontKey="{CA65E13A-39B7-41DA-A678-4C955274A0FE}"/>
  </w:font>
  <w:font w:name="___WRD_EMBED_SUB_44">
    <w:altName w:val="宋体"/>
    <w:panose1 w:val="00000000000000000000"/>
    <w:charset w:val="86"/>
    <w:family w:val="modern"/>
    <w:pitch w:val="default"/>
    <w:sig w:usb0="00000000" w:usb1="00000000" w:usb2="00000010" w:usb3="00000000" w:csb0="00040000" w:csb1="00000000"/>
    <w:embedRegular r:id="rId6" w:fontKey="{BA3CFB78-F65D-4C13-AA3B-7A1C401A1AA4}"/>
  </w:font>
  <w:font w:name="Arial Unicode MS">
    <w:altName w:val="Arial Unicode MS"/>
    <w:panose1 w:val="020B0604020202020204"/>
    <w:charset w:val="86"/>
    <w:family w:val="roman"/>
    <w:pitch w:val="default"/>
    <w:sig w:usb0="FFFFFFFF" w:usb1="E9FFFFFF" w:usb2="0000003F" w:usb3="00000000" w:csb0="603F01FF" w:csb1="FFFF0000"/>
    <w:embedRegular r:id="rId7" w:fontKey="{D35D61FB-286C-482A-879B-C014FECECFEF}"/>
  </w:font>
  <w:font w:name="华文仿宋">
    <w:altName w:val="华文仿宋"/>
    <w:panose1 w:val="02010600040101010101"/>
    <w:charset w:val="86"/>
    <w:family w:val="auto"/>
    <w:pitch w:val="default"/>
    <w:sig w:usb0="00000287" w:usb1="080F0000" w:usb2="00000000" w:usb3="00000000" w:csb0="0004009F" w:csb1="DFD70000"/>
    <w:embedRegular r:id="rId8" w:fontKey="{8BAF2BD9-47BD-4CD1-91E0-E6CB788DADD9}"/>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WPSEMBED23">
    <w:panose1 w:val="020B0604020202020204"/>
    <w:charset w:val="86"/>
    <w:family w:val="auto"/>
    <w:pitch w:val="default"/>
    <w:sig w:usb0="FFFFFFFF" w:usb1="E9FFFFFF" w:usb2="0000003F" w:usb3="00000000" w:csb0="603F01FF" w:csb1="FFFF0000"/>
  </w:font>
  <w:font w:name="WPSEMBED24">
    <w:panose1 w:val="02010600040101010101"/>
    <w:charset w:val="86"/>
    <w:family w:val="auto"/>
    <w:pitch w:val="default"/>
    <w:sig w:usb0="00000287" w:usb1="080F0000" w:usb2="00000000" w:usb3="00000000" w:csb0="0004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D444B">
    <w:pPr>
      <w:pStyle w:val="23"/>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647BF0">
                          <w:pPr>
                            <w:pStyle w:val="23"/>
                          </w:pPr>
                          <w:r>
                            <w:fldChar w:fldCharType="begin"/>
                          </w:r>
                          <w:r>
                            <w:instrText xml:space="preserve"> PAGE  \* MERGEFORMAT </w:instrText>
                          </w:r>
                          <w:r>
                            <w:fldChar w:fldCharType="separate"/>
                          </w:r>
                          <w:r>
                            <w:rPr>
                              <w:lang/>
                            </w:rPr>
                            <w:t>1</w:t>
                          </w:r>
                          <w:r>
                            <w:fldChar w:fldCharType="end"/>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ZaJkj8cBAACaAwAADgAAAAAAAAABACAAAAAeAQAAZHJzL2Uyb0RvYy54&#10;bWxQSwUGAAAAAAYABgBZAQAAVwUAAAAA&#10;">
              <v:fill on="f" focussize="0,0"/>
              <v:stroke on="f"/>
              <v:imagedata o:title=""/>
              <o:lock v:ext="edit" aspectratio="f"/>
              <v:textbox inset="0mm,0mm,0mm,0mm" style="mso-fit-shape-to-text:t;">
                <w:txbxContent>
                  <w:p w14:paraId="05647BF0">
                    <w:pPr>
                      <w:pStyle w:val="23"/>
                    </w:pPr>
                    <w:r>
                      <w:fldChar w:fldCharType="begin"/>
                    </w:r>
                    <w:r>
                      <w:instrText xml:space="preserve"> PAGE  \* MERGEFORMAT </w:instrText>
                    </w:r>
                    <w:r>
                      <w:fldChar w:fldCharType="separate"/>
                    </w:r>
                    <w:r>
                      <w:rPr>
                        <w:lang/>
                      </w:rPr>
                      <w:t>1</w:t>
                    </w:r>
                    <w:r>
                      <w:fldChar w:fldCharType="end"/>
                    </w:r>
                  </w:p>
                </w:txbxContent>
              </v:textbox>
            </v:shape>
          </w:pict>
        </mc:Fallback>
      </mc:AlternateContent>
    </w:r>
  </w:p>
  <w:p w14:paraId="105707AD">
    <w:pPr>
      <w:pStyle w:val="23"/>
      <w:ind w:right="360"/>
      <w:jc w:val="right"/>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0267C">
    <w:pPr>
      <w:pStyle w:val="23"/>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F7A920">
                          <w:pPr>
                            <w:pStyle w:val="23"/>
                            <w:jc w:val="center"/>
                            <w:rPr>
                              <w:sz w:val="21"/>
                              <w:szCs w:val="22"/>
                            </w:rPr>
                          </w:pPr>
                          <w:r>
                            <w:rPr>
                              <w:rFonts w:ascii="Times New Roman"/>
                              <w:sz w:val="21"/>
                              <w:szCs w:val="22"/>
                            </w:rPr>
                            <w:fldChar w:fldCharType="begin"/>
                          </w:r>
                          <w:r>
                            <w:rPr>
                              <w:rFonts w:ascii="Times New Roman"/>
                              <w:sz w:val="21"/>
                              <w:szCs w:val="22"/>
                            </w:rPr>
                            <w:instrText xml:space="preserve">PAGE   \* MERGEFORMAT</w:instrText>
                          </w:r>
                          <w:r>
                            <w:rPr>
                              <w:rFonts w:ascii="Times New Roman"/>
                              <w:sz w:val="21"/>
                              <w:szCs w:val="22"/>
                            </w:rPr>
                            <w:fldChar w:fldCharType="separate"/>
                          </w:r>
                          <w:r>
                            <w:rPr>
                              <w:rFonts w:ascii="Times New Roman"/>
                              <w:sz w:val="21"/>
                              <w:szCs w:val="22"/>
                              <w:lang w:val="zh-CN"/>
                            </w:rPr>
                            <w:t>3</w:t>
                          </w:r>
                          <w:r>
                            <w:rPr>
                              <w:rFonts w:ascii="Times New Roman"/>
                              <w:sz w:val="21"/>
                              <w:szCs w:val="22"/>
                            </w:rPr>
                            <w:fldChar w:fldCharType="end"/>
                          </w: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T6O1skBAACZAwAADgAAAGRycy9lMm9Eb2MueG1srVPNjtMwEL4j8Q6W&#10;79TZIq2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X1L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BPo7WyQEAAJkDAAAOAAAAAAAAAAEAIAAAAB4BAABkcnMvZTJvRG9j&#10;LnhtbFBLBQYAAAAABgAGAFkBAABZBQAAAAA=&#10;">
              <v:fill on="f" focussize="0,0"/>
              <v:stroke on="f"/>
              <v:imagedata o:title=""/>
              <o:lock v:ext="edit" aspectratio="f"/>
              <v:textbox inset="0mm,0mm,0mm,0mm" style="mso-fit-shape-to-text:t;">
                <w:txbxContent>
                  <w:p w14:paraId="47F7A920">
                    <w:pPr>
                      <w:pStyle w:val="23"/>
                      <w:jc w:val="center"/>
                      <w:rPr>
                        <w:sz w:val="21"/>
                        <w:szCs w:val="22"/>
                      </w:rPr>
                    </w:pPr>
                    <w:r>
                      <w:rPr>
                        <w:rFonts w:ascii="Times New Roman"/>
                        <w:sz w:val="21"/>
                        <w:szCs w:val="22"/>
                      </w:rPr>
                      <w:fldChar w:fldCharType="begin"/>
                    </w:r>
                    <w:r>
                      <w:rPr>
                        <w:rFonts w:ascii="Times New Roman"/>
                        <w:sz w:val="21"/>
                        <w:szCs w:val="22"/>
                      </w:rPr>
                      <w:instrText xml:space="preserve">PAGE   \* MERGEFORMAT</w:instrText>
                    </w:r>
                    <w:r>
                      <w:rPr>
                        <w:rFonts w:ascii="Times New Roman"/>
                        <w:sz w:val="21"/>
                        <w:szCs w:val="22"/>
                      </w:rPr>
                      <w:fldChar w:fldCharType="separate"/>
                    </w:r>
                    <w:r>
                      <w:rPr>
                        <w:rFonts w:ascii="Times New Roman"/>
                        <w:sz w:val="21"/>
                        <w:szCs w:val="22"/>
                        <w:lang w:val="zh-CN"/>
                      </w:rPr>
                      <w:t>3</w:t>
                    </w:r>
                    <w:r>
                      <w:rPr>
                        <w:rFonts w:ascii="Times New Roman"/>
                        <w:sz w:val="21"/>
                        <w:szCs w:val="22"/>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576D7">
    <w:pPr>
      <w:pStyle w:val="23"/>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E172AE7">
                          <w:pPr>
                            <w:pStyle w:val="23"/>
                          </w:pPr>
                          <w:r>
                            <w:fldChar w:fldCharType="begin"/>
                          </w:r>
                          <w:r>
                            <w:instrText xml:space="preserve"> PAGE  \* MERGEFORMAT </w:instrText>
                          </w:r>
                          <w:r>
                            <w:fldChar w:fldCharType="separate"/>
                          </w:r>
                          <w:r>
                            <w:rPr>
                              <w:lang/>
                            </w:rPr>
                            <w:t>26</w:t>
                          </w:r>
                          <w:r>
                            <w:fldChar w:fldCharType="end"/>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GhXskBAACa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M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NwaFeyQEAAJoDAAAOAAAAAAAAAAEAIAAAAB4BAABkcnMvZTJvRG9j&#10;LnhtbFBLBQYAAAAABgAGAFkBAABZBQAAAAA=&#10;">
              <v:fill on="f" focussize="0,0"/>
              <v:stroke on="f"/>
              <v:imagedata o:title=""/>
              <o:lock v:ext="edit" aspectratio="f"/>
              <v:textbox inset="0mm,0mm,0mm,0mm" style="mso-fit-shape-to-text:t;">
                <w:txbxContent>
                  <w:p w14:paraId="1E172AE7">
                    <w:pPr>
                      <w:pStyle w:val="23"/>
                    </w:pPr>
                    <w:r>
                      <w:fldChar w:fldCharType="begin"/>
                    </w:r>
                    <w:r>
                      <w:instrText xml:space="preserve"> PAGE  \* MERGEFORMAT </w:instrText>
                    </w:r>
                    <w:r>
                      <w:fldChar w:fldCharType="separate"/>
                    </w:r>
                    <w:r>
                      <w:rPr>
                        <w:lang/>
                      </w:rPr>
                      <w:t>26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26F72">
    <w:pPr>
      <w:pStyle w:val="23"/>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55A2FF9">
                          <w:pPr>
                            <w:pStyle w:val="23"/>
                          </w:pPr>
                          <w:r>
                            <w:fldChar w:fldCharType="begin"/>
                          </w:r>
                          <w:r>
                            <w:instrText xml:space="preserve"> PAGE  \* MERGEFORMAT </w:instrText>
                          </w:r>
                          <w:r>
                            <w:fldChar w:fldCharType="separate"/>
                          </w:r>
                          <w:r>
                            <w:t>53</w:t>
                          </w:r>
                          <w:r>
                            <w:fldChar w:fldCharType="end"/>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wpgcXOIBAADMAwAADgAA&#10;AAAAAAABACAAAAAeAQAAZHJzL2Uyb0RvYy54bWxQSwUGAAAAAAYABgBZAQAAcgUAAAAA&#10;">
              <v:fill on="f" focussize="0,0"/>
              <v:stroke on="f"/>
              <v:imagedata o:title=""/>
              <o:lock v:ext="edit" aspectratio="f"/>
              <v:textbox inset="0mm,0mm,0mm,0mm" style="mso-fit-shape-to-text:t;">
                <w:txbxContent>
                  <w:p w14:paraId="555A2FF9">
                    <w:pPr>
                      <w:pStyle w:val="23"/>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0FD08">
    <w:pPr>
      <w:pStyle w:val="23"/>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DFADD7">
                          <w:pPr>
                            <w:pStyle w:val="23"/>
                          </w:pPr>
                          <w:r>
                            <w:fldChar w:fldCharType="begin"/>
                          </w:r>
                          <w:r>
                            <w:instrText xml:space="preserve"> PAGE  \* MERGEFORMAT </w:instrText>
                          </w:r>
                          <w:r>
                            <w:fldChar w:fldCharType="separate"/>
                          </w:r>
                          <w:r>
                            <w:rPr>
                              <w:lang/>
                            </w:rPr>
                            <w:t>67</w:t>
                          </w:r>
                          <w:r>
                            <w:fldChar w:fldCharType="end"/>
                          </w:r>
                        </w:p>
                      </w:txbxContent>
                    </wps:txbx>
                    <wps:bodyPr wrap="none" lIns="0" tIns="0" rIns="0" bIns="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ABaJskBAACaAwAADgAAAGRycy9lMm9Eb2MueG1srVPNjtMwEL4j8Q6W&#10;79RpkaCK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vqb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cAFomyQEAAJoDAAAOAAAAAAAAAAEAIAAAAB4BAABkcnMvZTJvRG9j&#10;LnhtbFBLBQYAAAAABgAGAFkBAABZBQAAAAA=&#10;">
              <v:fill on="f" focussize="0,0"/>
              <v:stroke on="f"/>
              <v:imagedata o:title=""/>
              <o:lock v:ext="edit" aspectratio="f"/>
              <v:textbox inset="0mm,0mm,0mm,0mm" style="mso-fit-shape-to-text:t;">
                <w:txbxContent>
                  <w:p w14:paraId="54DFADD7">
                    <w:pPr>
                      <w:pStyle w:val="23"/>
                    </w:pPr>
                    <w:r>
                      <w:fldChar w:fldCharType="begin"/>
                    </w:r>
                    <w:r>
                      <w:instrText xml:space="preserve"> PAGE  \* MERGEFORMAT </w:instrText>
                    </w:r>
                    <w:r>
                      <w:fldChar w:fldCharType="separate"/>
                    </w:r>
                    <w:r>
                      <w:rPr>
                        <w:lang/>
                      </w:rPr>
                      <w:t>67</w:t>
                    </w:r>
                    <w:r>
                      <w:fldChar w:fldCharType="end"/>
                    </w:r>
                  </w:p>
                </w:txbxContent>
              </v:textbox>
            </v:shape>
          </w:pict>
        </mc:Fallback>
      </mc:AlternateContent>
    </w:r>
  </w:p>
  <w:p w14:paraId="5B22A688">
    <w:pPr>
      <w:pStyle w:val="23"/>
      <w:ind w:right="360"/>
      <w:jc w:val="right"/>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36BBBE"/>
    <w:multiLevelType w:val="singleLevel"/>
    <w:tmpl w:val="C036BBBE"/>
    <w:lvl w:ilvl="0" w:tentative="0">
      <w:start w:val="1"/>
      <w:numFmt w:val="decimal"/>
      <w:lvlText w:val="%1."/>
      <w:lvlJc w:val="left"/>
      <w:pPr>
        <w:ind w:left="425" w:hanging="425"/>
      </w:pPr>
      <w:rPr>
        <w:rFonts w:hint="default"/>
      </w:rPr>
    </w:lvl>
  </w:abstractNum>
  <w:abstractNum w:abstractNumId="1">
    <w:nsid w:val="0862126D"/>
    <w:multiLevelType w:val="singleLevel"/>
    <w:tmpl w:val="0862126D"/>
    <w:lvl w:ilvl="0" w:tentative="0">
      <w:start w:val="2"/>
      <w:numFmt w:val="decimal"/>
      <w:suff w:val="nothing"/>
      <w:lvlText w:val="%1、"/>
      <w:lvlJc w:val="left"/>
    </w:lvl>
  </w:abstractNum>
  <w:abstractNum w:abstractNumId="2">
    <w:nsid w:val="0A588019"/>
    <w:multiLevelType w:val="singleLevel"/>
    <w:tmpl w:val="0A588019"/>
    <w:lvl w:ilvl="0" w:tentative="0">
      <w:start w:val="1"/>
      <w:numFmt w:val="decimal"/>
      <w:suff w:val="nothing"/>
      <w:lvlText w:val="%1．"/>
      <w:lvlJc w:val="left"/>
      <w:pPr>
        <w:ind w:left="-140" w:firstLine="400"/>
      </w:pPr>
      <w:rPr>
        <w:rFonts w:hint="default"/>
      </w:rPr>
    </w:lvl>
  </w:abstractNum>
  <w:abstractNum w:abstractNumId="3">
    <w:nsid w:val="0AF5DE58"/>
    <w:multiLevelType w:val="singleLevel"/>
    <w:tmpl w:val="0AF5DE58"/>
    <w:lvl w:ilvl="0" w:tentative="0">
      <w:start w:val="1"/>
      <w:numFmt w:val="decimal"/>
      <w:suff w:val="nothing"/>
      <w:lvlText w:val="%1．"/>
      <w:lvlJc w:val="left"/>
      <w:pPr>
        <w:ind w:left="0" w:firstLine="400"/>
      </w:pPr>
      <w:rPr>
        <w:rFonts w:hint="default"/>
      </w:rPr>
    </w:lvl>
  </w:abstractNum>
  <w:abstractNum w:abstractNumId="4">
    <w:nsid w:val="0DC55CA8"/>
    <w:multiLevelType w:val="singleLevel"/>
    <w:tmpl w:val="0DC55CA8"/>
    <w:lvl w:ilvl="0" w:tentative="0">
      <w:start w:val="1"/>
      <w:numFmt w:val="decimal"/>
      <w:suff w:val="nothing"/>
      <w:lvlText w:val="%1．"/>
      <w:lvlJc w:val="left"/>
      <w:pPr>
        <w:ind w:left="-140" w:firstLine="400"/>
      </w:pPr>
      <w:rPr>
        <w:rFonts w:hint="default"/>
      </w:rPr>
    </w:lvl>
  </w:abstractNum>
  <w:abstractNum w:abstractNumId="5">
    <w:nsid w:val="0FF9642E"/>
    <w:multiLevelType w:val="multilevel"/>
    <w:tmpl w:val="0FF9642E"/>
    <w:lvl w:ilvl="0" w:tentative="0">
      <w:start w:val="1"/>
      <w:numFmt w:val="decimal"/>
      <w:pStyle w:val="78"/>
      <w:lvlText w:val="第%1章"/>
      <w:lvlJc w:val="left"/>
      <w:pPr>
        <w:tabs>
          <w:tab w:val="left" w:pos="4834"/>
        </w:tabs>
        <w:ind w:left="4834" w:hanging="1290"/>
      </w:pPr>
      <w:rPr>
        <w:rFonts w:hint="default"/>
        <w:b/>
        <w:lang w:val="en-US"/>
      </w:rPr>
    </w:lvl>
    <w:lvl w:ilvl="1" w:tentative="0">
      <w:start w:val="1"/>
      <w:numFmt w:val="lowerLetter"/>
      <w:lvlText w:val="%2)"/>
      <w:lvlJc w:val="left"/>
      <w:pPr>
        <w:tabs>
          <w:tab w:val="left" w:pos="1380"/>
        </w:tabs>
        <w:ind w:left="1380" w:hanging="420"/>
      </w:pPr>
      <w:rPr>
        <w:rFonts w:hint="eastAsia"/>
      </w:rPr>
    </w:lvl>
    <w:lvl w:ilvl="2" w:tentative="0">
      <w:start w:val="1"/>
      <w:numFmt w:val="lowerRoman"/>
      <w:lvlText w:val="%3."/>
      <w:lvlJc w:val="right"/>
      <w:pPr>
        <w:tabs>
          <w:tab w:val="left" w:pos="1800"/>
        </w:tabs>
        <w:ind w:left="1800" w:hanging="420"/>
      </w:pPr>
      <w:rPr>
        <w:rFonts w:hint="eastAsia"/>
      </w:rPr>
    </w:lvl>
    <w:lvl w:ilvl="3" w:tentative="0">
      <w:start w:val="1"/>
      <w:numFmt w:val="decimal"/>
      <w:lvlText w:val="%4."/>
      <w:lvlJc w:val="left"/>
      <w:pPr>
        <w:tabs>
          <w:tab w:val="left" w:pos="2220"/>
        </w:tabs>
        <w:ind w:left="2220" w:hanging="420"/>
      </w:pPr>
      <w:rPr>
        <w:rFonts w:hint="eastAsia"/>
      </w:rPr>
    </w:lvl>
    <w:lvl w:ilvl="4" w:tentative="0">
      <w:start w:val="1"/>
      <w:numFmt w:val="lowerLetter"/>
      <w:lvlText w:val="%5)"/>
      <w:lvlJc w:val="left"/>
      <w:pPr>
        <w:tabs>
          <w:tab w:val="left" w:pos="2640"/>
        </w:tabs>
        <w:ind w:left="2640" w:hanging="420"/>
      </w:pPr>
      <w:rPr>
        <w:rFonts w:hint="eastAsia"/>
      </w:rPr>
    </w:lvl>
    <w:lvl w:ilvl="5" w:tentative="0">
      <w:start w:val="1"/>
      <w:numFmt w:val="lowerRoman"/>
      <w:lvlText w:val="%6."/>
      <w:lvlJc w:val="right"/>
      <w:pPr>
        <w:tabs>
          <w:tab w:val="left" w:pos="3060"/>
        </w:tabs>
        <w:ind w:left="3060" w:hanging="420"/>
      </w:pPr>
      <w:rPr>
        <w:rFonts w:hint="eastAsia"/>
      </w:rPr>
    </w:lvl>
    <w:lvl w:ilvl="6" w:tentative="0">
      <w:start w:val="1"/>
      <w:numFmt w:val="decimal"/>
      <w:lvlText w:val="%7."/>
      <w:lvlJc w:val="left"/>
      <w:pPr>
        <w:tabs>
          <w:tab w:val="left" w:pos="3480"/>
        </w:tabs>
        <w:ind w:left="3480" w:hanging="420"/>
      </w:pPr>
      <w:rPr>
        <w:rFonts w:hint="eastAsia"/>
      </w:rPr>
    </w:lvl>
    <w:lvl w:ilvl="7" w:tentative="0">
      <w:start w:val="1"/>
      <w:numFmt w:val="lowerLetter"/>
      <w:lvlText w:val="%8)"/>
      <w:lvlJc w:val="left"/>
      <w:pPr>
        <w:tabs>
          <w:tab w:val="left" w:pos="3900"/>
        </w:tabs>
        <w:ind w:left="3900" w:hanging="420"/>
      </w:pPr>
      <w:rPr>
        <w:rFonts w:hint="eastAsia"/>
      </w:rPr>
    </w:lvl>
    <w:lvl w:ilvl="8" w:tentative="0">
      <w:start w:val="1"/>
      <w:numFmt w:val="lowerRoman"/>
      <w:lvlText w:val="%9."/>
      <w:lvlJc w:val="right"/>
      <w:pPr>
        <w:tabs>
          <w:tab w:val="left" w:pos="4320"/>
        </w:tabs>
        <w:ind w:left="4320" w:hanging="420"/>
      </w:pPr>
      <w:rPr>
        <w:rFonts w:hint="eastAsia"/>
      </w:rPr>
    </w:lvl>
  </w:abstractNum>
  <w:abstractNum w:abstractNumId="6">
    <w:nsid w:val="10429C71"/>
    <w:multiLevelType w:val="singleLevel"/>
    <w:tmpl w:val="10429C71"/>
    <w:lvl w:ilvl="0" w:tentative="0">
      <w:start w:val="1"/>
      <w:numFmt w:val="decimal"/>
      <w:lvlText w:val="%1."/>
      <w:lvlJc w:val="left"/>
      <w:pPr>
        <w:ind w:left="425" w:hanging="425"/>
      </w:pPr>
      <w:rPr>
        <w:rFonts w:hint="default"/>
      </w:rPr>
    </w:lvl>
  </w:abstractNum>
  <w:abstractNum w:abstractNumId="7">
    <w:nsid w:val="155E6A8F"/>
    <w:multiLevelType w:val="multilevel"/>
    <w:tmpl w:val="155E6A8F"/>
    <w:lvl w:ilvl="0" w:tentative="0">
      <w:start w:val="1"/>
      <w:numFmt w:val="decimal"/>
      <w:lvlText w:val="（%1）"/>
      <w:lvlJc w:val="left"/>
      <w:pPr>
        <w:tabs>
          <w:tab w:val="left" w:pos="1571"/>
        </w:tabs>
        <w:ind w:left="1571" w:hanging="720"/>
      </w:pPr>
      <w:rPr>
        <w:rFonts w:ascii="仿宋_GB2312" w:hAnsi="宋体" w:eastAsia="仿宋_GB2312" w:cs="Times New Roman"/>
      </w:rPr>
    </w:lvl>
    <w:lvl w:ilvl="1" w:tentative="0">
      <w:start w:val="1"/>
      <w:numFmt w:val="lowerLetter"/>
      <w:lvlText w:val="%2)"/>
      <w:lvlJc w:val="left"/>
      <w:pPr>
        <w:tabs>
          <w:tab w:val="left" w:pos="1739"/>
        </w:tabs>
        <w:ind w:left="1739" w:hanging="420"/>
      </w:pPr>
    </w:lvl>
    <w:lvl w:ilvl="2" w:tentative="0">
      <w:start w:val="1"/>
      <w:numFmt w:val="lowerRoman"/>
      <w:lvlText w:val="%3."/>
      <w:lvlJc w:val="right"/>
      <w:pPr>
        <w:tabs>
          <w:tab w:val="left" w:pos="2159"/>
        </w:tabs>
        <w:ind w:left="2159" w:hanging="420"/>
      </w:pPr>
    </w:lvl>
    <w:lvl w:ilvl="3" w:tentative="0">
      <w:start w:val="1"/>
      <w:numFmt w:val="decimal"/>
      <w:lvlText w:val="%4."/>
      <w:lvlJc w:val="left"/>
      <w:pPr>
        <w:tabs>
          <w:tab w:val="left" w:pos="2579"/>
        </w:tabs>
        <w:ind w:left="2579" w:hanging="420"/>
      </w:pPr>
    </w:lvl>
    <w:lvl w:ilvl="4" w:tentative="0">
      <w:start w:val="1"/>
      <w:numFmt w:val="lowerLetter"/>
      <w:lvlText w:val="%5)"/>
      <w:lvlJc w:val="left"/>
      <w:pPr>
        <w:tabs>
          <w:tab w:val="left" w:pos="2999"/>
        </w:tabs>
        <w:ind w:left="2999" w:hanging="420"/>
      </w:pPr>
    </w:lvl>
    <w:lvl w:ilvl="5" w:tentative="0">
      <w:start w:val="1"/>
      <w:numFmt w:val="lowerRoman"/>
      <w:lvlText w:val="%6."/>
      <w:lvlJc w:val="right"/>
      <w:pPr>
        <w:tabs>
          <w:tab w:val="left" w:pos="3419"/>
        </w:tabs>
        <w:ind w:left="3419" w:hanging="420"/>
      </w:pPr>
    </w:lvl>
    <w:lvl w:ilvl="6" w:tentative="0">
      <w:start w:val="1"/>
      <w:numFmt w:val="decimal"/>
      <w:lvlText w:val="%7."/>
      <w:lvlJc w:val="left"/>
      <w:pPr>
        <w:tabs>
          <w:tab w:val="left" w:pos="3839"/>
        </w:tabs>
        <w:ind w:left="3839" w:hanging="420"/>
      </w:pPr>
    </w:lvl>
    <w:lvl w:ilvl="7" w:tentative="0">
      <w:start w:val="1"/>
      <w:numFmt w:val="lowerLetter"/>
      <w:lvlText w:val="%8)"/>
      <w:lvlJc w:val="left"/>
      <w:pPr>
        <w:tabs>
          <w:tab w:val="left" w:pos="4259"/>
        </w:tabs>
        <w:ind w:left="4259" w:hanging="420"/>
      </w:pPr>
    </w:lvl>
    <w:lvl w:ilvl="8" w:tentative="0">
      <w:start w:val="1"/>
      <w:numFmt w:val="lowerRoman"/>
      <w:lvlText w:val="%9."/>
      <w:lvlJc w:val="right"/>
      <w:pPr>
        <w:tabs>
          <w:tab w:val="left" w:pos="4679"/>
        </w:tabs>
        <w:ind w:left="4679" w:hanging="420"/>
      </w:pPr>
    </w:lvl>
  </w:abstractNum>
  <w:abstractNum w:abstractNumId="8">
    <w:nsid w:val="16FF358F"/>
    <w:multiLevelType w:val="singleLevel"/>
    <w:tmpl w:val="16FF358F"/>
    <w:lvl w:ilvl="0" w:tentative="0">
      <w:start w:val="1"/>
      <w:numFmt w:val="decimal"/>
      <w:lvlText w:val="%1."/>
      <w:lvlJc w:val="left"/>
      <w:pPr>
        <w:ind w:left="425" w:hanging="425"/>
      </w:pPr>
      <w:rPr>
        <w:rFonts w:hint="default"/>
      </w:rPr>
    </w:lvl>
  </w:abstractNum>
  <w:abstractNum w:abstractNumId="9">
    <w:nsid w:val="2E8B088B"/>
    <w:multiLevelType w:val="singleLevel"/>
    <w:tmpl w:val="2E8B088B"/>
    <w:lvl w:ilvl="0" w:tentative="0">
      <w:start w:val="1"/>
      <w:numFmt w:val="decimal"/>
      <w:suff w:val="nothing"/>
      <w:lvlText w:val="%1．"/>
      <w:lvlJc w:val="left"/>
      <w:pPr>
        <w:ind w:left="0" w:firstLine="400"/>
      </w:pPr>
      <w:rPr>
        <w:rFonts w:hint="default"/>
      </w:rPr>
    </w:lvl>
  </w:abstractNum>
  <w:num w:numId="1">
    <w:abstractNumId w:val="5"/>
  </w:num>
  <w:num w:numId="2">
    <w:abstractNumId w:val="7"/>
  </w:num>
  <w:num w:numId="3">
    <w:abstractNumId w:val="2"/>
  </w:num>
  <w:num w:numId="4">
    <w:abstractNumId w:val="0"/>
  </w:num>
  <w:num w:numId="5">
    <w:abstractNumId w:val="4"/>
  </w:num>
  <w:num w:numId="6">
    <w:abstractNumId w:val="9"/>
  </w:num>
  <w:num w:numId="7">
    <w:abstractNumId w:val="3"/>
  </w:num>
  <w:num w:numId="8">
    <w:abstractNumId w:val="8"/>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03年范本稿123.doc"/>
    <w:docVar w:name="commondata" w:val="eyJoZGlkIjoiN2MxYzJjZWFiODM2ZTc1NTkyN2VkM2EzMWU0YTlkY2MifQ=="/>
    <w:docVar w:name="VTCASE" w:val="4"/>
    <w:docVar w:name="VTCommandPending" w:val="NONE"/>
  </w:docVars>
  <w:rsids>
    <w:rsidRoot w:val="00887D93"/>
    <w:rsid w:val="000003F8"/>
    <w:rsid w:val="000004CD"/>
    <w:rsid w:val="00000B88"/>
    <w:rsid w:val="00001783"/>
    <w:rsid w:val="00001797"/>
    <w:rsid w:val="000018E2"/>
    <w:rsid w:val="0000273B"/>
    <w:rsid w:val="000041A8"/>
    <w:rsid w:val="000055D7"/>
    <w:rsid w:val="00006413"/>
    <w:rsid w:val="000078F7"/>
    <w:rsid w:val="00014763"/>
    <w:rsid w:val="00014892"/>
    <w:rsid w:val="0001529F"/>
    <w:rsid w:val="000157E2"/>
    <w:rsid w:val="0001668B"/>
    <w:rsid w:val="0001697A"/>
    <w:rsid w:val="000169E1"/>
    <w:rsid w:val="00020D78"/>
    <w:rsid w:val="00021486"/>
    <w:rsid w:val="00021AE8"/>
    <w:rsid w:val="00021CB0"/>
    <w:rsid w:val="00021ED8"/>
    <w:rsid w:val="00022E94"/>
    <w:rsid w:val="0003033F"/>
    <w:rsid w:val="00030B4B"/>
    <w:rsid w:val="00030FAA"/>
    <w:rsid w:val="000313B5"/>
    <w:rsid w:val="000315C4"/>
    <w:rsid w:val="00032B95"/>
    <w:rsid w:val="000333A8"/>
    <w:rsid w:val="0003349B"/>
    <w:rsid w:val="000422D6"/>
    <w:rsid w:val="000434F9"/>
    <w:rsid w:val="00043533"/>
    <w:rsid w:val="00045D67"/>
    <w:rsid w:val="0004677C"/>
    <w:rsid w:val="00047F5E"/>
    <w:rsid w:val="000538CC"/>
    <w:rsid w:val="000541C7"/>
    <w:rsid w:val="00054A8E"/>
    <w:rsid w:val="00055A71"/>
    <w:rsid w:val="00056583"/>
    <w:rsid w:val="00056932"/>
    <w:rsid w:val="00057BB2"/>
    <w:rsid w:val="0006019D"/>
    <w:rsid w:val="000608CE"/>
    <w:rsid w:val="000612B3"/>
    <w:rsid w:val="000619FE"/>
    <w:rsid w:val="00061B68"/>
    <w:rsid w:val="0006254B"/>
    <w:rsid w:val="00062F6D"/>
    <w:rsid w:val="000634E0"/>
    <w:rsid w:val="00063504"/>
    <w:rsid w:val="00063750"/>
    <w:rsid w:val="00063848"/>
    <w:rsid w:val="00064D90"/>
    <w:rsid w:val="00065379"/>
    <w:rsid w:val="000673C5"/>
    <w:rsid w:val="00070907"/>
    <w:rsid w:val="000710A4"/>
    <w:rsid w:val="000719AB"/>
    <w:rsid w:val="00071A8D"/>
    <w:rsid w:val="000731AC"/>
    <w:rsid w:val="00073668"/>
    <w:rsid w:val="00073852"/>
    <w:rsid w:val="0007437C"/>
    <w:rsid w:val="00076670"/>
    <w:rsid w:val="00080A9E"/>
    <w:rsid w:val="00080B56"/>
    <w:rsid w:val="00080FC7"/>
    <w:rsid w:val="00081B91"/>
    <w:rsid w:val="00081D11"/>
    <w:rsid w:val="00083115"/>
    <w:rsid w:val="00087D90"/>
    <w:rsid w:val="00091306"/>
    <w:rsid w:val="00092DF6"/>
    <w:rsid w:val="00093269"/>
    <w:rsid w:val="00093645"/>
    <w:rsid w:val="0009376D"/>
    <w:rsid w:val="000938B0"/>
    <w:rsid w:val="00094850"/>
    <w:rsid w:val="00094D7A"/>
    <w:rsid w:val="00096150"/>
    <w:rsid w:val="00096ABA"/>
    <w:rsid w:val="00096F54"/>
    <w:rsid w:val="000A31C4"/>
    <w:rsid w:val="000A3727"/>
    <w:rsid w:val="000A378F"/>
    <w:rsid w:val="000A49C1"/>
    <w:rsid w:val="000A799B"/>
    <w:rsid w:val="000B097D"/>
    <w:rsid w:val="000B0FD5"/>
    <w:rsid w:val="000B1F67"/>
    <w:rsid w:val="000B3242"/>
    <w:rsid w:val="000B3392"/>
    <w:rsid w:val="000B362F"/>
    <w:rsid w:val="000B366A"/>
    <w:rsid w:val="000B3958"/>
    <w:rsid w:val="000B4D5A"/>
    <w:rsid w:val="000B54A2"/>
    <w:rsid w:val="000B6C50"/>
    <w:rsid w:val="000B7166"/>
    <w:rsid w:val="000B7F8A"/>
    <w:rsid w:val="000C0FDF"/>
    <w:rsid w:val="000C15AF"/>
    <w:rsid w:val="000C3524"/>
    <w:rsid w:val="000C3A1F"/>
    <w:rsid w:val="000C5071"/>
    <w:rsid w:val="000C55ED"/>
    <w:rsid w:val="000C6555"/>
    <w:rsid w:val="000C6B1E"/>
    <w:rsid w:val="000C6F86"/>
    <w:rsid w:val="000C78AE"/>
    <w:rsid w:val="000D10E4"/>
    <w:rsid w:val="000D1613"/>
    <w:rsid w:val="000D19C1"/>
    <w:rsid w:val="000D1D95"/>
    <w:rsid w:val="000D4821"/>
    <w:rsid w:val="000D498D"/>
    <w:rsid w:val="000D4E69"/>
    <w:rsid w:val="000D5125"/>
    <w:rsid w:val="000D51DB"/>
    <w:rsid w:val="000D5894"/>
    <w:rsid w:val="000D751E"/>
    <w:rsid w:val="000D7812"/>
    <w:rsid w:val="000E1288"/>
    <w:rsid w:val="000E3784"/>
    <w:rsid w:val="000E37E0"/>
    <w:rsid w:val="000E47A0"/>
    <w:rsid w:val="000E56F6"/>
    <w:rsid w:val="000E597F"/>
    <w:rsid w:val="000E5BFC"/>
    <w:rsid w:val="000E6242"/>
    <w:rsid w:val="000E67B9"/>
    <w:rsid w:val="000E694F"/>
    <w:rsid w:val="000E7158"/>
    <w:rsid w:val="000E74D4"/>
    <w:rsid w:val="000F2D05"/>
    <w:rsid w:val="000F2EEE"/>
    <w:rsid w:val="000F349B"/>
    <w:rsid w:val="000F3ED4"/>
    <w:rsid w:val="000F4234"/>
    <w:rsid w:val="000F5B22"/>
    <w:rsid w:val="000F6215"/>
    <w:rsid w:val="000F63C8"/>
    <w:rsid w:val="000F6581"/>
    <w:rsid w:val="00102417"/>
    <w:rsid w:val="001032CC"/>
    <w:rsid w:val="00105B0B"/>
    <w:rsid w:val="00106A8B"/>
    <w:rsid w:val="0011024E"/>
    <w:rsid w:val="0011113E"/>
    <w:rsid w:val="00111480"/>
    <w:rsid w:val="00112163"/>
    <w:rsid w:val="00114579"/>
    <w:rsid w:val="0011463E"/>
    <w:rsid w:val="00114CA2"/>
    <w:rsid w:val="00115BF1"/>
    <w:rsid w:val="00120292"/>
    <w:rsid w:val="0012032C"/>
    <w:rsid w:val="0012244B"/>
    <w:rsid w:val="001224B5"/>
    <w:rsid w:val="00122643"/>
    <w:rsid w:val="00122E9B"/>
    <w:rsid w:val="0012425B"/>
    <w:rsid w:val="001244F8"/>
    <w:rsid w:val="001247F0"/>
    <w:rsid w:val="001252D8"/>
    <w:rsid w:val="001257D4"/>
    <w:rsid w:val="001313C6"/>
    <w:rsid w:val="00131E0D"/>
    <w:rsid w:val="0013359E"/>
    <w:rsid w:val="00137694"/>
    <w:rsid w:val="0014049E"/>
    <w:rsid w:val="00141EAC"/>
    <w:rsid w:val="00141EC4"/>
    <w:rsid w:val="00142833"/>
    <w:rsid w:val="00143652"/>
    <w:rsid w:val="00143CDB"/>
    <w:rsid w:val="0014470E"/>
    <w:rsid w:val="0014488E"/>
    <w:rsid w:val="0014627C"/>
    <w:rsid w:val="00146D60"/>
    <w:rsid w:val="00146E10"/>
    <w:rsid w:val="00147659"/>
    <w:rsid w:val="00150E43"/>
    <w:rsid w:val="0015142E"/>
    <w:rsid w:val="001532F0"/>
    <w:rsid w:val="00154FB3"/>
    <w:rsid w:val="001550F4"/>
    <w:rsid w:val="00155D60"/>
    <w:rsid w:val="00156F33"/>
    <w:rsid w:val="00157612"/>
    <w:rsid w:val="00157C74"/>
    <w:rsid w:val="00157D8E"/>
    <w:rsid w:val="00161678"/>
    <w:rsid w:val="00161D71"/>
    <w:rsid w:val="00162805"/>
    <w:rsid w:val="00164959"/>
    <w:rsid w:val="00165014"/>
    <w:rsid w:val="0017180F"/>
    <w:rsid w:val="00172939"/>
    <w:rsid w:val="00172F97"/>
    <w:rsid w:val="001733C3"/>
    <w:rsid w:val="00173BFF"/>
    <w:rsid w:val="00173D06"/>
    <w:rsid w:val="00173DC3"/>
    <w:rsid w:val="00174749"/>
    <w:rsid w:val="00174764"/>
    <w:rsid w:val="00174FCA"/>
    <w:rsid w:val="001758A8"/>
    <w:rsid w:val="00175AFB"/>
    <w:rsid w:val="00176F12"/>
    <w:rsid w:val="001770BE"/>
    <w:rsid w:val="00177A3E"/>
    <w:rsid w:val="001839F8"/>
    <w:rsid w:val="00183E4B"/>
    <w:rsid w:val="00185E58"/>
    <w:rsid w:val="001871F8"/>
    <w:rsid w:val="00187B13"/>
    <w:rsid w:val="00187EB4"/>
    <w:rsid w:val="00191A05"/>
    <w:rsid w:val="0019282C"/>
    <w:rsid w:val="001952EC"/>
    <w:rsid w:val="00195570"/>
    <w:rsid w:val="0019618B"/>
    <w:rsid w:val="001963DD"/>
    <w:rsid w:val="00196FA0"/>
    <w:rsid w:val="001A282B"/>
    <w:rsid w:val="001A3B44"/>
    <w:rsid w:val="001A3BEB"/>
    <w:rsid w:val="001A5B0B"/>
    <w:rsid w:val="001A5EEB"/>
    <w:rsid w:val="001A62A5"/>
    <w:rsid w:val="001A6980"/>
    <w:rsid w:val="001A7068"/>
    <w:rsid w:val="001B05CA"/>
    <w:rsid w:val="001B3B4C"/>
    <w:rsid w:val="001B4216"/>
    <w:rsid w:val="001B49A4"/>
    <w:rsid w:val="001B521B"/>
    <w:rsid w:val="001B5C9A"/>
    <w:rsid w:val="001B5CC8"/>
    <w:rsid w:val="001B6587"/>
    <w:rsid w:val="001C0582"/>
    <w:rsid w:val="001C058D"/>
    <w:rsid w:val="001C4E93"/>
    <w:rsid w:val="001C54C3"/>
    <w:rsid w:val="001C577E"/>
    <w:rsid w:val="001D027D"/>
    <w:rsid w:val="001D0412"/>
    <w:rsid w:val="001D4A1E"/>
    <w:rsid w:val="001D6C02"/>
    <w:rsid w:val="001D70E9"/>
    <w:rsid w:val="001E181E"/>
    <w:rsid w:val="001E1DCD"/>
    <w:rsid w:val="001E25CB"/>
    <w:rsid w:val="001E4481"/>
    <w:rsid w:val="001E44EF"/>
    <w:rsid w:val="001E5225"/>
    <w:rsid w:val="001E5AD9"/>
    <w:rsid w:val="001E62FA"/>
    <w:rsid w:val="001E674E"/>
    <w:rsid w:val="001E6C1A"/>
    <w:rsid w:val="001E7629"/>
    <w:rsid w:val="001E7846"/>
    <w:rsid w:val="001E7E8B"/>
    <w:rsid w:val="001F02D8"/>
    <w:rsid w:val="001F20DA"/>
    <w:rsid w:val="001F2F0B"/>
    <w:rsid w:val="001F3130"/>
    <w:rsid w:val="001F325D"/>
    <w:rsid w:val="001F3E0A"/>
    <w:rsid w:val="001F5620"/>
    <w:rsid w:val="001F5903"/>
    <w:rsid w:val="001F624A"/>
    <w:rsid w:val="001F7292"/>
    <w:rsid w:val="001F7B07"/>
    <w:rsid w:val="002001DC"/>
    <w:rsid w:val="002032B0"/>
    <w:rsid w:val="00203618"/>
    <w:rsid w:val="00203778"/>
    <w:rsid w:val="0020407A"/>
    <w:rsid w:val="00206B42"/>
    <w:rsid w:val="00207B86"/>
    <w:rsid w:val="00210AE7"/>
    <w:rsid w:val="002123C7"/>
    <w:rsid w:val="002124BD"/>
    <w:rsid w:val="00213411"/>
    <w:rsid w:val="00214C91"/>
    <w:rsid w:val="0021518F"/>
    <w:rsid w:val="00215B2E"/>
    <w:rsid w:val="00216D4F"/>
    <w:rsid w:val="00216E43"/>
    <w:rsid w:val="00220866"/>
    <w:rsid w:val="00220E32"/>
    <w:rsid w:val="00220F85"/>
    <w:rsid w:val="00221DE5"/>
    <w:rsid w:val="00221E50"/>
    <w:rsid w:val="002231A4"/>
    <w:rsid w:val="00223245"/>
    <w:rsid w:val="00224447"/>
    <w:rsid w:val="00224A77"/>
    <w:rsid w:val="0022671D"/>
    <w:rsid w:val="0022758C"/>
    <w:rsid w:val="0023090E"/>
    <w:rsid w:val="00231C64"/>
    <w:rsid w:val="00232C22"/>
    <w:rsid w:val="0023318A"/>
    <w:rsid w:val="00233ADF"/>
    <w:rsid w:val="00236A9B"/>
    <w:rsid w:val="0023715B"/>
    <w:rsid w:val="00237592"/>
    <w:rsid w:val="002402C0"/>
    <w:rsid w:val="0024141B"/>
    <w:rsid w:val="00242361"/>
    <w:rsid w:val="00244A0E"/>
    <w:rsid w:val="00244F73"/>
    <w:rsid w:val="00245783"/>
    <w:rsid w:val="00247E67"/>
    <w:rsid w:val="002501BB"/>
    <w:rsid w:val="002509CA"/>
    <w:rsid w:val="00250C1D"/>
    <w:rsid w:val="00251A29"/>
    <w:rsid w:val="00251B89"/>
    <w:rsid w:val="00252AAF"/>
    <w:rsid w:val="00253615"/>
    <w:rsid w:val="00253950"/>
    <w:rsid w:val="00254F7E"/>
    <w:rsid w:val="0025569E"/>
    <w:rsid w:val="002564FE"/>
    <w:rsid w:val="002603EB"/>
    <w:rsid w:val="00261FEB"/>
    <w:rsid w:val="00262A4F"/>
    <w:rsid w:val="00264327"/>
    <w:rsid w:val="002650F1"/>
    <w:rsid w:val="00266403"/>
    <w:rsid w:val="00266406"/>
    <w:rsid w:val="002679CA"/>
    <w:rsid w:val="00270373"/>
    <w:rsid w:val="00272722"/>
    <w:rsid w:val="002745E7"/>
    <w:rsid w:val="00275D57"/>
    <w:rsid w:val="002760AC"/>
    <w:rsid w:val="00276A3B"/>
    <w:rsid w:val="00277935"/>
    <w:rsid w:val="00277E8E"/>
    <w:rsid w:val="002804D8"/>
    <w:rsid w:val="00280DD6"/>
    <w:rsid w:val="002810E7"/>
    <w:rsid w:val="002822AE"/>
    <w:rsid w:val="00282496"/>
    <w:rsid w:val="00283033"/>
    <w:rsid w:val="002854DC"/>
    <w:rsid w:val="002859A3"/>
    <w:rsid w:val="0028616B"/>
    <w:rsid w:val="00290CDE"/>
    <w:rsid w:val="00290DE2"/>
    <w:rsid w:val="00291E87"/>
    <w:rsid w:val="00294129"/>
    <w:rsid w:val="002941B7"/>
    <w:rsid w:val="002959CC"/>
    <w:rsid w:val="002968A8"/>
    <w:rsid w:val="00297ED3"/>
    <w:rsid w:val="002A0AA2"/>
    <w:rsid w:val="002A0C27"/>
    <w:rsid w:val="002A1414"/>
    <w:rsid w:val="002A2315"/>
    <w:rsid w:val="002A2732"/>
    <w:rsid w:val="002A2D72"/>
    <w:rsid w:val="002A3153"/>
    <w:rsid w:val="002A6C9C"/>
    <w:rsid w:val="002A7A68"/>
    <w:rsid w:val="002B36A1"/>
    <w:rsid w:val="002B64E4"/>
    <w:rsid w:val="002C05B8"/>
    <w:rsid w:val="002C0F6F"/>
    <w:rsid w:val="002C10AC"/>
    <w:rsid w:val="002C1F27"/>
    <w:rsid w:val="002C2AE8"/>
    <w:rsid w:val="002C2FF3"/>
    <w:rsid w:val="002C3A5A"/>
    <w:rsid w:val="002C4227"/>
    <w:rsid w:val="002C4ABE"/>
    <w:rsid w:val="002C71EC"/>
    <w:rsid w:val="002C7548"/>
    <w:rsid w:val="002C780B"/>
    <w:rsid w:val="002C7E47"/>
    <w:rsid w:val="002D1BA1"/>
    <w:rsid w:val="002D2C13"/>
    <w:rsid w:val="002D2FFB"/>
    <w:rsid w:val="002D4E0A"/>
    <w:rsid w:val="002D4E16"/>
    <w:rsid w:val="002D4F0F"/>
    <w:rsid w:val="002D4FA3"/>
    <w:rsid w:val="002D505C"/>
    <w:rsid w:val="002D5DF8"/>
    <w:rsid w:val="002D7759"/>
    <w:rsid w:val="002E127E"/>
    <w:rsid w:val="002E334D"/>
    <w:rsid w:val="002E486A"/>
    <w:rsid w:val="002E53C0"/>
    <w:rsid w:val="002E7166"/>
    <w:rsid w:val="002E766C"/>
    <w:rsid w:val="002E7A9E"/>
    <w:rsid w:val="002F02C8"/>
    <w:rsid w:val="002F0A07"/>
    <w:rsid w:val="002F2D5F"/>
    <w:rsid w:val="002F3072"/>
    <w:rsid w:val="002F3AF8"/>
    <w:rsid w:val="002F46DC"/>
    <w:rsid w:val="002F5145"/>
    <w:rsid w:val="002F5CB9"/>
    <w:rsid w:val="002F659B"/>
    <w:rsid w:val="002F683C"/>
    <w:rsid w:val="00305764"/>
    <w:rsid w:val="00310C52"/>
    <w:rsid w:val="0031140B"/>
    <w:rsid w:val="00312F1A"/>
    <w:rsid w:val="00314E3D"/>
    <w:rsid w:val="00317120"/>
    <w:rsid w:val="003171BB"/>
    <w:rsid w:val="0032100C"/>
    <w:rsid w:val="003212C2"/>
    <w:rsid w:val="0032144E"/>
    <w:rsid w:val="00321921"/>
    <w:rsid w:val="00321926"/>
    <w:rsid w:val="00322C1C"/>
    <w:rsid w:val="00322E43"/>
    <w:rsid w:val="003238BD"/>
    <w:rsid w:val="00327707"/>
    <w:rsid w:val="00330334"/>
    <w:rsid w:val="0033060D"/>
    <w:rsid w:val="003318F3"/>
    <w:rsid w:val="00331A7D"/>
    <w:rsid w:val="00331ECA"/>
    <w:rsid w:val="00333153"/>
    <w:rsid w:val="00333919"/>
    <w:rsid w:val="00333D91"/>
    <w:rsid w:val="00334F3E"/>
    <w:rsid w:val="003379AF"/>
    <w:rsid w:val="00337C5C"/>
    <w:rsid w:val="00343E4C"/>
    <w:rsid w:val="003466C4"/>
    <w:rsid w:val="0034779B"/>
    <w:rsid w:val="003478FB"/>
    <w:rsid w:val="00351550"/>
    <w:rsid w:val="00351ABD"/>
    <w:rsid w:val="00352BC8"/>
    <w:rsid w:val="00355D82"/>
    <w:rsid w:val="00356CAF"/>
    <w:rsid w:val="0035739A"/>
    <w:rsid w:val="0036041B"/>
    <w:rsid w:val="00361177"/>
    <w:rsid w:val="003612A6"/>
    <w:rsid w:val="00363EC8"/>
    <w:rsid w:val="0036400E"/>
    <w:rsid w:val="00364B1F"/>
    <w:rsid w:val="003671F3"/>
    <w:rsid w:val="00367712"/>
    <w:rsid w:val="00367C88"/>
    <w:rsid w:val="00367DB2"/>
    <w:rsid w:val="00370155"/>
    <w:rsid w:val="00370B19"/>
    <w:rsid w:val="00371139"/>
    <w:rsid w:val="00371C8C"/>
    <w:rsid w:val="00372779"/>
    <w:rsid w:val="00373408"/>
    <w:rsid w:val="003748EB"/>
    <w:rsid w:val="00375DCD"/>
    <w:rsid w:val="00376F36"/>
    <w:rsid w:val="003800A6"/>
    <w:rsid w:val="0038151E"/>
    <w:rsid w:val="00382FFA"/>
    <w:rsid w:val="003839DF"/>
    <w:rsid w:val="00383B0A"/>
    <w:rsid w:val="0038491D"/>
    <w:rsid w:val="00385E7A"/>
    <w:rsid w:val="00386A20"/>
    <w:rsid w:val="00387606"/>
    <w:rsid w:val="00387983"/>
    <w:rsid w:val="0039056C"/>
    <w:rsid w:val="00391DD2"/>
    <w:rsid w:val="003925E1"/>
    <w:rsid w:val="00393D74"/>
    <w:rsid w:val="003943A7"/>
    <w:rsid w:val="00396A66"/>
    <w:rsid w:val="003A0D00"/>
    <w:rsid w:val="003A0E06"/>
    <w:rsid w:val="003A1A69"/>
    <w:rsid w:val="003A27D9"/>
    <w:rsid w:val="003A37B8"/>
    <w:rsid w:val="003A582F"/>
    <w:rsid w:val="003A6B72"/>
    <w:rsid w:val="003B020F"/>
    <w:rsid w:val="003B26A2"/>
    <w:rsid w:val="003B3917"/>
    <w:rsid w:val="003B41D9"/>
    <w:rsid w:val="003B4356"/>
    <w:rsid w:val="003B4CEF"/>
    <w:rsid w:val="003B5422"/>
    <w:rsid w:val="003B6694"/>
    <w:rsid w:val="003B7293"/>
    <w:rsid w:val="003C4C52"/>
    <w:rsid w:val="003C53B2"/>
    <w:rsid w:val="003C6422"/>
    <w:rsid w:val="003C6C9A"/>
    <w:rsid w:val="003C7950"/>
    <w:rsid w:val="003D352C"/>
    <w:rsid w:val="003D359E"/>
    <w:rsid w:val="003D4B1E"/>
    <w:rsid w:val="003D51FB"/>
    <w:rsid w:val="003D6961"/>
    <w:rsid w:val="003D6BCD"/>
    <w:rsid w:val="003D6E2A"/>
    <w:rsid w:val="003E22FA"/>
    <w:rsid w:val="003E2C77"/>
    <w:rsid w:val="003E2C89"/>
    <w:rsid w:val="003E3C14"/>
    <w:rsid w:val="003E63BB"/>
    <w:rsid w:val="003E6516"/>
    <w:rsid w:val="003E747A"/>
    <w:rsid w:val="003F0149"/>
    <w:rsid w:val="003F0992"/>
    <w:rsid w:val="003F11BD"/>
    <w:rsid w:val="003F17CA"/>
    <w:rsid w:val="003F4748"/>
    <w:rsid w:val="003F61AC"/>
    <w:rsid w:val="00401267"/>
    <w:rsid w:val="00401B70"/>
    <w:rsid w:val="00402836"/>
    <w:rsid w:val="0040298F"/>
    <w:rsid w:val="0040367C"/>
    <w:rsid w:val="00404B23"/>
    <w:rsid w:val="00405154"/>
    <w:rsid w:val="00405DA6"/>
    <w:rsid w:val="004109B8"/>
    <w:rsid w:val="00412221"/>
    <w:rsid w:val="0041238C"/>
    <w:rsid w:val="00412524"/>
    <w:rsid w:val="00412829"/>
    <w:rsid w:val="0041314E"/>
    <w:rsid w:val="00414EDB"/>
    <w:rsid w:val="004164DF"/>
    <w:rsid w:val="00417107"/>
    <w:rsid w:val="00417EAE"/>
    <w:rsid w:val="00420C2B"/>
    <w:rsid w:val="0042141B"/>
    <w:rsid w:val="00423F6F"/>
    <w:rsid w:val="004249CB"/>
    <w:rsid w:val="004257D5"/>
    <w:rsid w:val="00425ED5"/>
    <w:rsid w:val="00425FB2"/>
    <w:rsid w:val="004261AF"/>
    <w:rsid w:val="00426BB0"/>
    <w:rsid w:val="00427BE9"/>
    <w:rsid w:val="004317BA"/>
    <w:rsid w:val="00433EEA"/>
    <w:rsid w:val="00433F68"/>
    <w:rsid w:val="00436CDF"/>
    <w:rsid w:val="00436D8A"/>
    <w:rsid w:val="0044052A"/>
    <w:rsid w:val="004408B0"/>
    <w:rsid w:val="004408EE"/>
    <w:rsid w:val="00441C7F"/>
    <w:rsid w:val="00441E5E"/>
    <w:rsid w:val="00443F3A"/>
    <w:rsid w:val="0044515D"/>
    <w:rsid w:val="0044524F"/>
    <w:rsid w:val="004460A0"/>
    <w:rsid w:val="0044654E"/>
    <w:rsid w:val="00446B2D"/>
    <w:rsid w:val="004504F2"/>
    <w:rsid w:val="00450C1F"/>
    <w:rsid w:val="00455240"/>
    <w:rsid w:val="0045705D"/>
    <w:rsid w:val="00457157"/>
    <w:rsid w:val="00457AEF"/>
    <w:rsid w:val="00457FD7"/>
    <w:rsid w:val="0046046C"/>
    <w:rsid w:val="00463430"/>
    <w:rsid w:val="004634A3"/>
    <w:rsid w:val="004645F0"/>
    <w:rsid w:val="004653F6"/>
    <w:rsid w:val="004663F3"/>
    <w:rsid w:val="00467553"/>
    <w:rsid w:val="0046779A"/>
    <w:rsid w:val="00471F78"/>
    <w:rsid w:val="00473B94"/>
    <w:rsid w:val="00473DC2"/>
    <w:rsid w:val="0047547F"/>
    <w:rsid w:val="0047556E"/>
    <w:rsid w:val="00475991"/>
    <w:rsid w:val="00475B13"/>
    <w:rsid w:val="00476DBB"/>
    <w:rsid w:val="004801F5"/>
    <w:rsid w:val="00480D8D"/>
    <w:rsid w:val="004814E5"/>
    <w:rsid w:val="0048151D"/>
    <w:rsid w:val="00484641"/>
    <w:rsid w:val="004846F8"/>
    <w:rsid w:val="00485EFC"/>
    <w:rsid w:val="00490080"/>
    <w:rsid w:val="0049045E"/>
    <w:rsid w:val="00490A94"/>
    <w:rsid w:val="004911E4"/>
    <w:rsid w:val="004912F4"/>
    <w:rsid w:val="00491574"/>
    <w:rsid w:val="00491D00"/>
    <w:rsid w:val="004922BC"/>
    <w:rsid w:val="00492522"/>
    <w:rsid w:val="00492CE8"/>
    <w:rsid w:val="00492FCC"/>
    <w:rsid w:val="00493558"/>
    <w:rsid w:val="00493B59"/>
    <w:rsid w:val="00493EC9"/>
    <w:rsid w:val="00494ECE"/>
    <w:rsid w:val="00495251"/>
    <w:rsid w:val="00495B0C"/>
    <w:rsid w:val="004962FC"/>
    <w:rsid w:val="004963A5"/>
    <w:rsid w:val="004A05E5"/>
    <w:rsid w:val="004A09BD"/>
    <w:rsid w:val="004A1759"/>
    <w:rsid w:val="004A2275"/>
    <w:rsid w:val="004A3872"/>
    <w:rsid w:val="004A3AC0"/>
    <w:rsid w:val="004A42D0"/>
    <w:rsid w:val="004A4ED0"/>
    <w:rsid w:val="004A5081"/>
    <w:rsid w:val="004A6F61"/>
    <w:rsid w:val="004B0706"/>
    <w:rsid w:val="004B0F5D"/>
    <w:rsid w:val="004B22B1"/>
    <w:rsid w:val="004B3467"/>
    <w:rsid w:val="004B46E5"/>
    <w:rsid w:val="004B6542"/>
    <w:rsid w:val="004B72A3"/>
    <w:rsid w:val="004C1E33"/>
    <w:rsid w:val="004C6870"/>
    <w:rsid w:val="004D29A3"/>
    <w:rsid w:val="004D4D48"/>
    <w:rsid w:val="004D5250"/>
    <w:rsid w:val="004D6AD9"/>
    <w:rsid w:val="004E0517"/>
    <w:rsid w:val="004E0C12"/>
    <w:rsid w:val="004E13F0"/>
    <w:rsid w:val="004E2C84"/>
    <w:rsid w:val="004E4838"/>
    <w:rsid w:val="004E4854"/>
    <w:rsid w:val="004E5FCE"/>
    <w:rsid w:val="004F036B"/>
    <w:rsid w:val="004F052D"/>
    <w:rsid w:val="004F0E54"/>
    <w:rsid w:val="004F21C3"/>
    <w:rsid w:val="004F5B43"/>
    <w:rsid w:val="004F7B7E"/>
    <w:rsid w:val="00501785"/>
    <w:rsid w:val="00503724"/>
    <w:rsid w:val="00504E3C"/>
    <w:rsid w:val="0050520F"/>
    <w:rsid w:val="00506888"/>
    <w:rsid w:val="00507970"/>
    <w:rsid w:val="00507AD5"/>
    <w:rsid w:val="00513F7C"/>
    <w:rsid w:val="005149B8"/>
    <w:rsid w:val="005168FA"/>
    <w:rsid w:val="005175C0"/>
    <w:rsid w:val="00520001"/>
    <w:rsid w:val="00521717"/>
    <w:rsid w:val="0052391C"/>
    <w:rsid w:val="0052393A"/>
    <w:rsid w:val="00527C12"/>
    <w:rsid w:val="00530942"/>
    <w:rsid w:val="00530C3F"/>
    <w:rsid w:val="005322F7"/>
    <w:rsid w:val="00532B1D"/>
    <w:rsid w:val="00533524"/>
    <w:rsid w:val="00534347"/>
    <w:rsid w:val="005373CA"/>
    <w:rsid w:val="00540C55"/>
    <w:rsid w:val="0054145D"/>
    <w:rsid w:val="00542227"/>
    <w:rsid w:val="005422EB"/>
    <w:rsid w:val="00542C08"/>
    <w:rsid w:val="0054426F"/>
    <w:rsid w:val="0054508F"/>
    <w:rsid w:val="00546DE6"/>
    <w:rsid w:val="00546F3A"/>
    <w:rsid w:val="005475C6"/>
    <w:rsid w:val="00547EA1"/>
    <w:rsid w:val="00550C61"/>
    <w:rsid w:val="00552FBA"/>
    <w:rsid w:val="005547AE"/>
    <w:rsid w:val="00554D9D"/>
    <w:rsid w:val="00555A82"/>
    <w:rsid w:val="00556C52"/>
    <w:rsid w:val="00557EC6"/>
    <w:rsid w:val="0056008C"/>
    <w:rsid w:val="00560E97"/>
    <w:rsid w:val="00570A8A"/>
    <w:rsid w:val="00571BE1"/>
    <w:rsid w:val="0057268E"/>
    <w:rsid w:val="00573C95"/>
    <w:rsid w:val="005744DE"/>
    <w:rsid w:val="005750B7"/>
    <w:rsid w:val="0057541B"/>
    <w:rsid w:val="005806C7"/>
    <w:rsid w:val="00581D60"/>
    <w:rsid w:val="005825DD"/>
    <w:rsid w:val="00582CA5"/>
    <w:rsid w:val="00582FE9"/>
    <w:rsid w:val="00584703"/>
    <w:rsid w:val="0058511B"/>
    <w:rsid w:val="005852AF"/>
    <w:rsid w:val="00585E1D"/>
    <w:rsid w:val="00586027"/>
    <w:rsid w:val="005867FB"/>
    <w:rsid w:val="00586FF5"/>
    <w:rsid w:val="00591FF8"/>
    <w:rsid w:val="00596ED3"/>
    <w:rsid w:val="005A0332"/>
    <w:rsid w:val="005A1634"/>
    <w:rsid w:val="005A1737"/>
    <w:rsid w:val="005A1914"/>
    <w:rsid w:val="005A1D6F"/>
    <w:rsid w:val="005A378B"/>
    <w:rsid w:val="005A3804"/>
    <w:rsid w:val="005A40B3"/>
    <w:rsid w:val="005A6376"/>
    <w:rsid w:val="005A7536"/>
    <w:rsid w:val="005A7B43"/>
    <w:rsid w:val="005A7FAA"/>
    <w:rsid w:val="005B1361"/>
    <w:rsid w:val="005B177D"/>
    <w:rsid w:val="005B3B4A"/>
    <w:rsid w:val="005B4C4C"/>
    <w:rsid w:val="005B71D2"/>
    <w:rsid w:val="005B7966"/>
    <w:rsid w:val="005C0341"/>
    <w:rsid w:val="005C3CDD"/>
    <w:rsid w:val="005C46E4"/>
    <w:rsid w:val="005C6801"/>
    <w:rsid w:val="005D10C8"/>
    <w:rsid w:val="005D2B33"/>
    <w:rsid w:val="005D2FE9"/>
    <w:rsid w:val="005D33EE"/>
    <w:rsid w:val="005D3437"/>
    <w:rsid w:val="005D43ED"/>
    <w:rsid w:val="005D4B36"/>
    <w:rsid w:val="005D5B37"/>
    <w:rsid w:val="005D6D35"/>
    <w:rsid w:val="005E1062"/>
    <w:rsid w:val="005E12BD"/>
    <w:rsid w:val="005E132E"/>
    <w:rsid w:val="005E1F41"/>
    <w:rsid w:val="005E305E"/>
    <w:rsid w:val="005E3907"/>
    <w:rsid w:val="005E3ECC"/>
    <w:rsid w:val="005E4686"/>
    <w:rsid w:val="005E53A4"/>
    <w:rsid w:val="005F1F63"/>
    <w:rsid w:val="005F324D"/>
    <w:rsid w:val="005F42C9"/>
    <w:rsid w:val="005F4C0F"/>
    <w:rsid w:val="005F58B2"/>
    <w:rsid w:val="005F5BD6"/>
    <w:rsid w:val="005F60A0"/>
    <w:rsid w:val="006011F9"/>
    <w:rsid w:val="006016B0"/>
    <w:rsid w:val="00602247"/>
    <w:rsid w:val="00602B16"/>
    <w:rsid w:val="006054AE"/>
    <w:rsid w:val="006061E9"/>
    <w:rsid w:val="006065BA"/>
    <w:rsid w:val="00606661"/>
    <w:rsid w:val="00612A91"/>
    <w:rsid w:val="006156AB"/>
    <w:rsid w:val="00615BD4"/>
    <w:rsid w:val="00617367"/>
    <w:rsid w:val="006176D9"/>
    <w:rsid w:val="0062063C"/>
    <w:rsid w:val="00620ACB"/>
    <w:rsid w:val="00621EEA"/>
    <w:rsid w:val="00622049"/>
    <w:rsid w:val="00622E7C"/>
    <w:rsid w:val="00625082"/>
    <w:rsid w:val="00625736"/>
    <w:rsid w:val="00625BF4"/>
    <w:rsid w:val="006266E4"/>
    <w:rsid w:val="006267AC"/>
    <w:rsid w:val="00626E16"/>
    <w:rsid w:val="006275F8"/>
    <w:rsid w:val="00630C8F"/>
    <w:rsid w:val="0063126C"/>
    <w:rsid w:val="006321D9"/>
    <w:rsid w:val="00635ACD"/>
    <w:rsid w:val="006379BF"/>
    <w:rsid w:val="00641758"/>
    <w:rsid w:val="00645F9B"/>
    <w:rsid w:val="006462F4"/>
    <w:rsid w:val="00646C7B"/>
    <w:rsid w:val="00650EEA"/>
    <w:rsid w:val="00652109"/>
    <w:rsid w:val="00653EEF"/>
    <w:rsid w:val="00654361"/>
    <w:rsid w:val="00656A74"/>
    <w:rsid w:val="00656DB1"/>
    <w:rsid w:val="0065706C"/>
    <w:rsid w:val="006570F3"/>
    <w:rsid w:val="006574CA"/>
    <w:rsid w:val="00661D58"/>
    <w:rsid w:val="00662D1D"/>
    <w:rsid w:val="00663087"/>
    <w:rsid w:val="0066317C"/>
    <w:rsid w:val="00663681"/>
    <w:rsid w:val="00664A96"/>
    <w:rsid w:val="0066518E"/>
    <w:rsid w:val="00666E6E"/>
    <w:rsid w:val="00667926"/>
    <w:rsid w:val="00672312"/>
    <w:rsid w:val="00672A07"/>
    <w:rsid w:val="00672A3D"/>
    <w:rsid w:val="00673284"/>
    <w:rsid w:val="00673C56"/>
    <w:rsid w:val="0067463F"/>
    <w:rsid w:val="00674E3C"/>
    <w:rsid w:val="00675947"/>
    <w:rsid w:val="00684218"/>
    <w:rsid w:val="00684A17"/>
    <w:rsid w:val="0068548A"/>
    <w:rsid w:val="00686ACA"/>
    <w:rsid w:val="006875D7"/>
    <w:rsid w:val="00687A0D"/>
    <w:rsid w:val="006904AF"/>
    <w:rsid w:val="00695821"/>
    <w:rsid w:val="006959CB"/>
    <w:rsid w:val="0069607D"/>
    <w:rsid w:val="006960C5"/>
    <w:rsid w:val="0069704C"/>
    <w:rsid w:val="006A05F8"/>
    <w:rsid w:val="006A0897"/>
    <w:rsid w:val="006A27B1"/>
    <w:rsid w:val="006A4246"/>
    <w:rsid w:val="006A56B9"/>
    <w:rsid w:val="006A64EB"/>
    <w:rsid w:val="006A7750"/>
    <w:rsid w:val="006A7FD4"/>
    <w:rsid w:val="006B0E91"/>
    <w:rsid w:val="006B1891"/>
    <w:rsid w:val="006B37AE"/>
    <w:rsid w:val="006B3A39"/>
    <w:rsid w:val="006B3C07"/>
    <w:rsid w:val="006B476E"/>
    <w:rsid w:val="006B65AA"/>
    <w:rsid w:val="006B679D"/>
    <w:rsid w:val="006B7254"/>
    <w:rsid w:val="006B73B9"/>
    <w:rsid w:val="006C0F43"/>
    <w:rsid w:val="006C16FB"/>
    <w:rsid w:val="006C2D51"/>
    <w:rsid w:val="006C4B81"/>
    <w:rsid w:val="006C517C"/>
    <w:rsid w:val="006C55EF"/>
    <w:rsid w:val="006C5BA3"/>
    <w:rsid w:val="006C5CAA"/>
    <w:rsid w:val="006C6855"/>
    <w:rsid w:val="006C7F43"/>
    <w:rsid w:val="006D16F3"/>
    <w:rsid w:val="006D3332"/>
    <w:rsid w:val="006D341E"/>
    <w:rsid w:val="006D49E3"/>
    <w:rsid w:val="006D4C2C"/>
    <w:rsid w:val="006D4EFB"/>
    <w:rsid w:val="006D59BA"/>
    <w:rsid w:val="006D62FF"/>
    <w:rsid w:val="006D68D1"/>
    <w:rsid w:val="006D7B30"/>
    <w:rsid w:val="006E019F"/>
    <w:rsid w:val="006E18C4"/>
    <w:rsid w:val="006E2C10"/>
    <w:rsid w:val="006E3E50"/>
    <w:rsid w:val="006E402A"/>
    <w:rsid w:val="006E4B20"/>
    <w:rsid w:val="006E525F"/>
    <w:rsid w:val="006E5670"/>
    <w:rsid w:val="006E6666"/>
    <w:rsid w:val="006E74F5"/>
    <w:rsid w:val="006E7DCA"/>
    <w:rsid w:val="006F2035"/>
    <w:rsid w:val="006F28EE"/>
    <w:rsid w:val="006F42C2"/>
    <w:rsid w:val="006F602A"/>
    <w:rsid w:val="006F7412"/>
    <w:rsid w:val="007017FB"/>
    <w:rsid w:val="00704E65"/>
    <w:rsid w:val="0071025E"/>
    <w:rsid w:val="007102AC"/>
    <w:rsid w:val="007105A5"/>
    <w:rsid w:val="00710B8D"/>
    <w:rsid w:val="00712CF9"/>
    <w:rsid w:val="00713024"/>
    <w:rsid w:val="00713EA1"/>
    <w:rsid w:val="0071421C"/>
    <w:rsid w:val="00715D6B"/>
    <w:rsid w:val="0071772E"/>
    <w:rsid w:val="00717F6B"/>
    <w:rsid w:val="00720864"/>
    <w:rsid w:val="007212F0"/>
    <w:rsid w:val="00722EC6"/>
    <w:rsid w:val="00723C5D"/>
    <w:rsid w:val="00723FF6"/>
    <w:rsid w:val="0072460B"/>
    <w:rsid w:val="00724FB9"/>
    <w:rsid w:val="00726876"/>
    <w:rsid w:val="007269B1"/>
    <w:rsid w:val="00730433"/>
    <w:rsid w:val="00730B58"/>
    <w:rsid w:val="00730DF7"/>
    <w:rsid w:val="0073123A"/>
    <w:rsid w:val="007331F6"/>
    <w:rsid w:val="0073362F"/>
    <w:rsid w:val="00733A3E"/>
    <w:rsid w:val="00736B54"/>
    <w:rsid w:val="00740605"/>
    <w:rsid w:val="00740FA5"/>
    <w:rsid w:val="00741E76"/>
    <w:rsid w:val="007423EC"/>
    <w:rsid w:val="00742FE2"/>
    <w:rsid w:val="007440A8"/>
    <w:rsid w:val="00747B97"/>
    <w:rsid w:val="00747DD4"/>
    <w:rsid w:val="00750912"/>
    <w:rsid w:val="00751413"/>
    <w:rsid w:val="00751598"/>
    <w:rsid w:val="00751820"/>
    <w:rsid w:val="00751B7E"/>
    <w:rsid w:val="00752AB2"/>
    <w:rsid w:val="00753A0F"/>
    <w:rsid w:val="00754193"/>
    <w:rsid w:val="007556C8"/>
    <w:rsid w:val="00756C9B"/>
    <w:rsid w:val="00756FA1"/>
    <w:rsid w:val="0075756F"/>
    <w:rsid w:val="007605DF"/>
    <w:rsid w:val="0076244A"/>
    <w:rsid w:val="00762D9D"/>
    <w:rsid w:val="00762FAD"/>
    <w:rsid w:val="00763FD6"/>
    <w:rsid w:val="0076431D"/>
    <w:rsid w:val="00765260"/>
    <w:rsid w:val="00766DE9"/>
    <w:rsid w:val="007678A5"/>
    <w:rsid w:val="00770841"/>
    <w:rsid w:val="00771F67"/>
    <w:rsid w:val="00772012"/>
    <w:rsid w:val="00772112"/>
    <w:rsid w:val="007739AB"/>
    <w:rsid w:val="0077418F"/>
    <w:rsid w:val="00774C01"/>
    <w:rsid w:val="00777875"/>
    <w:rsid w:val="00777BD2"/>
    <w:rsid w:val="00781BED"/>
    <w:rsid w:val="007823C9"/>
    <w:rsid w:val="00782CCA"/>
    <w:rsid w:val="007835B7"/>
    <w:rsid w:val="00786373"/>
    <w:rsid w:val="007863E1"/>
    <w:rsid w:val="0078743C"/>
    <w:rsid w:val="00790B71"/>
    <w:rsid w:val="007910D3"/>
    <w:rsid w:val="007922B4"/>
    <w:rsid w:val="0079336E"/>
    <w:rsid w:val="007A28AA"/>
    <w:rsid w:val="007A52CC"/>
    <w:rsid w:val="007A5BD0"/>
    <w:rsid w:val="007A7066"/>
    <w:rsid w:val="007B0A61"/>
    <w:rsid w:val="007B140A"/>
    <w:rsid w:val="007B351A"/>
    <w:rsid w:val="007B4B46"/>
    <w:rsid w:val="007B55A4"/>
    <w:rsid w:val="007B5E5F"/>
    <w:rsid w:val="007B6CA0"/>
    <w:rsid w:val="007B6F71"/>
    <w:rsid w:val="007C06F8"/>
    <w:rsid w:val="007C27E5"/>
    <w:rsid w:val="007C28AC"/>
    <w:rsid w:val="007C2E24"/>
    <w:rsid w:val="007C323B"/>
    <w:rsid w:val="007C3F78"/>
    <w:rsid w:val="007C4009"/>
    <w:rsid w:val="007C4B09"/>
    <w:rsid w:val="007C6167"/>
    <w:rsid w:val="007C6EB8"/>
    <w:rsid w:val="007C7048"/>
    <w:rsid w:val="007C7809"/>
    <w:rsid w:val="007D0393"/>
    <w:rsid w:val="007D13B9"/>
    <w:rsid w:val="007D1E6D"/>
    <w:rsid w:val="007D2774"/>
    <w:rsid w:val="007D562C"/>
    <w:rsid w:val="007D62C5"/>
    <w:rsid w:val="007D6E28"/>
    <w:rsid w:val="007D71F7"/>
    <w:rsid w:val="007E024C"/>
    <w:rsid w:val="007E160E"/>
    <w:rsid w:val="007E1BDD"/>
    <w:rsid w:val="007E290A"/>
    <w:rsid w:val="007E700C"/>
    <w:rsid w:val="007E7388"/>
    <w:rsid w:val="007F04FC"/>
    <w:rsid w:val="007F0C63"/>
    <w:rsid w:val="007F1BAF"/>
    <w:rsid w:val="007F1F1C"/>
    <w:rsid w:val="007F2277"/>
    <w:rsid w:val="007F433C"/>
    <w:rsid w:val="007F439F"/>
    <w:rsid w:val="007F4428"/>
    <w:rsid w:val="007F63B8"/>
    <w:rsid w:val="007F77FD"/>
    <w:rsid w:val="008004B0"/>
    <w:rsid w:val="0080133F"/>
    <w:rsid w:val="008045D9"/>
    <w:rsid w:val="00806C8A"/>
    <w:rsid w:val="0080702C"/>
    <w:rsid w:val="00807165"/>
    <w:rsid w:val="008073C9"/>
    <w:rsid w:val="0081164B"/>
    <w:rsid w:val="00812094"/>
    <w:rsid w:val="0081333B"/>
    <w:rsid w:val="008140D7"/>
    <w:rsid w:val="00816441"/>
    <w:rsid w:val="0081653B"/>
    <w:rsid w:val="00820CBE"/>
    <w:rsid w:val="00821DF6"/>
    <w:rsid w:val="00823984"/>
    <w:rsid w:val="00823CCC"/>
    <w:rsid w:val="008270BA"/>
    <w:rsid w:val="00827179"/>
    <w:rsid w:val="0083029A"/>
    <w:rsid w:val="00830426"/>
    <w:rsid w:val="00830E02"/>
    <w:rsid w:val="00831C83"/>
    <w:rsid w:val="00831E0A"/>
    <w:rsid w:val="00833EC8"/>
    <w:rsid w:val="008343C4"/>
    <w:rsid w:val="00834418"/>
    <w:rsid w:val="00835847"/>
    <w:rsid w:val="00835C6F"/>
    <w:rsid w:val="00836EAC"/>
    <w:rsid w:val="00837429"/>
    <w:rsid w:val="0083745B"/>
    <w:rsid w:val="00840252"/>
    <w:rsid w:val="00840420"/>
    <w:rsid w:val="00841AEA"/>
    <w:rsid w:val="00842DE3"/>
    <w:rsid w:val="00843B85"/>
    <w:rsid w:val="00844F5E"/>
    <w:rsid w:val="008454FE"/>
    <w:rsid w:val="0084585B"/>
    <w:rsid w:val="00846701"/>
    <w:rsid w:val="0084763E"/>
    <w:rsid w:val="00847C72"/>
    <w:rsid w:val="0085122C"/>
    <w:rsid w:val="0085232F"/>
    <w:rsid w:val="00854E2A"/>
    <w:rsid w:val="008550CD"/>
    <w:rsid w:val="00855A6E"/>
    <w:rsid w:val="00857E3A"/>
    <w:rsid w:val="00861135"/>
    <w:rsid w:val="00861C99"/>
    <w:rsid w:val="00862848"/>
    <w:rsid w:val="00862C19"/>
    <w:rsid w:val="0086330D"/>
    <w:rsid w:val="00863C12"/>
    <w:rsid w:val="00864495"/>
    <w:rsid w:val="0086449D"/>
    <w:rsid w:val="00864C3F"/>
    <w:rsid w:val="008651BC"/>
    <w:rsid w:val="00867059"/>
    <w:rsid w:val="00867A5A"/>
    <w:rsid w:val="008711B1"/>
    <w:rsid w:val="00871FBA"/>
    <w:rsid w:val="00872119"/>
    <w:rsid w:val="008722FB"/>
    <w:rsid w:val="00872906"/>
    <w:rsid w:val="00877A3A"/>
    <w:rsid w:val="00877EA2"/>
    <w:rsid w:val="008808CA"/>
    <w:rsid w:val="0088232A"/>
    <w:rsid w:val="0088251B"/>
    <w:rsid w:val="008878E2"/>
    <w:rsid w:val="00887D93"/>
    <w:rsid w:val="00890912"/>
    <w:rsid w:val="00890D7D"/>
    <w:rsid w:val="00891548"/>
    <w:rsid w:val="008917B4"/>
    <w:rsid w:val="00892E7B"/>
    <w:rsid w:val="00892FC2"/>
    <w:rsid w:val="008933C7"/>
    <w:rsid w:val="008941B9"/>
    <w:rsid w:val="00894216"/>
    <w:rsid w:val="00894A76"/>
    <w:rsid w:val="00895986"/>
    <w:rsid w:val="008959F9"/>
    <w:rsid w:val="0089623F"/>
    <w:rsid w:val="00896786"/>
    <w:rsid w:val="00897413"/>
    <w:rsid w:val="008A08EB"/>
    <w:rsid w:val="008A118C"/>
    <w:rsid w:val="008A2391"/>
    <w:rsid w:val="008A3618"/>
    <w:rsid w:val="008A46DC"/>
    <w:rsid w:val="008A4806"/>
    <w:rsid w:val="008A4BF4"/>
    <w:rsid w:val="008A510D"/>
    <w:rsid w:val="008A5EDE"/>
    <w:rsid w:val="008A7A4E"/>
    <w:rsid w:val="008A7C4F"/>
    <w:rsid w:val="008B2FA8"/>
    <w:rsid w:val="008B3253"/>
    <w:rsid w:val="008B33CF"/>
    <w:rsid w:val="008B73BA"/>
    <w:rsid w:val="008C020E"/>
    <w:rsid w:val="008C2F9E"/>
    <w:rsid w:val="008C4103"/>
    <w:rsid w:val="008C74F5"/>
    <w:rsid w:val="008C76A6"/>
    <w:rsid w:val="008D03EA"/>
    <w:rsid w:val="008D16BD"/>
    <w:rsid w:val="008D17A7"/>
    <w:rsid w:val="008D21ED"/>
    <w:rsid w:val="008D2C15"/>
    <w:rsid w:val="008D2E91"/>
    <w:rsid w:val="008D58E2"/>
    <w:rsid w:val="008D6283"/>
    <w:rsid w:val="008D7DD5"/>
    <w:rsid w:val="008D7FB0"/>
    <w:rsid w:val="008E050B"/>
    <w:rsid w:val="008E0FC2"/>
    <w:rsid w:val="008E1010"/>
    <w:rsid w:val="008E28BF"/>
    <w:rsid w:val="008E2C2E"/>
    <w:rsid w:val="008E71A8"/>
    <w:rsid w:val="008E72A8"/>
    <w:rsid w:val="008F0627"/>
    <w:rsid w:val="008F1FF1"/>
    <w:rsid w:val="008F2498"/>
    <w:rsid w:val="008F41FB"/>
    <w:rsid w:val="008F4B49"/>
    <w:rsid w:val="008F5977"/>
    <w:rsid w:val="008F5C9B"/>
    <w:rsid w:val="00901C83"/>
    <w:rsid w:val="00902206"/>
    <w:rsid w:val="0090330F"/>
    <w:rsid w:val="009039C8"/>
    <w:rsid w:val="0090481A"/>
    <w:rsid w:val="00904BCF"/>
    <w:rsid w:val="00905B77"/>
    <w:rsid w:val="009063B3"/>
    <w:rsid w:val="00906FD6"/>
    <w:rsid w:val="00907383"/>
    <w:rsid w:val="009079D0"/>
    <w:rsid w:val="00907DCD"/>
    <w:rsid w:val="009104AA"/>
    <w:rsid w:val="0091288F"/>
    <w:rsid w:val="00912F00"/>
    <w:rsid w:val="00914466"/>
    <w:rsid w:val="00915D8A"/>
    <w:rsid w:val="00917609"/>
    <w:rsid w:val="00917746"/>
    <w:rsid w:val="009209A5"/>
    <w:rsid w:val="00920F98"/>
    <w:rsid w:val="00922448"/>
    <w:rsid w:val="009228BB"/>
    <w:rsid w:val="00922FDA"/>
    <w:rsid w:val="0092336C"/>
    <w:rsid w:val="00923FF1"/>
    <w:rsid w:val="009244DF"/>
    <w:rsid w:val="009266E4"/>
    <w:rsid w:val="00926BBF"/>
    <w:rsid w:val="00927EF6"/>
    <w:rsid w:val="00930D45"/>
    <w:rsid w:val="00930E14"/>
    <w:rsid w:val="00933885"/>
    <w:rsid w:val="009338DA"/>
    <w:rsid w:val="009355D2"/>
    <w:rsid w:val="00936E93"/>
    <w:rsid w:val="00937FDA"/>
    <w:rsid w:val="00943E73"/>
    <w:rsid w:val="009444F2"/>
    <w:rsid w:val="00944FC5"/>
    <w:rsid w:val="00947632"/>
    <w:rsid w:val="0094786C"/>
    <w:rsid w:val="00947907"/>
    <w:rsid w:val="00947B9F"/>
    <w:rsid w:val="00947FB4"/>
    <w:rsid w:val="00947FE9"/>
    <w:rsid w:val="00952CF3"/>
    <w:rsid w:val="00952D2F"/>
    <w:rsid w:val="00952D60"/>
    <w:rsid w:val="00952E44"/>
    <w:rsid w:val="00953733"/>
    <w:rsid w:val="00955447"/>
    <w:rsid w:val="00955A17"/>
    <w:rsid w:val="00957C50"/>
    <w:rsid w:val="00960E12"/>
    <w:rsid w:val="0096331F"/>
    <w:rsid w:val="00963914"/>
    <w:rsid w:val="00963A90"/>
    <w:rsid w:val="00963D62"/>
    <w:rsid w:val="00964992"/>
    <w:rsid w:val="009679C3"/>
    <w:rsid w:val="009703AC"/>
    <w:rsid w:val="00971418"/>
    <w:rsid w:val="009729D8"/>
    <w:rsid w:val="0097354B"/>
    <w:rsid w:val="0097453F"/>
    <w:rsid w:val="00974577"/>
    <w:rsid w:val="00975045"/>
    <w:rsid w:val="00976670"/>
    <w:rsid w:val="00976BC3"/>
    <w:rsid w:val="00976CD1"/>
    <w:rsid w:val="00976E64"/>
    <w:rsid w:val="00977929"/>
    <w:rsid w:val="00982FAB"/>
    <w:rsid w:val="0098410B"/>
    <w:rsid w:val="0098426D"/>
    <w:rsid w:val="0098690E"/>
    <w:rsid w:val="00987D55"/>
    <w:rsid w:val="0099016E"/>
    <w:rsid w:val="00993B1F"/>
    <w:rsid w:val="00993F70"/>
    <w:rsid w:val="0099428D"/>
    <w:rsid w:val="009942EF"/>
    <w:rsid w:val="00995932"/>
    <w:rsid w:val="00996586"/>
    <w:rsid w:val="00996D49"/>
    <w:rsid w:val="009A1C77"/>
    <w:rsid w:val="009A2A1C"/>
    <w:rsid w:val="009A3287"/>
    <w:rsid w:val="009A4AC4"/>
    <w:rsid w:val="009A51E6"/>
    <w:rsid w:val="009A5BC5"/>
    <w:rsid w:val="009A61AA"/>
    <w:rsid w:val="009A7153"/>
    <w:rsid w:val="009A747C"/>
    <w:rsid w:val="009A77EA"/>
    <w:rsid w:val="009A7DAC"/>
    <w:rsid w:val="009B2B6E"/>
    <w:rsid w:val="009B3C1F"/>
    <w:rsid w:val="009B4FCD"/>
    <w:rsid w:val="009B6063"/>
    <w:rsid w:val="009B7D7E"/>
    <w:rsid w:val="009C0814"/>
    <w:rsid w:val="009C10F7"/>
    <w:rsid w:val="009C11B1"/>
    <w:rsid w:val="009C1722"/>
    <w:rsid w:val="009C1A23"/>
    <w:rsid w:val="009C5448"/>
    <w:rsid w:val="009C6235"/>
    <w:rsid w:val="009C6482"/>
    <w:rsid w:val="009C6E76"/>
    <w:rsid w:val="009D00B8"/>
    <w:rsid w:val="009D3E42"/>
    <w:rsid w:val="009D4E11"/>
    <w:rsid w:val="009D682E"/>
    <w:rsid w:val="009D724A"/>
    <w:rsid w:val="009E039D"/>
    <w:rsid w:val="009E0D88"/>
    <w:rsid w:val="009E1067"/>
    <w:rsid w:val="009E3216"/>
    <w:rsid w:val="009E40F9"/>
    <w:rsid w:val="009E5844"/>
    <w:rsid w:val="009E5E63"/>
    <w:rsid w:val="009E653F"/>
    <w:rsid w:val="009E7C9A"/>
    <w:rsid w:val="009F3EE2"/>
    <w:rsid w:val="009F4C6D"/>
    <w:rsid w:val="009F5062"/>
    <w:rsid w:val="009F51C8"/>
    <w:rsid w:val="009F7746"/>
    <w:rsid w:val="00A01D25"/>
    <w:rsid w:val="00A02A23"/>
    <w:rsid w:val="00A0500D"/>
    <w:rsid w:val="00A0624A"/>
    <w:rsid w:val="00A06830"/>
    <w:rsid w:val="00A12892"/>
    <w:rsid w:val="00A149DF"/>
    <w:rsid w:val="00A14F9A"/>
    <w:rsid w:val="00A157A1"/>
    <w:rsid w:val="00A1634D"/>
    <w:rsid w:val="00A1707B"/>
    <w:rsid w:val="00A179BF"/>
    <w:rsid w:val="00A26247"/>
    <w:rsid w:val="00A3051B"/>
    <w:rsid w:val="00A31E66"/>
    <w:rsid w:val="00A32694"/>
    <w:rsid w:val="00A33A18"/>
    <w:rsid w:val="00A3415B"/>
    <w:rsid w:val="00A3442B"/>
    <w:rsid w:val="00A348F9"/>
    <w:rsid w:val="00A350BE"/>
    <w:rsid w:val="00A358B2"/>
    <w:rsid w:val="00A35C8A"/>
    <w:rsid w:val="00A36343"/>
    <w:rsid w:val="00A36638"/>
    <w:rsid w:val="00A36B9A"/>
    <w:rsid w:val="00A40131"/>
    <w:rsid w:val="00A40946"/>
    <w:rsid w:val="00A4129F"/>
    <w:rsid w:val="00A4149B"/>
    <w:rsid w:val="00A41D58"/>
    <w:rsid w:val="00A47600"/>
    <w:rsid w:val="00A507FF"/>
    <w:rsid w:val="00A50A4B"/>
    <w:rsid w:val="00A50C88"/>
    <w:rsid w:val="00A51030"/>
    <w:rsid w:val="00A51611"/>
    <w:rsid w:val="00A51ECF"/>
    <w:rsid w:val="00A5335D"/>
    <w:rsid w:val="00A53BA7"/>
    <w:rsid w:val="00A55251"/>
    <w:rsid w:val="00A56524"/>
    <w:rsid w:val="00A610B8"/>
    <w:rsid w:val="00A61208"/>
    <w:rsid w:val="00A62660"/>
    <w:rsid w:val="00A62D2C"/>
    <w:rsid w:val="00A64D6A"/>
    <w:rsid w:val="00A66A0F"/>
    <w:rsid w:val="00A67FB0"/>
    <w:rsid w:val="00A700BE"/>
    <w:rsid w:val="00A7038D"/>
    <w:rsid w:val="00A70640"/>
    <w:rsid w:val="00A73440"/>
    <w:rsid w:val="00A74B85"/>
    <w:rsid w:val="00A75908"/>
    <w:rsid w:val="00A75D01"/>
    <w:rsid w:val="00A762C8"/>
    <w:rsid w:val="00A76B01"/>
    <w:rsid w:val="00A8120E"/>
    <w:rsid w:val="00A813D7"/>
    <w:rsid w:val="00A824D3"/>
    <w:rsid w:val="00A83BB1"/>
    <w:rsid w:val="00A83EE4"/>
    <w:rsid w:val="00A84857"/>
    <w:rsid w:val="00A87807"/>
    <w:rsid w:val="00A90332"/>
    <w:rsid w:val="00A93936"/>
    <w:rsid w:val="00A94426"/>
    <w:rsid w:val="00A95D76"/>
    <w:rsid w:val="00A95DAC"/>
    <w:rsid w:val="00A9679A"/>
    <w:rsid w:val="00A96CD8"/>
    <w:rsid w:val="00A9734B"/>
    <w:rsid w:val="00A979E7"/>
    <w:rsid w:val="00A97D26"/>
    <w:rsid w:val="00AA06C5"/>
    <w:rsid w:val="00AA1669"/>
    <w:rsid w:val="00AA1BF8"/>
    <w:rsid w:val="00AA2C92"/>
    <w:rsid w:val="00AA3A8E"/>
    <w:rsid w:val="00AA3B38"/>
    <w:rsid w:val="00AA4352"/>
    <w:rsid w:val="00AA5BB8"/>
    <w:rsid w:val="00AA5D50"/>
    <w:rsid w:val="00AA6066"/>
    <w:rsid w:val="00AA6487"/>
    <w:rsid w:val="00AA7CED"/>
    <w:rsid w:val="00AB001E"/>
    <w:rsid w:val="00AB0FDA"/>
    <w:rsid w:val="00AB1C79"/>
    <w:rsid w:val="00AB245D"/>
    <w:rsid w:val="00AB24DF"/>
    <w:rsid w:val="00AB27BA"/>
    <w:rsid w:val="00AB29A5"/>
    <w:rsid w:val="00AB2D04"/>
    <w:rsid w:val="00AB2F70"/>
    <w:rsid w:val="00AB318B"/>
    <w:rsid w:val="00AB781D"/>
    <w:rsid w:val="00AB7D6A"/>
    <w:rsid w:val="00AC03EE"/>
    <w:rsid w:val="00AC0A22"/>
    <w:rsid w:val="00AC2A24"/>
    <w:rsid w:val="00AC2F2D"/>
    <w:rsid w:val="00AC3A3F"/>
    <w:rsid w:val="00AC3B0B"/>
    <w:rsid w:val="00AC4D81"/>
    <w:rsid w:val="00AC6A56"/>
    <w:rsid w:val="00AC7241"/>
    <w:rsid w:val="00AD0A7D"/>
    <w:rsid w:val="00AD190D"/>
    <w:rsid w:val="00AD2DAB"/>
    <w:rsid w:val="00AD5CB1"/>
    <w:rsid w:val="00AD6726"/>
    <w:rsid w:val="00AD6AC1"/>
    <w:rsid w:val="00AE1BBB"/>
    <w:rsid w:val="00AE2141"/>
    <w:rsid w:val="00AE26C9"/>
    <w:rsid w:val="00AE2F4C"/>
    <w:rsid w:val="00AE3B4A"/>
    <w:rsid w:val="00AE4A87"/>
    <w:rsid w:val="00AE4E4F"/>
    <w:rsid w:val="00AE5591"/>
    <w:rsid w:val="00AE57FF"/>
    <w:rsid w:val="00AE673D"/>
    <w:rsid w:val="00AE749B"/>
    <w:rsid w:val="00AE7D3C"/>
    <w:rsid w:val="00AF0629"/>
    <w:rsid w:val="00AF1BF1"/>
    <w:rsid w:val="00AF211E"/>
    <w:rsid w:val="00AF32B8"/>
    <w:rsid w:val="00AF3CB3"/>
    <w:rsid w:val="00AF3CFF"/>
    <w:rsid w:val="00AF531B"/>
    <w:rsid w:val="00AF5337"/>
    <w:rsid w:val="00AF53C2"/>
    <w:rsid w:val="00AF71F6"/>
    <w:rsid w:val="00AF7C60"/>
    <w:rsid w:val="00B005C5"/>
    <w:rsid w:val="00B018F5"/>
    <w:rsid w:val="00B02305"/>
    <w:rsid w:val="00B02E23"/>
    <w:rsid w:val="00B060D5"/>
    <w:rsid w:val="00B1175D"/>
    <w:rsid w:val="00B12731"/>
    <w:rsid w:val="00B12AA5"/>
    <w:rsid w:val="00B146BC"/>
    <w:rsid w:val="00B14DF1"/>
    <w:rsid w:val="00B153B3"/>
    <w:rsid w:val="00B17CBB"/>
    <w:rsid w:val="00B204CB"/>
    <w:rsid w:val="00B20BBF"/>
    <w:rsid w:val="00B21481"/>
    <w:rsid w:val="00B21672"/>
    <w:rsid w:val="00B217CC"/>
    <w:rsid w:val="00B23531"/>
    <w:rsid w:val="00B24977"/>
    <w:rsid w:val="00B25447"/>
    <w:rsid w:val="00B264D8"/>
    <w:rsid w:val="00B271C9"/>
    <w:rsid w:val="00B31BF4"/>
    <w:rsid w:val="00B31C57"/>
    <w:rsid w:val="00B32F09"/>
    <w:rsid w:val="00B33D96"/>
    <w:rsid w:val="00B33E36"/>
    <w:rsid w:val="00B3465A"/>
    <w:rsid w:val="00B34F0E"/>
    <w:rsid w:val="00B35F5F"/>
    <w:rsid w:val="00B36F78"/>
    <w:rsid w:val="00B3755E"/>
    <w:rsid w:val="00B404A6"/>
    <w:rsid w:val="00B40A63"/>
    <w:rsid w:val="00B40D70"/>
    <w:rsid w:val="00B45C45"/>
    <w:rsid w:val="00B47277"/>
    <w:rsid w:val="00B51047"/>
    <w:rsid w:val="00B53D99"/>
    <w:rsid w:val="00B561BA"/>
    <w:rsid w:val="00B56FB7"/>
    <w:rsid w:val="00B57221"/>
    <w:rsid w:val="00B57619"/>
    <w:rsid w:val="00B577A6"/>
    <w:rsid w:val="00B5787D"/>
    <w:rsid w:val="00B607BE"/>
    <w:rsid w:val="00B61E09"/>
    <w:rsid w:val="00B6274D"/>
    <w:rsid w:val="00B62B63"/>
    <w:rsid w:val="00B632E5"/>
    <w:rsid w:val="00B64D41"/>
    <w:rsid w:val="00B66CB3"/>
    <w:rsid w:val="00B66D6E"/>
    <w:rsid w:val="00B67351"/>
    <w:rsid w:val="00B67D20"/>
    <w:rsid w:val="00B706C6"/>
    <w:rsid w:val="00B739CF"/>
    <w:rsid w:val="00B7475F"/>
    <w:rsid w:val="00B7508D"/>
    <w:rsid w:val="00B76206"/>
    <w:rsid w:val="00B80B07"/>
    <w:rsid w:val="00B8178C"/>
    <w:rsid w:val="00B81BF0"/>
    <w:rsid w:val="00B82E33"/>
    <w:rsid w:val="00B82ECB"/>
    <w:rsid w:val="00B8310B"/>
    <w:rsid w:val="00B83C8B"/>
    <w:rsid w:val="00B85BAF"/>
    <w:rsid w:val="00B90874"/>
    <w:rsid w:val="00B90BFA"/>
    <w:rsid w:val="00B91DA7"/>
    <w:rsid w:val="00B91E9A"/>
    <w:rsid w:val="00B93044"/>
    <w:rsid w:val="00B931B0"/>
    <w:rsid w:val="00B932C9"/>
    <w:rsid w:val="00B93ED9"/>
    <w:rsid w:val="00B947D6"/>
    <w:rsid w:val="00B9524C"/>
    <w:rsid w:val="00B95E2C"/>
    <w:rsid w:val="00BA2C17"/>
    <w:rsid w:val="00BA2D53"/>
    <w:rsid w:val="00BA40F3"/>
    <w:rsid w:val="00BA5F6B"/>
    <w:rsid w:val="00BA6BD0"/>
    <w:rsid w:val="00BA7ECF"/>
    <w:rsid w:val="00BB0589"/>
    <w:rsid w:val="00BB09D6"/>
    <w:rsid w:val="00BB1682"/>
    <w:rsid w:val="00BB1AF8"/>
    <w:rsid w:val="00BB26B1"/>
    <w:rsid w:val="00BB2E2A"/>
    <w:rsid w:val="00BB4B39"/>
    <w:rsid w:val="00BB5F65"/>
    <w:rsid w:val="00BB6F58"/>
    <w:rsid w:val="00BB7E40"/>
    <w:rsid w:val="00BC0A1A"/>
    <w:rsid w:val="00BC170A"/>
    <w:rsid w:val="00BC243B"/>
    <w:rsid w:val="00BC3515"/>
    <w:rsid w:val="00BC4A64"/>
    <w:rsid w:val="00BC59C2"/>
    <w:rsid w:val="00BC6AAD"/>
    <w:rsid w:val="00BD02CC"/>
    <w:rsid w:val="00BD079D"/>
    <w:rsid w:val="00BD22C7"/>
    <w:rsid w:val="00BD277B"/>
    <w:rsid w:val="00BD530D"/>
    <w:rsid w:val="00BE01A0"/>
    <w:rsid w:val="00BE205B"/>
    <w:rsid w:val="00BE264E"/>
    <w:rsid w:val="00BE27B1"/>
    <w:rsid w:val="00BE3868"/>
    <w:rsid w:val="00BE3D81"/>
    <w:rsid w:val="00BE4E80"/>
    <w:rsid w:val="00BE4FAF"/>
    <w:rsid w:val="00BE5DDE"/>
    <w:rsid w:val="00BE68B4"/>
    <w:rsid w:val="00BE70C9"/>
    <w:rsid w:val="00BE78DC"/>
    <w:rsid w:val="00BF3999"/>
    <w:rsid w:val="00BF4B30"/>
    <w:rsid w:val="00BF5376"/>
    <w:rsid w:val="00BF6CBB"/>
    <w:rsid w:val="00C00497"/>
    <w:rsid w:val="00C029B6"/>
    <w:rsid w:val="00C03B0F"/>
    <w:rsid w:val="00C03E68"/>
    <w:rsid w:val="00C05139"/>
    <w:rsid w:val="00C058A5"/>
    <w:rsid w:val="00C07D8E"/>
    <w:rsid w:val="00C124B7"/>
    <w:rsid w:val="00C15CE7"/>
    <w:rsid w:val="00C15DD3"/>
    <w:rsid w:val="00C15F74"/>
    <w:rsid w:val="00C16AB3"/>
    <w:rsid w:val="00C17224"/>
    <w:rsid w:val="00C17685"/>
    <w:rsid w:val="00C20CBD"/>
    <w:rsid w:val="00C223A5"/>
    <w:rsid w:val="00C229EF"/>
    <w:rsid w:val="00C23A93"/>
    <w:rsid w:val="00C23BCF"/>
    <w:rsid w:val="00C2546E"/>
    <w:rsid w:val="00C2648A"/>
    <w:rsid w:val="00C2711D"/>
    <w:rsid w:val="00C275B4"/>
    <w:rsid w:val="00C27616"/>
    <w:rsid w:val="00C310A0"/>
    <w:rsid w:val="00C3245C"/>
    <w:rsid w:val="00C351DB"/>
    <w:rsid w:val="00C36A88"/>
    <w:rsid w:val="00C3720E"/>
    <w:rsid w:val="00C406DE"/>
    <w:rsid w:val="00C40C71"/>
    <w:rsid w:val="00C4111F"/>
    <w:rsid w:val="00C412D5"/>
    <w:rsid w:val="00C4150B"/>
    <w:rsid w:val="00C420E4"/>
    <w:rsid w:val="00C433A2"/>
    <w:rsid w:val="00C43DB8"/>
    <w:rsid w:val="00C44141"/>
    <w:rsid w:val="00C46039"/>
    <w:rsid w:val="00C47496"/>
    <w:rsid w:val="00C50B0E"/>
    <w:rsid w:val="00C53EEF"/>
    <w:rsid w:val="00C54389"/>
    <w:rsid w:val="00C55A01"/>
    <w:rsid w:val="00C56A39"/>
    <w:rsid w:val="00C57DD6"/>
    <w:rsid w:val="00C607D5"/>
    <w:rsid w:val="00C61780"/>
    <w:rsid w:val="00C62A8F"/>
    <w:rsid w:val="00C63263"/>
    <w:rsid w:val="00C634E0"/>
    <w:rsid w:val="00C671BC"/>
    <w:rsid w:val="00C67C67"/>
    <w:rsid w:val="00C70919"/>
    <w:rsid w:val="00C7141B"/>
    <w:rsid w:val="00C759E4"/>
    <w:rsid w:val="00C75BEC"/>
    <w:rsid w:val="00C808AA"/>
    <w:rsid w:val="00C80D96"/>
    <w:rsid w:val="00C83560"/>
    <w:rsid w:val="00C836E3"/>
    <w:rsid w:val="00C83A19"/>
    <w:rsid w:val="00C84D79"/>
    <w:rsid w:val="00C8527E"/>
    <w:rsid w:val="00C855D2"/>
    <w:rsid w:val="00C85E96"/>
    <w:rsid w:val="00C86FBD"/>
    <w:rsid w:val="00C9128F"/>
    <w:rsid w:val="00C91666"/>
    <w:rsid w:val="00C916F0"/>
    <w:rsid w:val="00C91F93"/>
    <w:rsid w:val="00C9219D"/>
    <w:rsid w:val="00C923D5"/>
    <w:rsid w:val="00C92EB0"/>
    <w:rsid w:val="00C94D3C"/>
    <w:rsid w:val="00C94E84"/>
    <w:rsid w:val="00C9502B"/>
    <w:rsid w:val="00CA0D9F"/>
    <w:rsid w:val="00CA18FB"/>
    <w:rsid w:val="00CA1A36"/>
    <w:rsid w:val="00CA1BD1"/>
    <w:rsid w:val="00CA1CEF"/>
    <w:rsid w:val="00CA1E6A"/>
    <w:rsid w:val="00CB030A"/>
    <w:rsid w:val="00CB125C"/>
    <w:rsid w:val="00CB26D4"/>
    <w:rsid w:val="00CB455B"/>
    <w:rsid w:val="00CB4D87"/>
    <w:rsid w:val="00CB53B6"/>
    <w:rsid w:val="00CB7AE4"/>
    <w:rsid w:val="00CC0EC9"/>
    <w:rsid w:val="00CC2188"/>
    <w:rsid w:val="00CC4E6E"/>
    <w:rsid w:val="00CC6E0A"/>
    <w:rsid w:val="00CC7617"/>
    <w:rsid w:val="00CC7935"/>
    <w:rsid w:val="00CD1286"/>
    <w:rsid w:val="00CD17D1"/>
    <w:rsid w:val="00CD20F9"/>
    <w:rsid w:val="00CD33BC"/>
    <w:rsid w:val="00CD66FB"/>
    <w:rsid w:val="00CD67D5"/>
    <w:rsid w:val="00CE2EED"/>
    <w:rsid w:val="00CE6D2A"/>
    <w:rsid w:val="00CE70E4"/>
    <w:rsid w:val="00CF075B"/>
    <w:rsid w:val="00CF0889"/>
    <w:rsid w:val="00CF106A"/>
    <w:rsid w:val="00CF2156"/>
    <w:rsid w:val="00CF3A91"/>
    <w:rsid w:val="00CF41C5"/>
    <w:rsid w:val="00CF4D7B"/>
    <w:rsid w:val="00CF6914"/>
    <w:rsid w:val="00CF7F30"/>
    <w:rsid w:val="00D003A3"/>
    <w:rsid w:val="00D003AF"/>
    <w:rsid w:val="00D0264B"/>
    <w:rsid w:val="00D049C3"/>
    <w:rsid w:val="00D0747E"/>
    <w:rsid w:val="00D07715"/>
    <w:rsid w:val="00D106FE"/>
    <w:rsid w:val="00D10ED3"/>
    <w:rsid w:val="00D125E8"/>
    <w:rsid w:val="00D12D3B"/>
    <w:rsid w:val="00D14535"/>
    <w:rsid w:val="00D14699"/>
    <w:rsid w:val="00D14AA5"/>
    <w:rsid w:val="00D15FDA"/>
    <w:rsid w:val="00D161B7"/>
    <w:rsid w:val="00D20810"/>
    <w:rsid w:val="00D21ED8"/>
    <w:rsid w:val="00D22504"/>
    <w:rsid w:val="00D22A32"/>
    <w:rsid w:val="00D23012"/>
    <w:rsid w:val="00D23BC7"/>
    <w:rsid w:val="00D23F3B"/>
    <w:rsid w:val="00D25D69"/>
    <w:rsid w:val="00D26EC1"/>
    <w:rsid w:val="00D2709A"/>
    <w:rsid w:val="00D302D1"/>
    <w:rsid w:val="00D30569"/>
    <w:rsid w:val="00D31737"/>
    <w:rsid w:val="00D31F30"/>
    <w:rsid w:val="00D31F45"/>
    <w:rsid w:val="00D335BB"/>
    <w:rsid w:val="00D34B05"/>
    <w:rsid w:val="00D35489"/>
    <w:rsid w:val="00D37504"/>
    <w:rsid w:val="00D37996"/>
    <w:rsid w:val="00D40E20"/>
    <w:rsid w:val="00D41D3D"/>
    <w:rsid w:val="00D42530"/>
    <w:rsid w:val="00D42B89"/>
    <w:rsid w:val="00D43AEE"/>
    <w:rsid w:val="00D4725F"/>
    <w:rsid w:val="00D54091"/>
    <w:rsid w:val="00D54B9A"/>
    <w:rsid w:val="00D54F2F"/>
    <w:rsid w:val="00D557F5"/>
    <w:rsid w:val="00D61100"/>
    <w:rsid w:val="00D612CD"/>
    <w:rsid w:val="00D61C45"/>
    <w:rsid w:val="00D62AEF"/>
    <w:rsid w:val="00D62CE1"/>
    <w:rsid w:val="00D64DD6"/>
    <w:rsid w:val="00D6587C"/>
    <w:rsid w:val="00D662D3"/>
    <w:rsid w:val="00D6730F"/>
    <w:rsid w:val="00D72563"/>
    <w:rsid w:val="00D72C4E"/>
    <w:rsid w:val="00D74B04"/>
    <w:rsid w:val="00D756CA"/>
    <w:rsid w:val="00D75A5B"/>
    <w:rsid w:val="00D75C81"/>
    <w:rsid w:val="00D76061"/>
    <w:rsid w:val="00D77713"/>
    <w:rsid w:val="00D7798A"/>
    <w:rsid w:val="00D80053"/>
    <w:rsid w:val="00D82E02"/>
    <w:rsid w:val="00D8307B"/>
    <w:rsid w:val="00D8327C"/>
    <w:rsid w:val="00D836F7"/>
    <w:rsid w:val="00D844A6"/>
    <w:rsid w:val="00D84645"/>
    <w:rsid w:val="00D84B55"/>
    <w:rsid w:val="00D864F8"/>
    <w:rsid w:val="00D86ACF"/>
    <w:rsid w:val="00D879A3"/>
    <w:rsid w:val="00D918A9"/>
    <w:rsid w:val="00D93123"/>
    <w:rsid w:val="00D9320C"/>
    <w:rsid w:val="00D95878"/>
    <w:rsid w:val="00DA527C"/>
    <w:rsid w:val="00DA5B6B"/>
    <w:rsid w:val="00DA5EEB"/>
    <w:rsid w:val="00DA603F"/>
    <w:rsid w:val="00DA700C"/>
    <w:rsid w:val="00DA75C7"/>
    <w:rsid w:val="00DB2EF0"/>
    <w:rsid w:val="00DB4640"/>
    <w:rsid w:val="00DB70DE"/>
    <w:rsid w:val="00DB72D0"/>
    <w:rsid w:val="00DB790F"/>
    <w:rsid w:val="00DC039A"/>
    <w:rsid w:val="00DC045F"/>
    <w:rsid w:val="00DC350C"/>
    <w:rsid w:val="00DC437A"/>
    <w:rsid w:val="00DC44F4"/>
    <w:rsid w:val="00DC45DF"/>
    <w:rsid w:val="00DC6605"/>
    <w:rsid w:val="00DD027E"/>
    <w:rsid w:val="00DD0447"/>
    <w:rsid w:val="00DD67BF"/>
    <w:rsid w:val="00DD688C"/>
    <w:rsid w:val="00DD6E09"/>
    <w:rsid w:val="00DE07FB"/>
    <w:rsid w:val="00DE2607"/>
    <w:rsid w:val="00DE2783"/>
    <w:rsid w:val="00DE27B8"/>
    <w:rsid w:val="00DE3D55"/>
    <w:rsid w:val="00DE466D"/>
    <w:rsid w:val="00DE4C62"/>
    <w:rsid w:val="00DE55BC"/>
    <w:rsid w:val="00DE5707"/>
    <w:rsid w:val="00DE64DE"/>
    <w:rsid w:val="00DE70C6"/>
    <w:rsid w:val="00DF0094"/>
    <w:rsid w:val="00DF07DB"/>
    <w:rsid w:val="00DF0DB1"/>
    <w:rsid w:val="00DF21A8"/>
    <w:rsid w:val="00DF2DC3"/>
    <w:rsid w:val="00DF3A84"/>
    <w:rsid w:val="00DF4EB7"/>
    <w:rsid w:val="00DF5271"/>
    <w:rsid w:val="00DF70F6"/>
    <w:rsid w:val="00DF7939"/>
    <w:rsid w:val="00DF7C6E"/>
    <w:rsid w:val="00E01663"/>
    <w:rsid w:val="00E01A46"/>
    <w:rsid w:val="00E03F1C"/>
    <w:rsid w:val="00E04FDE"/>
    <w:rsid w:val="00E070B6"/>
    <w:rsid w:val="00E07A39"/>
    <w:rsid w:val="00E104EF"/>
    <w:rsid w:val="00E125CB"/>
    <w:rsid w:val="00E13C7D"/>
    <w:rsid w:val="00E13EDF"/>
    <w:rsid w:val="00E146EE"/>
    <w:rsid w:val="00E15076"/>
    <w:rsid w:val="00E165C9"/>
    <w:rsid w:val="00E17165"/>
    <w:rsid w:val="00E202E6"/>
    <w:rsid w:val="00E21B3E"/>
    <w:rsid w:val="00E21F7E"/>
    <w:rsid w:val="00E224C3"/>
    <w:rsid w:val="00E2288B"/>
    <w:rsid w:val="00E239D3"/>
    <w:rsid w:val="00E23B83"/>
    <w:rsid w:val="00E23FD1"/>
    <w:rsid w:val="00E25D87"/>
    <w:rsid w:val="00E27377"/>
    <w:rsid w:val="00E300EC"/>
    <w:rsid w:val="00E305F5"/>
    <w:rsid w:val="00E30DEA"/>
    <w:rsid w:val="00E31E46"/>
    <w:rsid w:val="00E3293B"/>
    <w:rsid w:val="00E332F5"/>
    <w:rsid w:val="00E34AE2"/>
    <w:rsid w:val="00E36A37"/>
    <w:rsid w:val="00E372FA"/>
    <w:rsid w:val="00E37601"/>
    <w:rsid w:val="00E42235"/>
    <w:rsid w:val="00E43B3E"/>
    <w:rsid w:val="00E4414C"/>
    <w:rsid w:val="00E443BA"/>
    <w:rsid w:val="00E454CC"/>
    <w:rsid w:val="00E45FB7"/>
    <w:rsid w:val="00E470CE"/>
    <w:rsid w:val="00E478AC"/>
    <w:rsid w:val="00E50F94"/>
    <w:rsid w:val="00E515EB"/>
    <w:rsid w:val="00E528C9"/>
    <w:rsid w:val="00E53D40"/>
    <w:rsid w:val="00E5462E"/>
    <w:rsid w:val="00E61A5B"/>
    <w:rsid w:val="00E64BE9"/>
    <w:rsid w:val="00E65605"/>
    <w:rsid w:val="00E65AFF"/>
    <w:rsid w:val="00E6767D"/>
    <w:rsid w:val="00E71E5D"/>
    <w:rsid w:val="00E73327"/>
    <w:rsid w:val="00E7411A"/>
    <w:rsid w:val="00E76BD7"/>
    <w:rsid w:val="00E77A83"/>
    <w:rsid w:val="00E80977"/>
    <w:rsid w:val="00E82D1B"/>
    <w:rsid w:val="00E83645"/>
    <w:rsid w:val="00E84E98"/>
    <w:rsid w:val="00E85972"/>
    <w:rsid w:val="00E85C9A"/>
    <w:rsid w:val="00E85CB5"/>
    <w:rsid w:val="00E90E9C"/>
    <w:rsid w:val="00E94FB0"/>
    <w:rsid w:val="00E9512C"/>
    <w:rsid w:val="00EA0077"/>
    <w:rsid w:val="00EA0E38"/>
    <w:rsid w:val="00EA1872"/>
    <w:rsid w:val="00EA22A9"/>
    <w:rsid w:val="00EA477B"/>
    <w:rsid w:val="00EA604E"/>
    <w:rsid w:val="00EA6069"/>
    <w:rsid w:val="00EA6536"/>
    <w:rsid w:val="00EA7167"/>
    <w:rsid w:val="00EA78D0"/>
    <w:rsid w:val="00EB0026"/>
    <w:rsid w:val="00EB0384"/>
    <w:rsid w:val="00EB0D56"/>
    <w:rsid w:val="00EB31BB"/>
    <w:rsid w:val="00EB39F8"/>
    <w:rsid w:val="00EB3AE8"/>
    <w:rsid w:val="00EB3DE5"/>
    <w:rsid w:val="00EB6196"/>
    <w:rsid w:val="00EB67F0"/>
    <w:rsid w:val="00EB6B0C"/>
    <w:rsid w:val="00EB6F46"/>
    <w:rsid w:val="00EC058C"/>
    <w:rsid w:val="00EC0B25"/>
    <w:rsid w:val="00EC1BDE"/>
    <w:rsid w:val="00EC1F4B"/>
    <w:rsid w:val="00EC311D"/>
    <w:rsid w:val="00EC3F67"/>
    <w:rsid w:val="00EC5097"/>
    <w:rsid w:val="00EC53C0"/>
    <w:rsid w:val="00ED1413"/>
    <w:rsid w:val="00ED1663"/>
    <w:rsid w:val="00ED23A4"/>
    <w:rsid w:val="00ED3A2D"/>
    <w:rsid w:val="00ED4106"/>
    <w:rsid w:val="00ED4499"/>
    <w:rsid w:val="00ED50F5"/>
    <w:rsid w:val="00ED5149"/>
    <w:rsid w:val="00ED6BE1"/>
    <w:rsid w:val="00ED7099"/>
    <w:rsid w:val="00ED7757"/>
    <w:rsid w:val="00EE009A"/>
    <w:rsid w:val="00EE027B"/>
    <w:rsid w:val="00EE0630"/>
    <w:rsid w:val="00EE13A1"/>
    <w:rsid w:val="00EE285F"/>
    <w:rsid w:val="00EE2893"/>
    <w:rsid w:val="00EE31DF"/>
    <w:rsid w:val="00EE3AE5"/>
    <w:rsid w:val="00EE5B77"/>
    <w:rsid w:val="00EE7702"/>
    <w:rsid w:val="00EE7916"/>
    <w:rsid w:val="00EF1C6E"/>
    <w:rsid w:val="00EF2AE5"/>
    <w:rsid w:val="00EF2C80"/>
    <w:rsid w:val="00EF4D3B"/>
    <w:rsid w:val="00EF52FD"/>
    <w:rsid w:val="00EF6A34"/>
    <w:rsid w:val="00EF7579"/>
    <w:rsid w:val="00EF75D5"/>
    <w:rsid w:val="00EF7B34"/>
    <w:rsid w:val="00F00BE0"/>
    <w:rsid w:val="00F016BD"/>
    <w:rsid w:val="00F026F0"/>
    <w:rsid w:val="00F04496"/>
    <w:rsid w:val="00F05814"/>
    <w:rsid w:val="00F0680A"/>
    <w:rsid w:val="00F06ED0"/>
    <w:rsid w:val="00F12013"/>
    <w:rsid w:val="00F126FC"/>
    <w:rsid w:val="00F12999"/>
    <w:rsid w:val="00F12C0D"/>
    <w:rsid w:val="00F12DA5"/>
    <w:rsid w:val="00F13822"/>
    <w:rsid w:val="00F13E50"/>
    <w:rsid w:val="00F1410C"/>
    <w:rsid w:val="00F14565"/>
    <w:rsid w:val="00F14A70"/>
    <w:rsid w:val="00F175A5"/>
    <w:rsid w:val="00F176ED"/>
    <w:rsid w:val="00F17CC1"/>
    <w:rsid w:val="00F230F1"/>
    <w:rsid w:val="00F275C3"/>
    <w:rsid w:val="00F27B8D"/>
    <w:rsid w:val="00F304FB"/>
    <w:rsid w:val="00F313F8"/>
    <w:rsid w:val="00F315AB"/>
    <w:rsid w:val="00F33E41"/>
    <w:rsid w:val="00F33F07"/>
    <w:rsid w:val="00F34D85"/>
    <w:rsid w:val="00F35871"/>
    <w:rsid w:val="00F35D52"/>
    <w:rsid w:val="00F35F8C"/>
    <w:rsid w:val="00F36C93"/>
    <w:rsid w:val="00F373E1"/>
    <w:rsid w:val="00F410E0"/>
    <w:rsid w:val="00F42574"/>
    <w:rsid w:val="00F43AAC"/>
    <w:rsid w:val="00F45257"/>
    <w:rsid w:val="00F45805"/>
    <w:rsid w:val="00F45CA2"/>
    <w:rsid w:val="00F45D78"/>
    <w:rsid w:val="00F46154"/>
    <w:rsid w:val="00F462F3"/>
    <w:rsid w:val="00F46AD5"/>
    <w:rsid w:val="00F47598"/>
    <w:rsid w:val="00F47DCD"/>
    <w:rsid w:val="00F50813"/>
    <w:rsid w:val="00F50CA4"/>
    <w:rsid w:val="00F50CE7"/>
    <w:rsid w:val="00F51438"/>
    <w:rsid w:val="00F515D3"/>
    <w:rsid w:val="00F5301A"/>
    <w:rsid w:val="00F538BB"/>
    <w:rsid w:val="00F549E7"/>
    <w:rsid w:val="00F54AA2"/>
    <w:rsid w:val="00F55237"/>
    <w:rsid w:val="00F5550D"/>
    <w:rsid w:val="00F55934"/>
    <w:rsid w:val="00F57CF3"/>
    <w:rsid w:val="00F60C92"/>
    <w:rsid w:val="00F60E82"/>
    <w:rsid w:val="00F618BB"/>
    <w:rsid w:val="00F62689"/>
    <w:rsid w:val="00F62FB3"/>
    <w:rsid w:val="00F6302F"/>
    <w:rsid w:val="00F64EF0"/>
    <w:rsid w:val="00F65518"/>
    <w:rsid w:val="00F67625"/>
    <w:rsid w:val="00F70AD4"/>
    <w:rsid w:val="00F71828"/>
    <w:rsid w:val="00F7191C"/>
    <w:rsid w:val="00F73671"/>
    <w:rsid w:val="00F76B14"/>
    <w:rsid w:val="00F80938"/>
    <w:rsid w:val="00F81487"/>
    <w:rsid w:val="00F849F9"/>
    <w:rsid w:val="00F85F21"/>
    <w:rsid w:val="00F90CF5"/>
    <w:rsid w:val="00F90D68"/>
    <w:rsid w:val="00F90E69"/>
    <w:rsid w:val="00F91AD8"/>
    <w:rsid w:val="00F922B1"/>
    <w:rsid w:val="00FA0E80"/>
    <w:rsid w:val="00FA1CBD"/>
    <w:rsid w:val="00FA2C07"/>
    <w:rsid w:val="00FA32BE"/>
    <w:rsid w:val="00FA56EF"/>
    <w:rsid w:val="00FA5D99"/>
    <w:rsid w:val="00FA5F0B"/>
    <w:rsid w:val="00FA6505"/>
    <w:rsid w:val="00FA6F1C"/>
    <w:rsid w:val="00FA72F6"/>
    <w:rsid w:val="00FB0E58"/>
    <w:rsid w:val="00FB0FB6"/>
    <w:rsid w:val="00FB10A3"/>
    <w:rsid w:val="00FB36D4"/>
    <w:rsid w:val="00FB3B0F"/>
    <w:rsid w:val="00FB510B"/>
    <w:rsid w:val="00FB5690"/>
    <w:rsid w:val="00FB5D1B"/>
    <w:rsid w:val="00FB68C8"/>
    <w:rsid w:val="00FB75F9"/>
    <w:rsid w:val="00FB76D2"/>
    <w:rsid w:val="00FB7C5A"/>
    <w:rsid w:val="00FC1C97"/>
    <w:rsid w:val="00FC26BF"/>
    <w:rsid w:val="00FC2D26"/>
    <w:rsid w:val="00FC423E"/>
    <w:rsid w:val="00FC523E"/>
    <w:rsid w:val="00FC6CE0"/>
    <w:rsid w:val="00FC7232"/>
    <w:rsid w:val="00FC7525"/>
    <w:rsid w:val="00FD02C5"/>
    <w:rsid w:val="00FD1A30"/>
    <w:rsid w:val="00FD418F"/>
    <w:rsid w:val="00FD4365"/>
    <w:rsid w:val="00FD4D39"/>
    <w:rsid w:val="00FD4F52"/>
    <w:rsid w:val="00FD532F"/>
    <w:rsid w:val="00FD5E40"/>
    <w:rsid w:val="00FD6485"/>
    <w:rsid w:val="00FD7589"/>
    <w:rsid w:val="00FE1CF6"/>
    <w:rsid w:val="00FE1EF3"/>
    <w:rsid w:val="00FE315D"/>
    <w:rsid w:val="00FE3182"/>
    <w:rsid w:val="00FE41E1"/>
    <w:rsid w:val="00FE55F1"/>
    <w:rsid w:val="00FE6567"/>
    <w:rsid w:val="00FF07E9"/>
    <w:rsid w:val="00FF213C"/>
    <w:rsid w:val="00FF2889"/>
    <w:rsid w:val="00FF2C66"/>
    <w:rsid w:val="00FF410C"/>
    <w:rsid w:val="00FF4D81"/>
    <w:rsid w:val="00FF57F9"/>
    <w:rsid w:val="00FF5E9F"/>
    <w:rsid w:val="00FF6CBD"/>
    <w:rsid w:val="00FF75F5"/>
    <w:rsid w:val="00FF7C3A"/>
    <w:rsid w:val="01343A7F"/>
    <w:rsid w:val="01592D24"/>
    <w:rsid w:val="01633872"/>
    <w:rsid w:val="01775986"/>
    <w:rsid w:val="01885E23"/>
    <w:rsid w:val="018E7ABF"/>
    <w:rsid w:val="01940E85"/>
    <w:rsid w:val="0198796C"/>
    <w:rsid w:val="019A0A09"/>
    <w:rsid w:val="01C133B8"/>
    <w:rsid w:val="01F978D8"/>
    <w:rsid w:val="02032FBD"/>
    <w:rsid w:val="0205543D"/>
    <w:rsid w:val="020C01CA"/>
    <w:rsid w:val="020F2171"/>
    <w:rsid w:val="021358C1"/>
    <w:rsid w:val="023B2AFC"/>
    <w:rsid w:val="027179F0"/>
    <w:rsid w:val="02830E67"/>
    <w:rsid w:val="02A27E2B"/>
    <w:rsid w:val="02A3645B"/>
    <w:rsid w:val="02A82C73"/>
    <w:rsid w:val="02B53906"/>
    <w:rsid w:val="02D63F9B"/>
    <w:rsid w:val="02F778BD"/>
    <w:rsid w:val="03070BD7"/>
    <w:rsid w:val="03121468"/>
    <w:rsid w:val="03215DBB"/>
    <w:rsid w:val="034A6A08"/>
    <w:rsid w:val="03523E23"/>
    <w:rsid w:val="037016D3"/>
    <w:rsid w:val="03822C68"/>
    <w:rsid w:val="039F2BBC"/>
    <w:rsid w:val="03A314B9"/>
    <w:rsid w:val="03A97DF7"/>
    <w:rsid w:val="03D96AC5"/>
    <w:rsid w:val="040F1E50"/>
    <w:rsid w:val="045C6871"/>
    <w:rsid w:val="045F6B9B"/>
    <w:rsid w:val="04883EB2"/>
    <w:rsid w:val="04AB1D13"/>
    <w:rsid w:val="04F35535"/>
    <w:rsid w:val="05071955"/>
    <w:rsid w:val="050B36B6"/>
    <w:rsid w:val="051E3875"/>
    <w:rsid w:val="0533125B"/>
    <w:rsid w:val="054F4EE9"/>
    <w:rsid w:val="056B1EC6"/>
    <w:rsid w:val="05B662F4"/>
    <w:rsid w:val="05C42AA9"/>
    <w:rsid w:val="06063CBF"/>
    <w:rsid w:val="0650730D"/>
    <w:rsid w:val="06AB5586"/>
    <w:rsid w:val="06C41BC0"/>
    <w:rsid w:val="06CB44B7"/>
    <w:rsid w:val="06CC42F7"/>
    <w:rsid w:val="06D62A99"/>
    <w:rsid w:val="06EE20B1"/>
    <w:rsid w:val="073D00CA"/>
    <w:rsid w:val="073F20F3"/>
    <w:rsid w:val="073F4A62"/>
    <w:rsid w:val="07494F76"/>
    <w:rsid w:val="07523520"/>
    <w:rsid w:val="075B63E2"/>
    <w:rsid w:val="07B1625B"/>
    <w:rsid w:val="07D96E9C"/>
    <w:rsid w:val="080612A7"/>
    <w:rsid w:val="082B130A"/>
    <w:rsid w:val="08534B88"/>
    <w:rsid w:val="086A5B0F"/>
    <w:rsid w:val="0891753F"/>
    <w:rsid w:val="08996192"/>
    <w:rsid w:val="08D107D5"/>
    <w:rsid w:val="08D5262E"/>
    <w:rsid w:val="08EE243C"/>
    <w:rsid w:val="08F062C2"/>
    <w:rsid w:val="090A2990"/>
    <w:rsid w:val="090B19E1"/>
    <w:rsid w:val="0910646C"/>
    <w:rsid w:val="09920286"/>
    <w:rsid w:val="09994E1D"/>
    <w:rsid w:val="09AC6517"/>
    <w:rsid w:val="09BB48A6"/>
    <w:rsid w:val="09BE4894"/>
    <w:rsid w:val="09CB6FDD"/>
    <w:rsid w:val="09E15530"/>
    <w:rsid w:val="09FE160D"/>
    <w:rsid w:val="0A131366"/>
    <w:rsid w:val="0A1B58FF"/>
    <w:rsid w:val="0A6D7B49"/>
    <w:rsid w:val="0ACF0E24"/>
    <w:rsid w:val="0AD11D45"/>
    <w:rsid w:val="0AE903B8"/>
    <w:rsid w:val="0AEA6071"/>
    <w:rsid w:val="0B1873A5"/>
    <w:rsid w:val="0B7462A1"/>
    <w:rsid w:val="0BA16641"/>
    <w:rsid w:val="0BA931C2"/>
    <w:rsid w:val="0BD07D28"/>
    <w:rsid w:val="0C6C3CAE"/>
    <w:rsid w:val="0C8D2E5C"/>
    <w:rsid w:val="0C8F4B36"/>
    <w:rsid w:val="0CAC6BB6"/>
    <w:rsid w:val="0CBB26FC"/>
    <w:rsid w:val="0CC34F37"/>
    <w:rsid w:val="0CD53589"/>
    <w:rsid w:val="0CEA1C84"/>
    <w:rsid w:val="0CEC3980"/>
    <w:rsid w:val="0D701E19"/>
    <w:rsid w:val="0D7041A5"/>
    <w:rsid w:val="0D784644"/>
    <w:rsid w:val="0D864353"/>
    <w:rsid w:val="0D9F61E8"/>
    <w:rsid w:val="0DA77418"/>
    <w:rsid w:val="0DB066B9"/>
    <w:rsid w:val="0DBC6828"/>
    <w:rsid w:val="0DC40270"/>
    <w:rsid w:val="0DCA2A4D"/>
    <w:rsid w:val="0DD505F0"/>
    <w:rsid w:val="0DDA7292"/>
    <w:rsid w:val="0DEA5E6A"/>
    <w:rsid w:val="0DF75996"/>
    <w:rsid w:val="0DFC36FB"/>
    <w:rsid w:val="0E372937"/>
    <w:rsid w:val="0E603C3C"/>
    <w:rsid w:val="0E6479AA"/>
    <w:rsid w:val="0E9D70CE"/>
    <w:rsid w:val="0EA55AF2"/>
    <w:rsid w:val="0EAA20CA"/>
    <w:rsid w:val="0EB37705"/>
    <w:rsid w:val="0EDF7256"/>
    <w:rsid w:val="0F0D26CC"/>
    <w:rsid w:val="0F184ADA"/>
    <w:rsid w:val="0F56204A"/>
    <w:rsid w:val="0F566293"/>
    <w:rsid w:val="0F785122"/>
    <w:rsid w:val="0F821662"/>
    <w:rsid w:val="0F9D4A1B"/>
    <w:rsid w:val="0FA1669B"/>
    <w:rsid w:val="0FB0474F"/>
    <w:rsid w:val="0FE93753"/>
    <w:rsid w:val="0FFC5BE6"/>
    <w:rsid w:val="10180B8C"/>
    <w:rsid w:val="10353F84"/>
    <w:rsid w:val="103A0073"/>
    <w:rsid w:val="104A5783"/>
    <w:rsid w:val="107E32EC"/>
    <w:rsid w:val="1087394D"/>
    <w:rsid w:val="108958F5"/>
    <w:rsid w:val="108C25A3"/>
    <w:rsid w:val="10985021"/>
    <w:rsid w:val="10D53A58"/>
    <w:rsid w:val="10EF538B"/>
    <w:rsid w:val="10F32A84"/>
    <w:rsid w:val="111751C1"/>
    <w:rsid w:val="11312DC0"/>
    <w:rsid w:val="11375C27"/>
    <w:rsid w:val="114701EB"/>
    <w:rsid w:val="118848CF"/>
    <w:rsid w:val="11A958FA"/>
    <w:rsid w:val="11B67DC6"/>
    <w:rsid w:val="11C11380"/>
    <w:rsid w:val="11D74C92"/>
    <w:rsid w:val="11DE1DC1"/>
    <w:rsid w:val="12040109"/>
    <w:rsid w:val="12092462"/>
    <w:rsid w:val="120F2891"/>
    <w:rsid w:val="121D403F"/>
    <w:rsid w:val="12443F91"/>
    <w:rsid w:val="129F7C67"/>
    <w:rsid w:val="12C53BE4"/>
    <w:rsid w:val="13380DD8"/>
    <w:rsid w:val="1344521A"/>
    <w:rsid w:val="134804D3"/>
    <w:rsid w:val="135D4BC9"/>
    <w:rsid w:val="1364306F"/>
    <w:rsid w:val="13645ACB"/>
    <w:rsid w:val="13E957B5"/>
    <w:rsid w:val="13F54664"/>
    <w:rsid w:val="13F617A7"/>
    <w:rsid w:val="14412BB2"/>
    <w:rsid w:val="1454606F"/>
    <w:rsid w:val="1460770F"/>
    <w:rsid w:val="146F2D0E"/>
    <w:rsid w:val="147054F6"/>
    <w:rsid w:val="15434204"/>
    <w:rsid w:val="15516C03"/>
    <w:rsid w:val="15635A69"/>
    <w:rsid w:val="156B5F7D"/>
    <w:rsid w:val="15A078BC"/>
    <w:rsid w:val="15AE733A"/>
    <w:rsid w:val="15B31140"/>
    <w:rsid w:val="15BE3D91"/>
    <w:rsid w:val="15DE1064"/>
    <w:rsid w:val="15E50ECA"/>
    <w:rsid w:val="161F6D30"/>
    <w:rsid w:val="164C6D98"/>
    <w:rsid w:val="1661486F"/>
    <w:rsid w:val="167D2205"/>
    <w:rsid w:val="16C62716"/>
    <w:rsid w:val="16CF48C3"/>
    <w:rsid w:val="16D3646B"/>
    <w:rsid w:val="16F93153"/>
    <w:rsid w:val="1714775C"/>
    <w:rsid w:val="171D6872"/>
    <w:rsid w:val="17233A58"/>
    <w:rsid w:val="172A1253"/>
    <w:rsid w:val="173739A8"/>
    <w:rsid w:val="17547D47"/>
    <w:rsid w:val="17680005"/>
    <w:rsid w:val="176A1D1E"/>
    <w:rsid w:val="176B41F6"/>
    <w:rsid w:val="17BB0135"/>
    <w:rsid w:val="17BF37AC"/>
    <w:rsid w:val="17C214C3"/>
    <w:rsid w:val="17EF6030"/>
    <w:rsid w:val="17F43C69"/>
    <w:rsid w:val="18381785"/>
    <w:rsid w:val="18904498"/>
    <w:rsid w:val="18A3471E"/>
    <w:rsid w:val="18F22BD0"/>
    <w:rsid w:val="18FC6C57"/>
    <w:rsid w:val="190A23F2"/>
    <w:rsid w:val="19126789"/>
    <w:rsid w:val="192B2C0A"/>
    <w:rsid w:val="192B4DF7"/>
    <w:rsid w:val="193B4ACA"/>
    <w:rsid w:val="194440D5"/>
    <w:rsid w:val="197F3FC2"/>
    <w:rsid w:val="198A4D50"/>
    <w:rsid w:val="19B34FBB"/>
    <w:rsid w:val="19BA6371"/>
    <w:rsid w:val="19E5256C"/>
    <w:rsid w:val="19E8464F"/>
    <w:rsid w:val="19F90D7B"/>
    <w:rsid w:val="1A4964D8"/>
    <w:rsid w:val="1A6D37C2"/>
    <w:rsid w:val="1AF6583C"/>
    <w:rsid w:val="1B7B66B5"/>
    <w:rsid w:val="1B990FB2"/>
    <w:rsid w:val="1BCD4697"/>
    <w:rsid w:val="1C225F98"/>
    <w:rsid w:val="1C272EF4"/>
    <w:rsid w:val="1C40466E"/>
    <w:rsid w:val="1C743BB7"/>
    <w:rsid w:val="1CF64D1B"/>
    <w:rsid w:val="1D320A97"/>
    <w:rsid w:val="1D3541D9"/>
    <w:rsid w:val="1D3E6FE0"/>
    <w:rsid w:val="1D4F2685"/>
    <w:rsid w:val="1D570895"/>
    <w:rsid w:val="1D7C4F1D"/>
    <w:rsid w:val="1DC4028C"/>
    <w:rsid w:val="1DCA2399"/>
    <w:rsid w:val="1DE30A61"/>
    <w:rsid w:val="1DFE062F"/>
    <w:rsid w:val="1E2F098E"/>
    <w:rsid w:val="1E3E2D25"/>
    <w:rsid w:val="1E4507E4"/>
    <w:rsid w:val="1E6210B8"/>
    <w:rsid w:val="1E8431B9"/>
    <w:rsid w:val="1E8511F3"/>
    <w:rsid w:val="1E90231B"/>
    <w:rsid w:val="1EB449C0"/>
    <w:rsid w:val="1EC014EF"/>
    <w:rsid w:val="1EC664F8"/>
    <w:rsid w:val="1EDA6951"/>
    <w:rsid w:val="1EF45F00"/>
    <w:rsid w:val="1EF734A5"/>
    <w:rsid w:val="1F08542E"/>
    <w:rsid w:val="1F4247FE"/>
    <w:rsid w:val="1F4D707F"/>
    <w:rsid w:val="1F8261F3"/>
    <w:rsid w:val="1F941997"/>
    <w:rsid w:val="1F987C35"/>
    <w:rsid w:val="1FA84089"/>
    <w:rsid w:val="1FD64AF8"/>
    <w:rsid w:val="1FF22C63"/>
    <w:rsid w:val="1FF91559"/>
    <w:rsid w:val="20375D57"/>
    <w:rsid w:val="203C5240"/>
    <w:rsid w:val="20703503"/>
    <w:rsid w:val="207A43B8"/>
    <w:rsid w:val="20996FA4"/>
    <w:rsid w:val="20C95E47"/>
    <w:rsid w:val="20E71876"/>
    <w:rsid w:val="20EB7C33"/>
    <w:rsid w:val="213F277E"/>
    <w:rsid w:val="21A3266E"/>
    <w:rsid w:val="21B5131F"/>
    <w:rsid w:val="21EA1D42"/>
    <w:rsid w:val="21EC32DF"/>
    <w:rsid w:val="21F77FBB"/>
    <w:rsid w:val="22084F03"/>
    <w:rsid w:val="22155EFF"/>
    <w:rsid w:val="22227889"/>
    <w:rsid w:val="2254242E"/>
    <w:rsid w:val="226006F6"/>
    <w:rsid w:val="22810B01"/>
    <w:rsid w:val="228E2642"/>
    <w:rsid w:val="22941CAE"/>
    <w:rsid w:val="22B0753C"/>
    <w:rsid w:val="23207452"/>
    <w:rsid w:val="233615B8"/>
    <w:rsid w:val="234B1DF5"/>
    <w:rsid w:val="235A0D1F"/>
    <w:rsid w:val="2364528E"/>
    <w:rsid w:val="2395665B"/>
    <w:rsid w:val="23BE019F"/>
    <w:rsid w:val="240C0F44"/>
    <w:rsid w:val="24EA2F6A"/>
    <w:rsid w:val="24F36825"/>
    <w:rsid w:val="24FC2019"/>
    <w:rsid w:val="25286E84"/>
    <w:rsid w:val="25445D9E"/>
    <w:rsid w:val="25EC505C"/>
    <w:rsid w:val="261B309E"/>
    <w:rsid w:val="263D4A6F"/>
    <w:rsid w:val="265226CB"/>
    <w:rsid w:val="26A10C53"/>
    <w:rsid w:val="26CF57CC"/>
    <w:rsid w:val="26E03714"/>
    <w:rsid w:val="26E079BC"/>
    <w:rsid w:val="27022042"/>
    <w:rsid w:val="276C29FF"/>
    <w:rsid w:val="27772CF5"/>
    <w:rsid w:val="27B13177"/>
    <w:rsid w:val="28302D6A"/>
    <w:rsid w:val="285E1D3F"/>
    <w:rsid w:val="2863112C"/>
    <w:rsid w:val="28855A7D"/>
    <w:rsid w:val="28E54554"/>
    <w:rsid w:val="297840D8"/>
    <w:rsid w:val="2990258A"/>
    <w:rsid w:val="29910649"/>
    <w:rsid w:val="29B72C02"/>
    <w:rsid w:val="29EB624B"/>
    <w:rsid w:val="2A047A82"/>
    <w:rsid w:val="2A472991"/>
    <w:rsid w:val="2A8D2CEF"/>
    <w:rsid w:val="2AB93EF7"/>
    <w:rsid w:val="2ABF25ED"/>
    <w:rsid w:val="2B287437"/>
    <w:rsid w:val="2B2A3917"/>
    <w:rsid w:val="2B740B96"/>
    <w:rsid w:val="2BC22A76"/>
    <w:rsid w:val="2BE95450"/>
    <w:rsid w:val="2C0440A1"/>
    <w:rsid w:val="2C2643AF"/>
    <w:rsid w:val="2C496214"/>
    <w:rsid w:val="2CC76232"/>
    <w:rsid w:val="2CD340DF"/>
    <w:rsid w:val="2CF271A5"/>
    <w:rsid w:val="2D105839"/>
    <w:rsid w:val="2D177576"/>
    <w:rsid w:val="2D236108"/>
    <w:rsid w:val="2D2F4F9F"/>
    <w:rsid w:val="2D395076"/>
    <w:rsid w:val="2D3E69B3"/>
    <w:rsid w:val="2D426A09"/>
    <w:rsid w:val="2D69305E"/>
    <w:rsid w:val="2D777CAE"/>
    <w:rsid w:val="2D7A12FE"/>
    <w:rsid w:val="2D8400D7"/>
    <w:rsid w:val="2D851D9A"/>
    <w:rsid w:val="2D9214E0"/>
    <w:rsid w:val="2D93478A"/>
    <w:rsid w:val="2D951634"/>
    <w:rsid w:val="2DCF73D0"/>
    <w:rsid w:val="2DDD1629"/>
    <w:rsid w:val="2DF018E0"/>
    <w:rsid w:val="2E016CBA"/>
    <w:rsid w:val="2EDA4128"/>
    <w:rsid w:val="2EDE0726"/>
    <w:rsid w:val="2F7B10A8"/>
    <w:rsid w:val="2FC31E25"/>
    <w:rsid w:val="2FD023CF"/>
    <w:rsid w:val="2FE7396B"/>
    <w:rsid w:val="2FE778C1"/>
    <w:rsid w:val="300D7D4A"/>
    <w:rsid w:val="302E3793"/>
    <w:rsid w:val="304A4274"/>
    <w:rsid w:val="305D2584"/>
    <w:rsid w:val="309107BB"/>
    <w:rsid w:val="309350C7"/>
    <w:rsid w:val="30BB17AB"/>
    <w:rsid w:val="30C854FD"/>
    <w:rsid w:val="30D0318D"/>
    <w:rsid w:val="30EA437C"/>
    <w:rsid w:val="313E2FB1"/>
    <w:rsid w:val="31576CC8"/>
    <w:rsid w:val="316F6E2A"/>
    <w:rsid w:val="31FE7C49"/>
    <w:rsid w:val="31FF6ED3"/>
    <w:rsid w:val="32146ADF"/>
    <w:rsid w:val="324442AF"/>
    <w:rsid w:val="324463DD"/>
    <w:rsid w:val="32737B32"/>
    <w:rsid w:val="3284796E"/>
    <w:rsid w:val="32870ED5"/>
    <w:rsid w:val="329E02EF"/>
    <w:rsid w:val="32A30797"/>
    <w:rsid w:val="32C361BD"/>
    <w:rsid w:val="32C8290C"/>
    <w:rsid w:val="32E5584C"/>
    <w:rsid w:val="32F37074"/>
    <w:rsid w:val="33524ECE"/>
    <w:rsid w:val="337B6522"/>
    <w:rsid w:val="33C31600"/>
    <w:rsid w:val="33DB2E25"/>
    <w:rsid w:val="34325900"/>
    <w:rsid w:val="3437693D"/>
    <w:rsid w:val="344B52B9"/>
    <w:rsid w:val="346644D8"/>
    <w:rsid w:val="34CC4AF9"/>
    <w:rsid w:val="34D523DE"/>
    <w:rsid w:val="34D84DA0"/>
    <w:rsid w:val="351D636B"/>
    <w:rsid w:val="35766601"/>
    <w:rsid w:val="35B6520A"/>
    <w:rsid w:val="35F93D60"/>
    <w:rsid w:val="360607D9"/>
    <w:rsid w:val="36190C5C"/>
    <w:rsid w:val="363D616D"/>
    <w:rsid w:val="364B2ECB"/>
    <w:rsid w:val="366E65EA"/>
    <w:rsid w:val="3680580C"/>
    <w:rsid w:val="369E6599"/>
    <w:rsid w:val="36A97C2B"/>
    <w:rsid w:val="36C84036"/>
    <w:rsid w:val="36DF4D5A"/>
    <w:rsid w:val="37146332"/>
    <w:rsid w:val="37254742"/>
    <w:rsid w:val="37296DA1"/>
    <w:rsid w:val="37497E2D"/>
    <w:rsid w:val="37B409D1"/>
    <w:rsid w:val="37E45585"/>
    <w:rsid w:val="37F16728"/>
    <w:rsid w:val="385A07E5"/>
    <w:rsid w:val="38731510"/>
    <w:rsid w:val="38763ED8"/>
    <w:rsid w:val="389E008F"/>
    <w:rsid w:val="38A13419"/>
    <w:rsid w:val="38A94C99"/>
    <w:rsid w:val="38BD77D9"/>
    <w:rsid w:val="38D6246F"/>
    <w:rsid w:val="38DA1AF6"/>
    <w:rsid w:val="38E36885"/>
    <w:rsid w:val="38F00189"/>
    <w:rsid w:val="39135500"/>
    <w:rsid w:val="397D3044"/>
    <w:rsid w:val="399B0D3D"/>
    <w:rsid w:val="3A3C70DA"/>
    <w:rsid w:val="3A5D0F30"/>
    <w:rsid w:val="3A6442C7"/>
    <w:rsid w:val="3A8E5D10"/>
    <w:rsid w:val="3AC23405"/>
    <w:rsid w:val="3AD2116E"/>
    <w:rsid w:val="3ADD383E"/>
    <w:rsid w:val="3AE11A4E"/>
    <w:rsid w:val="3B10495E"/>
    <w:rsid w:val="3B121111"/>
    <w:rsid w:val="3B2338B7"/>
    <w:rsid w:val="3B275C48"/>
    <w:rsid w:val="3B2A4FB6"/>
    <w:rsid w:val="3B7A2E51"/>
    <w:rsid w:val="3B7C326A"/>
    <w:rsid w:val="3B932D9C"/>
    <w:rsid w:val="3BD26834"/>
    <w:rsid w:val="3BED5FED"/>
    <w:rsid w:val="3C19288C"/>
    <w:rsid w:val="3C9240B7"/>
    <w:rsid w:val="3CBA43FC"/>
    <w:rsid w:val="3CCE5FE8"/>
    <w:rsid w:val="3D573AAE"/>
    <w:rsid w:val="3D76583D"/>
    <w:rsid w:val="3D9C247F"/>
    <w:rsid w:val="3DB35BA7"/>
    <w:rsid w:val="3DBB5D2E"/>
    <w:rsid w:val="3DDC6AF7"/>
    <w:rsid w:val="3DF202BE"/>
    <w:rsid w:val="3E1521CA"/>
    <w:rsid w:val="3E490237"/>
    <w:rsid w:val="3E5C62D1"/>
    <w:rsid w:val="3E5F1E94"/>
    <w:rsid w:val="3EA6436B"/>
    <w:rsid w:val="3EEC1D93"/>
    <w:rsid w:val="3EF545D9"/>
    <w:rsid w:val="3EF746DA"/>
    <w:rsid w:val="3EFE0737"/>
    <w:rsid w:val="3F022944"/>
    <w:rsid w:val="3F125943"/>
    <w:rsid w:val="3F204B9E"/>
    <w:rsid w:val="3F4023D9"/>
    <w:rsid w:val="3F817D6A"/>
    <w:rsid w:val="3FAA11A4"/>
    <w:rsid w:val="3FAF4912"/>
    <w:rsid w:val="3FB7625E"/>
    <w:rsid w:val="404E1D52"/>
    <w:rsid w:val="406537DF"/>
    <w:rsid w:val="406A72FF"/>
    <w:rsid w:val="40A74FF6"/>
    <w:rsid w:val="40A857C2"/>
    <w:rsid w:val="40CD787E"/>
    <w:rsid w:val="410D73A4"/>
    <w:rsid w:val="412737DF"/>
    <w:rsid w:val="41426B03"/>
    <w:rsid w:val="41822731"/>
    <w:rsid w:val="421B7832"/>
    <w:rsid w:val="42254A34"/>
    <w:rsid w:val="423D796E"/>
    <w:rsid w:val="42712C99"/>
    <w:rsid w:val="429462ED"/>
    <w:rsid w:val="42BC7DDF"/>
    <w:rsid w:val="42C157F3"/>
    <w:rsid w:val="42E5365A"/>
    <w:rsid w:val="43076C51"/>
    <w:rsid w:val="43251383"/>
    <w:rsid w:val="435535EE"/>
    <w:rsid w:val="435A272F"/>
    <w:rsid w:val="437E2698"/>
    <w:rsid w:val="43903FBC"/>
    <w:rsid w:val="43AD43B9"/>
    <w:rsid w:val="43E90623"/>
    <w:rsid w:val="44201AAB"/>
    <w:rsid w:val="443D1DF4"/>
    <w:rsid w:val="448A72D9"/>
    <w:rsid w:val="44DA44A7"/>
    <w:rsid w:val="44EF1B82"/>
    <w:rsid w:val="45303661"/>
    <w:rsid w:val="45797C51"/>
    <w:rsid w:val="45912351"/>
    <w:rsid w:val="45A168B6"/>
    <w:rsid w:val="45E77275"/>
    <w:rsid w:val="45EE4E64"/>
    <w:rsid w:val="45EE6863"/>
    <w:rsid w:val="461B2714"/>
    <w:rsid w:val="466C093D"/>
    <w:rsid w:val="46F12888"/>
    <w:rsid w:val="46F41301"/>
    <w:rsid w:val="46FC6C97"/>
    <w:rsid w:val="4702556E"/>
    <w:rsid w:val="47094169"/>
    <w:rsid w:val="473D2DF8"/>
    <w:rsid w:val="4765774F"/>
    <w:rsid w:val="47701D23"/>
    <w:rsid w:val="47B16CDB"/>
    <w:rsid w:val="47F66832"/>
    <w:rsid w:val="480C430C"/>
    <w:rsid w:val="48236963"/>
    <w:rsid w:val="483E4CD6"/>
    <w:rsid w:val="492A6366"/>
    <w:rsid w:val="49760E58"/>
    <w:rsid w:val="49B012BE"/>
    <w:rsid w:val="4A6C0C94"/>
    <w:rsid w:val="4A934670"/>
    <w:rsid w:val="4ABF5B70"/>
    <w:rsid w:val="4AC07CF5"/>
    <w:rsid w:val="4AE01685"/>
    <w:rsid w:val="4AF55130"/>
    <w:rsid w:val="4B0F7F8F"/>
    <w:rsid w:val="4B4518AC"/>
    <w:rsid w:val="4B807D59"/>
    <w:rsid w:val="4B8F7819"/>
    <w:rsid w:val="4B985D35"/>
    <w:rsid w:val="4B9B67AC"/>
    <w:rsid w:val="4BA72EF2"/>
    <w:rsid w:val="4BE8355E"/>
    <w:rsid w:val="4C005968"/>
    <w:rsid w:val="4C3E203F"/>
    <w:rsid w:val="4C4A2448"/>
    <w:rsid w:val="4CF6285E"/>
    <w:rsid w:val="4D516E2B"/>
    <w:rsid w:val="4D5F4AE3"/>
    <w:rsid w:val="4D720271"/>
    <w:rsid w:val="4DED455B"/>
    <w:rsid w:val="4DED52D5"/>
    <w:rsid w:val="4E1B0EA4"/>
    <w:rsid w:val="4E3B2540"/>
    <w:rsid w:val="4E4011FA"/>
    <w:rsid w:val="4E402FFB"/>
    <w:rsid w:val="4E545D2B"/>
    <w:rsid w:val="4E807407"/>
    <w:rsid w:val="4EBA48B9"/>
    <w:rsid w:val="4EC866B8"/>
    <w:rsid w:val="4ECF17A1"/>
    <w:rsid w:val="4EE20642"/>
    <w:rsid w:val="4F1A65F1"/>
    <w:rsid w:val="4F73779A"/>
    <w:rsid w:val="4FB97DFA"/>
    <w:rsid w:val="4FBD65B6"/>
    <w:rsid w:val="504C68C2"/>
    <w:rsid w:val="504D144E"/>
    <w:rsid w:val="508F050A"/>
    <w:rsid w:val="50902684"/>
    <w:rsid w:val="50BA02B4"/>
    <w:rsid w:val="50D6296C"/>
    <w:rsid w:val="50DF56DA"/>
    <w:rsid w:val="50F0491C"/>
    <w:rsid w:val="50F96FFC"/>
    <w:rsid w:val="513B1A3D"/>
    <w:rsid w:val="51693F36"/>
    <w:rsid w:val="516A1F01"/>
    <w:rsid w:val="51705EAE"/>
    <w:rsid w:val="51C0452D"/>
    <w:rsid w:val="51C55131"/>
    <w:rsid w:val="51CA2205"/>
    <w:rsid w:val="51CD1103"/>
    <w:rsid w:val="51E05D03"/>
    <w:rsid w:val="51F91CDA"/>
    <w:rsid w:val="52181704"/>
    <w:rsid w:val="52693681"/>
    <w:rsid w:val="527103FC"/>
    <w:rsid w:val="527F5331"/>
    <w:rsid w:val="529A792F"/>
    <w:rsid w:val="52A0797E"/>
    <w:rsid w:val="52A4759B"/>
    <w:rsid w:val="52A51CE2"/>
    <w:rsid w:val="52B34ED1"/>
    <w:rsid w:val="52B35629"/>
    <w:rsid w:val="52C80592"/>
    <w:rsid w:val="52D32AFD"/>
    <w:rsid w:val="52F92CDD"/>
    <w:rsid w:val="52FC2DD4"/>
    <w:rsid w:val="531B2A2A"/>
    <w:rsid w:val="53481136"/>
    <w:rsid w:val="539F3171"/>
    <w:rsid w:val="53B349C5"/>
    <w:rsid w:val="53BA0524"/>
    <w:rsid w:val="53CB1246"/>
    <w:rsid w:val="53FA7313"/>
    <w:rsid w:val="541852D3"/>
    <w:rsid w:val="54237896"/>
    <w:rsid w:val="542E5537"/>
    <w:rsid w:val="54C9387E"/>
    <w:rsid w:val="54C97D27"/>
    <w:rsid w:val="553D0EFB"/>
    <w:rsid w:val="5580491C"/>
    <w:rsid w:val="55992337"/>
    <w:rsid w:val="55DD2EDC"/>
    <w:rsid w:val="55E510BF"/>
    <w:rsid w:val="561F1F50"/>
    <w:rsid w:val="56262AA1"/>
    <w:rsid w:val="562E2336"/>
    <w:rsid w:val="562F13A1"/>
    <w:rsid w:val="564B02FA"/>
    <w:rsid w:val="565F1615"/>
    <w:rsid w:val="56B0183E"/>
    <w:rsid w:val="56E56A5B"/>
    <w:rsid w:val="570B7257"/>
    <w:rsid w:val="57354A8E"/>
    <w:rsid w:val="58047F3B"/>
    <w:rsid w:val="581F25C1"/>
    <w:rsid w:val="582A7B05"/>
    <w:rsid w:val="58393145"/>
    <w:rsid w:val="588747F1"/>
    <w:rsid w:val="58A24306"/>
    <w:rsid w:val="58BF02E8"/>
    <w:rsid w:val="58C12619"/>
    <w:rsid w:val="58DF6CF4"/>
    <w:rsid w:val="58F92290"/>
    <w:rsid w:val="5904132B"/>
    <w:rsid w:val="590579B7"/>
    <w:rsid w:val="59157827"/>
    <w:rsid w:val="592B3A1B"/>
    <w:rsid w:val="594400A5"/>
    <w:rsid w:val="59460EC7"/>
    <w:rsid w:val="59610174"/>
    <w:rsid w:val="59961D8E"/>
    <w:rsid w:val="59C90F05"/>
    <w:rsid w:val="59FD62AC"/>
    <w:rsid w:val="5A1F5D26"/>
    <w:rsid w:val="5A3115B5"/>
    <w:rsid w:val="5A37329F"/>
    <w:rsid w:val="5A7C7A26"/>
    <w:rsid w:val="5A9410D3"/>
    <w:rsid w:val="5AB23A35"/>
    <w:rsid w:val="5AC5335D"/>
    <w:rsid w:val="5AD77EF8"/>
    <w:rsid w:val="5AD87BF2"/>
    <w:rsid w:val="5AF00910"/>
    <w:rsid w:val="5AF413B3"/>
    <w:rsid w:val="5AF848DA"/>
    <w:rsid w:val="5B136848"/>
    <w:rsid w:val="5B4041A6"/>
    <w:rsid w:val="5B4F7AA0"/>
    <w:rsid w:val="5B9A2150"/>
    <w:rsid w:val="5C1734C7"/>
    <w:rsid w:val="5C2D4130"/>
    <w:rsid w:val="5C3914B8"/>
    <w:rsid w:val="5C6D68F5"/>
    <w:rsid w:val="5C85755D"/>
    <w:rsid w:val="5CA81224"/>
    <w:rsid w:val="5CB10FE2"/>
    <w:rsid w:val="5CDF5A9C"/>
    <w:rsid w:val="5CEA4EE8"/>
    <w:rsid w:val="5D2827BE"/>
    <w:rsid w:val="5D414205"/>
    <w:rsid w:val="5D446097"/>
    <w:rsid w:val="5D5C72F2"/>
    <w:rsid w:val="5D7647EC"/>
    <w:rsid w:val="5DBA1FF8"/>
    <w:rsid w:val="5DC83B06"/>
    <w:rsid w:val="5DF67810"/>
    <w:rsid w:val="5E1D3725"/>
    <w:rsid w:val="5E2F48C5"/>
    <w:rsid w:val="5E37668B"/>
    <w:rsid w:val="5E4C6CAA"/>
    <w:rsid w:val="5E515A6C"/>
    <w:rsid w:val="5E696A00"/>
    <w:rsid w:val="5E9C51FA"/>
    <w:rsid w:val="5EBF35AC"/>
    <w:rsid w:val="5EC42D73"/>
    <w:rsid w:val="5ED54C52"/>
    <w:rsid w:val="5F0D055B"/>
    <w:rsid w:val="5F1849E5"/>
    <w:rsid w:val="5F365D96"/>
    <w:rsid w:val="5F843908"/>
    <w:rsid w:val="5F92436A"/>
    <w:rsid w:val="5F954394"/>
    <w:rsid w:val="60017F19"/>
    <w:rsid w:val="603D34A6"/>
    <w:rsid w:val="60510AEE"/>
    <w:rsid w:val="60A6372F"/>
    <w:rsid w:val="60A94A40"/>
    <w:rsid w:val="60AC0F7A"/>
    <w:rsid w:val="60C346C6"/>
    <w:rsid w:val="60C73328"/>
    <w:rsid w:val="60DE34E4"/>
    <w:rsid w:val="60FE69B5"/>
    <w:rsid w:val="61086B24"/>
    <w:rsid w:val="61141727"/>
    <w:rsid w:val="618C6DEA"/>
    <w:rsid w:val="61D41829"/>
    <w:rsid w:val="61EE2027"/>
    <w:rsid w:val="61F8179A"/>
    <w:rsid w:val="62172CA1"/>
    <w:rsid w:val="625E1FC6"/>
    <w:rsid w:val="628C5836"/>
    <w:rsid w:val="62A25746"/>
    <w:rsid w:val="62AC3F8A"/>
    <w:rsid w:val="62B1554A"/>
    <w:rsid w:val="62BF743F"/>
    <w:rsid w:val="62C400C3"/>
    <w:rsid w:val="62EB763E"/>
    <w:rsid w:val="630048F7"/>
    <w:rsid w:val="63215DB8"/>
    <w:rsid w:val="632757F0"/>
    <w:rsid w:val="633E47F1"/>
    <w:rsid w:val="634525D5"/>
    <w:rsid w:val="639826A5"/>
    <w:rsid w:val="63B03E93"/>
    <w:rsid w:val="63B77B8E"/>
    <w:rsid w:val="640177BB"/>
    <w:rsid w:val="64332AA2"/>
    <w:rsid w:val="643B3FC5"/>
    <w:rsid w:val="64436AB5"/>
    <w:rsid w:val="645079A9"/>
    <w:rsid w:val="64593EF4"/>
    <w:rsid w:val="64BE130D"/>
    <w:rsid w:val="64C96A22"/>
    <w:rsid w:val="64FD6EF8"/>
    <w:rsid w:val="650417B4"/>
    <w:rsid w:val="650A4AEB"/>
    <w:rsid w:val="65345B7E"/>
    <w:rsid w:val="6556769E"/>
    <w:rsid w:val="656E2D6F"/>
    <w:rsid w:val="65773631"/>
    <w:rsid w:val="658253BB"/>
    <w:rsid w:val="658F3B57"/>
    <w:rsid w:val="65914C4B"/>
    <w:rsid w:val="65B25CA0"/>
    <w:rsid w:val="661105A8"/>
    <w:rsid w:val="66186012"/>
    <w:rsid w:val="665C2A9E"/>
    <w:rsid w:val="666E595E"/>
    <w:rsid w:val="667C184F"/>
    <w:rsid w:val="668F7750"/>
    <w:rsid w:val="66A650D9"/>
    <w:rsid w:val="66CF2882"/>
    <w:rsid w:val="67224EF6"/>
    <w:rsid w:val="674E71B7"/>
    <w:rsid w:val="67766E2D"/>
    <w:rsid w:val="67907B2C"/>
    <w:rsid w:val="67F02AB0"/>
    <w:rsid w:val="67FA2386"/>
    <w:rsid w:val="67FA25F5"/>
    <w:rsid w:val="68106CAE"/>
    <w:rsid w:val="6849484D"/>
    <w:rsid w:val="6878082B"/>
    <w:rsid w:val="688E4077"/>
    <w:rsid w:val="68F10571"/>
    <w:rsid w:val="68FA0D0D"/>
    <w:rsid w:val="692B0CE1"/>
    <w:rsid w:val="696B5954"/>
    <w:rsid w:val="69C04704"/>
    <w:rsid w:val="69F63A40"/>
    <w:rsid w:val="6A160FCF"/>
    <w:rsid w:val="6A296146"/>
    <w:rsid w:val="6A601EDE"/>
    <w:rsid w:val="6A8F72B9"/>
    <w:rsid w:val="6AAB7F50"/>
    <w:rsid w:val="6AB204CB"/>
    <w:rsid w:val="6AE05D7A"/>
    <w:rsid w:val="6AF20FCD"/>
    <w:rsid w:val="6B471919"/>
    <w:rsid w:val="6B563571"/>
    <w:rsid w:val="6BB46349"/>
    <w:rsid w:val="6BD81F10"/>
    <w:rsid w:val="6BDF5356"/>
    <w:rsid w:val="6C285D9C"/>
    <w:rsid w:val="6C310293"/>
    <w:rsid w:val="6C5D7FE5"/>
    <w:rsid w:val="6C7E2BCD"/>
    <w:rsid w:val="6C921765"/>
    <w:rsid w:val="6C9E5D5C"/>
    <w:rsid w:val="6CC90D79"/>
    <w:rsid w:val="6D352759"/>
    <w:rsid w:val="6D407738"/>
    <w:rsid w:val="6D470259"/>
    <w:rsid w:val="6D70440A"/>
    <w:rsid w:val="6D9956BA"/>
    <w:rsid w:val="6DA31E1B"/>
    <w:rsid w:val="6DD62D9A"/>
    <w:rsid w:val="6DD97399"/>
    <w:rsid w:val="6DFC351E"/>
    <w:rsid w:val="6E4E6782"/>
    <w:rsid w:val="6E625129"/>
    <w:rsid w:val="6EA16987"/>
    <w:rsid w:val="6F4656AB"/>
    <w:rsid w:val="6F480AB5"/>
    <w:rsid w:val="6F484143"/>
    <w:rsid w:val="6F574271"/>
    <w:rsid w:val="6F626ABC"/>
    <w:rsid w:val="6F750F26"/>
    <w:rsid w:val="6F7B72E9"/>
    <w:rsid w:val="6F8445D4"/>
    <w:rsid w:val="6F8D5C1A"/>
    <w:rsid w:val="6F8E342E"/>
    <w:rsid w:val="6F91709A"/>
    <w:rsid w:val="6FA8133A"/>
    <w:rsid w:val="6FD27139"/>
    <w:rsid w:val="6FF12841"/>
    <w:rsid w:val="70086198"/>
    <w:rsid w:val="7036127C"/>
    <w:rsid w:val="703A6478"/>
    <w:rsid w:val="705A44EC"/>
    <w:rsid w:val="705D337D"/>
    <w:rsid w:val="70B84386"/>
    <w:rsid w:val="70CD2B48"/>
    <w:rsid w:val="71126EE7"/>
    <w:rsid w:val="711B5606"/>
    <w:rsid w:val="711F2F6E"/>
    <w:rsid w:val="7120331F"/>
    <w:rsid w:val="71284CC5"/>
    <w:rsid w:val="71306613"/>
    <w:rsid w:val="71476A64"/>
    <w:rsid w:val="714E0847"/>
    <w:rsid w:val="71617DF1"/>
    <w:rsid w:val="71654E27"/>
    <w:rsid w:val="718F6EFB"/>
    <w:rsid w:val="719E73CE"/>
    <w:rsid w:val="71A02A13"/>
    <w:rsid w:val="71A67164"/>
    <w:rsid w:val="71D94D43"/>
    <w:rsid w:val="71F6500C"/>
    <w:rsid w:val="71FD0107"/>
    <w:rsid w:val="722A09BE"/>
    <w:rsid w:val="723E08BB"/>
    <w:rsid w:val="72A97CC2"/>
    <w:rsid w:val="72AB1549"/>
    <w:rsid w:val="737E24ED"/>
    <w:rsid w:val="73986296"/>
    <w:rsid w:val="739E4830"/>
    <w:rsid w:val="73D72776"/>
    <w:rsid w:val="742025C2"/>
    <w:rsid w:val="74203020"/>
    <w:rsid w:val="74552F0F"/>
    <w:rsid w:val="74F11F08"/>
    <w:rsid w:val="751F5051"/>
    <w:rsid w:val="754206C3"/>
    <w:rsid w:val="757C043C"/>
    <w:rsid w:val="757E0B61"/>
    <w:rsid w:val="75907680"/>
    <w:rsid w:val="75A37EA3"/>
    <w:rsid w:val="75DA7EE7"/>
    <w:rsid w:val="75DF6534"/>
    <w:rsid w:val="76134845"/>
    <w:rsid w:val="76236D07"/>
    <w:rsid w:val="762E4008"/>
    <w:rsid w:val="763922F4"/>
    <w:rsid w:val="7686785D"/>
    <w:rsid w:val="76DC0816"/>
    <w:rsid w:val="774B075C"/>
    <w:rsid w:val="77597F97"/>
    <w:rsid w:val="77896DD2"/>
    <w:rsid w:val="77920613"/>
    <w:rsid w:val="77925931"/>
    <w:rsid w:val="782A7F03"/>
    <w:rsid w:val="7841648A"/>
    <w:rsid w:val="78713C52"/>
    <w:rsid w:val="7894400D"/>
    <w:rsid w:val="78964FAD"/>
    <w:rsid w:val="78966177"/>
    <w:rsid w:val="78DB2448"/>
    <w:rsid w:val="78E83291"/>
    <w:rsid w:val="79145AC5"/>
    <w:rsid w:val="7915331F"/>
    <w:rsid w:val="79616DC4"/>
    <w:rsid w:val="79673F4B"/>
    <w:rsid w:val="797831E0"/>
    <w:rsid w:val="79A96F62"/>
    <w:rsid w:val="79E820BE"/>
    <w:rsid w:val="79FC52E4"/>
    <w:rsid w:val="7A3A404A"/>
    <w:rsid w:val="7A862644"/>
    <w:rsid w:val="7A894083"/>
    <w:rsid w:val="7AA503D4"/>
    <w:rsid w:val="7AAC2154"/>
    <w:rsid w:val="7AB7745D"/>
    <w:rsid w:val="7B4128F5"/>
    <w:rsid w:val="7B681A01"/>
    <w:rsid w:val="7B86410F"/>
    <w:rsid w:val="7B984F85"/>
    <w:rsid w:val="7BC4767F"/>
    <w:rsid w:val="7BD3539E"/>
    <w:rsid w:val="7BD665F9"/>
    <w:rsid w:val="7C1C080B"/>
    <w:rsid w:val="7C47478B"/>
    <w:rsid w:val="7CB137EB"/>
    <w:rsid w:val="7CB1685A"/>
    <w:rsid w:val="7CB42860"/>
    <w:rsid w:val="7CB63E70"/>
    <w:rsid w:val="7CC23AF1"/>
    <w:rsid w:val="7CC87CD0"/>
    <w:rsid w:val="7CE63D38"/>
    <w:rsid w:val="7D021F92"/>
    <w:rsid w:val="7D44147C"/>
    <w:rsid w:val="7D831878"/>
    <w:rsid w:val="7D891584"/>
    <w:rsid w:val="7D9B726B"/>
    <w:rsid w:val="7DA55C93"/>
    <w:rsid w:val="7DA63C6F"/>
    <w:rsid w:val="7E0B4B18"/>
    <w:rsid w:val="7E235C52"/>
    <w:rsid w:val="7E6E2E4D"/>
    <w:rsid w:val="7E7200FE"/>
    <w:rsid w:val="7EBE6F11"/>
    <w:rsid w:val="7EC40A46"/>
    <w:rsid w:val="7EE30DF1"/>
    <w:rsid w:val="7F0C421B"/>
    <w:rsid w:val="7F833D8D"/>
    <w:rsid w:val="7F83520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9"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unhideWhenUsed="0" w:uiPriority="0" w:semiHidden="0" w:name="Normal Indent"/>
    <w:lsdException w:unhideWhenUsed="0" w:uiPriority="0" w:semiHidden="0" w:name="footnote text"/>
    <w:lsdException w:unhideWhenUsed="0" w:uiPriority="99"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1"/>
    <w:basedOn w:val="1"/>
    <w:next w:val="1"/>
    <w:link w:val="53"/>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3">
    <w:name w:val="heading 2"/>
    <w:basedOn w:val="4"/>
    <w:next w:val="1"/>
    <w:link w:val="54"/>
    <w:qFormat/>
    <w:uiPriority w:val="0"/>
    <w:pPr>
      <w:keepNext/>
      <w:keepLines/>
      <w:tabs>
        <w:tab w:val="left" w:pos="1152"/>
      </w:tabs>
      <w:autoSpaceDE w:val="0"/>
      <w:autoSpaceDN w:val="0"/>
      <w:adjustRightInd w:val="0"/>
      <w:spacing w:before="120" w:line="300" w:lineRule="auto"/>
      <w:jc w:val="center"/>
      <w:outlineLvl w:val="1"/>
    </w:pPr>
    <w:rPr>
      <w:rFonts w:ascii="Arial" w:hAnsi="Arial" w:eastAsia="黑体"/>
      <w:b/>
      <w:kern w:val="0"/>
      <w:sz w:val="30"/>
      <w:szCs w:val="20"/>
    </w:rPr>
  </w:style>
  <w:style w:type="paragraph" w:styleId="6">
    <w:name w:val="heading 3"/>
    <w:basedOn w:val="1"/>
    <w:next w:val="7"/>
    <w:link w:val="55"/>
    <w:qFormat/>
    <w:uiPriority w:val="0"/>
    <w:pPr>
      <w:keepNext/>
      <w:keepLines/>
      <w:autoSpaceDE w:val="0"/>
      <w:autoSpaceDN w:val="0"/>
      <w:adjustRightInd w:val="0"/>
      <w:spacing w:line="360" w:lineRule="auto"/>
      <w:ind w:firstLine="3453" w:firstLineChars="1150"/>
      <w:jc w:val="left"/>
      <w:outlineLvl w:val="2"/>
    </w:pPr>
    <w:rPr>
      <w:rFonts w:ascii="宋体" w:hAnsi="宋体"/>
      <w:b/>
      <w:kern w:val="0"/>
      <w:sz w:val="30"/>
      <w:szCs w:val="30"/>
      <w:shd w:val="clear" w:color="auto" w:fill="FFFFFF"/>
    </w:rPr>
  </w:style>
  <w:style w:type="paragraph" w:styleId="8">
    <w:name w:val="heading 4"/>
    <w:basedOn w:val="1"/>
    <w:next w:val="1"/>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5">
    <w:name w:val="heading 5"/>
    <w:basedOn w:val="1"/>
    <w:next w:val="1"/>
    <w:qFormat/>
    <w:uiPriority w:val="0"/>
    <w:pPr>
      <w:keepNext/>
      <w:keepLines/>
      <w:adjustRightInd w:val="0"/>
      <w:spacing w:before="280" w:after="290" w:line="376" w:lineRule="atLeast"/>
      <w:textAlignment w:val="baseline"/>
      <w:outlineLvl w:val="4"/>
    </w:pPr>
    <w:rPr>
      <w:rFonts w:eastAsia="宋体"/>
      <w:b/>
      <w:spacing w:val="20"/>
      <w:sz w:val="28"/>
      <w:lang w:val="en-US" w:eastAsia="zh-CN" w:bidi="ar-SA"/>
    </w:rPr>
  </w:style>
  <w:style w:type="paragraph" w:styleId="9">
    <w:name w:val="heading 6"/>
    <w:basedOn w:val="1"/>
    <w:next w:val="1"/>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38">
    <w:name w:val="Default Paragraph Font"/>
    <w:semiHidden/>
    <w:uiPriority w:val="0"/>
  </w:style>
  <w:style w:type="table" w:default="1" w:styleId="36">
    <w:name w:val="Normal Table"/>
    <w:semiHidden/>
    <w:uiPriority w:val="0"/>
    <w:tblPr>
      <w:tblStyle w:val="36"/>
      <w:tblCellMar>
        <w:top w:w="0" w:type="dxa"/>
        <w:left w:w="108" w:type="dxa"/>
        <w:bottom w:w="0" w:type="dxa"/>
        <w:right w:w="108" w:type="dxa"/>
      </w:tblCellMar>
    </w:tblPr>
  </w:style>
  <w:style w:type="paragraph" w:customStyle="1" w:styleId="4">
    <w:name w:val="标题 55"/>
    <w:basedOn w:val="5"/>
    <w:qFormat/>
    <w:uiPriority w:val="0"/>
    <w:pPr>
      <w:tabs>
        <w:tab w:val="left" w:pos="1152"/>
      </w:tabs>
      <w:spacing w:line="376" w:lineRule="auto"/>
    </w:pPr>
    <w:rPr>
      <w:rFonts w:ascii="方正黑体简体" w:eastAsia="方正黑体简体"/>
      <w:b w:val="0"/>
    </w:rPr>
  </w:style>
  <w:style w:type="paragraph" w:styleId="7">
    <w:name w:val="Normal Indent"/>
    <w:basedOn w:val="1"/>
    <w:uiPriority w:val="0"/>
    <w:pPr>
      <w:autoSpaceDE w:val="0"/>
      <w:autoSpaceDN w:val="0"/>
      <w:adjustRightInd w:val="0"/>
      <w:ind w:firstLine="420"/>
      <w:jc w:val="left"/>
    </w:pPr>
    <w:rPr>
      <w:rFonts w:ascii="宋体"/>
      <w:kern w:val="0"/>
      <w:sz w:val="24"/>
      <w:szCs w:val="20"/>
    </w:rPr>
  </w:style>
  <w:style w:type="paragraph" w:styleId="10">
    <w:name w:val="toc 7"/>
    <w:basedOn w:val="1"/>
    <w:next w:val="1"/>
    <w:uiPriority w:val="39"/>
    <w:pPr>
      <w:ind w:left="2520" w:leftChars="1200"/>
    </w:pPr>
  </w:style>
  <w:style w:type="paragraph" w:styleId="11">
    <w:name w:val="Note Heading"/>
    <w:basedOn w:val="1"/>
    <w:next w:val="1"/>
    <w:qFormat/>
    <w:uiPriority w:val="0"/>
    <w:pPr>
      <w:jc w:val="center"/>
    </w:pPr>
  </w:style>
  <w:style w:type="paragraph" w:styleId="12">
    <w:name w:val="Document Map"/>
    <w:basedOn w:val="1"/>
    <w:link w:val="56"/>
    <w:uiPriority w:val="0"/>
    <w:rPr>
      <w:rFonts w:ascii="宋体"/>
      <w:sz w:val="18"/>
      <w:szCs w:val="18"/>
    </w:rPr>
  </w:style>
  <w:style w:type="paragraph" w:styleId="13">
    <w:name w:val="annotation text"/>
    <w:basedOn w:val="1"/>
    <w:link w:val="57"/>
    <w:uiPriority w:val="99"/>
    <w:pPr>
      <w:jc w:val="left"/>
    </w:pPr>
  </w:style>
  <w:style w:type="paragraph" w:styleId="14">
    <w:name w:val="Body Text"/>
    <w:basedOn w:val="1"/>
    <w:next w:val="1"/>
    <w:link w:val="58"/>
    <w:uiPriority w:val="0"/>
    <w:pPr>
      <w:tabs>
        <w:tab w:val="left" w:pos="567"/>
      </w:tabs>
      <w:spacing w:before="120" w:line="22" w:lineRule="atLeast"/>
    </w:pPr>
    <w:rPr>
      <w:rFonts w:ascii="宋体" w:hAnsi="宋体"/>
      <w:sz w:val="24"/>
    </w:rPr>
  </w:style>
  <w:style w:type="paragraph" w:styleId="15">
    <w:name w:val="Body Text Indent"/>
    <w:basedOn w:val="1"/>
    <w:uiPriority w:val="0"/>
    <w:pPr>
      <w:spacing w:line="360" w:lineRule="auto"/>
      <w:ind w:firstLine="570"/>
    </w:pPr>
    <w:rPr>
      <w:sz w:val="24"/>
    </w:rPr>
  </w:style>
  <w:style w:type="paragraph" w:styleId="16">
    <w:name w:val="toc 5"/>
    <w:basedOn w:val="1"/>
    <w:next w:val="1"/>
    <w:uiPriority w:val="39"/>
    <w:pPr>
      <w:ind w:left="1680" w:leftChars="800"/>
    </w:pPr>
  </w:style>
  <w:style w:type="paragraph" w:styleId="17">
    <w:name w:val="toc 3"/>
    <w:basedOn w:val="1"/>
    <w:next w:val="1"/>
    <w:uiPriority w:val="39"/>
    <w:pPr>
      <w:tabs>
        <w:tab w:val="left" w:pos="1260"/>
        <w:tab w:val="right" w:leader="dot" w:pos="8630"/>
      </w:tabs>
      <w:ind w:left="840" w:leftChars="400"/>
    </w:pPr>
  </w:style>
  <w:style w:type="paragraph" w:styleId="18">
    <w:name w:val="Plain Text"/>
    <w:basedOn w:val="1"/>
    <w:link w:val="59"/>
    <w:uiPriority w:val="0"/>
    <w:rPr>
      <w:rFonts w:ascii="宋体" w:hAnsi="Courier New"/>
      <w:szCs w:val="20"/>
    </w:rPr>
  </w:style>
  <w:style w:type="paragraph" w:styleId="19">
    <w:name w:val="toc 8"/>
    <w:basedOn w:val="1"/>
    <w:next w:val="1"/>
    <w:uiPriority w:val="39"/>
    <w:pPr>
      <w:ind w:left="2940" w:leftChars="1400"/>
    </w:pPr>
  </w:style>
  <w:style w:type="paragraph" w:styleId="20">
    <w:name w:val="Date"/>
    <w:basedOn w:val="1"/>
    <w:next w:val="1"/>
    <w:link w:val="60"/>
    <w:uiPriority w:val="0"/>
    <w:pPr>
      <w:ind w:left="100" w:leftChars="2500"/>
    </w:pPr>
    <w:rPr>
      <w:rFonts w:ascii="仿宋_GB2312" w:hAnsi="宋体" w:eastAsia="仿宋_GB2312"/>
      <w:color w:val="000000"/>
      <w:sz w:val="24"/>
    </w:rPr>
  </w:style>
  <w:style w:type="paragraph" w:styleId="21">
    <w:name w:val="Body Text Indent 2"/>
    <w:basedOn w:val="1"/>
    <w:uiPriority w:val="0"/>
    <w:pPr>
      <w:ind w:firstLine="480" w:firstLineChars="200"/>
    </w:pPr>
    <w:rPr>
      <w:rFonts w:ascii="仿宋_GB2312" w:eastAsia="仿宋_GB2312"/>
      <w:sz w:val="24"/>
    </w:rPr>
  </w:style>
  <w:style w:type="paragraph" w:styleId="22">
    <w:name w:val="Balloon Text"/>
    <w:basedOn w:val="1"/>
    <w:link w:val="61"/>
    <w:uiPriority w:val="0"/>
    <w:rPr>
      <w:sz w:val="18"/>
      <w:szCs w:val="18"/>
    </w:rPr>
  </w:style>
  <w:style w:type="paragraph" w:styleId="23">
    <w:name w:val="footer"/>
    <w:basedOn w:val="1"/>
    <w:link w:val="62"/>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24">
    <w:name w:val="header"/>
    <w:basedOn w:val="1"/>
    <w:link w:val="63"/>
    <w:uiPriority w:val="0"/>
    <w:pPr>
      <w:pBdr>
        <w:bottom w:val="single" w:color="auto" w:sz="6" w:space="1"/>
      </w:pBdr>
      <w:tabs>
        <w:tab w:val="center" w:pos="4153"/>
        <w:tab w:val="right" w:pos="8306"/>
      </w:tabs>
      <w:snapToGrid w:val="0"/>
      <w:jc w:val="center"/>
    </w:pPr>
    <w:rPr>
      <w:sz w:val="18"/>
      <w:szCs w:val="18"/>
    </w:rPr>
  </w:style>
  <w:style w:type="paragraph" w:styleId="25">
    <w:name w:val="toc 1"/>
    <w:basedOn w:val="1"/>
    <w:next w:val="1"/>
    <w:uiPriority w:val="39"/>
  </w:style>
  <w:style w:type="paragraph" w:styleId="26">
    <w:name w:val="toc 4"/>
    <w:basedOn w:val="1"/>
    <w:next w:val="1"/>
    <w:uiPriority w:val="39"/>
    <w:pPr>
      <w:ind w:left="1260" w:leftChars="600"/>
    </w:pPr>
  </w:style>
  <w:style w:type="paragraph" w:styleId="27">
    <w:name w:val="toc 6"/>
    <w:basedOn w:val="1"/>
    <w:next w:val="1"/>
    <w:uiPriority w:val="39"/>
    <w:pPr>
      <w:ind w:left="2100" w:leftChars="1000"/>
    </w:pPr>
  </w:style>
  <w:style w:type="paragraph" w:styleId="28">
    <w:name w:val="Body Text Indent 3"/>
    <w:basedOn w:val="1"/>
    <w:uiPriority w:val="0"/>
    <w:pPr>
      <w:autoSpaceDE w:val="0"/>
      <w:autoSpaceDN w:val="0"/>
      <w:adjustRightInd w:val="0"/>
      <w:spacing w:before="120" w:line="22" w:lineRule="atLeast"/>
      <w:ind w:left="720" w:firstLine="480"/>
      <w:jc w:val="left"/>
    </w:pPr>
    <w:rPr>
      <w:rFonts w:ascii="宋体"/>
      <w:kern w:val="0"/>
      <w:sz w:val="24"/>
      <w:szCs w:val="20"/>
    </w:rPr>
  </w:style>
  <w:style w:type="paragraph" w:styleId="29">
    <w:name w:val="toc 2"/>
    <w:basedOn w:val="1"/>
    <w:next w:val="1"/>
    <w:uiPriority w:val="39"/>
    <w:pPr>
      <w:ind w:left="420" w:leftChars="200"/>
    </w:pPr>
  </w:style>
  <w:style w:type="paragraph" w:styleId="30">
    <w:name w:val="toc 9"/>
    <w:basedOn w:val="1"/>
    <w:next w:val="1"/>
    <w:uiPriority w:val="39"/>
    <w:pPr>
      <w:ind w:left="3360" w:leftChars="1600"/>
    </w:pPr>
  </w:style>
  <w:style w:type="paragraph" w:styleId="31">
    <w:name w:val="Normal (Web)"/>
    <w:basedOn w:val="1"/>
    <w:uiPriority w:val="99"/>
    <w:pPr>
      <w:widowControl/>
      <w:spacing w:before="100" w:beforeAutospacing="1" w:after="100" w:afterAutospacing="1"/>
      <w:jc w:val="left"/>
    </w:pPr>
    <w:rPr>
      <w:rFonts w:ascii="宋体" w:hAnsi="宋体" w:cs="宋体"/>
      <w:kern w:val="0"/>
      <w:sz w:val="24"/>
    </w:rPr>
  </w:style>
  <w:style w:type="paragraph" w:styleId="32">
    <w:name w:val="index 1"/>
    <w:basedOn w:val="1"/>
    <w:next w:val="1"/>
    <w:semiHidden/>
    <w:uiPriority w:val="0"/>
    <w:rPr>
      <w:szCs w:val="20"/>
    </w:rPr>
  </w:style>
  <w:style w:type="paragraph" w:styleId="33">
    <w:name w:val="Title"/>
    <w:basedOn w:val="1"/>
    <w:next w:val="1"/>
    <w:link w:val="64"/>
    <w:qFormat/>
    <w:uiPriority w:val="0"/>
    <w:pPr>
      <w:spacing w:before="240" w:after="60"/>
      <w:jc w:val="center"/>
      <w:outlineLvl w:val="0"/>
    </w:pPr>
    <w:rPr>
      <w:rFonts w:ascii="Cambria" w:hAnsi="Cambria"/>
      <w:b/>
      <w:bCs/>
      <w:sz w:val="32"/>
      <w:szCs w:val="32"/>
    </w:rPr>
  </w:style>
  <w:style w:type="paragraph" w:styleId="34">
    <w:name w:val="annotation subject"/>
    <w:basedOn w:val="13"/>
    <w:next w:val="13"/>
    <w:link w:val="65"/>
    <w:uiPriority w:val="0"/>
    <w:rPr>
      <w:b/>
      <w:bCs/>
    </w:rPr>
  </w:style>
  <w:style w:type="paragraph" w:styleId="35">
    <w:name w:val="Body Text First Indent 2"/>
    <w:basedOn w:val="15"/>
    <w:qFormat/>
    <w:uiPriority w:val="0"/>
    <w:pPr>
      <w:spacing w:after="120" w:line="240" w:lineRule="auto"/>
      <w:ind w:left="420" w:leftChars="200" w:firstLine="420"/>
    </w:pPr>
    <w:rPr>
      <w:rFonts w:ascii="Calibri" w:hAnsi="Calibri"/>
      <w:kern w:val="2"/>
      <w:sz w:val="21"/>
    </w:rPr>
  </w:style>
  <w:style w:type="table" w:styleId="37">
    <w:name w:val="Table Grid"/>
    <w:basedOn w:val="36"/>
    <w:qFormat/>
    <w:uiPriority w:val="59"/>
    <w:pPr>
      <w:widowControl w:val="0"/>
      <w:jc w:val="both"/>
    </w:pPr>
    <w:tblPr>
      <w:tblStyle w:val="36"/>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bCs/>
    </w:rPr>
  </w:style>
  <w:style w:type="character" w:styleId="40">
    <w:name w:val="page number"/>
    <w:uiPriority w:val="0"/>
  </w:style>
  <w:style w:type="character" w:styleId="41">
    <w:name w:val="FollowedHyperlink"/>
    <w:uiPriority w:val="0"/>
    <w:rPr>
      <w:color w:val="000000"/>
      <w:u w:val="none"/>
    </w:rPr>
  </w:style>
  <w:style w:type="character" w:styleId="42">
    <w:name w:val="Emphasis"/>
    <w:qFormat/>
    <w:uiPriority w:val="0"/>
  </w:style>
  <w:style w:type="character" w:styleId="43">
    <w:name w:val="HTML Definition"/>
    <w:uiPriority w:val="0"/>
    <w:rPr>
      <w:i/>
      <w:iCs/>
    </w:rPr>
  </w:style>
  <w:style w:type="character" w:styleId="44">
    <w:name w:val="HTML Typewriter"/>
    <w:basedOn w:val="38"/>
    <w:uiPriority w:val="0"/>
    <w:rPr>
      <w:rFonts w:ascii="monospace" w:hAnsi="monospace" w:eastAsia="monospace" w:cs="monospace"/>
      <w:sz w:val="20"/>
    </w:rPr>
  </w:style>
  <w:style w:type="character" w:styleId="45">
    <w:name w:val="HTML Acronym"/>
    <w:basedOn w:val="38"/>
    <w:uiPriority w:val="0"/>
    <w:rPr>
      <w:bdr w:val="single" w:color="D6D6D6" w:sz="2" w:space="0"/>
      <w:shd w:val="clear" w:color="auto" w:fill="F9F9F9"/>
    </w:rPr>
  </w:style>
  <w:style w:type="character" w:styleId="46">
    <w:name w:val="HTML Variable"/>
    <w:uiPriority w:val="0"/>
  </w:style>
  <w:style w:type="character" w:styleId="47">
    <w:name w:val="Hyperlink"/>
    <w:uiPriority w:val="99"/>
    <w:rPr>
      <w:color w:val="000000"/>
      <w:u w:val="none"/>
    </w:rPr>
  </w:style>
  <w:style w:type="character" w:styleId="48">
    <w:name w:val="HTML Code"/>
    <w:uiPriority w:val="0"/>
    <w:rPr>
      <w:rFonts w:hint="default" w:ascii="Consolas" w:hAnsi="Consolas" w:eastAsia="Consolas" w:cs="Consolas"/>
      <w:color w:val="C7254E"/>
      <w:sz w:val="21"/>
      <w:szCs w:val="21"/>
      <w:shd w:val="clear" w:color="auto" w:fill="F9F2F4"/>
    </w:rPr>
  </w:style>
  <w:style w:type="character" w:styleId="49">
    <w:name w:val="annotation reference"/>
    <w:uiPriority w:val="99"/>
    <w:rPr>
      <w:sz w:val="21"/>
      <w:szCs w:val="21"/>
    </w:rPr>
  </w:style>
  <w:style w:type="character" w:styleId="50">
    <w:name w:val="HTML Cite"/>
    <w:uiPriority w:val="0"/>
  </w:style>
  <w:style w:type="character" w:styleId="51">
    <w:name w:val="HTML Keyboard"/>
    <w:uiPriority w:val="0"/>
    <w:rPr>
      <w:rFonts w:hint="default" w:ascii="Consolas" w:hAnsi="Consolas" w:eastAsia="Consolas" w:cs="Consolas"/>
      <w:color w:val="FFFFFF"/>
      <w:sz w:val="21"/>
      <w:szCs w:val="21"/>
      <w:shd w:val="clear" w:color="auto" w:fill="333333"/>
    </w:rPr>
  </w:style>
  <w:style w:type="character" w:styleId="52">
    <w:name w:val="HTML Sample"/>
    <w:uiPriority w:val="0"/>
    <w:rPr>
      <w:rFonts w:ascii="Consolas" w:hAnsi="Consolas" w:eastAsia="Consolas" w:cs="Consolas"/>
      <w:sz w:val="21"/>
      <w:szCs w:val="21"/>
    </w:rPr>
  </w:style>
  <w:style w:type="character" w:customStyle="1" w:styleId="53">
    <w:name w:val="标题 1 字符"/>
    <w:link w:val="2"/>
    <w:uiPriority w:val="0"/>
    <w:rPr>
      <w:rFonts w:ascii="宋体"/>
      <w:b/>
      <w:kern w:val="44"/>
      <w:sz w:val="32"/>
    </w:rPr>
  </w:style>
  <w:style w:type="character" w:customStyle="1" w:styleId="54">
    <w:name w:val="标题 2 字符1"/>
    <w:link w:val="3"/>
    <w:uiPriority w:val="0"/>
    <w:rPr>
      <w:rFonts w:ascii="Arial" w:hAnsi="Arial" w:eastAsia="黑体"/>
      <w:b/>
      <w:sz w:val="30"/>
    </w:rPr>
  </w:style>
  <w:style w:type="character" w:customStyle="1" w:styleId="55">
    <w:name w:val="标题 3 字符1"/>
    <w:link w:val="6"/>
    <w:uiPriority w:val="0"/>
    <w:rPr>
      <w:rFonts w:ascii="宋体" w:hAnsi="宋体"/>
      <w:b/>
      <w:sz w:val="30"/>
      <w:szCs w:val="30"/>
    </w:rPr>
  </w:style>
  <w:style w:type="character" w:customStyle="1" w:styleId="56">
    <w:name w:val="文档结构图 字符"/>
    <w:link w:val="12"/>
    <w:uiPriority w:val="0"/>
    <w:rPr>
      <w:rFonts w:ascii="宋体"/>
      <w:kern w:val="2"/>
      <w:sz w:val="18"/>
      <w:szCs w:val="18"/>
    </w:rPr>
  </w:style>
  <w:style w:type="character" w:customStyle="1" w:styleId="57">
    <w:name w:val="批注文字 字符"/>
    <w:link w:val="13"/>
    <w:uiPriority w:val="99"/>
    <w:rPr>
      <w:kern w:val="2"/>
      <w:sz w:val="21"/>
      <w:szCs w:val="24"/>
    </w:rPr>
  </w:style>
  <w:style w:type="character" w:customStyle="1" w:styleId="58">
    <w:name w:val="正文文本 字符1"/>
    <w:link w:val="14"/>
    <w:uiPriority w:val="0"/>
    <w:rPr>
      <w:rFonts w:ascii="宋体" w:hAnsi="宋体"/>
      <w:kern w:val="2"/>
      <w:sz w:val="24"/>
      <w:szCs w:val="24"/>
    </w:rPr>
  </w:style>
  <w:style w:type="character" w:customStyle="1" w:styleId="59">
    <w:name w:val="纯文本 字符1"/>
    <w:link w:val="18"/>
    <w:uiPriority w:val="0"/>
    <w:rPr>
      <w:rFonts w:ascii="宋体" w:hAnsi="Courier New"/>
      <w:kern w:val="2"/>
      <w:sz w:val="21"/>
    </w:rPr>
  </w:style>
  <w:style w:type="character" w:customStyle="1" w:styleId="60">
    <w:name w:val="日期 字符"/>
    <w:link w:val="20"/>
    <w:uiPriority w:val="0"/>
    <w:rPr>
      <w:rFonts w:ascii="仿宋_GB2312" w:hAnsi="宋体" w:eastAsia="仿宋_GB2312"/>
      <w:color w:val="000000"/>
      <w:kern w:val="2"/>
      <w:sz w:val="24"/>
      <w:szCs w:val="24"/>
    </w:rPr>
  </w:style>
  <w:style w:type="character" w:customStyle="1" w:styleId="61">
    <w:name w:val="批注框文本 字符"/>
    <w:link w:val="22"/>
    <w:uiPriority w:val="0"/>
    <w:rPr>
      <w:kern w:val="2"/>
      <w:sz w:val="18"/>
      <w:szCs w:val="18"/>
    </w:rPr>
  </w:style>
  <w:style w:type="character" w:customStyle="1" w:styleId="62">
    <w:name w:val="页脚 字符"/>
    <w:link w:val="23"/>
    <w:uiPriority w:val="99"/>
    <w:rPr>
      <w:rFonts w:ascii="宋体"/>
      <w:sz w:val="18"/>
    </w:rPr>
  </w:style>
  <w:style w:type="character" w:customStyle="1" w:styleId="63">
    <w:name w:val="页眉 字符"/>
    <w:link w:val="24"/>
    <w:uiPriority w:val="0"/>
    <w:rPr>
      <w:kern w:val="2"/>
      <w:sz w:val="18"/>
      <w:szCs w:val="18"/>
    </w:rPr>
  </w:style>
  <w:style w:type="character" w:customStyle="1" w:styleId="64">
    <w:name w:val="标题 字符"/>
    <w:link w:val="33"/>
    <w:uiPriority w:val="0"/>
    <w:rPr>
      <w:rFonts w:ascii="Cambria" w:hAnsi="Cambria" w:cs="Times New Roman"/>
      <w:b/>
      <w:bCs/>
      <w:kern w:val="2"/>
      <w:sz w:val="32"/>
      <w:szCs w:val="32"/>
    </w:rPr>
  </w:style>
  <w:style w:type="character" w:customStyle="1" w:styleId="65">
    <w:name w:val="批注主题 字符"/>
    <w:link w:val="34"/>
    <w:uiPriority w:val="0"/>
    <w:rPr>
      <w:b/>
      <w:bCs/>
      <w:kern w:val="2"/>
      <w:sz w:val="21"/>
      <w:szCs w:val="24"/>
    </w:rPr>
  </w:style>
  <w:style w:type="character" w:customStyle="1" w:styleId="66">
    <w:name w:val="批注文字 Char1"/>
    <w:semiHidden/>
    <w:uiPriority w:val="99"/>
    <w:rPr>
      <w:kern w:val="2"/>
      <w:sz w:val="21"/>
      <w:szCs w:val="24"/>
    </w:rPr>
  </w:style>
  <w:style w:type="character" w:customStyle="1" w:styleId="67">
    <w:name w:val="正文文本 字符"/>
    <w:uiPriority w:val="0"/>
    <w:rPr>
      <w:rFonts w:ascii="宋体" w:hAnsi="宋体"/>
      <w:kern w:val="2"/>
      <w:sz w:val="24"/>
      <w:szCs w:val="24"/>
    </w:rPr>
  </w:style>
  <w:style w:type="character" w:customStyle="1" w:styleId="68">
    <w:name w:val="标题 2 字符"/>
    <w:uiPriority w:val="0"/>
    <w:rPr>
      <w:rFonts w:ascii="Arial" w:hAnsi="Arial" w:eastAsia="黑体"/>
      <w:b/>
      <w:sz w:val="30"/>
    </w:rPr>
  </w:style>
  <w:style w:type="character" w:customStyle="1" w:styleId="69">
    <w:name w:val="正文缩进 Char1"/>
    <w:link w:val="70"/>
    <w:uiPriority w:val="0"/>
    <w:rPr>
      <w:rFonts w:ascii="宋体"/>
      <w:sz w:val="24"/>
    </w:rPr>
  </w:style>
  <w:style w:type="paragraph" w:customStyle="1" w:styleId="70">
    <w:name w:val="正文缩进1"/>
    <w:basedOn w:val="1"/>
    <w:link w:val="69"/>
    <w:uiPriority w:val="0"/>
    <w:pPr>
      <w:autoSpaceDE w:val="0"/>
      <w:autoSpaceDN w:val="0"/>
      <w:adjustRightInd w:val="0"/>
      <w:ind w:firstLine="420"/>
      <w:jc w:val="left"/>
    </w:pPr>
    <w:rPr>
      <w:rFonts w:ascii="宋体"/>
      <w:kern w:val="0"/>
      <w:sz w:val="24"/>
      <w:szCs w:val="20"/>
    </w:rPr>
  </w:style>
  <w:style w:type="character" w:customStyle="1" w:styleId="71">
    <w:name w:val="批注主题 Char1"/>
    <w:semiHidden/>
    <w:uiPriority w:val="99"/>
    <w:rPr>
      <w:b/>
      <w:bCs/>
      <w:kern w:val="2"/>
      <w:sz w:val="21"/>
      <w:szCs w:val="24"/>
    </w:rPr>
  </w:style>
  <w:style w:type="character" w:customStyle="1" w:styleId="72">
    <w:name w:val="纯文本 Char1"/>
    <w:link w:val="73"/>
    <w:qFormat/>
    <w:uiPriority w:val="0"/>
    <w:rPr>
      <w:rFonts w:ascii="宋体" w:hAnsi="Courier New"/>
    </w:rPr>
  </w:style>
  <w:style w:type="paragraph" w:customStyle="1" w:styleId="73">
    <w:name w:val="纯文本1"/>
    <w:basedOn w:val="1"/>
    <w:link w:val="72"/>
    <w:uiPriority w:val="0"/>
    <w:rPr>
      <w:rFonts w:ascii="宋体" w:hAnsi="Courier New"/>
      <w:kern w:val="0"/>
      <w:sz w:val="20"/>
      <w:szCs w:val="20"/>
    </w:rPr>
  </w:style>
  <w:style w:type="character" w:customStyle="1" w:styleId="74">
    <w:name w:val="标题 3 字符"/>
    <w:uiPriority w:val="0"/>
    <w:rPr>
      <w:rFonts w:ascii="宋体"/>
      <w:b/>
      <w:sz w:val="24"/>
      <w:u w:val="single"/>
    </w:rPr>
  </w:style>
  <w:style w:type="character" w:customStyle="1" w:styleId="75">
    <w:name w:val="批注框文本 Char1"/>
    <w:semiHidden/>
    <w:uiPriority w:val="99"/>
    <w:rPr>
      <w:kern w:val="2"/>
      <w:sz w:val="18"/>
      <w:szCs w:val="18"/>
    </w:rPr>
  </w:style>
  <w:style w:type="character" w:customStyle="1" w:styleId="76">
    <w:name w:val="纯文本 字符"/>
    <w:uiPriority w:val="0"/>
    <w:rPr>
      <w:rFonts w:ascii="宋体" w:hAnsi="Courier New"/>
      <w:kern w:val="2"/>
      <w:sz w:val="21"/>
    </w:rPr>
  </w:style>
  <w:style w:type="character" w:customStyle="1" w:styleId="77">
    <w:name w:val="页眉 Char1"/>
    <w:semiHidden/>
    <w:uiPriority w:val="99"/>
    <w:rPr>
      <w:kern w:val="2"/>
      <w:sz w:val="18"/>
      <w:szCs w:val="18"/>
    </w:rPr>
  </w:style>
  <w:style w:type="paragraph" w:customStyle="1" w:styleId="78">
    <w:name w:val="图"/>
    <w:basedOn w:val="1"/>
    <w:next w:val="1"/>
    <w:uiPriority w:val="0"/>
    <w:pPr>
      <w:numPr>
        <w:ilvl w:val="0"/>
        <w:numId w:val="1"/>
      </w:numPr>
      <w:tabs>
        <w:tab w:val="left" w:pos="1755"/>
        <w:tab w:val="left" w:pos="3134"/>
      </w:tabs>
      <w:adjustRightInd w:val="0"/>
      <w:spacing w:before="60" w:after="60" w:line="360" w:lineRule="atLeast"/>
      <w:jc w:val="center"/>
      <w:textAlignment w:val="baseline"/>
    </w:pPr>
    <w:rPr>
      <w:rFonts w:eastAsia="黑体"/>
      <w:b/>
      <w:kern w:val="0"/>
      <w:sz w:val="24"/>
      <w:szCs w:val="20"/>
    </w:rPr>
  </w:style>
  <w:style w:type="paragraph" w:customStyle="1" w:styleId="79">
    <w:name w:val="索引 11"/>
    <w:basedOn w:val="1"/>
    <w:next w:val="1"/>
    <w:uiPriority w:val="0"/>
    <w:pPr>
      <w:spacing w:line="360" w:lineRule="auto"/>
    </w:pPr>
    <w:rPr>
      <w:rFonts w:ascii="仿宋_GB2312" w:eastAsia="仿宋_GB2312"/>
      <w:sz w:val="24"/>
      <w:szCs w:val="20"/>
    </w:rPr>
  </w:style>
  <w:style w:type="paragraph" w:styleId="80">
    <w:name w:val=""/>
    <w:basedOn w:val="2"/>
    <w:next w:val="1"/>
    <w:qFormat/>
    <w:uiPriority w:val="39"/>
    <w:pPr>
      <w:widowControl/>
      <w:autoSpaceDE/>
      <w:autoSpaceDN/>
      <w:adjustRightInd/>
      <w:spacing w:after="0" w:line="259" w:lineRule="auto"/>
      <w:jc w:val="left"/>
      <w:outlineLvl w:val="9"/>
    </w:pPr>
    <w:rPr>
      <w:rFonts w:ascii="等线 Light" w:hAnsi="等线 Light" w:eastAsia="等线 Light" w:cs="Times New Roman"/>
      <w:b w:val="0"/>
      <w:color w:val="2F5496"/>
      <w:kern w:val="0"/>
      <w:szCs w:val="32"/>
    </w:rPr>
  </w:style>
  <w:style w:type="paragraph" w:customStyle="1" w:styleId="81">
    <w:name w:val="title1"/>
    <w:basedOn w:val="1"/>
    <w:uiPriority w:val="0"/>
    <w:pPr>
      <w:widowControl/>
      <w:jc w:val="left"/>
    </w:pPr>
    <w:rPr>
      <w:rFonts w:ascii="宋体" w:hAnsi="宋体" w:cs="宋体"/>
      <w:kern w:val="0"/>
      <w:sz w:val="24"/>
    </w:rPr>
  </w:style>
  <w:style w:type="paragraph" w:customStyle="1" w:styleId="82">
    <w:name w:val="Char"/>
    <w:basedOn w:val="1"/>
    <w:uiPriority w:val="0"/>
    <w:pPr>
      <w:tabs>
        <w:tab w:val="left" w:pos="360"/>
      </w:tabs>
    </w:pPr>
    <w:rPr>
      <w:sz w:val="24"/>
    </w:rPr>
  </w:style>
  <w:style w:type="paragraph" w:styleId="83">
    <w:name w:val="List Paragraph"/>
    <w:basedOn w:val="1"/>
    <w:qFormat/>
    <w:uiPriority w:val="34"/>
    <w:pPr>
      <w:widowControl/>
      <w:ind w:firstLine="420" w:firstLineChars="200"/>
      <w:jc w:val="left"/>
    </w:pPr>
    <w:rPr>
      <w:kern w:val="0"/>
      <w:sz w:val="24"/>
    </w:rPr>
  </w:style>
  <w:style w:type="character" w:customStyle="1" w:styleId="84">
    <w:name w:val="next"/>
    <w:uiPriority w:val="0"/>
    <w:rPr>
      <w:rFonts w:ascii="微软雅黑" w:hAnsi="微软雅黑" w:eastAsia="微软雅黑" w:cs="微软雅黑"/>
      <w:sz w:val="21"/>
      <w:szCs w:val="21"/>
    </w:rPr>
  </w:style>
  <w:style w:type="character" w:customStyle="1" w:styleId="85">
    <w:name w:val="next1"/>
    <w:uiPriority w:val="0"/>
    <w:rPr>
      <w:color w:val="888888"/>
    </w:rPr>
  </w:style>
  <w:style w:type="character" w:customStyle="1" w:styleId="86">
    <w:name w:val="prev"/>
    <w:uiPriority w:val="0"/>
    <w:rPr>
      <w:rFonts w:hint="eastAsia" w:ascii="微软雅黑" w:hAnsi="微软雅黑" w:eastAsia="微软雅黑" w:cs="微软雅黑"/>
      <w:sz w:val="21"/>
      <w:szCs w:val="21"/>
    </w:rPr>
  </w:style>
  <w:style w:type="character" w:customStyle="1" w:styleId="87">
    <w:name w:val="prev1"/>
    <w:uiPriority w:val="0"/>
    <w:rPr>
      <w:color w:val="888888"/>
    </w:rPr>
  </w:style>
  <w:style w:type="character" w:customStyle="1" w:styleId="88">
    <w:name w:val="cfdate"/>
    <w:uiPriority w:val="0"/>
    <w:rPr>
      <w:color w:val="333333"/>
      <w:sz w:val="18"/>
      <w:szCs w:val="18"/>
    </w:rPr>
  </w:style>
  <w:style w:type="character" w:customStyle="1" w:styleId="89">
    <w:name w:val="qxdate"/>
    <w:uiPriority w:val="0"/>
    <w:rPr>
      <w:color w:val="333333"/>
      <w:sz w:val="18"/>
      <w:szCs w:val="18"/>
    </w:rPr>
  </w:style>
  <w:style w:type="character" w:customStyle="1" w:styleId="90">
    <w:name w:val="gjfg"/>
    <w:uiPriority w:val="0"/>
  </w:style>
  <w:style w:type="character" w:customStyle="1" w:styleId="91">
    <w:name w:val="redfilefwwh"/>
    <w:uiPriority w:val="0"/>
    <w:rPr>
      <w:color w:val="BA2636"/>
      <w:sz w:val="18"/>
      <w:szCs w:val="18"/>
    </w:rPr>
  </w:style>
  <w:style w:type="character" w:customStyle="1" w:styleId="92">
    <w:name w:val="displayarti"/>
    <w:uiPriority w:val="0"/>
    <w:rPr>
      <w:color w:val="FFFFFF"/>
      <w:shd w:val="clear" w:color="auto" w:fill="A00000"/>
    </w:rPr>
  </w:style>
  <w:style w:type="character" w:customStyle="1" w:styleId="93">
    <w:name w:val="redfilenumber"/>
    <w:uiPriority w:val="0"/>
    <w:rPr>
      <w:color w:val="BA2636"/>
      <w:sz w:val="18"/>
      <w:szCs w:val="18"/>
    </w:rPr>
  </w:style>
  <w:style w:type="character" w:customStyle="1" w:styleId="94">
    <w:name w:val="prev2"/>
    <w:uiPriority w:val="0"/>
    <w:rPr>
      <w:rFonts w:hint="eastAsia" w:ascii="微软雅黑" w:hAnsi="微软雅黑" w:eastAsia="微软雅黑" w:cs="微软雅黑"/>
      <w:sz w:val="21"/>
      <w:szCs w:val="21"/>
    </w:rPr>
  </w:style>
  <w:style w:type="character" w:customStyle="1" w:styleId="95">
    <w:name w:val="prev3"/>
    <w:uiPriority w:val="0"/>
    <w:rPr>
      <w:color w:val="888888"/>
    </w:rPr>
  </w:style>
  <w:style w:type="character" w:customStyle="1" w:styleId="96">
    <w:name w:val="next2"/>
    <w:uiPriority w:val="0"/>
    <w:rPr>
      <w:color w:val="888888"/>
    </w:rPr>
  </w:style>
  <w:style w:type="character" w:customStyle="1" w:styleId="97">
    <w:name w:val="nth-of-type(8)"/>
    <w:uiPriority w:val="0"/>
  </w:style>
  <w:style w:type="character" w:customStyle="1" w:styleId="98">
    <w:name w:val="lineshow"/>
    <w:uiPriority w:val="0"/>
  </w:style>
  <w:style w:type="character" w:customStyle="1" w:styleId="99">
    <w:name w:val="lineshow1"/>
    <w:uiPriority w:val="0"/>
  </w:style>
  <w:style w:type="character" w:customStyle="1" w:styleId="100">
    <w:name w:val="layui-laypage-curr"/>
    <w:uiPriority w:val="0"/>
  </w:style>
  <w:style w:type="character" w:customStyle="1" w:styleId="101">
    <w:name w:val="nth-of-type(1)"/>
    <w:uiPriority w:val="0"/>
  </w:style>
  <w:style w:type="character" w:customStyle="1" w:styleId="102">
    <w:name w:val="nth-of-type(1)1"/>
    <w:uiPriority w:val="0"/>
  </w:style>
  <w:style w:type="character" w:customStyle="1" w:styleId="103">
    <w:name w:val="nth-of-type(1)2"/>
    <w:uiPriority w:val="0"/>
  </w:style>
  <w:style w:type="character" w:customStyle="1" w:styleId="104">
    <w:name w:val="nth-of-type(1)3"/>
    <w:uiPriority w:val="0"/>
  </w:style>
  <w:style w:type="character" w:customStyle="1" w:styleId="105">
    <w:name w:val="nth-of-type(1)4"/>
    <w:uiPriority w:val="0"/>
  </w:style>
  <w:style w:type="character" w:customStyle="1" w:styleId="106">
    <w:name w:val="nth-of-type(1)5"/>
    <w:uiPriority w:val="0"/>
  </w:style>
  <w:style w:type="character" w:customStyle="1" w:styleId="107">
    <w:name w:val="nth-of-type(1)6"/>
    <w:uiPriority w:val="0"/>
  </w:style>
  <w:style w:type="character" w:customStyle="1" w:styleId="108">
    <w:name w:val="nth-of-type(1)7"/>
    <w:uiPriority w:val="0"/>
    <w:rPr>
      <w:sz w:val="21"/>
      <w:szCs w:val="21"/>
    </w:rPr>
  </w:style>
  <w:style w:type="character" w:customStyle="1" w:styleId="109">
    <w:name w:val="nth-of-type(1)8"/>
    <w:uiPriority w:val="0"/>
  </w:style>
  <w:style w:type="character" w:customStyle="1" w:styleId="110">
    <w:name w:val="nth-of-type(1)9"/>
    <w:uiPriority w:val="0"/>
  </w:style>
  <w:style w:type="character" w:customStyle="1" w:styleId="111">
    <w:name w:val="nth-of-type(1)10"/>
    <w:uiPriority w:val="0"/>
    <w:rPr>
      <w:rFonts w:ascii="SourceHanSansCN-Regular" w:hAnsi="SourceHanSansCN-Regular" w:eastAsia="SourceHanSansCN-Regular" w:cs="SourceHanSansCN-Regular"/>
      <w:color w:val="FB560A"/>
      <w:sz w:val="21"/>
      <w:szCs w:val="21"/>
    </w:rPr>
  </w:style>
  <w:style w:type="character" w:customStyle="1" w:styleId="112">
    <w:name w:val="nth-of-type(1)11"/>
    <w:uiPriority w:val="0"/>
  </w:style>
  <w:style w:type="character" w:customStyle="1" w:styleId="113">
    <w:name w:val="nth-of-type(1)12"/>
    <w:uiPriority w:val="0"/>
  </w:style>
  <w:style w:type="character" w:customStyle="1" w:styleId="114">
    <w:name w:val="nth-of-type(1)13"/>
    <w:uiPriority w:val="0"/>
  </w:style>
  <w:style w:type="character" w:customStyle="1" w:styleId="115">
    <w:name w:val="nth-of-type(1)14"/>
    <w:uiPriority w:val="0"/>
  </w:style>
  <w:style w:type="character" w:customStyle="1" w:styleId="116">
    <w:name w:val="nth-of-type(1)15"/>
    <w:uiPriority w:val="0"/>
  </w:style>
  <w:style w:type="character" w:customStyle="1" w:styleId="117">
    <w:name w:val="nth-of-type(1)16"/>
    <w:uiPriority w:val="0"/>
  </w:style>
  <w:style w:type="character" w:customStyle="1" w:styleId="118">
    <w:name w:val="nth-of-type(1)17"/>
    <w:uiPriority w:val="0"/>
  </w:style>
  <w:style w:type="character" w:customStyle="1" w:styleId="119">
    <w:name w:val="nth-of-type(1)18"/>
    <w:uiPriority w:val="0"/>
  </w:style>
  <w:style w:type="character" w:customStyle="1" w:styleId="120">
    <w:name w:val="nth-of-type(5)"/>
    <w:uiPriority w:val="0"/>
  </w:style>
  <w:style w:type="character" w:customStyle="1" w:styleId="121">
    <w:name w:val="nth-of-type(5)1"/>
    <w:uiPriority w:val="0"/>
    <w:rPr>
      <w:sz w:val="21"/>
      <w:szCs w:val="21"/>
    </w:rPr>
  </w:style>
  <w:style w:type="character" w:customStyle="1" w:styleId="122">
    <w:name w:val="nth-of-type(5)2"/>
    <w:uiPriority w:val="0"/>
  </w:style>
  <w:style w:type="character" w:customStyle="1" w:styleId="123">
    <w:name w:val="nth-of-type(5)3"/>
    <w:uiPriority w:val="0"/>
  </w:style>
  <w:style w:type="character" w:customStyle="1" w:styleId="124">
    <w:name w:val="nth-of-type(5)4"/>
    <w:uiPriority w:val="0"/>
  </w:style>
  <w:style w:type="character" w:customStyle="1" w:styleId="125">
    <w:name w:val="nth-of-type(5)5"/>
    <w:uiPriority w:val="0"/>
  </w:style>
  <w:style w:type="character" w:customStyle="1" w:styleId="126">
    <w:name w:val="nth-of-type(5)6"/>
    <w:uiPriority w:val="0"/>
  </w:style>
  <w:style w:type="character" w:customStyle="1" w:styleId="127">
    <w:name w:val="nth-of-type(2)"/>
    <w:uiPriority w:val="0"/>
  </w:style>
  <w:style w:type="character" w:customStyle="1" w:styleId="128">
    <w:name w:val="nth-of-type(2)1"/>
    <w:uiPriority w:val="0"/>
  </w:style>
  <w:style w:type="character" w:customStyle="1" w:styleId="129">
    <w:name w:val="nth-of-type(2)2"/>
    <w:uiPriority w:val="0"/>
  </w:style>
  <w:style w:type="character" w:customStyle="1" w:styleId="130">
    <w:name w:val="nth-of-type(2)3"/>
    <w:uiPriority w:val="0"/>
  </w:style>
  <w:style w:type="character" w:customStyle="1" w:styleId="131">
    <w:name w:val="nth-of-type(2)4"/>
    <w:uiPriority w:val="0"/>
  </w:style>
  <w:style w:type="character" w:customStyle="1" w:styleId="132">
    <w:name w:val="nth-of-type(2)5"/>
    <w:uiPriority w:val="0"/>
    <w:rPr>
      <w:sz w:val="21"/>
      <w:szCs w:val="21"/>
    </w:rPr>
  </w:style>
  <w:style w:type="character" w:customStyle="1" w:styleId="133">
    <w:name w:val="nth-of-type(2)6"/>
    <w:uiPriority w:val="0"/>
  </w:style>
  <w:style w:type="character" w:customStyle="1" w:styleId="134">
    <w:name w:val="nth-of-type(2)7"/>
    <w:uiPriority w:val="0"/>
  </w:style>
  <w:style w:type="character" w:customStyle="1" w:styleId="135">
    <w:name w:val="nth-of-type(2)8"/>
    <w:uiPriority w:val="0"/>
  </w:style>
  <w:style w:type="character" w:customStyle="1" w:styleId="136">
    <w:name w:val="nth-of-type(2)9"/>
    <w:uiPriority w:val="0"/>
  </w:style>
  <w:style w:type="character" w:customStyle="1" w:styleId="137">
    <w:name w:val="nth-of-type(2)10"/>
    <w:uiPriority w:val="0"/>
  </w:style>
  <w:style w:type="character" w:customStyle="1" w:styleId="138">
    <w:name w:val="nth-of-type(2)11"/>
    <w:uiPriority w:val="0"/>
  </w:style>
  <w:style w:type="character" w:customStyle="1" w:styleId="139">
    <w:name w:val="nth-of-type(2)12"/>
    <w:uiPriority w:val="0"/>
  </w:style>
  <w:style w:type="character" w:customStyle="1" w:styleId="140">
    <w:name w:val="nth-of-type(2)13"/>
    <w:uiPriority w:val="0"/>
  </w:style>
  <w:style w:type="character" w:customStyle="1" w:styleId="141">
    <w:name w:val="nth-of-type(2)14"/>
    <w:uiPriority w:val="0"/>
  </w:style>
  <w:style w:type="character" w:customStyle="1" w:styleId="142">
    <w:name w:val="nth-of-type(3)"/>
    <w:uiPriority w:val="0"/>
  </w:style>
  <w:style w:type="character" w:customStyle="1" w:styleId="143">
    <w:name w:val="nth-of-type(3)1"/>
    <w:uiPriority w:val="0"/>
    <w:rPr>
      <w:sz w:val="21"/>
      <w:szCs w:val="21"/>
    </w:rPr>
  </w:style>
  <w:style w:type="character" w:customStyle="1" w:styleId="144">
    <w:name w:val="nth-of-type(3)2"/>
    <w:uiPriority w:val="0"/>
  </w:style>
  <w:style w:type="character" w:customStyle="1" w:styleId="145">
    <w:name w:val="nth-of-type(3)3"/>
    <w:uiPriority w:val="0"/>
  </w:style>
  <w:style w:type="character" w:customStyle="1" w:styleId="146">
    <w:name w:val="nth-of-type(3)4"/>
    <w:uiPriority w:val="0"/>
  </w:style>
  <w:style w:type="character" w:customStyle="1" w:styleId="147">
    <w:name w:val="nth-of-type(3)5"/>
    <w:uiPriority w:val="0"/>
  </w:style>
  <w:style w:type="character" w:customStyle="1" w:styleId="148">
    <w:name w:val="nth-of-type(3)6"/>
    <w:uiPriority w:val="0"/>
  </w:style>
  <w:style w:type="character" w:customStyle="1" w:styleId="149">
    <w:name w:val="nth-of-type(3)7"/>
    <w:uiPriority w:val="0"/>
  </w:style>
  <w:style w:type="character" w:customStyle="1" w:styleId="150">
    <w:name w:val="nth-of-type(4)"/>
    <w:uiPriority w:val="0"/>
  </w:style>
  <w:style w:type="character" w:customStyle="1" w:styleId="151">
    <w:name w:val="nth-of-type(4)1"/>
    <w:uiPriority w:val="0"/>
    <w:rPr>
      <w:sz w:val="21"/>
      <w:szCs w:val="21"/>
    </w:rPr>
  </w:style>
  <w:style w:type="character" w:customStyle="1" w:styleId="152">
    <w:name w:val="nth-of-type(4)2"/>
    <w:uiPriority w:val="0"/>
  </w:style>
  <w:style w:type="character" w:customStyle="1" w:styleId="153">
    <w:name w:val="nth-of-type(4)3"/>
    <w:uiPriority w:val="0"/>
  </w:style>
  <w:style w:type="character" w:customStyle="1" w:styleId="154">
    <w:name w:val="nth-of-type(4)4"/>
    <w:uiPriority w:val="0"/>
  </w:style>
  <w:style w:type="character" w:customStyle="1" w:styleId="155">
    <w:name w:val="nth-of-type(4)5"/>
    <w:uiPriority w:val="0"/>
  </w:style>
  <w:style w:type="character" w:customStyle="1" w:styleId="156">
    <w:name w:val="nth-of-type(4)6"/>
    <w:uiPriority w:val="0"/>
  </w:style>
  <w:style w:type="character" w:customStyle="1" w:styleId="157">
    <w:name w:val="nth-of-type(4)7"/>
    <w:uiPriority w:val="0"/>
  </w:style>
  <w:style w:type="character" w:customStyle="1" w:styleId="158">
    <w:name w:val="nth-of-type(4)8"/>
    <w:uiPriority w:val="0"/>
  </w:style>
  <w:style w:type="character" w:customStyle="1" w:styleId="159">
    <w:name w:val="nth-of-type(6)"/>
    <w:uiPriority w:val="0"/>
  </w:style>
  <w:style w:type="character" w:customStyle="1" w:styleId="160">
    <w:name w:val="nth-of-type(6)1"/>
    <w:uiPriority w:val="0"/>
  </w:style>
  <w:style w:type="character" w:customStyle="1" w:styleId="161">
    <w:name w:val="nth-of-type(6)2"/>
    <w:uiPriority w:val="0"/>
  </w:style>
  <w:style w:type="character" w:customStyle="1" w:styleId="162">
    <w:name w:val="nth-of-type(6)3"/>
    <w:uiPriority w:val="0"/>
  </w:style>
  <w:style w:type="character" w:customStyle="1" w:styleId="163">
    <w:name w:val="nth-of-type(6)4"/>
    <w:uiPriority w:val="0"/>
  </w:style>
  <w:style w:type="character" w:customStyle="1" w:styleId="164">
    <w:name w:val="nth-of-type(6)5"/>
    <w:uiPriority w:val="0"/>
    <w:rPr>
      <w:color w:val="0082DF"/>
    </w:rPr>
  </w:style>
  <w:style w:type="character" w:customStyle="1" w:styleId="165">
    <w:name w:val="nth-of-type(7)"/>
    <w:uiPriority w:val="0"/>
  </w:style>
  <w:style w:type="character" w:customStyle="1" w:styleId="166">
    <w:name w:val="nth-of-type(7)1"/>
    <w:uiPriority w:val="0"/>
  </w:style>
  <w:style w:type="character" w:customStyle="1" w:styleId="167">
    <w:name w:val="nth-of-type(7)2"/>
    <w:uiPriority w:val="0"/>
  </w:style>
  <w:style w:type="character" w:customStyle="1" w:styleId="168">
    <w:name w:val="nth-of-type(9)"/>
    <w:uiPriority w:val="0"/>
  </w:style>
  <w:style w:type="character" w:customStyle="1" w:styleId="169">
    <w:name w:val="nth-of-type(10)"/>
    <w:uiPriority w:val="0"/>
  </w:style>
  <w:style w:type="character" w:customStyle="1" w:styleId="170">
    <w:name w:val="hover25"/>
    <w:uiPriority w:val="0"/>
  </w:style>
  <w:style w:type="character" w:customStyle="1" w:styleId="171">
    <w:name w:val="hover26"/>
    <w:uiPriority w:val="0"/>
    <w:rPr>
      <w:color w:val="167AE0"/>
    </w:rPr>
  </w:style>
  <w:style w:type="character" w:customStyle="1" w:styleId="172">
    <w:name w:val="nth-child(3)"/>
    <w:uiPriority w:val="0"/>
  </w:style>
  <w:style w:type="character" w:customStyle="1" w:styleId="173">
    <w:name w:val="titleshow"/>
    <w:uiPriority w:val="0"/>
    <w:rPr>
      <w:color w:val="3E464C"/>
    </w:rPr>
  </w:style>
  <w:style w:type="character" w:customStyle="1" w:styleId="174">
    <w:name w:val="nth-child(1)"/>
    <w:uiPriority w:val="0"/>
  </w:style>
  <w:style w:type="character" w:customStyle="1" w:styleId="175">
    <w:name w:val="nth-child(2)"/>
    <w:uiPriority w:val="0"/>
  </w:style>
  <w:style w:type="character" w:customStyle="1" w:styleId="176">
    <w:name w:val="last-child1"/>
    <w:uiPriority w:val="0"/>
    <w:rPr>
      <w:color w:val="FFFFFF"/>
    </w:rPr>
  </w:style>
  <w:style w:type="character" w:customStyle="1" w:styleId="177">
    <w:name w:val="last-child2"/>
    <w:uiPriority w:val="0"/>
  </w:style>
  <w:style w:type="character" w:customStyle="1" w:styleId="178">
    <w:name w:val="last-child3"/>
    <w:uiPriority w:val="0"/>
  </w:style>
  <w:style w:type="character" w:customStyle="1" w:styleId="179">
    <w:name w:val="first-child"/>
    <w:uiPriority w:val="0"/>
  </w:style>
  <w:style w:type="character" w:customStyle="1" w:styleId="180">
    <w:name w:val="first-child1"/>
    <w:uiPriority w:val="0"/>
  </w:style>
  <w:style w:type="character" w:customStyle="1" w:styleId="181">
    <w:name w:val="first-child2"/>
    <w:uiPriority w:val="0"/>
  </w:style>
  <w:style w:type="character" w:customStyle="1" w:styleId="182">
    <w:name w:val="first-child3"/>
    <w:uiPriority w:val="0"/>
  </w:style>
  <w:style w:type="character" w:customStyle="1" w:styleId="183">
    <w:name w:val="before2"/>
    <w:uiPriority w:val="0"/>
    <w:rPr>
      <w:shd w:val="clear" w:color="auto" w:fill="C20E0C"/>
    </w:rPr>
  </w:style>
  <w:style w:type="character" w:customStyle="1" w:styleId="184">
    <w:name w:val="layui-this4"/>
    <w:uiPriority w:val="0"/>
    <w:rPr>
      <w:bdr w:val="single" w:color="EEEEEE" w:sz="6" w:space="0"/>
      <w:shd w:val="clear" w:color="auto" w:fill="FFFFFF"/>
    </w:rPr>
  </w:style>
  <w:style w:type="character" w:customStyle="1" w:styleId="185">
    <w:name w:val="titles"/>
    <w:uiPriority w:val="0"/>
    <w:rPr>
      <w:b/>
      <w:bCs/>
      <w:color w:val="FFFFFF"/>
      <w:sz w:val="30"/>
      <w:szCs w:val="30"/>
    </w:rPr>
  </w:style>
  <w:style w:type="character" w:customStyle="1" w:styleId="186">
    <w:name w:val="yjs"/>
    <w:uiPriority w:val="0"/>
    <w:rPr>
      <w:color w:val="14A900"/>
    </w:rPr>
  </w:style>
  <w:style w:type="character" w:customStyle="1" w:styleId="187">
    <w:name w:val="yjs1"/>
    <w:uiPriority w:val="0"/>
    <w:rPr>
      <w:color w:val="14A900"/>
    </w:rPr>
  </w:style>
  <w:style w:type="character" w:customStyle="1" w:styleId="188">
    <w:name w:val="time"/>
    <w:uiPriority w:val="0"/>
  </w:style>
  <w:style w:type="character" w:customStyle="1" w:styleId="189">
    <w:name w:val="jxz"/>
    <w:uiPriority w:val="0"/>
    <w:rPr>
      <w:color w:val="FF5400"/>
    </w:rPr>
  </w:style>
  <w:style w:type="character" w:customStyle="1" w:styleId="190">
    <w:name w:val="jxz1"/>
    <w:uiPriority w:val="0"/>
    <w:rPr>
      <w:color w:val="FF5400"/>
    </w:rPr>
  </w:style>
  <w:style w:type="paragraph" w:customStyle="1" w:styleId="191">
    <w:name w:val="Table Text"/>
    <w:basedOn w:val="1"/>
    <w:semiHidden/>
    <w:qFormat/>
    <w:uiPriority w:val="0"/>
    <w:rPr>
      <w:rFonts w:ascii="宋体" w:hAnsi="宋体" w:eastAsia="宋体" w:cs="宋体"/>
      <w:sz w:val="24"/>
      <w:szCs w:val="24"/>
      <w:lang w:val="en-US" w:eastAsia="en-US" w:bidi="ar-SA"/>
    </w:rPr>
  </w:style>
  <w:style w:type="table" w:customStyle="1" w:styleId="192">
    <w:name w:val="Table Normal"/>
    <w:unhideWhenUsed/>
    <w:qFormat/>
    <w:uiPriority w:val="0"/>
    <w:tblPr>
      <w:tblStyle w:val="36"/>
      <w:tblCellMar>
        <w:top w:w="0" w:type="dxa"/>
        <w:left w:w="0" w:type="dxa"/>
        <w:bottom w:w="0" w:type="dxa"/>
        <w:right w:w="0" w:type="dxa"/>
      </w:tblCellMar>
    </w:tblPr>
  </w:style>
  <w:style w:type="paragraph" w:customStyle="1" w:styleId="193">
    <w:name w:val="u-content"/>
    <w:basedOn w:val="1"/>
    <w:uiPriority w:val="0"/>
    <w:pPr>
      <w:widowControl/>
      <w:spacing w:before="100" w:beforeAutospacing="1" w:after="100" w:afterAutospacing="1"/>
      <w:jc w:val="left"/>
    </w:pPr>
    <w:rPr>
      <w:rFonts w:ascii="宋体" w:hAnsi="宋体" w:cs="宋体"/>
      <w:kern w:val="0"/>
      <w:sz w:val="24"/>
    </w:rPr>
  </w:style>
  <w:style w:type="character" w:customStyle="1" w:styleId="194">
    <w:name w:val="u-content1"/>
    <w:uiPriority w:val="0"/>
  </w:style>
  <w:style w:type="character" w:customStyle="1" w:styleId="195">
    <w:name w:val="font41"/>
    <w:basedOn w:val="38"/>
    <w:qFormat/>
    <w:uiPriority w:val="0"/>
    <w:rPr>
      <w:rFonts w:hint="eastAsia" w:ascii="宋体" w:hAnsi="宋体" w:eastAsia="宋体" w:cs="宋体"/>
      <w:color w:val="000000"/>
      <w:sz w:val="24"/>
      <w:szCs w:val="24"/>
      <w:u w:val="none"/>
    </w:rPr>
  </w:style>
  <w:style w:type="character" w:customStyle="1" w:styleId="196">
    <w:name w:val="font31"/>
    <w:basedOn w:val="38"/>
    <w:qFormat/>
    <w:uiPriority w:val="0"/>
    <w:rPr>
      <w:rFonts w:ascii="Arial" w:hAnsi="Arial" w:cs="Arial"/>
      <w:color w:val="000000"/>
      <w:sz w:val="24"/>
      <w:szCs w:val="24"/>
      <w:u w:val="none"/>
    </w:rPr>
  </w:style>
  <w:style w:type="character" w:customStyle="1" w:styleId="197">
    <w:name w:val="font21"/>
    <w:basedOn w:val="38"/>
    <w:qFormat/>
    <w:uiPriority w:val="0"/>
    <w:rPr>
      <w:rFonts w:ascii="宋体" w:hAnsi="宋体" w:eastAsia="宋体" w:cs="宋体"/>
      <w:color w:val="000000"/>
      <w:sz w:val="24"/>
      <w:szCs w:val="24"/>
      <w:u w:val="none"/>
    </w:rPr>
  </w:style>
  <w:style w:type="paragraph" w:customStyle="1" w:styleId="198">
    <w:name w:val="null3"/>
    <w:qFormat/>
    <w:uiPriority w:val="0"/>
    <w:rPr>
      <w:rFonts w:hint="eastAsia" w:ascii="Calibri" w:hAnsi="Calibri" w:eastAsia="宋体" w:cs="Times New Roman"/>
      <w:lang w:val="en-US" w:eastAsia="zh-Hans"/>
    </w:rPr>
  </w:style>
  <w:style w:type="paragraph" w:customStyle="1" w:styleId="199">
    <w:name w:val="表格文字"/>
    <w:basedOn w:val="1"/>
    <w:qFormat/>
    <w:uiPriority w:val="0"/>
    <w:pPr>
      <w:snapToGrid w:val="0"/>
      <w:spacing w:before="25" w:after="25"/>
      <w:jc w:val="left"/>
    </w:pPr>
    <w:rPr>
      <w:bCs/>
      <w:spacing w:val="10"/>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105</Pages>
  <Words>17434</Words>
  <Characters>20706</Characters>
  <Lines>298</Lines>
  <Paragraphs>84</Paragraphs>
  <TotalTime>19</TotalTime>
  <ScaleCrop>false</ScaleCrop>
  <LinksUpToDate>false</LinksUpToDate>
  <CharactersWithSpaces>21801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2024-07-05T07:51:00Z</dcterms:created>
  <dc:creator>USER-</dc:creator>
  <cp:lastModifiedBy>招标四部</cp:lastModifiedBy>
  <cp:lastPrinted>2025-05-30T03:29:14Z</cp:lastPrinted>
  <dcterms:modified xsi:type="dcterms:W3CDTF">2026-01-06T10:43:56Z</dcterms:modified>
  <dc:title>02年杜范本稿</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10A1044FE55D4A12AEA9AADA13FAEF6A_13</vt:lpwstr>
  </property>
  <property fmtid="{D5CDD505-2E9C-101B-9397-08002B2CF9AE}" pid="4" name="KSOTemplateDocerSaveRecord">
    <vt:lpwstr>eyJoZGlkIjoiNDI1NGQ4MDY4NjMxYWVlMzc3ODM2NDE0MmU1ODUxYzYiLCJ1c2VySWQiOiIyNDEwNjE3OTEifQ==</vt:lpwstr>
  </property>
</Properties>
</file>