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0F2C3">
      <w:pPr>
        <w:pStyle w:val="4"/>
        <w:rPr>
          <w:rFonts w:hint="eastAsia" w:asciiTheme="majorEastAsia" w:hAnsiTheme="majorEastAsia" w:eastAsiaTheme="majorEastAsia" w:cstheme="majorEastAsia"/>
          <w:b/>
          <w:bCs/>
          <w:snapToGrid w:val="0"/>
          <w:color w:val="000000"/>
          <w:kern w:val="0"/>
          <w:sz w:val="44"/>
          <w:szCs w:val="44"/>
          <w:lang w:val="en-US" w:eastAsia="zh-CN" w:bidi="ar-SA"/>
        </w:rPr>
      </w:pPr>
      <w:r>
        <w:rPr>
          <w:rFonts w:hint="eastAsia" w:asciiTheme="majorEastAsia" w:hAnsiTheme="majorEastAsia" w:eastAsiaTheme="majorEastAsia" w:cstheme="majorEastAsia"/>
          <w:b/>
          <w:bCs/>
          <w:snapToGrid w:val="0"/>
          <w:color w:val="000000"/>
          <w:kern w:val="0"/>
          <w:sz w:val="44"/>
          <w:szCs w:val="44"/>
          <w:lang w:val="en-US" w:eastAsia="zh-CN" w:bidi="ar-SA"/>
        </w:rPr>
        <w:t>延川县文安驿川、毛坬山沟、老庄河、眼岔</w:t>
      </w:r>
    </w:p>
    <w:p w14:paraId="2C9A4055">
      <w:pPr>
        <w:pStyle w:val="4"/>
        <w:rPr>
          <w:rFonts w:hint="eastAsia" w:asciiTheme="majorEastAsia" w:hAnsiTheme="majorEastAsia" w:eastAsiaTheme="majorEastAsia" w:cstheme="majorEastAsia"/>
          <w:b/>
          <w:bCs/>
          <w:snapToGrid w:val="0"/>
          <w:color w:val="000000"/>
          <w:kern w:val="0"/>
          <w:sz w:val="44"/>
          <w:szCs w:val="44"/>
          <w:lang w:val="en-US" w:eastAsia="zh-CN" w:bidi="ar-SA"/>
        </w:rPr>
      </w:pPr>
      <w:r>
        <w:rPr>
          <w:rFonts w:hint="eastAsia" w:asciiTheme="majorEastAsia" w:hAnsiTheme="majorEastAsia" w:eastAsiaTheme="majorEastAsia" w:cstheme="majorEastAsia"/>
          <w:b/>
          <w:bCs/>
          <w:snapToGrid w:val="0"/>
          <w:color w:val="000000"/>
          <w:kern w:val="0"/>
          <w:sz w:val="44"/>
          <w:szCs w:val="44"/>
          <w:lang w:val="en-US" w:eastAsia="zh-CN" w:bidi="ar-SA"/>
        </w:rPr>
        <w:t>寺、张家河、丰百胜、贺家渠、南河</w:t>
      </w:r>
    </w:p>
    <w:p w14:paraId="2EC1FB91">
      <w:pPr>
        <w:pStyle w:val="4"/>
        <w:rPr>
          <w:rFonts w:hint="eastAsia" w:asciiTheme="majorEastAsia" w:hAnsiTheme="majorEastAsia" w:eastAsiaTheme="majorEastAsia" w:cstheme="majorEastAsia"/>
          <w:b/>
          <w:bCs/>
          <w:snapToGrid w:val="0"/>
          <w:color w:val="000000"/>
          <w:kern w:val="0"/>
          <w:sz w:val="44"/>
          <w:szCs w:val="44"/>
          <w:lang w:val="en-US" w:eastAsia="zh-CN" w:bidi="ar-SA"/>
        </w:rPr>
      </w:pPr>
      <w:r>
        <w:rPr>
          <w:rFonts w:hint="eastAsia" w:asciiTheme="majorEastAsia" w:hAnsiTheme="majorEastAsia" w:eastAsiaTheme="majorEastAsia" w:cstheme="majorEastAsia"/>
          <w:b/>
          <w:bCs/>
          <w:snapToGrid w:val="0"/>
          <w:color w:val="000000"/>
          <w:kern w:val="0"/>
          <w:sz w:val="44"/>
          <w:szCs w:val="44"/>
          <w:lang w:val="en-US" w:eastAsia="zh-CN" w:bidi="ar-SA"/>
        </w:rPr>
        <w:t>八条河健康评价采购需求</w:t>
      </w:r>
    </w:p>
    <w:p w14:paraId="140D349B">
      <w:pPr>
        <w:keepNext w:val="0"/>
        <w:keepLines w:val="0"/>
        <w:pageBreakBefore w:val="0"/>
        <w:widowControl/>
        <w:kinsoku w:val="0"/>
        <w:wordWrap/>
        <w:overflowPunct/>
        <w:topLinePunct w:val="0"/>
        <w:autoSpaceDE w:val="0"/>
        <w:autoSpaceDN w:val="0"/>
        <w:bidi w:val="0"/>
        <w:adjustRightInd w:val="0"/>
        <w:snapToGrid w:val="0"/>
        <w:spacing w:afterAutospacing="0" w:line="400" w:lineRule="atLeast"/>
        <w:ind w:firstLine="602" w:firstLineChars="200"/>
        <w:jc w:val="both"/>
        <w:rPr>
          <w:rFonts w:ascii="仿宋_GB2312" w:hAnsi="仿宋" w:eastAsia="仿宋_GB2312"/>
          <w:b/>
          <w:sz w:val="30"/>
          <w:szCs w:val="30"/>
        </w:rPr>
      </w:pPr>
      <w:r>
        <w:rPr>
          <w:rFonts w:hint="eastAsia" w:ascii="仿宋_GB2312" w:hAnsi="仿宋" w:eastAsia="仿宋_GB2312"/>
          <w:b/>
          <w:sz w:val="30"/>
          <w:szCs w:val="30"/>
        </w:rPr>
        <w:t>一、项目概况</w:t>
      </w:r>
    </w:p>
    <w:p w14:paraId="471059CD">
      <w:pPr>
        <w:keepNext w:val="0"/>
        <w:keepLines w:val="0"/>
        <w:pageBreakBefore w:val="0"/>
        <w:widowControl/>
        <w:kinsoku w:val="0"/>
        <w:wordWrap/>
        <w:overflowPunct/>
        <w:topLinePunct w:val="0"/>
        <w:autoSpaceDE w:val="0"/>
        <w:autoSpaceDN w:val="0"/>
        <w:bidi w:val="0"/>
        <w:adjustRightInd w:val="0"/>
        <w:snapToGrid w:val="0"/>
        <w:spacing w:afterAutospacing="0" w:line="400" w:lineRule="atLeast"/>
        <w:ind w:firstLine="600" w:firstLineChars="200"/>
        <w:jc w:val="both"/>
        <w:rPr>
          <w:rFonts w:hint="eastAsia" w:ascii="仿宋_GB2312" w:hAnsi="仿宋" w:eastAsia="仿宋_GB2312" w:cstheme="minorBidi"/>
          <w:b w:val="0"/>
          <w:kern w:val="2"/>
          <w:sz w:val="30"/>
          <w:szCs w:val="30"/>
          <w:lang w:val="en-US" w:eastAsia="zh-CN" w:bidi="ar-SA"/>
        </w:rPr>
      </w:pPr>
      <w:r>
        <w:rPr>
          <w:rFonts w:hint="eastAsia" w:ascii="仿宋_GB2312" w:hAnsi="仿宋" w:eastAsia="仿宋_GB2312" w:cstheme="minorBidi"/>
          <w:b w:val="0"/>
          <w:kern w:val="2"/>
          <w:sz w:val="30"/>
          <w:szCs w:val="30"/>
          <w:lang w:val="en-US" w:eastAsia="zh-CN" w:bidi="ar-SA"/>
        </w:rPr>
        <w:t>1．项目概述</w:t>
      </w:r>
    </w:p>
    <w:p w14:paraId="29363C7B">
      <w:pPr>
        <w:keepNext w:val="0"/>
        <w:keepLines w:val="0"/>
        <w:pageBreakBefore w:val="0"/>
        <w:widowControl/>
        <w:kinsoku w:val="0"/>
        <w:wordWrap/>
        <w:overflowPunct/>
        <w:topLinePunct w:val="0"/>
        <w:autoSpaceDE w:val="0"/>
        <w:autoSpaceDN w:val="0"/>
        <w:bidi w:val="0"/>
        <w:adjustRightInd w:val="0"/>
        <w:snapToGrid w:val="0"/>
        <w:spacing w:afterAutospacing="0" w:line="400" w:lineRule="atLeast"/>
        <w:ind w:firstLine="600" w:firstLineChars="200"/>
        <w:jc w:val="both"/>
        <w:rPr>
          <w:rFonts w:hint="default" w:ascii="仿宋_GB2312" w:hAnsi="仿宋" w:eastAsia="仿宋_GB2312"/>
          <w:sz w:val="30"/>
          <w:szCs w:val="30"/>
          <w:lang w:val="en-US" w:eastAsia="zh-CN"/>
        </w:rPr>
      </w:pPr>
      <w:r>
        <w:rPr>
          <w:rFonts w:hint="eastAsia" w:ascii="仿宋_GB2312" w:hAnsi="仿宋" w:eastAsia="仿宋_GB2312"/>
          <w:sz w:val="30"/>
          <w:szCs w:val="30"/>
          <w:lang w:val="en-US" w:eastAsia="zh-CN"/>
        </w:rPr>
        <w:t>根据市河长办工作安排今年需要对文安驿川、老庄河、毛坬山沟、眼岔寺、张家河、丰百胜、贺家渠、南河8条河流开展河湖健康评价、建立河湖健康档案。文安驿川河总流域面积为298.6km², 老庄河总流域面积为67.8km²,毛坬山沟流域面积60km²，眼岔寺总流域面积为56.3km², 张家河总流域面积为87.5km², 丰百胜流域面积69.7km²，贺家渠总流域面积为106km²,南河渠总流域面积为59.8km²。河湖健康评价工作涉及“盆”、“水”、生物和社会服务功能准则，必选指标包含河流纵向联通系数、岸线自然状况、违规开发利用水域岸线程度、生态流量满足程度、水质优劣程度、水体自净能力、防洪达标率、岸线开发利用程度、公众满意度等必选指标和相当数量的备选指标。</w:t>
      </w:r>
    </w:p>
    <w:p w14:paraId="13D4C34F">
      <w:pPr>
        <w:pStyle w:val="3"/>
        <w:keepNext w:val="0"/>
        <w:keepLines w:val="0"/>
        <w:pageBreakBefore w:val="0"/>
        <w:widowControl/>
        <w:numPr>
          <w:ilvl w:val="0"/>
          <w:numId w:val="1"/>
        </w:numPr>
        <w:suppressLineNumbers w:val="0"/>
        <w:kinsoku w:val="0"/>
        <w:wordWrap/>
        <w:overflowPunct/>
        <w:topLinePunct w:val="0"/>
        <w:autoSpaceDE w:val="0"/>
        <w:autoSpaceDN w:val="0"/>
        <w:bidi w:val="0"/>
        <w:adjustRightInd w:val="0"/>
        <w:snapToGrid w:val="0"/>
        <w:spacing w:afterAutospacing="0" w:line="400" w:lineRule="atLeast"/>
        <w:ind w:left="0" w:firstLine="420"/>
        <w:jc w:val="both"/>
        <w:textAlignment w:val="center"/>
        <w:rPr>
          <w:rFonts w:hint="default" w:ascii="仿宋_GB2312" w:hAnsi="仿宋" w:eastAsia="仿宋_GB2312" w:cs="Arial"/>
          <w:snapToGrid w:val="0"/>
          <w:color w:val="000000"/>
          <w:kern w:val="0"/>
          <w:sz w:val="30"/>
          <w:szCs w:val="30"/>
          <w:lang w:val="en-US" w:eastAsia="zh-CN" w:bidi="ar-SA"/>
        </w:rPr>
      </w:pPr>
      <w:r>
        <w:rPr>
          <w:rFonts w:hint="eastAsia" w:ascii="仿宋_GB2312" w:hAnsi="仿宋" w:eastAsia="仿宋_GB2312" w:cs="Arial"/>
          <w:snapToGrid w:val="0"/>
          <w:color w:val="000000"/>
          <w:kern w:val="0"/>
          <w:sz w:val="30"/>
          <w:szCs w:val="30"/>
          <w:lang w:val="en-US" w:eastAsia="zh-CN" w:bidi="ar-SA"/>
        </w:rPr>
        <w:t xml:space="preserve">采购方式：竞争性磋商。 </w:t>
      </w:r>
    </w:p>
    <w:p w14:paraId="2A3DDC56">
      <w:pPr>
        <w:pStyle w:val="3"/>
        <w:keepNext w:val="0"/>
        <w:keepLines w:val="0"/>
        <w:pageBreakBefore w:val="0"/>
        <w:widowControl/>
        <w:numPr>
          <w:ilvl w:val="0"/>
          <w:numId w:val="1"/>
        </w:numPr>
        <w:suppressLineNumbers w:val="0"/>
        <w:kinsoku w:val="0"/>
        <w:wordWrap/>
        <w:overflowPunct/>
        <w:topLinePunct w:val="0"/>
        <w:autoSpaceDE w:val="0"/>
        <w:autoSpaceDN w:val="0"/>
        <w:bidi w:val="0"/>
        <w:adjustRightInd w:val="0"/>
        <w:snapToGrid w:val="0"/>
        <w:spacing w:afterAutospacing="0" w:line="400" w:lineRule="atLeast"/>
        <w:ind w:left="0" w:firstLine="420"/>
        <w:jc w:val="both"/>
        <w:textAlignment w:val="center"/>
        <w:rPr>
          <w:rFonts w:hint="default" w:ascii="仿宋_GB2312" w:hAnsi="仿宋" w:eastAsia="仿宋_GB2312" w:cs="Arial"/>
          <w:snapToGrid w:val="0"/>
          <w:color w:val="000000"/>
          <w:kern w:val="0"/>
          <w:sz w:val="30"/>
          <w:szCs w:val="30"/>
          <w:lang w:val="en-US" w:eastAsia="zh-CN" w:bidi="ar-SA"/>
        </w:rPr>
      </w:pPr>
      <w:r>
        <w:rPr>
          <w:rFonts w:hint="eastAsia" w:ascii="仿宋_GB2312" w:hAnsi="仿宋" w:eastAsia="仿宋_GB2312" w:cs="Arial"/>
          <w:snapToGrid w:val="0"/>
          <w:color w:val="000000"/>
          <w:kern w:val="0"/>
          <w:sz w:val="30"/>
          <w:szCs w:val="30"/>
          <w:lang w:val="en-US" w:eastAsia="zh-CN" w:bidi="ar-SA"/>
        </w:rPr>
        <w:t>项目服务期：60个日历日</w:t>
      </w:r>
    </w:p>
    <w:p w14:paraId="5CDEF305">
      <w:pPr>
        <w:pStyle w:val="3"/>
        <w:keepNext w:val="0"/>
        <w:keepLines w:val="0"/>
        <w:pageBreakBefore w:val="0"/>
        <w:widowControl/>
        <w:numPr>
          <w:ilvl w:val="0"/>
          <w:numId w:val="1"/>
        </w:numPr>
        <w:suppressLineNumbers w:val="0"/>
        <w:kinsoku w:val="0"/>
        <w:wordWrap/>
        <w:overflowPunct/>
        <w:topLinePunct w:val="0"/>
        <w:autoSpaceDE w:val="0"/>
        <w:autoSpaceDN w:val="0"/>
        <w:bidi w:val="0"/>
        <w:adjustRightInd w:val="0"/>
        <w:snapToGrid w:val="0"/>
        <w:spacing w:afterAutospacing="0" w:line="400" w:lineRule="atLeast"/>
        <w:ind w:left="0" w:firstLine="420"/>
        <w:jc w:val="both"/>
        <w:textAlignment w:val="center"/>
        <w:rPr>
          <w:rFonts w:hint="default" w:ascii="仿宋_GB2312" w:hAnsi="仿宋" w:eastAsia="仿宋_GB2312" w:cs="Arial"/>
          <w:snapToGrid w:val="0"/>
          <w:color w:val="000000"/>
          <w:kern w:val="0"/>
          <w:sz w:val="30"/>
          <w:szCs w:val="30"/>
          <w:lang w:val="en-US" w:eastAsia="zh-CN" w:bidi="ar-SA"/>
        </w:rPr>
      </w:pPr>
      <w:r>
        <w:rPr>
          <w:rFonts w:hint="eastAsia" w:ascii="仿宋_GB2312" w:hAnsi="仿宋" w:eastAsia="仿宋_GB2312" w:cs="Arial"/>
          <w:snapToGrid w:val="0"/>
          <w:color w:val="000000"/>
          <w:kern w:val="0"/>
          <w:sz w:val="30"/>
          <w:szCs w:val="30"/>
          <w:lang w:val="en-US" w:eastAsia="zh-CN" w:bidi="ar-SA"/>
        </w:rPr>
        <w:t>项目付款方式：具体付款方式与甲方协商。</w:t>
      </w:r>
    </w:p>
    <w:p w14:paraId="40BDDEBC">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400" w:lineRule="atLeast"/>
        <w:ind w:firstLine="602" w:firstLineChars="200"/>
        <w:jc w:val="both"/>
        <w:rPr>
          <w:rFonts w:hint="default" w:ascii="仿宋_GB2312" w:hAnsi="仿宋" w:eastAsia="仿宋_GB2312"/>
          <w:sz w:val="30"/>
          <w:szCs w:val="30"/>
          <w:lang w:val="en-US" w:eastAsia="zh-CN"/>
        </w:rPr>
      </w:pPr>
      <w:r>
        <w:rPr>
          <w:rFonts w:hint="eastAsia" w:ascii="仿宋_GB2312" w:hAnsi="楷体" w:eastAsia="仿宋_GB2312"/>
          <w:sz w:val="30"/>
          <w:szCs w:val="30"/>
          <w:lang w:val="en-US" w:eastAsia="zh-CN"/>
        </w:rPr>
        <w:t>二、服务要求</w:t>
      </w:r>
    </w:p>
    <w:p w14:paraId="5B0D6C25">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400" w:lineRule="atLeast"/>
        <w:ind w:firstLine="600" w:firstLineChars="200"/>
        <w:jc w:val="both"/>
        <w:rPr>
          <w:rFonts w:hint="default" w:ascii="仿宋_GB2312" w:hAnsi="仿宋" w:eastAsia="仿宋_GB2312" w:cs="Arial"/>
          <w:b w:val="0"/>
          <w:snapToGrid w:val="0"/>
          <w:color w:val="000000"/>
          <w:kern w:val="0"/>
          <w:sz w:val="30"/>
          <w:szCs w:val="30"/>
          <w:lang w:val="en-US" w:eastAsia="zh-CN" w:bidi="ar-SA"/>
        </w:rPr>
      </w:pPr>
      <w:r>
        <w:rPr>
          <w:rFonts w:hint="eastAsia" w:ascii="仿宋_GB2312" w:hAnsi="仿宋" w:eastAsia="仿宋_GB2312" w:cs="Arial"/>
          <w:b w:val="0"/>
          <w:snapToGrid w:val="0"/>
          <w:color w:val="000000"/>
          <w:kern w:val="0"/>
          <w:sz w:val="30"/>
          <w:szCs w:val="30"/>
          <w:lang w:val="en-US" w:eastAsia="zh-CN" w:bidi="ar-SA"/>
        </w:rPr>
        <w:t>通过对延川县文安驿川、老庄河、毛坬山沟、眼岔寺、张家河、丰百胜、贺家渠、南河8条河流进行踏勘调研、咨询等方式完成8条河流健康调查、健康评价及健康问题诊断与保护对策。</w:t>
      </w:r>
    </w:p>
    <w:p w14:paraId="4E38369F">
      <w:pPr>
        <w:pStyle w:val="9"/>
        <w:keepNext w:val="0"/>
        <w:keepLines w:val="0"/>
        <w:pageBreakBefore w:val="0"/>
        <w:widowControl/>
        <w:numPr>
          <w:ilvl w:val="0"/>
          <w:numId w:val="2"/>
        </w:numPr>
        <w:kinsoku w:val="0"/>
        <w:wordWrap/>
        <w:overflowPunct/>
        <w:topLinePunct w:val="0"/>
        <w:autoSpaceDE w:val="0"/>
        <w:autoSpaceDN w:val="0"/>
        <w:bidi w:val="0"/>
        <w:adjustRightInd w:val="0"/>
        <w:snapToGrid w:val="0"/>
        <w:spacing w:afterAutospacing="0" w:line="400" w:lineRule="atLeast"/>
        <w:ind w:firstLine="598" w:firstLineChars="200"/>
        <w:jc w:val="both"/>
        <w:rPr>
          <w:rFonts w:hint="eastAsia" w:ascii="仿宋" w:hAnsi="仿宋" w:eastAsia="仿宋" w:cs="仿宋"/>
          <w:b/>
          <w:bCs/>
          <w:snapToGrid w:val="0"/>
          <w:color w:val="000000"/>
          <w:spacing w:val="9"/>
          <w:kern w:val="0"/>
          <w:sz w:val="28"/>
          <w:szCs w:val="28"/>
          <w:lang w:val="en-US" w:eastAsia="zh-CN" w:bidi="ar-SA"/>
        </w:rPr>
      </w:pPr>
      <w:r>
        <w:rPr>
          <w:rFonts w:hint="eastAsia" w:ascii="仿宋" w:hAnsi="仿宋" w:eastAsia="仿宋" w:cs="仿宋"/>
          <w:b/>
          <w:bCs/>
          <w:snapToGrid w:val="0"/>
          <w:color w:val="000000"/>
          <w:spacing w:val="9"/>
          <w:kern w:val="0"/>
          <w:sz w:val="28"/>
          <w:szCs w:val="28"/>
          <w:lang w:val="en-US" w:eastAsia="zh-CN" w:bidi="ar-SA"/>
        </w:rPr>
        <w:t>提交成果</w:t>
      </w:r>
    </w:p>
    <w:p w14:paraId="39F93747">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596" w:firstLineChars="200"/>
        <w:jc w:val="both"/>
        <w:textAlignment w:val="baseline"/>
        <w:rPr>
          <w:rFonts w:hint="default" w:ascii="仿宋" w:hAnsi="仿宋" w:eastAsia="仿宋" w:cs="仿宋"/>
          <w:b w:val="0"/>
          <w:bCs w:val="0"/>
          <w:snapToGrid w:val="0"/>
          <w:color w:val="000000"/>
          <w:spacing w:val="9"/>
          <w:kern w:val="0"/>
          <w:sz w:val="28"/>
          <w:szCs w:val="28"/>
          <w:lang w:val="en-US" w:eastAsia="zh-CN" w:bidi="ar-SA"/>
        </w:rPr>
      </w:pPr>
      <w:r>
        <w:rPr>
          <w:rFonts w:hint="eastAsia" w:ascii="仿宋" w:hAnsi="仿宋" w:eastAsia="仿宋" w:cs="仿宋"/>
          <w:b w:val="0"/>
          <w:bCs w:val="0"/>
          <w:snapToGrid w:val="0"/>
          <w:color w:val="000000"/>
          <w:spacing w:val="9"/>
          <w:kern w:val="0"/>
          <w:sz w:val="28"/>
          <w:szCs w:val="28"/>
          <w:lang w:val="en-US" w:eastAsia="zh-CN" w:bidi="ar-SA"/>
        </w:rPr>
        <w:t>1、</w:t>
      </w:r>
      <w:r>
        <w:rPr>
          <w:rFonts w:hint="default" w:ascii="仿宋" w:hAnsi="仿宋" w:eastAsia="仿宋" w:cs="仿宋"/>
          <w:b w:val="0"/>
          <w:bCs w:val="0"/>
          <w:snapToGrid w:val="0"/>
          <w:color w:val="000000"/>
          <w:spacing w:val="9"/>
          <w:kern w:val="0"/>
          <w:sz w:val="28"/>
          <w:szCs w:val="28"/>
          <w:lang w:val="en-US" w:eastAsia="en-US" w:bidi="ar-SA"/>
        </w:rPr>
        <w:t>成果文件的组成：</w:t>
      </w:r>
      <w:r>
        <w:rPr>
          <w:rFonts w:hint="eastAsia" w:ascii="仿宋_GB2312" w:hAnsi="仿宋" w:eastAsia="仿宋_GB2312" w:cs="Arial"/>
          <w:b w:val="0"/>
          <w:snapToGrid w:val="0"/>
          <w:color w:val="000000"/>
          <w:kern w:val="0"/>
          <w:sz w:val="30"/>
          <w:szCs w:val="30"/>
          <w:lang w:val="en-US" w:eastAsia="zh-CN" w:bidi="ar-SA"/>
        </w:rPr>
        <w:t>文安驿川、老庄河、毛坬山沟、眼岔寺、张家河、丰百胜、贺家渠、南河8条河流</w:t>
      </w:r>
      <w:r>
        <w:rPr>
          <w:rFonts w:hint="eastAsia" w:ascii="仿宋" w:hAnsi="仿宋" w:eastAsia="仿宋" w:cs="仿宋"/>
          <w:b w:val="0"/>
          <w:bCs w:val="0"/>
          <w:snapToGrid w:val="0"/>
          <w:color w:val="000000"/>
          <w:spacing w:val="9"/>
          <w:kern w:val="0"/>
          <w:sz w:val="28"/>
          <w:szCs w:val="28"/>
          <w:lang w:val="en-US" w:eastAsia="zh-CN" w:bidi="ar-SA"/>
        </w:rPr>
        <w:t>健康河湖评价报告、水质检测报告、公众调查表；</w:t>
      </w:r>
    </w:p>
    <w:p w14:paraId="0E92FB74">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596" w:firstLineChars="200"/>
        <w:textAlignment w:val="baseline"/>
        <w:rPr>
          <w:rFonts w:hint="default" w:ascii="仿宋" w:hAnsi="仿宋" w:eastAsia="仿宋" w:cs="仿宋"/>
          <w:b w:val="0"/>
          <w:bCs w:val="0"/>
          <w:snapToGrid w:val="0"/>
          <w:color w:val="000000"/>
          <w:spacing w:val="9"/>
          <w:kern w:val="0"/>
          <w:sz w:val="28"/>
          <w:szCs w:val="28"/>
          <w:lang w:val="en-US" w:eastAsia="en-US" w:bidi="ar-SA"/>
        </w:rPr>
      </w:pPr>
      <w:r>
        <w:rPr>
          <w:rFonts w:hint="eastAsia" w:ascii="仿宋" w:hAnsi="仿宋" w:eastAsia="仿宋" w:cs="仿宋"/>
          <w:b w:val="0"/>
          <w:bCs w:val="0"/>
          <w:snapToGrid w:val="0"/>
          <w:color w:val="000000"/>
          <w:spacing w:val="9"/>
          <w:kern w:val="0"/>
          <w:sz w:val="28"/>
          <w:szCs w:val="28"/>
          <w:lang w:val="en-US" w:eastAsia="zh-CN" w:bidi="ar-SA"/>
        </w:rPr>
        <w:t>2、</w:t>
      </w:r>
      <w:r>
        <w:rPr>
          <w:rFonts w:hint="default" w:ascii="仿宋" w:hAnsi="仿宋" w:eastAsia="仿宋" w:cs="仿宋"/>
          <w:b w:val="0"/>
          <w:bCs w:val="0"/>
          <w:snapToGrid w:val="0"/>
          <w:color w:val="000000"/>
          <w:spacing w:val="9"/>
          <w:kern w:val="0"/>
          <w:sz w:val="28"/>
          <w:szCs w:val="28"/>
          <w:lang w:val="en-US" w:eastAsia="en-US" w:bidi="ar-SA"/>
        </w:rPr>
        <w:t>成果文件的格式要求：纸质及电子版 U 盘。</w:t>
      </w:r>
    </w:p>
    <w:p w14:paraId="19780DE9">
      <w:pPr>
        <w:pStyle w:val="9"/>
        <w:keepNext w:val="0"/>
        <w:keepLines w:val="0"/>
        <w:pageBreakBefore w:val="0"/>
        <w:widowControl/>
        <w:kinsoku w:val="0"/>
        <w:wordWrap/>
        <w:overflowPunct/>
        <w:topLinePunct w:val="0"/>
        <w:autoSpaceDE w:val="0"/>
        <w:autoSpaceDN w:val="0"/>
        <w:bidi w:val="0"/>
        <w:adjustRightInd w:val="0"/>
        <w:snapToGrid w:val="0"/>
        <w:spacing w:afterAutospacing="0" w:line="400" w:lineRule="atLeast"/>
        <w:ind w:left="0" w:leftChars="0" w:firstLine="602" w:firstLineChars="200"/>
        <w:jc w:val="both"/>
        <w:rPr>
          <w:rFonts w:hint="eastAsia" w:ascii="仿宋_GB2312" w:hAnsi="楷体" w:eastAsia="仿宋_GB2312"/>
          <w:sz w:val="30"/>
          <w:szCs w:val="30"/>
          <w:lang w:val="zh-CN"/>
        </w:rPr>
      </w:pPr>
      <w:r>
        <w:rPr>
          <w:rFonts w:hint="eastAsia" w:ascii="仿宋_GB2312" w:hAnsi="楷体" w:eastAsia="仿宋_GB2312"/>
          <w:sz w:val="30"/>
          <w:szCs w:val="30"/>
          <w:lang w:val="en-US" w:eastAsia="zh-CN"/>
        </w:rPr>
        <w:t>四</w:t>
      </w:r>
      <w:r>
        <w:rPr>
          <w:rFonts w:hint="eastAsia" w:ascii="仿宋_GB2312" w:hAnsi="楷体" w:eastAsia="仿宋_GB2312"/>
          <w:sz w:val="30"/>
          <w:szCs w:val="30"/>
          <w:lang w:val="zh-CN"/>
        </w:rPr>
        <w:t>、供应商特殊资质要求参加采购的施工单位资格</w:t>
      </w:r>
    </w:p>
    <w:p w14:paraId="165EDF13">
      <w:pPr>
        <w:pStyle w:val="9"/>
        <w:keepNext w:val="0"/>
        <w:keepLines w:val="0"/>
        <w:pageBreakBefore w:val="0"/>
        <w:widowControl/>
        <w:kinsoku w:val="0"/>
        <w:wordWrap/>
        <w:overflowPunct/>
        <w:topLinePunct w:val="0"/>
        <w:autoSpaceDE w:val="0"/>
        <w:autoSpaceDN w:val="0"/>
        <w:bidi w:val="0"/>
        <w:adjustRightInd w:val="0"/>
        <w:snapToGrid w:val="0"/>
        <w:spacing w:afterAutospacing="0" w:line="400" w:lineRule="atLeast"/>
        <w:ind w:left="0" w:leftChars="0" w:firstLine="600" w:firstLineChars="200"/>
        <w:jc w:val="both"/>
        <w:rPr>
          <w:rFonts w:hint="eastAsia" w:ascii="仿宋_GB2312" w:hAnsi="仿宋" w:eastAsia="仿宋_GB2312" w:cstheme="minorBidi"/>
          <w:b w:val="0"/>
          <w:kern w:val="2"/>
          <w:sz w:val="30"/>
          <w:szCs w:val="30"/>
          <w:lang w:val="en-US" w:eastAsia="zh-CN" w:bidi="ar-SA"/>
        </w:rPr>
      </w:pPr>
      <w:r>
        <w:rPr>
          <w:rFonts w:hint="eastAsia" w:ascii="仿宋_GB2312" w:hAnsi="仿宋" w:eastAsia="仿宋_GB2312" w:cstheme="minorBidi"/>
          <w:b w:val="0"/>
          <w:kern w:val="2"/>
          <w:sz w:val="30"/>
          <w:szCs w:val="30"/>
          <w:lang w:val="en-US" w:eastAsia="zh-CN" w:bidi="ar-SA"/>
        </w:rPr>
        <w:t>（1）供应商须具有独立承担民事责任能力，法人或其他组织的应提供营业执照等证明文件，自然人的应提供有效的自然人身份证明；</w:t>
      </w:r>
      <w:r>
        <w:rPr>
          <w:rFonts w:hint="eastAsia" w:ascii="仿宋_GB2312" w:hAnsi="仿宋" w:eastAsia="仿宋_GB2312" w:cstheme="minorBidi"/>
          <w:b w:val="0"/>
          <w:kern w:val="2"/>
          <w:sz w:val="30"/>
          <w:szCs w:val="30"/>
          <w:lang w:val="en-US" w:eastAsia="zh-CN" w:bidi="ar-SA"/>
        </w:rPr>
        <w:br w:type="textWrapping"/>
      </w:r>
      <w:r>
        <w:rPr>
          <w:rFonts w:hint="eastAsia" w:ascii="仿宋_GB2312" w:hAnsi="仿宋" w:eastAsia="仿宋_GB2312" w:cstheme="minorBidi"/>
          <w:b w:val="0"/>
          <w:kern w:val="2"/>
          <w:sz w:val="30"/>
          <w:szCs w:val="30"/>
          <w:lang w:val="en-US" w:eastAsia="zh-CN" w:bidi="ar-SA"/>
        </w:rPr>
        <w:t xml:space="preserve">    （2）法定代表人授权书（附法定代表人、被授权人身份证复印件）及被授权人身份证（法定代表人直接参加谈判，须提供法定代表人身份证明及身份证原件）；</w:t>
      </w:r>
      <w:r>
        <w:rPr>
          <w:rFonts w:hint="eastAsia" w:ascii="仿宋_GB2312" w:hAnsi="仿宋" w:eastAsia="仿宋_GB2312" w:cstheme="minorBidi"/>
          <w:b w:val="0"/>
          <w:kern w:val="2"/>
          <w:sz w:val="30"/>
          <w:szCs w:val="30"/>
          <w:lang w:val="en-US" w:eastAsia="zh-CN" w:bidi="ar-SA"/>
        </w:rPr>
        <w:br w:type="textWrapping"/>
      </w:r>
      <w:r>
        <w:rPr>
          <w:rFonts w:hint="eastAsia" w:ascii="仿宋_GB2312" w:hAnsi="仿宋" w:eastAsia="仿宋_GB2312" w:cstheme="minorBidi"/>
          <w:b w:val="0"/>
          <w:kern w:val="2"/>
          <w:sz w:val="30"/>
          <w:szCs w:val="30"/>
          <w:lang w:val="en-US" w:eastAsia="zh-CN" w:bidi="ar-SA"/>
        </w:rPr>
        <w:t xml:space="preserve">    （3）供应商应具备工程设计水利行业乙级（含乙级）及以上资质。；</w:t>
      </w:r>
      <w:r>
        <w:rPr>
          <w:rFonts w:hint="eastAsia" w:ascii="仿宋_GB2312" w:hAnsi="仿宋" w:eastAsia="仿宋_GB2312" w:cstheme="minorBidi"/>
          <w:b w:val="0"/>
          <w:kern w:val="2"/>
          <w:sz w:val="30"/>
          <w:szCs w:val="30"/>
          <w:lang w:val="en-US" w:eastAsia="zh-CN" w:bidi="ar-SA"/>
        </w:rPr>
        <w:br w:type="textWrapping"/>
      </w:r>
      <w:r>
        <w:rPr>
          <w:rFonts w:hint="eastAsia" w:ascii="仿宋_GB2312" w:hAnsi="仿宋" w:eastAsia="仿宋_GB2312" w:cstheme="minorBidi"/>
          <w:b w:val="0"/>
          <w:kern w:val="2"/>
          <w:sz w:val="30"/>
          <w:szCs w:val="30"/>
          <w:lang w:val="en-US" w:eastAsia="zh-CN" w:bidi="ar-SA"/>
        </w:rPr>
        <w:t xml:space="preserve">    （4）提供谈判响应文件递交截止之日前一年内任意一个月的依法缴纳税收的相关凭据（时间以税款所属日期为准、税种须包含增值税或企业所得税），凭据应有税务机关或代收机关的公章或业务专用章。依法免税或无须缴纳税收的供应商，应提供相应证明文件；</w:t>
      </w:r>
    </w:p>
    <w:p w14:paraId="61FCD5E8">
      <w:pPr>
        <w:pStyle w:val="9"/>
        <w:keepNext w:val="0"/>
        <w:keepLines w:val="0"/>
        <w:pageBreakBefore w:val="0"/>
        <w:widowControl/>
        <w:kinsoku w:val="0"/>
        <w:wordWrap/>
        <w:overflowPunct/>
        <w:topLinePunct w:val="0"/>
        <w:autoSpaceDE w:val="0"/>
        <w:autoSpaceDN w:val="0"/>
        <w:bidi w:val="0"/>
        <w:adjustRightInd w:val="0"/>
        <w:snapToGrid w:val="0"/>
        <w:spacing w:afterAutospacing="0" w:line="400" w:lineRule="atLeast"/>
        <w:ind w:left="0" w:leftChars="0" w:firstLine="600" w:firstLineChars="200"/>
        <w:jc w:val="both"/>
        <w:rPr>
          <w:rFonts w:hint="eastAsia" w:ascii="仿宋_GB2312" w:hAnsi="仿宋" w:eastAsia="仿宋_GB2312" w:cstheme="minorBidi"/>
          <w:b w:val="0"/>
          <w:kern w:val="2"/>
          <w:sz w:val="30"/>
          <w:szCs w:val="30"/>
          <w:lang w:val="en-US" w:eastAsia="zh-CN" w:bidi="ar-SA"/>
        </w:rPr>
      </w:pPr>
      <w:r>
        <w:rPr>
          <w:rFonts w:hint="eastAsia" w:ascii="仿宋_GB2312" w:hAnsi="仿宋" w:eastAsia="仿宋_GB2312" w:cstheme="minorBidi"/>
          <w:b w:val="0"/>
          <w:kern w:val="2"/>
          <w:sz w:val="30"/>
          <w:szCs w:val="30"/>
          <w:lang w:val="en-US" w:eastAsia="zh-CN" w:bidi="ar-SA"/>
        </w:rPr>
        <w:t>（5）提供谈判响应文件递交截止日前一年内已缴存的至少一个月的社会保障资金缴存单据或社保机构开具的社会保险参保缴费情况证明，依法不需要缴纳社会保障资金的单位应提供相关证明材料；</w:t>
      </w:r>
    </w:p>
    <w:p w14:paraId="2C6B9B02">
      <w:pPr>
        <w:pStyle w:val="9"/>
        <w:keepNext w:val="0"/>
        <w:keepLines w:val="0"/>
        <w:pageBreakBefore w:val="0"/>
        <w:widowControl/>
        <w:kinsoku w:val="0"/>
        <w:wordWrap/>
        <w:overflowPunct/>
        <w:topLinePunct w:val="0"/>
        <w:autoSpaceDE w:val="0"/>
        <w:autoSpaceDN w:val="0"/>
        <w:bidi w:val="0"/>
        <w:adjustRightInd w:val="0"/>
        <w:snapToGrid w:val="0"/>
        <w:spacing w:afterAutospacing="0" w:line="400" w:lineRule="atLeast"/>
        <w:ind w:left="0" w:leftChars="0" w:firstLine="600" w:firstLineChars="200"/>
        <w:jc w:val="both"/>
        <w:rPr>
          <w:rFonts w:hint="eastAsia" w:ascii="仿宋_GB2312" w:hAnsi="仿宋" w:eastAsia="仿宋_GB2312" w:cstheme="minorBidi"/>
          <w:b w:val="0"/>
          <w:kern w:val="2"/>
          <w:sz w:val="30"/>
          <w:szCs w:val="30"/>
          <w:lang w:val="en-US" w:eastAsia="zh-CN" w:bidi="ar-SA"/>
        </w:rPr>
      </w:pPr>
      <w:r>
        <w:rPr>
          <w:rFonts w:hint="eastAsia" w:ascii="仿宋_GB2312" w:hAnsi="仿宋" w:eastAsia="仿宋_GB2312" w:cstheme="minorBidi"/>
          <w:b w:val="0"/>
          <w:kern w:val="2"/>
          <w:sz w:val="30"/>
          <w:szCs w:val="30"/>
          <w:lang w:val="en-US" w:eastAsia="zh-CN" w:bidi="ar-SA"/>
        </w:rPr>
        <w:t>（6）提供2024年度或2025年度经审计的完整财务报告（包括“四表一注”，即资产负债表、利润表、现金流量表、所有者权</w:t>
      </w:r>
      <w:bookmarkStart w:id="0" w:name="_GoBack"/>
      <w:bookmarkEnd w:id="0"/>
      <w:r>
        <w:rPr>
          <w:rFonts w:hint="eastAsia" w:ascii="仿宋_GB2312" w:hAnsi="仿宋" w:eastAsia="仿宋_GB2312" w:cstheme="minorBidi"/>
          <w:b w:val="0"/>
          <w:kern w:val="2"/>
          <w:sz w:val="30"/>
          <w:szCs w:val="30"/>
          <w:lang w:val="en-US" w:eastAsia="zh-CN" w:bidi="ar-SA"/>
        </w:rPr>
        <w:t>益变动表及其附注，成立时间至提交响应文件截止时间不足一年的可提供成立后任意时段的资产负债表），或其开标前三个月内基本开户银行出具的资信证明，或信用担保机构出具的投标担保函（以上三种形式的资料提供任何一种即可）；</w:t>
      </w:r>
    </w:p>
    <w:p w14:paraId="455F99B9">
      <w:pPr>
        <w:pStyle w:val="9"/>
        <w:keepNext w:val="0"/>
        <w:keepLines w:val="0"/>
        <w:pageBreakBefore w:val="0"/>
        <w:widowControl/>
        <w:kinsoku w:val="0"/>
        <w:wordWrap/>
        <w:overflowPunct/>
        <w:topLinePunct w:val="0"/>
        <w:autoSpaceDE w:val="0"/>
        <w:autoSpaceDN w:val="0"/>
        <w:bidi w:val="0"/>
        <w:adjustRightInd w:val="0"/>
        <w:snapToGrid w:val="0"/>
        <w:spacing w:afterAutospacing="0" w:line="400" w:lineRule="atLeast"/>
        <w:ind w:left="0" w:leftChars="0" w:firstLine="600" w:firstLineChars="200"/>
        <w:jc w:val="both"/>
        <w:rPr>
          <w:rFonts w:hint="eastAsia" w:ascii="仿宋_GB2312" w:hAnsi="仿宋" w:eastAsia="仿宋_GB2312" w:cstheme="minorBidi"/>
          <w:b w:val="0"/>
          <w:kern w:val="2"/>
          <w:sz w:val="30"/>
          <w:szCs w:val="30"/>
          <w:lang w:val="en-US" w:eastAsia="zh-CN" w:bidi="ar-SA"/>
        </w:rPr>
      </w:pPr>
      <w:r>
        <w:rPr>
          <w:rFonts w:hint="eastAsia" w:ascii="仿宋_GB2312" w:hAnsi="仿宋" w:eastAsia="仿宋_GB2312" w:cstheme="minorBidi"/>
          <w:b w:val="0"/>
          <w:kern w:val="2"/>
          <w:sz w:val="30"/>
          <w:szCs w:val="30"/>
          <w:lang w:val="en-US" w:eastAsia="zh-CN" w:bidi="ar-SA"/>
        </w:rPr>
        <w:t>（7）参加政府活动近三年内，在经营活动中无重大违法记录的书面声明；</w:t>
      </w:r>
    </w:p>
    <w:p w14:paraId="3DD40AB6">
      <w:pPr>
        <w:pStyle w:val="9"/>
        <w:keepNext w:val="0"/>
        <w:keepLines w:val="0"/>
        <w:pageBreakBefore w:val="0"/>
        <w:widowControl/>
        <w:kinsoku w:val="0"/>
        <w:wordWrap/>
        <w:overflowPunct/>
        <w:topLinePunct w:val="0"/>
        <w:autoSpaceDE w:val="0"/>
        <w:autoSpaceDN w:val="0"/>
        <w:bidi w:val="0"/>
        <w:adjustRightInd w:val="0"/>
        <w:snapToGrid w:val="0"/>
        <w:spacing w:afterAutospacing="0" w:line="400" w:lineRule="atLeast"/>
        <w:ind w:left="0" w:leftChars="0" w:firstLine="600" w:firstLineChars="200"/>
        <w:jc w:val="both"/>
        <w:rPr>
          <w:rFonts w:hint="eastAsia" w:ascii="仿宋_GB2312" w:hAnsi="仿宋" w:eastAsia="仿宋_GB2312" w:cstheme="minorBidi"/>
          <w:b w:val="0"/>
          <w:kern w:val="2"/>
          <w:sz w:val="30"/>
          <w:szCs w:val="30"/>
          <w:lang w:val="en-US" w:eastAsia="zh-CN" w:bidi="ar-SA"/>
        </w:rPr>
      </w:pPr>
      <w:r>
        <w:rPr>
          <w:rFonts w:hint="eastAsia" w:ascii="仿宋_GB2312" w:hAnsi="仿宋" w:eastAsia="仿宋_GB2312" w:cstheme="minorBidi"/>
          <w:b w:val="0"/>
          <w:kern w:val="2"/>
          <w:sz w:val="30"/>
          <w:szCs w:val="30"/>
          <w:lang w:val="en-US" w:eastAsia="zh-CN" w:bidi="ar-SA"/>
        </w:rPr>
        <w:t>（8）供应商不得为中国执行信息公开网（http://zxgk.court.gov.cn/shixin/）失信被执行人及“信用中国”网站（www.creditchina.gov.cn）重大税收违法失信主体的供应商；不得为中国政府采购网（www.ccgp.gov.cn）政府采购严重违法失信行为记录名单中的供应商；</w:t>
      </w:r>
    </w:p>
    <w:p w14:paraId="58D77A0E">
      <w:pPr>
        <w:pStyle w:val="9"/>
        <w:keepNext w:val="0"/>
        <w:keepLines w:val="0"/>
        <w:pageBreakBefore w:val="0"/>
        <w:widowControl/>
        <w:kinsoku w:val="0"/>
        <w:wordWrap/>
        <w:overflowPunct/>
        <w:topLinePunct w:val="0"/>
        <w:autoSpaceDE w:val="0"/>
        <w:autoSpaceDN w:val="0"/>
        <w:bidi w:val="0"/>
        <w:adjustRightInd w:val="0"/>
        <w:snapToGrid w:val="0"/>
        <w:spacing w:afterAutospacing="0" w:line="400" w:lineRule="atLeast"/>
        <w:ind w:left="0" w:leftChars="0" w:firstLine="600" w:firstLineChars="200"/>
        <w:jc w:val="both"/>
        <w:rPr>
          <w:rFonts w:hint="eastAsia" w:ascii="仿宋_GB2312" w:hAnsi="仿宋" w:eastAsia="仿宋_GB2312" w:cstheme="minorBidi"/>
          <w:b w:val="0"/>
          <w:kern w:val="2"/>
          <w:sz w:val="30"/>
          <w:szCs w:val="30"/>
          <w:lang w:val="en-US" w:eastAsia="zh-CN" w:bidi="ar-SA"/>
        </w:rPr>
      </w:pPr>
      <w:r>
        <w:rPr>
          <w:rFonts w:hint="eastAsia" w:ascii="仿宋_GB2312" w:hAnsi="仿宋" w:eastAsia="仿宋_GB2312" w:cstheme="minorBidi"/>
          <w:b w:val="0"/>
          <w:kern w:val="2"/>
          <w:sz w:val="30"/>
          <w:szCs w:val="30"/>
          <w:lang w:val="en-US" w:eastAsia="zh-CN" w:bidi="ar-SA"/>
        </w:rPr>
        <w:t>（9）单位负责人为同一人或者存在直接控股、管理关系的不同供应商，不得参加同一合同项下的政府采购活动。</w:t>
      </w:r>
    </w:p>
    <w:p w14:paraId="61A92848">
      <w:pPr>
        <w:pStyle w:val="9"/>
        <w:keepNext w:val="0"/>
        <w:keepLines w:val="0"/>
        <w:pageBreakBefore w:val="0"/>
        <w:widowControl/>
        <w:kinsoku w:val="0"/>
        <w:wordWrap/>
        <w:overflowPunct/>
        <w:topLinePunct w:val="0"/>
        <w:autoSpaceDE w:val="0"/>
        <w:autoSpaceDN w:val="0"/>
        <w:bidi w:val="0"/>
        <w:adjustRightInd w:val="0"/>
        <w:snapToGrid w:val="0"/>
        <w:spacing w:afterAutospacing="0" w:line="400" w:lineRule="atLeast"/>
        <w:ind w:left="0" w:leftChars="0" w:firstLine="600" w:firstLineChars="200"/>
        <w:jc w:val="both"/>
        <w:rPr>
          <w:rFonts w:hint="eastAsia" w:ascii="仿宋_GB2312" w:hAnsi="仿宋" w:eastAsia="仿宋_GB2312" w:cstheme="minorBidi"/>
          <w:b w:val="0"/>
          <w:kern w:val="2"/>
          <w:sz w:val="30"/>
          <w:szCs w:val="30"/>
          <w:lang w:val="zh-CN" w:eastAsia="zh-CN" w:bidi="ar-SA"/>
        </w:rPr>
      </w:pPr>
      <w:r>
        <w:rPr>
          <w:rFonts w:hint="eastAsia" w:ascii="仿宋_GB2312" w:hAnsi="仿宋" w:eastAsia="仿宋_GB2312" w:cstheme="minorBidi"/>
          <w:b w:val="0"/>
          <w:kern w:val="2"/>
          <w:sz w:val="30"/>
          <w:szCs w:val="30"/>
          <w:lang w:val="en-US" w:eastAsia="zh-CN" w:bidi="ar-SA"/>
        </w:rPr>
        <w:t>（10）本项目为专门面向中小企业采购的采购项目。 </w:t>
      </w:r>
      <w:r>
        <w:rPr>
          <w:rFonts w:hint="eastAsia" w:ascii="仿宋_GB2312" w:hAnsi="仿宋" w:eastAsia="仿宋_GB2312" w:cstheme="minorBidi"/>
          <w:b w:val="0"/>
          <w:kern w:val="2"/>
          <w:sz w:val="30"/>
          <w:szCs w:val="30"/>
          <w:lang w:val="zh-CN" w:eastAsia="zh-CN" w:bidi="ar-SA"/>
        </w:rPr>
        <w:t>  </w:t>
      </w:r>
    </w:p>
    <w:p w14:paraId="571EACFD">
      <w:pPr>
        <w:pStyle w:val="2"/>
        <w:keepNext w:val="0"/>
        <w:keepLines w:val="0"/>
        <w:pageBreakBefore w:val="0"/>
        <w:widowControl/>
        <w:kinsoku w:val="0"/>
        <w:wordWrap/>
        <w:overflowPunct/>
        <w:topLinePunct w:val="0"/>
        <w:autoSpaceDE w:val="0"/>
        <w:autoSpaceDN w:val="0"/>
        <w:bidi w:val="0"/>
        <w:adjustRightInd w:val="0"/>
        <w:snapToGrid w:val="0"/>
        <w:spacing w:before="77" w:afterAutospacing="0" w:line="400" w:lineRule="atLeast"/>
        <w:ind w:left="38" w:right="135" w:hanging="16"/>
        <w:jc w:val="both"/>
        <w:rPr>
          <w:sz w:val="30"/>
          <w:szCs w:val="30"/>
        </w:rPr>
      </w:pPr>
    </w:p>
    <w:sectPr>
      <w:pgSz w:w="11900" w:h="16840"/>
      <w:pgMar w:top="1221" w:right="845" w:bottom="0" w:left="82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96701"/>
    <w:multiLevelType w:val="singleLevel"/>
    <w:tmpl w:val="86F96701"/>
    <w:lvl w:ilvl="0" w:tentative="0">
      <w:start w:val="2"/>
      <w:numFmt w:val="decimal"/>
      <w:suff w:val="nothing"/>
      <w:lvlText w:val="%1、"/>
      <w:lvlJc w:val="left"/>
    </w:lvl>
  </w:abstractNum>
  <w:abstractNum w:abstractNumId="1">
    <w:nsid w:val="3D86B698"/>
    <w:multiLevelType w:val="singleLevel"/>
    <w:tmpl w:val="3D86B698"/>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EA21C9"/>
    <w:rsid w:val="0655437B"/>
    <w:rsid w:val="18FF3914"/>
    <w:rsid w:val="194D61A7"/>
    <w:rsid w:val="1EE47F3C"/>
    <w:rsid w:val="2A377A4E"/>
    <w:rsid w:val="2F6B5685"/>
    <w:rsid w:val="2FC7196E"/>
    <w:rsid w:val="392C3D4D"/>
    <w:rsid w:val="3E9D643C"/>
    <w:rsid w:val="570B2D3F"/>
    <w:rsid w:val="693D6A37"/>
    <w:rsid w:val="6E040A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4"/>
      <w:szCs w:val="24"/>
      <w:lang w:val="en-US" w:eastAsia="en-US" w:bidi="ar-SA"/>
    </w:r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4">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 w:type="paragraph" w:styleId="9">
    <w:name w:val="List Paragraph"/>
    <w:basedOn w:val="1"/>
    <w:qFormat/>
    <w:uiPriority w:val="0"/>
    <w:pPr>
      <w:spacing w:line="360" w:lineRule="auto"/>
      <w:ind w:firstLine="200" w:firstLineChars="200"/>
      <w:jc w:val="left"/>
    </w:pPr>
    <w:rPr>
      <w:rFonts w:eastAsia="仿宋"/>
      <w:b/>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1294</Words>
  <Characters>1419</Characters>
  <TotalTime>10</TotalTime>
  <ScaleCrop>false</ScaleCrop>
  <LinksUpToDate>false</LinksUpToDate>
  <CharactersWithSpaces>1440</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2026-01-14T12:38:00Z</dcterms:created>
  <dc:creator>Administrator</dc:creator>
  <cp:lastModifiedBy>Mr.wang</cp:lastModifiedBy>
  <dcterms:modified xsi:type="dcterms:W3CDTF">2026-01-15T02:42:35Z</dcterms:modified>
  <dc:title>WingDings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2026-01-14T12:59:13Z</vt:filetime>
  </property>
  <property fmtid="{D5CDD505-2E9C-101B-9397-08002B2CF9AE}" pid="4" name="KSOProductBuildVer">
    <vt:lpwstr>2052-12.1.0.24034</vt:lpwstr>
  </property>
  <property fmtid="{D5CDD505-2E9C-101B-9397-08002B2CF9AE}" pid="5" name="ICV">
    <vt:lpwstr>F6ED24BCBE77454EB770234D6CCA44E0_13</vt:lpwstr>
  </property>
  <property fmtid="{D5CDD505-2E9C-101B-9397-08002B2CF9AE}" pid="6" name="KSOTemplateDocerSaveRecord">
    <vt:lpwstr>eyJoZGlkIjoiNjQ4MzA2MWI0MzQzOTg4NjI4MjM2ZWY1OGFiY2M5NGQiLCJ1c2VySWQiOiIzMzA0MTE2NzMifQ==</vt:lpwstr>
  </property>
</Properties>
</file>