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86226">
      <w:pPr>
        <w:pStyle w:val="4"/>
        <w:rPr>
          <w:rFonts w:ascii="仿宋" w:hAnsi="仿宋" w:eastAsia="仿宋" w:cs="仿宋"/>
          <w:color w:val="auto"/>
          <w:sz w:val="24"/>
          <w:szCs w:val="24"/>
        </w:rPr>
      </w:pPr>
      <w:r>
        <w:rPr>
          <w:rFonts w:hint="eastAsia" w:ascii="仿宋" w:hAnsi="仿宋" w:eastAsia="仿宋" w:cs="仿宋"/>
          <w:color w:val="auto"/>
          <w:sz w:val="24"/>
          <w:szCs w:val="24"/>
        </w:rPr>
        <w:t>《需求书》</w:t>
      </w:r>
    </w:p>
    <w:p w14:paraId="61FDD8F8">
      <w:pPr>
        <w:pStyle w:val="4"/>
        <w:jc w:val="both"/>
        <w:rPr>
          <w:rFonts w:ascii="仿宋" w:hAnsi="仿宋" w:eastAsia="仿宋" w:cs="仿宋"/>
          <w:color w:val="auto"/>
          <w:sz w:val="24"/>
          <w:szCs w:val="24"/>
        </w:rPr>
      </w:pPr>
      <w:r>
        <w:rPr>
          <w:rFonts w:hint="eastAsia" w:ascii="仿宋" w:hAnsi="仿宋" w:eastAsia="仿宋" w:cs="仿宋"/>
          <w:color w:val="auto"/>
          <w:sz w:val="24"/>
          <w:szCs w:val="24"/>
        </w:rPr>
        <w:t>一、采购内容</w:t>
      </w:r>
    </w:p>
    <w:p w14:paraId="21DC2FEB">
      <w:pPr>
        <w:pStyle w:val="2"/>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根据国家《中华人民共和国网络安全法》《信息安全等级保护管理办法》（公通字〔2007〕43号）《关于推动信息安全等级保护测评体系建设和开展等级测评工作的通知》（公信安〔2010〕303号）《陕西省信息安全等级保护安全建设整改工作指导意见》（陕等保办〔2011〕2号）等相关文件要求，对审计厅基础网络等5个信息系统开展等级保护测评，系统清单见下表：</w:t>
      </w:r>
    </w:p>
    <w:tbl>
      <w:tblPr>
        <w:tblStyle w:val="6"/>
        <w:tblpPr w:leftFromText="180" w:rightFromText="180" w:vertAnchor="text" w:tblpY="1"/>
        <w:tblOverlap w:val="never"/>
        <w:tblW w:w="4997" w:type="pct"/>
        <w:tblInd w:w="0" w:type="dxa"/>
        <w:tblLayout w:type="autofit"/>
        <w:tblCellMar>
          <w:top w:w="0" w:type="dxa"/>
          <w:left w:w="108" w:type="dxa"/>
          <w:bottom w:w="0" w:type="dxa"/>
          <w:right w:w="108" w:type="dxa"/>
        </w:tblCellMar>
      </w:tblPr>
      <w:tblGrid>
        <w:gridCol w:w="852"/>
        <w:gridCol w:w="5589"/>
        <w:gridCol w:w="2076"/>
      </w:tblGrid>
      <w:tr w14:paraId="1E717A54">
        <w:tblPrEx>
          <w:tblCellMar>
            <w:top w:w="0" w:type="dxa"/>
            <w:left w:w="108" w:type="dxa"/>
            <w:bottom w:w="0" w:type="dxa"/>
            <w:right w:w="108" w:type="dxa"/>
          </w:tblCellMar>
        </w:tblPrEx>
        <w:trPr>
          <w:trHeight w:val="454" w:hRule="atLeast"/>
          <w:tblHeader/>
        </w:trPr>
        <w:tc>
          <w:tcPr>
            <w:tcW w:w="500" w:type="pct"/>
            <w:tcBorders>
              <w:top w:val="single" w:color="auto" w:sz="4" w:space="0"/>
              <w:left w:val="single" w:color="auto" w:sz="4" w:space="0"/>
              <w:bottom w:val="single" w:color="auto" w:sz="4" w:space="0"/>
              <w:right w:val="single" w:color="auto" w:sz="4" w:space="0"/>
            </w:tcBorders>
            <w:vAlign w:val="center"/>
          </w:tcPr>
          <w:p w14:paraId="431D1689">
            <w:pPr>
              <w:spacing w:line="360" w:lineRule="auto"/>
              <w:jc w:val="center"/>
              <w:rPr>
                <w:rFonts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3280" w:type="pct"/>
            <w:tcBorders>
              <w:top w:val="single" w:color="auto" w:sz="4" w:space="0"/>
              <w:left w:val="nil"/>
              <w:bottom w:val="single" w:color="auto" w:sz="4" w:space="0"/>
              <w:right w:val="single" w:color="auto" w:sz="4" w:space="0"/>
            </w:tcBorders>
            <w:vAlign w:val="center"/>
          </w:tcPr>
          <w:p w14:paraId="02682680">
            <w:pPr>
              <w:spacing w:line="360" w:lineRule="auto"/>
              <w:jc w:val="center"/>
              <w:rPr>
                <w:rFonts w:ascii="仿宋" w:hAnsi="仿宋" w:eastAsia="仿宋" w:cs="仿宋"/>
                <w:b/>
                <w:bCs/>
                <w:color w:val="auto"/>
                <w:kern w:val="0"/>
                <w:sz w:val="24"/>
              </w:rPr>
            </w:pPr>
            <w:r>
              <w:rPr>
                <w:rFonts w:hint="eastAsia" w:ascii="仿宋" w:hAnsi="仿宋" w:eastAsia="仿宋" w:cs="仿宋"/>
                <w:b/>
                <w:bCs/>
                <w:color w:val="auto"/>
                <w:kern w:val="0"/>
                <w:sz w:val="24"/>
              </w:rPr>
              <w:t>系统名称</w:t>
            </w:r>
          </w:p>
        </w:tc>
        <w:tc>
          <w:tcPr>
            <w:tcW w:w="1218" w:type="pct"/>
            <w:tcBorders>
              <w:top w:val="single" w:color="auto" w:sz="4" w:space="0"/>
              <w:left w:val="nil"/>
              <w:bottom w:val="single" w:color="auto" w:sz="4" w:space="0"/>
              <w:right w:val="single" w:color="auto" w:sz="4" w:space="0"/>
            </w:tcBorders>
            <w:vAlign w:val="center"/>
          </w:tcPr>
          <w:p w14:paraId="4738A41F">
            <w:pPr>
              <w:spacing w:line="360" w:lineRule="auto"/>
              <w:jc w:val="center"/>
              <w:rPr>
                <w:rFonts w:ascii="仿宋" w:hAnsi="仿宋" w:eastAsia="仿宋" w:cs="仿宋"/>
                <w:b/>
                <w:bCs/>
                <w:color w:val="auto"/>
                <w:kern w:val="0"/>
                <w:sz w:val="24"/>
              </w:rPr>
            </w:pPr>
            <w:r>
              <w:rPr>
                <w:rFonts w:hint="eastAsia" w:ascii="仿宋" w:hAnsi="仿宋" w:eastAsia="仿宋" w:cs="仿宋"/>
                <w:b/>
                <w:bCs/>
                <w:color w:val="auto"/>
                <w:kern w:val="0"/>
                <w:sz w:val="24"/>
              </w:rPr>
              <w:t>等级保护级别</w:t>
            </w:r>
          </w:p>
        </w:tc>
      </w:tr>
      <w:tr w14:paraId="7BC3353D">
        <w:tblPrEx>
          <w:tblCellMar>
            <w:top w:w="0" w:type="dxa"/>
            <w:left w:w="108" w:type="dxa"/>
            <w:bottom w:w="0" w:type="dxa"/>
            <w:right w:w="108" w:type="dxa"/>
          </w:tblCellMar>
        </w:tblPrEx>
        <w:trPr>
          <w:trHeight w:val="454" w:hRule="atLeast"/>
        </w:trPr>
        <w:tc>
          <w:tcPr>
            <w:tcW w:w="500" w:type="pct"/>
            <w:tcBorders>
              <w:top w:val="nil"/>
              <w:left w:val="single" w:color="auto" w:sz="4" w:space="0"/>
              <w:bottom w:val="single" w:color="auto" w:sz="4" w:space="0"/>
              <w:right w:val="single" w:color="auto" w:sz="4" w:space="0"/>
            </w:tcBorders>
            <w:vAlign w:val="center"/>
          </w:tcPr>
          <w:p w14:paraId="07537625">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w:t>
            </w:r>
          </w:p>
        </w:tc>
        <w:tc>
          <w:tcPr>
            <w:tcW w:w="3280" w:type="pct"/>
            <w:tcBorders>
              <w:top w:val="nil"/>
              <w:left w:val="nil"/>
              <w:bottom w:val="single" w:color="auto" w:sz="4" w:space="0"/>
              <w:right w:val="single" w:color="auto" w:sz="4" w:space="0"/>
            </w:tcBorders>
            <w:vAlign w:val="center"/>
          </w:tcPr>
          <w:p w14:paraId="2A21CD8F">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审计网络系统</w:t>
            </w:r>
          </w:p>
        </w:tc>
        <w:tc>
          <w:tcPr>
            <w:tcW w:w="1218" w:type="pct"/>
            <w:tcBorders>
              <w:top w:val="nil"/>
              <w:left w:val="nil"/>
              <w:bottom w:val="single" w:color="auto" w:sz="4" w:space="0"/>
              <w:right w:val="single" w:color="auto" w:sz="4" w:space="0"/>
            </w:tcBorders>
            <w:vAlign w:val="center"/>
          </w:tcPr>
          <w:p w14:paraId="6D745DC1">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三级</w:t>
            </w:r>
          </w:p>
        </w:tc>
      </w:tr>
      <w:tr w14:paraId="1DD116A0">
        <w:tblPrEx>
          <w:tblCellMar>
            <w:top w:w="0" w:type="dxa"/>
            <w:left w:w="108" w:type="dxa"/>
            <w:bottom w:w="0" w:type="dxa"/>
            <w:right w:w="108" w:type="dxa"/>
          </w:tblCellMar>
        </w:tblPrEx>
        <w:trPr>
          <w:trHeight w:val="454" w:hRule="atLeast"/>
        </w:trPr>
        <w:tc>
          <w:tcPr>
            <w:tcW w:w="500" w:type="pct"/>
            <w:tcBorders>
              <w:top w:val="nil"/>
              <w:left w:val="single" w:color="auto" w:sz="4" w:space="0"/>
              <w:bottom w:val="single" w:color="auto" w:sz="4" w:space="0"/>
              <w:right w:val="single" w:color="auto" w:sz="4" w:space="0"/>
            </w:tcBorders>
            <w:vAlign w:val="center"/>
          </w:tcPr>
          <w:p w14:paraId="46C22B0E">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2</w:t>
            </w:r>
          </w:p>
        </w:tc>
        <w:tc>
          <w:tcPr>
            <w:tcW w:w="3280" w:type="pct"/>
            <w:tcBorders>
              <w:top w:val="nil"/>
              <w:left w:val="nil"/>
              <w:bottom w:val="single" w:color="auto" w:sz="4" w:space="0"/>
              <w:right w:val="single" w:color="auto" w:sz="4" w:space="0"/>
            </w:tcBorders>
            <w:vAlign w:val="center"/>
          </w:tcPr>
          <w:p w14:paraId="22FECA19">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综合服务支撑系统</w:t>
            </w:r>
          </w:p>
        </w:tc>
        <w:tc>
          <w:tcPr>
            <w:tcW w:w="1218" w:type="pct"/>
            <w:tcBorders>
              <w:top w:val="nil"/>
              <w:left w:val="nil"/>
              <w:bottom w:val="single" w:color="auto" w:sz="4" w:space="0"/>
              <w:right w:val="single" w:color="auto" w:sz="4" w:space="0"/>
            </w:tcBorders>
            <w:vAlign w:val="center"/>
          </w:tcPr>
          <w:p w14:paraId="727D1D4F">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三级</w:t>
            </w:r>
          </w:p>
        </w:tc>
      </w:tr>
      <w:tr w14:paraId="589A20DA">
        <w:tblPrEx>
          <w:tblCellMar>
            <w:top w:w="0" w:type="dxa"/>
            <w:left w:w="108" w:type="dxa"/>
            <w:bottom w:w="0" w:type="dxa"/>
            <w:right w:w="108" w:type="dxa"/>
          </w:tblCellMar>
        </w:tblPrEx>
        <w:trPr>
          <w:trHeight w:val="454" w:hRule="atLeast"/>
        </w:trPr>
        <w:tc>
          <w:tcPr>
            <w:tcW w:w="500" w:type="pct"/>
            <w:tcBorders>
              <w:top w:val="nil"/>
              <w:left w:val="single" w:color="auto" w:sz="4" w:space="0"/>
              <w:bottom w:val="single" w:color="auto" w:sz="4" w:space="0"/>
              <w:right w:val="single" w:color="auto" w:sz="4" w:space="0"/>
            </w:tcBorders>
            <w:vAlign w:val="center"/>
          </w:tcPr>
          <w:p w14:paraId="3C597168">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w:t>
            </w:r>
          </w:p>
        </w:tc>
        <w:tc>
          <w:tcPr>
            <w:tcW w:w="3280" w:type="pct"/>
            <w:tcBorders>
              <w:top w:val="nil"/>
              <w:left w:val="nil"/>
              <w:bottom w:val="single" w:color="auto" w:sz="4" w:space="0"/>
              <w:right w:val="single" w:color="auto" w:sz="4" w:space="0"/>
            </w:tcBorders>
            <w:vAlign w:val="center"/>
          </w:tcPr>
          <w:p w14:paraId="036514BA">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国家审计数字化管理平台</w:t>
            </w:r>
          </w:p>
        </w:tc>
        <w:tc>
          <w:tcPr>
            <w:tcW w:w="1218" w:type="pct"/>
            <w:tcBorders>
              <w:top w:val="nil"/>
              <w:left w:val="nil"/>
              <w:bottom w:val="single" w:color="auto" w:sz="4" w:space="0"/>
              <w:right w:val="single" w:color="auto" w:sz="4" w:space="0"/>
            </w:tcBorders>
            <w:vAlign w:val="center"/>
          </w:tcPr>
          <w:p w14:paraId="49E7EE76">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三级</w:t>
            </w:r>
          </w:p>
        </w:tc>
      </w:tr>
      <w:tr w14:paraId="08D9C89B">
        <w:tblPrEx>
          <w:tblCellMar>
            <w:top w:w="0" w:type="dxa"/>
            <w:left w:w="108" w:type="dxa"/>
            <w:bottom w:w="0" w:type="dxa"/>
            <w:right w:w="108" w:type="dxa"/>
          </w:tblCellMar>
        </w:tblPrEx>
        <w:trPr>
          <w:trHeight w:val="454" w:hRule="atLeast"/>
        </w:trPr>
        <w:tc>
          <w:tcPr>
            <w:tcW w:w="500" w:type="pct"/>
            <w:tcBorders>
              <w:top w:val="nil"/>
              <w:left w:val="single" w:color="auto" w:sz="4" w:space="0"/>
              <w:bottom w:val="single" w:color="auto" w:sz="4" w:space="0"/>
              <w:right w:val="single" w:color="auto" w:sz="4" w:space="0"/>
            </w:tcBorders>
            <w:vAlign w:val="center"/>
          </w:tcPr>
          <w:p w14:paraId="08AFC771">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4</w:t>
            </w:r>
          </w:p>
        </w:tc>
        <w:tc>
          <w:tcPr>
            <w:tcW w:w="3280" w:type="pct"/>
            <w:tcBorders>
              <w:top w:val="nil"/>
              <w:left w:val="nil"/>
              <w:bottom w:val="single" w:color="auto" w:sz="4" w:space="0"/>
              <w:right w:val="single" w:color="auto" w:sz="4" w:space="0"/>
            </w:tcBorders>
            <w:vAlign w:val="center"/>
          </w:tcPr>
          <w:p w14:paraId="1F614975">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审计综合作业平台</w:t>
            </w:r>
          </w:p>
        </w:tc>
        <w:tc>
          <w:tcPr>
            <w:tcW w:w="1218" w:type="pct"/>
            <w:tcBorders>
              <w:top w:val="nil"/>
              <w:left w:val="nil"/>
              <w:bottom w:val="single" w:color="auto" w:sz="4" w:space="0"/>
              <w:right w:val="single" w:color="auto" w:sz="4" w:space="0"/>
            </w:tcBorders>
            <w:vAlign w:val="center"/>
          </w:tcPr>
          <w:p w14:paraId="27B34858">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三级</w:t>
            </w:r>
          </w:p>
        </w:tc>
      </w:tr>
      <w:tr w14:paraId="62A1850E">
        <w:tblPrEx>
          <w:tblCellMar>
            <w:top w:w="0" w:type="dxa"/>
            <w:left w:w="108" w:type="dxa"/>
            <w:bottom w:w="0" w:type="dxa"/>
            <w:right w:w="108" w:type="dxa"/>
          </w:tblCellMar>
        </w:tblPrEx>
        <w:trPr>
          <w:trHeight w:val="454" w:hRule="atLeast"/>
        </w:trPr>
        <w:tc>
          <w:tcPr>
            <w:tcW w:w="500" w:type="pct"/>
            <w:tcBorders>
              <w:top w:val="nil"/>
              <w:left w:val="single" w:color="auto" w:sz="4" w:space="0"/>
              <w:bottom w:val="single" w:color="auto" w:sz="4" w:space="0"/>
              <w:right w:val="single" w:color="auto" w:sz="4" w:space="0"/>
            </w:tcBorders>
            <w:vAlign w:val="center"/>
          </w:tcPr>
          <w:p w14:paraId="4F40DF27">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5</w:t>
            </w:r>
          </w:p>
        </w:tc>
        <w:tc>
          <w:tcPr>
            <w:tcW w:w="3280" w:type="pct"/>
            <w:tcBorders>
              <w:top w:val="nil"/>
              <w:left w:val="nil"/>
              <w:bottom w:val="single" w:color="auto" w:sz="4" w:space="0"/>
              <w:right w:val="single" w:color="auto" w:sz="4" w:space="0"/>
            </w:tcBorders>
            <w:vAlign w:val="center"/>
          </w:tcPr>
          <w:p w14:paraId="1DE699E0">
            <w:pPr>
              <w:spacing w:line="360" w:lineRule="auto"/>
              <w:jc w:val="left"/>
              <w:rPr>
                <w:rFonts w:ascii="仿宋" w:hAnsi="仿宋" w:eastAsia="仿宋" w:cs="仿宋"/>
                <w:color w:val="auto"/>
                <w:kern w:val="0"/>
                <w:sz w:val="24"/>
              </w:rPr>
            </w:pPr>
            <w:r>
              <w:rPr>
                <w:rFonts w:hint="eastAsia" w:ascii="仿宋" w:hAnsi="仿宋" w:eastAsia="仿宋" w:cs="仿宋"/>
                <w:color w:val="auto"/>
                <w:kern w:val="0"/>
                <w:sz w:val="24"/>
              </w:rPr>
              <w:t>国家审计大数据中心陕西分中心</w:t>
            </w:r>
          </w:p>
        </w:tc>
        <w:tc>
          <w:tcPr>
            <w:tcW w:w="1218" w:type="pct"/>
            <w:tcBorders>
              <w:top w:val="nil"/>
              <w:left w:val="nil"/>
              <w:bottom w:val="single" w:color="auto" w:sz="4" w:space="0"/>
              <w:right w:val="single" w:color="auto" w:sz="4" w:space="0"/>
            </w:tcBorders>
            <w:vAlign w:val="center"/>
          </w:tcPr>
          <w:p w14:paraId="17E95F1B">
            <w:pPr>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三级</w:t>
            </w:r>
          </w:p>
        </w:tc>
      </w:tr>
    </w:tbl>
    <w:p w14:paraId="7731FCFB">
      <w:pPr>
        <w:pStyle w:val="4"/>
        <w:jc w:val="both"/>
        <w:rPr>
          <w:rFonts w:ascii="仿宋" w:hAnsi="仿宋" w:eastAsia="仿宋" w:cs="仿宋"/>
          <w:color w:val="auto"/>
          <w:sz w:val="24"/>
          <w:szCs w:val="24"/>
        </w:rPr>
      </w:pPr>
      <w:r>
        <w:rPr>
          <w:rFonts w:hint="eastAsia" w:ascii="仿宋" w:hAnsi="仿宋" w:eastAsia="仿宋" w:cs="仿宋"/>
          <w:color w:val="auto"/>
          <w:sz w:val="24"/>
          <w:szCs w:val="24"/>
        </w:rPr>
        <w:t>二、采购要求</w:t>
      </w:r>
    </w:p>
    <w:p w14:paraId="00B82832">
      <w:pPr>
        <w:pStyle w:val="5"/>
        <w:ind w:firstLine="480"/>
        <w:rPr>
          <w:rFonts w:ascii="仿宋" w:hAnsi="仿宋" w:eastAsia="仿宋" w:cs="仿宋"/>
          <w:b w:val="0"/>
          <w:bCs w:val="0"/>
          <w:color w:val="auto"/>
          <w:szCs w:val="24"/>
        </w:rPr>
      </w:pPr>
      <w:r>
        <w:rPr>
          <w:rFonts w:hint="eastAsia" w:ascii="仿宋" w:hAnsi="仿宋" w:eastAsia="仿宋" w:cs="仿宋"/>
          <w:b w:val="0"/>
          <w:bCs w:val="0"/>
          <w:color w:val="auto"/>
          <w:szCs w:val="24"/>
        </w:rPr>
        <w:t>（一）测评服务要求</w:t>
      </w:r>
    </w:p>
    <w:p w14:paraId="4110252C">
      <w:pPr>
        <w:pStyle w:val="2"/>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根据《信息安全等级保护管理办法》（公通字〔2007〕43号）《关于推动信息安全等级保护测评体系建设和开展等级测评工作的通知》（公信安〔2010〕303号）等相关文件要求开展测评工作。测评服务商在测评过程中，须按照《计算机信息系统安全保护等级划分准则》（GB17859-1999）《信息安全技术信息系统安全等级保护实施指南》（GB/T25058-2019）《信息安全技术信息系统安全等级保护基本要求》（GB/T22239-2019）《信息安全技术信息系统安全等级保护测评要求》（GB/T28448-2019）《信息安全技术信息系统安全等级保护测评过程指南》（GB/T28449-2018）等相关的标准规范开展等级保护测评工作。</w:t>
      </w:r>
    </w:p>
    <w:p w14:paraId="5624D436">
      <w:pPr>
        <w:pStyle w:val="5"/>
        <w:ind w:firstLine="480"/>
        <w:rPr>
          <w:rFonts w:ascii="仿宋" w:hAnsi="仿宋" w:eastAsia="仿宋" w:cs="仿宋"/>
          <w:b w:val="0"/>
          <w:bCs w:val="0"/>
          <w:color w:val="auto"/>
          <w:szCs w:val="24"/>
        </w:rPr>
      </w:pPr>
      <w:r>
        <w:rPr>
          <w:rFonts w:hint="eastAsia" w:ascii="仿宋" w:hAnsi="仿宋" w:eastAsia="仿宋" w:cs="仿宋"/>
          <w:b w:val="0"/>
          <w:bCs w:val="0"/>
          <w:color w:val="auto"/>
          <w:szCs w:val="24"/>
        </w:rPr>
        <w:t>（二）测评人员要求</w:t>
      </w:r>
    </w:p>
    <w:p w14:paraId="7CAEF618">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1、测评人员资质要求：项目经理需具备 《网络安全等级测评师-中级测评师》证书，项目实施人员需具备《网络安全等级测</w:t>
      </w:r>
      <w:r>
        <w:rPr>
          <w:rFonts w:hint="eastAsia" w:ascii="仿宋" w:hAnsi="仿宋" w:eastAsia="仿宋" w:cs="仿宋"/>
          <w:color w:val="auto"/>
          <w:sz w:val="24"/>
          <w:szCs w:val="24"/>
          <w:lang w:val="en-US" w:eastAsia="zh-CN"/>
        </w:rPr>
        <w:t>评</w:t>
      </w:r>
      <w:r>
        <w:rPr>
          <w:rFonts w:hint="eastAsia" w:ascii="仿宋" w:hAnsi="仿宋" w:eastAsia="仿宋" w:cs="仿宋"/>
          <w:color w:val="auto"/>
          <w:sz w:val="24"/>
          <w:szCs w:val="24"/>
        </w:rPr>
        <w:t>师》证书。</w:t>
      </w:r>
    </w:p>
    <w:p w14:paraId="096C1B2C">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2、测评团队要求：项目配置 1名专职项目经理，同时每个信息系统现场网络安全等级测评师人数不少于4名。同步提供人员管理方案，确保人员稳定。如需更换测评人员，须由甲方同意。</w:t>
      </w:r>
    </w:p>
    <w:p w14:paraId="5D48CBCC">
      <w:pPr>
        <w:pStyle w:val="5"/>
        <w:ind w:firstLine="480"/>
        <w:rPr>
          <w:rFonts w:ascii="仿宋" w:hAnsi="仿宋" w:eastAsia="仿宋" w:cs="仿宋"/>
          <w:b w:val="0"/>
          <w:bCs w:val="0"/>
          <w:color w:val="auto"/>
          <w:szCs w:val="24"/>
        </w:rPr>
      </w:pPr>
      <w:r>
        <w:rPr>
          <w:rFonts w:hint="eastAsia" w:ascii="仿宋" w:hAnsi="仿宋" w:eastAsia="仿宋" w:cs="仿宋"/>
          <w:b w:val="0"/>
          <w:bCs w:val="0"/>
          <w:color w:val="auto"/>
          <w:szCs w:val="24"/>
        </w:rPr>
        <w:t>（三）服务商保密要求</w:t>
      </w:r>
    </w:p>
    <w:p w14:paraId="2C11E395">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1、服务商应严格遵守等级保护测评过程有关保密的相关规定，不得泄露有关项目的任何机密；</w:t>
      </w:r>
    </w:p>
    <w:p w14:paraId="2B5AFCBC">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2、服务商在技术服务期间，须对接触到的陕西省审计厅工作活动、工作信息、技术情况和技术资料等文件进行保密。</w:t>
      </w:r>
    </w:p>
    <w:p w14:paraId="2E0FE5D7">
      <w:pPr>
        <w:pStyle w:val="2"/>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（四）赔偿承诺与措施</w:t>
      </w:r>
    </w:p>
    <w:p w14:paraId="3A9D6C72">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1、在测评服务期间，如果出现因服务商责任，未能在承诺时间内恢复业务运行，陕西省审计厅有权请第三方进行解决处理，由此所产生的一切费用由服务商承担；</w:t>
      </w:r>
    </w:p>
    <w:p w14:paraId="148F4E33">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2、测评服务期间，服务商不符合或达不到合同中要求的技术服务标准，陕西省审计厅可以提前终止或解除合同。</w:t>
      </w:r>
    </w:p>
    <w:p w14:paraId="73D9A17B">
      <w:pPr>
        <w:pStyle w:val="2"/>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（五）技术方案要求</w:t>
      </w:r>
    </w:p>
    <w:p w14:paraId="6D7A77F6">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1、磋商响应对测评准备（现场调研）、方案编制、现场测评、报告编制等内容进行详细描述；</w:t>
      </w:r>
    </w:p>
    <w:p w14:paraId="3136ECB3">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2、磋商响应文件中明确服务内容及方法；</w:t>
      </w:r>
    </w:p>
    <w:p w14:paraId="7DB3F156">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3、明确合理的实施周期和进度表；</w:t>
      </w:r>
    </w:p>
    <w:p w14:paraId="0FBFA538">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4、提供整个测评项目实施过程中的风险防范措施，并明确保密责任与赔偿承诺；</w:t>
      </w:r>
    </w:p>
    <w:p w14:paraId="784791B3">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5、其他认为需要补充的合理化建议。</w:t>
      </w:r>
    </w:p>
    <w:p w14:paraId="0C1AB463">
      <w:pPr>
        <w:pStyle w:val="2"/>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（六）等级保护测评流程要求</w:t>
      </w:r>
    </w:p>
    <w:p w14:paraId="4552090D">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t>等级保护测评过程中要求服务商严格按照下列流程开展工作，具体工作流程如下图所示：</w:t>
      </w:r>
    </w:p>
    <w:p w14:paraId="765FA5DF">
      <w:pPr>
        <w:pStyle w:val="2"/>
        <w:spacing w:line="360" w:lineRule="auto"/>
        <w:rPr>
          <w:rFonts w:ascii="仿宋" w:hAnsi="仿宋" w:eastAsia="仿宋" w:cs="仿宋"/>
          <w:color w:val="auto"/>
          <w:sz w:val="24"/>
          <w:szCs w:val="24"/>
        </w:rPr>
      </w:pPr>
      <w:r>
        <w:rPr>
          <w:rFonts w:hint="eastAsia" w:ascii="仿宋" w:hAnsi="仿宋" w:eastAsia="仿宋" w:cs="仿宋"/>
          <w:color w:val="auto"/>
          <w:sz w:val="24"/>
          <w:szCs w:val="24"/>
        </w:rPr>
        <w:object>
          <v:shape id="_x0000_i1025" o:spt="75" type="#_x0000_t75" style="height:555pt;width:391.8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14:paraId="16F1D041">
      <w:pPr>
        <w:pStyle w:val="2"/>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1、测评准备阶段：开展等级测评工作的前提和基础，是整个等级测评过程有效性的保证。测评准备工作是否充分直接关系到后续工作能否顺利开展。本活动的主要任务是掌握被测系统的详细情况，准备测试工具，为编制测评方案做好准备。</w:t>
      </w:r>
    </w:p>
    <w:p w14:paraId="1E40B566">
      <w:pPr>
        <w:pStyle w:val="2"/>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2、方案编制阶段：开展等级测评工作的关键活动，为现场测评提供最基本的文档和指导方案。本活动的主要任务是确定与被测信息系统相适应的测评对象、测评指标及测评内容等，并根据需要重用或开发测评指导书，形成测评方案。</w:t>
      </w:r>
    </w:p>
    <w:p w14:paraId="385A095D">
      <w:pPr>
        <w:pStyle w:val="2"/>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3、现场测评阶段：开展等级测评工作的核心活动。本活动的主要任务是按照测评方案的总体要求，严格按照测评指导书执行，分步实施所有测评项目，以了解系统的真实保护情况，获取足够证据，发现系统存在的安全问题。</w:t>
      </w:r>
    </w:p>
    <w:p w14:paraId="418932BC">
      <w:pPr>
        <w:pStyle w:val="2"/>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4、分析与报告编制阶段：给出等级测评工作结果的活动，总结被测系统整体安全保护能力的综合评价活动。本活动的主要任务是根据现场测评结果和《等级测评过程指南》的有关要求，通过单项测评结果判定、单元测评结果判定、整体测评和风险分析等方法，找出整个系统的安全保护现状与相应等级的保护要求之间的差距，并分析这些差距导致被测系统面临的风险，从而给出等级测评结论，形成《信息系统安全等级测评报告》文本。</w:t>
      </w:r>
    </w:p>
    <w:p w14:paraId="7F288080">
      <w:pPr>
        <w:pStyle w:val="2"/>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（七）项目交付成果要求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734"/>
        <w:gridCol w:w="1826"/>
        <w:gridCol w:w="1627"/>
        <w:gridCol w:w="890"/>
      </w:tblGrid>
      <w:tr w14:paraId="1F4F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84" w:type="dxa"/>
          </w:tcPr>
          <w:p w14:paraId="1241C53E">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3734" w:type="dxa"/>
          </w:tcPr>
          <w:p w14:paraId="5C5A467E">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交付成果</w:t>
            </w:r>
          </w:p>
        </w:tc>
        <w:tc>
          <w:tcPr>
            <w:tcW w:w="1826" w:type="dxa"/>
            <w:vAlign w:val="center"/>
          </w:tcPr>
          <w:p w14:paraId="08B21F5D">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1627" w:type="dxa"/>
          </w:tcPr>
          <w:p w14:paraId="43AD6846">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阶段</w:t>
            </w:r>
          </w:p>
        </w:tc>
        <w:tc>
          <w:tcPr>
            <w:tcW w:w="890" w:type="dxa"/>
          </w:tcPr>
          <w:p w14:paraId="70679077">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r>
      <w:tr w14:paraId="282A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3A003D48">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3734" w:type="dxa"/>
            <w:vAlign w:val="center"/>
          </w:tcPr>
          <w:p w14:paraId="7B668754">
            <w:pPr>
              <w:pStyle w:val="2"/>
              <w:spacing w:line="360" w:lineRule="auto"/>
              <w:ind w:firstLine="0"/>
              <w:rPr>
                <w:rFonts w:ascii="仿宋" w:hAnsi="仿宋" w:eastAsia="仿宋" w:cs="仿宋"/>
                <w:color w:val="auto"/>
                <w:sz w:val="24"/>
                <w:szCs w:val="24"/>
              </w:rPr>
            </w:pPr>
            <w:r>
              <w:rPr>
                <w:rFonts w:hint="eastAsia" w:ascii="仿宋" w:hAnsi="仿宋" w:eastAsia="仿宋" w:cs="仿宋"/>
                <w:color w:val="auto"/>
                <w:sz w:val="24"/>
                <w:szCs w:val="24"/>
              </w:rPr>
              <w:t>《系统等级保护测评方案》</w:t>
            </w:r>
          </w:p>
        </w:tc>
        <w:tc>
          <w:tcPr>
            <w:tcW w:w="1826" w:type="dxa"/>
            <w:vAlign w:val="center"/>
          </w:tcPr>
          <w:p w14:paraId="71B41664">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每系统一份</w:t>
            </w:r>
          </w:p>
        </w:tc>
        <w:tc>
          <w:tcPr>
            <w:tcW w:w="1627" w:type="dxa"/>
            <w:vAlign w:val="center"/>
          </w:tcPr>
          <w:p w14:paraId="47405695">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编制阶段</w:t>
            </w:r>
          </w:p>
        </w:tc>
        <w:tc>
          <w:tcPr>
            <w:tcW w:w="890" w:type="dxa"/>
          </w:tcPr>
          <w:p w14:paraId="38BFB4AD">
            <w:pPr>
              <w:pStyle w:val="2"/>
              <w:spacing w:line="360" w:lineRule="auto"/>
              <w:rPr>
                <w:rFonts w:ascii="仿宋" w:hAnsi="仿宋" w:eastAsia="仿宋" w:cs="仿宋"/>
                <w:color w:val="auto"/>
                <w:sz w:val="24"/>
                <w:szCs w:val="24"/>
              </w:rPr>
            </w:pPr>
          </w:p>
        </w:tc>
      </w:tr>
      <w:tr w14:paraId="2880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5C302507">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3734" w:type="dxa"/>
          </w:tcPr>
          <w:p w14:paraId="18C92B23">
            <w:pPr>
              <w:pStyle w:val="2"/>
              <w:spacing w:line="360" w:lineRule="auto"/>
              <w:ind w:firstLine="0"/>
              <w:rPr>
                <w:rFonts w:ascii="仿宋" w:hAnsi="仿宋" w:eastAsia="仿宋" w:cs="仿宋"/>
                <w:color w:val="auto"/>
                <w:sz w:val="24"/>
                <w:szCs w:val="24"/>
              </w:rPr>
            </w:pPr>
            <w:r>
              <w:rPr>
                <w:rFonts w:hint="eastAsia" w:ascii="仿宋" w:hAnsi="仿宋" w:eastAsia="仿宋" w:cs="仿宋"/>
                <w:color w:val="auto"/>
                <w:sz w:val="24"/>
                <w:szCs w:val="24"/>
              </w:rPr>
              <w:t>《系统资产清单》</w:t>
            </w:r>
          </w:p>
        </w:tc>
        <w:tc>
          <w:tcPr>
            <w:tcW w:w="1826" w:type="dxa"/>
            <w:vAlign w:val="center"/>
          </w:tcPr>
          <w:p w14:paraId="36785B83">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每系统一份</w:t>
            </w:r>
          </w:p>
        </w:tc>
        <w:tc>
          <w:tcPr>
            <w:tcW w:w="1627" w:type="dxa"/>
            <w:vAlign w:val="center"/>
          </w:tcPr>
          <w:p w14:paraId="20EF0729">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实施阶段</w:t>
            </w:r>
          </w:p>
        </w:tc>
        <w:tc>
          <w:tcPr>
            <w:tcW w:w="890" w:type="dxa"/>
          </w:tcPr>
          <w:p w14:paraId="5C44D485">
            <w:pPr>
              <w:pStyle w:val="2"/>
              <w:spacing w:line="360" w:lineRule="auto"/>
              <w:rPr>
                <w:rFonts w:ascii="仿宋" w:hAnsi="仿宋" w:eastAsia="仿宋" w:cs="仿宋"/>
                <w:color w:val="auto"/>
                <w:sz w:val="24"/>
                <w:szCs w:val="24"/>
              </w:rPr>
            </w:pPr>
          </w:p>
        </w:tc>
      </w:tr>
      <w:tr w14:paraId="1F82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212E2252">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3734" w:type="dxa"/>
          </w:tcPr>
          <w:p w14:paraId="299D8B14">
            <w:pPr>
              <w:pStyle w:val="2"/>
              <w:spacing w:line="360" w:lineRule="auto"/>
              <w:ind w:firstLine="0"/>
              <w:rPr>
                <w:rFonts w:ascii="仿宋" w:hAnsi="仿宋" w:eastAsia="仿宋" w:cs="仿宋"/>
                <w:color w:val="auto"/>
                <w:sz w:val="24"/>
                <w:szCs w:val="24"/>
              </w:rPr>
            </w:pPr>
            <w:r>
              <w:rPr>
                <w:rFonts w:hint="eastAsia" w:ascii="仿宋" w:hAnsi="仿宋" w:eastAsia="仿宋" w:cs="仿宋"/>
                <w:color w:val="auto"/>
                <w:sz w:val="24"/>
                <w:szCs w:val="24"/>
              </w:rPr>
              <w:t>《系统网络安全现状整改建议》</w:t>
            </w:r>
          </w:p>
        </w:tc>
        <w:tc>
          <w:tcPr>
            <w:tcW w:w="1826" w:type="dxa"/>
            <w:vAlign w:val="center"/>
          </w:tcPr>
          <w:p w14:paraId="41238D18">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每系统一份</w:t>
            </w:r>
          </w:p>
        </w:tc>
        <w:tc>
          <w:tcPr>
            <w:tcW w:w="1627" w:type="dxa"/>
            <w:vAlign w:val="center"/>
          </w:tcPr>
          <w:p w14:paraId="2FE41E81">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实施阶段</w:t>
            </w:r>
          </w:p>
        </w:tc>
        <w:tc>
          <w:tcPr>
            <w:tcW w:w="890" w:type="dxa"/>
          </w:tcPr>
          <w:p w14:paraId="45C44A04">
            <w:pPr>
              <w:pStyle w:val="2"/>
              <w:spacing w:line="360" w:lineRule="auto"/>
              <w:rPr>
                <w:rFonts w:ascii="仿宋" w:hAnsi="仿宋" w:eastAsia="仿宋" w:cs="仿宋"/>
                <w:color w:val="auto"/>
                <w:sz w:val="24"/>
                <w:szCs w:val="24"/>
              </w:rPr>
            </w:pPr>
          </w:p>
        </w:tc>
      </w:tr>
      <w:tr w14:paraId="00C7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7B377D95">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3734" w:type="dxa"/>
          </w:tcPr>
          <w:p w14:paraId="0993093D">
            <w:pPr>
              <w:pStyle w:val="2"/>
              <w:spacing w:line="360" w:lineRule="auto"/>
              <w:ind w:firstLine="0"/>
              <w:rPr>
                <w:rFonts w:ascii="仿宋" w:hAnsi="仿宋" w:eastAsia="仿宋" w:cs="仿宋"/>
                <w:color w:val="auto"/>
                <w:sz w:val="24"/>
                <w:szCs w:val="24"/>
              </w:rPr>
            </w:pPr>
            <w:r>
              <w:rPr>
                <w:rFonts w:hint="eastAsia" w:ascii="仿宋" w:hAnsi="仿宋" w:eastAsia="仿宋" w:cs="仿宋"/>
                <w:color w:val="auto"/>
                <w:sz w:val="24"/>
                <w:szCs w:val="24"/>
              </w:rPr>
              <w:t>《信息系统安全等级保护备案证明》及材料</w:t>
            </w:r>
          </w:p>
        </w:tc>
        <w:tc>
          <w:tcPr>
            <w:tcW w:w="1826" w:type="dxa"/>
            <w:vAlign w:val="center"/>
          </w:tcPr>
          <w:p w14:paraId="1657B9A7">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每系统一份</w:t>
            </w:r>
          </w:p>
        </w:tc>
        <w:tc>
          <w:tcPr>
            <w:tcW w:w="1627" w:type="dxa"/>
            <w:vAlign w:val="center"/>
          </w:tcPr>
          <w:p w14:paraId="67597FFC">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实施阶段</w:t>
            </w:r>
          </w:p>
        </w:tc>
        <w:tc>
          <w:tcPr>
            <w:tcW w:w="890" w:type="dxa"/>
          </w:tcPr>
          <w:p w14:paraId="18E93F94">
            <w:pPr>
              <w:pStyle w:val="2"/>
              <w:spacing w:line="360" w:lineRule="auto"/>
              <w:rPr>
                <w:rFonts w:ascii="仿宋" w:hAnsi="仿宋" w:eastAsia="仿宋" w:cs="仿宋"/>
                <w:color w:val="auto"/>
                <w:sz w:val="24"/>
                <w:szCs w:val="24"/>
              </w:rPr>
            </w:pPr>
          </w:p>
        </w:tc>
      </w:tr>
      <w:tr w14:paraId="5AC8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30FFF999">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3734" w:type="dxa"/>
          </w:tcPr>
          <w:p w14:paraId="146CFB71">
            <w:pPr>
              <w:pStyle w:val="2"/>
              <w:spacing w:line="360" w:lineRule="auto"/>
              <w:ind w:firstLine="0"/>
              <w:rPr>
                <w:rFonts w:ascii="仿宋" w:hAnsi="仿宋" w:eastAsia="仿宋" w:cs="仿宋"/>
                <w:color w:val="auto"/>
                <w:sz w:val="24"/>
                <w:szCs w:val="24"/>
              </w:rPr>
            </w:pPr>
            <w:r>
              <w:rPr>
                <w:rFonts w:hint="eastAsia" w:ascii="仿宋" w:hAnsi="仿宋" w:eastAsia="仿宋" w:cs="仿宋"/>
                <w:color w:val="auto"/>
                <w:sz w:val="24"/>
                <w:szCs w:val="24"/>
              </w:rPr>
              <w:t>《系统等级保护测评报告》</w:t>
            </w:r>
          </w:p>
        </w:tc>
        <w:tc>
          <w:tcPr>
            <w:tcW w:w="1826" w:type="dxa"/>
            <w:vAlign w:val="center"/>
          </w:tcPr>
          <w:p w14:paraId="5D2CECC8">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每系统一份</w:t>
            </w:r>
          </w:p>
        </w:tc>
        <w:tc>
          <w:tcPr>
            <w:tcW w:w="1627" w:type="dxa"/>
            <w:vAlign w:val="center"/>
          </w:tcPr>
          <w:p w14:paraId="669D8452">
            <w:pPr>
              <w:pStyle w:val="2"/>
              <w:spacing w:line="36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验收阶段</w:t>
            </w:r>
          </w:p>
        </w:tc>
        <w:tc>
          <w:tcPr>
            <w:tcW w:w="890" w:type="dxa"/>
          </w:tcPr>
          <w:p w14:paraId="3D606548">
            <w:pPr>
              <w:pStyle w:val="2"/>
              <w:spacing w:line="360" w:lineRule="auto"/>
              <w:rPr>
                <w:rFonts w:ascii="仿宋" w:hAnsi="仿宋" w:eastAsia="仿宋" w:cs="仿宋"/>
                <w:color w:val="auto"/>
                <w:sz w:val="24"/>
                <w:szCs w:val="24"/>
              </w:rPr>
            </w:pPr>
          </w:p>
        </w:tc>
      </w:tr>
    </w:tbl>
    <w:p w14:paraId="3F88C42E">
      <w:pPr>
        <w:pStyle w:val="2"/>
        <w:spacing w:line="360" w:lineRule="auto"/>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陕西省审计厅将根据本次测评服务同步开展原有备案信息系统的梳理整合工作，服务商应按照审计厅要求协助完成已备案信息系统整合后的重新备案及测评服务。</w:t>
      </w:r>
    </w:p>
    <w:p w14:paraId="7422D462">
      <w:pPr>
        <w:pStyle w:val="2"/>
        <w:spacing w:line="360" w:lineRule="auto"/>
        <w:ind w:firstLine="0"/>
        <w:rPr>
          <w:rFonts w:ascii="仿宋" w:hAnsi="仿宋" w:eastAsia="仿宋" w:cs="仿宋"/>
          <w:b/>
          <w:bCs/>
          <w:color w:val="auto"/>
          <w:sz w:val="24"/>
          <w:szCs w:val="24"/>
        </w:rPr>
      </w:pPr>
      <w:r>
        <w:rPr>
          <w:rFonts w:hint="eastAsia" w:ascii="仿宋" w:hAnsi="仿宋" w:eastAsia="仿宋" w:cs="仿宋"/>
          <w:b/>
          <w:bCs/>
          <w:color w:val="auto"/>
          <w:sz w:val="24"/>
          <w:szCs w:val="24"/>
        </w:rPr>
        <w:t>三、售后服务要求</w:t>
      </w:r>
    </w:p>
    <w:p w14:paraId="69D6F81B">
      <w:pPr>
        <w:pStyle w:val="2"/>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项目服务期为一年。服务工作中，服务商将向陕西省审计厅提供包括安全培训、应急响应、配合检查、电话支持、安全咨询等服务在内的安全服务。具体服务内容如下：</w:t>
      </w:r>
    </w:p>
    <w:p w14:paraId="2F05640B">
      <w:pPr>
        <w:pStyle w:val="2"/>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一）安全培训。在项目实施过程中或在项目实施结束后，通过安全培训使客户加深对等级保护工作的掌握程度，并对行业内的最佳实践案例进行分享。根据需要组织开展信息安全服务培训，通过大量的当前典型安全事件导入，从感性认知层面对目前的信息安全威胁给予直观、形象的描述，加深对当前信息安全威胁的认识。</w:t>
      </w:r>
    </w:p>
    <w:p w14:paraId="5ACA2300">
      <w:pPr>
        <w:pStyle w:val="2"/>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二）应急响应服务。针对本次项目，服务商提供7×24的常规应急响应及灾难恢复专家咨询服务。对客户信息网络应用系统突发的信息安全事件提供响应、处理、恢复、取证、跟踪、事后分析的方法及过程相关咨询协助。</w:t>
      </w:r>
    </w:p>
    <w:p w14:paraId="2FD2F2F8">
      <w:pPr>
        <w:pStyle w:val="2"/>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三）配合检查服务。服务商免费协助陕西省审计厅响应公安机关、单位内部以及第三方机构针对信息系统安全等级保护工作的检查工作。服务内容包括协助陕西省审计厅系统资料准备、完善各类资料文档，配合检查过程中的答疑及技术支持及其他现场检查的响应。</w:t>
      </w:r>
    </w:p>
    <w:p w14:paraId="12850EAD">
      <w:pPr>
        <w:pStyle w:val="2"/>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（四）电话支持服务。提供7×24不间断的电话支持服务，解答陕西省审计厅在服务期限内遇到的安全问题，及时提出解决问题的建议和操作方法。</w:t>
      </w:r>
    </w:p>
    <w:p w14:paraId="1B2678E4">
      <w:r>
        <w:rPr>
          <w:rFonts w:hint="eastAsia" w:ascii="仿宋" w:hAnsi="仿宋" w:eastAsia="仿宋" w:cs="仿宋"/>
          <w:color w:val="auto"/>
          <w:sz w:val="24"/>
          <w:szCs w:val="24"/>
        </w:rPr>
        <w:t>（五）安全咨询服务。服务商为陕西省审计厅免费提供一年技术咨询服务，包括信息系统整改建设咨询服务以及其他相关安全咨询服务，一旦接到用户的服务请求，技术服务工程师将立即开始提供服务，帮助客户解决信息安全相关技术问题，全面配合陕西省审计厅做好业务系统安全保障工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54FBF"/>
    <w:rsid w:val="00A7445D"/>
    <w:rsid w:val="01211A2E"/>
    <w:rsid w:val="01806926"/>
    <w:rsid w:val="0187183C"/>
    <w:rsid w:val="01D47154"/>
    <w:rsid w:val="01DE66F5"/>
    <w:rsid w:val="022E33E3"/>
    <w:rsid w:val="02707B65"/>
    <w:rsid w:val="02FA0A9C"/>
    <w:rsid w:val="03185B0C"/>
    <w:rsid w:val="033C30A2"/>
    <w:rsid w:val="034D737F"/>
    <w:rsid w:val="03851F56"/>
    <w:rsid w:val="040D0F57"/>
    <w:rsid w:val="041D5C5C"/>
    <w:rsid w:val="0444327A"/>
    <w:rsid w:val="05414CCA"/>
    <w:rsid w:val="05486861"/>
    <w:rsid w:val="054E4EE8"/>
    <w:rsid w:val="06060C4F"/>
    <w:rsid w:val="06B777CF"/>
    <w:rsid w:val="06D76EFA"/>
    <w:rsid w:val="06DE4F11"/>
    <w:rsid w:val="072B22D3"/>
    <w:rsid w:val="07395C52"/>
    <w:rsid w:val="073B198B"/>
    <w:rsid w:val="07F86ADD"/>
    <w:rsid w:val="083047DF"/>
    <w:rsid w:val="083F00B4"/>
    <w:rsid w:val="0872087D"/>
    <w:rsid w:val="08EC2540"/>
    <w:rsid w:val="09141A42"/>
    <w:rsid w:val="093E443F"/>
    <w:rsid w:val="09807058"/>
    <w:rsid w:val="09A83265"/>
    <w:rsid w:val="0A535F7C"/>
    <w:rsid w:val="0A9F67A0"/>
    <w:rsid w:val="0AB41B95"/>
    <w:rsid w:val="0ADD029C"/>
    <w:rsid w:val="0B0E00A0"/>
    <w:rsid w:val="0B864B78"/>
    <w:rsid w:val="0B9253B4"/>
    <w:rsid w:val="0B9F5381"/>
    <w:rsid w:val="0C6614E1"/>
    <w:rsid w:val="0CE175EE"/>
    <w:rsid w:val="0D1341FB"/>
    <w:rsid w:val="0DE200BB"/>
    <w:rsid w:val="0E0A21DC"/>
    <w:rsid w:val="0E410AF3"/>
    <w:rsid w:val="0EB50108"/>
    <w:rsid w:val="0F736C94"/>
    <w:rsid w:val="0FFE3D2D"/>
    <w:rsid w:val="10487711"/>
    <w:rsid w:val="10637CB5"/>
    <w:rsid w:val="106D679A"/>
    <w:rsid w:val="11106D2A"/>
    <w:rsid w:val="112428E5"/>
    <w:rsid w:val="121F2AD8"/>
    <w:rsid w:val="12381DB7"/>
    <w:rsid w:val="124D4EAE"/>
    <w:rsid w:val="12606BE1"/>
    <w:rsid w:val="126C7038"/>
    <w:rsid w:val="127656C9"/>
    <w:rsid w:val="12B27322"/>
    <w:rsid w:val="132C653A"/>
    <w:rsid w:val="13501056"/>
    <w:rsid w:val="13A843B0"/>
    <w:rsid w:val="13E57998"/>
    <w:rsid w:val="141567DF"/>
    <w:rsid w:val="141E00C4"/>
    <w:rsid w:val="142E444E"/>
    <w:rsid w:val="143257DF"/>
    <w:rsid w:val="14605DF5"/>
    <w:rsid w:val="146726AF"/>
    <w:rsid w:val="146C2624"/>
    <w:rsid w:val="14863B81"/>
    <w:rsid w:val="14C71A56"/>
    <w:rsid w:val="14E51BFC"/>
    <w:rsid w:val="1524310E"/>
    <w:rsid w:val="152B0B9E"/>
    <w:rsid w:val="15581E6D"/>
    <w:rsid w:val="15951CCB"/>
    <w:rsid w:val="159B32D7"/>
    <w:rsid w:val="15D04155"/>
    <w:rsid w:val="163C1C76"/>
    <w:rsid w:val="16AA3729"/>
    <w:rsid w:val="17113ADF"/>
    <w:rsid w:val="17B5326F"/>
    <w:rsid w:val="17FF08AD"/>
    <w:rsid w:val="184D6E8A"/>
    <w:rsid w:val="186831BC"/>
    <w:rsid w:val="18A72EE0"/>
    <w:rsid w:val="18E37DF3"/>
    <w:rsid w:val="18FF124D"/>
    <w:rsid w:val="191B6D2C"/>
    <w:rsid w:val="197D5023"/>
    <w:rsid w:val="19EC344A"/>
    <w:rsid w:val="19F27642"/>
    <w:rsid w:val="19F831A5"/>
    <w:rsid w:val="19FB2948"/>
    <w:rsid w:val="1A826A76"/>
    <w:rsid w:val="1A88519C"/>
    <w:rsid w:val="1ABB7A3D"/>
    <w:rsid w:val="1AF54CA9"/>
    <w:rsid w:val="1B33747A"/>
    <w:rsid w:val="1BBA0072"/>
    <w:rsid w:val="1BEE3D86"/>
    <w:rsid w:val="1BF27961"/>
    <w:rsid w:val="1C0302A1"/>
    <w:rsid w:val="1C3F474C"/>
    <w:rsid w:val="1D8A2802"/>
    <w:rsid w:val="1DF27F5D"/>
    <w:rsid w:val="1E191A62"/>
    <w:rsid w:val="1E4D4D77"/>
    <w:rsid w:val="1E6B29A6"/>
    <w:rsid w:val="1F7B3BEA"/>
    <w:rsid w:val="1FFA0DDB"/>
    <w:rsid w:val="200E5624"/>
    <w:rsid w:val="20205673"/>
    <w:rsid w:val="204237D9"/>
    <w:rsid w:val="208424A6"/>
    <w:rsid w:val="20AC2DD5"/>
    <w:rsid w:val="20B30669"/>
    <w:rsid w:val="21155693"/>
    <w:rsid w:val="211D7846"/>
    <w:rsid w:val="217422F4"/>
    <w:rsid w:val="2218180C"/>
    <w:rsid w:val="223171E3"/>
    <w:rsid w:val="227360F6"/>
    <w:rsid w:val="22F61F92"/>
    <w:rsid w:val="2307585C"/>
    <w:rsid w:val="23151E4E"/>
    <w:rsid w:val="23277D6C"/>
    <w:rsid w:val="23433489"/>
    <w:rsid w:val="23A20276"/>
    <w:rsid w:val="23C733B8"/>
    <w:rsid w:val="23CF0438"/>
    <w:rsid w:val="23D363BB"/>
    <w:rsid w:val="241140D0"/>
    <w:rsid w:val="24B84EB8"/>
    <w:rsid w:val="24C12049"/>
    <w:rsid w:val="259732D5"/>
    <w:rsid w:val="259D4398"/>
    <w:rsid w:val="25FE6383"/>
    <w:rsid w:val="261F5079"/>
    <w:rsid w:val="26B0106A"/>
    <w:rsid w:val="271021E8"/>
    <w:rsid w:val="27246CA2"/>
    <w:rsid w:val="27294F59"/>
    <w:rsid w:val="27FA42ED"/>
    <w:rsid w:val="281E16C0"/>
    <w:rsid w:val="28B27577"/>
    <w:rsid w:val="29E74853"/>
    <w:rsid w:val="2A123E58"/>
    <w:rsid w:val="2A32675C"/>
    <w:rsid w:val="2A5C36CD"/>
    <w:rsid w:val="2AF42E3A"/>
    <w:rsid w:val="2BF30562"/>
    <w:rsid w:val="2C006DF4"/>
    <w:rsid w:val="2CC81D06"/>
    <w:rsid w:val="2D67776A"/>
    <w:rsid w:val="2DA92631"/>
    <w:rsid w:val="2DD03B79"/>
    <w:rsid w:val="2E0C0878"/>
    <w:rsid w:val="2E5C4D0B"/>
    <w:rsid w:val="2E692FA3"/>
    <w:rsid w:val="2E866F40"/>
    <w:rsid w:val="2ECC2C5E"/>
    <w:rsid w:val="2EE54F1D"/>
    <w:rsid w:val="2F7B129F"/>
    <w:rsid w:val="300162D7"/>
    <w:rsid w:val="30240878"/>
    <w:rsid w:val="30403F45"/>
    <w:rsid w:val="3083770D"/>
    <w:rsid w:val="312C4085"/>
    <w:rsid w:val="316A36AD"/>
    <w:rsid w:val="31C77A9E"/>
    <w:rsid w:val="31DF668B"/>
    <w:rsid w:val="32082BB3"/>
    <w:rsid w:val="3223655C"/>
    <w:rsid w:val="32D0698A"/>
    <w:rsid w:val="32EE2CBE"/>
    <w:rsid w:val="3309237C"/>
    <w:rsid w:val="33A2340D"/>
    <w:rsid w:val="340707E1"/>
    <w:rsid w:val="3467696E"/>
    <w:rsid w:val="347E6A20"/>
    <w:rsid w:val="34EE0967"/>
    <w:rsid w:val="34F5777E"/>
    <w:rsid w:val="352F36E9"/>
    <w:rsid w:val="357663DF"/>
    <w:rsid w:val="35B272DF"/>
    <w:rsid w:val="35D153EA"/>
    <w:rsid w:val="364D41E2"/>
    <w:rsid w:val="368F5FE1"/>
    <w:rsid w:val="36DE38B8"/>
    <w:rsid w:val="37E029DA"/>
    <w:rsid w:val="387114F0"/>
    <w:rsid w:val="38721024"/>
    <w:rsid w:val="38794D33"/>
    <w:rsid w:val="38BA4D8B"/>
    <w:rsid w:val="38D86B03"/>
    <w:rsid w:val="38EE7BCE"/>
    <w:rsid w:val="38F1799A"/>
    <w:rsid w:val="392428EA"/>
    <w:rsid w:val="39521E8E"/>
    <w:rsid w:val="395A3D61"/>
    <w:rsid w:val="39707601"/>
    <w:rsid w:val="39A9730E"/>
    <w:rsid w:val="39DC023E"/>
    <w:rsid w:val="39F35F91"/>
    <w:rsid w:val="3A04369C"/>
    <w:rsid w:val="3A466191"/>
    <w:rsid w:val="3A501FE3"/>
    <w:rsid w:val="3A880C45"/>
    <w:rsid w:val="3A8D38A2"/>
    <w:rsid w:val="3B1012DB"/>
    <w:rsid w:val="3B7C0E28"/>
    <w:rsid w:val="3B982C0F"/>
    <w:rsid w:val="3BB5313B"/>
    <w:rsid w:val="3BB62386"/>
    <w:rsid w:val="3C144F7C"/>
    <w:rsid w:val="3C28483D"/>
    <w:rsid w:val="3C6C04D5"/>
    <w:rsid w:val="3C707B84"/>
    <w:rsid w:val="3CB52B44"/>
    <w:rsid w:val="3DBB560C"/>
    <w:rsid w:val="3E3057DB"/>
    <w:rsid w:val="3E6306BF"/>
    <w:rsid w:val="3EBA5D6E"/>
    <w:rsid w:val="3F4571D5"/>
    <w:rsid w:val="3F754BB1"/>
    <w:rsid w:val="3F771132"/>
    <w:rsid w:val="3F8C77AB"/>
    <w:rsid w:val="3F8F7438"/>
    <w:rsid w:val="3F9D7809"/>
    <w:rsid w:val="3FA53DD1"/>
    <w:rsid w:val="3FD965E7"/>
    <w:rsid w:val="40695A86"/>
    <w:rsid w:val="409208F9"/>
    <w:rsid w:val="40B27280"/>
    <w:rsid w:val="40C14CF4"/>
    <w:rsid w:val="40FD4462"/>
    <w:rsid w:val="415957BC"/>
    <w:rsid w:val="417E7438"/>
    <w:rsid w:val="41D21AD4"/>
    <w:rsid w:val="41D63F14"/>
    <w:rsid w:val="42201FC2"/>
    <w:rsid w:val="42681280"/>
    <w:rsid w:val="42A80460"/>
    <w:rsid w:val="42B670F8"/>
    <w:rsid w:val="42BF36FE"/>
    <w:rsid w:val="43456BFB"/>
    <w:rsid w:val="4352378E"/>
    <w:rsid w:val="43972BFF"/>
    <w:rsid w:val="449C7E5B"/>
    <w:rsid w:val="44A4191E"/>
    <w:rsid w:val="44B2173C"/>
    <w:rsid w:val="44B63854"/>
    <w:rsid w:val="44BB2DFC"/>
    <w:rsid w:val="44CF77FB"/>
    <w:rsid w:val="450E6A73"/>
    <w:rsid w:val="452A3A5C"/>
    <w:rsid w:val="4537221B"/>
    <w:rsid w:val="456244CE"/>
    <w:rsid w:val="4582166D"/>
    <w:rsid w:val="45EE66D3"/>
    <w:rsid w:val="45F66A73"/>
    <w:rsid w:val="46346FE9"/>
    <w:rsid w:val="463F5DC6"/>
    <w:rsid w:val="4715131B"/>
    <w:rsid w:val="47580F34"/>
    <w:rsid w:val="47AC5D43"/>
    <w:rsid w:val="48696F79"/>
    <w:rsid w:val="48730C06"/>
    <w:rsid w:val="48776AF6"/>
    <w:rsid w:val="48837129"/>
    <w:rsid w:val="48BE0381"/>
    <w:rsid w:val="48DD5A6B"/>
    <w:rsid w:val="4973653E"/>
    <w:rsid w:val="49791088"/>
    <w:rsid w:val="49C051B5"/>
    <w:rsid w:val="49F26900"/>
    <w:rsid w:val="4B4B3C79"/>
    <w:rsid w:val="4B740852"/>
    <w:rsid w:val="4BC21958"/>
    <w:rsid w:val="4C126E2A"/>
    <w:rsid w:val="4C331A97"/>
    <w:rsid w:val="4C433CD6"/>
    <w:rsid w:val="4C6008D5"/>
    <w:rsid w:val="4C9E60EF"/>
    <w:rsid w:val="4CD42C73"/>
    <w:rsid w:val="4D02457A"/>
    <w:rsid w:val="4D200FFF"/>
    <w:rsid w:val="4D227E37"/>
    <w:rsid w:val="4D247F86"/>
    <w:rsid w:val="4D39341B"/>
    <w:rsid w:val="4D57742F"/>
    <w:rsid w:val="4D8A169C"/>
    <w:rsid w:val="4DF47C7A"/>
    <w:rsid w:val="4E36386C"/>
    <w:rsid w:val="4F4A6BA1"/>
    <w:rsid w:val="4F8A0D1F"/>
    <w:rsid w:val="4FA24289"/>
    <w:rsid w:val="4FB52E5A"/>
    <w:rsid w:val="4FE350F4"/>
    <w:rsid w:val="50042FF9"/>
    <w:rsid w:val="501C620B"/>
    <w:rsid w:val="50C00598"/>
    <w:rsid w:val="51401F68"/>
    <w:rsid w:val="515743FF"/>
    <w:rsid w:val="51B71F63"/>
    <w:rsid w:val="51E92E97"/>
    <w:rsid w:val="52273B7D"/>
    <w:rsid w:val="52DF3339"/>
    <w:rsid w:val="537B0BAD"/>
    <w:rsid w:val="539A6F19"/>
    <w:rsid w:val="53B07505"/>
    <w:rsid w:val="54420BDA"/>
    <w:rsid w:val="547254FF"/>
    <w:rsid w:val="55EF74A0"/>
    <w:rsid w:val="560D58F1"/>
    <w:rsid w:val="567558DC"/>
    <w:rsid w:val="56C8347D"/>
    <w:rsid w:val="57250EEC"/>
    <w:rsid w:val="57B07C37"/>
    <w:rsid w:val="57C114BC"/>
    <w:rsid w:val="57F84755"/>
    <w:rsid w:val="582E5A2E"/>
    <w:rsid w:val="582F040A"/>
    <w:rsid w:val="58440722"/>
    <w:rsid w:val="58455BD4"/>
    <w:rsid w:val="589268AE"/>
    <w:rsid w:val="58A2222F"/>
    <w:rsid w:val="58CA1885"/>
    <w:rsid w:val="58CF1D6A"/>
    <w:rsid w:val="58F4136B"/>
    <w:rsid w:val="59104EF6"/>
    <w:rsid w:val="591744B3"/>
    <w:rsid w:val="592266B9"/>
    <w:rsid w:val="596F46BF"/>
    <w:rsid w:val="59B635CC"/>
    <w:rsid w:val="59EC75FE"/>
    <w:rsid w:val="59F16752"/>
    <w:rsid w:val="59F5772C"/>
    <w:rsid w:val="5AC04EC7"/>
    <w:rsid w:val="5B010EF5"/>
    <w:rsid w:val="5B2D4948"/>
    <w:rsid w:val="5B727BCD"/>
    <w:rsid w:val="5C1857DC"/>
    <w:rsid w:val="5C552AF3"/>
    <w:rsid w:val="5D1F74D3"/>
    <w:rsid w:val="5D5A68AA"/>
    <w:rsid w:val="5E3B09CC"/>
    <w:rsid w:val="5E4270ED"/>
    <w:rsid w:val="5E5E2F67"/>
    <w:rsid w:val="5E671724"/>
    <w:rsid w:val="5E7F7639"/>
    <w:rsid w:val="5E9C42A4"/>
    <w:rsid w:val="5F0A7B1D"/>
    <w:rsid w:val="5F221941"/>
    <w:rsid w:val="5F2371CC"/>
    <w:rsid w:val="5F6E74EA"/>
    <w:rsid w:val="5F9075A5"/>
    <w:rsid w:val="60153652"/>
    <w:rsid w:val="601B7AF4"/>
    <w:rsid w:val="604E5A7B"/>
    <w:rsid w:val="60660E2F"/>
    <w:rsid w:val="60BA263A"/>
    <w:rsid w:val="60BC15F6"/>
    <w:rsid w:val="60D9489D"/>
    <w:rsid w:val="60FA305E"/>
    <w:rsid w:val="61121D99"/>
    <w:rsid w:val="611E442F"/>
    <w:rsid w:val="615E3C2D"/>
    <w:rsid w:val="61C66D6D"/>
    <w:rsid w:val="62723C15"/>
    <w:rsid w:val="62954FBF"/>
    <w:rsid w:val="62A12B7D"/>
    <w:rsid w:val="62B208C8"/>
    <w:rsid w:val="62CA37F4"/>
    <w:rsid w:val="62D105C1"/>
    <w:rsid w:val="62D83DD7"/>
    <w:rsid w:val="635B5A99"/>
    <w:rsid w:val="648C0A7F"/>
    <w:rsid w:val="649360E3"/>
    <w:rsid w:val="64B2238B"/>
    <w:rsid w:val="64B52854"/>
    <w:rsid w:val="650A4CD2"/>
    <w:rsid w:val="65C71CFB"/>
    <w:rsid w:val="661A236C"/>
    <w:rsid w:val="66611A25"/>
    <w:rsid w:val="66964BE8"/>
    <w:rsid w:val="66C312F7"/>
    <w:rsid w:val="67182ADB"/>
    <w:rsid w:val="672E3627"/>
    <w:rsid w:val="67703271"/>
    <w:rsid w:val="67994326"/>
    <w:rsid w:val="67D92D4E"/>
    <w:rsid w:val="67DE16B5"/>
    <w:rsid w:val="67F3429C"/>
    <w:rsid w:val="68320309"/>
    <w:rsid w:val="68564DB5"/>
    <w:rsid w:val="689E7BF7"/>
    <w:rsid w:val="69555FF4"/>
    <w:rsid w:val="69D90208"/>
    <w:rsid w:val="6AAE5E4B"/>
    <w:rsid w:val="6B00329B"/>
    <w:rsid w:val="6B550731"/>
    <w:rsid w:val="6B724DCB"/>
    <w:rsid w:val="6B8D19F4"/>
    <w:rsid w:val="6BE779FB"/>
    <w:rsid w:val="6C737F4C"/>
    <w:rsid w:val="6C7937D7"/>
    <w:rsid w:val="6CB71A38"/>
    <w:rsid w:val="6CDC6478"/>
    <w:rsid w:val="6CE94EAC"/>
    <w:rsid w:val="6D1821E8"/>
    <w:rsid w:val="6D7647FF"/>
    <w:rsid w:val="6D88614A"/>
    <w:rsid w:val="6E7540F0"/>
    <w:rsid w:val="6E9857AE"/>
    <w:rsid w:val="6EA32EE2"/>
    <w:rsid w:val="6EF1439D"/>
    <w:rsid w:val="6F245B5E"/>
    <w:rsid w:val="6F9B6012"/>
    <w:rsid w:val="6FAE4862"/>
    <w:rsid w:val="6FB45A90"/>
    <w:rsid w:val="6FD07C8E"/>
    <w:rsid w:val="6FEB6E05"/>
    <w:rsid w:val="70610E99"/>
    <w:rsid w:val="7075582A"/>
    <w:rsid w:val="70973601"/>
    <w:rsid w:val="70A6012A"/>
    <w:rsid w:val="70F77BFA"/>
    <w:rsid w:val="710A0D54"/>
    <w:rsid w:val="711C4F28"/>
    <w:rsid w:val="718C68EF"/>
    <w:rsid w:val="71F94539"/>
    <w:rsid w:val="723B10D3"/>
    <w:rsid w:val="724B69A6"/>
    <w:rsid w:val="736E3535"/>
    <w:rsid w:val="73EC7EBE"/>
    <w:rsid w:val="73FC6501"/>
    <w:rsid w:val="742B2D9C"/>
    <w:rsid w:val="743A5390"/>
    <w:rsid w:val="74484173"/>
    <w:rsid w:val="7470783B"/>
    <w:rsid w:val="750D129C"/>
    <w:rsid w:val="75511F6A"/>
    <w:rsid w:val="75A30FA2"/>
    <w:rsid w:val="763C5B51"/>
    <w:rsid w:val="764426FD"/>
    <w:rsid w:val="76866BB9"/>
    <w:rsid w:val="76B765F1"/>
    <w:rsid w:val="76E73FDB"/>
    <w:rsid w:val="76E92F67"/>
    <w:rsid w:val="77186987"/>
    <w:rsid w:val="77DF1876"/>
    <w:rsid w:val="780D4D17"/>
    <w:rsid w:val="788E4329"/>
    <w:rsid w:val="78D30479"/>
    <w:rsid w:val="79F94255"/>
    <w:rsid w:val="7A7D330B"/>
    <w:rsid w:val="7AA145F0"/>
    <w:rsid w:val="7ACB7EE2"/>
    <w:rsid w:val="7AF12678"/>
    <w:rsid w:val="7B2B1AF2"/>
    <w:rsid w:val="7B7913D3"/>
    <w:rsid w:val="7BBC763B"/>
    <w:rsid w:val="7BC35D57"/>
    <w:rsid w:val="7BE2726E"/>
    <w:rsid w:val="7C511AAE"/>
    <w:rsid w:val="7C8D692A"/>
    <w:rsid w:val="7C914AAF"/>
    <w:rsid w:val="7C9A0184"/>
    <w:rsid w:val="7CAD57B4"/>
    <w:rsid w:val="7CB4464C"/>
    <w:rsid w:val="7D1A428B"/>
    <w:rsid w:val="7D6B2FC4"/>
    <w:rsid w:val="7DB03792"/>
    <w:rsid w:val="7E7D177A"/>
    <w:rsid w:val="7E9F74FE"/>
    <w:rsid w:val="7EB66129"/>
    <w:rsid w:val="7ED34E18"/>
    <w:rsid w:val="7ED47C62"/>
    <w:rsid w:val="7F42385E"/>
    <w:rsid w:val="7F71457F"/>
    <w:rsid w:val="7F752D2B"/>
    <w:rsid w:val="7F896A08"/>
    <w:rsid w:val="7FAF61BD"/>
    <w:rsid w:val="7FE9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line="360" w:lineRule="auto"/>
      <w:jc w:val="center"/>
      <w:outlineLvl w:val="1"/>
    </w:pPr>
    <w:rPr>
      <w:rFonts w:ascii="Arial" w:hAnsi="Arial"/>
      <w:b/>
      <w:bCs/>
      <w:sz w:val="28"/>
      <w:szCs w:val="32"/>
    </w:rPr>
  </w:style>
  <w:style w:type="paragraph" w:styleId="5">
    <w:name w:val="heading 3"/>
    <w:basedOn w:val="1"/>
    <w:next w:val="1"/>
    <w:qFormat/>
    <w:uiPriority w:val="9"/>
    <w:pPr>
      <w:keepNext/>
      <w:keepLines/>
      <w:spacing w:before="120" w:after="120" w:line="360" w:lineRule="auto"/>
      <w:ind w:firstLine="200" w:firstLineChars="200"/>
      <w:outlineLvl w:val="2"/>
    </w:pPr>
    <w:rPr>
      <w:rFonts w:eastAsia="黑体"/>
      <w:b/>
      <w:bCs/>
      <w:sz w:val="24"/>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toc 4"/>
    <w:basedOn w:val="1"/>
    <w:next w:val="1"/>
    <w:qFormat/>
    <w:uiPriority w:val="0"/>
    <w:pPr>
      <w:ind w:left="63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2026-01-15T10:54:00Z</dcterms:created>
  <dc:creator>绿军装的梦</dc:creator>
  <cp:lastModifiedBy>绿军装的梦</cp:lastModifiedBy>
  <dcterms:modified xsi:type="dcterms:W3CDTF">2026-01-15T10:54:46Z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3A69517E98D244B5AD4CFA3C76856958_11</vt:lpwstr>
  </property>
  <property fmtid="{D5CDD505-2E9C-101B-9397-08002B2CF9AE}" pid="4" name="KSOTemplateDocerSaveRecord">
    <vt:lpwstr>eyJoZGlkIjoiOTQ2ZmFlNjVkZWJjZGE4NTBhMjA0MTZiMDVkZmQ2YTQiLCJ1c2VySWQiOiIyNTUwMzE5MDEifQ==</vt:lpwstr>
  </property>
</Properties>
</file>