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95A4C">
      <w:pPr>
        <w:pStyle w:val="2"/>
        <w:rPr>
          <w:rFonts w:hint="eastAsia" w:ascii="仿宋" w:hAnsi="仿宋" w:eastAsia="仿宋"/>
          <w:b/>
          <w:color w:val="000000"/>
          <w:sz w:val="32"/>
          <w:szCs w:val="32"/>
        </w:rPr>
      </w:pPr>
      <w:r>
        <w:rPr>
          <w:rFonts w:hint="eastAsia" w:ascii="仿宋" w:hAnsi="仿宋" w:eastAsia="仿宋"/>
          <w:b/>
          <w:color w:val="000000"/>
          <w:sz w:val="32"/>
          <w:szCs w:val="32"/>
        </w:rPr>
        <w:t>（一）服务内容</w:t>
      </w:r>
    </w:p>
    <w:p w14:paraId="250D6778">
      <w:pPr>
        <w:pStyle w:val="3"/>
        <w:spacing w:after="0" w:line="360" w:lineRule="auto"/>
        <w:ind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按审计准则开展审计，并结合案件侦办需求，完成以下审计内容：</w:t>
      </w:r>
    </w:p>
    <w:p w14:paraId="266ECD9A">
      <w:pPr>
        <w:pStyle w:val="3"/>
        <w:spacing w:after="0" w:line="360" w:lineRule="auto"/>
        <w:ind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1、按要求完成对西安博龙置业有限公司在常乐紫庭区A、B区建设项目投资款来源与金额，项目投资款与房产销售科收支管理情况，重点查明常乐紫庭B区小区建设项目过程中，西安博龙置业有限公司、张某田、张某个人向榆林市利丰房地产开发有限责任公司垫付出资明细、总额，出具审计报告。</w:t>
      </w:r>
    </w:p>
    <w:p w14:paraId="0514F653">
      <w:pPr>
        <w:pStyle w:val="3"/>
        <w:spacing w:after="0" w:line="360" w:lineRule="auto"/>
        <w:ind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2、重点审计查明榆林市房地产开发有限责任公司在常乐紫庭B区建设项目投资款来源与金额，应收房产销售款总额及去向，与西安博龙置业有限公司、张新田、张某个人垫付资金清偿、应结项目费用及欠账情况，出具审计报告。</w:t>
      </w:r>
    </w:p>
    <w:p w14:paraId="44F16EC5">
      <w:pPr>
        <w:pStyle w:val="3"/>
        <w:spacing w:after="0" w:line="360" w:lineRule="auto"/>
        <w:ind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3、重点查明张某涉嫌虚假诉讼犯罪事实中打款给榆林市利丰房地产开发有限责任公司2500万元的资金来源、去向及后续向他人还款资金来源、还款情况、还款中是否挪用榆林市利丰房地产开发有限责任公司资金及金额，查明2021年3月8日张某虚假诉讼时，利丰公司是否欠张某个人款项，出具审计报告；</w:t>
      </w:r>
    </w:p>
    <w:p w14:paraId="6042E944">
      <w:pPr>
        <w:pStyle w:val="3"/>
        <w:spacing w:after="0" w:line="360" w:lineRule="auto"/>
        <w:ind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4、重点查明西安博龙置业有限公司向中实融资租赁有限公司贷款的2500万元的资金去向、是否用于项目建设，还款情况及还款资金来源，出具审计报告；</w:t>
      </w:r>
    </w:p>
    <w:p w14:paraId="1D819FEF">
      <w:pPr>
        <w:pStyle w:val="3"/>
        <w:spacing w:after="0" w:line="360" w:lineRule="auto"/>
        <w:ind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5、重点查明犯罪嫌疑人张某为了赎出榆林市利丰房地产开发有限责任公司的土地证，代利丰公司还榆林市远洋工贸有限公司在农业银行高新支行贷款的债务28328093.55元的资金来源，及后续向他人还款资金来源、金额，犯罪嫌疑人张某向马某追偿后的资金去向，是否用于项目建设，出具审计报告。</w:t>
      </w:r>
    </w:p>
    <w:p w14:paraId="51BE1207">
      <w:pPr>
        <w:pStyle w:val="3"/>
        <w:spacing w:after="0" w:line="360" w:lineRule="auto"/>
        <w:ind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6、结合案情，全面梳理审计张某个人与西安博龙置业有限公司、榆林市利丰房地产开发有限责任公司资金往来明细、账务流水、结算清单、资产及资金流转等情况，重点就张某挪用利丰公司公户资金是否有基于公司及个人在项目投资垫付、代偿债务、债权追偿的合理性进行审计，张某与利丰公司之间是否存在其他经济纠纷，准确查明张某挪用资金的事实与总额，需查明每笔或者一个时期内连续挪用行为发生的时间、行为方式、数额、用途、是否超三个月未归还、案发时是否归还等，出具审计报告。</w:t>
      </w:r>
    </w:p>
    <w:p w14:paraId="39A19CA9">
      <w:pPr>
        <w:pStyle w:val="3"/>
        <w:spacing w:after="0" w:line="360" w:lineRule="auto"/>
        <w:ind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7、根据案件情况与供应商对接沟通可能需增加审计服务内容，需供应处根据要求出具整体的审计报告。</w:t>
      </w:r>
    </w:p>
    <w:p w14:paraId="282964C0">
      <w:pPr>
        <w:pStyle w:val="3"/>
        <w:spacing w:after="0" w:line="360" w:lineRule="auto"/>
        <w:ind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（二）服务要求</w:t>
      </w:r>
    </w:p>
    <w:p w14:paraId="5569AAB3">
      <w:pPr>
        <w:pStyle w:val="3"/>
        <w:spacing w:after="0" w:line="360" w:lineRule="auto"/>
        <w:ind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1.供应商根据采购人提供公司企业、人员名单、账册及账户交易明细开展并完成审计工作。</w:t>
      </w:r>
    </w:p>
    <w:p w14:paraId="3AD81A67">
      <w:pPr>
        <w:pStyle w:val="3"/>
        <w:spacing w:after="0" w:line="360" w:lineRule="auto"/>
        <w:ind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2. 供应商根据有关法律、法规和《中国注册会计师独立审计准则》，依法开展审计工作，不受被审计单位及相关人员的干扰；</w:t>
      </w:r>
    </w:p>
    <w:p w14:paraId="57370C75">
      <w:pPr>
        <w:pStyle w:val="3"/>
        <w:spacing w:after="0" w:line="360" w:lineRule="auto"/>
        <w:ind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3.审计报告对采购人负责；</w:t>
      </w:r>
    </w:p>
    <w:p w14:paraId="758AEA6E">
      <w:pPr>
        <w:pStyle w:val="3"/>
        <w:spacing w:after="0" w:line="360" w:lineRule="auto"/>
        <w:ind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4.供应商在接收审计资料时，应办理审计资料接收单；因供应商的原因造成审计资料丢失、损毁的，供应商应承担相应责任。</w:t>
      </w:r>
    </w:p>
    <w:p w14:paraId="3166D3BE">
      <w:pPr>
        <w:pStyle w:val="3"/>
        <w:spacing w:after="0" w:line="360" w:lineRule="auto"/>
        <w:ind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5.供应商可以根据需要查阅、复印被审计单位与审计有关的会计资料和文件，可以要求采购人提供必要的配合、协助；</w:t>
      </w:r>
    </w:p>
    <w:p w14:paraId="58C94823">
      <w:pPr>
        <w:pStyle w:val="3"/>
        <w:spacing w:after="0" w:line="360" w:lineRule="auto"/>
        <w:ind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6.供应商内部规章制度完善，内控高效，不得利用审计便利侵害被审计单位合法权益和与审计有关的权利人的合法权益，不得利用审计便利为自己或他人谋取利益；</w:t>
      </w:r>
    </w:p>
    <w:p w14:paraId="261B4B58">
      <w:pPr>
        <w:pStyle w:val="3"/>
        <w:spacing w:after="0" w:line="360" w:lineRule="auto"/>
        <w:ind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7.遵守审计纪律，保守审计秘密；</w:t>
      </w:r>
    </w:p>
    <w:p w14:paraId="3D041E18">
      <w:pPr>
        <w:pStyle w:val="3"/>
        <w:spacing w:after="0" w:line="360" w:lineRule="auto"/>
        <w:ind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8.接受并完成采购人的业务要求；处理临时突发事件；接受采购人的监督；编制具体的相关方案和保障措施。</w:t>
      </w:r>
    </w:p>
    <w:p w14:paraId="567B2F47">
      <w:pPr>
        <w:pStyle w:val="3"/>
        <w:spacing w:after="0" w:line="360" w:lineRule="auto"/>
        <w:ind w:firstLine="560" w:firstLineChars="200"/>
        <w:rPr>
          <w:rFonts w:hint="default"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9.供应商应为本项目配备6人以上专业服务团队，其中包含项目负责人一名，项目负责人要同时具有注册会计师、司法会计鉴定人资格。</w:t>
      </w:r>
    </w:p>
    <w:p w14:paraId="41241470">
      <w:pPr>
        <w:spacing w:before="180" w:line="223" w:lineRule="auto"/>
        <w:jc w:val="center"/>
        <w:rPr>
          <w:rFonts w:hint="eastAsia" w:ascii="仿宋" w:hAnsi="仿宋" w:eastAsia="仿宋" w:cs="仿宋"/>
          <w:b/>
          <w:color w:val="000000"/>
          <w:spacing w:val="-1"/>
          <w:sz w:val="32"/>
          <w:szCs w:val="32"/>
        </w:rPr>
      </w:pPr>
      <w:r>
        <w:rPr>
          <w:rFonts w:hint="eastAsia" w:ascii="仿宋" w:hAnsi="仿宋" w:eastAsia="仿宋" w:cs="仿宋"/>
          <w:b/>
          <w:color w:val="000000"/>
          <w:spacing w:val="-1"/>
          <w:sz w:val="32"/>
          <w:szCs w:val="32"/>
        </w:rPr>
        <w:t>张某涉嫌虚假诉讼、挪用资金案专项</w:t>
      </w:r>
      <w:r>
        <w:rPr>
          <w:rFonts w:ascii="仿宋" w:hAnsi="仿宋" w:eastAsia="仿宋" w:cs="仿宋"/>
          <w:b/>
          <w:color w:val="000000"/>
          <w:spacing w:val="-1"/>
          <w:sz w:val="32"/>
          <w:szCs w:val="32"/>
        </w:rPr>
        <w:t>审计</w:t>
      </w:r>
      <w:r>
        <w:rPr>
          <w:rFonts w:hint="eastAsia" w:ascii="仿宋" w:hAnsi="仿宋" w:eastAsia="仿宋" w:cs="仿宋"/>
          <w:b/>
          <w:color w:val="000000"/>
          <w:spacing w:val="-1"/>
          <w:sz w:val="32"/>
          <w:szCs w:val="32"/>
        </w:rPr>
        <w:t>服务采购清单</w:t>
      </w:r>
    </w:p>
    <w:p w14:paraId="24287CE7">
      <w:pPr>
        <w:pStyle w:val="2"/>
        <w:rPr>
          <w:color w:val="000000"/>
        </w:rPr>
      </w:pPr>
    </w:p>
    <w:tbl>
      <w:tblPr>
        <w:tblStyle w:val="7"/>
        <w:tblW w:w="877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6202"/>
        <w:gridCol w:w="1725"/>
      </w:tblGrid>
      <w:tr w14:paraId="0B99A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jc w:val="center"/>
        </w:trPr>
        <w:tc>
          <w:tcPr>
            <w:tcW w:w="849" w:type="dxa"/>
            <w:noWrap w:val="0"/>
            <w:vAlign w:val="top"/>
          </w:tcPr>
          <w:p w14:paraId="325855E1">
            <w:pPr>
              <w:pStyle w:val="6"/>
              <w:spacing w:before="271" w:line="150" w:lineRule="exact"/>
              <w:ind w:left="273"/>
              <w:rPr>
                <w:rFonts w:ascii="宋体" w:hAnsi="宋体" w:eastAsia="宋体"/>
                <w:b/>
                <w:color w:val="000000"/>
                <w:sz w:val="24"/>
                <w:szCs w:val="24"/>
                <w:lang w:eastAsia="zh-CN"/>
              </w:rPr>
            </w:pPr>
            <w:r>
              <w:rPr>
                <w:rFonts w:hint="eastAsia" w:ascii="宋体" w:hAnsi="宋体" w:eastAsia="宋体"/>
                <w:b/>
                <w:color w:val="000000"/>
                <w:position w:val="-3"/>
                <w:sz w:val="24"/>
                <w:szCs w:val="24"/>
                <w:lang w:eastAsia="zh-CN"/>
              </w:rPr>
              <w:t>序号</w:t>
            </w:r>
          </w:p>
        </w:tc>
        <w:tc>
          <w:tcPr>
            <w:tcW w:w="6202" w:type="dxa"/>
            <w:noWrap w:val="0"/>
            <w:vAlign w:val="top"/>
          </w:tcPr>
          <w:p w14:paraId="301375A0">
            <w:pPr>
              <w:pStyle w:val="6"/>
              <w:spacing w:before="187" w:line="231" w:lineRule="auto"/>
              <w:ind w:left="116"/>
              <w:jc w:val="center"/>
              <w:rPr>
                <w:rFonts w:ascii="宋体" w:hAnsi="宋体" w:eastAsia="宋体"/>
                <w:b/>
                <w:color w:val="000000"/>
                <w:sz w:val="24"/>
                <w:szCs w:val="24"/>
              </w:rPr>
            </w:pPr>
            <w:r>
              <w:rPr>
                <w:rFonts w:ascii="宋体" w:hAnsi="宋体" w:eastAsia="宋体"/>
                <w:b/>
                <w:color w:val="000000"/>
                <w:spacing w:val="7"/>
                <w:sz w:val="24"/>
                <w:szCs w:val="24"/>
              </w:rPr>
              <w:t>审计</w:t>
            </w:r>
            <w:r>
              <w:rPr>
                <w:rFonts w:hint="eastAsia" w:ascii="宋体" w:hAnsi="宋体" w:eastAsia="宋体"/>
                <w:b/>
                <w:color w:val="000000"/>
                <w:spacing w:val="7"/>
                <w:sz w:val="24"/>
                <w:szCs w:val="24"/>
                <w:lang w:eastAsia="zh-CN"/>
              </w:rPr>
              <w:t>服务</w:t>
            </w:r>
            <w:r>
              <w:rPr>
                <w:rFonts w:ascii="宋体" w:hAnsi="宋体" w:eastAsia="宋体"/>
                <w:b/>
                <w:color w:val="000000"/>
                <w:spacing w:val="7"/>
                <w:sz w:val="24"/>
                <w:szCs w:val="24"/>
              </w:rPr>
              <w:t>项目</w:t>
            </w:r>
          </w:p>
        </w:tc>
        <w:tc>
          <w:tcPr>
            <w:tcW w:w="1725" w:type="dxa"/>
            <w:noWrap w:val="0"/>
            <w:vAlign w:val="top"/>
          </w:tcPr>
          <w:p w14:paraId="52286519">
            <w:pPr>
              <w:pStyle w:val="6"/>
              <w:spacing w:before="187" w:line="231" w:lineRule="auto"/>
              <w:ind w:left="116"/>
              <w:rPr>
                <w:rFonts w:ascii="宋体" w:hAnsi="宋体" w:eastAsia="宋体"/>
                <w:b/>
                <w:color w:val="000000"/>
                <w:spacing w:val="7"/>
                <w:sz w:val="24"/>
                <w:szCs w:val="24"/>
                <w:lang w:eastAsia="zh-CN"/>
              </w:rPr>
            </w:pPr>
            <w:r>
              <w:rPr>
                <w:rFonts w:hint="eastAsia" w:ascii="宋体" w:hAnsi="宋体" w:eastAsia="宋体"/>
                <w:b/>
                <w:color w:val="000000"/>
                <w:spacing w:val="7"/>
                <w:sz w:val="24"/>
                <w:szCs w:val="24"/>
                <w:lang w:eastAsia="zh-CN"/>
              </w:rPr>
              <w:t>出具报告期限</w:t>
            </w:r>
          </w:p>
        </w:tc>
      </w:tr>
      <w:tr w14:paraId="6FCF1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849" w:type="dxa"/>
            <w:noWrap w:val="0"/>
            <w:vAlign w:val="top"/>
          </w:tcPr>
          <w:p w14:paraId="281338C9">
            <w:pPr>
              <w:pStyle w:val="6"/>
              <w:spacing w:before="221" w:line="187" w:lineRule="auto"/>
              <w:ind w:left="332"/>
              <w:rPr>
                <w:rFonts w:ascii="宋体" w:hAnsi="宋体" w:eastAsia="宋体"/>
                <w:color w:val="000000"/>
                <w:sz w:val="24"/>
                <w:szCs w:val="24"/>
              </w:rPr>
            </w:pPr>
            <w:r>
              <w:rPr>
                <w:rFonts w:ascii="宋体" w:hAnsi="宋体" w:eastAsia="宋体"/>
                <w:color w:val="000000"/>
                <w:sz w:val="24"/>
                <w:szCs w:val="24"/>
              </w:rPr>
              <w:t>1</w:t>
            </w:r>
          </w:p>
        </w:tc>
        <w:tc>
          <w:tcPr>
            <w:tcW w:w="6202" w:type="dxa"/>
            <w:noWrap w:val="0"/>
            <w:vAlign w:val="top"/>
          </w:tcPr>
          <w:p w14:paraId="7B176F81">
            <w:pPr>
              <w:pStyle w:val="6"/>
              <w:spacing w:before="185" w:line="229" w:lineRule="auto"/>
              <w:ind w:left="118"/>
              <w:rPr>
                <w:rFonts w:ascii="宋体" w:hAnsi="宋体" w:eastAsia="宋体"/>
                <w:color w:val="000000"/>
                <w:sz w:val="24"/>
                <w:szCs w:val="24"/>
                <w:lang w:eastAsia="zh-CN"/>
              </w:rPr>
            </w:pPr>
            <w:r>
              <w:rPr>
                <w:rFonts w:ascii="宋体" w:hAnsi="宋体" w:eastAsia="宋体"/>
                <w:color w:val="000000"/>
                <w:spacing w:val="9"/>
                <w:sz w:val="24"/>
                <w:szCs w:val="24"/>
                <w:lang w:eastAsia="zh-CN"/>
              </w:rPr>
              <w:t>对</w:t>
            </w:r>
            <w:r>
              <w:rPr>
                <w:rFonts w:hint="eastAsia" w:ascii="宋体" w:hAnsi="宋体" w:eastAsia="宋体"/>
                <w:color w:val="000000"/>
                <w:spacing w:val="9"/>
                <w:sz w:val="24"/>
                <w:szCs w:val="24"/>
                <w:lang w:eastAsia="zh-CN"/>
              </w:rPr>
              <w:t>西安博龙置业有限公司</w:t>
            </w:r>
            <w:r>
              <w:rPr>
                <w:rFonts w:ascii="宋体" w:hAnsi="宋体" w:eastAsia="宋体"/>
                <w:color w:val="000000"/>
                <w:spacing w:val="9"/>
                <w:sz w:val="24"/>
                <w:szCs w:val="24"/>
                <w:lang w:eastAsia="zh-CN"/>
              </w:rPr>
              <w:t>账务流水</w:t>
            </w:r>
            <w:r>
              <w:rPr>
                <w:rFonts w:hint="eastAsia" w:ascii="宋体" w:hAnsi="宋体" w:eastAsia="宋体"/>
                <w:color w:val="000000"/>
                <w:spacing w:val="9"/>
                <w:sz w:val="24"/>
                <w:szCs w:val="24"/>
                <w:lang w:eastAsia="zh-CN"/>
              </w:rPr>
              <w:t>、</w:t>
            </w:r>
            <w:r>
              <w:rPr>
                <w:rFonts w:ascii="宋体" w:hAnsi="宋体" w:eastAsia="宋体"/>
                <w:color w:val="000000"/>
                <w:spacing w:val="9"/>
                <w:sz w:val="24"/>
                <w:szCs w:val="24"/>
                <w:lang w:eastAsia="zh-CN"/>
              </w:rPr>
              <w:t>结算清单</w:t>
            </w:r>
            <w:r>
              <w:rPr>
                <w:rFonts w:hint="eastAsia" w:ascii="宋体" w:hAnsi="宋体" w:eastAsia="宋体"/>
                <w:color w:val="000000"/>
                <w:spacing w:val="9"/>
                <w:sz w:val="24"/>
                <w:szCs w:val="24"/>
                <w:lang w:eastAsia="zh-CN"/>
              </w:rPr>
              <w:t>、资产及资金俩月及流转等情况进行整理汇总审计</w:t>
            </w:r>
          </w:p>
        </w:tc>
        <w:tc>
          <w:tcPr>
            <w:tcW w:w="1725" w:type="dxa"/>
            <w:noWrap w:val="0"/>
            <w:vAlign w:val="top"/>
          </w:tcPr>
          <w:p w14:paraId="36F94392">
            <w:pPr>
              <w:pStyle w:val="6"/>
              <w:spacing w:before="185" w:line="229" w:lineRule="auto"/>
              <w:ind w:left="118"/>
              <w:rPr>
                <w:rFonts w:ascii="宋体" w:hAnsi="宋体" w:eastAsia="宋体"/>
                <w:color w:val="000000"/>
                <w:spacing w:val="9"/>
                <w:sz w:val="24"/>
                <w:szCs w:val="24"/>
                <w:lang w:eastAsia="zh-CN"/>
              </w:rPr>
            </w:pPr>
            <w:r>
              <w:rPr>
                <w:rFonts w:hint="eastAsia" w:ascii="宋体" w:hAnsi="宋体" w:eastAsia="宋体"/>
                <w:color w:val="000000"/>
                <w:spacing w:val="9"/>
                <w:sz w:val="24"/>
                <w:szCs w:val="24"/>
                <w:lang w:eastAsia="zh-CN"/>
              </w:rPr>
              <w:t>2个月</w:t>
            </w:r>
          </w:p>
        </w:tc>
      </w:tr>
      <w:tr w14:paraId="1CD9C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849" w:type="dxa"/>
            <w:noWrap w:val="0"/>
            <w:vAlign w:val="top"/>
          </w:tcPr>
          <w:p w14:paraId="78D3CDF3">
            <w:pPr>
              <w:pStyle w:val="6"/>
              <w:spacing w:before="223" w:line="186" w:lineRule="auto"/>
              <w:ind w:left="319"/>
              <w:rPr>
                <w:rFonts w:ascii="宋体" w:hAnsi="宋体" w:eastAsia="宋体"/>
                <w:color w:val="000000"/>
                <w:sz w:val="24"/>
                <w:szCs w:val="24"/>
              </w:rPr>
            </w:pPr>
            <w:r>
              <w:rPr>
                <w:rFonts w:ascii="宋体" w:hAnsi="宋体" w:eastAsia="宋体"/>
                <w:color w:val="000000"/>
                <w:sz w:val="24"/>
                <w:szCs w:val="24"/>
              </w:rPr>
              <w:t>2</w:t>
            </w:r>
          </w:p>
        </w:tc>
        <w:tc>
          <w:tcPr>
            <w:tcW w:w="6202" w:type="dxa"/>
            <w:noWrap w:val="0"/>
            <w:vAlign w:val="top"/>
          </w:tcPr>
          <w:p w14:paraId="74B0C35E">
            <w:pPr>
              <w:pStyle w:val="6"/>
              <w:spacing w:before="187" w:line="229" w:lineRule="auto"/>
              <w:ind w:left="118"/>
              <w:rPr>
                <w:rFonts w:ascii="宋体" w:hAnsi="宋体" w:eastAsia="宋体"/>
                <w:color w:val="000000"/>
                <w:sz w:val="24"/>
                <w:szCs w:val="24"/>
                <w:lang w:eastAsia="zh-CN"/>
              </w:rPr>
            </w:pPr>
            <w:r>
              <w:rPr>
                <w:rFonts w:ascii="宋体" w:hAnsi="宋体" w:eastAsia="宋体"/>
                <w:color w:val="000000"/>
                <w:spacing w:val="9"/>
                <w:sz w:val="24"/>
                <w:szCs w:val="24"/>
                <w:lang w:eastAsia="zh-CN"/>
              </w:rPr>
              <w:t>对</w:t>
            </w:r>
            <w:r>
              <w:rPr>
                <w:rFonts w:hint="eastAsia" w:ascii="宋体" w:hAnsi="宋体" w:eastAsia="宋体"/>
                <w:color w:val="000000"/>
                <w:spacing w:val="9"/>
                <w:sz w:val="24"/>
                <w:szCs w:val="24"/>
                <w:lang w:eastAsia="zh-CN"/>
              </w:rPr>
              <w:t>榆林市房地产开发有限责任公司</w:t>
            </w:r>
            <w:r>
              <w:rPr>
                <w:rFonts w:ascii="宋体" w:hAnsi="宋体" w:eastAsia="宋体"/>
                <w:color w:val="000000"/>
                <w:spacing w:val="9"/>
                <w:sz w:val="24"/>
                <w:szCs w:val="24"/>
                <w:lang w:eastAsia="zh-CN"/>
              </w:rPr>
              <w:t>账务流水</w:t>
            </w:r>
            <w:r>
              <w:rPr>
                <w:rFonts w:hint="eastAsia" w:ascii="宋体" w:hAnsi="宋体" w:eastAsia="宋体"/>
                <w:color w:val="000000"/>
                <w:spacing w:val="9"/>
                <w:sz w:val="24"/>
                <w:szCs w:val="24"/>
                <w:lang w:eastAsia="zh-CN"/>
              </w:rPr>
              <w:t>、</w:t>
            </w:r>
            <w:r>
              <w:rPr>
                <w:rFonts w:ascii="宋体" w:hAnsi="宋体" w:eastAsia="宋体"/>
                <w:color w:val="000000"/>
                <w:spacing w:val="9"/>
                <w:sz w:val="24"/>
                <w:szCs w:val="24"/>
                <w:lang w:eastAsia="zh-CN"/>
              </w:rPr>
              <w:t>结算清单</w:t>
            </w:r>
            <w:r>
              <w:rPr>
                <w:rFonts w:hint="eastAsia" w:ascii="宋体" w:hAnsi="宋体" w:eastAsia="宋体"/>
                <w:color w:val="000000"/>
                <w:spacing w:val="9"/>
                <w:sz w:val="24"/>
                <w:szCs w:val="24"/>
                <w:lang w:eastAsia="zh-CN"/>
              </w:rPr>
              <w:t>、资产及资金来源流转等情况进行整理汇总审计</w:t>
            </w:r>
          </w:p>
        </w:tc>
        <w:tc>
          <w:tcPr>
            <w:tcW w:w="1725" w:type="dxa"/>
            <w:noWrap w:val="0"/>
            <w:vAlign w:val="top"/>
          </w:tcPr>
          <w:p w14:paraId="2CBA8D24">
            <w:pPr>
              <w:pStyle w:val="6"/>
              <w:spacing w:before="187" w:line="229" w:lineRule="auto"/>
              <w:ind w:left="118"/>
              <w:rPr>
                <w:rFonts w:ascii="宋体" w:hAnsi="宋体" w:eastAsia="宋体"/>
                <w:color w:val="000000"/>
                <w:spacing w:val="9"/>
                <w:sz w:val="24"/>
                <w:szCs w:val="24"/>
              </w:rPr>
            </w:pPr>
            <w:r>
              <w:rPr>
                <w:rFonts w:hint="eastAsia" w:ascii="宋体" w:hAnsi="宋体" w:eastAsia="宋体"/>
                <w:color w:val="000000"/>
                <w:spacing w:val="9"/>
                <w:sz w:val="24"/>
                <w:szCs w:val="24"/>
                <w:lang w:val="en-US" w:eastAsia="zh-CN"/>
              </w:rPr>
              <w:t>1.5</w:t>
            </w:r>
            <w:r>
              <w:rPr>
                <w:rFonts w:hint="eastAsia" w:ascii="宋体" w:hAnsi="宋体" w:eastAsia="宋体"/>
                <w:color w:val="000000"/>
                <w:spacing w:val="9"/>
                <w:sz w:val="24"/>
                <w:szCs w:val="24"/>
                <w:lang w:eastAsia="zh-CN"/>
              </w:rPr>
              <w:t>个月</w:t>
            </w:r>
          </w:p>
        </w:tc>
      </w:tr>
      <w:tr w14:paraId="52EB3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849" w:type="dxa"/>
            <w:noWrap w:val="0"/>
            <w:vAlign w:val="top"/>
          </w:tcPr>
          <w:p w14:paraId="541F8171">
            <w:pPr>
              <w:pStyle w:val="6"/>
              <w:spacing w:before="225" w:line="186" w:lineRule="auto"/>
              <w:ind w:left="320"/>
              <w:rPr>
                <w:rFonts w:ascii="宋体" w:hAnsi="宋体" w:eastAsia="宋体"/>
                <w:color w:val="000000"/>
                <w:sz w:val="24"/>
                <w:szCs w:val="24"/>
              </w:rPr>
            </w:pPr>
            <w:r>
              <w:rPr>
                <w:rFonts w:ascii="宋体" w:hAnsi="宋体" w:eastAsia="宋体"/>
                <w:color w:val="000000"/>
                <w:sz w:val="24"/>
                <w:szCs w:val="24"/>
              </w:rPr>
              <w:t>3</w:t>
            </w:r>
          </w:p>
        </w:tc>
        <w:tc>
          <w:tcPr>
            <w:tcW w:w="6202" w:type="dxa"/>
            <w:noWrap w:val="0"/>
            <w:vAlign w:val="top"/>
          </w:tcPr>
          <w:p w14:paraId="1BC5A514">
            <w:pPr>
              <w:pStyle w:val="6"/>
              <w:spacing w:before="188" w:line="229" w:lineRule="auto"/>
              <w:ind w:left="118"/>
              <w:rPr>
                <w:rFonts w:ascii="宋体" w:hAnsi="宋体" w:eastAsia="宋体"/>
                <w:color w:val="000000"/>
                <w:sz w:val="24"/>
                <w:szCs w:val="24"/>
                <w:lang w:eastAsia="zh-CN"/>
              </w:rPr>
            </w:pPr>
            <w:r>
              <w:rPr>
                <w:rFonts w:ascii="宋体" w:hAnsi="宋体" w:eastAsia="宋体"/>
                <w:color w:val="000000"/>
                <w:spacing w:val="9"/>
                <w:sz w:val="24"/>
                <w:szCs w:val="24"/>
                <w:lang w:eastAsia="zh-CN"/>
              </w:rPr>
              <w:t>对</w:t>
            </w:r>
            <w:r>
              <w:rPr>
                <w:rFonts w:hint="eastAsia" w:ascii="宋体" w:hAnsi="宋体" w:eastAsia="宋体"/>
                <w:color w:val="000000"/>
                <w:spacing w:val="9"/>
                <w:sz w:val="24"/>
                <w:szCs w:val="24"/>
                <w:lang w:eastAsia="zh-CN"/>
              </w:rPr>
              <w:t>张某个人账户资金来源、去向等情况</w:t>
            </w:r>
            <w:r>
              <w:rPr>
                <w:rFonts w:ascii="宋体" w:hAnsi="宋体" w:eastAsia="宋体"/>
                <w:color w:val="000000"/>
                <w:spacing w:val="9"/>
                <w:sz w:val="24"/>
                <w:szCs w:val="24"/>
                <w:lang w:eastAsia="zh-CN"/>
              </w:rPr>
              <w:t>情况进行</w:t>
            </w:r>
            <w:r>
              <w:rPr>
                <w:rFonts w:hint="eastAsia" w:ascii="宋体" w:hAnsi="宋体" w:eastAsia="宋体"/>
                <w:color w:val="000000"/>
                <w:spacing w:val="9"/>
                <w:sz w:val="24"/>
                <w:szCs w:val="24"/>
                <w:lang w:eastAsia="zh-CN"/>
              </w:rPr>
              <w:t>整理汇总</w:t>
            </w:r>
            <w:r>
              <w:rPr>
                <w:rFonts w:ascii="宋体" w:hAnsi="宋体" w:eastAsia="宋体"/>
                <w:color w:val="000000"/>
                <w:spacing w:val="9"/>
                <w:sz w:val="24"/>
                <w:szCs w:val="24"/>
                <w:lang w:eastAsia="zh-CN"/>
              </w:rPr>
              <w:t>审计</w:t>
            </w:r>
          </w:p>
        </w:tc>
        <w:tc>
          <w:tcPr>
            <w:tcW w:w="1725" w:type="dxa"/>
            <w:noWrap w:val="0"/>
            <w:vAlign w:val="top"/>
          </w:tcPr>
          <w:p w14:paraId="68245496">
            <w:pPr>
              <w:pStyle w:val="6"/>
              <w:spacing w:before="188" w:line="229" w:lineRule="auto"/>
              <w:ind w:left="118"/>
              <w:rPr>
                <w:rFonts w:ascii="宋体" w:hAnsi="宋体" w:eastAsia="宋体"/>
                <w:color w:val="000000"/>
                <w:spacing w:val="9"/>
                <w:sz w:val="24"/>
                <w:szCs w:val="24"/>
              </w:rPr>
            </w:pPr>
            <w:r>
              <w:rPr>
                <w:rFonts w:hint="eastAsia" w:ascii="宋体" w:hAnsi="宋体" w:eastAsia="宋体"/>
                <w:color w:val="000000"/>
                <w:spacing w:val="9"/>
                <w:sz w:val="24"/>
                <w:szCs w:val="24"/>
                <w:lang w:val="en-US" w:eastAsia="zh-CN"/>
              </w:rPr>
              <w:t>1.5</w:t>
            </w:r>
            <w:r>
              <w:rPr>
                <w:rFonts w:hint="eastAsia" w:ascii="宋体" w:hAnsi="宋体" w:eastAsia="宋体"/>
                <w:color w:val="000000"/>
                <w:spacing w:val="9"/>
                <w:sz w:val="24"/>
                <w:szCs w:val="24"/>
                <w:lang w:eastAsia="zh-CN"/>
              </w:rPr>
              <w:t>个月</w:t>
            </w:r>
          </w:p>
        </w:tc>
      </w:tr>
      <w:tr w14:paraId="26CA4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849" w:type="dxa"/>
            <w:noWrap w:val="0"/>
            <w:vAlign w:val="top"/>
          </w:tcPr>
          <w:p w14:paraId="02151EEA">
            <w:pPr>
              <w:pStyle w:val="6"/>
              <w:spacing w:before="225" w:line="186" w:lineRule="auto"/>
              <w:ind w:left="315"/>
              <w:rPr>
                <w:rFonts w:ascii="宋体" w:hAnsi="宋体" w:eastAsia="宋体"/>
                <w:color w:val="000000"/>
                <w:sz w:val="24"/>
                <w:szCs w:val="24"/>
              </w:rPr>
            </w:pPr>
            <w:r>
              <w:rPr>
                <w:rFonts w:ascii="宋体" w:hAnsi="宋体" w:eastAsia="宋体"/>
                <w:color w:val="000000"/>
                <w:sz w:val="24"/>
                <w:szCs w:val="24"/>
              </w:rPr>
              <w:t>4</w:t>
            </w:r>
          </w:p>
        </w:tc>
        <w:tc>
          <w:tcPr>
            <w:tcW w:w="6202" w:type="dxa"/>
            <w:noWrap w:val="0"/>
            <w:vAlign w:val="top"/>
          </w:tcPr>
          <w:p w14:paraId="627F5EC1">
            <w:pPr>
              <w:pStyle w:val="6"/>
              <w:spacing w:before="189" w:line="229" w:lineRule="auto"/>
              <w:ind w:left="118"/>
              <w:rPr>
                <w:rFonts w:ascii="宋体" w:hAnsi="宋体" w:eastAsia="宋体"/>
                <w:color w:val="000000"/>
                <w:sz w:val="24"/>
                <w:szCs w:val="24"/>
                <w:lang w:eastAsia="zh-CN"/>
              </w:rPr>
            </w:pPr>
            <w:r>
              <w:rPr>
                <w:rFonts w:hint="eastAsia" w:ascii="宋体" w:hAnsi="宋体" w:eastAsia="宋体"/>
                <w:color w:val="000000"/>
                <w:sz w:val="24"/>
                <w:szCs w:val="24"/>
                <w:lang w:eastAsia="zh-CN"/>
              </w:rPr>
              <w:t>对榆林市利丰房地产开发有限责任公司应收房屋销售款资金去向及总额进行审计</w:t>
            </w:r>
          </w:p>
        </w:tc>
        <w:tc>
          <w:tcPr>
            <w:tcW w:w="1725" w:type="dxa"/>
            <w:noWrap w:val="0"/>
            <w:vAlign w:val="top"/>
          </w:tcPr>
          <w:p w14:paraId="101BE75C">
            <w:pPr>
              <w:pStyle w:val="6"/>
              <w:spacing w:before="189" w:line="229" w:lineRule="auto"/>
              <w:ind w:left="118"/>
              <w:rPr>
                <w:rFonts w:ascii="宋体" w:hAnsi="宋体" w:eastAsia="宋体"/>
                <w:color w:val="000000"/>
                <w:spacing w:val="9"/>
                <w:sz w:val="24"/>
                <w:szCs w:val="24"/>
              </w:rPr>
            </w:pPr>
            <w:r>
              <w:rPr>
                <w:rFonts w:hint="eastAsia" w:ascii="宋体" w:hAnsi="宋体" w:eastAsia="宋体"/>
                <w:color w:val="000000"/>
                <w:spacing w:val="9"/>
                <w:sz w:val="24"/>
                <w:szCs w:val="24"/>
                <w:lang w:val="en-US" w:eastAsia="zh-CN"/>
              </w:rPr>
              <w:t>1</w:t>
            </w:r>
            <w:r>
              <w:rPr>
                <w:rFonts w:hint="eastAsia" w:ascii="宋体" w:hAnsi="宋体" w:eastAsia="宋体"/>
                <w:color w:val="000000"/>
                <w:spacing w:val="9"/>
                <w:sz w:val="24"/>
                <w:szCs w:val="24"/>
                <w:lang w:eastAsia="zh-CN"/>
              </w:rPr>
              <w:t>个月</w:t>
            </w:r>
          </w:p>
        </w:tc>
      </w:tr>
      <w:tr w14:paraId="14290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849" w:type="dxa"/>
            <w:noWrap w:val="0"/>
            <w:vAlign w:val="top"/>
          </w:tcPr>
          <w:p w14:paraId="7ED20931">
            <w:pPr>
              <w:pStyle w:val="6"/>
              <w:spacing w:before="229" w:line="184" w:lineRule="auto"/>
              <w:ind w:left="320"/>
              <w:rPr>
                <w:rFonts w:ascii="宋体" w:hAnsi="宋体" w:eastAsia="宋体"/>
                <w:color w:val="000000"/>
                <w:sz w:val="24"/>
                <w:szCs w:val="24"/>
              </w:rPr>
            </w:pPr>
            <w:r>
              <w:rPr>
                <w:rFonts w:ascii="宋体" w:hAnsi="宋体" w:eastAsia="宋体"/>
                <w:color w:val="000000"/>
                <w:sz w:val="24"/>
                <w:szCs w:val="24"/>
              </w:rPr>
              <w:t>5</w:t>
            </w:r>
          </w:p>
        </w:tc>
        <w:tc>
          <w:tcPr>
            <w:tcW w:w="6202" w:type="dxa"/>
            <w:noWrap w:val="0"/>
            <w:vAlign w:val="top"/>
          </w:tcPr>
          <w:p w14:paraId="11C4EB0C">
            <w:pPr>
              <w:pStyle w:val="6"/>
              <w:spacing w:before="190" w:line="229" w:lineRule="auto"/>
              <w:ind w:left="118"/>
              <w:rPr>
                <w:rFonts w:ascii="宋体" w:hAnsi="宋体" w:eastAsia="宋体"/>
                <w:color w:val="000000"/>
                <w:sz w:val="24"/>
                <w:szCs w:val="24"/>
                <w:lang w:eastAsia="zh-CN"/>
              </w:rPr>
            </w:pPr>
            <w:r>
              <w:rPr>
                <w:rFonts w:hint="eastAsia" w:ascii="宋体" w:hAnsi="宋体" w:eastAsia="宋体"/>
                <w:color w:val="000000"/>
                <w:sz w:val="24"/>
                <w:szCs w:val="24"/>
                <w:lang w:eastAsia="zh-CN"/>
              </w:rPr>
              <w:t>对张某涉嫌虚假诉讼犯罪时打款给榆林市利丰房地产开发有限责任公司</w:t>
            </w:r>
            <w:r>
              <w:rPr>
                <w:rFonts w:ascii="宋体" w:hAnsi="宋体" w:eastAsia="宋体"/>
                <w:color w:val="000000"/>
                <w:sz w:val="24"/>
                <w:szCs w:val="24"/>
                <w:lang w:eastAsia="zh-CN"/>
              </w:rPr>
              <w:t>2500</w:t>
            </w:r>
            <w:r>
              <w:rPr>
                <w:rFonts w:hint="eastAsia" w:ascii="宋体" w:hAnsi="宋体" w:eastAsia="宋体"/>
                <w:color w:val="000000"/>
                <w:sz w:val="24"/>
                <w:szCs w:val="24"/>
                <w:lang w:eastAsia="zh-CN"/>
              </w:rPr>
              <w:t>万元的资金来源、去向及后续向他人还款资金来源、还款情况及挪用利丰公司公户资金情况进行审计</w:t>
            </w:r>
          </w:p>
        </w:tc>
        <w:tc>
          <w:tcPr>
            <w:tcW w:w="1725" w:type="dxa"/>
            <w:noWrap w:val="0"/>
            <w:vAlign w:val="top"/>
          </w:tcPr>
          <w:p w14:paraId="191E1413">
            <w:pPr>
              <w:pStyle w:val="6"/>
              <w:spacing w:before="190" w:line="229" w:lineRule="auto"/>
              <w:ind w:left="118"/>
              <w:rPr>
                <w:rFonts w:ascii="宋体" w:hAnsi="宋体" w:eastAsia="宋体"/>
                <w:color w:val="000000"/>
                <w:spacing w:val="9"/>
                <w:sz w:val="24"/>
                <w:szCs w:val="24"/>
              </w:rPr>
            </w:pPr>
            <w:r>
              <w:rPr>
                <w:rFonts w:hint="eastAsia" w:ascii="宋体" w:hAnsi="宋体" w:eastAsia="宋体"/>
                <w:color w:val="000000"/>
                <w:spacing w:val="9"/>
                <w:sz w:val="24"/>
                <w:szCs w:val="24"/>
                <w:lang w:val="en-US" w:eastAsia="zh-CN"/>
              </w:rPr>
              <w:t>1</w:t>
            </w:r>
            <w:r>
              <w:rPr>
                <w:rFonts w:hint="eastAsia" w:ascii="宋体" w:hAnsi="宋体" w:eastAsia="宋体"/>
                <w:color w:val="000000"/>
                <w:spacing w:val="9"/>
                <w:sz w:val="24"/>
                <w:szCs w:val="24"/>
                <w:lang w:eastAsia="zh-CN"/>
              </w:rPr>
              <w:t>个月</w:t>
            </w:r>
          </w:p>
        </w:tc>
      </w:tr>
      <w:tr w14:paraId="56FAC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849" w:type="dxa"/>
            <w:noWrap w:val="0"/>
            <w:vAlign w:val="top"/>
          </w:tcPr>
          <w:p w14:paraId="18A0BA4B">
            <w:pPr>
              <w:pStyle w:val="6"/>
              <w:spacing w:before="227" w:line="186" w:lineRule="auto"/>
              <w:ind w:left="318"/>
              <w:rPr>
                <w:rFonts w:ascii="宋体" w:hAnsi="宋体" w:eastAsia="宋体"/>
                <w:color w:val="000000"/>
                <w:sz w:val="24"/>
                <w:szCs w:val="24"/>
              </w:rPr>
            </w:pPr>
            <w:r>
              <w:rPr>
                <w:rFonts w:ascii="宋体" w:hAnsi="宋体" w:eastAsia="宋体"/>
                <w:color w:val="000000"/>
                <w:sz w:val="24"/>
                <w:szCs w:val="24"/>
              </w:rPr>
              <w:t>6</w:t>
            </w:r>
          </w:p>
        </w:tc>
        <w:tc>
          <w:tcPr>
            <w:tcW w:w="6202" w:type="dxa"/>
            <w:noWrap w:val="0"/>
            <w:vAlign w:val="top"/>
          </w:tcPr>
          <w:p w14:paraId="501ABCD1">
            <w:pPr>
              <w:pStyle w:val="6"/>
              <w:spacing w:before="189" w:line="229" w:lineRule="auto"/>
              <w:ind w:left="118"/>
              <w:rPr>
                <w:rFonts w:ascii="宋体" w:hAnsi="宋体" w:eastAsia="宋体"/>
                <w:color w:val="000000"/>
                <w:sz w:val="24"/>
                <w:szCs w:val="24"/>
                <w:lang w:eastAsia="zh-CN"/>
              </w:rPr>
            </w:pPr>
            <w:r>
              <w:rPr>
                <w:rFonts w:ascii="宋体" w:hAnsi="宋体" w:eastAsia="宋体"/>
                <w:color w:val="000000"/>
                <w:spacing w:val="9"/>
                <w:sz w:val="24"/>
                <w:szCs w:val="24"/>
                <w:lang w:eastAsia="zh-CN"/>
              </w:rPr>
              <w:t>对</w:t>
            </w:r>
            <w:r>
              <w:rPr>
                <w:rFonts w:hint="eastAsia" w:ascii="宋体" w:hAnsi="宋体" w:eastAsia="宋体"/>
                <w:color w:val="000000"/>
                <w:spacing w:val="9"/>
                <w:sz w:val="24"/>
                <w:szCs w:val="24"/>
                <w:lang w:eastAsia="zh-CN"/>
              </w:rPr>
              <w:t>榆林市利丰房地产开发有限责任公司的与西安博龙置业有限公司之间的资金往来垫付交叉欠账情况进行整理汇总审计</w:t>
            </w:r>
          </w:p>
        </w:tc>
        <w:tc>
          <w:tcPr>
            <w:tcW w:w="1725" w:type="dxa"/>
            <w:noWrap w:val="0"/>
            <w:vAlign w:val="top"/>
          </w:tcPr>
          <w:p w14:paraId="35FAB456">
            <w:pPr>
              <w:pStyle w:val="6"/>
              <w:spacing w:before="191" w:line="229" w:lineRule="auto"/>
              <w:ind w:left="118"/>
              <w:rPr>
                <w:rFonts w:ascii="宋体" w:hAnsi="宋体" w:eastAsia="宋体"/>
                <w:color w:val="000000"/>
                <w:spacing w:val="9"/>
                <w:sz w:val="24"/>
                <w:szCs w:val="24"/>
              </w:rPr>
            </w:pPr>
            <w:r>
              <w:rPr>
                <w:rFonts w:hint="eastAsia" w:ascii="宋体" w:hAnsi="宋体" w:eastAsia="宋体"/>
                <w:color w:val="000000"/>
                <w:spacing w:val="9"/>
                <w:sz w:val="24"/>
                <w:szCs w:val="24"/>
                <w:lang w:val="en-US" w:eastAsia="zh-CN"/>
              </w:rPr>
              <w:t>1</w:t>
            </w:r>
            <w:r>
              <w:rPr>
                <w:rFonts w:hint="eastAsia" w:ascii="宋体" w:hAnsi="宋体" w:eastAsia="宋体"/>
                <w:color w:val="000000"/>
                <w:spacing w:val="9"/>
                <w:sz w:val="24"/>
                <w:szCs w:val="24"/>
                <w:lang w:eastAsia="zh-CN"/>
              </w:rPr>
              <w:t>个月</w:t>
            </w:r>
          </w:p>
        </w:tc>
      </w:tr>
      <w:tr w14:paraId="24302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 w:hRule="atLeast"/>
          <w:jc w:val="center"/>
        </w:trPr>
        <w:tc>
          <w:tcPr>
            <w:tcW w:w="849" w:type="dxa"/>
            <w:noWrap w:val="0"/>
            <w:vAlign w:val="top"/>
          </w:tcPr>
          <w:p w14:paraId="25DC28D0">
            <w:pPr>
              <w:pStyle w:val="6"/>
              <w:spacing w:before="227" w:line="184" w:lineRule="auto"/>
              <w:ind w:left="321"/>
              <w:rPr>
                <w:rFonts w:ascii="宋体" w:hAnsi="宋体" w:eastAsia="宋体"/>
                <w:color w:val="000000"/>
                <w:sz w:val="24"/>
                <w:szCs w:val="24"/>
              </w:rPr>
            </w:pPr>
            <w:r>
              <w:rPr>
                <w:rFonts w:ascii="宋体" w:hAnsi="宋体" w:eastAsia="宋体"/>
                <w:color w:val="000000"/>
                <w:sz w:val="24"/>
                <w:szCs w:val="24"/>
              </w:rPr>
              <w:t>7</w:t>
            </w:r>
          </w:p>
        </w:tc>
        <w:tc>
          <w:tcPr>
            <w:tcW w:w="6202" w:type="dxa"/>
            <w:noWrap w:val="0"/>
            <w:vAlign w:val="top"/>
          </w:tcPr>
          <w:p w14:paraId="0ADCCE90">
            <w:pPr>
              <w:pStyle w:val="6"/>
              <w:spacing w:before="190" w:line="229" w:lineRule="auto"/>
              <w:ind w:left="118"/>
              <w:rPr>
                <w:rFonts w:ascii="宋体" w:hAnsi="宋体" w:eastAsia="宋体"/>
                <w:color w:val="000000"/>
                <w:sz w:val="24"/>
                <w:szCs w:val="24"/>
                <w:lang w:eastAsia="zh-CN"/>
              </w:rPr>
            </w:pPr>
            <w:r>
              <w:rPr>
                <w:rFonts w:hint="eastAsia" w:ascii="宋体" w:hAnsi="宋体" w:eastAsia="宋体"/>
                <w:color w:val="000000"/>
                <w:spacing w:val="9"/>
                <w:sz w:val="24"/>
                <w:szCs w:val="24"/>
                <w:lang w:eastAsia="zh-CN"/>
              </w:rPr>
              <w:t>对榆林市利丰房地产开发有限责任公司与张某、张某田之间投资垫付、代偿债务、债权追偿账务情况进行整理汇总审计</w:t>
            </w:r>
          </w:p>
        </w:tc>
        <w:tc>
          <w:tcPr>
            <w:tcW w:w="1725" w:type="dxa"/>
            <w:noWrap w:val="0"/>
            <w:vAlign w:val="top"/>
          </w:tcPr>
          <w:p w14:paraId="634DA838">
            <w:pPr>
              <w:pStyle w:val="6"/>
              <w:spacing w:before="189" w:line="229" w:lineRule="auto"/>
              <w:ind w:left="118"/>
              <w:rPr>
                <w:rFonts w:ascii="宋体" w:hAnsi="宋体" w:eastAsia="宋体"/>
                <w:color w:val="000000"/>
                <w:spacing w:val="9"/>
                <w:sz w:val="24"/>
                <w:szCs w:val="24"/>
              </w:rPr>
            </w:pPr>
            <w:r>
              <w:rPr>
                <w:rFonts w:hint="eastAsia" w:ascii="宋体" w:hAnsi="宋体" w:eastAsia="宋体"/>
                <w:color w:val="000000"/>
                <w:spacing w:val="9"/>
                <w:sz w:val="24"/>
                <w:szCs w:val="24"/>
                <w:lang w:val="en-US" w:eastAsia="zh-CN"/>
              </w:rPr>
              <w:t>1</w:t>
            </w:r>
            <w:r>
              <w:rPr>
                <w:rFonts w:hint="eastAsia" w:ascii="宋体" w:hAnsi="宋体" w:eastAsia="宋体"/>
                <w:color w:val="000000"/>
                <w:spacing w:val="9"/>
                <w:sz w:val="24"/>
                <w:szCs w:val="24"/>
                <w:lang w:eastAsia="zh-CN"/>
              </w:rPr>
              <w:t>个月</w:t>
            </w:r>
          </w:p>
        </w:tc>
      </w:tr>
      <w:tr w14:paraId="5BE5E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849" w:type="dxa"/>
            <w:noWrap w:val="0"/>
            <w:vAlign w:val="top"/>
          </w:tcPr>
          <w:p w14:paraId="7A2DD58C">
            <w:pPr>
              <w:pStyle w:val="6"/>
              <w:spacing w:before="225" w:line="186" w:lineRule="auto"/>
              <w:ind w:left="317"/>
              <w:rPr>
                <w:rFonts w:ascii="宋体" w:hAnsi="宋体" w:eastAsia="宋体"/>
                <w:color w:val="000000"/>
                <w:sz w:val="24"/>
                <w:szCs w:val="24"/>
              </w:rPr>
            </w:pPr>
            <w:r>
              <w:rPr>
                <w:rFonts w:ascii="宋体" w:hAnsi="宋体" w:eastAsia="宋体"/>
                <w:color w:val="000000"/>
                <w:sz w:val="24"/>
                <w:szCs w:val="24"/>
              </w:rPr>
              <w:t>8</w:t>
            </w:r>
          </w:p>
        </w:tc>
        <w:tc>
          <w:tcPr>
            <w:tcW w:w="6202" w:type="dxa"/>
            <w:noWrap w:val="0"/>
            <w:vAlign w:val="top"/>
          </w:tcPr>
          <w:p w14:paraId="11964038">
            <w:pPr>
              <w:pStyle w:val="6"/>
              <w:spacing w:before="190" w:line="229" w:lineRule="auto"/>
              <w:ind w:left="118"/>
              <w:rPr>
                <w:rFonts w:ascii="宋体" w:hAnsi="宋体" w:eastAsia="宋体"/>
                <w:color w:val="000000"/>
                <w:sz w:val="24"/>
                <w:szCs w:val="24"/>
                <w:lang w:eastAsia="zh-CN"/>
              </w:rPr>
            </w:pPr>
            <w:r>
              <w:rPr>
                <w:rFonts w:hint="eastAsia" w:ascii="宋体" w:hAnsi="宋体" w:eastAsia="宋体"/>
                <w:color w:val="000000"/>
                <w:spacing w:val="9"/>
                <w:sz w:val="24"/>
                <w:szCs w:val="24"/>
                <w:lang w:eastAsia="zh-CN"/>
              </w:rPr>
              <w:t>对西安博龙置业有限公司在中实融资租赁公司贷款的2500万元资金去向、还款情况进行整理汇总审计</w:t>
            </w:r>
          </w:p>
        </w:tc>
        <w:tc>
          <w:tcPr>
            <w:tcW w:w="1725" w:type="dxa"/>
            <w:noWrap w:val="0"/>
            <w:vAlign w:val="top"/>
          </w:tcPr>
          <w:p w14:paraId="288B4671">
            <w:pPr>
              <w:pStyle w:val="6"/>
              <w:spacing w:before="190" w:line="229" w:lineRule="auto"/>
              <w:ind w:left="118"/>
              <w:rPr>
                <w:rFonts w:ascii="宋体" w:hAnsi="宋体" w:eastAsia="宋体"/>
                <w:color w:val="000000"/>
                <w:spacing w:val="9"/>
                <w:sz w:val="24"/>
                <w:szCs w:val="24"/>
              </w:rPr>
            </w:pPr>
            <w:r>
              <w:rPr>
                <w:rFonts w:hint="eastAsia" w:ascii="宋体" w:hAnsi="宋体" w:eastAsia="宋体"/>
                <w:color w:val="000000"/>
                <w:spacing w:val="9"/>
                <w:sz w:val="24"/>
                <w:szCs w:val="24"/>
                <w:lang w:val="en-US" w:eastAsia="zh-CN"/>
              </w:rPr>
              <w:t>1</w:t>
            </w:r>
            <w:r>
              <w:rPr>
                <w:rFonts w:hint="eastAsia" w:ascii="宋体" w:hAnsi="宋体" w:eastAsia="宋体"/>
                <w:color w:val="000000"/>
                <w:spacing w:val="9"/>
                <w:sz w:val="24"/>
                <w:szCs w:val="24"/>
                <w:lang w:eastAsia="zh-CN"/>
              </w:rPr>
              <w:t>个月</w:t>
            </w:r>
          </w:p>
        </w:tc>
      </w:tr>
      <w:tr w14:paraId="18209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849" w:type="dxa"/>
            <w:noWrap w:val="0"/>
            <w:vAlign w:val="top"/>
          </w:tcPr>
          <w:p w14:paraId="4B2F56BE">
            <w:pPr>
              <w:pStyle w:val="6"/>
              <w:spacing w:before="226" w:line="186" w:lineRule="auto"/>
              <w:ind w:left="317"/>
              <w:rPr>
                <w:rFonts w:ascii="宋体" w:hAnsi="宋体" w:eastAsia="宋体"/>
                <w:color w:val="000000"/>
                <w:sz w:val="24"/>
                <w:szCs w:val="24"/>
              </w:rPr>
            </w:pPr>
            <w:r>
              <w:rPr>
                <w:rFonts w:ascii="宋体" w:hAnsi="宋体" w:eastAsia="宋体"/>
                <w:color w:val="000000"/>
                <w:sz w:val="24"/>
                <w:szCs w:val="24"/>
              </w:rPr>
              <w:t>9</w:t>
            </w:r>
          </w:p>
        </w:tc>
        <w:tc>
          <w:tcPr>
            <w:tcW w:w="6202" w:type="dxa"/>
            <w:noWrap w:val="0"/>
            <w:vAlign w:val="top"/>
          </w:tcPr>
          <w:p w14:paraId="0A292410">
            <w:pPr>
              <w:pStyle w:val="6"/>
              <w:spacing w:before="189" w:line="229" w:lineRule="auto"/>
              <w:ind w:left="118"/>
              <w:rPr>
                <w:rFonts w:ascii="宋体" w:hAnsi="宋体" w:eastAsia="宋体"/>
                <w:color w:val="000000"/>
                <w:sz w:val="24"/>
                <w:szCs w:val="24"/>
                <w:lang w:eastAsia="zh-CN"/>
              </w:rPr>
            </w:pPr>
            <w:r>
              <w:rPr>
                <w:rFonts w:hint="eastAsia" w:ascii="宋体" w:hAnsi="宋体" w:eastAsia="宋体"/>
                <w:color w:val="000000"/>
                <w:spacing w:val="9"/>
                <w:sz w:val="24"/>
                <w:szCs w:val="24"/>
                <w:lang w:eastAsia="zh-CN"/>
              </w:rPr>
              <w:t>对张某代还农业银行高新支行</w:t>
            </w:r>
            <w:r>
              <w:rPr>
                <w:rFonts w:ascii="宋体" w:hAnsi="宋体" w:eastAsia="宋体"/>
                <w:color w:val="000000"/>
                <w:spacing w:val="9"/>
                <w:sz w:val="24"/>
                <w:szCs w:val="24"/>
                <w:lang w:eastAsia="zh-CN"/>
              </w:rPr>
              <w:t>28328093.55</w:t>
            </w:r>
            <w:r>
              <w:rPr>
                <w:rFonts w:hint="eastAsia" w:ascii="宋体" w:hAnsi="宋体" w:eastAsia="宋体"/>
                <w:color w:val="000000"/>
                <w:spacing w:val="9"/>
                <w:sz w:val="24"/>
                <w:szCs w:val="24"/>
                <w:lang w:eastAsia="zh-CN"/>
              </w:rPr>
              <w:t>元债务的资金来源、后续还款资金来源、金额、追偿后的资金去向进行整理审计</w:t>
            </w:r>
          </w:p>
        </w:tc>
        <w:tc>
          <w:tcPr>
            <w:tcW w:w="1725" w:type="dxa"/>
            <w:noWrap w:val="0"/>
            <w:vAlign w:val="top"/>
          </w:tcPr>
          <w:p w14:paraId="17470C27">
            <w:pPr>
              <w:pStyle w:val="6"/>
              <w:spacing w:before="189" w:line="229" w:lineRule="auto"/>
              <w:ind w:left="118"/>
              <w:rPr>
                <w:rFonts w:ascii="宋体" w:hAnsi="宋体" w:eastAsia="宋体"/>
                <w:color w:val="000000"/>
                <w:spacing w:val="9"/>
                <w:sz w:val="24"/>
                <w:szCs w:val="24"/>
              </w:rPr>
            </w:pPr>
            <w:r>
              <w:rPr>
                <w:rFonts w:hint="eastAsia" w:ascii="宋体" w:hAnsi="宋体" w:eastAsia="宋体"/>
                <w:color w:val="000000"/>
                <w:spacing w:val="9"/>
                <w:sz w:val="24"/>
                <w:szCs w:val="24"/>
                <w:lang w:val="en-US" w:eastAsia="zh-CN"/>
              </w:rPr>
              <w:t>1</w:t>
            </w:r>
            <w:r>
              <w:rPr>
                <w:rFonts w:hint="eastAsia" w:ascii="宋体" w:hAnsi="宋体" w:eastAsia="宋体"/>
                <w:color w:val="000000"/>
                <w:spacing w:val="9"/>
                <w:sz w:val="24"/>
                <w:szCs w:val="24"/>
                <w:lang w:eastAsia="zh-CN"/>
              </w:rPr>
              <w:t>个月</w:t>
            </w:r>
          </w:p>
        </w:tc>
      </w:tr>
      <w:tr w14:paraId="2E06F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849" w:type="dxa"/>
            <w:noWrap w:val="0"/>
            <w:vAlign w:val="top"/>
          </w:tcPr>
          <w:p w14:paraId="404974F8">
            <w:pPr>
              <w:pStyle w:val="6"/>
              <w:spacing w:before="225" w:line="187" w:lineRule="auto"/>
              <w:ind w:left="279"/>
              <w:rPr>
                <w:rFonts w:ascii="宋体" w:hAnsi="宋体" w:eastAsia="宋体"/>
                <w:color w:val="000000"/>
                <w:sz w:val="24"/>
                <w:szCs w:val="24"/>
              </w:rPr>
            </w:pPr>
            <w:r>
              <w:rPr>
                <w:rFonts w:ascii="宋体" w:hAnsi="宋体" w:eastAsia="宋体"/>
                <w:color w:val="000000"/>
                <w:spacing w:val="-7"/>
                <w:sz w:val="24"/>
                <w:szCs w:val="24"/>
              </w:rPr>
              <w:t>10</w:t>
            </w:r>
          </w:p>
        </w:tc>
        <w:tc>
          <w:tcPr>
            <w:tcW w:w="6202" w:type="dxa"/>
            <w:noWrap w:val="0"/>
            <w:vAlign w:val="top"/>
          </w:tcPr>
          <w:p w14:paraId="5C0FE505">
            <w:pPr>
              <w:pStyle w:val="6"/>
              <w:spacing w:before="190" w:line="229" w:lineRule="auto"/>
              <w:ind w:left="118"/>
              <w:rPr>
                <w:rFonts w:ascii="宋体" w:hAnsi="宋体" w:eastAsia="宋体"/>
                <w:color w:val="000000"/>
                <w:sz w:val="24"/>
                <w:szCs w:val="24"/>
                <w:lang w:eastAsia="zh-CN"/>
              </w:rPr>
            </w:pPr>
            <w:r>
              <w:rPr>
                <w:rFonts w:hint="eastAsia" w:ascii="宋体" w:hAnsi="宋体" w:eastAsia="宋体"/>
                <w:color w:val="000000"/>
                <w:spacing w:val="9"/>
                <w:sz w:val="24"/>
                <w:szCs w:val="24"/>
                <w:lang w:eastAsia="zh-CN"/>
              </w:rPr>
              <w:t>对张某全案过程中挪用资金的合理性、总额、明细、行为方式、资金去向及归还情况情况进行整理审计</w:t>
            </w:r>
          </w:p>
        </w:tc>
        <w:tc>
          <w:tcPr>
            <w:tcW w:w="1725" w:type="dxa"/>
            <w:noWrap w:val="0"/>
            <w:vAlign w:val="top"/>
          </w:tcPr>
          <w:p w14:paraId="749029D9">
            <w:pPr>
              <w:pStyle w:val="6"/>
              <w:spacing w:before="190" w:line="229" w:lineRule="auto"/>
              <w:ind w:left="118"/>
              <w:rPr>
                <w:rFonts w:ascii="宋体" w:hAnsi="宋体" w:eastAsia="宋体"/>
                <w:color w:val="000000"/>
                <w:spacing w:val="9"/>
                <w:sz w:val="24"/>
                <w:szCs w:val="24"/>
              </w:rPr>
            </w:pPr>
            <w:r>
              <w:rPr>
                <w:rFonts w:hint="eastAsia" w:ascii="宋体" w:hAnsi="宋体" w:eastAsia="宋体"/>
                <w:color w:val="000000"/>
                <w:spacing w:val="9"/>
                <w:sz w:val="24"/>
                <w:szCs w:val="24"/>
                <w:lang w:val="en-US" w:eastAsia="zh-CN"/>
              </w:rPr>
              <w:t>1</w:t>
            </w:r>
            <w:r>
              <w:rPr>
                <w:rFonts w:hint="eastAsia" w:ascii="宋体" w:hAnsi="宋体" w:eastAsia="宋体"/>
                <w:color w:val="000000"/>
                <w:spacing w:val="9"/>
                <w:sz w:val="24"/>
                <w:szCs w:val="24"/>
                <w:lang w:eastAsia="zh-CN"/>
              </w:rPr>
              <w:t>个月</w:t>
            </w:r>
          </w:p>
        </w:tc>
      </w:tr>
      <w:tr w14:paraId="52A86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849" w:type="dxa"/>
            <w:noWrap w:val="0"/>
            <w:vAlign w:val="top"/>
          </w:tcPr>
          <w:p w14:paraId="68E81A4C">
            <w:pPr>
              <w:pStyle w:val="6"/>
              <w:spacing w:before="225" w:line="187" w:lineRule="auto"/>
              <w:ind w:left="279"/>
              <w:rPr>
                <w:rFonts w:ascii="宋体" w:hAnsi="宋体" w:eastAsia="宋体"/>
                <w:color w:val="000000"/>
                <w:sz w:val="24"/>
                <w:szCs w:val="24"/>
              </w:rPr>
            </w:pPr>
            <w:r>
              <w:rPr>
                <w:rFonts w:ascii="宋体" w:hAnsi="宋体" w:eastAsia="宋体"/>
                <w:color w:val="000000"/>
                <w:spacing w:val="-7"/>
                <w:sz w:val="24"/>
                <w:szCs w:val="24"/>
              </w:rPr>
              <w:t>11</w:t>
            </w:r>
          </w:p>
        </w:tc>
        <w:tc>
          <w:tcPr>
            <w:tcW w:w="6202" w:type="dxa"/>
            <w:noWrap w:val="0"/>
            <w:vAlign w:val="top"/>
          </w:tcPr>
          <w:p w14:paraId="11A8F0AE">
            <w:pPr>
              <w:pStyle w:val="6"/>
              <w:spacing w:before="190" w:line="229" w:lineRule="auto"/>
              <w:ind w:left="118"/>
              <w:rPr>
                <w:rFonts w:ascii="宋体" w:hAnsi="宋体" w:eastAsia="宋体"/>
                <w:color w:val="000000"/>
                <w:sz w:val="24"/>
                <w:szCs w:val="24"/>
                <w:lang w:eastAsia="zh-CN"/>
              </w:rPr>
            </w:pPr>
            <w:r>
              <w:rPr>
                <w:rFonts w:hint="eastAsia" w:ascii="宋体" w:hAnsi="宋体" w:eastAsia="宋体"/>
                <w:color w:val="000000"/>
                <w:sz w:val="24"/>
                <w:szCs w:val="24"/>
                <w:lang w:eastAsia="zh-CN"/>
              </w:rPr>
              <w:t>后续采购费与供应商可能沟通增加的审计内容</w:t>
            </w:r>
          </w:p>
        </w:tc>
        <w:tc>
          <w:tcPr>
            <w:tcW w:w="1725" w:type="dxa"/>
            <w:noWrap w:val="0"/>
            <w:vAlign w:val="top"/>
          </w:tcPr>
          <w:p w14:paraId="30A11A04">
            <w:pPr>
              <w:pStyle w:val="6"/>
              <w:spacing w:before="190" w:line="229" w:lineRule="auto"/>
              <w:ind w:left="118"/>
              <w:rPr>
                <w:rFonts w:ascii="宋体" w:hAnsi="宋体" w:eastAsia="宋体"/>
                <w:color w:val="000000"/>
                <w:spacing w:val="9"/>
                <w:sz w:val="24"/>
                <w:szCs w:val="24"/>
              </w:rPr>
            </w:pPr>
            <w:r>
              <w:rPr>
                <w:rFonts w:hint="eastAsia" w:ascii="宋体" w:hAnsi="宋体" w:eastAsia="宋体"/>
                <w:color w:val="000000"/>
                <w:spacing w:val="9"/>
                <w:sz w:val="24"/>
                <w:szCs w:val="24"/>
                <w:lang w:val="en-US" w:eastAsia="zh-CN"/>
              </w:rPr>
              <w:t>1</w:t>
            </w:r>
            <w:r>
              <w:rPr>
                <w:rFonts w:hint="eastAsia" w:ascii="宋体" w:hAnsi="宋体" w:eastAsia="宋体"/>
                <w:color w:val="000000"/>
                <w:spacing w:val="9"/>
                <w:sz w:val="24"/>
                <w:szCs w:val="24"/>
                <w:lang w:eastAsia="zh-CN"/>
              </w:rPr>
              <w:t>个月</w:t>
            </w:r>
          </w:p>
        </w:tc>
      </w:tr>
    </w:tbl>
    <w:p w14:paraId="02172ED2">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AA1116"/>
    <w:rsid w:val="69AA1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pPr>
  </w:style>
  <w:style w:type="paragraph" w:styleId="3">
    <w:name w:val="Body Text"/>
    <w:basedOn w:val="1"/>
    <w:qFormat/>
    <w:uiPriority w:val="99"/>
    <w:pPr>
      <w:spacing w:afterLines="50" w:line="360" w:lineRule="auto"/>
    </w:pPr>
    <w:rPr>
      <w:rFonts w:ascii="宋体" w:hAnsi="宋体"/>
      <w:color w:val="000000"/>
      <w:sz w:val="24"/>
    </w:rPr>
  </w:style>
  <w:style w:type="paragraph" w:customStyle="1" w:styleId="6">
    <w:name w:val="Table Text"/>
    <w:basedOn w:val="1"/>
    <w:semiHidden/>
    <w:qFormat/>
    <w:uiPriority w:val="0"/>
    <w:pPr>
      <w:widowControl w:val="0"/>
      <w:spacing w:line="240" w:lineRule="auto"/>
    </w:pPr>
    <w:rPr>
      <w:rFonts w:ascii="Arial" w:hAnsi="Arial" w:eastAsia="Arial" w:cs="Arial"/>
      <w:sz w:val="21"/>
      <w:szCs w:val="21"/>
      <w:lang w:eastAsia="en-US"/>
    </w:rPr>
  </w:style>
  <w:style w:type="table" w:customStyle="1" w:styleId="7">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2026-01-16T04:07:00Z</dcterms:created>
  <dc:creator>我能吃十个蛋挞</dc:creator>
  <cp:lastModifiedBy>我能吃十个蛋挞</cp:lastModifiedBy>
  <dcterms:modified xsi:type="dcterms:W3CDTF">2026-01-16T04:08:15Z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C3E97103431C44B18D59360DC3431749_11</vt:lpwstr>
  </property>
  <property fmtid="{D5CDD505-2E9C-101B-9397-08002B2CF9AE}" pid="4" name="KSOTemplateDocerSaveRecord">
    <vt:lpwstr>eyJoZGlkIjoiYzFiYzAwYmRhMThhMjc3MjE4OTY4NmU5MTcwYjkwNTgiLCJ1c2VySWQiOiI3Mjg0OTkzNjgifQ==</vt:lpwstr>
  </property>
</Properties>
</file>