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7A8A7">
      <w:pPr>
        <w:pStyle w:val="3"/>
        <w:pageBreakBefore w:val="0"/>
        <w:wordWrap/>
        <w:overflowPunct/>
        <w:topLinePunct w:val="0"/>
        <w:bidi w:val="0"/>
        <w:spacing w:line="560" w:lineRule="exact"/>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8ACB8F1">
      <w:pPr>
        <w:pageBreakBefore w:val="0"/>
        <w:wordWrap/>
        <w:overflowPunct/>
        <w:topLinePunct w:val="0"/>
        <w:bidi w:val="0"/>
        <w:spacing w:line="480" w:lineRule="auto"/>
        <w:jc w:val="center"/>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48"/>
          <w:szCs w:val="48"/>
          <w:highlight w:val="none"/>
          <w:lang w:eastAsia="zh-CN"/>
        </w:rPr>
        <w:t>彬州市2025年水肥精准调控展示项目</w:t>
      </w:r>
    </w:p>
    <w:p w14:paraId="7FBA1899">
      <w:pPr>
        <w:pageBreakBefore w:val="0"/>
        <w:wordWrap/>
        <w:overflowPunct/>
        <w:topLinePunct w:val="0"/>
        <w:bidi w:val="0"/>
        <w:spacing w:line="480" w:lineRule="auto"/>
        <w:jc w:val="center"/>
        <w:rPr>
          <w:rFonts w:hint="eastAsia" w:ascii="宋体" w:hAnsi="宋体" w:eastAsia="宋体" w:cs="宋体"/>
          <w:b/>
          <w:color w:val="auto"/>
          <w:sz w:val="52"/>
          <w:szCs w:val="52"/>
          <w:highlight w:val="none"/>
          <w:lang w:eastAsia="zh-CN"/>
        </w:rPr>
      </w:pPr>
    </w:p>
    <w:p w14:paraId="7361EB2B">
      <w:pPr>
        <w:pageBreakBefore w:val="0"/>
        <w:wordWrap/>
        <w:overflowPunct/>
        <w:topLinePunct w:val="0"/>
        <w:bidi w:val="0"/>
        <w:spacing w:line="480" w:lineRule="auto"/>
        <w:jc w:val="center"/>
        <w:rPr>
          <w:rFonts w:hint="eastAsia" w:ascii="宋体" w:hAnsi="宋体" w:eastAsia="宋体" w:cs="宋体"/>
          <w:b/>
          <w:color w:val="auto"/>
          <w:sz w:val="52"/>
          <w:szCs w:val="52"/>
          <w:highlight w:val="none"/>
          <w:lang w:eastAsia="zh-CN"/>
        </w:rPr>
      </w:pPr>
      <w:r>
        <w:rPr>
          <w:rFonts w:hint="eastAsia" w:ascii="宋体" w:hAnsi="宋体" w:eastAsia="宋体" w:cs="宋体"/>
          <w:color w:val="auto"/>
          <w:highlight w:val="none"/>
        </w:rPr>
        <w:drawing>
          <wp:anchor distT="0" distB="0" distL="114300" distR="114300" simplePos="0" relativeHeight="251660288" behindDoc="1" locked="0" layoutInCell="1" allowOverlap="1">
            <wp:simplePos x="0" y="0"/>
            <wp:positionH relativeFrom="column">
              <wp:posOffset>2075815</wp:posOffset>
            </wp:positionH>
            <wp:positionV relativeFrom="paragraph">
              <wp:posOffset>234950</wp:posOffset>
            </wp:positionV>
            <wp:extent cx="1177290" cy="1049655"/>
            <wp:effectExtent l="0" t="0" r="3810" b="17145"/>
            <wp:wrapNone/>
            <wp:docPr id="1" name="图片 2" descr="嘉翔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嘉翔图标"/>
                    <pic:cNvPicPr>
                      <a:picLocks noChangeAspect="1"/>
                    </pic:cNvPicPr>
                  </pic:nvPicPr>
                  <pic:blipFill>
                    <a:blip r:embed="rId17"/>
                    <a:stretch>
                      <a:fillRect/>
                    </a:stretch>
                  </pic:blipFill>
                  <pic:spPr>
                    <a:xfrm>
                      <a:off x="0" y="0"/>
                      <a:ext cx="1177290" cy="1049655"/>
                    </a:xfrm>
                    <a:prstGeom prst="rect">
                      <a:avLst/>
                    </a:prstGeom>
                    <a:noFill/>
                    <a:ln>
                      <a:noFill/>
                    </a:ln>
                  </pic:spPr>
                </pic:pic>
              </a:graphicData>
            </a:graphic>
          </wp:anchor>
        </w:drawing>
      </w:r>
    </w:p>
    <w:p w14:paraId="077170A8">
      <w:pPr>
        <w:pageBreakBefore w:val="0"/>
        <w:wordWrap/>
        <w:overflowPunct/>
        <w:topLinePunct w:val="0"/>
        <w:bidi w:val="0"/>
        <w:spacing w:line="480" w:lineRule="auto"/>
        <w:jc w:val="center"/>
        <w:rPr>
          <w:rFonts w:hint="eastAsia" w:ascii="宋体" w:hAnsi="宋体" w:eastAsia="宋体" w:cs="宋体"/>
          <w:b/>
          <w:color w:val="auto"/>
          <w:sz w:val="52"/>
          <w:szCs w:val="52"/>
          <w:highlight w:val="none"/>
          <w:lang w:eastAsia="zh-CN"/>
        </w:rPr>
      </w:pPr>
    </w:p>
    <w:p w14:paraId="306603AB">
      <w:pPr>
        <w:pageBreakBefore w:val="0"/>
        <w:wordWrap/>
        <w:overflowPunct/>
        <w:topLinePunct w:val="0"/>
        <w:bidi w:val="0"/>
        <w:spacing w:line="48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2"/>
          <w:szCs w:val="52"/>
          <w:highlight w:val="none"/>
          <w:lang w:eastAsia="zh-CN"/>
        </w:rPr>
        <w:t>竞争性磋商文</w:t>
      </w:r>
      <w:r>
        <w:rPr>
          <w:rFonts w:hint="eastAsia" w:ascii="宋体" w:hAnsi="宋体" w:eastAsia="宋体" w:cs="宋体"/>
          <w:b/>
          <w:color w:val="auto"/>
          <w:sz w:val="52"/>
          <w:szCs w:val="52"/>
          <w:highlight w:val="none"/>
        </w:rPr>
        <w:t>件</w:t>
      </w:r>
    </w:p>
    <w:p w14:paraId="0409EC8C">
      <w:pPr>
        <w:pageBreakBefore w:val="0"/>
        <w:tabs>
          <w:tab w:val="left" w:pos="2345"/>
          <w:tab w:val="center" w:pos="4716"/>
        </w:tabs>
        <w:wordWrap/>
        <w:overflowPunct/>
        <w:topLinePunct w:val="0"/>
        <w:bidi w:val="0"/>
        <w:spacing w:line="560" w:lineRule="exact"/>
        <w:jc w:val="cente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项目编号：JXZB2026-004</w:t>
      </w:r>
    </w:p>
    <w:p w14:paraId="17AA5699">
      <w:pPr>
        <w:pageBreakBefore w:val="0"/>
        <w:wordWrap/>
        <w:overflowPunct/>
        <w:topLinePunct w:val="0"/>
        <w:bidi w:val="0"/>
        <w:spacing w:line="560" w:lineRule="exact"/>
        <w:jc w:val="center"/>
        <w:rPr>
          <w:rFonts w:hint="eastAsia" w:ascii="宋体" w:hAnsi="宋体" w:eastAsia="宋体" w:cs="宋体"/>
          <w:color w:val="auto"/>
          <w:sz w:val="28"/>
          <w:szCs w:val="28"/>
          <w:highlight w:val="none"/>
        </w:rPr>
      </w:pPr>
    </w:p>
    <w:p w14:paraId="4AEFBBEA">
      <w:pPr>
        <w:pageBreakBefore w:val="0"/>
        <w:wordWrap/>
        <w:overflowPunct/>
        <w:topLinePunct w:val="0"/>
        <w:bidi w:val="0"/>
        <w:spacing w:line="560" w:lineRule="exact"/>
        <w:jc w:val="center"/>
        <w:rPr>
          <w:rFonts w:hint="eastAsia" w:ascii="宋体" w:hAnsi="宋体" w:eastAsia="宋体" w:cs="宋体"/>
          <w:b/>
          <w:color w:val="auto"/>
          <w:sz w:val="44"/>
          <w:szCs w:val="44"/>
          <w:highlight w:val="none"/>
        </w:rPr>
      </w:pPr>
    </w:p>
    <w:p w14:paraId="6D2805AB">
      <w:pPr>
        <w:pStyle w:val="11"/>
        <w:pageBreakBefore w:val="0"/>
        <w:wordWrap/>
        <w:overflowPunct/>
        <w:topLinePunct w:val="0"/>
        <w:bidi w:val="0"/>
        <w:spacing w:line="560" w:lineRule="exact"/>
        <w:rPr>
          <w:rFonts w:hint="eastAsia" w:ascii="宋体" w:hAnsi="宋体" w:eastAsia="宋体" w:cs="宋体"/>
          <w:color w:val="auto"/>
          <w:highlight w:val="none"/>
        </w:rPr>
      </w:pPr>
    </w:p>
    <w:p w14:paraId="26DE13BF">
      <w:pPr>
        <w:rPr>
          <w:rFonts w:hint="eastAsia" w:ascii="宋体" w:hAnsi="宋体" w:eastAsia="宋体" w:cs="宋体"/>
          <w:color w:val="auto"/>
          <w:highlight w:val="none"/>
        </w:rPr>
      </w:pPr>
    </w:p>
    <w:p w14:paraId="023E7480">
      <w:pPr>
        <w:pStyle w:val="9"/>
        <w:ind w:left="0" w:leftChars="0" w:firstLine="0" w:firstLineChars="0"/>
        <w:rPr>
          <w:rFonts w:hint="eastAsia" w:ascii="宋体" w:hAnsi="宋体" w:eastAsia="宋体" w:cs="宋体"/>
          <w:color w:val="auto"/>
          <w:highlight w:val="none"/>
        </w:rPr>
      </w:pPr>
    </w:p>
    <w:p w14:paraId="5C03A43D">
      <w:pPr>
        <w:spacing w:line="900" w:lineRule="exact"/>
        <w:jc w:val="center"/>
        <w:rPr>
          <w:rFonts w:hint="default" w:ascii="宋体" w:hAnsi="宋体" w:eastAsia="宋体" w:cs="宋体"/>
          <w:b/>
          <w:color w:val="auto"/>
          <w:kern w:val="21"/>
          <w:sz w:val="32"/>
          <w:szCs w:val="32"/>
          <w:highlight w:val="none"/>
          <w:lang w:val="en-US" w:eastAsia="zh-CN"/>
        </w:rPr>
      </w:pPr>
      <w:bookmarkStart w:id="0" w:name="_Toc24885"/>
      <w:bookmarkStart w:id="1" w:name="_Toc31074"/>
      <w:bookmarkStart w:id="2" w:name="_Toc7167"/>
      <w:bookmarkStart w:id="3" w:name="_Toc2750"/>
      <w:bookmarkStart w:id="4" w:name="_Toc26299"/>
      <w:r>
        <w:rPr>
          <w:rFonts w:hint="eastAsia" w:ascii="宋体" w:hAnsi="宋体" w:eastAsia="宋体" w:cs="宋体"/>
          <w:b/>
          <w:color w:val="auto"/>
          <w:kern w:val="21"/>
          <w:sz w:val="32"/>
          <w:szCs w:val="32"/>
          <w:highlight w:val="none"/>
          <w:lang w:eastAsia="zh-CN"/>
        </w:rPr>
        <w:t>采</w:t>
      </w:r>
      <w:r>
        <w:rPr>
          <w:rFonts w:hint="eastAsia" w:ascii="宋体" w:hAnsi="宋体" w:eastAsia="宋体" w:cs="宋体"/>
          <w:b/>
          <w:color w:val="auto"/>
          <w:kern w:val="21"/>
          <w:sz w:val="32"/>
          <w:szCs w:val="32"/>
          <w:highlight w:val="none"/>
          <w:lang w:val="en-US" w:eastAsia="zh-CN"/>
        </w:rPr>
        <w:t xml:space="preserve">   </w:t>
      </w:r>
      <w:r>
        <w:rPr>
          <w:rFonts w:hint="eastAsia" w:ascii="宋体" w:hAnsi="宋体" w:eastAsia="宋体" w:cs="宋体"/>
          <w:b/>
          <w:color w:val="auto"/>
          <w:kern w:val="21"/>
          <w:sz w:val="32"/>
          <w:szCs w:val="32"/>
          <w:highlight w:val="none"/>
          <w:lang w:eastAsia="zh-CN"/>
        </w:rPr>
        <w:t>购</w:t>
      </w:r>
      <w:r>
        <w:rPr>
          <w:rFonts w:hint="eastAsia" w:ascii="宋体" w:hAnsi="宋体" w:eastAsia="宋体" w:cs="宋体"/>
          <w:b/>
          <w:color w:val="auto"/>
          <w:kern w:val="21"/>
          <w:sz w:val="32"/>
          <w:szCs w:val="32"/>
          <w:highlight w:val="none"/>
        </w:rPr>
        <w:t xml:space="preserve"> </w:t>
      </w:r>
      <w:r>
        <w:rPr>
          <w:rFonts w:hint="eastAsia" w:ascii="宋体" w:hAnsi="宋体" w:cs="宋体"/>
          <w:b/>
          <w:color w:val="auto"/>
          <w:kern w:val="21"/>
          <w:sz w:val="32"/>
          <w:szCs w:val="32"/>
          <w:highlight w:val="none"/>
          <w:lang w:val="en-US" w:eastAsia="zh-CN"/>
        </w:rPr>
        <w:t xml:space="preserve"> </w:t>
      </w:r>
      <w:r>
        <w:rPr>
          <w:rFonts w:hint="eastAsia" w:ascii="宋体" w:hAnsi="宋体" w:eastAsia="宋体" w:cs="宋体"/>
          <w:b/>
          <w:color w:val="auto"/>
          <w:kern w:val="21"/>
          <w:sz w:val="32"/>
          <w:szCs w:val="32"/>
          <w:highlight w:val="none"/>
        </w:rPr>
        <w:t xml:space="preserve"> 人：</w:t>
      </w:r>
      <w:r>
        <w:rPr>
          <w:rFonts w:hint="eastAsia" w:ascii="宋体" w:hAnsi="宋体" w:cs="宋体"/>
          <w:b/>
          <w:color w:val="auto"/>
          <w:kern w:val="21"/>
          <w:sz w:val="32"/>
          <w:szCs w:val="32"/>
          <w:highlight w:val="none"/>
          <w:lang w:eastAsia="zh-CN"/>
        </w:rPr>
        <w:t>彬州市</w:t>
      </w:r>
      <w:r>
        <w:rPr>
          <w:rFonts w:hint="eastAsia" w:ascii="宋体" w:hAnsi="宋体" w:cs="宋体"/>
          <w:b/>
          <w:color w:val="auto"/>
          <w:kern w:val="21"/>
          <w:sz w:val="32"/>
          <w:szCs w:val="32"/>
          <w:highlight w:val="none"/>
          <w:lang w:val="en-US" w:eastAsia="zh-CN"/>
        </w:rPr>
        <w:t>农业技术推广中心</w:t>
      </w:r>
    </w:p>
    <w:p w14:paraId="06DEB879">
      <w:pPr>
        <w:spacing w:line="900" w:lineRule="exact"/>
        <w:jc w:val="center"/>
        <w:rPr>
          <w:rFonts w:hint="eastAsia" w:ascii="宋体" w:hAnsi="宋体" w:eastAsia="宋体" w:cs="宋体"/>
          <w:b/>
          <w:color w:val="auto"/>
          <w:kern w:val="21"/>
          <w:sz w:val="32"/>
          <w:szCs w:val="32"/>
          <w:highlight w:val="none"/>
        </w:rPr>
      </w:pPr>
      <w:r>
        <w:rPr>
          <w:rFonts w:hint="eastAsia" w:ascii="宋体" w:hAnsi="宋体" w:eastAsia="宋体" w:cs="宋体"/>
          <w:b/>
          <w:color w:val="auto"/>
          <w:kern w:val="21"/>
          <w:sz w:val="32"/>
          <w:szCs w:val="32"/>
          <w:highlight w:val="none"/>
          <w:lang w:eastAsia="zh-CN"/>
        </w:rPr>
        <w:t>采购</w:t>
      </w:r>
      <w:r>
        <w:rPr>
          <w:rFonts w:hint="eastAsia" w:ascii="宋体" w:hAnsi="宋体" w:eastAsia="宋体" w:cs="宋体"/>
          <w:b/>
          <w:color w:val="auto"/>
          <w:kern w:val="21"/>
          <w:sz w:val="32"/>
          <w:szCs w:val="32"/>
          <w:highlight w:val="none"/>
        </w:rPr>
        <w:t>代理机构：嘉翔项目管理有限公司</w:t>
      </w:r>
    </w:p>
    <w:p w14:paraId="06FE098F">
      <w:pPr>
        <w:spacing w:line="900" w:lineRule="exact"/>
        <w:jc w:val="center"/>
        <w:rPr>
          <w:rFonts w:hint="eastAsia" w:ascii="宋体" w:hAnsi="宋体" w:eastAsia="宋体" w:cs="宋体"/>
          <w:color w:val="auto"/>
          <w:kern w:val="21"/>
          <w:sz w:val="32"/>
          <w:szCs w:val="32"/>
          <w:highlight w:val="none"/>
        </w:rPr>
        <w:sectPr>
          <w:headerReference r:id="rId5" w:type="default"/>
          <w:footerReference r:id="rId6" w:type="default"/>
          <w:pgSz w:w="11906" w:h="16838"/>
          <w:pgMar w:top="1440" w:right="1800" w:bottom="1440" w:left="1800" w:header="851" w:footer="992" w:gutter="0"/>
          <w:pgNumType w:fmt="decimal"/>
          <w:cols w:space="720" w:num="1"/>
          <w:docGrid w:linePitch="312" w:charSpace="0"/>
        </w:sectPr>
      </w:pPr>
      <w:r>
        <w:rPr>
          <w:rFonts w:hint="eastAsia" w:ascii="宋体" w:hAnsi="宋体" w:eastAsia="宋体" w:cs="宋体"/>
          <w:b/>
          <w:color w:val="auto"/>
          <w:kern w:val="21"/>
          <w:sz w:val="32"/>
          <w:szCs w:val="32"/>
          <w:highlight w:val="none"/>
        </w:rPr>
        <w:t>二〇</w:t>
      </w:r>
      <w:r>
        <w:rPr>
          <w:rFonts w:hint="eastAsia" w:ascii="宋体" w:hAnsi="宋体" w:eastAsia="宋体" w:cs="宋体"/>
          <w:b/>
          <w:color w:val="auto"/>
          <w:kern w:val="21"/>
          <w:sz w:val="32"/>
          <w:szCs w:val="32"/>
          <w:highlight w:val="none"/>
          <w:lang w:eastAsia="zh-CN"/>
        </w:rPr>
        <w:t>二</w:t>
      </w:r>
      <w:r>
        <w:rPr>
          <w:rFonts w:hint="eastAsia" w:ascii="宋体" w:hAnsi="宋体" w:cs="宋体"/>
          <w:b/>
          <w:color w:val="auto"/>
          <w:kern w:val="21"/>
          <w:sz w:val="32"/>
          <w:szCs w:val="32"/>
          <w:highlight w:val="none"/>
          <w:lang w:val="en-US" w:eastAsia="zh-CN"/>
        </w:rPr>
        <w:t>六</w:t>
      </w:r>
      <w:r>
        <w:rPr>
          <w:rFonts w:hint="eastAsia" w:ascii="宋体" w:hAnsi="宋体" w:eastAsia="宋体" w:cs="宋体"/>
          <w:b/>
          <w:color w:val="auto"/>
          <w:kern w:val="21"/>
          <w:sz w:val="32"/>
          <w:szCs w:val="32"/>
          <w:highlight w:val="none"/>
        </w:rPr>
        <w:t>年</w:t>
      </w:r>
      <w:r>
        <w:rPr>
          <w:rFonts w:hint="eastAsia" w:ascii="宋体" w:hAnsi="宋体" w:cs="宋体"/>
          <w:b/>
          <w:color w:val="auto"/>
          <w:kern w:val="21"/>
          <w:sz w:val="32"/>
          <w:szCs w:val="32"/>
          <w:highlight w:val="none"/>
          <w:lang w:val="en-US" w:eastAsia="zh-CN"/>
        </w:rPr>
        <w:t>一</w:t>
      </w:r>
      <w:r>
        <w:rPr>
          <w:rFonts w:hint="eastAsia" w:ascii="宋体" w:hAnsi="宋体" w:eastAsia="宋体" w:cs="宋体"/>
          <w:b/>
          <w:color w:val="auto"/>
          <w:kern w:val="21"/>
          <w:sz w:val="32"/>
          <w:szCs w:val="32"/>
          <w:highlight w:val="none"/>
        </w:rPr>
        <w:t>月</w:t>
      </w:r>
    </w:p>
    <w:p w14:paraId="47AED5E2">
      <w:pPr>
        <w:pageBreakBefore w:val="0"/>
        <w:wordWrap/>
        <w:overflowPunct/>
        <w:topLinePunct w:val="0"/>
        <w:bidi w:val="0"/>
        <w:spacing w:line="560" w:lineRule="exact"/>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lang w:val="zh-CN"/>
        </w:rPr>
        <w:t>目</w:t>
      </w:r>
      <w:r>
        <w:rPr>
          <w:rFonts w:hint="eastAsia" w:ascii="宋体" w:hAnsi="宋体" w:eastAsia="宋体" w:cs="宋体"/>
          <w:b/>
          <w:bCs/>
          <w:color w:val="auto"/>
          <w:sz w:val="36"/>
          <w:szCs w:val="36"/>
          <w:highlight w:val="none"/>
        </w:rPr>
        <w:t xml:space="preserve">   </w:t>
      </w:r>
      <w:r>
        <w:rPr>
          <w:rFonts w:hint="eastAsia" w:ascii="宋体" w:hAnsi="宋体" w:eastAsia="宋体" w:cs="宋体"/>
          <w:b/>
          <w:bCs/>
          <w:color w:val="auto"/>
          <w:sz w:val="36"/>
          <w:szCs w:val="36"/>
          <w:highlight w:val="none"/>
          <w:lang w:val="zh-CN"/>
        </w:rPr>
        <w:t xml:space="preserve"> 录</w:t>
      </w:r>
      <w:bookmarkEnd w:id="0"/>
      <w:bookmarkEnd w:id="1"/>
      <w:bookmarkEnd w:id="2"/>
      <w:bookmarkEnd w:id="3"/>
      <w:bookmarkEnd w:id="4"/>
    </w:p>
    <w:sdt>
      <w:sdtPr>
        <w:rPr>
          <w:rFonts w:hint="eastAsia" w:ascii="宋体" w:hAnsi="宋体" w:eastAsia="宋体" w:cs="宋体"/>
          <w:color w:val="auto"/>
          <w:sz w:val="21"/>
          <w:highlight w:val="none"/>
          <w:u w:val="none" w:color="000000"/>
          <w:lang w:val="en-US" w:eastAsia="zh-CN" w:bidi="ar-SA"/>
        </w:rPr>
        <w:id w:val="147458443"/>
        <w15:color w:val="DBDBDB"/>
        <w:docPartObj>
          <w:docPartGallery w:val="Table of Contents"/>
          <w:docPartUnique/>
        </w:docPartObj>
      </w:sdtPr>
      <w:sdtEndPr>
        <w:rPr>
          <w:rFonts w:hint="eastAsia" w:ascii="宋体" w:hAnsi="宋体" w:eastAsia="宋体" w:cs="宋体"/>
          <w:color w:val="auto"/>
          <w:sz w:val="21"/>
          <w:highlight w:val="none"/>
          <w:u w:val="none" w:color="000000"/>
          <w:lang w:val="en-US" w:eastAsia="zh-CN" w:bidi="ar-SA"/>
        </w:rPr>
      </w:sdtEndPr>
      <w:sdtContent>
        <w:p w14:paraId="6092D300">
          <w:pPr>
            <w:spacing w:before="0" w:beforeLines="0" w:after="0" w:afterLines="0" w:line="240" w:lineRule="auto"/>
            <w:ind w:left="0" w:leftChars="0" w:right="0" w:rightChars="0" w:firstLine="0" w:firstLineChars="0"/>
            <w:jc w:val="center"/>
            <w:rPr>
              <w:rFonts w:hint="eastAsia" w:ascii="宋体" w:hAnsi="宋体" w:eastAsia="宋体" w:cs="宋体"/>
              <w:color w:val="auto"/>
              <w:highlight w:val="none"/>
            </w:rPr>
          </w:pPr>
        </w:p>
        <w:p w14:paraId="1EFE4580">
          <w:pPr>
            <w:pStyle w:val="17"/>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baseline"/>
            <w:rPr>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\h \u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_Toc413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第一部分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_Toc413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3BA86A9">
          <w:pPr>
            <w:pStyle w:val="17"/>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baseline"/>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_Toc13083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第二部分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_Toc13083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3E8F2BF">
          <w:pPr>
            <w:pStyle w:val="17"/>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baseline"/>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_Toc31651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44"/>
              <w:sz w:val="28"/>
              <w:szCs w:val="28"/>
              <w:highlight w:val="none"/>
              <w:lang w:val="en-US" w:eastAsia="zh-CN" w:bidi="ar-SA"/>
            </w:rPr>
            <w:t>第三部分</w:t>
          </w:r>
          <w:r>
            <w:rPr>
              <w:rFonts w:hint="eastAsia" w:ascii="宋体" w:hAnsi="宋体" w:eastAsia="宋体" w:cs="宋体"/>
              <w:color w:val="auto"/>
              <w:sz w:val="28"/>
              <w:szCs w:val="28"/>
              <w:highlight w:val="none"/>
              <w:lang w:val="zh-CN"/>
            </w:rPr>
            <w:t xml:space="preserve"> 磋商项目技术、服务、商务及其他要求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_Toc31651 \h </w:instrText>
          </w:r>
          <w:r>
            <w:rPr>
              <w:color w:val="auto"/>
              <w:sz w:val="28"/>
              <w:szCs w:val="28"/>
              <w:highlight w:val="none"/>
            </w:rPr>
            <w:fldChar w:fldCharType="separate"/>
          </w:r>
          <w:r>
            <w:rPr>
              <w:color w:val="auto"/>
              <w:sz w:val="28"/>
              <w:szCs w:val="28"/>
              <w:highlight w:val="none"/>
            </w:rPr>
            <w:t>29</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3D0E88A">
          <w:pPr>
            <w:pStyle w:val="17"/>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baseline"/>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_Toc32306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44"/>
              <w:sz w:val="28"/>
              <w:szCs w:val="28"/>
              <w:highlight w:val="none"/>
              <w:lang w:val="en-US" w:eastAsia="zh-CN" w:bidi="ar-SA"/>
            </w:rPr>
            <w:t>第四部分</w:t>
          </w:r>
          <w:r>
            <w:rPr>
              <w:rFonts w:hint="eastAsia" w:ascii="宋体" w:hAnsi="宋体" w:eastAsia="宋体" w:cs="宋体"/>
              <w:color w:val="auto"/>
              <w:sz w:val="28"/>
              <w:szCs w:val="28"/>
              <w:highlight w:val="none"/>
              <w:lang w:val="zh-CN"/>
            </w:rPr>
            <w:t xml:space="preserve"> </w:t>
          </w:r>
          <w:r>
            <w:rPr>
              <w:rFonts w:hint="eastAsia" w:ascii="宋体" w:hAnsi="宋体" w:eastAsia="宋体" w:cs="宋体"/>
              <w:color w:val="auto"/>
              <w:sz w:val="28"/>
              <w:szCs w:val="28"/>
              <w:highlight w:val="none"/>
              <w:lang w:eastAsia="zh-CN"/>
            </w:rPr>
            <w:t>工程量清单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_Toc32306 \h </w:instrText>
          </w:r>
          <w:r>
            <w:rPr>
              <w:color w:val="auto"/>
              <w:sz w:val="28"/>
              <w:szCs w:val="28"/>
              <w:highlight w:val="none"/>
            </w:rPr>
            <w:fldChar w:fldCharType="separate"/>
          </w:r>
          <w:r>
            <w:rPr>
              <w:color w:val="auto"/>
              <w:sz w:val="28"/>
              <w:szCs w:val="28"/>
              <w:highlight w:val="none"/>
            </w:rPr>
            <w:t>32</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F757F26">
          <w:pPr>
            <w:pStyle w:val="17"/>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baseline"/>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_Toc18559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第五部分</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合同</w:t>
          </w:r>
          <w:r>
            <w:rPr>
              <w:rFonts w:hint="eastAsia" w:ascii="宋体" w:hAnsi="宋体" w:eastAsia="宋体" w:cs="宋体"/>
              <w:color w:val="auto"/>
              <w:sz w:val="28"/>
              <w:szCs w:val="28"/>
              <w:highlight w:val="none"/>
              <w:lang w:eastAsia="zh-CN"/>
            </w:rPr>
            <w:t>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_Toc18559 \h </w:instrText>
          </w:r>
          <w:r>
            <w:rPr>
              <w:color w:val="auto"/>
              <w:sz w:val="28"/>
              <w:szCs w:val="28"/>
              <w:highlight w:val="none"/>
            </w:rPr>
            <w:fldChar w:fldCharType="separate"/>
          </w:r>
          <w:r>
            <w:rPr>
              <w:color w:val="auto"/>
              <w:sz w:val="28"/>
              <w:szCs w:val="28"/>
              <w:highlight w:val="none"/>
            </w:rPr>
            <w:t>39</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9FF369F">
          <w:pPr>
            <w:pStyle w:val="17"/>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baseline"/>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_Toc4114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zh-CN" w:eastAsia="zh-CN"/>
            </w:rPr>
            <w:t>第六部分</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eastAsia="zh-CN"/>
            </w:rPr>
            <w:t>竞争性磋商响应文件格式（格式）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_Toc4114 \h </w:instrText>
          </w:r>
          <w:r>
            <w:rPr>
              <w:color w:val="auto"/>
              <w:sz w:val="28"/>
              <w:szCs w:val="28"/>
              <w:highlight w:val="none"/>
            </w:rPr>
            <w:fldChar w:fldCharType="separate"/>
          </w:r>
          <w:r>
            <w:rPr>
              <w:color w:val="auto"/>
              <w:sz w:val="28"/>
              <w:szCs w:val="28"/>
              <w:highlight w:val="none"/>
            </w:rPr>
            <w:t>94</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E79B63A">
          <w:pPr>
            <w:pStyle w:val="17"/>
            <w:tabs>
              <w:tab w:val="right" w:leader="dot" w:pos="8306"/>
            </w:tabs>
            <w:rPr>
              <w:color w:val="auto"/>
              <w:highlight w:val="none"/>
            </w:rPr>
          </w:pPr>
        </w:p>
        <w:p w14:paraId="7AD5845D">
          <w:pPr>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sdtContent>
    </w:sdt>
    <w:p w14:paraId="2AA80CBC">
      <w:pPr>
        <w:pageBreakBefore w:val="0"/>
        <w:widowControl w:val="0"/>
        <w:wordWrap/>
        <w:overflowPunct/>
        <w:topLinePunct w:val="0"/>
        <w:bidi w:val="0"/>
        <w:snapToGrid w:val="0"/>
        <w:spacing w:before="312" w:beforeLines="100" w:line="560" w:lineRule="exact"/>
        <w:rPr>
          <w:rFonts w:hint="eastAsia" w:ascii="宋体" w:hAnsi="宋体" w:eastAsia="宋体" w:cs="宋体"/>
          <w:color w:val="auto"/>
          <w:sz w:val="28"/>
          <w:szCs w:val="28"/>
          <w:highlight w:val="none"/>
          <w:lang w:val="en-US" w:eastAsia="zh-CN"/>
        </w:rPr>
        <w:sectPr>
          <w:footerReference r:id="rId9" w:type="first"/>
          <w:headerReference r:id="rId7" w:type="default"/>
          <w:footerReference r:id="rId8" w:type="default"/>
          <w:pgSz w:w="11906" w:h="16838"/>
          <w:pgMar w:top="1440" w:right="1800" w:bottom="1440" w:left="1800" w:header="284" w:footer="680" w:gutter="0"/>
          <w:pgNumType w:fmt="decimal" w:start="1"/>
          <w:cols w:space="720" w:num="1"/>
          <w:titlePg/>
          <w:docGrid w:type="lines" w:linePitch="312" w:charSpace="0"/>
        </w:sectPr>
      </w:pPr>
      <w:r>
        <w:rPr>
          <w:rFonts w:hint="eastAsia" w:ascii="宋体" w:hAnsi="宋体" w:eastAsia="宋体" w:cs="宋体"/>
          <w:color w:val="auto"/>
          <w:sz w:val="28"/>
          <w:szCs w:val="28"/>
          <w:highlight w:val="none"/>
          <w:lang w:val="en-US" w:eastAsia="zh-CN"/>
        </w:rPr>
        <w:t xml:space="preserve"> </w:t>
      </w:r>
    </w:p>
    <w:p w14:paraId="6652F2D6">
      <w:pPr>
        <w:pStyle w:val="2"/>
        <w:spacing w:line="360" w:lineRule="auto"/>
        <w:jc w:val="center"/>
        <w:rPr>
          <w:rFonts w:hint="eastAsia" w:ascii="宋体" w:hAnsi="宋体" w:eastAsia="宋体" w:cs="宋体"/>
          <w:color w:val="auto"/>
          <w:highlight w:val="none"/>
          <w:lang w:val="en-US" w:eastAsia="zh-CN"/>
        </w:rPr>
      </w:pPr>
      <w:bookmarkStart w:id="5" w:name="_Toc30450"/>
      <w:bookmarkStart w:id="6" w:name="_Toc493"/>
      <w:bookmarkStart w:id="7" w:name="_Toc4494"/>
      <w:bookmarkStart w:id="8" w:name="_Toc16565"/>
      <w:bookmarkStart w:id="9" w:name="_Toc10863"/>
      <w:bookmarkStart w:id="10" w:name="_Toc413"/>
      <w:r>
        <w:rPr>
          <w:rFonts w:hint="eastAsia" w:ascii="宋体" w:hAnsi="宋体" w:eastAsia="宋体" w:cs="宋体"/>
          <w:color w:val="auto"/>
          <w:highlight w:val="none"/>
          <w:lang w:val="en-US" w:eastAsia="zh-CN"/>
        </w:rPr>
        <w:t xml:space="preserve">第一部分 </w:t>
      </w:r>
      <w:bookmarkEnd w:id="5"/>
      <w:bookmarkEnd w:id="6"/>
      <w:bookmarkEnd w:id="7"/>
      <w:bookmarkEnd w:id="8"/>
      <w:bookmarkEnd w:id="9"/>
      <w:bookmarkStart w:id="11" w:name="_Toc14394"/>
      <w:bookmarkStart w:id="12" w:name="_Toc15034"/>
      <w:bookmarkStart w:id="13" w:name="_Toc8581"/>
      <w:r>
        <w:rPr>
          <w:rFonts w:hint="eastAsia" w:ascii="宋体" w:hAnsi="宋体" w:eastAsia="宋体" w:cs="宋体"/>
          <w:color w:val="auto"/>
          <w:highlight w:val="none"/>
          <w:lang w:val="en-US" w:eastAsia="zh-CN"/>
        </w:rPr>
        <w:t>竞争性磋商公告</w:t>
      </w:r>
      <w:bookmarkEnd w:id="10"/>
    </w:p>
    <w:p w14:paraId="35D563FF">
      <w:pPr>
        <w:keepNext w:val="0"/>
        <w:keepLines w:val="0"/>
        <w:pageBreakBefore w:val="0"/>
        <w:kinsoku/>
        <w:wordWrap/>
        <w:overflowPunct/>
        <w:topLinePunct w:val="0"/>
        <w:autoSpaceDE/>
        <w:autoSpaceDN/>
        <w:bidi w:val="0"/>
        <w:adjustRightInd/>
        <w:snapToGrid/>
        <w:spacing w:line="480" w:lineRule="exact"/>
        <w:rPr>
          <w:color w:val="auto"/>
          <w:highlight w:val="none"/>
        </w:rPr>
      </w:pPr>
      <w:bookmarkStart w:id="14" w:name="_Toc9218"/>
      <w:r>
        <w:rPr>
          <w:color w:val="auto"/>
          <w:highlight w:val="none"/>
        </w:rPr>
        <w:t>项目概况</w:t>
      </w:r>
    </w:p>
    <w:p w14:paraId="68AB79A7">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color w:val="auto"/>
          <w:highlight w:val="none"/>
        </w:rPr>
        <w:t>彬州市2025年水肥精准调控展示项目</w:t>
      </w:r>
      <w:r>
        <w:rPr>
          <w:rFonts w:hint="eastAsia"/>
          <w:color w:val="auto"/>
          <w:highlight w:val="none"/>
        </w:rPr>
        <w:t>采购项目的潜在供应商应在西安曲江新区雁南五路曲江影视大厦19层获取采购文件，并于 2026年02月03日 14时00分 （北京时间）前提交响应文件。</w:t>
      </w:r>
    </w:p>
    <w:p w14:paraId="633C7C4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rPr>
        <w:t>一、项目基本情况</w:t>
      </w:r>
    </w:p>
    <w:p w14:paraId="2B2EC0A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rPr>
        <w:t>项目编号：JXZB2026-004</w:t>
      </w:r>
    </w:p>
    <w:p w14:paraId="7E8AFCB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rPr>
        <w:t>项目名称：彬州市2025年水肥精准调控展示项目</w:t>
      </w:r>
    </w:p>
    <w:p w14:paraId="4143A76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rPr>
        <w:t>采购方式：竞争性磋商</w:t>
      </w:r>
    </w:p>
    <w:p w14:paraId="6461F37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rPr>
        <w:t>预算金额：980,810.58元</w:t>
      </w:r>
    </w:p>
    <w:p w14:paraId="26EED86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rPr>
        <w:t>采购需求：</w:t>
      </w:r>
    </w:p>
    <w:p w14:paraId="771BE9D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合同包1(彬州市2025年水肥精准调控展示项目):</w:t>
      </w:r>
    </w:p>
    <w:p w14:paraId="65600C6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合同包预算金额：980,810.58元</w:t>
      </w:r>
    </w:p>
    <w:p w14:paraId="28EDBEC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合同包最高限价：980,810.58元</w:t>
      </w:r>
    </w:p>
    <w:tbl>
      <w:tblPr>
        <w:tblStyle w:val="23"/>
        <w:tblW w:w="8910" w:type="dxa"/>
        <w:tblInd w:w="2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9"/>
        <w:gridCol w:w="1933"/>
        <w:gridCol w:w="2613"/>
        <w:gridCol w:w="1230"/>
        <w:gridCol w:w="1395"/>
        <w:gridCol w:w="1200"/>
      </w:tblGrid>
      <w:tr w14:paraId="251F0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1" w:hRule="atLeast"/>
          <w:tblHeader/>
        </w:trPr>
        <w:tc>
          <w:tcPr>
            <w:tcW w:w="539"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1F294B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default"/>
                <w:color w:val="auto"/>
                <w:kern w:val="2"/>
                <w:szCs w:val="22"/>
                <w:highlight w:val="none"/>
              </w:rPr>
            </w:pPr>
            <w:r>
              <w:rPr>
                <w:rFonts w:hint="default"/>
                <w:color w:val="auto"/>
                <w:kern w:val="2"/>
                <w:szCs w:val="22"/>
                <w:highlight w:val="none"/>
                <w:lang w:val="en-US" w:eastAsia="zh-CN"/>
              </w:rPr>
              <w:t>品目号</w:t>
            </w:r>
          </w:p>
        </w:tc>
        <w:tc>
          <w:tcPr>
            <w:tcW w:w="193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4E1B3D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default"/>
                <w:color w:val="auto"/>
                <w:kern w:val="2"/>
                <w:szCs w:val="22"/>
                <w:highlight w:val="none"/>
              </w:rPr>
            </w:pPr>
            <w:r>
              <w:rPr>
                <w:rFonts w:hint="default"/>
                <w:color w:val="auto"/>
                <w:kern w:val="2"/>
                <w:szCs w:val="22"/>
                <w:highlight w:val="none"/>
                <w:lang w:val="en-US" w:eastAsia="zh-CN"/>
              </w:rPr>
              <w:t>品目名称</w:t>
            </w:r>
          </w:p>
        </w:tc>
        <w:tc>
          <w:tcPr>
            <w:tcW w:w="261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0A1F5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default"/>
                <w:color w:val="auto"/>
                <w:kern w:val="2"/>
                <w:szCs w:val="22"/>
                <w:highlight w:val="none"/>
              </w:rPr>
            </w:pPr>
            <w:r>
              <w:rPr>
                <w:rFonts w:hint="default"/>
                <w:color w:val="auto"/>
                <w:kern w:val="2"/>
                <w:szCs w:val="22"/>
                <w:highlight w:val="none"/>
                <w:lang w:val="en-US" w:eastAsia="zh-CN"/>
              </w:rPr>
              <w:t>采购标的</w:t>
            </w:r>
          </w:p>
        </w:tc>
        <w:tc>
          <w:tcPr>
            <w:tcW w:w="123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58DBF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default"/>
                <w:color w:val="auto"/>
                <w:kern w:val="2"/>
                <w:szCs w:val="22"/>
                <w:highlight w:val="none"/>
                <w:lang w:val="en-US" w:eastAsia="zh-CN"/>
              </w:rPr>
            </w:pPr>
            <w:r>
              <w:rPr>
                <w:rFonts w:hint="default"/>
                <w:color w:val="auto"/>
                <w:kern w:val="2"/>
                <w:szCs w:val="22"/>
                <w:highlight w:val="none"/>
                <w:lang w:val="en-US" w:eastAsia="zh-CN"/>
              </w:rPr>
              <w:t>数量</w:t>
            </w:r>
          </w:p>
          <w:p w14:paraId="126B0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default"/>
                <w:color w:val="auto"/>
                <w:kern w:val="2"/>
                <w:szCs w:val="22"/>
                <w:highlight w:val="none"/>
              </w:rPr>
            </w:pPr>
            <w:r>
              <w:rPr>
                <w:rFonts w:hint="default"/>
                <w:color w:val="auto"/>
                <w:kern w:val="2"/>
                <w:szCs w:val="22"/>
                <w:highlight w:val="none"/>
                <w:lang w:val="en-US" w:eastAsia="zh-CN"/>
              </w:rPr>
              <w:t>（单位）</w:t>
            </w:r>
          </w:p>
        </w:tc>
        <w:tc>
          <w:tcPr>
            <w:tcW w:w="139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85615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default"/>
                <w:color w:val="auto"/>
                <w:kern w:val="2"/>
                <w:szCs w:val="22"/>
                <w:highlight w:val="none"/>
              </w:rPr>
            </w:pPr>
            <w:r>
              <w:rPr>
                <w:rFonts w:hint="default"/>
                <w:color w:val="auto"/>
                <w:kern w:val="2"/>
                <w:szCs w:val="22"/>
                <w:highlight w:val="none"/>
                <w:lang w:val="en-US" w:eastAsia="zh-CN"/>
              </w:rPr>
              <w:t>技术规格、参数及要求</w:t>
            </w:r>
          </w:p>
        </w:tc>
        <w:tc>
          <w:tcPr>
            <w:tcW w:w="120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774FE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default"/>
                <w:color w:val="auto"/>
                <w:kern w:val="2"/>
                <w:szCs w:val="22"/>
                <w:highlight w:val="none"/>
              </w:rPr>
            </w:pPr>
            <w:r>
              <w:rPr>
                <w:rFonts w:hint="default"/>
                <w:color w:val="auto"/>
                <w:kern w:val="2"/>
                <w:szCs w:val="22"/>
                <w:highlight w:val="none"/>
                <w:lang w:val="en-US" w:eastAsia="zh-CN"/>
              </w:rPr>
              <w:t>品目预算(元)</w:t>
            </w:r>
          </w:p>
        </w:tc>
      </w:tr>
      <w:tr w14:paraId="1733A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trPr>
        <w:tc>
          <w:tcPr>
            <w:tcW w:w="539"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3AE811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default"/>
                <w:color w:val="auto"/>
                <w:kern w:val="2"/>
                <w:szCs w:val="22"/>
                <w:highlight w:val="none"/>
              </w:rPr>
            </w:pPr>
            <w:r>
              <w:rPr>
                <w:rFonts w:hint="default"/>
                <w:color w:val="auto"/>
                <w:kern w:val="2"/>
                <w:szCs w:val="22"/>
                <w:highlight w:val="none"/>
                <w:lang w:val="en-US" w:eastAsia="zh-CN"/>
              </w:rPr>
              <w:t>1-1</w:t>
            </w:r>
          </w:p>
        </w:tc>
        <w:tc>
          <w:tcPr>
            <w:tcW w:w="193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4E460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default"/>
                <w:color w:val="auto"/>
                <w:kern w:val="2"/>
                <w:szCs w:val="22"/>
                <w:highlight w:val="none"/>
              </w:rPr>
            </w:pPr>
            <w:r>
              <w:rPr>
                <w:rFonts w:hint="default"/>
                <w:color w:val="auto"/>
                <w:kern w:val="2"/>
                <w:szCs w:val="22"/>
                <w:highlight w:val="none"/>
                <w:lang w:val="en-US" w:eastAsia="zh-CN"/>
              </w:rPr>
              <w:t>其他农林牧渔业工程施工</w:t>
            </w:r>
          </w:p>
        </w:tc>
        <w:tc>
          <w:tcPr>
            <w:tcW w:w="261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7B37D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default"/>
                <w:color w:val="auto"/>
                <w:kern w:val="2"/>
                <w:szCs w:val="22"/>
                <w:highlight w:val="none"/>
              </w:rPr>
            </w:pPr>
            <w:r>
              <w:rPr>
                <w:rFonts w:hint="default"/>
                <w:color w:val="auto"/>
                <w:kern w:val="2"/>
                <w:szCs w:val="22"/>
                <w:highlight w:val="none"/>
                <w:lang w:val="en-US" w:eastAsia="zh-CN"/>
              </w:rPr>
              <w:t>彬州市2025年水肥精准调控展示项目</w:t>
            </w:r>
          </w:p>
        </w:tc>
        <w:tc>
          <w:tcPr>
            <w:tcW w:w="123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34D886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default"/>
                <w:color w:val="auto"/>
                <w:kern w:val="2"/>
                <w:szCs w:val="22"/>
                <w:highlight w:val="none"/>
              </w:rPr>
            </w:pPr>
            <w:r>
              <w:rPr>
                <w:rFonts w:hint="default"/>
                <w:color w:val="auto"/>
                <w:kern w:val="2"/>
                <w:szCs w:val="22"/>
                <w:highlight w:val="none"/>
                <w:lang w:val="en-US" w:eastAsia="zh-CN"/>
              </w:rPr>
              <w:t>1(项)</w:t>
            </w:r>
          </w:p>
        </w:tc>
        <w:tc>
          <w:tcPr>
            <w:tcW w:w="139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4392B1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default"/>
                <w:color w:val="auto"/>
                <w:kern w:val="2"/>
                <w:szCs w:val="22"/>
                <w:highlight w:val="none"/>
                <w:lang w:val="en-US" w:eastAsia="zh-CN"/>
              </w:rPr>
            </w:pPr>
            <w:r>
              <w:rPr>
                <w:rFonts w:hint="default"/>
                <w:color w:val="auto"/>
                <w:kern w:val="2"/>
                <w:szCs w:val="22"/>
                <w:highlight w:val="none"/>
                <w:lang w:val="en-US" w:eastAsia="zh-CN"/>
              </w:rPr>
              <w:t>详见采购</w:t>
            </w:r>
          </w:p>
          <w:p w14:paraId="2C1BC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default"/>
                <w:color w:val="auto"/>
                <w:kern w:val="2"/>
                <w:szCs w:val="22"/>
                <w:highlight w:val="none"/>
              </w:rPr>
            </w:pPr>
            <w:r>
              <w:rPr>
                <w:rFonts w:hint="default"/>
                <w:color w:val="auto"/>
                <w:kern w:val="2"/>
                <w:szCs w:val="22"/>
                <w:highlight w:val="none"/>
                <w:lang w:val="en-US" w:eastAsia="zh-CN"/>
              </w:rPr>
              <w:t>文件</w:t>
            </w:r>
          </w:p>
        </w:tc>
        <w:tc>
          <w:tcPr>
            <w:tcW w:w="120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593EA3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default"/>
                <w:color w:val="auto"/>
                <w:kern w:val="2"/>
                <w:szCs w:val="22"/>
                <w:highlight w:val="none"/>
              </w:rPr>
            </w:pPr>
            <w:r>
              <w:rPr>
                <w:rFonts w:hint="default"/>
                <w:color w:val="auto"/>
                <w:kern w:val="2"/>
                <w:szCs w:val="22"/>
                <w:highlight w:val="none"/>
                <w:lang w:val="en-US" w:eastAsia="zh-CN"/>
              </w:rPr>
              <w:t>980,810.58</w:t>
            </w:r>
          </w:p>
        </w:tc>
      </w:tr>
    </w:tbl>
    <w:p w14:paraId="2FCA6FC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本合同包不接受联合体投标</w:t>
      </w:r>
    </w:p>
    <w:p w14:paraId="5724E6F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合同履行期限：120日历天</w:t>
      </w:r>
    </w:p>
    <w:p w14:paraId="3422D7A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rPr>
        <w:t>二、申请人的资格要求：</w:t>
      </w:r>
    </w:p>
    <w:p w14:paraId="5B7D8FF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1.满足《中华人民共和国政府采购法》第二十二条规定;</w:t>
      </w:r>
    </w:p>
    <w:p w14:paraId="6088F12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2.落实政府采购政策需满足的资格要求：</w:t>
      </w:r>
    </w:p>
    <w:p w14:paraId="2846EE3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合同包1(彬州市2025年水肥精准调控展示项目)落实政府采购政策需满足的资格要求如下:</w:t>
      </w:r>
    </w:p>
    <w:p w14:paraId="59341FF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本项目专门面向中小企业采购。</w:t>
      </w:r>
    </w:p>
    <w:p w14:paraId="76D3F5E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3.本项目的特定资格要求：</w:t>
      </w:r>
    </w:p>
    <w:p w14:paraId="72FDC15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合同包1(彬州市2025年水肥精准调控展示项目)特定资格要求如下:</w:t>
      </w:r>
    </w:p>
    <w:p w14:paraId="5496EEE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1）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r>
        <w:rPr>
          <w:rFonts w:hint="eastAsia"/>
          <w:color w:val="auto"/>
          <w:highlight w:val="none"/>
        </w:rPr>
        <w:br w:type="textWrapping"/>
      </w:r>
      <w:r>
        <w:rPr>
          <w:rFonts w:hint="eastAsia"/>
          <w:color w:val="auto"/>
          <w:highlight w:val="none"/>
          <w:lang w:val="en-US" w:eastAsia="zh-CN"/>
        </w:rPr>
        <w:t xml:space="preserve">    </w:t>
      </w:r>
      <w:r>
        <w:rPr>
          <w:rFonts w:hint="eastAsia"/>
          <w:color w:val="auto"/>
          <w:highlight w:val="none"/>
        </w:rPr>
        <w:t>（2）供应商须具备水利水电工程施工总承包三级(含三级)及以上资质，具有有效的安全生产许可证；</w:t>
      </w:r>
      <w:r>
        <w:rPr>
          <w:rFonts w:hint="eastAsia"/>
          <w:color w:val="auto"/>
          <w:highlight w:val="none"/>
        </w:rPr>
        <w:br w:type="textWrapping"/>
      </w:r>
      <w:r>
        <w:rPr>
          <w:rFonts w:hint="eastAsia"/>
          <w:color w:val="auto"/>
          <w:highlight w:val="none"/>
          <w:lang w:val="en-US" w:eastAsia="zh-CN"/>
        </w:rPr>
        <w:t xml:space="preserve">    </w:t>
      </w:r>
      <w:r>
        <w:rPr>
          <w:rFonts w:hint="eastAsia"/>
          <w:color w:val="auto"/>
          <w:highlight w:val="none"/>
        </w:rPr>
        <w:t>（3）拟派项目经理须具备水利水电工程专业二级及以上注册建造师资格，并具备有效的安全生产考核合格证书，在本单位注册，无在建项目；</w:t>
      </w:r>
      <w:r>
        <w:rPr>
          <w:rFonts w:hint="eastAsia"/>
          <w:color w:val="auto"/>
          <w:highlight w:val="none"/>
        </w:rPr>
        <w:br w:type="textWrapping"/>
      </w:r>
      <w:r>
        <w:rPr>
          <w:rFonts w:hint="eastAsia"/>
          <w:color w:val="auto"/>
          <w:highlight w:val="none"/>
          <w:lang w:val="en-US" w:eastAsia="zh-CN"/>
        </w:rPr>
        <w:t xml:space="preserve">    </w:t>
      </w:r>
      <w:r>
        <w:rPr>
          <w:rFonts w:hint="eastAsia"/>
          <w:color w:val="auto"/>
          <w:highlight w:val="none"/>
        </w:rPr>
        <w:t>（4）供应商基本信息要求：供应商资质基本信息及项目经理（注册建造师）执业基本信息应在“陕西省住房和城乡建设厅（http://js.shaanxi.gov.cn/）”相关平台可查询；</w:t>
      </w:r>
      <w:r>
        <w:rPr>
          <w:rFonts w:hint="eastAsia"/>
          <w:color w:val="auto"/>
          <w:highlight w:val="none"/>
        </w:rPr>
        <w:br w:type="textWrapping"/>
      </w:r>
      <w:r>
        <w:rPr>
          <w:rFonts w:hint="eastAsia"/>
          <w:color w:val="auto"/>
          <w:highlight w:val="none"/>
          <w:lang w:val="en-US" w:eastAsia="zh-CN"/>
        </w:rPr>
        <w:t xml:space="preserve">    </w:t>
      </w:r>
      <w:r>
        <w:rPr>
          <w:rFonts w:hint="eastAsia"/>
          <w:color w:val="auto"/>
          <w:highlight w:val="none"/>
        </w:rPr>
        <w:t>（5）提供2024年度经审计的财务报告，或提交自2025年06月01日以来其基本开户银行出具的资信证明，或信用担保机构出具的投标担保函（以上三种形式的资料提供任何一种即可）；其他组织和自然人提供银行出具的资信证明或财务报表；</w:t>
      </w:r>
      <w:r>
        <w:rPr>
          <w:rFonts w:hint="eastAsia"/>
          <w:color w:val="auto"/>
          <w:highlight w:val="none"/>
        </w:rPr>
        <w:br w:type="textWrapping"/>
      </w:r>
      <w:r>
        <w:rPr>
          <w:rFonts w:hint="eastAsia"/>
          <w:color w:val="auto"/>
          <w:highlight w:val="none"/>
          <w:lang w:val="en-US" w:eastAsia="zh-CN"/>
        </w:rPr>
        <w:t xml:space="preserve">    </w:t>
      </w:r>
      <w:r>
        <w:rPr>
          <w:rFonts w:hint="eastAsia"/>
          <w:color w:val="auto"/>
          <w:highlight w:val="none"/>
        </w:rPr>
        <w:t>（6）提供供应商2025年至今任意一个月已缴纳的完税凭证或税务机关开具的完税证明（任意税种），依法免税的单位应提供相关证明材料；</w:t>
      </w:r>
      <w:r>
        <w:rPr>
          <w:rFonts w:hint="eastAsia"/>
          <w:color w:val="auto"/>
          <w:highlight w:val="none"/>
        </w:rPr>
        <w:br w:type="textWrapping"/>
      </w:r>
      <w:r>
        <w:rPr>
          <w:rFonts w:hint="eastAsia"/>
          <w:color w:val="auto"/>
          <w:highlight w:val="none"/>
          <w:lang w:val="en-US" w:eastAsia="zh-CN"/>
        </w:rPr>
        <w:t xml:space="preserve">    </w:t>
      </w:r>
      <w:r>
        <w:rPr>
          <w:rFonts w:hint="eastAsia"/>
          <w:color w:val="auto"/>
          <w:highlight w:val="none"/>
        </w:rPr>
        <w:t>（7）提供供应商2025年至今任意一个月的社会保障资金缴存单据或社保机构开具的社会保险参保缴费情况证明。依法不需要缴纳社会保障资金的供应商应提供相关证明文件；</w:t>
      </w:r>
      <w:r>
        <w:rPr>
          <w:rFonts w:hint="eastAsia"/>
          <w:color w:val="auto"/>
          <w:highlight w:val="none"/>
        </w:rPr>
        <w:br w:type="textWrapping"/>
      </w:r>
      <w:r>
        <w:rPr>
          <w:rFonts w:hint="eastAsia"/>
          <w:color w:val="auto"/>
          <w:highlight w:val="none"/>
          <w:lang w:val="en-US" w:eastAsia="zh-CN"/>
        </w:rPr>
        <w:t xml:space="preserve">    </w:t>
      </w:r>
      <w:r>
        <w:rPr>
          <w:rFonts w:hint="eastAsia"/>
          <w:color w:val="auto"/>
          <w:highlight w:val="none"/>
        </w:rPr>
        <w:t>（8）提供具有履行本合同所必需的设备和专业技术能力的声明；</w:t>
      </w:r>
      <w:r>
        <w:rPr>
          <w:rFonts w:hint="eastAsia"/>
          <w:color w:val="auto"/>
          <w:highlight w:val="none"/>
        </w:rPr>
        <w:br w:type="textWrapping"/>
      </w:r>
      <w:r>
        <w:rPr>
          <w:rFonts w:hint="eastAsia"/>
          <w:color w:val="auto"/>
          <w:highlight w:val="none"/>
          <w:lang w:val="en-US" w:eastAsia="zh-CN"/>
        </w:rPr>
        <w:t xml:space="preserve">    </w:t>
      </w:r>
      <w:r>
        <w:rPr>
          <w:rFonts w:hint="eastAsia"/>
          <w:color w:val="auto"/>
          <w:highlight w:val="none"/>
        </w:rPr>
        <w:t>（9）出具参加政府采购活动前3年内在经营活动中没有重大违法记录的书面声明；</w:t>
      </w:r>
      <w:r>
        <w:rPr>
          <w:rFonts w:hint="eastAsia"/>
          <w:color w:val="auto"/>
          <w:highlight w:val="none"/>
        </w:rPr>
        <w:br w:type="textWrapping"/>
      </w:r>
      <w:r>
        <w:rPr>
          <w:rFonts w:hint="eastAsia"/>
          <w:color w:val="auto"/>
          <w:highlight w:val="none"/>
          <w:lang w:val="en-US" w:eastAsia="zh-CN"/>
        </w:rPr>
        <w:t xml:space="preserve">   </w:t>
      </w:r>
      <w:r>
        <w:rPr>
          <w:rFonts w:hint="eastAsia"/>
          <w:color w:val="auto"/>
          <w:highlight w:val="none"/>
        </w:rPr>
        <w:t>（10）法定代表人授权书及被授权人身份证(法定代表人直接参加投标，须提交其身份证复印件及法定代表人身份证明)；</w:t>
      </w:r>
      <w:r>
        <w:rPr>
          <w:rFonts w:hint="eastAsia"/>
          <w:color w:val="auto"/>
          <w:highlight w:val="none"/>
        </w:rPr>
        <w:br w:type="textWrapping"/>
      </w:r>
      <w:r>
        <w:rPr>
          <w:rFonts w:hint="eastAsia"/>
          <w:color w:val="auto"/>
          <w:highlight w:val="none"/>
          <w:lang w:val="en-US" w:eastAsia="zh-CN"/>
        </w:rPr>
        <w:t xml:space="preserve">   </w:t>
      </w:r>
      <w:r>
        <w:rPr>
          <w:rFonts w:hint="eastAsia"/>
          <w:color w:val="auto"/>
          <w:highlight w:val="none"/>
        </w:rPr>
        <w:t>（11）供应商不得为“信用中国”网站(www.creditchina.gov.cn) 中列入重大税收违法失信主体、供应商不得为中国执行信息公开网（http://zxgk.court.gov.cn/shixin/）中列入失信被执行人名单、不得为“中国政府采购网”（www.ccgp.gov.cn）政府采购严重违法失信行为记录名单中被财政部门禁止参加政府采购活动的供应商（处罚期限届满的除外，如相关失信记录已失效，供应商需提供相关证明资料）；</w:t>
      </w:r>
      <w:r>
        <w:rPr>
          <w:rFonts w:hint="eastAsia"/>
          <w:color w:val="auto"/>
          <w:highlight w:val="none"/>
        </w:rPr>
        <w:br w:type="textWrapping"/>
      </w:r>
      <w:r>
        <w:rPr>
          <w:rFonts w:hint="eastAsia"/>
          <w:color w:val="auto"/>
          <w:highlight w:val="none"/>
          <w:lang w:val="en-US" w:eastAsia="zh-CN"/>
        </w:rPr>
        <w:t xml:space="preserve">   </w:t>
      </w:r>
      <w:r>
        <w:rPr>
          <w:rFonts w:hint="eastAsia"/>
          <w:color w:val="auto"/>
          <w:highlight w:val="none"/>
        </w:rPr>
        <w:t>（12）本项目不接受联合体投标。</w:t>
      </w:r>
    </w:p>
    <w:p w14:paraId="2CBB436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rPr>
        <w:t>三、获取采购文件</w:t>
      </w:r>
    </w:p>
    <w:p w14:paraId="1BE8A72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rPr>
        <w:t>时间： 2026年01月22日 至 2026年01月28日 ，每天上午 09:00:00 至 12:00:00 ，下午 14:00:00 至 17:00:00 （北京时间）</w:t>
      </w:r>
    </w:p>
    <w:p w14:paraId="3A06E0B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rPr>
        <w:t>途径：西安曲江新区雁南五路曲江影视大厦19层</w:t>
      </w:r>
    </w:p>
    <w:p w14:paraId="67CE828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rPr>
        <w:t>方式：现场获取</w:t>
      </w:r>
    </w:p>
    <w:p w14:paraId="7BCA652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rPr>
        <w:t>售价： 0元</w:t>
      </w:r>
    </w:p>
    <w:p w14:paraId="5AA767D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rPr>
        <w:t>四、响应文件提交</w:t>
      </w:r>
    </w:p>
    <w:p w14:paraId="26ECF4D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rPr>
        <w:t>截止时间： 2026年02月03日 14时00分00秒 （北京时间）</w:t>
      </w:r>
    </w:p>
    <w:p w14:paraId="107ECDD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rPr>
        <w:t>地点：西安曲江新区雁南五路曲江影视大厦19层（会议室）</w:t>
      </w:r>
    </w:p>
    <w:p w14:paraId="6B32594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rPr>
        <w:t>五、开启</w:t>
      </w:r>
    </w:p>
    <w:p w14:paraId="3DB0CCA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rPr>
        <w:t>时间： 2026年02月03日 14时00分00秒 （北京时间）</w:t>
      </w:r>
    </w:p>
    <w:p w14:paraId="7290A1B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rPr>
        <w:t>地点：西安曲江新区雁南五路曲江影视大厦19层（会议室）</w:t>
      </w:r>
    </w:p>
    <w:p w14:paraId="6BA543A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rPr>
        <w:t>六、公告期限</w:t>
      </w:r>
    </w:p>
    <w:p w14:paraId="345CDC1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rPr>
        <w:t>自本公告发布之日起3个工作日。</w:t>
      </w:r>
    </w:p>
    <w:p w14:paraId="11AC0D8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rPr>
        <w:t>七、其他补充事宜</w:t>
      </w:r>
    </w:p>
    <w:p w14:paraId="598B0FC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1、磋商文件谢绝邮寄，售后不退。供应商获取磋商文件时请携带单位介绍信原件、经办人身份证原件及加盖公章的复印件一套。</w:t>
      </w:r>
    </w:p>
    <w:p w14:paraId="5A1110D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2、落实政府采购政策：落实的政府采购政策：1）《政府采购促进中小企业发展管理办法》的通知--财库[2020]46号；2）财政部司法部关于政府采购支持监狱企业发展有关问题的通知--财库〔2014〕68号；3）《国务院办公厅关于建立政府强制采购节能产品制度的通知》--国办发〔2007〕51号；4）《财政部发展改革委生态环境部市场监管总局关于调整优化节能产品、环境标志产品政府采购执 行机制的通知》--（财库[2019]9号）；5）《关于印发环境标志产品政府采购品目清单的通 知》--（财库〔2019〕18号）；6）《关于印发节能产品政府采购品目清单的通知》--（财库〔2019〕19号）；7）《市场监管总局关于发布参与实施政府采购节能产品、环境标志产品认证机构名录的公告》—2019年第16号；8）《财政部民政部中国残疾人联合会关于促进残疾人就业政府采购政策的通知》--（财库 2017〕141号）；9）《关于运用政府采购政策支持乡村产业振兴的通知》（财库〔2021〕19号）；10）陕西省财政厅关于印发《陕西省中小企业 政府采购信用融资办法》（陕财办采〔2018〕23号）；11）《陕西省财政厅关于加快推进我省中小企业政府采购信用融资工作的通知》（陕财办采〔2020〕15号）；12）《关于进一步加强政府绿色采购有关问题的通知》（陕财办采〔2021〕29号）；13）《陕西省财政厅陕西省工业和信息化厅关于运用政府采购政策支持首台（套）及创新产品有关事项的通知》（陕财办采﹝2021﹞17号）；14）财办库〔2020〕123关于印发《商品包装政府采购需求标准（试行）》、《快递包装政府采购需求标准（试行）》的通知；15）政府采购扶持不发达地区和少数民族地区的政策；16）其他需要落实的政府采购政策。</w:t>
      </w:r>
    </w:p>
    <w:p w14:paraId="4511A33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highlight w:val="none"/>
        </w:rPr>
      </w:pPr>
      <w:r>
        <w:rPr>
          <w:rFonts w:hint="eastAsia"/>
          <w:color w:val="auto"/>
          <w:highlight w:val="none"/>
        </w:rPr>
        <w:t>八、对本次招标提出询问，请按以下方式联系。</w:t>
      </w:r>
    </w:p>
    <w:p w14:paraId="711CCBA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color w:val="auto"/>
          <w:highlight w:val="none"/>
        </w:rPr>
        <w:t>1.采购人信息</w:t>
      </w:r>
    </w:p>
    <w:p w14:paraId="192F00C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名称：彬州市农业技术推广中心</w:t>
      </w:r>
    </w:p>
    <w:p w14:paraId="10D138D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地址：彬州市姜嫄街20号</w:t>
      </w:r>
    </w:p>
    <w:p w14:paraId="23EE18E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联系方式：029-34921150</w:t>
      </w:r>
    </w:p>
    <w:p w14:paraId="1729C8F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color w:val="auto"/>
          <w:highlight w:val="none"/>
        </w:rPr>
        <w:t>2.采购代理机构信息</w:t>
      </w:r>
    </w:p>
    <w:p w14:paraId="65CD0967">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名称：嘉翔项目管理有限公司</w:t>
      </w:r>
    </w:p>
    <w:p w14:paraId="056DA887">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地址：西安曲江新区雁南五路曲江影视大厦19层</w:t>
      </w:r>
    </w:p>
    <w:p w14:paraId="79560CA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联系方式：029-85495286转8009</w:t>
      </w:r>
    </w:p>
    <w:p w14:paraId="7565164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color w:val="auto"/>
          <w:highlight w:val="none"/>
        </w:rPr>
        <w:t>3.项目联系方式</w:t>
      </w:r>
    </w:p>
    <w:p w14:paraId="392D7498">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项目联系人：田凯、王勇</w:t>
      </w:r>
    </w:p>
    <w:p w14:paraId="6BEE44A8">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电话：029-85495286转8009</w:t>
      </w:r>
    </w:p>
    <w:p w14:paraId="6BFEED0A">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right"/>
        <w:textAlignment w:val="auto"/>
        <w:rPr>
          <w:rFonts w:hint="eastAsia"/>
          <w:color w:val="auto"/>
          <w:highlight w:val="none"/>
        </w:rPr>
      </w:pPr>
    </w:p>
    <w:p w14:paraId="29D671A3">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right"/>
        <w:textAlignment w:val="auto"/>
        <w:rPr>
          <w:rFonts w:hint="eastAsia"/>
          <w:color w:val="auto"/>
          <w:highlight w:val="none"/>
        </w:rPr>
      </w:pPr>
    </w:p>
    <w:p w14:paraId="52EA5BD2">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right"/>
        <w:textAlignment w:val="auto"/>
        <w:rPr>
          <w:rFonts w:hint="eastAsia"/>
          <w:color w:val="auto"/>
          <w:highlight w:val="none"/>
        </w:rPr>
      </w:pPr>
      <w:r>
        <w:rPr>
          <w:rFonts w:hint="eastAsia"/>
          <w:color w:val="auto"/>
          <w:highlight w:val="none"/>
        </w:rPr>
        <w:t>嘉翔项目管理有限公司</w:t>
      </w:r>
    </w:p>
    <w:p w14:paraId="12D6284C">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right"/>
        <w:textAlignment w:val="auto"/>
        <w:rPr>
          <w:color w:val="auto"/>
          <w:highlight w:val="none"/>
        </w:rPr>
      </w:pPr>
      <w:r>
        <w:rPr>
          <w:color w:val="auto"/>
          <w:highlight w:val="none"/>
        </w:rPr>
        <w:t>2026年01月21日</w:t>
      </w:r>
    </w:p>
    <w:p w14:paraId="07D06CB4">
      <w:pPr>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4"/>
          <w:szCs w:val="24"/>
          <w:highlight w:val="none"/>
        </w:rPr>
        <w:br w:type="page"/>
      </w:r>
    </w:p>
    <w:p w14:paraId="59750F93">
      <w:pPr>
        <w:pStyle w:val="2"/>
        <w:jc w:val="center"/>
        <w:rPr>
          <w:rFonts w:hint="eastAsia" w:ascii="宋体" w:hAnsi="宋体" w:eastAsia="宋体" w:cs="宋体"/>
          <w:color w:val="auto"/>
          <w:highlight w:val="none"/>
          <w:lang w:val="en-US" w:eastAsia="zh-CN"/>
        </w:rPr>
      </w:pPr>
      <w:bookmarkStart w:id="15" w:name="_Toc13083"/>
      <w:r>
        <w:rPr>
          <w:rFonts w:hint="eastAsia" w:ascii="宋体" w:hAnsi="宋体" w:eastAsia="宋体" w:cs="宋体"/>
          <w:color w:val="auto"/>
          <w:highlight w:val="none"/>
          <w:lang w:val="en-US" w:eastAsia="zh-CN"/>
        </w:rPr>
        <w:t>第二部分 供应商须知</w:t>
      </w:r>
      <w:bookmarkEnd w:id="11"/>
      <w:bookmarkEnd w:id="12"/>
      <w:bookmarkEnd w:id="13"/>
      <w:bookmarkEnd w:id="14"/>
      <w:bookmarkEnd w:id="15"/>
    </w:p>
    <w:p w14:paraId="41D11265">
      <w:pPr>
        <w:pageBreakBefore w:val="0"/>
        <w:wordWrap/>
        <w:overflowPunct/>
        <w:topLinePunct w:val="0"/>
        <w:bidi w:val="0"/>
        <w:spacing w:line="560" w:lineRule="exact"/>
        <w:jc w:val="center"/>
        <w:outlineLvl w:val="1"/>
        <w:rPr>
          <w:rFonts w:hint="eastAsia" w:ascii="宋体" w:hAnsi="宋体" w:eastAsia="宋体" w:cs="宋体"/>
          <w:b/>
          <w:bCs/>
          <w:color w:val="auto"/>
          <w:sz w:val="28"/>
          <w:szCs w:val="24"/>
          <w:highlight w:val="none"/>
        </w:rPr>
      </w:pPr>
      <w:bookmarkStart w:id="16" w:name="_Toc450138939"/>
      <w:bookmarkStart w:id="17" w:name="_Toc449368374"/>
      <w:bookmarkStart w:id="18" w:name="_Toc4351"/>
      <w:r>
        <w:rPr>
          <w:rFonts w:hint="eastAsia" w:ascii="宋体" w:hAnsi="宋体" w:eastAsia="宋体" w:cs="宋体"/>
          <w:b/>
          <w:bCs/>
          <w:color w:val="auto"/>
          <w:sz w:val="28"/>
          <w:szCs w:val="24"/>
          <w:highlight w:val="none"/>
        </w:rPr>
        <w:t>一、</w:t>
      </w:r>
      <w:r>
        <w:rPr>
          <w:rFonts w:hint="eastAsia" w:ascii="宋体" w:hAnsi="宋体" w:eastAsia="宋体" w:cs="宋体"/>
          <w:b/>
          <w:bCs/>
          <w:color w:val="auto"/>
          <w:sz w:val="28"/>
          <w:szCs w:val="24"/>
          <w:highlight w:val="none"/>
          <w:lang w:eastAsia="zh-CN"/>
        </w:rPr>
        <w:t>供应商</w:t>
      </w:r>
      <w:r>
        <w:rPr>
          <w:rFonts w:hint="eastAsia" w:ascii="宋体" w:hAnsi="宋体" w:eastAsia="宋体" w:cs="宋体"/>
          <w:b/>
          <w:bCs/>
          <w:color w:val="auto"/>
          <w:sz w:val="28"/>
          <w:szCs w:val="24"/>
          <w:highlight w:val="none"/>
        </w:rPr>
        <w:t>须知前附表</w:t>
      </w:r>
      <w:bookmarkEnd w:id="16"/>
      <w:bookmarkEnd w:id="17"/>
      <w:bookmarkEnd w:id="18"/>
    </w:p>
    <w:tbl>
      <w:tblPr>
        <w:tblStyle w:val="24"/>
        <w:tblpPr w:leftFromText="180" w:rightFromText="180" w:vertAnchor="text" w:horzAnchor="page" w:tblpX="1290" w:tblpY="461"/>
        <w:tblOverlap w:val="never"/>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023"/>
        <w:gridCol w:w="7264"/>
      </w:tblGrid>
      <w:tr w14:paraId="43AA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32" w:type="dxa"/>
            <w:noWrap w:val="0"/>
            <w:vAlign w:val="center"/>
          </w:tcPr>
          <w:p w14:paraId="2EBC2F5A">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color w:val="auto"/>
                <w:kern w:val="21"/>
                <w:sz w:val="21"/>
                <w:szCs w:val="21"/>
                <w:highlight w:val="none"/>
              </w:rPr>
            </w:pPr>
            <w:bookmarkStart w:id="19" w:name="_Toc10880"/>
            <w:bookmarkStart w:id="20" w:name="_Toc12562"/>
            <w:bookmarkStart w:id="21" w:name="_Toc449368375"/>
            <w:bookmarkStart w:id="22" w:name="_Toc450138940"/>
          </w:p>
          <w:p w14:paraId="7E47A394">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序号</w:t>
            </w:r>
          </w:p>
          <w:p w14:paraId="37B2887A">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color w:val="auto"/>
                <w:kern w:val="21"/>
                <w:sz w:val="21"/>
                <w:szCs w:val="21"/>
                <w:highlight w:val="none"/>
              </w:rPr>
            </w:pPr>
          </w:p>
        </w:tc>
        <w:tc>
          <w:tcPr>
            <w:tcW w:w="2023" w:type="dxa"/>
            <w:noWrap w:val="0"/>
            <w:vAlign w:val="center"/>
          </w:tcPr>
          <w:p w14:paraId="2CD89F5D">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内容</w:t>
            </w:r>
          </w:p>
        </w:tc>
        <w:tc>
          <w:tcPr>
            <w:tcW w:w="7264" w:type="dxa"/>
            <w:noWrap w:val="0"/>
            <w:vAlign w:val="center"/>
          </w:tcPr>
          <w:p w14:paraId="3C2B094E">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说明与要求</w:t>
            </w:r>
          </w:p>
        </w:tc>
      </w:tr>
      <w:tr w14:paraId="6CAF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732" w:type="dxa"/>
            <w:noWrap w:val="0"/>
            <w:vAlign w:val="center"/>
          </w:tcPr>
          <w:p w14:paraId="2797D23C">
            <w:pPr>
              <w:pStyle w:val="13"/>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1</w:t>
            </w:r>
          </w:p>
        </w:tc>
        <w:tc>
          <w:tcPr>
            <w:tcW w:w="2023" w:type="dxa"/>
            <w:noWrap w:val="0"/>
            <w:vAlign w:val="center"/>
          </w:tcPr>
          <w:p w14:paraId="0173D9B4">
            <w:pPr>
              <w:pStyle w:val="13"/>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项目名称</w:t>
            </w:r>
          </w:p>
        </w:tc>
        <w:tc>
          <w:tcPr>
            <w:tcW w:w="7264" w:type="dxa"/>
            <w:noWrap w:val="0"/>
            <w:vAlign w:val="center"/>
          </w:tcPr>
          <w:p w14:paraId="0FEE7B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1"/>
                <w:sz w:val="21"/>
                <w:szCs w:val="21"/>
                <w:highlight w:val="none"/>
                <w:vertAlign w:val="baseline"/>
                <w:lang w:eastAsia="zh-CN"/>
              </w:rPr>
            </w:pPr>
            <w:r>
              <w:rPr>
                <w:rFonts w:hint="eastAsia" w:ascii="宋体" w:hAnsi="宋体" w:eastAsia="宋体" w:cs="宋体"/>
                <w:color w:val="auto"/>
                <w:kern w:val="21"/>
                <w:sz w:val="21"/>
                <w:szCs w:val="21"/>
                <w:highlight w:val="none"/>
                <w:vertAlign w:val="baseline"/>
                <w:lang w:eastAsia="zh-CN"/>
              </w:rPr>
              <w:t>彬州市2025年水肥精准调控展示项目</w:t>
            </w:r>
          </w:p>
        </w:tc>
      </w:tr>
      <w:tr w14:paraId="54FC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32" w:type="dxa"/>
            <w:noWrap w:val="0"/>
            <w:vAlign w:val="center"/>
          </w:tcPr>
          <w:p w14:paraId="1B89E1CF">
            <w:pPr>
              <w:pStyle w:val="13"/>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2</w:t>
            </w:r>
          </w:p>
        </w:tc>
        <w:tc>
          <w:tcPr>
            <w:tcW w:w="2023" w:type="dxa"/>
            <w:noWrap w:val="0"/>
            <w:vAlign w:val="center"/>
          </w:tcPr>
          <w:p w14:paraId="4D61151A">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项目编号</w:t>
            </w:r>
          </w:p>
        </w:tc>
        <w:tc>
          <w:tcPr>
            <w:tcW w:w="7264" w:type="dxa"/>
            <w:noWrap w:val="0"/>
            <w:vAlign w:val="center"/>
          </w:tcPr>
          <w:p w14:paraId="5FAE4EE3">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JXZB2026-004</w:t>
            </w:r>
          </w:p>
        </w:tc>
      </w:tr>
      <w:tr w14:paraId="4D48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732" w:type="dxa"/>
            <w:noWrap w:val="0"/>
            <w:vAlign w:val="center"/>
          </w:tcPr>
          <w:p w14:paraId="26FD3072">
            <w:pPr>
              <w:pStyle w:val="13"/>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3</w:t>
            </w:r>
          </w:p>
        </w:tc>
        <w:tc>
          <w:tcPr>
            <w:tcW w:w="2023" w:type="dxa"/>
            <w:noWrap w:val="0"/>
            <w:vAlign w:val="center"/>
          </w:tcPr>
          <w:p w14:paraId="68D7BF71">
            <w:pPr>
              <w:pStyle w:val="13"/>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eastAsia="zh-CN"/>
              </w:rPr>
              <w:t>采购</w:t>
            </w:r>
            <w:r>
              <w:rPr>
                <w:rFonts w:hint="eastAsia" w:ascii="宋体" w:hAnsi="宋体" w:eastAsia="宋体" w:cs="宋体"/>
                <w:color w:val="auto"/>
                <w:kern w:val="21"/>
                <w:sz w:val="21"/>
                <w:szCs w:val="21"/>
                <w:highlight w:val="none"/>
              </w:rPr>
              <w:t>人</w:t>
            </w:r>
          </w:p>
        </w:tc>
        <w:tc>
          <w:tcPr>
            <w:tcW w:w="7264" w:type="dxa"/>
            <w:noWrap w:val="0"/>
            <w:vAlign w:val="center"/>
          </w:tcPr>
          <w:p w14:paraId="53DD35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名称：彬州市农业技术推广中心</w:t>
            </w:r>
          </w:p>
          <w:p w14:paraId="0700F2A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宋体" w:hAnsi="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地址：彬州市姜嫄街20号</w:t>
            </w:r>
            <w:r>
              <w:rPr>
                <w:rFonts w:hint="eastAsia" w:ascii="宋体" w:hAnsi="宋体" w:cs="宋体"/>
                <w:color w:val="auto"/>
                <w:kern w:val="21"/>
                <w:sz w:val="21"/>
                <w:szCs w:val="21"/>
                <w:highlight w:val="none"/>
                <w:vertAlign w:val="baseline"/>
                <w:lang w:val="en-US" w:eastAsia="zh-CN"/>
              </w:rPr>
              <w:t xml:space="preserve"> </w:t>
            </w:r>
          </w:p>
          <w:p w14:paraId="579E91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default"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联系人：</w:t>
            </w:r>
            <w:r>
              <w:rPr>
                <w:rFonts w:hint="eastAsia" w:ascii="宋体" w:hAnsi="宋体" w:cs="宋体"/>
                <w:color w:val="auto"/>
                <w:kern w:val="21"/>
                <w:sz w:val="21"/>
                <w:szCs w:val="21"/>
                <w:highlight w:val="none"/>
                <w:vertAlign w:val="baseline"/>
                <w:lang w:val="en-US" w:eastAsia="zh-CN"/>
              </w:rPr>
              <w:t>惠工</w:t>
            </w:r>
          </w:p>
          <w:p w14:paraId="09AC2A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vertAlign w:val="baseline"/>
                <w:lang w:val="en-US" w:eastAsia="zh-CN"/>
              </w:rPr>
              <w:t>电话：029-34921150</w:t>
            </w:r>
          </w:p>
        </w:tc>
      </w:tr>
      <w:tr w14:paraId="557C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732" w:type="dxa"/>
            <w:noWrap w:val="0"/>
            <w:vAlign w:val="center"/>
          </w:tcPr>
          <w:p w14:paraId="5FDBCC1F">
            <w:pPr>
              <w:pStyle w:val="13"/>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4</w:t>
            </w:r>
          </w:p>
        </w:tc>
        <w:tc>
          <w:tcPr>
            <w:tcW w:w="2023" w:type="dxa"/>
            <w:noWrap w:val="0"/>
            <w:vAlign w:val="center"/>
          </w:tcPr>
          <w:p w14:paraId="4B54AB9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
                <w:sz w:val="21"/>
                <w:szCs w:val="21"/>
                <w:highlight w:val="none"/>
              </w:rPr>
              <w:t>采购代理机构</w:t>
            </w:r>
          </w:p>
        </w:tc>
        <w:tc>
          <w:tcPr>
            <w:tcW w:w="7264" w:type="dxa"/>
            <w:noWrap w:val="0"/>
            <w:vAlign w:val="center"/>
          </w:tcPr>
          <w:p w14:paraId="773BE07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名  称：嘉翔项目管理有限公司 </w:t>
            </w:r>
          </w:p>
          <w:p w14:paraId="4569771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地  址：西安曲江新区雁南五路曲江影视大厦19层 </w:t>
            </w:r>
          </w:p>
          <w:p w14:paraId="6A2DE1B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联系人：田工 、王勇      </w:t>
            </w:r>
          </w:p>
          <w:p w14:paraId="5DEEBA2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电  话：</w:t>
            </w:r>
            <w:r>
              <w:rPr>
                <w:rFonts w:hint="eastAsia" w:ascii="宋体" w:hAnsi="宋体" w:cs="宋体"/>
                <w:color w:val="auto"/>
                <w:kern w:val="21"/>
                <w:sz w:val="21"/>
                <w:szCs w:val="21"/>
                <w:highlight w:val="none"/>
              </w:rPr>
              <w:t>029-85495286转8009</w:t>
            </w:r>
          </w:p>
          <w:p w14:paraId="19DC22CD">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1"/>
                <w:sz w:val="21"/>
                <w:szCs w:val="21"/>
                <w:highlight w:val="none"/>
              </w:rPr>
              <w:t>电子邮件：3363927373@qq</w:t>
            </w:r>
            <w:r>
              <w:rPr>
                <w:rFonts w:hint="eastAsia" w:ascii="宋体" w:hAnsi="宋体" w:cs="宋体"/>
                <w:color w:val="auto"/>
                <w:kern w:val="21"/>
                <w:sz w:val="21"/>
                <w:szCs w:val="21"/>
                <w:highlight w:val="none"/>
                <w:lang w:val="en-US" w:eastAsia="zh-CN"/>
              </w:rPr>
              <w:t>.</w:t>
            </w:r>
            <w:r>
              <w:rPr>
                <w:rFonts w:hint="eastAsia" w:ascii="宋体" w:hAnsi="宋体" w:cs="宋体"/>
                <w:color w:val="auto"/>
                <w:kern w:val="21"/>
                <w:sz w:val="21"/>
                <w:szCs w:val="21"/>
                <w:highlight w:val="none"/>
              </w:rPr>
              <w:t>com</w:t>
            </w:r>
          </w:p>
        </w:tc>
      </w:tr>
      <w:tr w14:paraId="6AD6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32" w:type="dxa"/>
            <w:noWrap w:val="0"/>
            <w:vAlign w:val="center"/>
          </w:tcPr>
          <w:p w14:paraId="3674BEA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
                <w:sz w:val="21"/>
                <w:szCs w:val="21"/>
                <w:highlight w:val="none"/>
                <w:lang w:val="zh-CN"/>
              </w:rPr>
              <w:t>5</w:t>
            </w:r>
          </w:p>
        </w:tc>
        <w:tc>
          <w:tcPr>
            <w:tcW w:w="2023" w:type="dxa"/>
            <w:noWrap w:val="0"/>
            <w:vAlign w:val="center"/>
          </w:tcPr>
          <w:p w14:paraId="7D6A57D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
                <w:sz w:val="21"/>
                <w:szCs w:val="21"/>
                <w:highlight w:val="none"/>
                <w:lang w:val="zh-CN"/>
              </w:rPr>
              <w:t>资金来源</w:t>
            </w:r>
          </w:p>
        </w:tc>
        <w:tc>
          <w:tcPr>
            <w:tcW w:w="7264" w:type="dxa"/>
            <w:noWrap w:val="0"/>
            <w:vAlign w:val="center"/>
          </w:tcPr>
          <w:p w14:paraId="0109B9A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财政</w:t>
            </w:r>
            <w:r>
              <w:rPr>
                <w:rFonts w:hint="eastAsia" w:ascii="宋体" w:hAnsi="宋体" w:cs="宋体"/>
                <w:color w:val="auto"/>
                <w:kern w:val="2"/>
                <w:sz w:val="21"/>
                <w:szCs w:val="21"/>
                <w:highlight w:val="none"/>
                <w:lang w:val="en-US" w:eastAsia="zh-CN"/>
              </w:rPr>
              <w:t>性</w:t>
            </w:r>
            <w:r>
              <w:rPr>
                <w:rFonts w:hint="eastAsia" w:ascii="宋体" w:hAnsi="宋体" w:eastAsia="宋体" w:cs="宋体"/>
                <w:color w:val="auto"/>
                <w:kern w:val="2"/>
                <w:sz w:val="21"/>
                <w:szCs w:val="21"/>
                <w:highlight w:val="none"/>
              </w:rPr>
              <w:t>资金</w:t>
            </w:r>
          </w:p>
        </w:tc>
      </w:tr>
      <w:tr w14:paraId="4BF8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32" w:type="dxa"/>
            <w:noWrap w:val="0"/>
            <w:vAlign w:val="center"/>
          </w:tcPr>
          <w:p w14:paraId="2C713BC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1"/>
                <w:sz w:val="21"/>
                <w:szCs w:val="21"/>
                <w:highlight w:val="none"/>
                <w:lang w:val="zh-CN"/>
              </w:rPr>
            </w:pPr>
            <w:r>
              <w:rPr>
                <w:rFonts w:hint="eastAsia" w:ascii="宋体" w:hAnsi="宋体" w:eastAsia="宋体" w:cs="宋体"/>
                <w:color w:val="auto"/>
                <w:kern w:val="2"/>
                <w:sz w:val="21"/>
                <w:szCs w:val="21"/>
                <w:highlight w:val="none"/>
                <w:lang w:val="zh-CN"/>
              </w:rPr>
              <w:t>6</w:t>
            </w:r>
          </w:p>
        </w:tc>
        <w:tc>
          <w:tcPr>
            <w:tcW w:w="2023" w:type="dxa"/>
            <w:noWrap w:val="0"/>
            <w:vAlign w:val="center"/>
          </w:tcPr>
          <w:p w14:paraId="3173D72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1"/>
                <w:sz w:val="21"/>
                <w:szCs w:val="21"/>
                <w:highlight w:val="none"/>
                <w:lang w:val="zh-CN"/>
              </w:rPr>
            </w:pPr>
            <w:r>
              <w:rPr>
                <w:rFonts w:hint="eastAsia" w:ascii="宋体" w:hAnsi="宋体" w:eastAsia="宋体" w:cs="宋体"/>
                <w:color w:val="auto"/>
                <w:kern w:val="2"/>
                <w:sz w:val="21"/>
                <w:szCs w:val="21"/>
                <w:highlight w:val="none"/>
              </w:rPr>
              <w:t>招标最高限价</w:t>
            </w:r>
          </w:p>
        </w:tc>
        <w:tc>
          <w:tcPr>
            <w:tcW w:w="7264" w:type="dxa"/>
            <w:noWrap w:val="0"/>
            <w:vAlign w:val="center"/>
          </w:tcPr>
          <w:p w14:paraId="096CBEE6">
            <w:pPr>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本项目</w:t>
            </w:r>
            <w:r>
              <w:rPr>
                <w:rFonts w:hint="eastAsia" w:ascii="宋体" w:hAnsi="宋体" w:eastAsia="宋体" w:cs="宋体"/>
                <w:color w:val="auto"/>
                <w:kern w:val="2"/>
                <w:sz w:val="21"/>
                <w:szCs w:val="21"/>
                <w:highlight w:val="none"/>
              </w:rPr>
              <w:t>招标最高限价</w:t>
            </w:r>
            <w:r>
              <w:rPr>
                <w:rFonts w:hint="eastAsia" w:ascii="宋体" w:hAnsi="宋体" w:eastAsia="宋体" w:cs="宋体"/>
                <w:color w:val="auto"/>
                <w:kern w:val="2"/>
                <w:sz w:val="21"/>
                <w:szCs w:val="21"/>
                <w:highlight w:val="none"/>
                <w:lang w:val="zh-CN"/>
              </w:rPr>
              <w:t>：大写：</w:t>
            </w:r>
            <w:r>
              <w:rPr>
                <w:rFonts w:hint="eastAsia" w:ascii="宋体" w:hAnsi="宋体" w:cs="宋体"/>
                <w:color w:val="auto"/>
                <w:kern w:val="2"/>
                <w:sz w:val="21"/>
                <w:szCs w:val="21"/>
                <w:highlight w:val="none"/>
                <w:lang w:val="en-US" w:eastAsia="zh-CN"/>
              </w:rPr>
              <w:t>玖拾捌万零捌佰壹拾元伍角捌分</w:t>
            </w:r>
            <w:r>
              <w:rPr>
                <w:rFonts w:hint="eastAsia" w:ascii="宋体" w:hAnsi="宋体" w:eastAsia="宋体" w:cs="宋体"/>
                <w:color w:val="auto"/>
                <w:kern w:val="2"/>
                <w:sz w:val="21"/>
                <w:szCs w:val="21"/>
                <w:highlight w:val="none"/>
                <w:lang w:val="zh-CN"/>
              </w:rPr>
              <w:t>；小写：980810.58</w:t>
            </w:r>
            <w:r>
              <w:rPr>
                <w:rFonts w:hint="eastAsia" w:ascii="宋体" w:hAnsi="宋体" w:eastAsia="宋体" w:cs="宋体"/>
                <w:color w:val="auto"/>
                <w:kern w:val="2"/>
                <w:sz w:val="21"/>
                <w:szCs w:val="21"/>
                <w:highlight w:val="none"/>
              </w:rPr>
              <w:t>元</w:t>
            </w:r>
          </w:p>
          <w:p w14:paraId="2C742C9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
                <w:sz w:val="21"/>
                <w:szCs w:val="21"/>
                <w:highlight w:val="none"/>
                <w:lang w:val="zh-CN"/>
              </w:rPr>
              <w:t>供应商报价大于招标最高限价，作为不实质性响应竞争性磋商文件，按无效</w:t>
            </w:r>
            <w:r>
              <w:rPr>
                <w:rFonts w:hint="eastAsia" w:ascii="宋体" w:hAnsi="宋体" w:eastAsia="宋体" w:cs="宋体"/>
                <w:color w:val="auto"/>
                <w:kern w:val="2"/>
                <w:sz w:val="21"/>
                <w:szCs w:val="21"/>
                <w:highlight w:val="none"/>
              </w:rPr>
              <w:t>标</w:t>
            </w:r>
            <w:r>
              <w:rPr>
                <w:rFonts w:hint="eastAsia" w:ascii="宋体" w:hAnsi="宋体" w:eastAsia="宋体" w:cs="宋体"/>
                <w:color w:val="auto"/>
                <w:kern w:val="2"/>
                <w:sz w:val="21"/>
                <w:szCs w:val="21"/>
                <w:highlight w:val="none"/>
                <w:lang w:val="zh-CN"/>
              </w:rPr>
              <w:t>处理。</w:t>
            </w:r>
          </w:p>
        </w:tc>
      </w:tr>
      <w:tr w14:paraId="5B3A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2" w:type="dxa"/>
            <w:noWrap w:val="0"/>
            <w:vAlign w:val="center"/>
          </w:tcPr>
          <w:p w14:paraId="47F8694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
                <w:sz w:val="21"/>
                <w:szCs w:val="21"/>
                <w:highlight w:val="none"/>
              </w:rPr>
              <w:t>7</w:t>
            </w:r>
          </w:p>
        </w:tc>
        <w:tc>
          <w:tcPr>
            <w:tcW w:w="2023" w:type="dxa"/>
            <w:noWrap w:val="0"/>
            <w:vAlign w:val="center"/>
          </w:tcPr>
          <w:p w14:paraId="5092AF4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
                <w:sz w:val="21"/>
                <w:szCs w:val="21"/>
                <w:highlight w:val="none"/>
              </w:rPr>
              <w:t>磋商有效期</w:t>
            </w:r>
          </w:p>
        </w:tc>
        <w:tc>
          <w:tcPr>
            <w:tcW w:w="7264" w:type="dxa"/>
            <w:noWrap w:val="0"/>
            <w:vAlign w:val="center"/>
          </w:tcPr>
          <w:p w14:paraId="63B24AA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
                <w:sz w:val="21"/>
                <w:szCs w:val="21"/>
                <w:highlight w:val="none"/>
              </w:rPr>
              <w:t>磋商截止之日起90天内保持有效（日历天数）</w:t>
            </w:r>
          </w:p>
        </w:tc>
      </w:tr>
      <w:tr w14:paraId="156B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32" w:type="dxa"/>
            <w:noWrap w:val="0"/>
            <w:vAlign w:val="center"/>
          </w:tcPr>
          <w:p w14:paraId="5E2E00A6">
            <w:pPr>
              <w:pStyle w:val="13"/>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val="en-US" w:eastAsia="zh-CN"/>
              </w:rPr>
              <w:t>8</w:t>
            </w:r>
          </w:p>
        </w:tc>
        <w:tc>
          <w:tcPr>
            <w:tcW w:w="2023" w:type="dxa"/>
            <w:noWrap w:val="0"/>
            <w:vAlign w:val="center"/>
          </w:tcPr>
          <w:p w14:paraId="7C4B017D">
            <w:pPr>
              <w:pStyle w:val="13"/>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rPr>
              <w:t>工期</w:t>
            </w:r>
            <w:r>
              <w:rPr>
                <w:rFonts w:hint="eastAsia" w:ascii="宋体" w:hAnsi="宋体" w:eastAsia="宋体" w:cs="宋体"/>
                <w:color w:val="auto"/>
                <w:kern w:val="21"/>
                <w:sz w:val="21"/>
                <w:szCs w:val="21"/>
                <w:highlight w:val="none"/>
                <w:lang w:eastAsia="zh-CN"/>
              </w:rPr>
              <w:t>及质量要求</w:t>
            </w:r>
          </w:p>
        </w:tc>
        <w:tc>
          <w:tcPr>
            <w:tcW w:w="7264" w:type="dxa"/>
            <w:noWrap w:val="0"/>
            <w:vAlign w:val="center"/>
          </w:tcPr>
          <w:p w14:paraId="0FB118CA">
            <w:pPr>
              <w:pStyle w:val="13"/>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left"/>
              <w:rPr>
                <w:rFonts w:hint="default"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1"/>
                <w:sz w:val="21"/>
                <w:szCs w:val="21"/>
                <w:highlight w:val="none"/>
                <w:lang w:val="en-US" w:eastAsia="zh-CN"/>
              </w:rPr>
              <w:t>工期：</w:t>
            </w:r>
            <w:r>
              <w:rPr>
                <w:rFonts w:hint="eastAsia" w:hAnsi="宋体" w:cs="宋体"/>
                <w:color w:val="auto"/>
                <w:kern w:val="21"/>
                <w:sz w:val="21"/>
                <w:szCs w:val="21"/>
                <w:highlight w:val="none"/>
                <w:lang w:val="en-US" w:eastAsia="zh-CN"/>
              </w:rPr>
              <w:t>120日历天</w:t>
            </w:r>
          </w:p>
          <w:p w14:paraId="062EDE78">
            <w:pPr>
              <w:pStyle w:val="13"/>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质量</w:t>
            </w:r>
            <w:r>
              <w:rPr>
                <w:rFonts w:hint="eastAsia" w:hAnsi="宋体" w:cs="宋体"/>
                <w:color w:val="auto"/>
                <w:kern w:val="21"/>
                <w:sz w:val="21"/>
                <w:szCs w:val="21"/>
                <w:highlight w:val="none"/>
                <w:lang w:val="en-US" w:eastAsia="zh-CN"/>
              </w:rPr>
              <w:t>要求</w:t>
            </w:r>
            <w:r>
              <w:rPr>
                <w:rFonts w:hint="eastAsia" w:ascii="宋体" w:hAnsi="宋体" w:eastAsia="宋体" w:cs="宋体"/>
                <w:color w:val="auto"/>
                <w:kern w:val="21"/>
                <w:sz w:val="21"/>
                <w:szCs w:val="21"/>
                <w:highlight w:val="none"/>
                <w:lang w:eastAsia="zh-CN"/>
              </w:rPr>
              <w:t>：</w:t>
            </w:r>
            <w:r>
              <w:rPr>
                <w:rFonts w:hint="eastAsia"/>
                <w:color w:val="auto"/>
                <w:szCs w:val="22"/>
                <w:highlight w:val="none"/>
              </w:rPr>
              <w:t>达到国家现行施工验收规范“合格”标准</w:t>
            </w:r>
          </w:p>
        </w:tc>
      </w:tr>
      <w:tr w14:paraId="671D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732" w:type="dxa"/>
            <w:noWrap w:val="0"/>
            <w:vAlign w:val="center"/>
          </w:tcPr>
          <w:p w14:paraId="030668B9">
            <w:pPr>
              <w:pStyle w:val="13"/>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lang w:eastAsia="zh-CN"/>
              </w:rPr>
            </w:pPr>
            <w:r>
              <w:rPr>
                <w:rFonts w:hint="eastAsia" w:ascii="宋体" w:hAnsi="宋体" w:eastAsia="宋体" w:cs="宋体"/>
                <w:color w:val="auto"/>
                <w:kern w:val="21"/>
                <w:sz w:val="21"/>
                <w:szCs w:val="21"/>
                <w:highlight w:val="none"/>
                <w:lang w:val="en-US" w:eastAsia="zh-CN"/>
              </w:rPr>
              <w:t>9</w:t>
            </w:r>
          </w:p>
        </w:tc>
        <w:tc>
          <w:tcPr>
            <w:tcW w:w="2023" w:type="dxa"/>
            <w:shd w:val="clear" w:color="auto" w:fill="auto"/>
            <w:noWrap w:val="0"/>
            <w:vAlign w:val="center"/>
          </w:tcPr>
          <w:p w14:paraId="4FEB4F07">
            <w:pPr>
              <w:pStyle w:val="13"/>
              <w:keepNext w:val="0"/>
              <w:keepLines w:val="0"/>
              <w:pageBreakBefore w:val="0"/>
              <w:suppressLineNumbers w:val="0"/>
              <w:shd w:val="clear"/>
              <w:kinsoku/>
              <w:wordWrap/>
              <w:overflowPunct/>
              <w:topLinePunct w:val="0"/>
              <w:autoSpaceDE/>
              <w:autoSpaceDN/>
              <w:bidi w:val="0"/>
              <w:spacing w:before="0" w:beforeAutospacing="0" w:after="0" w:afterAutospacing="0" w:line="400" w:lineRule="exact"/>
              <w:ind w:left="0" w:right="0" w:firstLine="105" w:firstLineChars="5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eastAsia="zh-CN"/>
              </w:rPr>
              <w:t>供应商</w:t>
            </w:r>
            <w:r>
              <w:rPr>
                <w:rFonts w:hint="eastAsia" w:ascii="宋体" w:hAnsi="宋体" w:eastAsia="宋体" w:cs="宋体"/>
                <w:color w:val="auto"/>
                <w:kern w:val="21"/>
                <w:sz w:val="21"/>
                <w:szCs w:val="21"/>
                <w:highlight w:val="none"/>
              </w:rPr>
              <w:t>资质及</w:t>
            </w:r>
          </w:p>
          <w:p w14:paraId="12D9EC88">
            <w:pPr>
              <w:pStyle w:val="13"/>
              <w:keepNext w:val="0"/>
              <w:keepLines w:val="0"/>
              <w:pageBreakBefore w:val="0"/>
              <w:suppressLineNumbers w:val="0"/>
              <w:shd w:val="clear"/>
              <w:kinsoku/>
              <w:wordWrap/>
              <w:overflowPunct/>
              <w:topLinePunct w:val="0"/>
              <w:autoSpaceDE/>
              <w:autoSpaceDN/>
              <w:bidi w:val="0"/>
              <w:spacing w:before="0" w:beforeAutospacing="0" w:after="0" w:afterAutospacing="0" w:line="400" w:lineRule="exact"/>
              <w:ind w:left="0" w:right="0" w:firstLine="315" w:firstLineChars="15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信誉能力</w:t>
            </w:r>
          </w:p>
        </w:tc>
        <w:tc>
          <w:tcPr>
            <w:tcW w:w="7264" w:type="dxa"/>
            <w:shd w:val="clear" w:color="auto" w:fill="auto"/>
            <w:noWrap w:val="0"/>
            <w:vAlign w:val="center"/>
          </w:tcPr>
          <w:p w14:paraId="2C2822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color w:val="auto"/>
                <w:kern w:val="2"/>
                <w:szCs w:val="22"/>
                <w:highlight w:val="none"/>
              </w:rPr>
            </w:pPr>
            <w:r>
              <w:rPr>
                <w:rFonts w:hint="eastAsia"/>
                <w:color w:val="auto"/>
                <w:kern w:val="2"/>
                <w:szCs w:val="22"/>
                <w:highlight w:val="none"/>
              </w:rPr>
              <w:t>1.满足《中华人民共和国政府采购法》第二十二条规定;</w:t>
            </w:r>
          </w:p>
          <w:p w14:paraId="48BD6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color w:val="auto"/>
                <w:kern w:val="2"/>
                <w:szCs w:val="22"/>
                <w:highlight w:val="none"/>
              </w:rPr>
            </w:pPr>
            <w:r>
              <w:rPr>
                <w:rFonts w:hint="eastAsia"/>
                <w:color w:val="auto"/>
                <w:kern w:val="2"/>
                <w:szCs w:val="22"/>
                <w:highlight w:val="none"/>
              </w:rPr>
              <w:t>2.落实政府采购政策需满足的资格要求：</w:t>
            </w:r>
          </w:p>
          <w:p w14:paraId="328D11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textAlignment w:val="auto"/>
              <w:rPr>
                <w:rFonts w:hint="default"/>
                <w:color w:val="auto"/>
                <w:kern w:val="2"/>
                <w:szCs w:val="22"/>
                <w:highlight w:val="none"/>
              </w:rPr>
            </w:pPr>
            <w:r>
              <w:rPr>
                <w:rFonts w:hint="eastAsia"/>
                <w:color w:val="auto"/>
                <w:kern w:val="2"/>
                <w:szCs w:val="22"/>
                <w:highlight w:val="none"/>
              </w:rPr>
              <w:t>合同包1(彬州市2025年水肥精准调控展示项目)落实政府采购政策需满足的资格要求如下</w:t>
            </w:r>
            <w:r>
              <w:rPr>
                <w:rFonts w:hint="eastAsia"/>
                <w:color w:val="auto"/>
                <w:kern w:val="2"/>
                <w:szCs w:val="22"/>
                <w:highlight w:val="none"/>
                <w:lang w:eastAsia="zh-CN"/>
              </w:rPr>
              <w:t>：</w:t>
            </w:r>
            <w:r>
              <w:rPr>
                <w:rFonts w:hint="eastAsia"/>
                <w:color w:val="auto"/>
                <w:kern w:val="2"/>
                <w:szCs w:val="22"/>
                <w:highlight w:val="none"/>
              </w:rPr>
              <w:t>本项目专门面向中小企业采购。</w:t>
            </w:r>
          </w:p>
          <w:p w14:paraId="5F1D0D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color w:val="auto"/>
                <w:kern w:val="2"/>
                <w:szCs w:val="22"/>
                <w:highlight w:val="none"/>
              </w:rPr>
            </w:pPr>
            <w:r>
              <w:rPr>
                <w:rFonts w:hint="eastAsia"/>
                <w:color w:val="auto"/>
                <w:kern w:val="2"/>
                <w:szCs w:val="22"/>
                <w:highlight w:val="none"/>
              </w:rPr>
              <w:t>3.本项目的特定资格要求：</w:t>
            </w:r>
          </w:p>
          <w:p w14:paraId="078B95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textAlignment w:val="auto"/>
              <w:rPr>
                <w:rFonts w:hint="default"/>
                <w:color w:val="auto"/>
                <w:kern w:val="2"/>
                <w:szCs w:val="22"/>
                <w:highlight w:val="none"/>
              </w:rPr>
            </w:pPr>
            <w:r>
              <w:rPr>
                <w:rFonts w:hint="eastAsia"/>
                <w:color w:val="auto"/>
                <w:kern w:val="2"/>
                <w:szCs w:val="22"/>
                <w:highlight w:val="none"/>
              </w:rPr>
              <w:t>合同包1(彬州市2025年水肥精准调控展示项目)特定资格要求如下:</w:t>
            </w:r>
          </w:p>
          <w:p w14:paraId="3899D17F">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color w:val="auto"/>
                <w:kern w:val="2"/>
                <w:szCs w:val="22"/>
                <w:highlight w:val="none"/>
              </w:rPr>
            </w:pPr>
            <w:r>
              <w:rPr>
                <w:rFonts w:hint="eastAsia"/>
                <w:color w:val="auto"/>
                <w:kern w:val="2"/>
                <w:szCs w:val="22"/>
                <w:highlight w:val="none"/>
              </w:rPr>
              <w:t>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r>
              <w:rPr>
                <w:rFonts w:hint="eastAsia"/>
                <w:color w:val="auto"/>
                <w:kern w:val="2"/>
                <w:szCs w:val="22"/>
                <w:highlight w:val="none"/>
              </w:rPr>
              <w:br w:type="textWrapping"/>
            </w:r>
            <w:r>
              <w:rPr>
                <w:rFonts w:hint="eastAsia"/>
                <w:color w:val="auto"/>
                <w:kern w:val="2"/>
                <w:szCs w:val="22"/>
                <w:highlight w:val="none"/>
              </w:rPr>
              <w:t>（2）供应商须具备水利水电工程施工总承包三级(含三级)及以上资质，具有有效的安全生产许可证；</w:t>
            </w:r>
            <w:r>
              <w:rPr>
                <w:rFonts w:hint="eastAsia"/>
                <w:color w:val="auto"/>
                <w:kern w:val="2"/>
                <w:szCs w:val="22"/>
                <w:highlight w:val="none"/>
              </w:rPr>
              <w:br w:type="textWrapping"/>
            </w:r>
            <w:r>
              <w:rPr>
                <w:rFonts w:hint="eastAsia"/>
                <w:color w:val="auto"/>
                <w:kern w:val="2"/>
                <w:szCs w:val="22"/>
                <w:highlight w:val="none"/>
              </w:rPr>
              <w:t>（3）拟派项目经理须具备水利水电工程专业二级及以上注册建造师资格，并具备有效的安全生产考核合格证书，在本单位注册，无在建项目；</w:t>
            </w:r>
            <w:r>
              <w:rPr>
                <w:rFonts w:hint="eastAsia"/>
                <w:color w:val="auto"/>
                <w:kern w:val="2"/>
                <w:szCs w:val="22"/>
                <w:highlight w:val="none"/>
              </w:rPr>
              <w:br w:type="textWrapping"/>
            </w:r>
            <w:r>
              <w:rPr>
                <w:rFonts w:hint="eastAsia"/>
                <w:color w:val="auto"/>
                <w:kern w:val="2"/>
                <w:szCs w:val="22"/>
                <w:highlight w:val="none"/>
              </w:rPr>
              <w:t>（4）供应商基本信息要求：供应商资质基本信息及项目经理（注册建造师）执业基本信息应在“陕西省住房和城乡建设厅（http://js.shaanxi.gov.cn/）”相关平台可查询；</w:t>
            </w:r>
            <w:r>
              <w:rPr>
                <w:rFonts w:hint="eastAsia"/>
                <w:color w:val="auto"/>
                <w:kern w:val="2"/>
                <w:szCs w:val="22"/>
                <w:highlight w:val="none"/>
              </w:rPr>
              <w:br w:type="textWrapping"/>
            </w:r>
            <w:r>
              <w:rPr>
                <w:rFonts w:hint="eastAsia"/>
                <w:color w:val="auto"/>
                <w:kern w:val="2"/>
                <w:szCs w:val="22"/>
                <w:highlight w:val="none"/>
              </w:rPr>
              <w:t>（5）提供2024年度经审计的财务报告，或提交自2025年06月01日以来其基本开户银行出具的资信证明，或信用担保机构出具的投标担保函（以上三种形式的资料提供任何一种即可）；其他组织和自然人提供银行出具的资信证明或财务报表；</w:t>
            </w:r>
            <w:r>
              <w:rPr>
                <w:rFonts w:hint="eastAsia"/>
                <w:color w:val="auto"/>
                <w:kern w:val="2"/>
                <w:szCs w:val="22"/>
                <w:highlight w:val="none"/>
              </w:rPr>
              <w:br w:type="textWrapping"/>
            </w:r>
            <w:r>
              <w:rPr>
                <w:rFonts w:hint="eastAsia"/>
                <w:color w:val="auto"/>
                <w:kern w:val="2"/>
                <w:szCs w:val="22"/>
                <w:highlight w:val="none"/>
              </w:rPr>
              <w:t>（6）提供供应商2025年至今任意一个月已缴纳的完税凭证或税务机关开具的完税证明（任意税种），依法免税的单位应提供相关证明材料；</w:t>
            </w:r>
            <w:r>
              <w:rPr>
                <w:rFonts w:hint="eastAsia"/>
                <w:color w:val="auto"/>
                <w:kern w:val="2"/>
                <w:szCs w:val="22"/>
                <w:highlight w:val="none"/>
              </w:rPr>
              <w:br w:type="textWrapping"/>
            </w:r>
            <w:r>
              <w:rPr>
                <w:rFonts w:hint="eastAsia"/>
                <w:color w:val="auto"/>
                <w:kern w:val="2"/>
                <w:szCs w:val="22"/>
                <w:highlight w:val="none"/>
              </w:rPr>
              <w:t>（7）提供供应商2025年至今任意一个月的社会保障资金缴存单据或社保机构开具的社会保险参保缴费情况证明。依法不需要缴纳社会保障资金的供应商应提供相关证明文件；</w:t>
            </w:r>
            <w:r>
              <w:rPr>
                <w:rFonts w:hint="eastAsia"/>
                <w:color w:val="auto"/>
                <w:kern w:val="2"/>
                <w:szCs w:val="22"/>
                <w:highlight w:val="none"/>
              </w:rPr>
              <w:br w:type="textWrapping"/>
            </w:r>
            <w:r>
              <w:rPr>
                <w:rFonts w:hint="eastAsia"/>
                <w:color w:val="auto"/>
                <w:kern w:val="2"/>
                <w:szCs w:val="22"/>
                <w:highlight w:val="none"/>
              </w:rPr>
              <w:t>（8）提供具有履行本合同所必需的设备和专业技术能力的声明；</w:t>
            </w:r>
            <w:r>
              <w:rPr>
                <w:rFonts w:hint="eastAsia"/>
                <w:color w:val="auto"/>
                <w:kern w:val="2"/>
                <w:szCs w:val="22"/>
                <w:highlight w:val="none"/>
              </w:rPr>
              <w:br w:type="textWrapping"/>
            </w:r>
            <w:r>
              <w:rPr>
                <w:rFonts w:hint="eastAsia"/>
                <w:color w:val="auto"/>
                <w:kern w:val="2"/>
                <w:szCs w:val="22"/>
                <w:highlight w:val="none"/>
              </w:rPr>
              <w:t>（9）出具参加政府采购活动前3年内在经营活动中没有重大违法记录的书面声明；</w:t>
            </w:r>
            <w:r>
              <w:rPr>
                <w:rFonts w:hint="eastAsia"/>
                <w:color w:val="auto"/>
                <w:kern w:val="2"/>
                <w:szCs w:val="22"/>
                <w:highlight w:val="none"/>
              </w:rPr>
              <w:br w:type="textWrapping"/>
            </w:r>
            <w:r>
              <w:rPr>
                <w:rFonts w:hint="eastAsia"/>
                <w:color w:val="auto"/>
                <w:kern w:val="2"/>
                <w:szCs w:val="22"/>
                <w:highlight w:val="none"/>
              </w:rPr>
              <w:t>（10）法定代表人授权书及被授权人身份证(法定代表人直接参加投标，须提交其身份证复印件及法定代表人身份证明)；</w:t>
            </w:r>
            <w:r>
              <w:rPr>
                <w:rFonts w:hint="eastAsia"/>
                <w:color w:val="auto"/>
                <w:kern w:val="2"/>
                <w:szCs w:val="22"/>
                <w:highlight w:val="none"/>
              </w:rPr>
              <w:br w:type="textWrapping"/>
            </w:r>
            <w:r>
              <w:rPr>
                <w:rFonts w:hint="eastAsia"/>
                <w:color w:val="auto"/>
                <w:kern w:val="2"/>
                <w:szCs w:val="22"/>
                <w:highlight w:val="none"/>
              </w:rPr>
              <w:t>（11）供应商不得为“信用中国”网站(www.creditchina.gov.cn) 中列入重大税收违法失信主体、供应商不得为中国执行信息公开网（http://zxgk.court.gov.cn/shixin/）中列入失信被执行人名单、不得为“中国政府采购网”（www.ccgp.gov.cn）政府采购严重违法失信行为记录名单中被财政部门禁止参加政府采购活动的供应商（处罚期限届满的除外，如相关失信记录已失效，供应商需提供相关证明资料）；</w:t>
            </w:r>
          </w:p>
          <w:p w14:paraId="25392C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1"/>
                <w:sz w:val="21"/>
                <w:szCs w:val="21"/>
                <w:highlight w:val="none"/>
                <w:vertAlign w:val="baseline"/>
                <w:lang w:val="en-US" w:eastAsia="zh-CN"/>
              </w:rPr>
            </w:pPr>
            <w:r>
              <w:rPr>
                <w:rFonts w:hint="eastAsia"/>
                <w:color w:val="auto"/>
                <w:kern w:val="2"/>
                <w:szCs w:val="22"/>
                <w:highlight w:val="none"/>
              </w:rPr>
              <w:t>（12）本项目不接受联合体投标。</w:t>
            </w:r>
          </w:p>
        </w:tc>
      </w:tr>
      <w:tr w14:paraId="1FE4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32" w:type="dxa"/>
            <w:noWrap w:val="0"/>
            <w:vAlign w:val="center"/>
          </w:tcPr>
          <w:p w14:paraId="4A9C816C">
            <w:pPr>
              <w:pStyle w:val="13"/>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lang w:val="en-US" w:eastAsia="zh-CN"/>
              </w:rPr>
              <w:t>10</w:t>
            </w:r>
          </w:p>
        </w:tc>
        <w:tc>
          <w:tcPr>
            <w:tcW w:w="2023" w:type="dxa"/>
            <w:noWrap w:val="0"/>
            <w:vAlign w:val="center"/>
          </w:tcPr>
          <w:p w14:paraId="09468BAC">
            <w:pPr>
              <w:pStyle w:val="13"/>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u w:val="none" w:color="000000"/>
                <w:lang w:val="zh-CN" w:eastAsia="zh-CN" w:bidi="ar-SA"/>
              </w:rPr>
            </w:pPr>
            <w:r>
              <w:rPr>
                <w:rFonts w:hint="eastAsia" w:ascii="宋体" w:hAnsi="宋体" w:eastAsia="宋体" w:cs="宋体"/>
                <w:color w:val="auto"/>
                <w:sz w:val="21"/>
                <w:szCs w:val="21"/>
                <w:highlight w:val="none"/>
              </w:rPr>
              <w:t>磋商保证金</w:t>
            </w:r>
          </w:p>
        </w:tc>
        <w:tc>
          <w:tcPr>
            <w:tcW w:w="7264" w:type="dxa"/>
            <w:noWrap w:val="0"/>
            <w:vAlign w:val="center"/>
          </w:tcPr>
          <w:p w14:paraId="2BC289E5">
            <w:pPr>
              <w:pStyle w:val="5"/>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80" w:lineRule="exact"/>
              <w:ind w:left="0" w:leftChars="0" w:right="0" w:rightChars="0"/>
              <w:rPr>
                <w:rFonts w:hint="default" w:ascii="宋体" w:hAnsi="宋体" w:eastAsia="宋体" w:cs="宋体"/>
                <w:color w:val="auto"/>
                <w:kern w:val="2"/>
                <w:sz w:val="21"/>
                <w:szCs w:val="21"/>
                <w:highlight w:val="none"/>
                <w:u w:val="none" w:color="000000"/>
                <w:lang w:val="en-US" w:eastAsia="zh-CN" w:bidi="ar-SA"/>
              </w:rPr>
            </w:pPr>
            <w:r>
              <w:rPr>
                <w:rFonts w:hint="default" w:ascii="宋体" w:hAnsi="宋体" w:eastAsia="宋体" w:cs="宋体"/>
                <w:color w:val="auto"/>
                <w:kern w:val="2"/>
                <w:sz w:val="21"/>
                <w:szCs w:val="21"/>
                <w:highlight w:val="none"/>
                <w:u w:val="none" w:color="000000"/>
                <w:lang w:val="en-US" w:eastAsia="zh-CN" w:bidi="ar-SA"/>
              </w:rPr>
              <w:t>据咸阳市财政局文咸财采购【2021】9号规定不收取投标保证金。</w:t>
            </w:r>
          </w:p>
        </w:tc>
      </w:tr>
      <w:tr w14:paraId="5A83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32" w:type="dxa"/>
            <w:noWrap w:val="0"/>
            <w:vAlign w:val="center"/>
          </w:tcPr>
          <w:p w14:paraId="1AB7B4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lang w:val="en-US" w:eastAsia="zh-CN"/>
              </w:rPr>
              <w:t>11</w:t>
            </w:r>
          </w:p>
        </w:tc>
        <w:tc>
          <w:tcPr>
            <w:tcW w:w="2023" w:type="dxa"/>
            <w:noWrap w:val="0"/>
            <w:vAlign w:val="center"/>
          </w:tcPr>
          <w:p w14:paraId="6097E5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zh-CN"/>
              </w:rPr>
              <w:t>响应文件</w:t>
            </w:r>
            <w:r>
              <w:rPr>
                <w:rFonts w:hint="eastAsia" w:ascii="宋体" w:hAnsi="宋体" w:eastAsia="宋体" w:cs="宋体"/>
                <w:color w:val="auto"/>
                <w:kern w:val="21"/>
                <w:sz w:val="21"/>
                <w:szCs w:val="21"/>
                <w:highlight w:val="none"/>
              </w:rPr>
              <w:t>装订及</w:t>
            </w:r>
          </w:p>
          <w:p w14:paraId="35B07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zh-CN"/>
              </w:rPr>
              <w:t>份数要求</w:t>
            </w:r>
          </w:p>
        </w:tc>
        <w:tc>
          <w:tcPr>
            <w:tcW w:w="7264" w:type="dxa"/>
            <w:noWrap w:val="0"/>
            <w:vAlign w:val="center"/>
          </w:tcPr>
          <w:p w14:paraId="14FAD4F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竞争性磋商响应文件正本及副本分别装订成册（不得采用活页，采用胶装方式装订。</w:t>
            </w:r>
            <w:r>
              <w:rPr>
                <w:rFonts w:hint="eastAsia" w:ascii="宋体" w:hAnsi="宋体" w:eastAsia="宋体" w:cs="宋体"/>
                <w:color w:val="auto"/>
                <w:kern w:val="2"/>
                <w:sz w:val="21"/>
                <w:szCs w:val="21"/>
                <w:highlight w:val="none"/>
                <w:lang w:val="en-US" w:eastAsia="zh-CN"/>
              </w:rPr>
              <w:t>竞争性磋商响应文件由商务部分</w:t>
            </w:r>
            <w:r>
              <w:rPr>
                <w:rFonts w:hint="eastAsia" w:ascii="宋体" w:hAnsi="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en-US" w:eastAsia="zh-CN"/>
              </w:rPr>
              <w:t>技术部分、</w:t>
            </w:r>
            <w:r>
              <w:rPr>
                <w:rFonts w:hint="eastAsia" w:ascii="宋体" w:hAnsi="宋体" w:cs="宋体"/>
                <w:color w:val="auto"/>
                <w:kern w:val="2"/>
                <w:sz w:val="21"/>
                <w:szCs w:val="21"/>
                <w:highlight w:val="none"/>
                <w:lang w:val="en-US" w:eastAsia="zh-CN"/>
              </w:rPr>
              <w:t>资格部分</w:t>
            </w:r>
            <w:r>
              <w:rPr>
                <w:rFonts w:hint="eastAsia" w:ascii="宋体" w:hAnsi="宋体" w:eastAsia="宋体" w:cs="宋体"/>
                <w:color w:val="auto"/>
                <w:kern w:val="2"/>
                <w:sz w:val="21"/>
                <w:szCs w:val="21"/>
                <w:highlight w:val="none"/>
                <w:lang w:val="en-US" w:eastAsia="zh-CN"/>
              </w:rPr>
              <w:t>组成的文件，不需要分别装订</w:t>
            </w:r>
            <w:r>
              <w:rPr>
                <w:rFonts w:hint="eastAsia" w:ascii="宋体" w:hAnsi="宋体" w:eastAsia="宋体" w:cs="宋体"/>
                <w:color w:val="auto"/>
                <w:kern w:val="2"/>
                <w:sz w:val="21"/>
                <w:szCs w:val="21"/>
                <w:highlight w:val="none"/>
                <w:lang w:val="zh-CN"/>
              </w:rPr>
              <w:t>），正本壹份，副本贰份，电子文件（U盘3个）。</w:t>
            </w:r>
          </w:p>
          <w:p w14:paraId="6D6D1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注：电子文件：1）word版投标文件及签字盖章扫描后的PDF版</w:t>
            </w:r>
            <w:r>
              <w:rPr>
                <w:rFonts w:hint="eastAsia" w:ascii="宋体" w:hAnsi="宋体" w:cs="宋体"/>
                <w:b/>
                <w:bCs/>
                <w:color w:val="auto"/>
                <w:kern w:val="2"/>
                <w:sz w:val="21"/>
                <w:szCs w:val="21"/>
                <w:highlight w:val="none"/>
                <w:lang w:val="en-US" w:eastAsia="zh-CN"/>
              </w:rPr>
              <w:t>响应</w:t>
            </w:r>
            <w:r>
              <w:rPr>
                <w:rFonts w:hint="eastAsia" w:ascii="宋体" w:hAnsi="宋体" w:eastAsia="宋体" w:cs="宋体"/>
                <w:b/>
                <w:bCs/>
                <w:color w:val="auto"/>
                <w:kern w:val="2"/>
                <w:sz w:val="21"/>
                <w:szCs w:val="21"/>
                <w:highlight w:val="none"/>
                <w:lang w:val="en-US" w:eastAsia="zh-CN"/>
              </w:rPr>
              <w:t>文件；</w:t>
            </w:r>
          </w:p>
          <w:p w14:paraId="3D8058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b/>
                <w:bCs/>
                <w:color w:val="auto"/>
                <w:kern w:val="2"/>
                <w:sz w:val="21"/>
                <w:szCs w:val="21"/>
                <w:highlight w:val="none"/>
                <w:lang w:val="en-US" w:eastAsia="zh-CN"/>
              </w:rPr>
            </w:pPr>
            <w:r>
              <w:rPr>
                <w:rFonts w:hint="eastAsia" w:ascii="宋体" w:hAnsi="宋体" w:cs="宋体"/>
                <w:b/>
                <w:bCs/>
                <w:color w:val="auto"/>
                <w:kern w:val="2"/>
                <w:sz w:val="21"/>
                <w:szCs w:val="21"/>
                <w:highlight w:val="none"/>
                <w:lang w:val="en-US" w:eastAsia="zh-CN"/>
              </w:rPr>
              <w:t>2）已标价工程量清单报价表以计价软件生成格式为准（提供Excel格式）。</w:t>
            </w:r>
          </w:p>
        </w:tc>
      </w:tr>
      <w:tr w14:paraId="290A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732" w:type="dxa"/>
            <w:noWrap w:val="0"/>
            <w:vAlign w:val="center"/>
          </w:tcPr>
          <w:p w14:paraId="590961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lang w:val="en-US"/>
              </w:rPr>
            </w:pPr>
            <w:r>
              <w:rPr>
                <w:rFonts w:hint="eastAsia" w:ascii="宋体" w:hAnsi="宋体" w:eastAsia="宋体" w:cs="宋体"/>
                <w:color w:val="auto"/>
                <w:kern w:val="21"/>
                <w:sz w:val="21"/>
                <w:szCs w:val="21"/>
                <w:highlight w:val="none"/>
                <w:lang w:val="en-US" w:eastAsia="zh-CN"/>
              </w:rPr>
              <w:t>12</w:t>
            </w:r>
          </w:p>
        </w:tc>
        <w:tc>
          <w:tcPr>
            <w:tcW w:w="2023" w:type="dxa"/>
            <w:noWrap w:val="0"/>
            <w:vAlign w:val="center"/>
          </w:tcPr>
          <w:p w14:paraId="73EC8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val="zh-CN"/>
              </w:rPr>
              <w:t>竞争性磋商响应文件密封与标识</w:t>
            </w:r>
          </w:p>
        </w:tc>
        <w:tc>
          <w:tcPr>
            <w:tcW w:w="7264" w:type="dxa"/>
            <w:noWrap w:val="0"/>
            <w:vAlign w:val="center"/>
          </w:tcPr>
          <w:p w14:paraId="7390AA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lang w:val="zh-CN"/>
              </w:rPr>
            </w:pPr>
            <w:r>
              <w:rPr>
                <w:rFonts w:hint="eastAsia" w:ascii="宋体" w:hAnsi="宋体" w:eastAsia="宋体" w:cs="宋体"/>
                <w:color w:val="auto"/>
                <w:kern w:val="21"/>
                <w:sz w:val="21"/>
                <w:szCs w:val="21"/>
                <w:highlight w:val="none"/>
                <w:lang w:val="zh-CN"/>
              </w:rPr>
              <w:t>所有密封包装均应符合以下要求：</w:t>
            </w:r>
          </w:p>
          <w:p w14:paraId="6B84A8E9">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lang w:val="zh-CN"/>
              </w:rPr>
            </w:pPr>
            <w:r>
              <w:rPr>
                <w:rFonts w:hint="eastAsia" w:ascii="宋体" w:hAnsi="宋体" w:eastAsia="宋体" w:cs="宋体"/>
                <w:color w:val="auto"/>
                <w:kern w:val="21"/>
                <w:sz w:val="21"/>
                <w:szCs w:val="21"/>
                <w:highlight w:val="none"/>
                <w:lang w:val="zh-CN"/>
              </w:rPr>
              <w:t>竞争性磋商响应文件正本、所有副本，应分别装袋密封，并在封套的封口处（封套两端折叠封口处）加盖供应商单位公章。电子文件密封于正本袋内。</w:t>
            </w:r>
          </w:p>
          <w:p w14:paraId="752B6C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lang w:val="zh-CN"/>
              </w:rPr>
            </w:pPr>
            <w:r>
              <w:rPr>
                <w:rFonts w:hint="eastAsia" w:ascii="宋体" w:hAnsi="宋体" w:eastAsia="宋体" w:cs="宋体"/>
                <w:color w:val="auto"/>
                <w:kern w:val="21"/>
                <w:sz w:val="21"/>
                <w:szCs w:val="21"/>
                <w:highlight w:val="none"/>
                <w:lang w:val="zh-CN"/>
              </w:rPr>
              <w:t>（2）项目名称、项目编号、供应商名称、法定代表人或委托代理人签字或盖章，并加盖单位公章、标段号（如有）、地址、年月日、“正本”或“副本”、“于</w:t>
            </w:r>
            <w:r>
              <w:rPr>
                <w:rFonts w:hint="eastAsia" w:ascii="宋体" w:hAnsi="宋体" w:eastAsia="宋体" w:cs="宋体"/>
                <w:color w:val="auto"/>
                <w:kern w:val="21"/>
                <w:sz w:val="21"/>
                <w:szCs w:val="21"/>
                <w:highlight w:val="none"/>
                <w:u w:val="single" w:color="auto"/>
                <w:lang w:val="en-US" w:eastAsia="zh-CN"/>
              </w:rPr>
              <w:t xml:space="preserve">    </w:t>
            </w:r>
            <w:r>
              <w:rPr>
                <w:rFonts w:hint="eastAsia" w:ascii="宋体" w:hAnsi="宋体" w:eastAsia="宋体" w:cs="宋体"/>
                <w:color w:val="auto"/>
                <w:kern w:val="21"/>
                <w:sz w:val="21"/>
                <w:szCs w:val="21"/>
                <w:highlight w:val="none"/>
                <w:lang w:val="zh-CN"/>
              </w:rPr>
              <w:t>年</w:t>
            </w:r>
            <w:r>
              <w:rPr>
                <w:rFonts w:hint="eastAsia" w:ascii="宋体" w:hAnsi="宋体" w:eastAsia="宋体" w:cs="宋体"/>
                <w:color w:val="auto"/>
                <w:kern w:val="21"/>
                <w:sz w:val="21"/>
                <w:szCs w:val="21"/>
                <w:highlight w:val="none"/>
                <w:u w:val="single" w:color="auto"/>
                <w:lang w:val="en-US" w:eastAsia="zh-CN"/>
              </w:rPr>
              <w:t xml:space="preserve">    </w:t>
            </w:r>
            <w:r>
              <w:rPr>
                <w:rFonts w:hint="eastAsia" w:ascii="宋体" w:hAnsi="宋体" w:eastAsia="宋体" w:cs="宋体"/>
                <w:color w:val="auto"/>
                <w:kern w:val="21"/>
                <w:sz w:val="21"/>
                <w:szCs w:val="21"/>
                <w:highlight w:val="none"/>
                <w:lang w:val="zh-CN"/>
              </w:rPr>
              <w:t>月</w:t>
            </w:r>
            <w:r>
              <w:rPr>
                <w:rFonts w:hint="eastAsia" w:ascii="宋体" w:hAnsi="宋体" w:eastAsia="宋体" w:cs="宋体"/>
                <w:color w:val="auto"/>
                <w:kern w:val="21"/>
                <w:sz w:val="21"/>
                <w:szCs w:val="21"/>
                <w:highlight w:val="none"/>
                <w:u w:val="single" w:color="auto"/>
                <w:lang w:val="en-US" w:eastAsia="zh-CN"/>
              </w:rPr>
              <w:t xml:space="preserve">    </w:t>
            </w:r>
            <w:r>
              <w:rPr>
                <w:rFonts w:hint="eastAsia" w:ascii="宋体" w:hAnsi="宋体" w:eastAsia="宋体" w:cs="宋体"/>
                <w:color w:val="auto"/>
                <w:kern w:val="21"/>
                <w:sz w:val="21"/>
                <w:szCs w:val="21"/>
                <w:highlight w:val="none"/>
                <w:lang w:val="zh-CN"/>
              </w:rPr>
              <w:t>日</w:t>
            </w:r>
            <w:r>
              <w:rPr>
                <w:rFonts w:hint="eastAsia" w:ascii="宋体" w:hAnsi="宋体" w:eastAsia="宋体" w:cs="宋体"/>
                <w:color w:val="auto"/>
                <w:kern w:val="21"/>
                <w:sz w:val="21"/>
                <w:szCs w:val="21"/>
                <w:highlight w:val="none"/>
                <w:u w:val="single" w:color="auto"/>
                <w:lang w:val="en-US" w:eastAsia="zh-CN"/>
              </w:rPr>
              <w:t xml:space="preserve">    </w:t>
            </w:r>
            <w:r>
              <w:rPr>
                <w:rFonts w:hint="eastAsia" w:ascii="宋体" w:hAnsi="宋体" w:eastAsia="宋体" w:cs="宋体"/>
                <w:color w:val="auto"/>
                <w:kern w:val="21"/>
                <w:sz w:val="21"/>
                <w:szCs w:val="21"/>
                <w:highlight w:val="none"/>
                <w:lang w:val="zh-CN"/>
              </w:rPr>
              <w:t>前不得开启”字样。</w:t>
            </w:r>
          </w:p>
          <w:p w14:paraId="70C67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lang w:val="zh-CN"/>
              </w:rPr>
            </w:pPr>
            <w:r>
              <w:rPr>
                <w:rFonts w:hint="eastAsia" w:ascii="宋体" w:hAnsi="宋体" w:eastAsia="宋体" w:cs="宋体"/>
                <w:color w:val="auto"/>
                <w:kern w:val="21"/>
                <w:sz w:val="21"/>
                <w:szCs w:val="21"/>
                <w:highlight w:val="none"/>
                <w:lang w:val="zh-CN"/>
              </w:rPr>
              <w:t xml:space="preserve">（3）供应商应按照竞争性磋商文件“第六部分 </w:t>
            </w:r>
            <w:r>
              <w:rPr>
                <w:rFonts w:hint="eastAsia" w:ascii="宋体" w:hAnsi="宋体" w:eastAsia="宋体" w:cs="宋体"/>
                <w:color w:val="auto"/>
                <w:kern w:val="2"/>
                <w:sz w:val="21"/>
                <w:szCs w:val="21"/>
                <w:highlight w:val="none"/>
                <w:lang w:val="zh-CN"/>
              </w:rPr>
              <w:t>竞争性磋商响应文件格式</w:t>
            </w:r>
            <w:r>
              <w:rPr>
                <w:rFonts w:hint="eastAsia" w:ascii="宋体" w:hAnsi="宋体" w:eastAsia="宋体" w:cs="宋体"/>
                <w:color w:val="auto"/>
                <w:kern w:val="21"/>
                <w:sz w:val="21"/>
                <w:szCs w:val="21"/>
                <w:highlight w:val="none"/>
                <w:lang w:val="zh-CN"/>
              </w:rPr>
              <w:t>”中指明的要求进行签署、盖章。</w:t>
            </w:r>
          </w:p>
          <w:p w14:paraId="4283AB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val="zh-CN"/>
              </w:rPr>
              <w:t>注：竞争性磋商响应文件如果未按上述规定密封和加写标记，采购代理机构将拒绝接收。</w:t>
            </w:r>
          </w:p>
        </w:tc>
      </w:tr>
      <w:tr w14:paraId="587A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32" w:type="dxa"/>
            <w:noWrap w:val="0"/>
            <w:vAlign w:val="center"/>
          </w:tcPr>
          <w:p w14:paraId="29776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val="en-US" w:eastAsia="zh-CN"/>
              </w:rPr>
              <w:t>13</w:t>
            </w:r>
          </w:p>
        </w:tc>
        <w:tc>
          <w:tcPr>
            <w:tcW w:w="2023" w:type="dxa"/>
            <w:noWrap w:val="0"/>
            <w:vAlign w:val="center"/>
          </w:tcPr>
          <w:p w14:paraId="141FE5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rPr>
            </w:pPr>
            <w:r>
              <w:rPr>
                <w:rFonts w:hint="eastAsia" w:ascii="宋体" w:hAnsi="宋体" w:eastAsia="宋体" w:cs="宋体"/>
                <w:color w:val="auto"/>
                <w:kern w:val="2"/>
                <w:sz w:val="21"/>
                <w:szCs w:val="21"/>
                <w:highlight w:val="none"/>
              </w:rPr>
              <w:t>磋商</w:t>
            </w:r>
            <w:r>
              <w:rPr>
                <w:rFonts w:hint="eastAsia" w:ascii="宋体" w:hAnsi="宋体" w:eastAsia="宋体" w:cs="宋体"/>
                <w:color w:val="auto"/>
                <w:kern w:val="21"/>
                <w:sz w:val="21"/>
                <w:szCs w:val="21"/>
                <w:highlight w:val="none"/>
              </w:rPr>
              <w:t>时</w:t>
            </w:r>
          </w:p>
          <w:p w14:paraId="6CB649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rPr>
              <w:t>携带</w:t>
            </w:r>
            <w:r>
              <w:rPr>
                <w:rFonts w:hint="eastAsia" w:ascii="宋体" w:hAnsi="宋体" w:eastAsia="宋体" w:cs="宋体"/>
                <w:color w:val="auto"/>
                <w:kern w:val="21"/>
                <w:sz w:val="21"/>
                <w:szCs w:val="21"/>
                <w:highlight w:val="none"/>
                <w:lang w:eastAsia="zh-CN"/>
              </w:rPr>
              <w:t>资料</w:t>
            </w:r>
          </w:p>
        </w:tc>
        <w:tc>
          <w:tcPr>
            <w:tcW w:w="7264" w:type="dxa"/>
            <w:noWrap w:val="0"/>
            <w:vAlign w:val="top"/>
          </w:tcPr>
          <w:p w14:paraId="363696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baseline"/>
              <w:outlineLvl w:val="9"/>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法定代表人授权书及被授权人身份证原件(法定代表人直接参加投标，须提交其身份证原件、复印件及法定代表人身份证明)；</w:t>
            </w:r>
          </w:p>
        </w:tc>
      </w:tr>
      <w:tr w14:paraId="4736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32" w:type="dxa"/>
            <w:noWrap w:val="0"/>
            <w:vAlign w:val="center"/>
          </w:tcPr>
          <w:p w14:paraId="005621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val="en-US" w:eastAsia="zh-CN"/>
              </w:rPr>
              <w:t>14</w:t>
            </w:r>
          </w:p>
        </w:tc>
        <w:tc>
          <w:tcPr>
            <w:tcW w:w="2023" w:type="dxa"/>
            <w:noWrap w:val="0"/>
            <w:vAlign w:val="center"/>
          </w:tcPr>
          <w:p w14:paraId="3C356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联合体投标</w:t>
            </w:r>
          </w:p>
        </w:tc>
        <w:tc>
          <w:tcPr>
            <w:tcW w:w="7264" w:type="dxa"/>
            <w:noWrap w:val="0"/>
            <w:vAlign w:val="center"/>
          </w:tcPr>
          <w:p w14:paraId="7F51DF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baseline"/>
              <w:outlineLvl w:val="9"/>
              <w:rPr>
                <w:rFonts w:hint="eastAsia"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不接受</w:t>
            </w:r>
          </w:p>
        </w:tc>
      </w:tr>
      <w:tr w14:paraId="573D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32" w:type="dxa"/>
            <w:noWrap w:val="0"/>
            <w:vAlign w:val="center"/>
          </w:tcPr>
          <w:p w14:paraId="3DD04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1</w:t>
            </w:r>
            <w:r>
              <w:rPr>
                <w:rFonts w:hint="eastAsia" w:ascii="宋体" w:hAnsi="宋体" w:eastAsia="宋体" w:cs="宋体"/>
                <w:color w:val="auto"/>
                <w:kern w:val="21"/>
                <w:sz w:val="21"/>
                <w:szCs w:val="21"/>
                <w:highlight w:val="none"/>
                <w:lang w:val="en-US" w:eastAsia="zh-CN"/>
              </w:rPr>
              <w:t>5</w:t>
            </w:r>
          </w:p>
        </w:tc>
        <w:tc>
          <w:tcPr>
            <w:tcW w:w="2023" w:type="dxa"/>
            <w:noWrap w:val="0"/>
            <w:vAlign w:val="center"/>
          </w:tcPr>
          <w:p w14:paraId="62469C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踏勘现场</w:t>
            </w:r>
          </w:p>
        </w:tc>
        <w:tc>
          <w:tcPr>
            <w:tcW w:w="7264" w:type="dxa"/>
            <w:noWrap w:val="0"/>
            <w:vAlign w:val="center"/>
          </w:tcPr>
          <w:p w14:paraId="4EBE3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baseline"/>
              <w:outlineLvl w:val="9"/>
              <w:rPr>
                <w:rFonts w:hint="default" w:ascii="宋体" w:hAnsi="宋体" w:eastAsia="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本项目不组织踏勘</w:t>
            </w:r>
          </w:p>
        </w:tc>
      </w:tr>
      <w:tr w14:paraId="6AE6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32" w:type="dxa"/>
            <w:noWrap w:val="0"/>
            <w:vAlign w:val="center"/>
          </w:tcPr>
          <w:p w14:paraId="750717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16</w:t>
            </w:r>
          </w:p>
        </w:tc>
        <w:tc>
          <w:tcPr>
            <w:tcW w:w="2023" w:type="dxa"/>
            <w:noWrap w:val="0"/>
            <w:vAlign w:val="center"/>
          </w:tcPr>
          <w:p w14:paraId="41410B2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
                <w:sz w:val="21"/>
                <w:szCs w:val="21"/>
                <w:highlight w:val="none"/>
              </w:rPr>
              <w:t>分包</w:t>
            </w:r>
          </w:p>
        </w:tc>
        <w:tc>
          <w:tcPr>
            <w:tcW w:w="7264" w:type="dxa"/>
            <w:noWrap w:val="0"/>
            <w:vAlign w:val="center"/>
          </w:tcPr>
          <w:p w14:paraId="2264570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21"/>
                <w:sz w:val="21"/>
                <w:szCs w:val="21"/>
                <w:highlight w:val="none"/>
              </w:rPr>
            </w:pPr>
            <w:r>
              <w:rPr>
                <w:rFonts w:hint="eastAsia" w:ascii="宋体" w:hAnsi="宋体" w:eastAsia="宋体" w:cs="宋体"/>
                <w:color w:val="auto"/>
                <w:kern w:val="2"/>
                <w:sz w:val="21"/>
                <w:szCs w:val="21"/>
                <w:highlight w:val="none"/>
              </w:rPr>
              <w:t>不允许分包</w:t>
            </w:r>
          </w:p>
        </w:tc>
      </w:tr>
      <w:tr w14:paraId="755B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32" w:type="dxa"/>
            <w:noWrap w:val="0"/>
            <w:vAlign w:val="center"/>
          </w:tcPr>
          <w:p w14:paraId="0F75F7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17</w:t>
            </w:r>
          </w:p>
        </w:tc>
        <w:tc>
          <w:tcPr>
            <w:tcW w:w="2023" w:type="dxa"/>
            <w:noWrap w:val="0"/>
            <w:vAlign w:val="center"/>
          </w:tcPr>
          <w:p w14:paraId="19E9F31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偏离</w:t>
            </w:r>
          </w:p>
        </w:tc>
        <w:tc>
          <w:tcPr>
            <w:tcW w:w="7264" w:type="dxa"/>
            <w:noWrap w:val="0"/>
            <w:vAlign w:val="center"/>
          </w:tcPr>
          <w:p w14:paraId="06EDAD7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不允许，必须全面符合并响应竞争性磋商文件要求</w:t>
            </w:r>
          </w:p>
        </w:tc>
      </w:tr>
      <w:tr w14:paraId="6620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32" w:type="dxa"/>
            <w:noWrap w:val="0"/>
            <w:vAlign w:val="center"/>
          </w:tcPr>
          <w:p w14:paraId="43B70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aseline"/>
              <w:outlineLvl w:val="9"/>
              <w:rPr>
                <w:rFonts w:hint="eastAsia" w:ascii="宋体" w:hAnsi="宋体" w:eastAsia="宋体" w:cs="宋体"/>
                <w:color w:val="auto"/>
                <w:kern w:val="21"/>
                <w:sz w:val="21"/>
                <w:szCs w:val="21"/>
                <w:highlight w:val="none"/>
                <w:u w:val="none" w:color="000000"/>
                <w:vertAlign w:val="baseline"/>
                <w:lang w:val="en-US" w:eastAsia="zh-CN" w:bidi="ar-SA"/>
              </w:rPr>
            </w:pPr>
            <w:r>
              <w:rPr>
                <w:rFonts w:hint="eastAsia" w:ascii="宋体" w:hAnsi="宋体" w:eastAsia="宋体" w:cs="宋体"/>
                <w:color w:val="auto"/>
                <w:kern w:val="21"/>
                <w:sz w:val="21"/>
                <w:szCs w:val="21"/>
                <w:highlight w:val="none"/>
                <w:lang w:val="en-US" w:eastAsia="zh-CN"/>
              </w:rPr>
              <w:t>18</w:t>
            </w:r>
          </w:p>
        </w:tc>
        <w:tc>
          <w:tcPr>
            <w:tcW w:w="2023" w:type="dxa"/>
            <w:noWrap w:val="0"/>
            <w:vAlign w:val="center"/>
          </w:tcPr>
          <w:p w14:paraId="6A2E29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eastAsia="zh-CN"/>
              </w:rPr>
              <w:t>响应</w:t>
            </w:r>
            <w:r>
              <w:rPr>
                <w:rFonts w:hint="eastAsia" w:ascii="宋体" w:hAnsi="宋体" w:eastAsia="宋体" w:cs="宋体"/>
                <w:color w:val="auto"/>
                <w:kern w:val="21"/>
                <w:sz w:val="21"/>
                <w:szCs w:val="21"/>
                <w:highlight w:val="none"/>
              </w:rPr>
              <w:t>文件截止递交时间、地点</w:t>
            </w:r>
          </w:p>
        </w:tc>
        <w:tc>
          <w:tcPr>
            <w:tcW w:w="7264" w:type="dxa"/>
            <w:noWrap w:val="0"/>
            <w:vAlign w:val="center"/>
          </w:tcPr>
          <w:p w14:paraId="3D595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eastAsia="zh-CN"/>
              </w:rPr>
              <w:t>响应</w:t>
            </w:r>
            <w:r>
              <w:rPr>
                <w:rFonts w:hint="eastAsia" w:ascii="宋体" w:hAnsi="宋体" w:eastAsia="宋体" w:cs="宋体"/>
                <w:color w:val="auto"/>
                <w:kern w:val="21"/>
                <w:sz w:val="21"/>
                <w:szCs w:val="21"/>
                <w:highlight w:val="none"/>
              </w:rPr>
              <w:t>文件截止递交时间：</w:t>
            </w:r>
            <w:r>
              <w:rPr>
                <w:rFonts w:hint="eastAsia" w:ascii="宋体" w:hAnsi="宋体" w:eastAsia="宋体" w:cs="宋体"/>
                <w:color w:val="auto"/>
                <w:kern w:val="2"/>
                <w:sz w:val="21"/>
                <w:szCs w:val="21"/>
                <w:highlight w:val="none"/>
              </w:rPr>
              <w:t>202</w:t>
            </w:r>
            <w:r>
              <w:rPr>
                <w:rFonts w:hint="eastAsia" w:ascii="宋体"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年</w:t>
            </w:r>
            <w:r>
              <w:rPr>
                <w:rFonts w:hint="eastAsia" w:ascii="宋体" w:hAnsi="宋体" w:cs="宋体"/>
                <w:color w:val="auto"/>
                <w:kern w:val="2"/>
                <w:sz w:val="21"/>
                <w:szCs w:val="21"/>
                <w:highlight w:val="none"/>
                <w:lang w:val="en-US" w:eastAsia="zh-CN"/>
              </w:rPr>
              <w:t>02</w:t>
            </w:r>
            <w:r>
              <w:rPr>
                <w:rFonts w:hint="eastAsia" w:ascii="宋体" w:hAnsi="宋体" w:eastAsia="宋体" w:cs="宋体"/>
                <w:color w:val="auto"/>
                <w:kern w:val="2"/>
                <w:sz w:val="21"/>
                <w:szCs w:val="21"/>
                <w:highlight w:val="none"/>
              </w:rPr>
              <w:t>月</w:t>
            </w:r>
            <w:r>
              <w:rPr>
                <w:rFonts w:hint="eastAsia" w:ascii="宋体" w:hAnsi="宋体" w:cs="宋体"/>
                <w:color w:val="auto"/>
                <w:kern w:val="2"/>
                <w:sz w:val="21"/>
                <w:szCs w:val="21"/>
                <w:highlight w:val="none"/>
                <w:lang w:val="en-US" w:eastAsia="zh-CN"/>
              </w:rPr>
              <w:t>03</w:t>
            </w:r>
            <w:r>
              <w:rPr>
                <w:rFonts w:hint="eastAsia" w:ascii="宋体" w:hAnsi="宋体" w:eastAsia="宋体" w:cs="宋体"/>
                <w:color w:val="auto"/>
                <w:kern w:val="2"/>
                <w:sz w:val="21"/>
                <w:szCs w:val="21"/>
                <w:highlight w:val="none"/>
              </w:rPr>
              <w:t>日14时</w:t>
            </w:r>
            <w:r>
              <w:rPr>
                <w:rFonts w:hint="eastAsia" w:ascii="宋体" w:hAnsi="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rPr>
              <w:t>0分00秒</w:t>
            </w:r>
          </w:p>
          <w:p w14:paraId="1F61D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default"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rPr>
              <w:t>地点：</w:t>
            </w:r>
            <w:r>
              <w:rPr>
                <w:rFonts w:hint="eastAsia" w:ascii="宋体" w:hAnsi="宋体" w:eastAsia="宋体" w:cs="宋体"/>
                <w:b w:val="0"/>
                <w:bCs/>
                <w:color w:val="auto"/>
                <w:kern w:val="2"/>
                <w:sz w:val="21"/>
                <w:szCs w:val="21"/>
                <w:highlight w:val="none"/>
              </w:rPr>
              <w:t>西安曲江新区雁南五路曲江影视大厦19层（会议室）</w:t>
            </w:r>
          </w:p>
        </w:tc>
      </w:tr>
      <w:tr w14:paraId="6AF3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32" w:type="dxa"/>
            <w:noWrap w:val="0"/>
            <w:vAlign w:val="center"/>
          </w:tcPr>
          <w:p w14:paraId="17B583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aseline"/>
              <w:outlineLvl w:val="9"/>
              <w:rPr>
                <w:rFonts w:hint="eastAsia" w:ascii="宋体" w:hAnsi="宋体" w:eastAsia="宋体" w:cs="宋体"/>
                <w:color w:val="auto"/>
                <w:kern w:val="21"/>
                <w:sz w:val="21"/>
                <w:szCs w:val="21"/>
                <w:highlight w:val="none"/>
                <w:u w:val="none" w:color="000000"/>
                <w:vertAlign w:val="baseline"/>
                <w:lang w:val="en-US" w:eastAsia="zh-CN" w:bidi="ar-SA"/>
              </w:rPr>
            </w:pPr>
            <w:r>
              <w:rPr>
                <w:rFonts w:hint="eastAsia" w:ascii="宋体" w:hAnsi="宋体" w:eastAsia="宋体" w:cs="宋体"/>
                <w:color w:val="auto"/>
                <w:kern w:val="21"/>
                <w:sz w:val="21"/>
                <w:szCs w:val="21"/>
                <w:highlight w:val="none"/>
                <w:lang w:val="en-US" w:eastAsia="zh-CN"/>
              </w:rPr>
              <w:t>19</w:t>
            </w:r>
          </w:p>
        </w:tc>
        <w:tc>
          <w:tcPr>
            <w:tcW w:w="2023" w:type="dxa"/>
            <w:noWrap w:val="0"/>
            <w:vAlign w:val="center"/>
          </w:tcPr>
          <w:p w14:paraId="64E41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eastAsia="zh-CN"/>
              </w:rPr>
              <w:t>磋商会议</w:t>
            </w:r>
            <w:r>
              <w:rPr>
                <w:rFonts w:hint="eastAsia" w:ascii="宋体" w:hAnsi="宋体" w:eastAsia="宋体" w:cs="宋体"/>
                <w:color w:val="auto"/>
                <w:kern w:val="21"/>
                <w:sz w:val="21"/>
                <w:szCs w:val="21"/>
                <w:highlight w:val="none"/>
              </w:rPr>
              <w:t>时间、地点</w:t>
            </w:r>
          </w:p>
        </w:tc>
        <w:tc>
          <w:tcPr>
            <w:tcW w:w="7264" w:type="dxa"/>
            <w:noWrap w:val="0"/>
            <w:vAlign w:val="center"/>
          </w:tcPr>
          <w:p w14:paraId="62E4C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eastAsia="zh-CN"/>
              </w:rPr>
              <w:t>磋商</w:t>
            </w:r>
            <w:r>
              <w:rPr>
                <w:rFonts w:hint="eastAsia" w:ascii="宋体" w:hAnsi="宋体" w:eastAsia="宋体" w:cs="宋体"/>
                <w:color w:val="auto"/>
                <w:kern w:val="21"/>
                <w:sz w:val="21"/>
                <w:szCs w:val="21"/>
                <w:highlight w:val="none"/>
              </w:rPr>
              <w:t>时间：</w:t>
            </w:r>
            <w:r>
              <w:rPr>
                <w:rFonts w:hint="eastAsia" w:ascii="宋体" w:hAnsi="宋体" w:eastAsia="宋体" w:cs="宋体"/>
                <w:color w:val="auto"/>
                <w:kern w:val="2"/>
                <w:sz w:val="21"/>
                <w:szCs w:val="21"/>
                <w:highlight w:val="none"/>
              </w:rPr>
              <w:t>202</w:t>
            </w:r>
            <w:r>
              <w:rPr>
                <w:rFonts w:hint="eastAsia" w:ascii="宋体"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年</w:t>
            </w:r>
            <w:r>
              <w:rPr>
                <w:rFonts w:hint="eastAsia" w:ascii="宋体" w:hAnsi="宋体" w:cs="宋体"/>
                <w:color w:val="auto"/>
                <w:kern w:val="2"/>
                <w:sz w:val="21"/>
                <w:szCs w:val="21"/>
                <w:highlight w:val="none"/>
                <w:lang w:val="en-US" w:eastAsia="zh-CN"/>
              </w:rPr>
              <w:t>02</w:t>
            </w:r>
            <w:r>
              <w:rPr>
                <w:rFonts w:hint="eastAsia" w:ascii="宋体" w:hAnsi="宋体" w:eastAsia="宋体" w:cs="宋体"/>
                <w:color w:val="auto"/>
                <w:kern w:val="2"/>
                <w:sz w:val="21"/>
                <w:szCs w:val="21"/>
                <w:highlight w:val="none"/>
              </w:rPr>
              <w:t>月</w:t>
            </w:r>
            <w:r>
              <w:rPr>
                <w:rFonts w:hint="eastAsia" w:ascii="宋体" w:hAnsi="宋体" w:cs="宋体"/>
                <w:color w:val="auto"/>
                <w:kern w:val="2"/>
                <w:sz w:val="21"/>
                <w:szCs w:val="21"/>
                <w:highlight w:val="none"/>
                <w:lang w:val="en-US" w:eastAsia="zh-CN"/>
              </w:rPr>
              <w:t>03</w:t>
            </w:r>
            <w:r>
              <w:rPr>
                <w:rFonts w:hint="eastAsia" w:ascii="宋体" w:hAnsi="宋体" w:eastAsia="宋体" w:cs="宋体"/>
                <w:color w:val="auto"/>
                <w:kern w:val="2"/>
                <w:sz w:val="21"/>
                <w:szCs w:val="21"/>
                <w:highlight w:val="none"/>
              </w:rPr>
              <w:t>日14时</w:t>
            </w:r>
            <w:r>
              <w:rPr>
                <w:rFonts w:hint="eastAsia" w:ascii="宋体" w:hAnsi="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rPr>
              <w:t>0分00秒</w:t>
            </w:r>
          </w:p>
          <w:p w14:paraId="4A7F9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eastAsia="zh-CN"/>
              </w:rPr>
              <w:t>磋商</w:t>
            </w:r>
            <w:r>
              <w:rPr>
                <w:rFonts w:hint="eastAsia" w:ascii="宋体" w:hAnsi="宋体" w:eastAsia="宋体" w:cs="宋体"/>
                <w:color w:val="auto"/>
                <w:kern w:val="21"/>
                <w:sz w:val="21"/>
                <w:szCs w:val="21"/>
                <w:highlight w:val="none"/>
              </w:rPr>
              <w:t>地点：</w:t>
            </w:r>
            <w:r>
              <w:rPr>
                <w:rFonts w:hint="eastAsia" w:ascii="宋体" w:hAnsi="宋体" w:eastAsia="宋体" w:cs="宋体"/>
                <w:b w:val="0"/>
                <w:bCs/>
                <w:color w:val="auto"/>
                <w:kern w:val="2"/>
                <w:sz w:val="21"/>
                <w:szCs w:val="21"/>
                <w:highlight w:val="none"/>
              </w:rPr>
              <w:t>西安曲江新区雁南五路曲江影视大厦19层（会议室）</w:t>
            </w:r>
          </w:p>
        </w:tc>
      </w:tr>
      <w:tr w14:paraId="4BBB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32" w:type="dxa"/>
            <w:noWrap w:val="0"/>
            <w:vAlign w:val="center"/>
          </w:tcPr>
          <w:p w14:paraId="75F46E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aseline"/>
              <w:outlineLvl w:val="9"/>
              <w:rPr>
                <w:rFonts w:hint="eastAsia" w:ascii="宋体" w:hAnsi="宋体" w:eastAsia="宋体" w:cs="宋体"/>
                <w:color w:val="auto"/>
                <w:kern w:val="21"/>
                <w:sz w:val="21"/>
                <w:szCs w:val="21"/>
                <w:highlight w:val="none"/>
                <w:u w:val="none" w:color="000000"/>
                <w:vertAlign w:val="baseline"/>
                <w:lang w:val="en-US" w:eastAsia="zh-CN" w:bidi="ar-SA"/>
              </w:rPr>
            </w:pPr>
            <w:r>
              <w:rPr>
                <w:rFonts w:hint="eastAsia" w:ascii="宋体" w:hAnsi="宋体" w:eastAsia="宋体" w:cs="宋体"/>
                <w:b w:val="0"/>
                <w:bCs w:val="0"/>
                <w:color w:val="auto"/>
                <w:kern w:val="21"/>
                <w:sz w:val="21"/>
                <w:szCs w:val="21"/>
                <w:highlight w:val="none"/>
                <w:u w:val="none" w:color="auto"/>
                <w:lang w:val="en-US" w:eastAsia="zh-CN"/>
              </w:rPr>
              <w:t>20</w:t>
            </w:r>
          </w:p>
        </w:tc>
        <w:tc>
          <w:tcPr>
            <w:tcW w:w="2023" w:type="dxa"/>
            <w:noWrap w:val="0"/>
            <w:vAlign w:val="center"/>
          </w:tcPr>
          <w:p w14:paraId="4C8CE1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val="zh-CN"/>
              </w:rPr>
              <w:t>评审办法和标准</w:t>
            </w:r>
          </w:p>
        </w:tc>
        <w:tc>
          <w:tcPr>
            <w:tcW w:w="7264" w:type="dxa"/>
            <w:noWrap w:val="0"/>
            <w:vAlign w:val="center"/>
          </w:tcPr>
          <w:p w14:paraId="018BD1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vertAlign w:val="baseline"/>
                <w:lang w:eastAsia="zh-CN"/>
              </w:rPr>
            </w:pPr>
            <w:r>
              <w:rPr>
                <w:rFonts w:hint="eastAsia" w:ascii="宋体" w:hAnsi="宋体" w:eastAsia="宋体" w:cs="宋体"/>
                <w:color w:val="auto"/>
                <w:kern w:val="21"/>
                <w:sz w:val="21"/>
                <w:szCs w:val="21"/>
                <w:highlight w:val="none"/>
              </w:rPr>
              <w:t>综合评分法，详见第二章（十</w:t>
            </w:r>
            <w:r>
              <w:rPr>
                <w:rFonts w:hint="eastAsia" w:ascii="宋体" w:hAnsi="宋体" w:eastAsia="宋体" w:cs="宋体"/>
                <w:color w:val="auto"/>
                <w:kern w:val="21"/>
                <w:sz w:val="21"/>
                <w:szCs w:val="21"/>
                <w:highlight w:val="none"/>
                <w:lang w:eastAsia="zh-CN"/>
              </w:rPr>
              <w:t>四</w:t>
            </w:r>
            <w:r>
              <w:rPr>
                <w:rFonts w:hint="eastAsia" w:ascii="宋体" w:hAnsi="宋体" w:eastAsia="宋体" w:cs="宋体"/>
                <w:color w:val="auto"/>
                <w:kern w:val="21"/>
                <w:sz w:val="21"/>
                <w:szCs w:val="21"/>
                <w:highlight w:val="none"/>
              </w:rPr>
              <w:t>）评标办法和评标标准。</w:t>
            </w:r>
          </w:p>
        </w:tc>
      </w:tr>
      <w:tr w14:paraId="3FEC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32" w:type="dxa"/>
            <w:noWrap w:val="0"/>
            <w:vAlign w:val="center"/>
          </w:tcPr>
          <w:p w14:paraId="77CF68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aseline"/>
              <w:outlineLvl w:val="9"/>
              <w:rPr>
                <w:rFonts w:hint="eastAsia" w:ascii="宋体" w:hAnsi="宋体" w:eastAsia="宋体" w:cs="宋体"/>
                <w:b w:val="0"/>
                <w:bCs w:val="0"/>
                <w:color w:val="auto"/>
                <w:kern w:val="21"/>
                <w:sz w:val="21"/>
                <w:szCs w:val="21"/>
                <w:highlight w:val="none"/>
                <w:u w:val="none" w:color="auto"/>
                <w:lang w:val="en-US" w:eastAsia="zh-CN" w:bidi="ar-SA"/>
              </w:rPr>
            </w:pPr>
            <w:r>
              <w:rPr>
                <w:rFonts w:hint="eastAsia" w:ascii="宋体" w:hAnsi="宋体" w:eastAsia="宋体" w:cs="宋体"/>
                <w:b w:val="0"/>
                <w:bCs w:val="0"/>
                <w:color w:val="auto"/>
                <w:kern w:val="21"/>
                <w:sz w:val="21"/>
                <w:szCs w:val="21"/>
                <w:highlight w:val="none"/>
                <w:u w:val="none" w:color="auto"/>
                <w:lang w:val="en-US" w:eastAsia="zh-CN"/>
              </w:rPr>
              <w:t>21</w:t>
            </w:r>
          </w:p>
        </w:tc>
        <w:tc>
          <w:tcPr>
            <w:tcW w:w="2023" w:type="dxa"/>
            <w:noWrap w:val="0"/>
            <w:vAlign w:val="center"/>
          </w:tcPr>
          <w:p w14:paraId="440F1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合同签订地点</w:t>
            </w:r>
          </w:p>
        </w:tc>
        <w:tc>
          <w:tcPr>
            <w:tcW w:w="7264" w:type="dxa"/>
            <w:noWrap w:val="0"/>
            <w:vAlign w:val="center"/>
          </w:tcPr>
          <w:p w14:paraId="1397F6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vertAlign w:val="baseline"/>
                <w:lang w:eastAsia="zh-CN"/>
              </w:rPr>
            </w:pPr>
            <w:r>
              <w:rPr>
                <w:rFonts w:hint="eastAsia" w:ascii="宋体" w:hAnsi="宋体" w:eastAsia="宋体" w:cs="宋体"/>
                <w:color w:val="auto"/>
                <w:kern w:val="21"/>
                <w:sz w:val="21"/>
                <w:szCs w:val="21"/>
                <w:highlight w:val="none"/>
                <w:lang w:eastAsia="zh-CN"/>
              </w:rPr>
              <w:t>采购</w:t>
            </w:r>
            <w:r>
              <w:rPr>
                <w:rFonts w:hint="eastAsia" w:ascii="宋体" w:hAnsi="宋体" w:eastAsia="宋体" w:cs="宋体"/>
                <w:color w:val="auto"/>
                <w:kern w:val="21"/>
                <w:sz w:val="21"/>
                <w:szCs w:val="21"/>
                <w:highlight w:val="none"/>
              </w:rPr>
              <w:t>人与</w:t>
            </w:r>
            <w:r>
              <w:rPr>
                <w:rFonts w:hint="eastAsia" w:ascii="宋体" w:hAnsi="宋体" w:eastAsia="宋体" w:cs="宋体"/>
                <w:color w:val="auto"/>
                <w:kern w:val="21"/>
                <w:sz w:val="21"/>
                <w:szCs w:val="21"/>
                <w:highlight w:val="none"/>
                <w:lang w:eastAsia="zh-CN"/>
              </w:rPr>
              <w:t>成交单位</w:t>
            </w:r>
            <w:r>
              <w:rPr>
                <w:rFonts w:hint="eastAsia" w:ascii="宋体" w:hAnsi="宋体" w:eastAsia="宋体" w:cs="宋体"/>
                <w:color w:val="auto"/>
                <w:kern w:val="21"/>
                <w:sz w:val="21"/>
                <w:szCs w:val="21"/>
                <w:highlight w:val="none"/>
              </w:rPr>
              <w:t>自行约定</w:t>
            </w:r>
            <w:r>
              <w:rPr>
                <w:rFonts w:hint="eastAsia" w:ascii="宋体" w:hAnsi="宋体" w:eastAsia="宋体" w:cs="宋体"/>
                <w:color w:val="auto"/>
                <w:kern w:val="21"/>
                <w:sz w:val="21"/>
                <w:szCs w:val="21"/>
                <w:highlight w:val="none"/>
                <w:lang w:eastAsia="zh-CN"/>
              </w:rPr>
              <w:t>。</w:t>
            </w:r>
          </w:p>
        </w:tc>
      </w:tr>
      <w:tr w14:paraId="79E9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732" w:type="dxa"/>
            <w:noWrap w:val="0"/>
            <w:vAlign w:val="center"/>
          </w:tcPr>
          <w:p w14:paraId="122A7D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b w:val="0"/>
                <w:bCs w:val="0"/>
                <w:color w:val="auto"/>
                <w:kern w:val="21"/>
                <w:sz w:val="21"/>
                <w:szCs w:val="21"/>
                <w:highlight w:val="none"/>
                <w:u w:val="none" w:color="auto"/>
                <w:lang w:val="en-US" w:eastAsia="zh-CN"/>
              </w:rPr>
            </w:pPr>
            <w:r>
              <w:rPr>
                <w:rFonts w:hint="eastAsia" w:ascii="宋体" w:hAnsi="宋体" w:eastAsia="宋体" w:cs="宋体"/>
                <w:b w:val="0"/>
                <w:bCs w:val="0"/>
                <w:color w:val="auto"/>
                <w:kern w:val="21"/>
                <w:sz w:val="21"/>
                <w:szCs w:val="21"/>
                <w:highlight w:val="none"/>
                <w:u w:val="none" w:color="auto"/>
                <w:lang w:val="en-US" w:eastAsia="zh-CN"/>
              </w:rPr>
              <w:t>22</w:t>
            </w:r>
          </w:p>
        </w:tc>
        <w:tc>
          <w:tcPr>
            <w:tcW w:w="2023" w:type="dxa"/>
            <w:noWrap w:val="0"/>
            <w:vAlign w:val="center"/>
          </w:tcPr>
          <w:p w14:paraId="5DCEDA8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采购代理服务费</w:t>
            </w:r>
          </w:p>
          <w:p w14:paraId="76D86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b w:val="0"/>
                <w:bCs w:val="0"/>
                <w:color w:val="auto"/>
                <w:kern w:val="21"/>
                <w:sz w:val="21"/>
                <w:szCs w:val="21"/>
                <w:highlight w:val="none"/>
                <w:u w:val="none" w:color="auto"/>
                <w:vertAlign w:val="baseline"/>
              </w:rPr>
            </w:pPr>
            <w:r>
              <w:rPr>
                <w:rFonts w:hint="eastAsia" w:ascii="宋体" w:hAnsi="宋体" w:eastAsia="宋体" w:cs="宋体"/>
                <w:b/>
                <w:bCs/>
                <w:color w:val="auto"/>
                <w:kern w:val="2"/>
                <w:sz w:val="21"/>
                <w:szCs w:val="21"/>
                <w:highlight w:val="none"/>
              </w:rPr>
              <w:t>（成交服务费）</w:t>
            </w:r>
          </w:p>
        </w:tc>
        <w:tc>
          <w:tcPr>
            <w:tcW w:w="7264" w:type="dxa"/>
            <w:noWrap w:val="0"/>
            <w:vAlign w:val="center"/>
          </w:tcPr>
          <w:p w14:paraId="5F3948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b/>
                <w:bCs/>
                <w:color w:val="auto"/>
                <w:kern w:val="2"/>
                <w:sz w:val="21"/>
                <w:szCs w:val="21"/>
                <w:highlight w:val="none"/>
                <w:u w:color="000000"/>
                <w:lang w:val="en-US" w:eastAsia="zh-CN" w:bidi="ar-SA"/>
              </w:rPr>
            </w:pPr>
            <w:r>
              <w:rPr>
                <w:rFonts w:hint="eastAsia" w:ascii="宋体" w:hAnsi="宋体" w:cs="宋体"/>
                <w:b/>
                <w:bCs/>
                <w:color w:val="auto"/>
                <w:kern w:val="2"/>
                <w:sz w:val="21"/>
                <w:szCs w:val="21"/>
                <w:highlight w:val="none"/>
                <w:u w:color="000000"/>
                <w:lang w:val="en-US" w:eastAsia="zh-CN" w:bidi="ar-SA"/>
              </w:rPr>
              <w:t>参考</w:t>
            </w:r>
            <w:r>
              <w:rPr>
                <w:rFonts w:hint="eastAsia" w:ascii="宋体" w:hAnsi="宋体" w:eastAsia="宋体" w:cs="宋体"/>
                <w:b/>
                <w:bCs/>
                <w:color w:val="auto"/>
                <w:kern w:val="2"/>
                <w:sz w:val="21"/>
                <w:szCs w:val="21"/>
                <w:highlight w:val="none"/>
                <w:u w:color="000000"/>
                <w:lang w:val="en-US" w:eastAsia="zh-CN" w:bidi="ar-SA"/>
              </w:rPr>
              <w:t>“国家计委关于印发《招标代理服务收费管理暂行办法》的通知（计价格[2002]1980号）、国家发展改革委《关于降低部分建设项目收费标准规范收费行为等有关问题的通知》（发改价格[2011]534号）”及“陕西省物价局、陕西省住房和城乡建设厅文件（陕价行[2014]88号文）”规定收费标准收取。 结算时以项目成交价为基数，按照合同签订收取比例或金额计算招标代理服务费及造价咨询服务费，代理费不足3000元的，按3000元收取。代理服务费由成交人以转账或现金形式一次性付清。</w:t>
            </w:r>
          </w:p>
          <w:p w14:paraId="28C09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kern w:val="2"/>
                <w:sz w:val="21"/>
                <w:szCs w:val="21"/>
                <w:highlight w:val="none"/>
                <w:u w:color="000000"/>
                <w:lang w:val="en-US" w:eastAsia="zh-CN" w:bidi="ar-SA"/>
              </w:rPr>
              <w:t>招标代理服务费收款账户信息：</w:t>
            </w:r>
          </w:p>
          <w:p w14:paraId="4076DBB8">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4" w:leftChars="2"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开户名称：嘉翔项目管理有限公司</w:t>
            </w:r>
          </w:p>
          <w:p w14:paraId="0FAC6AC3">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4" w:leftChars="2"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开户行名称：中国建设银行股份有限公司西安八里村支行</w:t>
            </w:r>
          </w:p>
          <w:p w14:paraId="41E5F736">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4" w:leftChars="2"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账号：61050172370000000288</w:t>
            </w:r>
          </w:p>
          <w:p w14:paraId="2C387590">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转账附言：JXZB2026-004</w:t>
            </w:r>
            <w:r>
              <w:rPr>
                <w:rFonts w:hint="eastAsia" w:ascii="宋体" w:hAnsi="宋体" w:eastAsia="宋体" w:cs="宋体"/>
                <w:color w:val="auto"/>
                <w:kern w:val="2"/>
                <w:sz w:val="21"/>
                <w:szCs w:val="21"/>
                <w:highlight w:val="none"/>
                <w:lang w:val="en-US" w:eastAsia="zh-CN"/>
              </w:rPr>
              <w:t>代理服务费</w:t>
            </w:r>
          </w:p>
          <w:p w14:paraId="4EE55B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b w:val="0"/>
                <w:bCs w:val="0"/>
                <w:color w:val="auto"/>
                <w:kern w:val="21"/>
                <w:sz w:val="21"/>
                <w:szCs w:val="21"/>
                <w:highlight w:val="none"/>
                <w:u w:val="none" w:color="auto"/>
                <w:vertAlign w:val="baseline"/>
                <w:lang w:val="en-US" w:eastAsia="zh-CN"/>
              </w:rPr>
            </w:pPr>
            <w:r>
              <w:rPr>
                <w:rFonts w:hint="eastAsia" w:ascii="宋体" w:hAnsi="宋体" w:eastAsia="宋体" w:cs="宋体"/>
                <w:b/>
                <w:bCs/>
                <w:color w:val="auto"/>
                <w:kern w:val="2"/>
                <w:sz w:val="21"/>
                <w:szCs w:val="21"/>
                <w:highlight w:val="none"/>
                <w:u w:color="000000"/>
                <w:lang w:val="en-US" w:eastAsia="zh-CN" w:bidi="ar-SA"/>
              </w:rPr>
              <w:t>注：成交人支付招标代理服务费后，请将转账凭证、单位开票信息、发票收件人地址信息发至3363927373@qq.com，如有疑问，可致电 029-85495286 转 8009。</w:t>
            </w:r>
          </w:p>
        </w:tc>
      </w:tr>
      <w:tr w14:paraId="06BB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32" w:type="dxa"/>
            <w:noWrap w:val="0"/>
            <w:vAlign w:val="center"/>
          </w:tcPr>
          <w:p w14:paraId="2645A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default" w:ascii="宋体" w:hAnsi="宋体" w:eastAsia="宋体" w:cs="宋体"/>
                <w:b w:val="0"/>
                <w:bCs w:val="0"/>
                <w:color w:val="auto"/>
                <w:kern w:val="21"/>
                <w:sz w:val="21"/>
                <w:szCs w:val="21"/>
                <w:highlight w:val="none"/>
                <w:u w:val="none" w:color="auto"/>
                <w:lang w:val="en-US" w:eastAsia="zh-CN"/>
              </w:rPr>
            </w:pPr>
            <w:r>
              <w:rPr>
                <w:rFonts w:hint="eastAsia" w:ascii="宋体" w:hAnsi="宋体" w:cs="宋体"/>
                <w:b w:val="0"/>
                <w:bCs w:val="0"/>
                <w:color w:val="auto"/>
                <w:kern w:val="21"/>
                <w:sz w:val="21"/>
                <w:szCs w:val="21"/>
                <w:highlight w:val="none"/>
                <w:u w:val="none" w:color="auto"/>
                <w:lang w:val="en-US" w:eastAsia="zh-CN"/>
              </w:rPr>
              <w:t>23</w:t>
            </w:r>
          </w:p>
        </w:tc>
        <w:tc>
          <w:tcPr>
            <w:tcW w:w="2023" w:type="dxa"/>
            <w:noWrap w:val="0"/>
            <w:vAlign w:val="center"/>
          </w:tcPr>
          <w:p w14:paraId="7FFBD1B2">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rPr>
              <w:t>项目类别</w:t>
            </w:r>
            <w:r>
              <w:rPr>
                <w:rFonts w:hint="eastAsia" w:ascii="宋体" w:hAnsi="宋体" w:cs="宋体"/>
                <w:color w:val="auto"/>
                <w:kern w:val="2"/>
                <w:sz w:val="21"/>
                <w:szCs w:val="21"/>
                <w:highlight w:val="none"/>
                <w:lang w:val="en-US" w:eastAsia="zh-CN"/>
              </w:rPr>
              <w:t>及</w:t>
            </w:r>
          </w:p>
          <w:p w14:paraId="47954B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b/>
                <w:bCs/>
                <w:color w:val="auto"/>
                <w:kern w:val="2"/>
                <w:sz w:val="21"/>
                <w:szCs w:val="21"/>
                <w:highlight w:val="none"/>
              </w:rPr>
            </w:pPr>
            <w:r>
              <w:rPr>
                <w:rFonts w:hint="eastAsia" w:ascii="宋体" w:hAnsi="宋体" w:cs="宋体"/>
                <w:color w:val="auto"/>
                <w:kern w:val="2"/>
                <w:sz w:val="21"/>
                <w:szCs w:val="21"/>
                <w:highlight w:val="none"/>
              </w:rPr>
              <w:t>采购标的所属行业</w:t>
            </w:r>
          </w:p>
        </w:tc>
        <w:tc>
          <w:tcPr>
            <w:tcW w:w="7264" w:type="dxa"/>
            <w:noWrap w:val="0"/>
            <w:vAlign w:val="center"/>
          </w:tcPr>
          <w:p w14:paraId="455CA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b/>
                <w:bCs/>
                <w:color w:val="auto"/>
                <w:kern w:val="2"/>
                <w:sz w:val="21"/>
                <w:szCs w:val="21"/>
                <w:highlight w:val="none"/>
                <w:u w:color="000000"/>
                <w:lang w:val="en-US" w:eastAsia="zh-CN" w:bidi="ar-SA"/>
              </w:rPr>
            </w:pPr>
            <w:r>
              <w:rPr>
                <w:rFonts w:hint="eastAsia" w:ascii="宋体" w:hAnsi="宋体" w:cs="宋体"/>
                <w:color w:val="auto"/>
                <w:kern w:val="2"/>
                <w:sz w:val="21"/>
                <w:szCs w:val="21"/>
                <w:highlight w:val="none"/>
              </w:rPr>
              <w:t>工程、建筑业</w:t>
            </w:r>
          </w:p>
        </w:tc>
      </w:tr>
      <w:tr w14:paraId="07F3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732" w:type="dxa"/>
            <w:noWrap w:val="0"/>
            <w:vAlign w:val="center"/>
          </w:tcPr>
          <w:p w14:paraId="78464DF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bCs w:val="0"/>
                <w:color w:val="auto"/>
                <w:kern w:val="21"/>
                <w:sz w:val="21"/>
                <w:szCs w:val="21"/>
                <w:highlight w:val="none"/>
                <w:u w:val="none" w:color="auto"/>
                <w:lang w:val="en-US" w:eastAsia="zh-CN"/>
              </w:rPr>
            </w:pPr>
            <w:r>
              <w:rPr>
                <w:rFonts w:hint="eastAsia" w:ascii="宋体" w:hAnsi="宋体" w:eastAsia="宋体" w:cs="宋体"/>
                <w:b/>
                <w:bCs/>
                <w:color w:val="auto"/>
                <w:kern w:val="2"/>
                <w:sz w:val="21"/>
                <w:szCs w:val="21"/>
                <w:highlight w:val="none"/>
              </w:rPr>
              <w:t>2</w:t>
            </w:r>
            <w:r>
              <w:rPr>
                <w:rFonts w:hint="eastAsia" w:ascii="宋体" w:hAnsi="宋体" w:cs="宋体"/>
                <w:b/>
                <w:bCs/>
                <w:color w:val="auto"/>
                <w:kern w:val="2"/>
                <w:sz w:val="21"/>
                <w:szCs w:val="21"/>
                <w:highlight w:val="none"/>
                <w:lang w:val="en-US" w:eastAsia="zh-CN"/>
              </w:rPr>
              <w:t>4</w:t>
            </w:r>
          </w:p>
        </w:tc>
        <w:tc>
          <w:tcPr>
            <w:tcW w:w="2023" w:type="dxa"/>
            <w:noWrap w:val="0"/>
            <w:vAlign w:val="center"/>
          </w:tcPr>
          <w:p w14:paraId="722F311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补充说明</w:t>
            </w:r>
          </w:p>
        </w:tc>
        <w:tc>
          <w:tcPr>
            <w:tcW w:w="7264" w:type="dxa"/>
            <w:noWrap w:val="0"/>
            <w:vAlign w:val="center"/>
          </w:tcPr>
          <w:p w14:paraId="489FDE96">
            <w:pPr>
              <w:keepNext w:val="0"/>
              <w:keepLines w:val="0"/>
              <w:widowControl/>
              <w:suppressLineNumbers w:val="0"/>
              <w:spacing w:before="0" w:beforeAutospacing="0" w:after="0" w:afterAutospacing="0" w:line="360" w:lineRule="auto"/>
              <w:ind w:left="0" w:right="0"/>
              <w:rPr>
                <w:rFonts w:hint="eastAsia" w:ascii="宋体" w:hAnsi="宋体" w:eastAsia="宋体" w:cs="宋体"/>
                <w:b/>
                <w:bCs/>
                <w:color w:val="auto"/>
                <w:kern w:val="2"/>
                <w:sz w:val="21"/>
                <w:szCs w:val="21"/>
                <w:highlight w:val="none"/>
                <w:u w:color="000000"/>
                <w:lang w:val="en-US" w:eastAsia="zh-CN" w:bidi="ar-SA"/>
              </w:rPr>
            </w:pPr>
            <w:r>
              <w:rPr>
                <w:rFonts w:hint="eastAsia" w:ascii="宋体" w:hAnsi="宋体" w:eastAsia="宋体" w:cs="宋体"/>
                <w:b/>
                <w:bCs/>
                <w:color w:val="auto"/>
                <w:kern w:val="2"/>
                <w:sz w:val="21"/>
                <w:szCs w:val="21"/>
                <w:highlight w:val="none"/>
              </w:rPr>
              <w:t xml:space="preserve">致各供应商：陕西省政府采购网于2018年12月27日发布《陕西省财政厅关于政府采购供应商注册登记有关事项的通知》，请各供应商尽快完善在陕西省政府采购平台注册或及其它信息（公示期需5个工作日）。 如成交后还未入库，导致采购结果无法录入的，后果自行承担。 </w:t>
            </w:r>
          </w:p>
        </w:tc>
      </w:tr>
      <w:tr w14:paraId="7149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2" w:type="dxa"/>
            <w:noWrap w:val="0"/>
            <w:vAlign w:val="center"/>
          </w:tcPr>
          <w:p w14:paraId="4DD6D9C1">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25</w:t>
            </w:r>
          </w:p>
        </w:tc>
        <w:tc>
          <w:tcPr>
            <w:tcW w:w="2023" w:type="dxa"/>
            <w:noWrap w:val="0"/>
            <w:vAlign w:val="center"/>
          </w:tcPr>
          <w:p w14:paraId="21304B2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2"/>
                <w:sz w:val="21"/>
                <w:szCs w:val="21"/>
                <w:highlight w:val="none"/>
              </w:rPr>
              <w:t>履约保证金</w:t>
            </w:r>
          </w:p>
        </w:tc>
        <w:tc>
          <w:tcPr>
            <w:tcW w:w="7264" w:type="dxa"/>
            <w:noWrap w:val="0"/>
            <w:vAlign w:val="center"/>
          </w:tcPr>
          <w:p w14:paraId="3F17C951">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auto"/>
                <w:kern w:val="2"/>
                <w:sz w:val="21"/>
                <w:szCs w:val="21"/>
                <w:highlight w:val="none"/>
                <w:lang w:eastAsia="zh-CN"/>
              </w:rPr>
            </w:pPr>
            <w:r>
              <w:rPr>
                <w:rFonts w:hint="eastAsia" w:ascii="宋体" w:hAnsi="宋体" w:cs="宋体"/>
                <w:b w:val="0"/>
                <w:bCs w:val="0"/>
                <w:color w:val="auto"/>
                <w:kern w:val="2"/>
                <w:sz w:val="21"/>
                <w:szCs w:val="21"/>
                <w:highlight w:val="none"/>
                <w:lang w:val="en-US" w:eastAsia="zh-CN"/>
              </w:rPr>
              <w:t>/</w:t>
            </w:r>
          </w:p>
        </w:tc>
      </w:tr>
      <w:tr w14:paraId="7FD7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32" w:type="dxa"/>
            <w:noWrap w:val="0"/>
            <w:vAlign w:val="center"/>
          </w:tcPr>
          <w:p w14:paraId="6EB0B058">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auto"/>
                <w:kern w:val="2"/>
                <w:sz w:val="21"/>
                <w:szCs w:val="21"/>
                <w:highlight w:val="none"/>
                <w:lang w:val="en-US" w:eastAsia="zh-CN"/>
              </w:rPr>
            </w:pPr>
            <w:r>
              <w:rPr>
                <w:rFonts w:hint="eastAsia" w:ascii="宋体" w:hAnsi="宋体" w:cs="宋体"/>
                <w:b/>
                <w:bCs/>
                <w:color w:val="auto"/>
                <w:kern w:val="2"/>
                <w:sz w:val="21"/>
                <w:szCs w:val="21"/>
                <w:highlight w:val="none"/>
                <w:lang w:val="en-US" w:eastAsia="zh-CN"/>
              </w:rPr>
              <w:t>26</w:t>
            </w:r>
          </w:p>
        </w:tc>
        <w:tc>
          <w:tcPr>
            <w:tcW w:w="2023" w:type="dxa"/>
            <w:noWrap w:val="0"/>
            <w:vAlign w:val="center"/>
          </w:tcPr>
          <w:p w14:paraId="2692C86E">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cs="宋体"/>
                <w:b/>
                <w:bCs/>
                <w:color w:val="auto"/>
                <w:kern w:val="2"/>
                <w:sz w:val="21"/>
                <w:szCs w:val="21"/>
                <w:highlight w:val="none"/>
              </w:rPr>
            </w:pPr>
            <w:r>
              <w:rPr>
                <w:rFonts w:hint="eastAsia" w:ascii="宋体" w:hAnsi="宋体" w:eastAsia="宋体" w:cs="宋体"/>
                <w:b/>
                <w:bCs/>
                <w:color w:val="auto"/>
                <w:kern w:val="2"/>
                <w:sz w:val="21"/>
                <w:szCs w:val="21"/>
                <w:highlight w:val="none"/>
              </w:rPr>
              <w:t>项目性质</w:t>
            </w:r>
          </w:p>
        </w:tc>
        <w:tc>
          <w:tcPr>
            <w:tcW w:w="7264" w:type="dxa"/>
            <w:noWrap w:val="0"/>
            <w:vAlign w:val="center"/>
          </w:tcPr>
          <w:p w14:paraId="02A4BC4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rPr>
              <w:t>非专门面向中小企业采购</w:t>
            </w:r>
          </w:p>
          <w:p w14:paraId="5273501F">
            <w:pPr>
              <w:keepNext w:val="0"/>
              <w:keepLines w:val="0"/>
              <w:widowControl/>
              <w:suppressLineNumbers w:val="0"/>
              <w:spacing w:before="0" w:beforeAutospacing="0" w:after="0" w:afterAutospacing="0" w:line="360" w:lineRule="auto"/>
              <w:ind w:left="0" w:right="0"/>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对符合《政府采购促进中小企业发展管理办法》(财库{2020}46号)规定的小微企业(监狱企业视同小型、微型企业)的报价给予</w:t>
            </w:r>
            <w:r>
              <w:rPr>
                <w:rFonts w:hint="eastAsia" w:ascii="宋体" w:hAnsi="宋体" w:eastAsia="宋体" w:cs="宋体"/>
                <w:b/>
                <w:bCs/>
                <w:color w:val="auto"/>
                <w:kern w:val="2"/>
                <w:sz w:val="21"/>
                <w:szCs w:val="21"/>
                <w:highlight w:val="none"/>
                <w:u w:val="single"/>
              </w:rPr>
              <w:t xml:space="preserve"> </w:t>
            </w:r>
            <w:r>
              <w:rPr>
                <w:rFonts w:hint="eastAsia" w:ascii="宋体" w:hAnsi="宋体" w:eastAsia="宋体" w:cs="宋体"/>
                <w:b/>
                <w:bCs/>
                <w:color w:val="auto"/>
                <w:kern w:val="2"/>
                <w:sz w:val="21"/>
                <w:szCs w:val="21"/>
                <w:highlight w:val="none"/>
                <w:u w:val="single"/>
                <w:lang w:val="en-US" w:eastAsia="zh-CN"/>
              </w:rPr>
              <w:t>10</w:t>
            </w:r>
            <w:r>
              <w:rPr>
                <w:rFonts w:hint="eastAsia" w:ascii="宋体" w:hAnsi="宋体" w:eastAsia="宋体" w:cs="宋体"/>
                <w:b/>
                <w:bCs/>
                <w:color w:val="auto"/>
                <w:kern w:val="2"/>
                <w:sz w:val="21"/>
                <w:szCs w:val="21"/>
                <w:highlight w:val="none"/>
                <w:u w:val="single"/>
              </w:rPr>
              <w:t xml:space="preserve"> </w:t>
            </w: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rPr>
              <w:t>的扣除,用扣除后的价格参加评审。</w:t>
            </w:r>
          </w:p>
          <w:p w14:paraId="47BAD5D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根据《政府采购促进中小企业发展暂行办法》，投标人提供的《中小企业声明函》。其划型标准严格按照国家工信部、国家统计局、国家发改委、财政部出台的《中小企业划型标准规定》（工信部联企业[2011]300号）执行。投标人提供的《中小企业声明函》资料必须真实，否则，按照有关规定予以处理。</w:t>
            </w:r>
          </w:p>
          <w:p w14:paraId="6DC0909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rPr>
              <w:t>专门面向中小企业采购</w:t>
            </w:r>
          </w:p>
          <w:p w14:paraId="6A697D6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仅允许中</w:t>
            </w:r>
            <w:r>
              <w:rPr>
                <w:rFonts w:hint="eastAsia" w:ascii="宋体" w:hAnsi="宋体" w:eastAsia="宋体" w:cs="宋体"/>
                <w:b/>
                <w:bCs/>
                <w:color w:val="auto"/>
                <w:kern w:val="2"/>
                <w:sz w:val="21"/>
                <w:szCs w:val="21"/>
                <w:highlight w:val="none"/>
                <w:lang w:val="en-US" w:eastAsia="zh-CN"/>
              </w:rPr>
              <w:t>型</w:t>
            </w:r>
            <w:r>
              <w:rPr>
                <w:rFonts w:hint="eastAsia" w:ascii="宋体" w:hAnsi="宋体" w:eastAsia="宋体" w:cs="宋体"/>
                <w:b/>
                <w:bCs/>
                <w:color w:val="auto"/>
                <w:kern w:val="2"/>
                <w:sz w:val="21"/>
                <w:szCs w:val="21"/>
                <w:highlight w:val="none"/>
              </w:rPr>
              <w:t>企业或小型企业</w:t>
            </w:r>
            <w:r>
              <w:rPr>
                <w:rFonts w:hint="eastAsia" w:ascii="宋体" w:hAnsi="宋体" w:eastAsia="宋体" w:cs="宋体"/>
                <w:b/>
                <w:bCs/>
                <w:color w:val="auto"/>
                <w:kern w:val="2"/>
                <w:sz w:val="21"/>
                <w:szCs w:val="21"/>
                <w:highlight w:val="none"/>
                <w:lang w:val="en-US" w:eastAsia="zh-CN"/>
              </w:rPr>
              <w:t>或</w:t>
            </w:r>
            <w:r>
              <w:rPr>
                <w:rFonts w:hint="eastAsia" w:ascii="宋体" w:hAnsi="宋体" w:eastAsia="宋体" w:cs="宋体"/>
                <w:b/>
                <w:bCs/>
                <w:color w:val="auto"/>
                <w:kern w:val="2"/>
                <w:sz w:val="21"/>
                <w:szCs w:val="21"/>
                <w:highlight w:val="none"/>
              </w:rPr>
              <w:t>微型企业参与投标</w:t>
            </w:r>
          </w:p>
        </w:tc>
      </w:tr>
      <w:bookmarkEnd w:id="19"/>
    </w:tbl>
    <w:p w14:paraId="45A16F39">
      <w:pPr>
        <w:pageBreakBefore w:val="0"/>
        <w:kinsoku/>
        <w:wordWrap/>
        <w:overflowPunct/>
        <w:topLinePunct w:val="0"/>
        <w:autoSpaceDE/>
        <w:autoSpaceDN/>
        <w:bidi w:val="0"/>
        <w:spacing w:line="480" w:lineRule="exact"/>
        <w:jc w:val="center"/>
        <w:outlineLvl w:val="1"/>
        <w:rPr>
          <w:rFonts w:hint="eastAsia" w:ascii="宋体" w:hAnsi="宋体" w:eastAsia="宋体" w:cs="宋体"/>
          <w:b/>
          <w:bCs/>
          <w:color w:val="auto"/>
          <w:sz w:val="28"/>
          <w:szCs w:val="28"/>
          <w:highlight w:val="none"/>
        </w:rPr>
      </w:pPr>
    </w:p>
    <w:p w14:paraId="5F9AF1A7">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58BDCBB1">
      <w:pPr>
        <w:pageBreakBefore w:val="0"/>
        <w:kinsoku/>
        <w:wordWrap/>
        <w:overflowPunct/>
        <w:topLinePunct w:val="0"/>
        <w:autoSpaceDE/>
        <w:autoSpaceDN/>
        <w:bidi w:val="0"/>
        <w:spacing w:line="480" w:lineRule="exact"/>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lang w:eastAsia="zh-CN"/>
        </w:rPr>
        <w:t>供应商</w:t>
      </w:r>
      <w:r>
        <w:rPr>
          <w:rFonts w:hint="eastAsia" w:ascii="宋体" w:hAnsi="宋体" w:eastAsia="宋体" w:cs="宋体"/>
          <w:b/>
          <w:bCs/>
          <w:color w:val="auto"/>
          <w:sz w:val="28"/>
          <w:szCs w:val="28"/>
          <w:highlight w:val="none"/>
        </w:rPr>
        <w:t>须知</w:t>
      </w:r>
      <w:bookmarkEnd w:id="20"/>
      <w:bookmarkEnd w:id="21"/>
      <w:bookmarkEnd w:id="22"/>
    </w:p>
    <w:p w14:paraId="40480F0A">
      <w:pPr>
        <w:pageBreakBefore w:val="0"/>
        <w:kinsoku/>
        <w:wordWrap/>
        <w:overflowPunct/>
        <w:topLinePunct w:val="0"/>
        <w:autoSpaceDE/>
        <w:autoSpaceDN/>
        <w:bidi w:val="0"/>
        <w:spacing w:line="480" w:lineRule="exact"/>
        <w:jc w:val="center"/>
        <w:outlineLvl w:val="2"/>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（一）</w:t>
      </w:r>
      <w:r>
        <w:rPr>
          <w:rFonts w:hint="eastAsia" w:ascii="宋体" w:hAnsi="宋体" w:eastAsia="宋体" w:cs="宋体"/>
          <w:b/>
          <w:color w:val="auto"/>
          <w:sz w:val="28"/>
          <w:szCs w:val="32"/>
          <w:highlight w:val="none"/>
        </w:rPr>
        <w:t>总  则</w:t>
      </w:r>
    </w:p>
    <w:p w14:paraId="36DD2D90">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1、本项目采用</w:t>
      </w:r>
      <w:r>
        <w:rPr>
          <w:rFonts w:hint="eastAsia" w:ascii="宋体" w:hAnsi="宋体" w:eastAsia="宋体" w:cs="宋体"/>
          <w:color w:val="auto"/>
          <w:sz w:val="21"/>
          <w:szCs w:val="21"/>
          <w:highlight w:val="none"/>
          <w:lang w:eastAsia="zh-CN"/>
        </w:rPr>
        <w:t>竞争性磋商</w:t>
      </w:r>
      <w:r>
        <w:rPr>
          <w:rFonts w:hint="eastAsia" w:ascii="宋体" w:hAnsi="宋体" w:eastAsia="宋体" w:cs="宋体"/>
          <w:color w:val="auto"/>
          <w:sz w:val="21"/>
          <w:szCs w:val="21"/>
          <w:highlight w:val="none"/>
        </w:rPr>
        <w:t>方式。</w:t>
      </w:r>
    </w:p>
    <w:p w14:paraId="0C91FE34">
      <w:pPr>
        <w:pageBreakBefore w:val="0"/>
        <w:kinsoku/>
        <w:wordWrap/>
        <w:overflowPunct/>
        <w:topLinePunct w:val="0"/>
        <w:autoSpaceDE/>
        <w:autoSpaceDN/>
        <w:bidi w:val="0"/>
        <w:adjustRightInd w:val="0"/>
        <w:snapToGrid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2、名词解释</w:t>
      </w:r>
    </w:p>
    <w:p w14:paraId="2B6960B8">
      <w:pPr>
        <w:pageBreakBefore w:val="0"/>
        <w:kinsoku/>
        <w:wordWrap/>
        <w:overflowPunct/>
        <w:topLinePunct w:val="0"/>
        <w:autoSpaceDE/>
        <w:autoSpaceDN/>
        <w:bidi w:val="0"/>
        <w:adjustRightInd w:val="0"/>
        <w:snapToGrid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（1）采购人：</w:t>
      </w:r>
      <w:r>
        <w:rPr>
          <w:rFonts w:hint="eastAsia" w:asciiTheme="minorEastAsia" w:hAnsiTheme="minorEastAsia" w:eastAsiaTheme="minorEastAsia" w:cstheme="minorEastAsia"/>
          <w:color w:val="auto"/>
          <w:sz w:val="21"/>
          <w:szCs w:val="21"/>
          <w:highlight w:val="none"/>
          <w:lang w:eastAsia="zh-CN"/>
        </w:rPr>
        <w:t>彬州市</w:t>
      </w:r>
      <w:r>
        <w:rPr>
          <w:rFonts w:hint="eastAsia" w:asciiTheme="minorEastAsia" w:hAnsiTheme="minorEastAsia" w:eastAsiaTheme="minorEastAsia" w:cstheme="minorEastAsia"/>
          <w:color w:val="auto"/>
          <w:sz w:val="21"/>
          <w:szCs w:val="21"/>
          <w:highlight w:val="none"/>
          <w:lang w:val="en-US" w:eastAsia="zh-CN"/>
        </w:rPr>
        <w:t>农业技术推广中心</w:t>
      </w:r>
    </w:p>
    <w:p w14:paraId="0A838F1F">
      <w:pPr>
        <w:pageBreakBefore w:val="0"/>
        <w:kinsoku/>
        <w:wordWrap/>
        <w:overflowPunct/>
        <w:topLinePunct w:val="0"/>
        <w:autoSpaceDE/>
        <w:autoSpaceDN/>
        <w:bidi w:val="0"/>
        <w:adjustRightInd w:val="0"/>
        <w:snapToGrid w:val="0"/>
        <w:spacing w:line="48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（2）采购代理机构：</w:t>
      </w:r>
      <w:r>
        <w:rPr>
          <w:rFonts w:hint="eastAsia" w:ascii="宋体" w:hAnsi="宋体" w:eastAsia="宋体" w:cs="宋体"/>
          <w:color w:val="auto"/>
          <w:sz w:val="21"/>
          <w:szCs w:val="21"/>
          <w:highlight w:val="none"/>
          <w:lang w:val="en-US" w:eastAsia="zh-CN"/>
        </w:rPr>
        <w:t>嘉翔项目管理有限公司</w:t>
      </w:r>
    </w:p>
    <w:p w14:paraId="595624C7">
      <w:pPr>
        <w:pageBreakBefore w:val="0"/>
        <w:kinsoku/>
        <w:wordWrap/>
        <w:overflowPunct/>
        <w:topLinePunct w:val="0"/>
        <w:autoSpaceDE/>
        <w:autoSpaceDN/>
        <w:bidi w:val="0"/>
        <w:adjustRightInd w:val="0"/>
        <w:snapToGrid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：是指响应和符合</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规定资格条件要求</w:t>
      </w:r>
      <w:r>
        <w:rPr>
          <w:rFonts w:hint="eastAsia" w:ascii="宋体" w:hAnsi="宋体" w:eastAsia="宋体" w:cs="宋体"/>
          <w:color w:val="auto"/>
          <w:sz w:val="21"/>
          <w:szCs w:val="21"/>
          <w:highlight w:val="none"/>
          <w:lang w:eastAsia="zh-CN"/>
        </w:rPr>
        <w:t>的单位</w:t>
      </w:r>
      <w:r>
        <w:rPr>
          <w:rFonts w:hint="eastAsia" w:ascii="宋体" w:hAnsi="宋体" w:eastAsia="宋体" w:cs="宋体"/>
          <w:color w:val="auto"/>
          <w:sz w:val="21"/>
          <w:szCs w:val="21"/>
          <w:highlight w:val="none"/>
        </w:rPr>
        <w:t>。</w:t>
      </w:r>
    </w:p>
    <w:p w14:paraId="73B92274">
      <w:pPr>
        <w:pageBreakBefore w:val="0"/>
        <w:kinsoku/>
        <w:wordWrap/>
        <w:overflowPunct/>
        <w:topLinePunct w:val="0"/>
        <w:autoSpaceDE/>
        <w:autoSpaceDN/>
        <w:bidi w:val="0"/>
        <w:adjustRightInd w:val="0"/>
        <w:snapToGrid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费用。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应自行承担所有与参加本次</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有关的费用。不论</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的结果如何，</w:t>
      </w:r>
      <w:r>
        <w:rPr>
          <w:rFonts w:hint="eastAsia" w:ascii="宋体" w:hAnsi="宋体" w:eastAsia="宋体" w:cs="宋体"/>
          <w:color w:val="auto"/>
          <w:sz w:val="21"/>
          <w:szCs w:val="21"/>
          <w:highlight w:val="none"/>
          <w:lang w:val="en-US" w:eastAsia="zh-CN"/>
        </w:rPr>
        <w:t>嘉翔项目管理有限公司</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在任何情况下均无义务和责任承担这些费用。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4、适用法律。本次</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活动及由本次</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产生的合同受中华人民共和国相关法律法规的制约和保护。</w:t>
      </w:r>
    </w:p>
    <w:p w14:paraId="2B5C519F">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的约束力。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一旦购买了本</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并参加</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，即被认为接受了本</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中的所有条件和规定。</w:t>
      </w:r>
    </w:p>
    <w:p w14:paraId="5A430453">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6、法定代表人为同一个人的两个及两个以上法人，母公司、全资子公司及其控股公司，都不得同时参加本项目同一标段的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p>
    <w:p w14:paraId="5D6C73F5">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应认真阅读</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中所有的章节、条款、格式、规范和附件等要求。如果没有按照</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要求编制</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及提供相关资料，其风险由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自行承担。</w:t>
      </w:r>
    </w:p>
    <w:p w14:paraId="73AF3C72">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所提供的所有资料（包括复印件）必须清晰，如因提供的资料难以辨认，其风险由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自负。</w:t>
      </w:r>
    </w:p>
    <w:p w14:paraId="7743FE09">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9、本次</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eastAsia="zh-CN"/>
        </w:rPr>
        <w:t>不接受联合体投标。</w:t>
      </w:r>
    </w:p>
    <w:p w14:paraId="7ADB1047">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分包</w:t>
      </w:r>
    </w:p>
    <w:p w14:paraId="3B5F5CAA">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不允许，见供应商须知前附表。</w:t>
      </w:r>
    </w:p>
    <w:p w14:paraId="75F1A3AF">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11、偏离</w:t>
      </w:r>
    </w:p>
    <w:p w14:paraId="65AD5208">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不允许，见供应商须知前附表。</w:t>
      </w:r>
    </w:p>
    <w:p w14:paraId="08748C89">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、代理代理机构对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拖欠</w:t>
      </w:r>
      <w:r>
        <w:rPr>
          <w:rFonts w:hint="eastAsia" w:ascii="宋体" w:hAnsi="宋体" w:eastAsia="宋体" w:cs="宋体"/>
          <w:color w:val="auto"/>
          <w:sz w:val="21"/>
          <w:szCs w:val="21"/>
          <w:highlight w:val="none"/>
          <w:lang w:eastAsia="zh-CN"/>
        </w:rPr>
        <w:t>成交单位</w:t>
      </w:r>
      <w:r>
        <w:rPr>
          <w:rFonts w:hint="eastAsia" w:ascii="宋体" w:hAnsi="宋体" w:eastAsia="宋体" w:cs="宋体"/>
          <w:color w:val="auto"/>
          <w:sz w:val="21"/>
          <w:szCs w:val="21"/>
          <w:highlight w:val="none"/>
        </w:rPr>
        <w:t>合同款不承担任何连带或非连带的责任，任何情况下，</w:t>
      </w:r>
      <w:r>
        <w:rPr>
          <w:rFonts w:hint="eastAsia" w:ascii="宋体" w:hAnsi="宋体" w:eastAsia="宋体" w:cs="宋体"/>
          <w:color w:val="auto"/>
          <w:sz w:val="21"/>
          <w:szCs w:val="21"/>
          <w:highlight w:val="none"/>
          <w:lang w:eastAsia="zh-CN"/>
        </w:rPr>
        <w:t>成交单位</w:t>
      </w:r>
      <w:r>
        <w:rPr>
          <w:rFonts w:hint="eastAsia" w:ascii="宋体" w:hAnsi="宋体" w:eastAsia="宋体" w:cs="宋体"/>
          <w:color w:val="auto"/>
          <w:sz w:val="21"/>
          <w:szCs w:val="21"/>
          <w:highlight w:val="none"/>
        </w:rPr>
        <w:t>若主张或要求其合同款相关的民事权利均只能直接针对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主张或要求。</w:t>
      </w:r>
    </w:p>
    <w:p w14:paraId="2A9D0D5A">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、因本次招投标活动产生的一切纠纷（包括合同纠纷），有关各方应友好协商解决，</w:t>
      </w:r>
    </w:p>
    <w:p w14:paraId="7A8B5E59">
      <w:pPr>
        <w:pageBreakBefore w:val="0"/>
        <w:kinsoku/>
        <w:wordWrap/>
        <w:overflowPunct/>
        <w:topLinePunct w:val="0"/>
        <w:autoSpaceDE/>
        <w:autoSpaceDN/>
        <w:bidi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协商不成，则向</w:t>
      </w:r>
      <w:r>
        <w:rPr>
          <w:rFonts w:hint="eastAsia" w:ascii="宋体" w:hAnsi="宋体" w:cs="宋体"/>
          <w:color w:val="auto"/>
          <w:sz w:val="21"/>
          <w:szCs w:val="21"/>
          <w:highlight w:val="none"/>
          <w:lang w:val="en-US" w:eastAsia="zh-CN"/>
        </w:rPr>
        <w:t>咸阳</w:t>
      </w:r>
      <w:r>
        <w:rPr>
          <w:rFonts w:hint="eastAsia" w:ascii="宋体" w:hAnsi="宋体" w:eastAsia="宋体" w:cs="宋体"/>
          <w:color w:val="auto"/>
          <w:sz w:val="21"/>
          <w:szCs w:val="21"/>
          <w:highlight w:val="none"/>
          <w:lang w:eastAsia="zh-CN"/>
        </w:rPr>
        <w:t>市</w:t>
      </w:r>
      <w:r>
        <w:rPr>
          <w:rFonts w:hint="eastAsia" w:ascii="宋体" w:hAnsi="宋体" w:eastAsia="宋体" w:cs="宋体"/>
          <w:color w:val="auto"/>
          <w:sz w:val="21"/>
          <w:szCs w:val="21"/>
          <w:highlight w:val="none"/>
        </w:rPr>
        <w:t xml:space="preserve">仲裁委员会申请仲裁。 </w:t>
      </w:r>
    </w:p>
    <w:p w14:paraId="60F8F280">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、采购代理服务费：</w:t>
      </w:r>
    </w:p>
    <w:p w14:paraId="281EA0D1">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auto"/>
          <w:sz w:val="21"/>
          <w:szCs w:val="21"/>
          <w:highlight w:val="none"/>
        </w:rPr>
      </w:pPr>
      <w:r>
        <w:rPr>
          <w:rFonts w:hint="eastAsia" w:ascii="宋体" w:hAnsi="宋体" w:cs="宋体"/>
          <w:b/>
          <w:bCs/>
          <w:color w:val="auto"/>
          <w:kern w:val="2"/>
          <w:sz w:val="21"/>
          <w:szCs w:val="21"/>
          <w:highlight w:val="none"/>
          <w:u w:color="000000"/>
          <w:lang w:val="en-US" w:eastAsia="zh-CN" w:bidi="ar-SA"/>
        </w:rPr>
        <w:t>参考</w:t>
      </w:r>
      <w:r>
        <w:rPr>
          <w:rFonts w:hint="eastAsia" w:ascii="宋体" w:hAnsi="宋体" w:eastAsia="宋体" w:cs="宋体"/>
          <w:b/>
          <w:bCs/>
          <w:color w:val="auto"/>
          <w:kern w:val="2"/>
          <w:sz w:val="21"/>
          <w:szCs w:val="21"/>
          <w:highlight w:val="none"/>
          <w:u w:color="000000"/>
          <w:lang w:val="en-US" w:eastAsia="zh-CN" w:bidi="ar-SA"/>
        </w:rPr>
        <w:t>“国家计委关于印发《招标代理服务收费管理暂行办法》的通知（计价格[2002]1980号）、国家发展改革委《关于降低部分建设项目收费标准规范收费行为等有关问题的通知》（发改价格[2011]534号）”及“陕西省物价局、陕西省住房和城乡建设厅文件（陕价行[2014]88号文）”规定收费标准收取。 结算时以项目成交价为基数，按照合同签订收取比例或金额计算招标代理服务费及造价咨询服务费，代理费不足3000元的，按3000元收取。</w:t>
      </w:r>
      <w:r>
        <w:rPr>
          <w:rFonts w:hint="eastAsia" w:ascii="宋体" w:hAnsi="宋体" w:eastAsia="宋体" w:cs="宋体"/>
          <w:b/>
          <w:bCs/>
          <w:color w:val="auto"/>
          <w:sz w:val="21"/>
          <w:szCs w:val="21"/>
          <w:highlight w:val="none"/>
        </w:rPr>
        <w:t>代理服务费由成交人以转账或现金形式一次性付清。</w:t>
      </w:r>
    </w:p>
    <w:p w14:paraId="41BC8D75">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招标代理服务费</w:t>
      </w:r>
      <w:r>
        <w:rPr>
          <w:rFonts w:hint="eastAsia" w:ascii="宋体" w:hAnsi="宋体" w:eastAsia="宋体" w:cs="宋体"/>
          <w:b/>
          <w:bCs/>
          <w:color w:val="auto"/>
          <w:sz w:val="21"/>
          <w:szCs w:val="21"/>
          <w:highlight w:val="none"/>
          <w:lang w:eastAsia="zh-CN"/>
        </w:rPr>
        <w:t>收款账户信息：</w:t>
      </w:r>
    </w:p>
    <w:p w14:paraId="1733DFBA">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开户名称：嘉翔项目管理有限公司</w:t>
      </w:r>
    </w:p>
    <w:p w14:paraId="2E695705">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开户行名称：中国建设银行股份有限公司西安八里村支行</w:t>
      </w:r>
    </w:p>
    <w:p w14:paraId="3FA32A12">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账号：61050172370000000288</w:t>
      </w:r>
    </w:p>
    <w:p w14:paraId="148037A8">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转账附言：JXZB2026-004</w:t>
      </w:r>
      <w:r>
        <w:rPr>
          <w:rFonts w:hint="eastAsia" w:ascii="宋体" w:hAnsi="宋体" w:eastAsia="宋体" w:cs="宋体"/>
          <w:b/>
          <w:bCs/>
          <w:color w:val="auto"/>
          <w:sz w:val="21"/>
          <w:szCs w:val="21"/>
          <w:highlight w:val="none"/>
          <w:lang w:val="en-US" w:eastAsia="zh-CN"/>
        </w:rPr>
        <w:t>代理服务费</w:t>
      </w:r>
    </w:p>
    <w:p w14:paraId="6AF8CC75">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注：成交人支付招标代理服务费后，请将转账凭证、单位开票信息、发票收件人地址信息发至3363927373@qq.com，如有疑问，可致电029-85495286转8009。</w:t>
      </w:r>
    </w:p>
    <w:p w14:paraId="031D49C8">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不做电子签名。</w:t>
      </w:r>
    </w:p>
    <w:p w14:paraId="156C2DAD">
      <w:pPr>
        <w:pageBreakBefore w:val="0"/>
        <w:kinsoku/>
        <w:wordWrap/>
        <w:overflowPunct/>
        <w:topLinePunct w:val="0"/>
        <w:autoSpaceDE/>
        <w:autoSpaceDN/>
        <w:bidi w:val="0"/>
        <w:snapToGrid w:val="0"/>
        <w:spacing w:line="480" w:lineRule="exact"/>
        <w:ind w:firstLine="449" w:firstLineChars="214"/>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的解释权属采购代理机构。</w:t>
      </w:r>
    </w:p>
    <w:p w14:paraId="29F47D0B">
      <w:pPr>
        <w:pageBreakBefore w:val="0"/>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（二）竞争性磋商文件的澄清</w:t>
      </w:r>
      <w:r>
        <w:rPr>
          <w:rFonts w:hint="eastAsia" w:ascii="宋体" w:hAnsi="宋体" w:eastAsia="宋体" w:cs="宋体"/>
          <w:b/>
          <w:color w:val="auto"/>
          <w:sz w:val="28"/>
          <w:szCs w:val="28"/>
          <w:highlight w:val="none"/>
          <w:lang w:eastAsia="zh-CN"/>
        </w:rPr>
        <w:t>、质疑与投诉</w:t>
      </w:r>
    </w:p>
    <w:p w14:paraId="0655A66E">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1、供应商认为磋商文件、</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 w:val="21"/>
          <w:szCs w:val="21"/>
          <w:highlight w:val="none"/>
          <w:lang w:val="en-US" w:eastAsia="zh-CN"/>
        </w:rPr>
        <w:t>过程、中标或者成交结果使自己的权益受到损害的，可以在知道或者应知其权益受到损害之日起7个工作日内，以书面形式向</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 w:val="21"/>
          <w:szCs w:val="21"/>
          <w:highlight w:val="none"/>
          <w:lang w:val="en-US" w:eastAsia="zh-CN"/>
        </w:rPr>
        <w:t>代理机构提出质疑。</w:t>
      </w:r>
    </w:p>
    <w:p w14:paraId="076B69A3">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可以委托代理人进行质疑和投诉。其授权委托书应当载明代理人的姓名或者名称、代理事项、具体权限、期限和相关事项。投标单位为自然人的，应当由本人签字；供应商为法人或者其他组织的，应当由法定代表人、主要负责人签字或者盖章，并加盖公章。代理人提出质疑和投诉，应当提交供应商签署的授权委托书。</w:t>
      </w:r>
    </w:p>
    <w:p w14:paraId="53F0A0DE">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供应商提出质疑应当提交质疑函和必要的证明材料。质疑函应当包括下列内容：</w:t>
      </w:r>
    </w:p>
    <w:p w14:paraId="1487A814">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（一）供应商的姓名或者名称、地址、邮编、联系人及联系电话；</w:t>
      </w:r>
    </w:p>
    <w:p w14:paraId="485DFD11">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（二）质疑项目的名称、编号；</w:t>
      </w:r>
    </w:p>
    <w:p w14:paraId="56747EE5">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（三）具体、明确的质疑事项和与质疑事项相关的请求；</w:t>
      </w:r>
    </w:p>
    <w:p w14:paraId="0B09D057">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（四）事实依据；</w:t>
      </w:r>
    </w:p>
    <w:p w14:paraId="6971FA22">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（五）必要的法律依据；</w:t>
      </w:r>
    </w:p>
    <w:p w14:paraId="41A3D149">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（六）提出质疑的日期。</w:t>
      </w:r>
    </w:p>
    <w:p w14:paraId="08DA1B1A">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供应商为自然人的，应当由本人签字；供应商为法人或者其他组织的，应当由法定代表人、主要负责人，或者其授权代表签字或者盖章，并加盖公章。</w:t>
      </w:r>
    </w:p>
    <w:p w14:paraId="283BB9E6">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备注：1）供应商须在法定质疑期内一次性提出针对同一</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 w:val="21"/>
          <w:szCs w:val="21"/>
          <w:highlight w:val="none"/>
          <w:lang w:val="en-US" w:eastAsia="zh-CN"/>
        </w:rPr>
        <w:t>程序环节的质疑。</w:t>
      </w:r>
    </w:p>
    <w:p w14:paraId="01AEE6BE">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highlight w:val="none"/>
        </w:rPr>
        <w:t>供应商提出质疑应当提交质疑函和必要的证明材料，并按财政部《质疑函范本》给定的格式进行填写，范本下载详见【财政部国库司（gks.mof.gov.cn）】网站〖首页•〉政府采购管理〗栏目中的《政府采购供应商质疑函范本》。</w:t>
      </w:r>
    </w:p>
    <w:p w14:paraId="067985AC">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1.1质疑有以下情形之一的，招标代理机构不予受理：</w:t>
      </w:r>
    </w:p>
    <w:p w14:paraId="587B5F58">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（一）质疑人不是参与本次项目的供应商或潜在供应商；</w:t>
      </w:r>
    </w:p>
    <w:p w14:paraId="79EC8BCD">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（二）质疑人与质疑事项不存在利害关系的；</w:t>
      </w:r>
    </w:p>
    <w:p w14:paraId="314CBBB6">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（三）未在法定期限内提出质疑的；</w:t>
      </w:r>
    </w:p>
    <w:p w14:paraId="6E419076">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（四）质疑未以书面形式提出，或质疑函主要内容构成不完整的，或缺乏必要的证明材料及证明材料不完整的；</w:t>
      </w:r>
    </w:p>
    <w:p w14:paraId="69B8E3C1">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（五）质疑函没有合法有效的签字、盖章或授权的；</w:t>
      </w:r>
    </w:p>
    <w:p w14:paraId="02183385">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（六）以非法手段取得证据、材料的；</w:t>
      </w:r>
    </w:p>
    <w:p w14:paraId="133C4D17">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（七）质疑答复后，同一质疑人就同一事项再次提出质疑的；</w:t>
      </w:r>
    </w:p>
    <w:p w14:paraId="7E04FFA9">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（八）不符合法律、法规、规章和政府采购监管机构规定的其他条件的。</w:t>
      </w:r>
    </w:p>
    <w:p w14:paraId="2CD68DDE">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2、采购人、采购代理机构不得拒收质疑供应商在法定质疑期内发出的质疑函，应当在收到质疑函后7个工作日内作出答复，并以书面形式通知质疑供应商和其他有关供应商。</w:t>
      </w:r>
    </w:p>
    <w:p w14:paraId="135D209F">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6186A865">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4、质疑供应商对采购人、采购代理机构的答复不满意，或者采购人、采购代理机构未在规定时间内作出答复的，可以在答复期满后15个工作日内向政府采购质疑和投诉办法（中</w:t>
      </w:r>
    </w:p>
    <w:p w14:paraId="5C590C5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华人民共和国财政部令第94号）第六条规定的财政部门提起投诉。</w:t>
      </w:r>
    </w:p>
    <w:p w14:paraId="1FEE3B20">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5、质疑函递交地址：西安曲江新区雁南五路曲江影视大厦19层招标代理部</w:t>
      </w:r>
    </w:p>
    <w:p w14:paraId="34240760">
      <w:pPr>
        <w:keepNext w:val="0"/>
        <w:keepLines w:val="0"/>
        <w:pageBreakBefore w:val="0"/>
        <w:widowControl/>
        <w:kinsoku/>
        <w:wordWrap/>
        <w:overflowPunct/>
        <w:topLinePunct w:val="0"/>
        <w:autoSpaceDE/>
        <w:autoSpaceDN/>
        <w:bidi w:val="0"/>
        <w:adjustRightInd/>
        <w:snapToGrid/>
        <w:spacing w:line="480" w:lineRule="exact"/>
        <w:ind w:firstLine="630" w:firstLineChars="3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联系电话：029-85495286转8009</w:t>
      </w:r>
    </w:p>
    <w:p w14:paraId="63714490">
      <w:pPr>
        <w:pageBreakBefore w:val="0"/>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eastAsia="zh-CN"/>
        </w:rPr>
        <w:t>竞争性磋商响应文件</w:t>
      </w:r>
      <w:r>
        <w:rPr>
          <w:rFonts w:hint="eastAsia" w:ascii="宋体" w:hAnsi="宋体" w:eastAsia="宋体" w:cs="宋体"/>
          <w:b/>
          <w:color w:val="auto"/>
          <w:sz w:val="28"/>
          <w:szCs w:val="28"/>
          <w:highlight w:val="none"/>
        </w:rPr>
        <w:t>的组成及编制</w:t>
      </w:r>
    </w:p>
    <w:p w14:paraId="0A1EB9DD">
      <w:pPr>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竞争性磋商响应文件</w:t>
      </w:r>
      <w:r>
        <w:rPr>
          <w:rFonts w:hint="eastAsia" w:ascii="宋体" w:hAnsi="宋体" w:eastAsia="宋体" w:cs="宋体"/>
          <w:bCs/>
          <w:color w:val="auto"/>
          <w:sz w:val="21"/>
          <w:szCs w:val="21"/>
          <w:highlight w:val="none"/>
        </w:rPr>
        <w:t>由商务部分</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技术部分、</w:t>
      </w:r>
      <w:r>
        <w:rPr>
          <w:rFonts w:hint="eastAsia" w:ascii="宋体" w:hAnsi="宋体" w:cs="宋体"/>
          <w:bCs/>
          <w:color w:val="auto"/>
          <w:sz w:val="21"/>
          <w:szCs w:val="21"/>
          <w:highlight w:val="none"/>
          <w:lang w:val="en-US" w:eastAsia="zh-CN"/>
        </w:rPr>
        <w:t>资格部分</w:t>
      </w:r>
      <w:r>
        <w:rPr>
          <w:rFonts w:hint="eastAsia" w:ascii="宋体" w:hAnsi="宋体" w:eastAsia="宋体" w:cs="宋体"/>
          <w:bCs/>
          <w:color w:val="auto"/>
          <w:sz w:val="21"/>
          <w:szCs w:val="21"/>
          <w:highlight w:val="none"/>
        </w:rPr>
        <w:t>组成</w:t>
      </w:r>
      <w:r>
        <w:rPr>
          <w:rFonts w:hint="eastAsia" w:ascii="宋体" w:hAnsi="宋体" w:eastAsia="宋体" w:cs="宋体"/>
          <w:bCs/>
          <w:color w:val="auto"/>
          <w:sz w:val="21"/>
          <w:szCs w:val="21"/>
          <w:highlight w:val="none"/>
          <w:lang w:eastAsia="zh-CN"/>
        </w:rPr>
        <w:t>的</w:t>
      </w:r>
      <w:r>
        <w:rPr>
          <w:rFonts w:hint="eastAsia" w:ascii="宋体" w:hAnsi="宋体" w:eastAsia="宋体" w:cs="宋体"/>
          <w:bCs/>
          <w:color w:val="auto"/>
          <w:sz w:val="21"/>
          <w:szCs w:val="21"/>
          <w:highlight w:val="none"/>
        </w:rPr>
        <w:t>文件。</w:t>
      </w:r>
    </w:p>
    <w:p w14:paraId="52CEF982">
      <w:pPr>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必须使用简体中文,</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中若有英文或其他语言文字的资料，应翻译成中文。</w:t>
      </w:r>
    </w:p>
    <w:p w14:paraId="7CCF99DA">
      <w:pPr>
        <w:pageBreakBefore w:val="0"/>
        <w:kinsoku/>
        <w:wordWrap/>
        <w:overflowPunct/>
        <w:topLinePunct w:val="0"/>
        <w:autoSpaceDE/>
        <w:autoSpaceDN/>
        <w:bidi w:val="0"/>
        <w:snapToGrid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3、度量衡单位除</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技术规格中另有规定外均采用中华人民共和国法定的计量单位。</w:t>
      </w:r>
    </w:p>
    <w:p w14:paraId="4F96A60F">
      <w:pPr>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应以A4规格的纸张打印。</w:t>
      </w:r>
    </w:p>
    <w:p w14:paraId="7C6F2AA5">
      <w:pPr>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应将</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装订成册，并编排目录、标明页码。</w:t>
      </w:r>
    </w:p>
    <w:p w14:paraId="7D0F64BC">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应按照</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给出的</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格式按顺序编制。</w:t>
      </w:r>
    </w:p>
    <w:p w14:paraId="1B21C200">
      <w:pPr>
        <w:pageBreakBefore w:val="0"/>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（四）磋商报价</w:t>
      </w:r>
    </w:p>
    <w:p w14:paraId="7B141567">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rPr>
        <w:t>磋商</w:t>
      </w:r>
      <w:r>
        <w:rPr>
          <w:rFonts w:hint="eastAsia" w:ascii="宋体" w:hAnsi="宋体" w:eastAsia="宋体" w:cs="宋体"/>
          <w:color w:val="auto"/>
          <w:sz w:val="21"/>
          <w:szCs w:val="21"/>
          <w:highlight w:val="none"/>
        </w:rPr>
        <w:t>报价以人民币报价，</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在填写</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 xml:space="preserve">报价时，金额单位要统一，数字、文字要清晰。            </w:t>
      </w:r>
    </w:p>
    <w:p w14:paraId="3DE1CB62">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w:t>
      </w:r>
      <w:r>
        <w:rPr>
          <w:rFonts w:hint="eastAsia" w:ascii="宋体" w:hAnsi="宋体" w:eastAsia="宋体" w:cs="宋体"/>
          <w:color w:val="auto"/>
          <w:szCs w:val="21"/>
          <w:highlight w:val="none"/>
        </w:rPr>
        <w:t>磋商</w:t>
      </w:r>
      <w:r>
        <w:rPr>
          <w:rFonts w:hint="eastAsia" w:ascii="宋体" w:hAnsi="宋体" w:eastAsia="宋体" w:cs="宋体"/>
          <w:color w:val="auto"/>
          <w:sz w:val="21"/>
          <w:szCs w:val="21"/>
          <w:highlight w:val="none"/>
        </w:rPr>
        <w:t>报价等于各分项报价与各项费用之和，不得采用总价下浮的方式。</w:t>
      </w:r>
    </w:p>
    <w:p w14:paraId="68D76AA1">
      <w:pPr>
        <w:pageBreakBefore w:val="0"/>
        <w:kinsoku/>
        <w:wordWrap/>
        <w:overflowPunct/>
        <w:topLinePunct w:val="0"/>
        <w:autoSpaceDE/>
        <w:autoSpaceDN/>
        <w:bidi w:val="0"/>
        <w:spacing w:line="480" w:lineRule="exact"/>
        <w:ind w:firstLine="405" w:firstLineChars="19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Cs w:val="21"/>
          <w:highlight w:val="none"/>
        </w:rPr>
        <w:t>采购</w:t>
      </w:r>
      <w:r>
        <w:rPr>
          <w:rFonts w:hint="eastAsia" w:ascii="宋体" w:hAnsi="宋体" w:eastAsia="宋体" w:cs="宋体"/>
          <w:b/>
          <w:color w:val="auto"/>
          <w:sz w:val="21"/>
          <w:szCs w:val="21"/>
          <w:highlight w:val="none"/>
        </w:rPr>
        <w:t>最高限价</w:t>
      </w:r>
    </w:p>
    <w:p w14:paraId="0ABEC1EA">
      <w:pPr>
        <w:pageBreakBefore w:val="0"/>
        <w:kinsoku/>
        <w:wordWrap/>
        <w:overflowPunct/>
        <w:topLinePunct w:val="0"/>
        <w:autoSpaceDE/>
        <w:autoSpaceDN/>
        <w:bidi w:val="0"/>
        <w:spacing w:line="480" w:lineRule="exact"/>
        <w:ind w:firstLine="405" w:firstLineChars="192"/>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供应商报价大于</w:t>
      </w:r>
      <w:r>
        <w:rPr>
          <w:rFonts w:hint="eastAsia" w:ascii="宋体" w:hAnsi="宋体" w:eastAsia="宋体" w:cs="宋体"/>
          <w:b/>
          <w:color w:val="auto"/>
          <w:sz w:val="21"/>
          <w:szCs w:val="21"/>
          <w:highlight w:val="none"/>
          <w:lang w:eastAsia="zh-CN"/>
        </w:rPr>
        <w:t>招标</w:t>
      </w:r>
      <w:r>
        <w:rPr>
          <w:rFonts w:hint="eastAsia" w:ascii="宋体" w:hAnsi="宋体" w:eastAsia="宋体" w:cs="宋体"/>
          <w:b/>
          <w:color w:val="auto"/>
          <w:sz w:val="21"/>
          <w:szCs w:val="21"/>
          <w:highlight w:val="none"/>
        </w:rPr>
        <w:t>最高限价</w:t>
      </w:r>
      <w:r>
        <w:rPr>
          <w:rFonts w:hint="eastAsia" w:ascii="宋体" w:hAnsi="宋体" w:eastAsia="宋体" w:cs="宋体"/>
          <w:b/>
          <w:color w:val="auto"/>
          <w:sz w:val="21"/>
          <w:szCs w:val="21"/>
          <w:highlight w:val="none"/>
          <w:lang w:val="zh-CN"/>
        </w:rPr>
        <w:t>，大写：</w:t>
      </w:r>
      <w:r>
        <w:rPr>
          <w:rFonts w:hint="eastAsia" w:ascii="宋体" w:hAnsi="宋体" w:cs="宋体"/>
          <w:b/>
          <w:color w:val="auto"/>
          <w:sz w:val="21"/>
          <w:szCs w:val="21"/>
          <w:highlight w:val="none"/>
          <w:lang w:val="en-US" w:eastAsia="zh-CN"/>
        </w:rPr>
        <w:t>玖拾捌万零捌佰壹拾元伍角捌分</w:t>
      </w:r>
      <w:r>
        <w:rPr>
          <w:rFonts w:hint="eastAsia" w:ascii="宋体" w:hAnsi="宋体" w:eastAsia="宋体" w:cs="宋体"/>
          <w:b/>
          <w:color w:val="auto"/>
          <w:sz w:val="21"/>
          <w:szCs w:val="21"/>
          <w:highlight w:val="none"/>
          <w:lang w:val="zh-CN"/>
        </w:rPr>
        <w:t>，小写</w:t>
      </w:r>
      <w:r>
        <w:rPr>
          <w:rFonts w:hint="eastAsia" w:ascii="宋体" w:hAnsi="宋体" w:eastAsia="宋体" w:cs="宋体"/>
          <w:b/>
          <w:bCs w:val="0"/>
          <w:color w:val="auto"/>
          <w:sz w:val="21"/>
          <w:szCs w:val="21"/>
          <w:highlight w:val="none"/>
          <w:lang w:val="zh-CN"/>
        </w:rPr>
        <w:t>：980810.58元</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lang w:val="zh-CN"/>
        </w:rPr>
        <w:t>作为不实质性响应竞争性磋商文件，均为无效报价，按无效</w:t>
      </w:r>
      <w:r>
        <w:rPr>
          <w:rFonts w:hint="eastAsia" w:ascii="宋体" w:hAnsi="宋体" w:eastAsia="宋体" w:cs="宋体"/>
          <w:b/>
          <w:color w:val="auto"/>
          <w:sz w:val="21"/>
          <w:szCs w:val="21"/>
          <w:highlight w:val="none"/>
        </w:rPr>
        <w:t>标</w:t>
      </w:r>
      <w:r>
        <w:rPr>
          <w:rFonts w:hint="eastAsia" w:ascii="宋体" w:hAnsi="宋体" w:eastAsia="宋体" w:cs="宋体"/>
          <w:b/>
          <w:color w:val="auto"/>
          <w:sz w:val="21"/>
          <w:szCs w:val="21"/>
          <w:highlight w:val="none"/>
          <w:lang w:val="zh-CN"/>
        </w:rPr>
        <w:t>处理。</w:t>
      </w:r>
    </w:p>
    <w:p w14:paraId="64BBAD17">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报价中不得包含</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要求以外的内容，否则，在评标时不予核减，但在授予合同时，</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有权将这部分价格从其</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价格中扣除。</w:t>
      </w:r>
    </w:p>
    <w:p w14:paraId="6BBD1093">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5、总</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价中不得缺漏</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所要求的内容，否则，评标时将有效</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中该项内容的最高价计入其评标总价，但在授予合同时，缺漏项目的报价视作已含在其他项目的报价中，这些项目将作为免费赠送而包含在合同内。</w:t>
      </w:r>
    </w:p>
    <w:p w14:paraId="75DFA1D1">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6、本项目成交后综合单价除国家规定不可调整外，其余按降价比例（最后一次总报价/首次总报价）进行调整，调整后综合单价在合同执行过程中是固定不变的，不得以任何理由予以变更。供应商在报价时应自行踏勘现场，充分考虑施工过程中工程量及价格的风险因素并包含在此次磋商报价中，若因承包方原因产生额外费用，承包方自行承担。</w:t>
      </w:r>
    </w:p>
    <w:p w14:paraId="7F7E852C">
      <w:pPr>
        <w:pageBreakBefore w:val="0"/>
        <w:numPr>
          <w:ilvl w:val="0"/>
          <w:numId w:val="3"/>
        </w:numPr>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磋商</w:t>
      </w:r>
      <w:r>
        <w:rPr>
          <w:rFonts w:hint="eastAsia" w:ascii="宋体" w:hAnsi="宋体" w:eastAsia="宋体" w:cs="宋体"/>
          <w:b/>
          <w:color w:val="auto"/>
          <w:sz w:val="28"/>
          <w:szCs w:val="28"/>
          <w:highlight w:val="none"/>
        </w:rPr>
        <w:t>保证金</w:t>
      </w:r>
    </w:p>
    <w:p w14:paraId="5A547DB2">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据咸阳市财政局文咸财采购【2021】9号规定不收取投标保证金。</w:t>
      </w:r>
    </w:p>
    <w:p w14:paraId="59B8E062">
      <w:pPr>
        <w:pageBreakBefore w:val="0"/>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w:t>
      </w:r>
      <w:r>
        <w:rPr>
          <w:rFonts w:hint="eastAsia" w:ascii="宋体" w:hAnsi="宋体" w:eastAsia="宋体" w:cs="宋体"/>
          <w:b/>
          <w:color w:val="auto"/>
          <w:sz w:val="28"/>
          <w:szCs w:val="28"/>
          <w:highlight w:val="none"/>
          <w:lang w:eastAsia="zh-CN"/>
        </w:rPr>
        <w:t>磋商</w:t>
      </w:r>
      <w:r>
        <w:rPr>
          <w:rFonts w:hint="eastAsia" w:ascii="宋体" w:hAnsi="宋体" w:eastAsia="宋体" w:cs="宋体"/>
          <w:b/>
          <w:color w:val="auto"/>
          <w:sz w:val="28"/>
          <w:szCs w:val="28"/>
          <w:highlight w:val="none"/>
        </w:rPr>
        <w:t>有效期</w:t>
      </w:r>
    </w:p>
    <w:p w14:paraId="12BB39B4">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截止之日起，在90天内保持有效。</w:t>
      </w:r>
    </w:p>
    <w:p w14:paraId="424B7169">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2、在特殊情况下，在原投标有效期届满之前，</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可征得</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的同意延长</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标有效期。这种要求与答复均应采用书面形式。</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可以拒绝</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的这种要求。同意延长投标有效期的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既不能要求也不允许修改其</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w:t>
      </w:r>
    </w:p>
    <w:p w14:paraId="1A5DBBCF">
      <w:pPr>
        <w:pageBreakBefore w:val="0"/>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w:t>
      </w:r>
      <w:r>
        <w:rPr>
          <w:rFonts w:hint="eastAsia" w:ascii="宋体" w:hAnsi="宋体" w:eastAsia="宋体" w:cs="宋体"/>
          <w:b/>
          <w:color w:val="auto"/>
          <w:sz w:val="28"/>
          <w:szCs w:val="28"/>
          <w:highlight w:val="none"/>
          <w:lang w:eastAsia="zh-CN"/>
        </w:rPr>
        <w:t>竞争性磋商响应文件</w:t>
      </w:r>
      <w:r>
        <w:rPr>
          <w:rFonts w:hint="eastAsia" w:ascii="宋体" w:hAnsi="宋体" w:eastAsia="宋体" w:cs="宋体"/>
          <w:b/>
          <w:color w:val="auto"/>
          <w:sz w:val="28"/>
          <w:szCs w:val="28"/>
          <w:highlight w:val="none"/>
        </w:rPr>
        <w:t>的正本和副本要求</w:t>
      </w:r>
    </w:p>
    <w:p w14:paraId="2EDEC751">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应按照要求，准备正本一份、副本二份</w:t>
      </w:r>
      <w:r>
        <w:rPr>
          <w:rFonts w:hint="eastAsia" w:ascii="宋体" w:hAnsi="宋体" w:eastAsia="宋体" w:cs="宋体"/>
          <w:color w:val="auto"/>
          <w:sz w:val="21"/>
          <w:szCs w:val="21"/>
          <w:highlight w:val="none"/>
          <w:lang w:eastAsia="zh-CN"/>
        </w:rPr>
        <w:t>、电子文件</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zh-CN"/>
        </w:rPr>
        <w:t>U盘</w:t>
      </w: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个</w:t>
      </w:r>
      <w:r>
        <w:rPr>
          <w:rFonts w:hint="eastAsia" w:ascii="宋体" w:hAnsi="宋体" w:eastAsia="宋体" w:cs="宋体"/>
          <w:color w:val="auto"/>
          <w:sz w:val="21"/>
          <w:szCs w:val="21"/>
          <w:highlight w:val="none"/>
        </w:rPr>
        <w:t>)，每份</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须清楚地标明“正本”或“副本”字样。一旦正本和副本不符，以正本为准。</w:t>
      </w:r>
    </w:p>
    <w:p w14:paraId="6E37D87A">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的正本按照要求签署和盖章后，</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的副本可以复印（不包括</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的封面）但必须加盖鲜章，但正本和副本的内容必须相同。否则，评委误读误评的风险</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必须自行承担。</w:t>
      </w:r>
    </w:p>
    <w:p w14:paraId="5D9BCEE8">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不论是书写、打印或复制，均应做到清晰、整洁、规范。</w:t>
      </w:r>
    </w:p>
    <w:p w14:paraId="29F07269">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递交的</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（包括正本、所有副本）均不退还，请</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自行做好备份。</w:t>
      </w:r>
    </w:p>
    <w:p w14:paraId="5DF2FB92">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正副本分开密封包装。</w:t>
      </w:r>
    </w:p>
    <w:p w14:paraId="5989FCBF">
      <w:pPr>
        <w:pageBreakBefore w:val="0"/>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（八）</w:t>
      </w:r>
      <w:r>
        <w:rPr>
          <w:rFonts w:hint="eastAsia" w:ascii="宋体" w:hAnsi="宋体" w:eastAsia="宋体" w:cs="宋体"/>
          <w:b/>
          <w:color w:val="auto"/>
          <w:sz w:val="28"/>
          <w:szCs w:val="28"/>
          <w:highlight w:val="none"/>
          <w:lang w:eastAsia="zh-CN"/>
        </w:rPr>
        <w:t>竞争性磋商响应文件</w:t>
      </w:r>
      <w:r>
        <w:rPr>
          <w:rFonts w:hint="eastAsia" w:ascii="宋体" w:hAnsi="宋体" w:eastAsia="宋体" w:cs="宋体"/>
          <w:b/>
          <w:color w:val="auto"/>
          <w:sz w:val="28"/>
          <w:szCs w:val="28"/>
          <w:highlight w:val="none"/>
        </w:rPr>
        <w:t>的签署、盖章</w:t>
      </w:r>
    </w:p>
    <w:p w14:paraId="2AC02A4B">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给出的</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格式中，凡是标明由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盖章的地方，</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都必须加盖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统一对外的公章；凡是标明由法定代表人</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盖章的，须签署姓名全称</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加盖私章。</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封套上有明确规定的必须由法定代表人或委托代理人签字</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rPr>
        <w:t xml:space="preserve">盖章。        </w:t>
      </w:r>
    </w:p>
    <w:p w14:paraId="4C13E2AF">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不得行间插字、涂改或增删。如有修改错漏处，必须由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的法定代表人或其委托代理人签字并加盖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p>
    <w:p w14:paraId="3E098728">
      <w:pPr>
        <w:pageBreakBefore w:val="0"/>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（九）</w:t>
      </w:r>
      <w:r>
        <w:rPr>
          <w:rFonts w:hint="eastAsia" w:ascii="宋体" w:hAnsi="宋体" w:eastAsia="宋体" w:cs="宋体"/>
          <w:b/>
          <w:color w:val="auto"/>
          <w:sz w:val="28"/>
          <w:szCs w:val="28"/>
          <w:highlight w:val="none"/>
          <w:lang w:eastAsia="zh-CN"/>
        </w:rPr>
        <w:t>竞争性磋商响应文件</w:t>
      </w:r>
      <w:r>
        <w:rPr>
          <w:rFonts w:hint="eastAsia" w:ascii="宋体" w:hAnsi="宋体" w:eastAsia="宋体" w:cs="宋体"/>
          <w:b/>
          <w:color w:val="auto"/>
          <w:sz w:val="28"/>
          <w:szCs w:val="28"/>
          <w:highlight w:val="none"/>
        </w:rPr>
        <w:t>的密封</w:t>
      </w:r>
    </w:p>
    <w:p w14:paraId="655E7822">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应将</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正本、副本标明“正本”、“副本”的字样，并正副本分开密封包装，不论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Cs w:val="21"/>
          <w:highlight w:val="none"/>
        </w:rPr>
        <w:t>成交</w:t>
      </w:r>
      <w:r>
        <w:rPr>
          <w:rFonts w:hint="eastAsia" w:ascii="宋体" w:hAnsi="宋体" w:eastAsia="宋体" w:cs="宋体"/>
          <w:color w:val="auto"/>
          <w:sz w:val="21"/>
          <w:szCs w:val="21"/>
          <w:highlight w:val="none"/>
        </w:rPr>
        <w:t>与否，</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均不退回。</w:t>
      </w:r>
    </w:p>
    <w:p w14:paraId="5E8C934D">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u w:val="single" w:color="auto"/>
          <w:lang w:val="en-US" w:eastAsia="zh-CN"/>
        </w:rPr>
      </w:pPr>
      <w:r>
        <w:rPr>
          <w:rFonts w:hint="eastAsia" w:ascii="宋体" w:hAnsi="宋体" w:eastAsia="宋体" w:cs="宋体"/>
          <w:color w:val="auto"/>
          <w:sz w:val="21"/>
          <w:szCs w:val="21"/>
          <w:highlight w:val="none"/>
        </w:rPr>
        <w:t>①封套上注明</w:t>
      </w:r>
      <w:r>
        <w:rPr>
          <w:rFonts w:hint="eastAsia" w:ascii="宋体" w:hAnsi="宋体" w:eastAsia="宋体" w:cs="宋体"/>
          <w:color w:val="auto"/>
          <w:sz w:val="21"/>
          <w:szCs w:val="21"/>
          <w:highlight w:val="none"/>
          <w:lang w:val="zh-CN"/>
        </w:rPr>
        <w:t>项目名称、项目编号、供应商名称、法定代表人或委托代理人签字、盖章，并加盖单位公章、标段号（如有）、地址、年月日、“正本”或“副本”、</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color="auto"/>
          <w:lang w:val="en-US" w:eastAsia="zh-CN"/>
        </w:rPr>
        <w:t xml:space="preserve">    </w:t>
      </w:r>
    </w:p>
    <w:p w14:paraId="66673C6F">
      <w:pPr>
        <w:pageBreakBefore w:val="0"/>
        <w:kinsoku/>
        <w:wordWrap/>
        <w:overflowPunct/>
        <w:topLinePunct w:val="0"/>
        <w:autoSpaceDE/>
        <w:autoSpaceDN/>
        <w:bidi w:val="0"/>
        <w:spacing w:line="4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rPr>
        <w:t>前不得开启”字样。</w:t>
      </w:r>
    </w:p>
    <w:p w14:paraId="68CF9E71">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密封要求：</w:t>
      </w:r>
      <w:r>
        <w:rPr>
          <w:rFonts w:hint="eastAsia" w:ascii="宋体" w:hAnsi="宋体" w:eastAsia="宋体" w:cs="宋体"/>
          <w:color w:val="auto"/>
          <w:sz w:val="21"/>
          <w:szCs w:val="21"/>
          <w:highlight w:val="none"/>
          <w:lang w:eastAsia="zh-CN"/>
        </w:rPr>
        <w:t>电子版文件</w:t>
      </w:r>
      <w:r>
        <w:rPr>
          <w:rFonts w:hint="eastAsia" w:ascii="宋体" w:hAnsi="宋体" w:eastAsia="宋体" w:cs="宋体"/>
          <w:color w:val="auto"/>
          <w:sz w:val="21"/>
          <w:szCs w:val="21"/>
          <w:highlight w:val="none"/>
        </w:rPr>
        <w:t>密封在</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正本内，正本、副本分开密封。</w:t>
      </w:r>
    </w:p>
    <w:p w14:paraId="41C1E8DB">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2、如果封袋（盒）未按上述要求密封、加写标记或标注不清，</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对误投或过早启封概不负责。未按上述规定提交的</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，一切后果由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负责。</w:t>
      </w:r>
    </w:p>
    <w:p w14:paraId="4CB4B613">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color w:val="auto"/>
          <w:szCs w:val="21"/>
          <w:highlight w:val="none"/>
        </w:rPr>
        <w:t>磋商</w:t>
      </w:r>
      <w:r>
        <w:rPr>
          <w:rFonts w:hint="eastAsia" w:ascii="宋体" w:hAnsi="宋体" w:eastAsia="宋体" w:cs="宋体"/>
          <w:color w:val="auto"/>
          <w:sz w:val="21"/>
          <w:szCs w:val="21"/>
          <w:highlight w:val="none"/>
        </w:rPr>
        <w:t>截止时间后递交的</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将被拒绝。</w:t>
      </w:r>
    </w:p>
    <w:p w14:paraId="2B5F7803">
      <w:pPr>
        <w:pageBreakBefore w:val="0"/>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eastAsia="zh-CN"/>
        </w:rPr>
        <w:t>竞争性磋商响应文件</w:t>
      </w:r>
      <w:r>
        <w:rPr>
          <w:rFonts w:hint="eastAsia" w:ascii="宋体" w:hAnsi="宋体" w:eastAsia="宋体" w:cs="宋体"/>
          <w:b/>
          <w:color w:val="auto"/>
          <w:sz w:val="28"/>
          <w:szCs w:val="28"/>
          <w:highlight w:val="none"/>
        </w:rPr>
        <w:t>的递交</w:t>
      </w:r>
    </w:p>
    <w:p w14:paraId="4FF44CBD">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应在规定的时间和地点递交</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w:t>
      </w:r>
    </w:p>
    <w:p w14:paraId="0EBA9CD4">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2、代理机构将拒绝迟交的</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并原封退回。</w:t>
      </w:r>
    </w:p>
    <w:p w14:paraId="00428E3D">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3、未按规定进行密封的</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，代理机构将拒绝接受。</w:t>
      </w:r>
    </w:p>
    <w:p w14:paraId="1B123039">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在递交</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后，如果有修改和撤回要求，必须以书面形式通知代理机构名称，使代理机构能在投标截止时间前收到。其修改书或撤回通知书，应由法定代表人或其委托代理人签署，并在信封上注明“修改”或“撤回”字样。</w:t>
      </w:r>
    </w:p>
    <w:p w14:paraId="4E8165A2">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w:t>
      </w:r>
      <w:r>
        <w:rPr>
          <w:rFonts w:hint="eastAsia" w:ascii="宋体" w:hAnsi="宋体" w:eastAsia="宋体" w:cs="宋体"/>
          <w:color w:val="auto"/>
          <w:szCs w:val="21"/>
          <w:highlight w:val="none"/>
        </w:rPr>
        <w:t>磋商</w:t>
      </w:r>
      <w:r>
        <w:rPr>
          <w:rFonts w:hint="eastAsia" w:ascii="宋体" w:hAnsi="宋体" w:eastAsia="宋体" w:cs="宋体"/>
          <w:color w:val="auto"/>
          <w:sz w:val="21"/>
          <w:szCs w:val="21"/>
          <w:highlight w:val="none"/>
        </w:rPr>
        <w:t>有效期内，</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不得撤回</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w:t>
      </w:r>
    </w:p>
    <w:p w14:paraId="318C2BE3">
      <w:pPr>
        <w:pStyle w:val="3"/>
        <w:pageBreakBefore w:val="0"/>
        <w:kinsoku/>
        <w:wordWrap/>
        <w:overflowPunct/>
        <w:topLinePunct w:val="0"/>
        <w:autoSpaceDE/>
        <w:autoSpaceDN/>
        <w:bidi w:val="0"/>
        <w:spacing w:line="480" w:lineRule="exact"/>
        <w:outlineLvl w:val="2"/>
        <w:rPr>
          <w:rFonts w:hint="eastAsia" w:ascii="宋体" w:hAnsi="宋体" w:eastAsia="宋体" w:cs="宋体"/>
          <w:b/>
          <w:color w:val="auto"/>
          <w:sz w:val="28"/>
          <w:szCs w:val="28"/>
          <w:highlight w:val="none"/>
          <w:u w:val="none" w:color="000000"/>
          <w:lang w:val="en-US" w:eastAsia="zh-CN" w:bidi="ar-SA"/>
        </w:rPr>
      </w:pPr>
      <w:bookmarkStart w:id="23" w:name="_Toc19755"/>
      <w:bookmarkStart w:id="24" w:name="_Toc22225"/>
      <w:bookmarkStart w:id="25" w:name="_Toc6472"/>
      <w:bookmarkStart w:id="26" w:name="_Toc4188"/>
      <w:r>
        <w:rPr>
          <w:rFonts w:hint="eastAsia" w:ascii="宋体" w:hAnsi="宋体" w:eastAsia="宋体" w:cs="宋体"/>
          <w:b/>
          <w:color w:val="auto"/>
          <w:sz w:val="28"/>
          <w:szCs w:val="28"/>
          <w:highlight w:val="none"/>
          <w:u w:val="none" w:color="000000"/>
          <w:lang w:val="en-US" w:eastAsia="zh-CN" w:bidi="ar-SA"/>
        </w:rPr>
        <w:t>（十一）磋商方法及程序</w:t>
      </w:r>
      <w:bookmarkEnd w:id="23"/>
      <w:bookmarkEnd w:id="24"/>
      <w:bookmarkEnd w:id="25"/>
      <w:bookmarkEnd w:id="26"/>
    </w:p>
    <w:p w14:paraId="0AC3E51C">
      <w:pPr>
        <w:pStyle w:val="3"/>
        <w:pageBreakBefore w:val="0"/>
        <w:kinsoku/>
        <w:wordWrap/>
        <w:overflowPunct/>
        <w:topLinePunct w:val="0"/>
        <w:autoSpaceDE/>
        <w:autoSpaceDN/>
        <w:bidi w:val="0"/>
        <w:spacing w:line="480" w:lineRule="exact"/>
        <w:ind w:firstLine="420" w:firstLineChars="200"/>
        <w:jc w:val="both"/>
        <w:rPr>
          <w:rFonts w:hint="eastAsia" w:ascii="宋体" w:hAnsi="宋体" w:eastAsia="宋体" w:cs="宋体"/>
          <w:b w:val="0"/>
          <w:color w:val="auto"/>
          <w:sz w:val="21"/>
          <w:szCs w:val="21"/>
          <w:highlight w:val="none"/>
          <w:u w:val="none" w:color="000000"/>
          <w:lang w:val="en-US" w:eastAsia="zh-CN" w:bidi="ar-SA"/>
        </w:rPr>
      </w:pPr>
      <w:r>
        <w:rPr>
          <w:rFonts w:hint="eastAsia" w:ascii="宋体" w:hAnsi="宋体" w:eastAsia="宋体" w:cs="宋体"/>
          <w:b w:val="0"/>
          <w:color w:val="auto"/>
          <w:sz w:val="21"/>
          <w:szCs w:val="21"/>
          <w:highlight w:val="none"/>
          <w:u w:val="none" w:color="000000"/>
          <w:lang w:val="en-US" w:eastAsia="zh-CN" w:bidi="ar-SA"/>
        </w:rPr>
        <w:t>（一）磋商方法：综合评分法。</w:t>
      </w:r>
    </w:p>
    <w:p w14:paraId="2E549A0F">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响应文件满足磋商文件全部实质性要求且按照评审因素的量化指标评审得分最高的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eastAsia="zh-CN"/>
        </w:rPr>
        <w:t>成交候选人</w:t>
      </w:r>
      <w:r>
        <w:rPr>
          <w:rFonts w:hint="eastAsia" w:ascii="宋体" w:hAnsi="宋体" w:eastAsia="宋体" w:cs="宋体"/>
          <w:color w:val="auto"/>
          <w:sz w:val="21"/>
          <w:szCs w:val="21"/>
          <w:highlight w:val="none"/>
        </w:rPr>
        <w:t>。</w:t>
      </w:r>
    </w:p>
    <w:p w14:paraId="4B1CB2B0">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（二）磋商程序：</w:t>
      </w:r>
      <w:r>
        <w:rPr>
          <w:rFonts w:hint="eastAsia" w:ascii="宋体" w:hAnsi="宋体" w:eastAsia="宋体" w:cs="宋体"/>
          <w:color w:val="auto"/>
          <w:sz w:val="21"/>
          <w:szCs w:val="21"/>
          <w:highlight w:val="none"/>
          <w:lang w:val="zh-CN"/>
        </w:rPr>
        <w:t>磋商的全过程分为不公布第一次磋商报价、</w:t>
      </w:r>
      <w:r>
        <w:rPr>
          <w:rFonts w:hint="eastAsia" w:ascii="宋体" w:hAnsi="宋体" w:eastAsia="宋体" w:cs="宋体"/>
          <w:color w:val="auto"/>
          <w:szCs w:val="21"/>
          <w:highlight w:val="none"/>
          <w:lang w:val="zh-CN"/>
        </w:rPr>
        <w:t>供应商</w:t>
      </w:r>
      <w:r>
        <w:rPr>
          <w:rFonts w:hint="eastAsia" w:ascii="宋体" w:hAnsi="宋体" w:eastAsia="宋体" w:cs="宋体"/>
          <w:color w:val="auto"/>
          <w:sz w:val="21"/>
          <w:szCs w:val="21"/>
          <w:highlight w:val="none"/>
          <w:lang w:val="zh-CN"/>
        </w:rPr>
        <w:t>符合性及有效性、磋商过程、磋商承诺、第二次报价、综合评审等阶段。</w:t>
      </w:r>
    </w:p>
    <w:p w14:paraId="388EBA40">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1、第一次报价：记录将各供应商的响应文件中的报价、工期等内容，报价不公开。</w:t>
      </w:r>
    </w:p>
    <w:p w14:paraId="741BA014">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2、供应商符合性及有效性审查：按照竞争性磋商文件中的要求对各供应商提供的竞争性磋商响应文件进行符合性及有效性审查，对于没有按竞争性磋商文件要求的供应商，不进入下一步评审程序。</w:t>
      </w:r>
    </w:p>
    <w:p w14:paraId="28C82117">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3、磋商过程</w:t>
      </w:r>
    </w:p>
    <w:p w14:paraId="2D9D2975">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磋商小组在符合性及有效性评审的基础上对各供应商的响应文件认真阅读， 磋商小组所有成员集中与单一供应商对技术、服务、合同条款等内容分别进行一轮或多轮的磋商。在磋商中，磋商的任何一方不得透露与磋商有关的其他供应商的技术资料、价格和其他信息。各供应商就磋商中的技术、商务、价格、服务等内容按要求进行补充、完善、澄清、承诺，但补充完善的内容必须在其授权范围内。磋商小组以补充、完善后的内容作为评审的依据。</w:t>
      </w:r>
    </w:p>
    <w:p w14:paraId="70F444A0">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4、各供应商对磋商小组在磋商过程中的问题予以澄清说明，做出承诺，同时对报价及构成再次进行成本分析、核算，并在此基础上进行二次报价。</w:t>
      </w:r>
    </w:p>
    <w:p w14:paraId="7E81B9FD">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5、磋商小组对各供应商磋商内容进行确认，进行二次报价</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zh-CN"/>
        </w:rPr>
        <w:t>二次报价超过一次报价的，为无效报价，按无效文件处理。</w:t>
      </w:r>
    </w:p>
    <w:p w14:paraId="59B2C69A">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（1）在对所有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进行符合性</w:t>
      </w:r>
      <w:r>
        <w:rPr>
          <w:rFonts w:hint="eastAsia" w:ascii="宋体" w:hAnsi="宋体" w:eastAsia="宋体" w:cs="宋体"/>
          <w:color w:val="auto"/>
          <w:sz w:val="21"/>
          <w:szCs w:val="21"/>
          <w:highlight w:val="none"/>
          <w:lang w:eastAsia="zh-CN"/>
        </w:rPr>
        <w:t>及有效性</w:t>
      </w:r>
      <w:r>
        <w:rPr>
          <w:rFonts w:hint="eastAsia" w:ascii="宋体" w:hAnsi="宋体" w:eastAsia="宋体" w:cs="宋体"/>
          <w:color w:val="auto"/>
          <w:sz w:val="21"/>
          <w:szCs w:val="21"/>
          <w:highlight w:val="none"/>
        </w:rPr>
        <w:t>审查</w:t>
      </w:r>
      <w:r>
        <w:rPr>
          <w:rFonts w:hint="eastAsia" w:ascii="宋体" w:hAnsi="宋体" w:eastAsia="宋体" w:cs="宋体"/>
          <w:color w:val="auto"/>
          <w:sz w:val="21"/>
          <w:szCs w:val="21"/>
          <w:highlight w:val="none"/>
          <w:lang w:eastAsia="zh-CN"/>
        </w:rPr>
        <w:t>后</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不合格供应商的响应文件按无效处理，并告知有关供应商。</w:t>
      </w:r>
    </w:p>
    <w:p w14:paraId="7C796D18">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磋商小组给予所有合格供应商一次最后报价（即二次报价）的机会。供应商要以书面形式提交最后报价（各合格供应商的最后报价将作为综合评分法中价格分的计算依据，并由其法定代表人或被授权人签字。已提交响应文件的供应商，</w:t>
      </w:r>
      <w:r>
        <w:rPr>
          <w:rFonts w:hint="eastAsia" w:ascii="宋体" w:hAnsi="宋体" w:eastAsia="宋体" w:cs="宋体"/>
          <w:color w:val="auto"/>
          <w:szCs w:val="21"/>
          <w:highlight w:val="none"/>
        </w:rPr>
        <w:t>在提交最后报价之前有权以书面形式退出磋商。</w:t>
      </w:r>
      <w:r>
        <w:rPr>
          <w:rFonts w:hint="eastAsia" w:ascii="宋体" w:hAnsi="宋体" w:eastAsia="宋体" w:cs="宋体"/>
          <w:color w:val="auto"/>
          <w:sz w:val="21"/>
          <w:szCs w:val="21"/>
          <w:highlight w:val="none"/>
          <w:lang w:val="en-US" w:eastAsia="zh-CN"/>
        </w:rPr>
        <w:t xml:space="preserve">    </w:t>
      </w:r>
    </w:p>
    <w:p w14:paraId="20E4760B">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6、磋商小组以磋商响应文件、磋商承诺内容、二次报价为依据，按照评审办法，推荐成交候选单位。</w:t>
      </w:r>
    </w:p>
    <w:p w14:paraId="3E97D37F">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7、磋商文件的实质性变更</w:t>
      </w:r>
    </w:p>
    <w:p w14:paraId="5A883529">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（1）在磋商过程中，磋商小组可以根据磋商文件和磋商情况实质性变动采购需求中的技术、服务要求以及合同草案条款，但不得变动磋商文件中的其他内容。实质性变动的内容，须经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代表确认。</w:t>
      </w:r>
    </w:p>
    <w:p w14:paraId="143168AE">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（2）对磋商文件作出的实质性变动是磋商文件的有效组成部分，磋商小组将及时以书面形式同时通知所有参加磋商的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p>
    <w:p w14:paraId="7537E51F">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应当按照磋商文件的变动情况和磋商小组的要求重新提交响应文件，并由其法定代表人或授权代表签字或者加盖公章。</w:t>
      </w:r>
    </w:p>
    <w:p w14:paraId="2EA8842F">
      <w:pPr>
        <w:pageBreakBefore w:val="0"/>
        <w:kinsoku/>
        <w:wordWrap/>
        <w:overflowPunct/>
        <w:topLinePunct w:val="0"/>
        <w:autoSpaceDE/>
        <w:autoSpaceDN/>
        <w:bidi w:val="0"/>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eastAsia="zh-CN"/>
        </w:rPr>
        <w:t>二</w:t>
      </w:r>
      <w:r>
        <w:rPr>
          <w:rFonts w:hint="eastAsia" w:ascii="宋体" w:hAnsi="宋体" w:eastAsia="宋体" w:cs="宋体"/>
          <w:b/>
          <w:color w:val="auto"/>
          <w:sz w:val="28"/>
          <w:szCs w:val="28"/>
          <w:highlight w:val="none"/>
        </w:rPr>
        <w:t>）开 标</w:t>
      </w:r>
    </w:p>
    <w:p w14:paraId="2155C140">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采购代理机构按竞争性磋商文件规定的时间、地点组织磋商。</w:t>
      </w:r>
    </w:p>
    <w:p w14:paraId="2EBD6706">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所有参会人员应签名报到，以证明其出席。供应商未参加磋商的，视同认可磋商结果。</w:t>
      </w:r>
    </w:p>
    <w:p w14:paraId="4BAEC5B5">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磋商会议由采购代理机构主持。主持人宣读磋商会议开始，并宣读会场纪律，宣布参加会议的供应商名单。</w:t>
      </w:r>
    </w:p>
    <w:p w14:paraId="785D41EF">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采购人（或监标人）核查供应商是否授权合法的人员参加磋商。未通过审查的将作为无效响应处理。</w:t>
      </w:r>
    </w:p>
    <w:p w14:paraId="2CC09D30">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请监标人、</w:t>
      </w:r>
      <w:r>
        <w:rPr>
          <w:rFonts w:hint="eastAsia" w:ascii="宋体" w:hAnsi="宋体" w:eastAsia="宋体" w:cs="宋体"/>
          <w:color w:val="auto"/>
          <w:sz w:val="21"/>
          <w:szCs w:val="21"/>
          <w:highlight w:val="none"/>
          <w:lang w:val="zh-CN" w:eastAsia="zh-CN"/>
        </w:rPr>
        <w:t>供应商</w:t>
      </w:r>
      <w:r>
        <w:rPr>
          <w:rFonts w:hint="eastAsia" w:ascii="宋体" w:hAnsi="宋体" w:eastAsia="宋体" w:cs="宋体"/>
          <w:color w:val="auto"/>
          <w:sz w:val="21"/>
          <w:szCs w:val="21"/>
          <w:highlight w:val="none"/>
          <w:lang w:val="zh-CN"/>
        </w:rPr>
        <w:t>代表查验</w:t>
      </w:r>
      <w:r>
        <w:rPr>
          <w:rFonts w:hint="eastAsia" w:ascii="宋体" w:hAnsi="宋体" w:eastAsia="宋体" w:cs="宋体"/>
          <w:color w:val="auto"/>
          <w:sz w:val="21"/>
          <w:szCs w:val="21"/>
          <w:highlight w:val="none"/>
          <w:lang w:val="zh-CN" w:eastAsia="zh-CN"/>
        </w:rPr>
        <w:t>竞争性磋商响应文件</w:t>
      </w:r>
      <w:r>
        <w:rPr>
          <w:rFonts w:hint="eastAsia" w:ascii="宋体" w:hAnsi="宋体" w:eastAsia="宋体" w:cs="宋体"/>
          <w:color w:val="auto"/>
          <w:sz w:val="21"/>
          <w:szCs w:val="21"/>
          <w:highlight w:val="none"/>
          <w:lang w:val="zh-CN"/>
        </w:rPr>
        <w:t>密封情况，确认无误后，主持人将</w:t>
      </w:r>
    </w:p>
    <w:p w14:paraId="2272963B">
      <w:pPr>
        <w:pageBreakBefore w:val="0"/>
        <w:kinsoku/>
        <w:wordWrap/>
        <w:overflowPunct/>
        <w:topLinePunct w:val="0"/>
        <w:autoSpaceDE/>
        <w:autoSpaceDN/>
        <w:bidi w:val="0"/>
        <w:spacing w:line="4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当众宣读</w:t>
      </w:r>
      <w:r>
        <w:rPr>
          <w:rFonts w:hint="eastAsia" w:ascii="宋体" w:hAnsi="宋体" w:eastAsia="宋体" w:cs="宋体"/>
          <w:color w:val="auto"/>
          <w:sz w:val="21"/>
          <w:szCs w:val="21"/>
          <w:highlight w:val="none"/>
          <w:lang w:val="zh-CN" w:eastAsia="zh-CN"/>
        </w:rPr>
        <w:t>竞争性磋商响应文件的供应商名称、正副本份数、电子文件份数是否齐全等</w:t>
      </w:r>
      <w:r>
        <w:rPr>
          <w:rFonts w:hint="eastAsia" w:ascii="宋体" w:hAnsi="宋体" w:eastAsia="宋体" w:cs="宋体"/>
          <w:color w:val="auto"/>
          <w:sz w:val="21"/>
          <w:szCs w:val="21"/>
          <w:highlight w:val="none"/>
          <w:lang w:val="zh-CN"/>
        </w:rPr>
        <w:t>，以及</w:t>
      </w:r>
      <w:r>
        <w:rPr>
          <w:rFonts w:hint="eastAsia" w:ascii="宋体" w:hAnsi="宋体" w:eastAsia="宋体" w:cs="宋体"/>
          <w:color w:val="auto"/>
          <w:sz w:val="21"/>
          <w:szCs w:val="21"/>
          <w:highlight w:val="none"/>
          <w:lang w:val="zh-CN" w:eastAsia="zh-CN"/>
        </w:rPr>
        <w:t>采购人</w:t>
      </w:r>
      <w:r>
        <w:rPr>
          <w:rFonts w:hint="eastAsia" w:ascii="宋体" w:hAnsi="宋体" w:eastAsia="宋体" w:cs="宋体"/>
          <w:color w:val="auto"/>
          <w:sz w:val="21"/>
          <w:szCs w:val="21"/>
          <w:highlight w:val="none"/>
          <w:lang w:val="zh-CN"/>
        </w:rPr>
        <w:t>认为合适的其他详细内容。</w:t>
      </w:r>
      <w:r>
        <w:rPr>
          <w:rFonts w:hint="eastAsia" w:ascii="宋体" w:hAnsi="宋体" w:eastAsia="宋体" w:cs="宋体"/>
          <w:color w:val="auto"/>
          <w:sz w:val="21"/>
          <w:szCs w:val="21"/>
          <w:highlight w:val="none"/>
        </w:rPr>
        <w:t>未通过审查的将作为无效响应处理。</w:t>
      </w:r>
    </w:p>
    <w:p w14:paraId="66E16911">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主持人宣布磋商会议结束，所有供应商离场。</w:t>
      </w:r>
    </w:p>
    <w:p w14:paraId="1F82574E">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采购代理机构对磋商过程进行摄像、文字记录，并存档备查。</w:t>
      </w:r>
    </w:p>
    <w:p w14:paraId="7BDAB3E5">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供应商代表对磋商过程有疑义的，以及认为采购人、采购代理机构相关工作人员有需要回避的情形的，应当场提出询问或回避申请。</w:t>
      </w:r>
    </w:p>
    <w:p w14:paraId="42177428">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9、供应商在报价时不允许采用选择性报价，否则将被视为无效投标。</w:t>
      </w:r>
    </w:p>
    <w:p w14:paraId="375CE015">
      <w:pPr>
        <w:pageBreakBefore w:val="0"/>
        <w:kinsoku/>
        <w:wordWrap/>
        <w:overflowPunct/>
        <w:topLinePunct w:val="0"/>
        <w:autoSpaceDE/>
        <w:autoSpaceDN/>
        <w:bidi w:val="0"/>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eastAsia="zh-CN"/>
        </w:rPr>
        <w:t>三</w:t>
      </w:r>
      <w:r>
        <w:rPr>
          <w:rFonts w:hint="eastAsia" w:ascii="宋体" w:hAnsi="宋体" w:eastAsia="宋体" w:cs="宋体"/>
          <w:b/>
          <w:color w:val="auto"/>
          <w:sz w:val="28"/>
          <w:szCs w:val="28"/>
          <w:highlight w:val="none"/>
        </w:rPr>
        <w:t>）评 标</w:t>
      </w:r>
    </w:p>
    <w:p w14:paraId="087C9003">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评审工作由为该项目专门组织的评标委员会（简称评委会）进行。为确保评标工作公平、公正，根据《中华人民共和国</w:t>
      </w:r>
      <w:r>
        <w:rPr>
          <w:rFonts w:hint="eastAsia" w:ascii="宋体" w:hAnsi="宋体" w:eastAsia="宋体" w:cs="宋体"/>
          <w:color w:val="auto"/>
          <w:szCs w:val="21"/>
          <w:highlight w:val="none"/>
        </w:rPr>
        <w:t>政府采购法</w:t>
      </w:r>
      <w:r>
        <w:rPr>
          <w:rFonts w:hint="eastAsia" w:ascii="宋体" w:hAnsi="宋体" w:eastAsia="宋体" w:cs="宋体"/>
          <w:color w:val="auto"/>
          <w:sz w:val="21"/>
          <w:szCs w:val="21"/>
          <w:highlight w:val="none"/>
        </w:rPr>
        <w:t>》的有关规定成立评标委员会。评标委员会（有关专家）在</w:t>
      </w:r>
      <w:r>
        <w:rPr>
          <w:rFonts w:hint="eastAsia" w:ascii="宋体" w:hAnsi="宋体" w:cs="宋体"/>
          <w:color w:val="auto"/>
          <w:sz w:val="21"/>
          <w:szCs w:val="21"/>
          <w:highlight w:val="none"/>
          <w:lang w:val="en-US" w:eastAsia="zh-CN"/>
        </w:rPr>
        <w:t>陕西省</w:t>
      </w:r>
      <w:r>
        <w:rPr>
          <w:rFonts w:hint="eastAsia" w:ascii="宋体" w:hAnsi="宋体" w:eastAsia="宋体" w:cs="宋体"/>
          <w:color w:val="auto"/>
          <w:szCs w:val="21"/>
          <w:highlight w:val="none"/>
        </w:rPr>
        <w:t>政府采购专家库中随机</w:t>
      </w:r>
      <w:r>
        <w:rPr>
          <w:rFonts w:hint="eastAsia" w:ascii="宋体" w:hAnsi="宋体" w:eastAsia="宋体" w:cs="宋体"/>
          <w:color w:val="auto"/>
          <w:sz w:val="21"/>
          <w:szCs w:val="21"/>
          <w:highlight w:val="none"/>
        </w:rPr>
        <w:t>抽取。</w:t>
      </w:r>
    </w:p>
    <w:p w14:paraId="1446E4A8">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开标后，采购人按照磋商文件规定的资格条件对供应商进行资格审查，审查合格的供应商方可进入下一评审阶段。缺项或一项不符合要求即不合格，不合格的供应商其磋商响应无效。</w:t>
      </w:r>
    </w:p>
    <w:p w14:paraId="00BB86E9">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2、未通过符合性及有效性审查的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，将不再进入后续评标程序。</w:t>
      </w:r>
    </w:p>
    <w:p w14:paraId="534FFA28">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3、符合性及有效性审查时，评委会将审查</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是否完整，有无计算上的错误，文件的签署是否符合要求等。如果发现</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报价存在计算或表述上错误，则将按下列原则进行修改：</w:t>
      </w:r>
    </w:p>
    <w:p w14:paraId="791ACCB0">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①开标一览表内容与</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中明细表内容不一致的，以开标一览表为准；</w:t>
      </w:r>
    </w:p>
    <w:p w14:paraId="53A399CE">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的大写金额和小写金额不一致的，以大写金额为准；</w:t>
      </w:r>
    </w:p>
    <w:p w14:paraId="2065E0AB">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③合价金额与按单价汇总金额不一致的，以单价金额计算结果为准；</w:t>
      </w:r>
    </w:p>
    <w:p w14:paraId="39EB73DC">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④分项合价之和与总价不符时，以分项合价之和为准；</w:t>
      </w:r>
    </w:p>
    <w:p w14:paraId="40A2FAD1">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⑤单价金额小数点有明显错位的，应以总价为准，并修改单价。</w:t>
      </w:r>
    </w:p>
    <w:p w14:paraId="70406A0E">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4、评委会将按上述修正错误的方法调整</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中的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报价，调整后的价格应对</w:t>
      </w:r>
      <w:r>
        <w:rPr>
          <w:rFonts w:hint="eastAsia" w:ascii="宋体" w:hAnsi="宋体" w:eastAsia="宋体" w:cs="宋体"/>
          <w:color w:val="auto"/>
          <w:sz w:val="21"/>
          <w:szCs w:val="21"/>
          <w:highlight w:val="none"/>
          <w:lang w:eastAsia="zh-CN"/>
        </w:rPr>
        <w:t>供应商人</w:t>
      </w:r>
      <w:r>
        <w:rPr>
          <w:rFonts w:hint="eastAsia" w:ascii="宋体" w:hAnsi="宋体" w:eastAsia="宋体" w:cs="宋体"/>
          <w:color w:val="auto"/>
          <w:sz w:val="21"/>
          <w:szCs w:val="21"/>
          <w:highlight w:val="none"/>
        </w:rPr>
        <w:t>具有约束力。如果</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不接受调整后的价格，则其投标将被拒绝。无论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是接受或是拒绝调整后的价格，都应当由法定代表人或委托代理人签字予以书面确认。</w:t>
      </w:r>
    </w:p>
    <w:p w14:paraId="1EB6053C">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5、在详细评标之前，评委会将审查每份</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是否实质上响应了</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的要求。实质上响应的投标应该是与</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要求的全部条款、条件和规格相符，没有重大偏离或保留的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。所谓重大偏离或保留是指实质上影响合同的</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范围、质量和性能，或者实质上与</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的要求不一致，而且限制了</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的权利或减轻了</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的义务。纠正这些偏离或保留将会对其他实质上响应要求的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的竞争地位产生不公正的影响。</w:t>
      </w:r>
    </w:p>
    <w:p w14:paraId="0B492BE5">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6、评委会判定</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的响应性只根据</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本身的内容，而不寻求外部的证据，但</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有不真实不正确的内容时除外。</w:t>
      </w:r>
    </w:p>
    <w:p w14:paraId="2A4DE864">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7、如果</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实质上没有响应</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的要求，评委会将予以拒绝，</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不得通过修正或撤销不符合要求的偏离或保留，而使其</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成为实质上响应的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p>
    <w:p w14:paraId="63F472F5">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简单地复印或照搬</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中的技术规格作为其</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的一部分，将有可能导致其投标无效。</w:t>
      </w:r>
    </w:p>
    <w:p w14:paraId="14B380A9">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9、评委会可以要求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通过澄清说明修正其</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中含义不明确的内容，但是澄清说明不得超出</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的范围或改变</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的实质性内容</w:t>
      </w:r>
    </w:p>
    <w:p w14:paraId="645C69DB">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10、无效投标</w:t>
      </w:r>
    </w:p>
    <w:p w14:paraId="5653B303">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属下列情况之一的，按照无效投标处理：</w:t>
      </w:r>
    </w:p>
    <w:p w14:paraId="6CB00123">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（1）未按照竞争性磋商文件规定密封、签署、盖章的；</w:t>
      </w:r>
    </w:p>
    <w:p w14:paraId="74E352B6">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（2）不具备竞争性磋商文件中规定资格要求的；</w:t>
      </w:r>
    </w:p>
    <w:p w14:paraId="4FB319D4">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（3）竞争性磋商响应文件未加盖单位公章、法定代表人、法人授权委托代理人未按竞争性磋商文件格式要求签字或盖章的。</w:t>
      </w:r>
    </w:p>
    <w:p w14:paraId="504CF178">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（4）供应商所提供的证件原件名称、名字与资质文件所提交的资格资料名称、名字不符或在磋商中弄虚作假的。</w:t>
      </w:r>
    </w:p>
    <w:p w14:paraId="5E94D26B">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（5）竞争性磋商响应文件正本缺页的，竞争性磋商响应文件实质性内容字迹辨认不清的。</w:t>
      </w:r>
    </w:p>
    <w:p w14:paraId="341C3361">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（6）质量、工期任何一项不满足竞争性磋商文件要求的，但不含优于竞争性磋商文件</w:t>
      </w:r>
    </w:p>
    <w:p w14:paraId="6FE86706">
      <w:pPr>
        <w:pageBreakBefore w:val="0"/>
        <w:kinsoku/>
        <w:wordWrap/>
        <w:overflowPunct/>
        <w:topLinePunct w:val="0"/>
        <w:autoSpaceDE/>
        <w:autoSpaceDN/>
        <w:bidi w:val="0"/>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要求的。</w:t>
      </w:r>
    </w:p>
    <w:p w14:paraId="5126D682">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（7）未按竞争性磋商文件要求提交竞争性磋商响应文件资料的。</w:t>
      </w:r>
    </w:p>
    <w:p w14:paraId="7AD00A51">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（8）供应商组成联合体磋商的。</w:t>
      </w:r>
    </w:p>
    <w:p w14:paraId="06CD971D">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（9）供应商未按要求提供相应证件（开标现场所验证件）的。</w:t>
      </w:r>
    </w:p>
    <w:p w14:paraId="60130972">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（10）根据评标委员会的评定，竞争性磋商响应文件中明显使用不平衡报价恶意竞标的。</w:t>
      </w:r>
    </w:p>
    <w:p w14:paraId="5CE7931C">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（11）专家评审过程中，专家要求审查竞争性磋商响应文件电子版内容时，电子版文件无法正常打开或竞争性磋商响应文件电子版内容与文字书面竞争性磋商响应文件（正本）内容不一致的。</w:t>
      </w:r>
    </w:p>
    <w:p w14:paraId="78A51A4B">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（12）供应商在报价时采用选择性报价；</w:t>
      </w:r>
    </w:p>
    <w:p w14:paraId="0C1D6D08">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（13）磋商证明文件或服务不满足竞争性磋商文件的实质性要求；</w:t>
      </w:r>
    </w:p>
    <w:p w14:paraId="1C9709E5">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（14）不符合法律、法规和竞争性磋商文件中规定的其他实质性要求的。</w:t>
      </w:r>
    </w:p>
    <w:p w14:paraId="13941BFB">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（15）磋商中出现串标、围标的。</w:t>
      </w:r>
    </w:p>
    <w:p w14:paraId="4C640C1F">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（16）磋商总价高于最高限价的。</w:t>
      </w:r>
    </w:p>
    <w:p w14:paraId="5642C726">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11、比较与评价。评委会按</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规定的评标方法和标准，对实质性响应的</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进行评分。</w:t>
      </w:r>
    </w:p>
    <w:p w14:paraId="7307E02B">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12、评标过程的保密。评委会成员或者参加评标的其他人员均不得向他人透露对</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的评审和比较以及与评标有关的其他情况。</w:t>
      </w:r>
    </w:p>
    <w:p w14:paraId="490805CE">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13、评委会有权否决全部投标。</w:t>
      </w:r>
    </w:p>
    <w:p w14:paraId="22247D5D">
      <w:pPr>
        <w:pageBreakBefore w:val="0"/>
        <w:kinsoku/>
        <w:wordWrap/>
        <w:overflowPunct/>
        <w:topLinePunct w:val="0"/>
        <w:autoSpaceDE/>
        <w:autoSpaceDN/>
        <w:bidi w:val="0"/>
        <w:spacing w:line="480" w:lineRule="exact"/>
        <w:jc w:val="center"/>
        <w:rPr>
          <w:rFonts w:hint="eastAsia" w:ascii="宋体" w:hAnsi="宋体" w:eastAsia="宋体" w:cs="宋体"/>
          <w:b/>
          <w:color w:val="auto"/>
          <w:sz w:val="28"/>
          <w:szCs w:val="28"/>
          <w:highlight w:val="none"/>
        </w:rPr>
      </w:pPr>
      <w:bookmarkStart w:id="27" w:name="_Toc450138941"/>
      <w:bookmarkStart w:id="28" w:name="_Toc449368376"/>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eastAsia="zh-CN"/>
        </w:rPr>
        <w:t>四</w:t>
      </w:r>
      <w:r>
        <w:rPr>
          <w:rFonts w:hint="eastAsia" w:ascii="宋体" w:hAnsi="宋体" w:eastAsia="宋体" w:cs="宋体"/>
          <w:b/>
          <w:color w:val="auto"/>
          <w:sz w:val="28"/>
          <w:szCs w:val="28"/>
          <w:highlight w:val="none"/>
        </w:rPr>
        <w:t>）评标办法和评审标准</w:t>
      </w:r>
    </w:p>
    <w:bookmarkEnd w:id="27"/>
    <w:bookmarkEnd w:id="28"/>
    <w:p w14:paraId="619D361F">
      <w:pPr>
        <w:keepNext w:val="0"/>
        <w:keepLines w:val="0"/>
        <w:pageBreakBefore w:val="0"/>
        <w:kinsoku/>
        <w:wordWrap/>
        <w:overflowPunct/>
        <w:topLinePunct w:val="0"/>
        <w:autoSpaceDE/>
        <w:autoSpaceDN/>
        <w:bidi w:val="0"/>
        <w:spacing w:line="48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
          <w:color w:val="auto"/>
          <w:sz w:val="21"/>
          <w:szCs w:val="21"/>
          <w:highlight w:val="none"/>
        </w:rPr>
        <w:t>、评标原则</w:t>
      </w:r>
    </w:p>
    <w:p w14:paraId="5215C5D0">
      <w:pPr>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（1）公平、公正、科学择优；</w:t>
      </w:r>
    </w:p>
    <w:p w14:paraId="52B22306">
      <w:pPr>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（2）质量符合国家各项规定规范标准，</w:t>
      </w:r>
      <w:r>
        <w:rPr>
          <w:rFonts w:hint="eastAsia" w:ascii="宋体" w:hAnsi="宋体" w:eastAsia="宋体" w:cs="宋体"/>
          <w:color w:val="auto"/>
          <w:sz w:val="21"/>
          <w:szCs w:val="21"/>
          <w:highlight w:val="none"/>
          <w:lang w:eastAsia="zh-CN"/>
        </w:rPr>
        <w:t>工期</w:t>
      </w: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要求，项目实施方案合理可行；</w:t>
      </w:r>
    </w:p>
    <w:p w14:paraId="24F83169">
      <w:pPr>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（3）报价为合理低价，且不低于成本价；本项目不保证最低投标报价人</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w:t>
      </w:r>
    </w:p>
    <w:p w14:paraId="4B542E51">
      <w:pPr>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（4）禁止不正当竞争。</w:t>
      </w:r>
    </w:p>
    <w:p w14:paraId="1B8A5167">
      <w:pPr>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1.评分内容及步骤</w:t>
      </w:r>
    </w:p>
    <w:p w14:paraId="09EE9D66">
      <w:pPr>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1）评审内容：</w:t>
      </w:r>
    </w:p>
    <w:p w14:paraId="550CCE49">
      <w:pPr>
        <w:keepNext w:val="0"/>
        <w:keepLines w:val="0"/>
        <w:pageBreakBefore w:val="0"/>
        <w:kinsoku/>
        <w:wordWrap/>
        <w:overflowPunct/>
        <w:topLinePunct w:val="0"/>
        <w:autoSpaceDE/>
        <w:autoSpaceDN/>
        <w:bidi w:val="0"/>
        <w:spacing w:line="480" w:lineRule="exact"/>
        <w:ind w:firstLine="422" w:firstLineChars="200"/>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a.资格性审查:</w:t>
      </w:r>
    </w:p>
    <w:tbl>
      <w:tblPr>
        <w:tblStyle w:val="23"/>
        <w:tblpPr w:leftFromText="180" w:rightFromText="180" w:vertAnchor="text" w:horzAnchor="page" w:tblpXSpec="center" w:tblpY="179"/>
        <w:tblOverlap w:val="never"/>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6429"/>
        <w:gridCol w:w="1575"/>
      </w:tblGrid>
      <w:tr w14:paraId="1A2A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65" w:type="dxa"/>
            <w:vAlign w:val="center"/>
          </w:tcPr>
          <w:p w14:paraId="085E338C">
            <w:pPr>
              <w:pStyle w:val="11"/>
              <w:keepNext w:val="0"/>
              <w:keepLines w:val="0"/>
              <w:pageBreakBefore w:val="0"/>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6429" w:type="dxa"/>
            <w:vAlign w:val="center"/>
          </w:tcPr>
          <w:p w14:paraId="1B33C8E3">
            <w:pPr>
              <w:pStyle w:val="11"/>
              <w:keepNext w:val="0"/>
              <w:keepLines w:val="0"/>
              <w:pageBreakBefore w:val="0"/>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审查内容</w:t>
            </w:r>
          </w:p>
        </w:tc>
        <w:tc>
          <w:tcPr>
            <w:tcW w:w="1575" w:type="dxa"/>
            <w:vAlign w:val="center"/>
          </w:tcPr>
          <w:p w14:paraId="6E5DCE56">
            <w:pPr>
              <w:pStyle w:val="11"/>
              <w:keepNext w:val="0"/>
              <w:keepLines w:val="0"/>
              <w:pageBreakBefore w:val="0"/>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审查标准</w:t>
            </w:r>
          </w:p>
        </w:tc>
      </w:tr>
      <w:tr w14:paraId="05D9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Align w:val="center"/>
          </w:tcPr>
          <w:p w14:paraId="4E7E570C">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6429" w:type="dxa"/>
            <w:vAlign w:val="center"/>
          </w:tcPr>
          <w:p w14:paraId="49FA11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baseline"/>
              <w:rPr>
                <w:rFonts w:hint="eastAsia" w:ascii="宋体" w:hAnsi="宋体" w:eastAsia="宋体" w:cs="宋体"/>
                <w:color w:val="auto"/>
                <w:kern w:val="2"/>
                <w:sz w:val="21"/>
                <w:szCs w:val="21"/>
                <w:highlight w:val="none"/>
                <w:u w:val="none" w:color="000000"/>
                <w:lang w:val="en-US" w:eastAsia="zh-CN" w:bidi="ar-SA"/>
              </w:rPr>
            </w:pPr>
            <w:r>
              <w:rPr>
                <w:rFonts w:hint="eastAsia" w:asciiTheme="minorEastAsia" w:hAnsiTheme="minorEastAsia" w:eastAsiaTheme="minorEastAsia" w:cstheme="minorEastAsia"/>
                <w:color w:val="auto"/>
                <w:kern w:val="2"/>
                <w:sz w:val="21"/>
                <w:szCs w:val="21"/>
                <w:highlight w:val="none"/>
              </w:rPr>
              <w:t>满足《中华人民共和国政府采购法》第二十二条规定;</w:t>
            </w:r>
          </w:p>
        </w:tc>
        <w:tc>
          <w:tcPr>
            <w:tcW w:w="1575" w:type="dxa"/>
            <w:vAlign w:val="center"/>
          </w:tcPr>
          <w:p w14:paraId="2DA5174F">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提供承诺函</w:t>
            </w:r>
          </w:p>
          <w:p w14:paraId="342D09FC">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合格有效</w:t>
            </w:r>
          </w:p>
        </w:tc>
      </w:tr>
      <w:tr w14:paraId="553D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65" w:type="dxa"/>
            <w:vAlign w:val="center"/>
          </w:tcPr>
          <w:p w14:paraId="157C1CEE">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6429" w:type="dxa"/>
            <w:vAlign w:val="center"/>
          </w:tcPr>
          <w:p w14:paraId="261FB4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baseline"/>
              <w:rPr>
                <w:rFonts w:hint="eastAsia" w:ascii="宋体" w:hAnsi="宋体" w:eastAsia="宋体" w:cs="宋体"/>
                <w:color w:val="auto"/>
                <w:kern w:val="2"/>
                <w:sz w:val="21"/>
                <w:szCs w:val="21"/>
                <w:highlight w:val="none"/>
                <w:u w:val="none" w:color="000000"/>
                <w:lang w:val="en-US" w:eastAsia="zh-CN" w:bidi="ar-SA"/>
              </w:rPr>
            </w:pPr>
            <w:r>
              <w:rPr>
                <w:rFonts w:hint="eastAsia" w:asciiTheme="minorEastAsia" w:hAnsiTheme="minorEastAsia" w:eastAsiaTheme="minorEastAsia" w:cstheme="minorEastAsia"/>
                <w:color w:val="auto"/>
                <w:kern w:val="2"/>
                <w:sz w:val="21"/>
                <w:szCs w:val="21"/>
                <w:highlight w:val="none"/>
              </w:rPr>
              <w:t>本项目专门面向中小企业采购。</w:t>
            </w:r>
          </w:p>
        </w:tc>
        <w:tc>
          <w:tcPr>
            <w:tcW w:w="1575" w:type="dxa"/>
            <w:vAlign w:val="center"/>
          </w:tcPr>
          <w:p w14:paraId="172739F8">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中小企业声明函合格有效</w:t>
            </w:r>
          </w:p>
        </w:tc>
      </w:tr>
      <w:tr w14:paraId="7D95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65" w:type="dxa"/>
            <w:vAlign w:val="center"/>
          </w:tcPr>
          <w:p w14:paraId="5205C482">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p>
        </w:tc>
        <w:tc>
          <w:tcPr>
            <w:tcW w:w="6429" w:type="dxa"/>
            <w:vAlign w:val="center"/>
          </w:tcPr>
          <w:p w14:paraId="6AEB35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kern w:val="2"/>
                <w:szCs w:val="22"/>
                <w:highlight w:val="none"/>
              </w:rPr>
              <w:t>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tc>
        <w:tc>
          <w:tcPr>
            <w:tcW w:w="1575" w:type="dxa"/>
            <w:vAlign w:val="center"/>
          </w:tcPr>
          <w:p w14:paraId="1D91229B">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证书合格有效</w:t>
            </w:r>
          </w:p>
        </w:tc>
      </w:tr>
      <w:tr w14:paraId="286D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65" w:type="dxa"/>
            <w:vAlign w:val="center"/>
          </w:tcPr>
          <w:p w14:paraId="154D2484">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6429" w:type="dxa"/>
            <w:vAlign w:val="center"/>
          </w:tcPr>
          <w:p w14:paraId="2B29AD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textAlignment w:val="baseline"/>
              <w:rPr>
                <w:rFonts w:hint="eastAsia" w:ascii="宋体" w:hAnsi="宋体" w:eastAsia="宋体" w:cs="宋体"/>
                <w:color w:val="auto"/>
                <w:kern w:val="2"/>
                <w:sz w:val="21"/>
                <w:szCs w:val="21"/>
                <w:highlight w:val="none"/>
                <w:lang w:val="en-US" w:eastAsia="zh-CN" w:bidi="ar-SA"/>
              </w:rPr>
            </w:pPr>
            <w:r>
              <w:rPr>
                <w:rFonts w:hint="eastAsia"/>
                <w:color w:val="auto"/>
                <w:kern w:val="2"/>
                <w:szCs w:val="22"/>
                <w:highlight w:val="none"/>
              </w:rPr>
              <w:t>供应商须具备水利水电工程施工总承包三级(含三级)及以上资质，具有有效的安全生产许可证；</w:t>
            </w:r>
          </w:p>
        </w:tc>
        <w:tc>
          <w:tcPr>
            <w:tcW w:w="1575" w:type="dxa"/>
            <w:vAlign w:val="center"/>
          </w:tcPr>
          <w:p w14:paraId="5086AE69">
            <w:pPr>
              <w:keepNext w:val="0"/>
              <w:keepLines w:val="0"/>
              <w:pageBreakBefore w:val="0"/>
              <w:widowControl/>
              <w:numPr>
                <w:ilvl w:val="0"/>
                <w:numId w:val="0"/>
              </w:numPr>
              <w:suppressLineNumbers w:val="0"/>
              <w:wordWrap/>
              <w:overflowPunct/>
              <w:topLinePunct/>
              <w:bidi w:val="0"/>
              <w:spacing w:before="12" w:beforeLines="5" w:beforeAutospacing="0" w:after="12" w:afterLines="5"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证书合格有效</w:t>
            </w:r>
          </w:p>
        </w:tc>
      </w:tr>
      <w:tr w14:paraId="3204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65" w:type="dxa"/>
            <w:vAlign w:val="center"/>
          </w:tcPr>
          <w:p w14:paraId="5021EACB">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w:t>
            </w:r>
          </w:p>
        </w:tc>
        <w:tc>
          <w:tcPr>
            <w:tcW w:w="6429" w:type="dxa"/>
            <w:vAlign w:val="center"/>
          </w:tcPr>
          <w:p w14:paraId="344B2C1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textAlignment w:val="baseline"/>
              <w:rPr>
                <w:rFonts w:hint="eastAsia" w:ascii="宋体" w:hAnsi="宋体" w:eastAsia="宋体" w:cs="宋体"/>
                <w:color w:val="auto"/>
                <w:kern w:val="2"/>
                <w:sz w:val="21"/>
                <w:szCs w:val="21"/>
                <w:highlight w:val="none"/>
                <w:lang w:val="en-US" w:eastAsia="zh-CN" w:bidi="ar-SA"/>
              </w:rPr>
            </w:pPr>
            <w:r>
              <w:rPr>
                <w:rFonts w:hint="eastAsia"/>
                <w:color w:val="auto"/>
                <w:kern w:val="2"/>
                <w:szCs w:val="22"/>
                <w:highlight w:val="none"/>
              </w:rPr>
              <w:t>拟派项目经理须具备水利水电工程专业二级及以上注册建造师资格，并具备有效的安全生产考核合格证书，在本单位注册，无在建项目；</w:t>
            </w:r>
          </w:p>
        </w:tc>
        <w:tc>
          <w:tcPr>
            <w:tcW w:w="1575" w:type="dxa"/>
            <w:vAlign w:val="center"/>
          </w:tcPr>
          <w:p w14:paraId="33639686">
            <w:pPr>
              <w:keepNext w:val="0"/>
              <w:keepLines w:val="0"/>
              <w:pageBreakBefore w:val="0"/>
              <w:widowControl/>
              <w:numPr>
                <w:ilvl w:val="0"/>
                <w:numId w:val="0"/>
              </w:numPr>
              <w:suppressLineNumbers w:val="0"/>
              <w:wordWrap/>
              <w:overflowPunct/>
              <w:topLinePunct/>
              <w:bidi w:val="0"/>
              <w:spacing w:before="12" w:beforeLines="5" w:beforeAutospacing="0" w:after="12" w:afterLines="5"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证书合格有效</w:t>
            </w:r>
          </w:p>
        </w:tc>
      </w:tr>
      <w:tr w14:paraId="43AF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65" w:type="dxa"/>
            <w:vAlign w:val="center"/>
          </w:tcPr>
          <w:p w14:paraId="0163A0B6">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w:t>
            </w:r>
          </w:p>
        </w:tc>
        <w:tc>
          <w:tcPr>
            <w:tcW w:w="6429" w:type="dxa"/>
            <w:vAlign w:val="center"/>
          </w:tcPr>
          <w:p w14:paraId="4DFE1D1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textAlignment w:val="baseline"/>
              <w:rPr>
                <w:rFonts w:hint="eastAsia" w:ascii="宋体" w:hAnsi="宋体" w:eastAsia="宋体" w:cs="宋体"/>
                <w:color w:val="auto"/>
                <w:kern w:val="2"/>
                <w:sz w:val="21"/>
                <w:szCs w:val="21"/>
                <w:highlight w:val="none"/>
                <w:lang w:val="en-US" w:eastAsia="zh-CN" w:bidi="ar-SA"/>
              </w:rPr>
            </w:pPr>
            <w:r>
              <w:rPr>
                <w:rFonts w:hint="eastAsia"/>
                <w:color w:val="auto"/>
                <w:kern w:val="2"/>
                <w:szCs w:val="22"/>
                <w:highlight w:val="none"/>
              </w:rPr>
              <w:t>供应商基本信息要求：供应商资质基本信息及项目经理（注册建造师）执业基本信息应在“陕西省住房和城乡建设厅（http://js.shaanxi.gov.cn/）”相关平台可查询；</w:t>
            </w:r>
          </w:p>
        </w:tc>
        <w:tc>
          <w:tcPr>
            <w:tcW w:w="1575" w:type="dxa"/>
            <w:vAlign w:val="center"/>
          </w:tcPr>
          <w:p w14:paraId="41AE2CDC">
            <w:pPr>
              <w:keepNext w:val="0"/>
              <w:keepLines w:val="0"/>
              <w:pageBreakBefore w:val="0"/>
              <w:widowControl/>
              <w:numPr>
                <w:ilvl w:val="0"/>
                <w:numId w:val="0"/>
              </w:numPr>
              <w:suppressLineNumbers w:val="0"/>
              <w:wordWrap/>
              <w:overflowPunct/>
              <w:topLinePunct/>
              <w:bidi w:val="0"/>
              <w:spacing w:before="12" w:beforeLines="5" w:beforeAutospacing="0" w:after="12" w:afterLines="5"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合格有效</w:t>
            </w:r>
          </w:p>
        </w:tc>
      </w:tr>
      <w:tr w14:paraId="4934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65" w:type="dxa"/>
            <w:vAlign w:val="center"/>
          </w:tcPr>
          <w:p w14:paraId="11313A48">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7</w:t>
            </w:r>
          </w:p>
        </w:tc>
        <w:tc>
          <w:tcPr>
            <w:tcW w:w="6429" w:type="dxa"/>
            <w:vAlign w:val="center"/>
          </w:tcPr>
          <w:p w14:paraId="59BDEE3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textAlignment w:val="baseline"/>
              <w:rPr>
                <w:rFonts w:hint="eastAsia" w:ascii="宋体" w:hAnsi="宋体" w:eastAsia="宋体" w:cs="宋体"/>
                <w:color w:val="auto"/>
                <w:kern w:val="2"/>
                <w:sz w:val="21"/>
                <w:szCs w:val="21"/>
                <w:highlight w:val="none"/>
                <w:lang w:val="en-US" w:eastAsia="zh-CN" w:bidi="ar-SA"/>
              </w:rPr>
            </w:pPr>
            <w:r>
              <w:rPr>
                <w:rFonts w:hint="eastAsia"/>
                <w:color w:val="auto"/>
                <w:kern w:val="2"/>
                <w:szCs w:val="22"/>
                <w:highlight w:val="none"/>
              </w:rPr>
              <w:t>提供2024年度经审计的财务报告，或提交自2025年06月01日以来其基本开户银行出具的资信证明，或信用担保机构出具的投标担保函（以上三种形式的资料提供任何一种即可）；其他组织和自然人提供银行出具的资信证明或财务报表；</w:t>
            </w:r>
          </w:p>
        </w:tc>
        <w:tc>
          <w:tcPr>
            <w:tcW w:w="1575" w:type="dxa"/>
            <w:vAlign w:val="center"/>
          </w:tcPr>
          <w:p w14:paraId="08DF958E">
            <w:pPr>
              <w:keepNext w:val="0"/>
              <w:keepLines w:val="0"/>
              <w:pageBreakBefore w:val="0"/>
              <w:widowControl/>
              <w:numPr>
                <w:ilvl w:val="0"/>
                <w:numId w:val="0"/>
              </w:numPr>
              <w:suppressLineNumbers w:val="0"/>
              <w:wordWrap/>
              <w:overflowPunct/>
              <w:topLinePunct/>
              <w:bidi w:val="0"/>
              <w:spacing w:before="12" w:beforeLines="5" w:beforeAutospacing="0" w:after="12" w:afterLines="5"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合格有效</w:t>
            </w:r>
          </w:p>
        </w:tc>
      </w:tr>
      <w:tr w14:paraId="3DE1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Align w:val="center"/>
          </w:tcPr>
          <w:p w14:paraId="5378FA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b w:val="0"/>
                <w:bCs/>
                <w:color w:val="auto"/>
                <w:kern w:val="2"/>
                <w:sz w:val="21"/>
                <w:szCs w:val="21"/>
                <w:highlight w:val="none"/>
                <w:lang w:val="en-US" w:eastAsia="zh-CN"/>
              </w:rPr>
            </w:pPr>
            <w:r>
              <w:rPr>
                <w:rFonts w:hint="eastAsia" w:ascii="宋体" w:hAnsi="宋体" w:cs="宋体"/>
                <w:b w:val="0"/>
                <w:bCs/>
                <w:color w:val="auto"/>
                <w:kern w:val="2"/>
                <w:sz w:val="21"/>
                <w:szCs w:val="21"/>
                <w:highlight w:val="none"/>
                <w:lang w:val="en-US" w:eastAsia="zh-CN"/>
              </w:rPr>
              <w:t>8</w:t>
            </w:r>
          </w:p>
        </w:tc>
        <w:tc>
          <w:tcPr>
            <w:tcW w:w="6429" w:type="dxa"/>
            <w:vAlign w:val="center"/>
          </w:tcPr>
          <w:p w14:paraId="55AE43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textAlignment w:val="baseline"/>
              <w:rPr>
                <w:rFonts w:hint="eastAsia" w:ascii="宋体" w:hAnsi="宋体" w:eastAsia="宋体" w:cs="宋体"/>
                <w:color w:val="auto"/>
                <w:kern w:val="2"/>
                <w:sz w:val="21"/>
                <w:szCs w:val="21"/>
                <w:highlight w:val="none"/>
                <w:lang w:val="en-US" w:eastAsia="zh-CN" w:bidi="ar-SA"/>
              </w:rPr>
            </w:pPr>
            <w:r>
              <w:rPr>
                <w:rFonts w:hint="eastAsia"/>
                <w:color w:val="auto"/>
                <w:kern w:val="2"/>
                <w:szCs w:val="22"/>
                <w:highlight w:val="none"/>
              </w:rPr>
              <w:t>提供供应商2025年至今任意一个月已缴纳的完税凭证或税务机关开具的完税证明（任意税种），依法免税的单位应提供相关证明材料；</w:t>
            </w:r>
          </w:p>
        </w:tc>
        <w:tc>
          <w:tcPr>
            <w:tcW w:w="1575" w:type="dxa"/>
            <w:vAlign w:val="center"/>
          </w:tcPr>
          <w:p w14:paraId="1997E6D3">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合格有效</w:t>
            </w:r>
          </w:p>
        </w:tc>
      </w:tr>
      <w:tr w14:paraId="4D3A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Align w:val="center"/>
          </w:tcPr>
          <w:p w14:paraId="60B2E477">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9</w:t>
            </w:r>
          </w:p>
        </w:tc>
        <w:tc>
          <w:tcPr>
            <w:tcW w:w="6429" w:type="dxa"/>
            <w:vAlign w:val="center"/>
          </w:tcPr>
          <w:p w14:paraId="14990BB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textAlignment w:val="baseline"/>
              <w:rPr>
                <w:rFonts w:hint="eastAsia" w:ascii="宋体" w:hAnsi="宋体" w:eastAsia="宋体" w:cs="宋体"/>
                <w:color w:val="auto"/>
                <w:kern w:val="2"/>
                <w:sz w:val="21"/>
                <w:szCs w:val="21"/>
                <w:highlight w:val="none"/>
                <w:lang w:val="en-US" w:eastAsia="zh-CN" w:bidi="ar-SA"/>
              </w:rPr>
            </w:pPr>
            <w:r>
              <w:rPr>
                <w:rFonts w:hint="eastAsia"/>
                <w:color w:val="auto"/>
                <w:kern w:val="2"/>
                <w:szCs w:val="22"/>
                <w:highlight w:val="none"/>
              </w:rPr>
              <w:t>提供供应商2025年至今任意一个月的社会保障资金缴存单据或社保机构开具的社会保险参保缴费情况证明。依法不需要缴纳社会保障资金的供应商应提供相关证明文件；</w:t>
            </w:r>
          </w:p>
        </w:tc>
        <w:tc>
          <w:tcPr>
            <w:tcW w:w="1575" w:type="dxa"/>
            <w:vAlign w:val="center"/>
          </w:tcPr>
          <w:p w14:paraId="3C087AF2">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合格有效</w:t>
            </w:r>
          </w:p>
        </w:tc>
      </w:tr>
      <w:tr w14:paraId="1D01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Align w:val="center"/>
          </w:tcPr>
          <w:p w14:paraId="68BEBC04">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w:t>
            </w:r>
          </w:p>
        </w:tc>
        <w:tc>
          <w:tcPr>
            <w:tcW w:w="6429" w:type="dxa"/>
            <w:vAlign w:val="center"/>
          </w:tcPr>
          <w:p w14:paraId="37A3E6C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textAlignment w:val="baseline"/>
              <w:rPr>
                <w:rFonts w:hint="eastAsia" w:ascii="宋体" w:hAnsi="宋体" w:eastAsia="宋体" w:cs="宋体"/>
                <w:color w:val="auto"/>
                <w:kern w:val="2"/>
                <w:sz w:val="21"/>
                <w:szCs w:val="21"/>
                <w:highlight w:val="none"/>
                <w:lang w:val="en-US" w:eastAsia="zh-CN" w:bidi="ar-SA"/>
              </w:rPr>
            </w:pPr>
            <w:r>
              <w:rPr>
                <w:rFonts w:hint="eastAsia"/>
                <w:color w:val="auto"/>
                <w:kern w:val="2"/>
                <w:szCs w:val="22"/>
                <w:highlight w:val="none"/>
              </w:rPr>
              <w:t>提供具有履行本合同所必需的设备和专业技术能力的声明；</w:t>
            </w:r>
          </w:p>
        </w:tc>
        <w:tc>
          <w:tcPr>
            <w:tcW w:w="1575" w:type="dxa"/>
            <w:vAlign w:val="center"/>
          </w:tcPr>
          <w:p w14:paraId="7C5651F9">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合格有效</w:t>
            </w:r>
          </w:p>
        </w:tc>
      </w:tr>
      <w:tr w14:paraId="6376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Align w:val="center"/>
          </w:tcPr>
          <w:p w14:paraId="37036D0F">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11</w:t>
            </w:r>
          </w:p>
        </w:tc>
        <w:tc>
          <w:tcPr>
            <w:tcW w:w="6429" w:type="dxa"/>
            <w:vAlign w:val="center"/>
          </w:tcPr>
          <w:p w14:paraId="1250830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textAlignment w:val="baseline"/>
              <w:rPr>
                <w:rFonts w:hint="eastAsia" w:ascii="宋体" w:hAnsi="宋体" w:eastAsia="宋体" w:cs="宋体"/>
                <w:color w:val="auto"/>
                <w:kern w:val="2"/>
                <w:sz w:val="21"/>
                <w:szCs w:val="21"/>
                <w:highlight w:val="none"/>
                <w:lang w:val="en-US" w:eastAsia="zh-CN" w:bidi="ar-SA"/>
              </w:rPr>
            </w:pPr>
            <w:r>
              <w:rPr>
                <w:rFonts w:hint="eastAsia"/>
                <w:color w:val="auto"/>
                <w:kern w:val="2"/>
                <w:szCs w:val="22"/>
                <w:highlight w:val="none"/>
              </w:rPr>
              <w:t>出具参加政府采购活动前3年内在经营活动中没有重大违法记录的书面声明；</w:t>
            </w:r>
          </w:p>
        </w:tc>
        <w:tc>
          <w:tcPr>
            <w:tcW w:w="1575" w:type="dxa"/>
            <w:vAlign w:val="center"/>
          </w:tcPr>
          <w:p w14:paraId="3C272AC9">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合格有效</w:t>
            </w:r>
          </w:p>
        </w:tc>
      </w:tr>
      <w:tr w14:paraId="2A47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Align w:val="center"/>
          </w:tcPr>
          <w:p w14:paraId="6972BC75">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12</w:t>
            </w:r>
          </w:p>
        </w:tc>
        <w:tc>
          <w:tcPr>
            <w:tcW w:w="6429" w:type="dxa"/>
            <w:vAlign w:val="center"/>
          </w:tcPr>
          <w:p w14:paraId="42A0E23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textAlignment w:val="baseline"/>
              <w:rPr>
                <w:rFonts w:hint="eastAsia" w:ascii="宋体" w:hAnsi="宋体" w:eastAsia="宋体" w:cs="宋体"/>
                <w:color w:val="auto"/>
                <w:kern w:val="2"/>
                <w:sz w:val="21"/>
                <w:szCs w:val="21"/>
                <w:highlight w:val="none"/>
                <w:lang w:val="en-US" w:eastAsia="zh-CN" w:bidi="ar-SA"/>
              </w:rPr>
            </w:pPr>
            <w:r>
              <w:rPr>
                <w:rFonts w:hint="eastAsia"/>
                <w:color w:val="auto"/>
                <w:kern w:val="2"/>
                <w:szCs w:val="22"/>
                <w:highlight w:val="none"/>
              </w:rPr>
              <w:t>法定代表人授权书及被授权人身份证(法定代表人直接参加投标，须提交其身份证复印件及法定代表人身份证明)；</w:t>
            </w:r>
          </w:p>
        </w:tc>
        <w:tc>
          <w:tcPr>
            <w:tcW w:w="1575" w:type="dxa"/>
            <w:vAlign w:val="center"/>
          </w:tcPr>
          <w:p w14:paraId="5E32FDD4">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合格有效</w:t>
            </w:r>
          </w:p>
        </w:tc>
      </w:tr>
      <w:tr w14:paraId="4B50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Align w:val="center"/>
          </w:tcPr>
          <w:p w14:paraId="1060AAC6">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13</w:t>
            </w:r>
          </w:p>
        </w:tc>
        <w:tc>
          <w:tcPr>
            <w:tcW w:w="6429" w:type="dxa"/>
            <w:vAlign w:val="center"/>
          </w:tcPr>
          <w:p w14:paraId="3E75B24A">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left"/>
              <w:rPr>
                <w:rFonts w:hint="eastAsia" w:ascii="宋体" w:hAnsi="宋体" w:cs="宋体"/>
                <w:color w:val="auto"/>
                <w:kern w:val="2"/>
                <w:sz w:val="21"/>
                <w:szCs w:val="21"/>
                <w:highlight w:val="none"/>
                <w:lang w:val="en-US" w:eastAsia="zh-CN" w:bidi="ar-SA"/>
              </w:rPr>
            </w:pPr>
            <w:r>
              <w:rPr>
                <w:rFonts w:hint="eastAsia"/>
                <w:color w:val="auto"/>
                <w:kern w:val="2"/>
                <w:szCs w:val="22"/>
                <w:highlight w:val="none"/>
              </w:rPr>
              <w:t>供应商不得为“信用中国”网站(www.creditchina.gov.cn) 中列入重大税收违法失信主体、供应商不得为中国执行信息公开网（http://zxgk.court.gov.cn/shixin/）中列入失信被执行人名单、不得为“中国政府采购网”（www.ccgp.gov.cn）政府采购严重违法失信行为记录名单中被财政部门禁止参加政府采购活动的供应商（处罚期限届满的除外，如相关失信记录已失效，供应商需提供相关证明资料）；</w:t>
            </w:r>
          </w:p>
        </w:tc>
        <w:tc>
          <w:tcPr>
            <w:tcW w:w="1575" w:type="dxa"/>
            <w:vAlign w:val="center"/>
          </w:tcPr>
          <w:p w14:paraId="26E1BD15">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合格有效</w:t>
            </w:r>
          </w:p>
        </w:tc>
      </w:tr>
      <w:tr w14:paraId="4DED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Align w:val="center"/>
          </w:tcPr>
          <w:p w14:paraId="41E39E27">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14</w:t>
            </w:r>
          </w:p>
        </w:tc>
        <w:tc>
          <w:tcPr>
            <w:tcW w:w="6429" w:type="dxa"/>
            <w:vAlign w:val="center"/>
          </w:tcPr>
          <w:p w14:paraId="28957C09">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left"/>
              <w:rPr>
                <w:rFonts w:hint="eastAsia" w:ascii="宋体" w:hAnsi="宋体" w:cs="宋体"/>
                <w:color w:val="auto"/>
                <w:kern w:val="2"/>
                <w:sz w:val="21"/>
                <w:szCs w:val="21"/>
                <w:highlight w:val="none"/>
                <w:lang w:val="en-US" w:eastAsia="zh-CN" w:bidi="ar-SA"/>
              </w:rPr>
            </w:pPr>
            <w:r>
              <w:rPr>
                <w:rFonts w:hint="eastAsia"/>
                <w:color w:val="auto"/>
                <w:kern w:val="2"/>
                <w:szCs w:val="22"/>
                <w:highlight w:val="none"/>
              </w:rPr>
              <w:t>本项目不接受联合体投标。</w:t>
            </w:r>
          </w:p>
        </w:tc>
        <w:tc>
          <w:tcPr>
            <w:tcW w:w="1575" w:type="dxa"/>
            <w:vAlign w:val="center"/>
          </w:tcPr>
          <w:p w14:paraId="7AE2175C">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合格有效</w:t>
            </w:r>
          </w:p>
        </w:tc>
      </w:tr>
    </w:tbl>
    <w:p w14:paraId="548B550B">
      <w:pPr>
        <w:keepNext w:val="0"/>
        <w:keepLines w:val="0"/>
        <w:pageBreakBefore w:val="0"/>
        <w:kinsoku/>
        <w:wordWrap/>
        <w:overflowPunct/>
        <w:topLinePunct w:val="0"/>
        <w:autoSpaceDE/>
        <w:autoSpaceDN/>
        <w:bidi w:val="0"/>
        <w:spacing w:line="480" w:lineRule="exact"/>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注：开标后，采购人按照磋商文件规定的资格条件对供应商进行资格审查，审查合格的供应商方可进入下一评审阶段。缺项或一项不符合要求即不合格，不合格的供应商其磋商响应无效。</w:t>
      </w:r>
    </w:p>
    <w:p w14:paraId="04253ADC">
      <w:pPr>
        <w:keepNext w:val="0"/>
        <w:keepLines w:val="0"/>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b.</w:t>
      </w:r>
      <w:r>
        <w:rPr>
          <w:rFonts w:hint="eastAsia" w:ascii="宋体" w:hAnsi="宋体" w:eastAsia="宋体" w:cs="宋体"/>
          <w:b/>
          <w:bCs/>
          <w:color w:val="auto"/>
          <w:sz w:val="21"/>
          <w:szCs w:val="21"/>
          <w:highlight w:val="none"/>
        </w:rPr>
        <w:t>符合性及有效性审查</w:t>
      </w:r>
      <w:r>
        <w:rPr>
          <w:rFonts w:hint="eastAsia" w:ascii="宋体" w:hAnsi="宋体" w:cs="宋体"/>
          <w:b/>
          <w:bCs/>
          <w:color w:val="auto"/>
          <w:sz w:val="21"/>
          <w:szCs w:val="21"/>
          <w:highlight w:val="none"/>
          <w:lang w:val="en-US" w:eastAsia="zh-CN"/>
        </w:rPr>
        <w:t>:</w:t>
      </w:r>
    </w:p>
    <w:tbl>
      <w:tblPr>
        <w:tblStyle w:val="23"/>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34"/>
        <w:gridCol w:w="6029"/>
      </w:tblGrid>
      <w:tr w14:paraId="09F8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780" w:type="dxa"/>
            <w:noWrap w:val="0"/>
            <w:vAlign w:val="center"/>
          </w:tcPr>
          <w:p w14:paraId="61E086EB">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序号</w:t>
            </w:r>
          </w:p>
        </w:tc>
        <w:tc>
          <w:tcPr>
            <w:tcW w:w="2134" w:type="dxa"/>
            <w:noWrap w:val="0"/>
            <w:vAlign w:val="center"/>
          </w:tcPr>
          <w:p w14:paraId="21144A76">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评审因素</w:t>
            </w:r>
          </w:p>
        </w:tc>
        <w:tc>
          <w:tcPr>
            <w:tcW w:w="6029" w:type="dxa"/>
            <w:noWrap w:val="0"/>
            <w:vAlign w:val="center"/>
          </w:tcPr>
          <w:p w14:paraId="4A7F8814">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评审标准</w:t>
            </w:r>
          </w:p>
        </w:tc>
      </w:tr>
      <w:tr w14:paraId="4225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80" w:type="dxa"/>
            <w:noWrap w:val="0"/>
            <w:vAlign w:val="center"/>
          </w:tcPr>
          <w:p w14:paraId="0BD68FEB">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2134" w:type="dxa"/>
            <w:noWrap w:val="0"/>
            <w:vAlign w:val="center"/>
          </w:tcPr>
          <w:p w14:paraId="362F9E79">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Cs w:val="21"/>
                <w:highlight w:val="none"/>
              </w:rPr>
              <w:t>竞争性磋商</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rPr>
              <w:t>文件的签署盖章</w:t>
            </w:r>
          </w:p>
        </w:tc>
        <w:tc>
          <w:tcPr>
            <w:tcW w:w="6029" w:type="dxa"/>
            <w:noWrap w:val="0"/>
            <w:vAlign w:val="center"/>
          </w:tcPr>
          <w:p w14:paraId="2BCBE05F">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竞争性磋商响应文件</w:t>
            </w:r>
            <w:r>
              <w:rPr>
                <w:rFonts w:hint="eastAsia" w:ascii="宋体" w:hAnsi="宋体" w:eastAsia="宋体" w:cs="宋体"/>
                <w:color w:val="auto"/>
                <w:kern w:val="2"/>
                <w:sz w:val="21"/>
                <w:szCs w:val="21"/>
                <w:highlight w:val="none"/>
              </w:rPr>
              <w:t>按照</w:t>
            </w:r>
            <w:r>
              <w:rPr>
                <w:rFonts w:hint="eastAsia" w:ascii="宋体" w:hAnsi="宋体" w:eastAsia="宋体" w:cs="宋体"/>
                <w:color w:val="auto"/>
                <w:kern w:val="2"/>
                <w:sz w:val="21"/>
                <w:szCs w:val="21"/>
                <w:highlight w:val="none"/>
                <w:lang w:eastAsia="zh-CN"/>
              </w:rPr>
              <w:t>竞争性磋商文件</w:t>
            </w:r>
            <w:r>
              <w:rPr>
                <w:rFonts w:hint="eastAsia" w:ascii="宋体" w:hAnsi="宋体" w:eastAsia="宋体" w:cs="宋体"/>
                <w:color w:val="auto"/>
                <w:kern w:val="2"/>
                <w:sz w:val="21"/>
                <w:szCs w:val="21"/>
                <w:highlight w:val="none"/>
              </w:rPr>
              <w:t>规定盖章签字齐全</w:t>
            </w:r>
          </w:p>
        </w:tc>
      </w:tr>
      <w:tr w14:paraId="51F2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80" w:type="dxa"/>
            <w:noWrap w:val="0"/>
            <w:vAlign w:val="center"/>
          </w:tcPr>
          <w:p w14:paraId="3D39CB21">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2134" w:type="dxa"/>
            <w:noWrap w:val="0"/>
            <w:vAlign w:val="center"/>
          </w:tcPr>
          <w:p w14:paraId="3E053775">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Cs w:val="21"/>
                <w:highlight w:val="none"/>
              </w:rPr>
              <w:t>竞争性磋商</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rPr>
              <w:t>文件</w:t>
            </w:r>
          </w:p>
          <w:p w14:paraId="5462E27E">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格式</w:t>
            </w:r>
          </w:p>
        </w:tc>
        <w:tc>
          <w:tcPr>
            <w:tcW w:w="6029" w:type="dxa"/>
            <w:noWrap w:val="0"/>
            <w:vAlign w:val="center"/>
          </w:tcPr>
          <w:p w14:paraId="599A1504">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应符合“第</w:t>
            </w:r>
            <w:r>
              <w:rPr>
                <w:rFonts w:hint="eastAsia" w:ascii="宋体" w:hAnsi="宋体" w:eastAsia="宋体" w:cs="宋体"/>
                <w:color w:val="auto"/>
                <w:kern w:val="2"/>
                <w:sz w:val="21"/>
                <w:szCs w:val="21"/>
                <w:highlight w:val="none"/>
                <w:lang w:eastAsia="zh-CN"/>
              </w:rPr>
              <w:t>六</w:t>
            </w:r>
            <w:r>
              <w:rPr>
                <w:rFonts w:hint="eastAsia" w:ascii="宋体" w:hAnsi="宋体" w:eastAsia="宋体" w:cs="宋体"/>
                <w:color w:val="auto"/>
                <w:kern w:val="2"/>
                <w:sz w:val="21"/>
                <w:szCs w:val="21"/>
                <w:highlight w:val="none"/>
              </w:rPr>
              <w:t xml:space="preserve">部分 </w:t>
            </w:r>
            <w:r>
              <w:rPr>
                <w:rFonts w:hint="eastAsia" w:ascii="宋体" w:hAnsi="宋体" w:eastAsia="宋体" w:cs="宋体"/>
                <w:color w:val="auto"/>
                <w:kern w:val="2"/>
                <w:sz w:val="21"/>
                <w:szCs w:val="21"/>
                <w:highlight w:val="none"/>
                <w:lang w:eastAsia="zh-CN"/>
              </w:rPr>
              <w:t>竞争性磋商响应文件</w:t>
            </w:r>
            <w:r>
              <w:rPr>
                <w:rFonts w:hint="eastAsia" w:ascii="宋体" w:hAnsi="宋体" w:eastAsia="宋体" w:cs="宋体"/>
                <w:color w:val="auto"/>
                <w:kern w:val="2"/>
                <w:sz w:val="21"/>
                <w:szCs w:val="21"/>
                <w:highlight w:val="none"/>
              </w:rPr>
              <w:t>格式”要求</w:t>
            </w:r>
          </w:p>
        </w:tc>
      </w:tr>
      <w:tr w14:paraId="5B50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80" w:type="dxa"/>
            <w:noWrap w:val="0"/>
            <w:vAlign w:val="center"/>
          </w:tcPr>
          <w:p w14:paraId="514F84C0">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2134" w:type="dxa"/>
            <w:noWrap w:val="0"/>
            <w:vAlign w:val="center"/>
          </w:tcPr>
          <w:p w14:paraId="5C4403F3">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Cs w:val="21"/>
                <w:highlight w:val="none"/>
                <w:lang w:eastAsia="zh-CN"/>
              </w:rPr>
            </w:pPr>
            <w:r>
              <w:rPr>
                <w:rFonts w:hint="eastAsia" w:ascii="宋体" w:hAnsi="宋体" w:eastAsia="宋体" w:cs="宋体"/>
                <w:color w:val="auto"/>
                <w:kern w:val="2"/>
                <w:szCs w:val="21"/>
                <w:highlight w:val="none"/>
              </w:rPr>
              <w:t>竞争性磋商响应</w:t>
            </w:r>
            <w:r>
              <w:rPr>
                <w:rFonts w:hint="eastAsia" w:ascii="宋体" w:hAnsi="宋体" w:eastAsia="宋体" w:cs="宋体"/>
                <w:color w:val="auto"/>
                <w:kern w:val="2"/>
                <w:szCs w:val="21"/>
                <w:highlight w:val="none"/>
                <w:lang w:eastAsia="zh-CN"/>
              </w:rPr>
              <w:t>文件</w:t>
            </w:r>
          </w:p>
          <w:p w14:paraId="1F1BE66A">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份数</w:t>
            </w:r>
          </w:p>
        </w:tc>
        <w:tc>
          <w:tcPr>
            <w:tcW w:w="6029" w:type="dxa"/>
            <w:noWrap w:val="0"/>
            <w:vAlign w:val="center"/>
          </w:tcPr>
          <w:p w14:paraId="3E030A5A">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应符合“</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须知前附表”</w:t>
            </w:r>
            <w:r>
              <w:rPr>
                <w:rFonts w:hint="eastAsia" w:ascii="宋体" w:hAnsi="宋体" w:eastAsia="宋体" w:cs="宋体"/>
                <w:color w:val="auto"/>
                <w:kern w:val="2"/>
                <w:sz w:val="21"/>
                <w:szCs w:val="21"/>
                <w:highlight w:val="none"/>
                <w:lang w:val="en-US" w:eastAsia="zh-CN"/>
              </w:rPr>
              <w:t>11</w:t>
            </w:r>
            <w:r>
              <w:rPr>
                <w:rFonts w:hint="eastAsia" w:ascii="宋体" w:hAnsi="宋体" w:eastAsia="宋体" w:cs="宋体"/>
                <w:color w:val="auto"/>
                <w:kern w:val="2"/>
                <w:sz w:val="21"/>
                <w:szCs w:val="21"/>
                <w:highlight w:val="none"/>
              </w:rPr>
              <w:t>条规定的正本、副本、电子文件数量</w:t>
            </w:r>
          </w:p>
        </w:tc>
      </w:tr>
      <w:tr w14:paraId="5912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80" w:type="dxa"/>
            <w:noWrap w:val="0"/>
            <w:vAlign w:val="center"/>
          </w:tcPr>
          <w:p w14:paraId="0EBAC648">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2134" w:type="dxa"/>
            <w:noWrap w:val="0"/>
            <w:vAlign w:val="center"/>
          </w:tcPr>
          <w:p w14:paraId="78DEBC35">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Cs w:val="21"/>
                <w:highlight w:val="none"/>
              </w:rPr>
              <w:t>磋商有</w:t>
            </w:r>
            <w:r>
              <w:rPr>
                <w:rFonts w:hint="eastAsia" w:ascii="宋体" w:hAnsi="宋体" w:eastAsia="宋体" w:cs="宋体"/>
                <w:color w:val="auto"/>
                <w:kern w:val="2"/>
                <w:sz w:val="21"/>
                <w:szCs w:val="21"/>
                <w:highlight w:val="none"/>
              </w:rPr>
              <w:t>效期</w:t>
            </w:r>
          </w:p>
        </w:tc>
        <w:tc>
          <w:tcPr>
            <w:tcW w:w="6029" w:type="dxa"/>
            <w:noWrap w:val="0"/>
            <w:vAlign w:val="center"/>
          </w:tcPr>
          <w:p w14:paraId="1A8AF92B">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应满足</w:t>
            </w:r>
            <w:r>
              <w:rPr>
                <w:rFonts w:hint="eastAsia" w:ascii="宋体" w:hAnsi="宋体" w:eastAsia="宋体" w:cs="宋体"/>
                <w:color w:val="auto"/>
                <w:kern w:val="2"/>
                <w:sz w:val="21"/>
                <w:szCs w:val="21"/>
                <w:highlight w:val="none"/>
                <w:lang w:eastAsia="zh-CN"/>
              </w:rPr>
              <w:t>竞争性磋商文件</w:t>
            </w:r>
            <w:r>
              <w:rPr>
                <w:rFonts w:hint="eastAsia" w:ascii="宋体" w:hAnsi="宋体" w:eastAsia="宋体" w:cs="宋体"/>
                <w:color w:val="auto"/>
                <w:kern w:val="2"/>
                <w:sz w:val="21"/>
                <w:szCs w:val="21"/>
                <w:highlight w:val="none"/>
              </w:rPr>
              <w:t>中规定</w:t>
            </w:r>
          </w:p>
        </w:tc>
      </w:tr>
      <w:tr w14:paraId="0EF5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80" w:type="dxa"/>
            <w:noWrap w:val="0"/>
            <w:vAlign w:val="center"/>
          </w:tcPr>
          <w:p w14:paraId="67BECA1A">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2134" w:type="dxa"/>
            <w:noWrap w:val="0"/>
            <w:vAlign w:val="center"/>
          </w:tcPr>
          <w:p w14:paraId="5ECA859D">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工</w:t>
            </w:r>
            <w:r>
              <w:rPr>
                <w:rFonts w:hint="eastAsia" w:ascii="宋体" w:hAnsi="宋体" w:eastAsia="宋体" w:cs="宋体"/>
                <w:color w:val="auto"/>
                <w:kern w:val="2"/>
                <w:sz w:val="21"/>
                <w:szCs w:val="21"/>
                <w:highlight w:val="none"/>
              </w:rPr>
              <w:t>期</w:t>
            </w:r>
          </w:p>
        </w:tc>
        <w:tc>
          <w:tcPr>
            <w:tcW w:w="6029" w:type="dxa"/>
            <w:noWrap w:val="0"/>
            <w:vAlign w:val="center"/>
          </w:tcPr>
          <w:p w14:paraId="50B9F2E8">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应满足</w:t>
            </w:r>
            <w:r>
              <w:rPr>
                <w:rFonts w:hint="eastAsia" w:ascii="宋体" w:hAnsi="宋体" w:eastAsia="宋体" w:cs="宋体"/>
                <w:color w:val="auto"/>
                <w:kern w:val="2"/>
                <w:sz w:val="21"/>
                <w:szCs w:val="21"/>
                <w:highlight w:val="none"/>
                <w:lang w:eastAsia="zh-CN"/>
              </w:rPr>
              <w:t>竞争性磋商文件</w:t>
            </w:r>
            <w:r>
              <w:rPr>
                <w:rFonts w:hint="eastAsia" w:ascii="宋体" w:hAnsi="宋体" w:eastAsia="宋体" w:cs="宋体"/>
                <w:color w:val="auto"/>
                <w:kern w:val="2"/>
                <w:sz w:val="21"/>
                <w:szCs w:val="21"/>
                <w:highlight w:val="none"/>
              </w:rPr>
              <w:t>中规定</w:t>
            </w:r>
          </w:p>
        </w:tc>
      </w:tr>
      <w:tr w14:paraId="6AB9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80" w:type="dxa"/>
            <w:noWrap w:val="0"/>
            <w:vAlign w:val="center"/>
          </w:tcPr>
          <w:p w14:paraId="16A745A2">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6</w:t>
            </w:r>
          </w:p>
        </w:tc>
        <w:tc>
          <w:tcPr>
            <w:tcW w:w="2134" w:type="dxa"/>
            <w:noWrap w:val="0"/>
            <w:vAlign w:val="center"/>
          </w:tcPr>
          <w:p w14:paraId="14C4EDBD">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leftChars="0" w:right="0" w:rightChars="0"/>
              <w:jc w:val="center"/>
              <w:textAlignment w:val="baseline"/>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Cs w:val="21"/>
                <w:highlight w:val="none"/>
                <w:lang w:val="en-US" w:eastAsia="zh-CN"/>
              </w:rPr>
              <w:t>质量要求</w:t>
            </w:r>
          </w:p>
        </w:tc>
        <w:tc>
          <w:tcPr>
            <w:tcW w:w="6029" w:type="dxa"/>
            <w:noWrap w:val="0"/>
            <w:vAlign w:val="center"/>
          </w:tcPr>
          <w:p w14:paraId="07433864">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leftChars="0" w:right="0" w:rightChars="0"/>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应满足竞争性磋商文件中规定</w:t>
            </w:r>
          </w:p>
        </w:tc>
      </w:tr>
      <w:tr w14:paraId="48AD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80" w:type="dxa"/>
            <w:noWrap w:val="0"/>
            <w:vAlign w:val="center"/>
          </w:tcPr>
          <w:p w14:paraId="5F96B004">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lang w:val="en-US" w:eastAsia="zh-CN"/>
              </w:rPr>
              <w:t>7</w:t>
            </w:r>
          </w:p>
        </w:tc>
        <w:tc>
          <w:tcPr>
            <w:tcW w:w="2134" w:type="dxa"/>
            <w:noWrap w:val="0"/>
            <w:vAlign w:val="center"/>
          </w:tcPr>
          <w:p w14:paraId="74CB8787">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报价</w:t>
            </w:r>
          </w:p>
        </w:tc>
        <w:tc>
          <w:tcPr>
            <w:tcW w:w="6029" w:type="dxa"/>
            <w:noWrap w:val="0"/>
            <w:vAlign w:val="center"/>
          </w:tcPr>
          <w:p w14:paraId="1BD8AE5C">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投标报价</w:t>
            </w:r>
            <w:r>
              <w:rPr>
                <w:rFonts w:hint="eastAsia" w:ascii="宋体" w:hAnsi="宋体" w:eastAsia="宋体" w:cs="宋体"/>
                <w:color w:val="auto"/>
                <w:kern w:val="2"/>
                <w:sz w:val="21"/>
                <w:szCs w:val="21"/>
                <w:highlight w:val="none"/>
                <w:lang w:eastAsia="zh-CN"/>
              </w:rPr>
              <w:t>满足</w:t>
            </w:r>
            <w:r>
              <w:rPr>
                <w:rFonts w:hint="eastAsia" w:ascii="宋体" w:hAnsi="宋体" w:eastAsia="宋体" w:cs="宋体"/>
                <w:color w:val="auto"/>
                <w:kern w:val="2"/>
                <w:sz w:val="21"/>
                <w:szCs w:val="21"/>
                <w:highlight w:val="none"/>
              </w:rPr>
              <w:t>最高限价要求的</w:t>
            </w:r>
          </w:p>
        </w:tc>
      </w:tr>
      <w:tr w14:paraId="2764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80" w:type="dxa"/>
            <w:noWrap w:val="0"/>
            <w:vAlign w:val="center"/>
          </w:tcPr>
          <w:p w14:paraId="45DC8C6E">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leftChars="0" w:right="0" w:rightChars="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Cs w:val="21"/>
                <w:highlight w:val="none"/>
                <w:lang w:val="en-US" w:eastAsia="zh-CN"/>
              </w:rPr>
              <w:t>8</w:t>
            </w:r>
          </w:p>
        </w:tc>
        <w:tc>
          <w:tcPr>
            <w:tcW w:w="2134" w:type="dxa"/>
            <w:noWrap w:val="0"/>
            <w:vAlign w:val="center"/>
          </w:tcPr>
          <w:p w14:paraId="51D413EE">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leftChars="0" w:right="0" w:rightChars="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Cs w:val="21"/>
                <w:highlight w:val="none"/>
                <w:lang w:val="en-US" w:eastAsia="zh-CN"/>
              </w:rPr>
              <w:t>响应情况</w:t>
            </w:r>
          </w:p>
        </w:tc>
        <w:tc>
          <w:tcPr>
            <w:tcW w:w="6029" w:type="dxa"/>
            <w:noWrap w:val="0"/>
            <w:vAlign w:val="center"/>
          </w:tcPr>
          <w:p w14:paraId="6ABD3A79">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leftChars="0" w:right="0" w:rightChars="0"/>
              <w:jc w:val="left"/>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Cs w:val="21"/>
                <w:highlight w:val="none"/>
                <w:lang w:val="en-US" w:eastAsia="zh-CN"/>
              </w:rPr>
              <w:t>应满足竞争性磋商文件要求，响应文件未含有采购人不能接受的附加条件，且无其他无效标的情形。</w:t>
            </w:r>
          </w:p>
        </w:tc>
      </w:tr>
    </w:tbl>
    <w:p w14:paraId="2756DD0D">
      <w:pPr>
        <w:pStyle w:val="39"/>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评标委员会</w:t>
      </w:r>
      <w:r>
        <w:rPr>
          <w:rFonts w:hint="eastAsia" w:ascii="宋体" w:hAnsi="宋体" w:cs="宋体"/>
          <w:color w:val="auto"/>
          <w:sz w:val="21"/>
          <w:szCs w:val="21"/>
          <w:highlight w:val="none"/>
          <w:lang w:val="en-US" w:eastAsia="zh-CN"/>
        </w:rPr>
        <w:t>对</w:t>
      </w:r>
      <w:r>
        <w:rPr>
          <w:rFonts w:hint="eastAsia" w:ascii="宋体" w:hAnsi="宋体" w:eastAsia="宋体" w:cs="宋体"/>
          <w:color w:val="auto"/>
          <w:sz w:val="21"/>
          <w:szCs w:val="21"/>
          <w:highlight w:val="none"/>
        </w:rPr>
        <w:t>符合性及有效性审查时，当任何一项不符合</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要求时，其</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即为不合格，不得参加详细评审，不能作为</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候选单位。</w:t>
      </w:r>
      <w:r>
        <w:rPr>
          <w:rFonts w:hint="eastAsia" w:ascii="宋体" w:hAnsi="宋体" w:eastAsia="宋体" w:cs="宋体"/>
          <w:color w:val="auto"/>
          <w:sz w:val="21"/>
          <w:szCs w:val="21"/>
          <w:highlight w:val="none"/>
          <w:lang w:val="en-US" w:eastAsia="zh-CN"/>
        </w:rPr>
        <w:t xml:space="preserve"> </w:t>
      </w:r>
    </w:p>
    <w:p w14:paraId="6A4193EB">
      <w:pPr>
        <w:pStyle w:val="39"/>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认为供应商的报价明显低于其他通过符合性审查供应商的报价，有可能影响服务质量或者不能诚信履约的，应当要求其在评标现场合理的时间内提供书面说明，必要时提交相关证明材料；供应商不能证明其报价合理性的，评标委员会应当将其作为无效投标处理。</w:t>
      </w:r>
    </w:p>
    <w:p w14:paraId="77DE9B8C">
      <w:pPr>
        <w:pageBreakBefore w:val="0"/>
        <w:kinsoku/>
        <w:wordWrap/>
        <w:overflowPunct/>
        <w:topLinePunct w:val="0"/>
        <w:autoSpaceDE/>
        <w:autoSpaceDN/>
        <w:bidi w:val="0"/>
        <w:spacing w:line="480" w:lineRule="exact"/>
        <w:ind w:firstLine="527" w:firstLineChars="250"/>
        <w:rPr>
          <w:rFonts w:hint="eastAsia" w:ascii="宋体" w:hAnsi="宋体" w:eastAsia="宋体" w:cs="宋体"/>
          <w:b/>
          <w:bCs/>
          <w:color w:val="auto"/>
          <w:szCs w:val="21"/>
          <w:highlight w:val="none"/>
        </w:rPr>
      </w:pPr>
      <w:r>
        <w:rPr>
          <w:rFonts w:hint="eastAsia" w:ascii="宋体" w:hAnsi="宋体" w:cs="宋体"/>
          <w:b/>
          <w:bCs/>
          <w:color w:val="auto"/>
          <w:sz w:val="21"/>
          <w:szCs w:val="21"/>
          <w:highlight w:val="none"/>
          <w:lang w:val="en-US" w:eastAsia="zh-CN"/>
        </w:rPr>
        <w:t>c.</w:t>
      </w:r>
      <w:r>
        <w:rPr>
          <w:rFonts w:hint="eastAsia" w:ascii="宋体" w:hAnsi="宋体" w:eastAsia="宋体" w:cs="宋体"/>
          <w:b/>
          <w:bCs/>
          <w:color w:val="auto"/>
          <w:sz w:val="21"/>
          <w:szCs w:val="21"/>
          <w:highlight w:val="none"/>
          <w:lang w:eastAsia="zh-CN"/>
        </w:rPr>
        <w:t>竞争性磋商响应文件</w:t>
      </w:r>
      <w:r>
        <w:rPr>
          <w:rFonts w:hint="eastAsia" w:ascii="宋体" w:hAnsi="宋体" w:eastAsia="宋体" w:cs="宋体"/>
          <w:b/>
          <w:bCs/>
          <w:color w:val="auto"/>
          <w:sz w:val="21"/>
          <w:szCs w:val="21"/>
          <w:highlight w:val="none"/>
        </w:rPr>
        <w:t>详细</w:t>
      </w:r>
      <w:r>
        <w:rPr>
          <w:rFonts w:hint="eastAsia" w:ascii="宋体" w:hAnsi="宋体" w:eastAsia="宋体" w:cs="宋体"/>
          <w:b/>
          <w:bCs/>
          <w:color w:val="auto"/>
          <w:kern w:val="2"/>
          <w:sz w:val="21"/>
          <w:szCs w:val="21"/>
          <w:highlight w:val="none"/>
          <w:u w:val="none"/>
          <w:lang w:val="en-US" w:eastAsia="zh-CN" w:bidi="ar-SA"/>
        </w:rPr>
        <w:t>评审：评审内容为价格、施工组织设计、近年完成类似项目业绩等。</w:t>
      </w:r>
    </w:p>
    <w:p w14:paraId="6158B145">
      <w:pPr>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2）评审步骤：</w:t>
      </w:r>
    </w:p>
    <w:p w14:paraId="41B322F5">
      <w:pPr>
        <w:pageBreakBefore w:val="0"/>
        <w:kinsoku/>
        <w:wordWrap/>
        <w:overflowPunct/>
        <w:topLinePunct w:val="0"/>
        <w:autoSpaceDE/>
        <w:autoSpaceDN/>
        <w:bidi w:val="0"/>
        <w:spacing w:line="480" w:lineRule="exact"/>
        <w:ind w:firstLine="525" w:firstLineChars="25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A.资格性审查</w:t>
      </w:r>
    </w:p>
    <w:p w14:paraId="3D9F3255">
      <w:pPr>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 xml:space="preserve">符合性及有效性审查； </w:t>
      </w:r>
    </w:p>
    <w:p w14:paraId="0D21E84F">
      <w:pPr>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竞争性磋商响应文件</w:t>
      </w:r>
      <w:r>
        <w:rPr>
          <w:rFonts w:hint="eastAsia" w:ascii="宋体" w:hAnsi="宋体" w:eastAsia="宋体" w:cs="宋体"/>
          <w:color w:val="auto"/>
          <w:szCs w:val="21"/>
          <w:highlight w:val="none"/>
          <w:lang w:val="en-US" w:eastAsia="zh-CN"/>
        </w:rPr>
        <w:t>详细</w:t>
      </w:r>
      <w:r>
        <w:rPr>
          <w:rFonts w:hint="eastAsia" w:ascii="宋体" w:hAnsi="宋体" w:eastAsia="宋体" w:cs="宋体"/>
          <w:color w:val="auto"/>
          <w:szCs w:val="21"/>
          <w:highlight w:val="none"/>
        </w:rPr>
        <w:t>评审；</w:t>
      </w:r>
    </w:p>
    <w:p w14:paraId="1BB10EA1">
      <w:pPr>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szCs w:val="21"/>
          <w:highlight w:val="none"/>
          <w:lang w:val="en-US" w:eastAsia="zh-CN"/>
        </w:rPr>
        <w:t>D</w:t>
      </w:r>
      <w:r>
        <w:rPr>
          <w:rFonts w:hint="eastAsia" w:ascii="宋体" w:hAnsi="宋体" w:eastAsia="宋体" w:cs="宋体"/>
          <w:color w:val="auto"/>
          <w:szCs w:val="21"/>
          <w:highlight w:val="none"/>
        </w:rPr>
        <w:t>.确定入评单位。</w:t>
      </w:r>
    </w:p>
    <w:p w14:paraId="3026E5A0">
      <w:pPr>
        <w:keepNext w:val="0"/>
        <w:keepLines w:val="0"/>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（1）入评单位条件</w:t>
      </w:r>
    </w:p>
    <w:p w14:paraId="40A419A0">
      <w:pPr>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lang w:val="en-US" w:eastAsia="zh-CN"/>
        </w:rPr>
        <w:t>资格性审查、</w:t>
      </w:r>
      <w:r>
        <w:rPr>
          <w:rFonts w:hint="eastAsia" w:ascii="宋体" w:hAnsi="宋体" w:eastAsia="宋体" w:cs="宋体"/>
          <w:color w:val="auto"/>
          <w:szCs w:val="21"/>
          <w:highlight w:val="none"/>
        </w:rPr>
        <w:t>符合性及有效性审查合格单位；</w:t>
      </w:r>
    </w:p>
    <w:p w14:paraId="67AEF225">
      <w:pPr>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②工期满足竞争性磋商文件要求；</w:t>
      </w:r>
    </w:p>
    <w:p w14:paraId="1D0BC5BA">
      <w:pPr>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③供应商质量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符合采购质量要求；</w:t>
      </w:r>
    </w:p>
    <w:p w14:paraId="661F9D9C">
      <w:pPr>
        <w:keepNext w:val="0"/>
        <w:keepLines w:val="0"/>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④供应商完全响应竞争性磋商文件和合同条款的全部内容。</w:t>
      </w:r>
    </w:p>
    <w:p w14:paraId="1DFF6714">
      <w:pPr>
        <w:keepNext w:val="0"/>
        <w:keepLines w:val="0"/>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（2）入评单位确定</w:t>
      </w:r>
    </w:p>
    <w:p w14:paraId="0A961EDB">
      <w:pPr>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全部符合入评单位条件的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才能成为入评单位；未成为入评单位的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,不得进入评审。</w:t>
      </w:r>
    </w:p>
    <w:p w14:paraId="55E0BBAF">
      <w:pPr>
        <w:keepNext w:val="0"/>
        <w:keepLines w:val="0"/>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①</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w:t>
      </w:r>
    </w:p>
    <w:p w14:paraId="1C8005EC">
      <w:pPr>
        <w:keepNext w:val="0"/>
        <w:keepLines w:val="0"/>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②</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eastAsia="zh-CN"/>
        </w:rPr>
        <w:t>成交候选人</w:t>
      </w:r>
      <w:r>
        <w:rPr>
          <w:rFonts w:hint="eastAsia" w:ascii="宋体" w:hAnsi="宋体" w:eastAsia="宋体" w:cs="宋体"/>
          <w:color w:val="auto"/>
          <w:sz w:val="21"/>
          <w:szCs w:val="21"/>
          <w:highlight w:val="none"/>
        </w:rPr>
        <w:t>。</w:t>
      </w:r>
    </w:p>
    <w:p w14:paraId="33D3B664">
      <w:pPr>
        <w:keepNext w:val="0"/>
        <w:keepLines w:val="0"/>
        <w:pageBreakBefore w:val="0"/>
        <w:kinsoku/>
        <w:wordWrap/>
        <w:overflowPunct/>
        <w:topLinePunct w:val="0"/>
        <w:autoSpaceDE/>
        <w:autoSpaceDN/>
        <w:bidi w:val="0"/>
        <w:spacing w:line="480" w:lineRule="exact"/>
        <w:ind w:firstLine="613" w:firstLineChars="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评审项评分标准：</w:t>
      </w:r>
    </w:p>
    <w:p w14:paraId="0E06B801">
      <w:pPr>
        <w:keepNext w:val="0"/>
        <w:keepLines w:val="0"/>
        <w:pageBreakBefore w:val="0"/>
        <w:kinsoku/>
        <w:wordWrap/>
        <w:overflowPunct/>
        <w:topLinePunct w:val="0"/>
        <w:autoSpaceDE/>
        <w:autoSpaceDN/>
        <w:bidi w:val="0"/>
        <w:spacing w:line="48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初步评审办法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合格制</w:t>
      </w:r>
    </w:p>
    <w:p w14:paraId="7B35166B">
      <w:pPr>
        <w:keepNext w:val="0"/>
        <w:keepLines w:val="0"/>
        <w:pageBreakBefore w:val="0"/>
        <w:kinsoku/>
        <w:wordWrap/>
        <w:overflowPunct/>
        <w:topLinePunct w:val="0"/>
        <w:autoSpaceDE/>
        <w:autoSpaceDN/>
        <w:bidi w:val="0"/>
        <w:spacing w:line="48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详细评审办法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100分</w:t>
      </w:r>
    </w:p>
    <w:p w14:paraId="439F882E">
      <w:pPr>
        <w:keepNext w:val="0"/>
        <w:keepLines w:val="0"/>
        <w:pageBreakBefore w:val="0"/>
        <w:kinsoku/>
        <w:wordWrap/>
        <w:overflowPunct/>
        <w:topLinePunct w:val="0"/>
        <w:autoSpaceDE/>
        <w:autoSpaceDN/>
        <w:bidi w:val="0"/>
        <w:spacing w:line="480" w:lineRule="exact"/>
        <w:ind w:firstLine="630" w:firstLine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其中：</w:t>
      </w:r>
    </w:p>
    <w:p w14:paraId="18D991BF">
      <w:pPr>
        <w:pageBreakBefore w:val="0"/>
        <w:kinsoku/>
        <w:wordWrap/>
        <w:overflowPunct/>
        <w:topLinePunct w:val="0"/>
        <w:autoSpaceDE/>
        <w:autoSpaceDN/>
        <w:bidi w:val="0"/>
        <w:spacing w:line="48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磋商总报价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w:t>
      </w:r>
    </w:p>
    <w:p w14:paraId="7062BD0C">
      <w:pPr>
        <w:pageBreakBefore w:val="0"/>
        <w:kinsoku/>
        <w:wordWrap/>
        <w:overflowPunct/>
        <w:topLinePunct w:val="0"/>
        <w:autoSpaceDE/>
        <w:autoSpaceDN/>
        <w:bidi w:val="0"/>
        <w:spacing w:line="48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施工组织设计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64</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rPr>
        <w:tab/>
      </w:r>
    </w:p>
    <w:p w14:paraId="02AB42B8">
      <w:pPr>
        <w:pageBreakBefore w:val="0"/>
        <w:kinsoku/>
        <w:wordWrap/>
        <w:overflowPunct/>
        <w:topLinePunct w:val="0"/>
        <w:autoSpaceDE/>
        <w:autoSpaceDN/>
        <w:bidi w:val="0"/>
        <w:spacing w:line="48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近年完成</w:t>
      </w:r>
      <w:r>
        <w:rPr>
          <w:rFonts w:hint="eastAsia" w:ascii="宋体" w:hAnsi="宋体" w:cs="宋体"/>
          <w:color w:val="auto"/>
          <w:szCs w:val="21"/>
          <w:highlight w:val="none"/>
          <w:lang w:val="en-US" w:eastAsia="zh-CN"/>
        </w:rPr>
        <w:t>类似</w:t>
      </w:r>
      <w:r>
        <w:rPr>
          <w:rFonts w:hint="eastAsia" w:ascii="宋体" w:hAnsi="宋体" w:eastAsia="宋体" w:cs="宋体"/>
          <w:color w:val="auto"/>
          <w:szCs w:val="21"/>
          <w:highlight w:val="none"/>
        </w:rPr>
        <w:t xml:space="preserve">项目业绩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w:t>
      </w:r>
    </w:p>
    <w:p w14:paraId="03992DE8">
      <w:pPr>
        <w:keepNext w:val="0"/>
        <w:keepLines w:val="0"/>
        <w:pageBreakBefore w:val="0"/>
        <w:widowControl w:val="0"/>
        <w:numPr>
          <w:ilvl w:val="0"/>
          <w:numId w:val="0"/>
        </w:numPr>
        <w:kinsoku/>
        <w:wordWrap/>
        <w:overflowPunct/>
        <w:topLinePunct w:val="0"/>
        <w:autoSpaceDE/>
        <w:autoSpaceDN/>
        <w:bidi w:val="0"/>
        <w:spacing w:line="480" w:lineRule="exac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2.评标办法</w:t>
      </w:r>
    </w:p>
    <w:p w14:paraId="1B037DF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2.1、</w:t>
      </w:r>
      <w:r>
        <w:rPr>
          <w:rFonts w:hint="eastAsia" w:ascii="宋体" w:hAnsi="宋体" w:eastAsia="宋体" w:cs="宋体"/>
          <w:b/>
          <w:color w:val="auto"/>
          <w:sz w:val="21"/>
          <w:szCs w:val="21"/>
          <w:highlight w:val="none"/>
        </w:rPr>
        <w:t>详细评审办法（综合评分法）</w:t>
      </w:r>
    </w:p>
    <w:tbl>
      <w:tblPr>
        <w:tblStyle w:val="23"/>
        <w:tblW w:w="94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81"/>
        <w:gridCol w:w="1149"/>
        <w:gridCol w:w="900"/>
        <w:gridCol w:w="6696"/>
      </w:tblGrid>
      <w:tr w14:paraId="365ADE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7" w:hRule="atLeast"/>
          <w:tblHeader/>
          <w:jc w:val="center"/>
        </w:trPr>
        <w:tc>
          <w:tcPr>
            <w:tcW w:w="681" w:type="dxa"/>
            <w:vAlign w:val="center"/>
          </w:tcPr>
          <w:p w14:paraId="2CCD9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序号</w:t>
            </w:r>
          </w:p>
        </w:tc>
        <w:tc>
          <w:tcPr>
            <w:tcW w:w="1149" w:type="dxa"/>
            <w:vAlign w:val="center"/>
          </w:tcPr>
          <w:p w14:paraId="53FE5F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评分项目</w:t>
            </w:r>
          </w:p>
        </w:tc>
        <w:tc>
          <w:tcPr>
            <w:tcW w:w="900" w:type="dxa"/>
            <w:vAlign w:val="center"/>
          </w:tcPr>
          <w:p w14:paraId="37273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满分值</w:t>
            </w:r>
          </w:p>
        </w:tc>
        <w:tc>
          <w:tcPr>
            <w:tcW w:w="6696" w:type="dxa"/>
            <w:vAlign w:val="center"/>
          </w:tcPr>
          <w:p w14:paraId="7CFBE3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评分内容及标准</w:t>
            </w:r>
          </w:p>
        </w:tc>
      </w:tr>
      <w:tr w14:paraId="74C136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53" w:hRule="atLeast"/>
          <w:tblHeader/>
          <w:jc w:val="center"/>
        </w:trPr>
        <w:tc>
          <w:tcPr>
            <w:tcW w:w="681" w:type="dxa"/>
            <w:vAlign w:val="center"/>
          </w:tcPr>
          <w:p w14:paraId="02D25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1</w:t>
            </w:r>
          </w:p>
        </w:tc>
        <w:tc>
          <w:tcPr>
            <w:tcW w:w="1149" w:type="dxa"/>
            <w:vAlign w:val="center"/>
          </w:tcPr>
          <w:p w14:paraId="277313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价格</w:t>
            </w:r>
          </w:p>
        </w:tc>
        <w:tc>
          <w:tcPr>
            <w:tcW w:w="900" w:type="dxa"/>
            <w:vAlign w:val="center"/>
          </w:tcPr>
          <w:p w14:paraId="3ED921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lang w:val="en-US" w:eastAsia="zh-CN"/>
              </w:rPr>
              <w:t>30</w:t>
            </w:r>
            <w:r>
              <w:rPr>
                <w:rFonts w:hint="eastAsia" w:ascii="宋体" w:hAnsi="宋体" w:eastAsia="宋体" w:cs="宋体"/>
                <w:color w:val="auto"/>
                <w:kern w:val="2"/>
                <w:szCs w:val="22"/>
                <w:highlight w:val="none"/>
              </w:rPr>
              <w:t xml:space="preserve">分 </w:t>
            </w:r>
          </w:p>
        </w:tc>
        <w:tc>
          <w:tcPr>
            <w:tcW w:w="6696" w:type="dxa"/>
            <w:vAlign w:val="center"/>
          </w:tcPr>
          <w:p w14:paraId="4C4A5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lang w:val="en-US" w:eastAsia="zh-CN"/>
              </w:rPr>
              <w:t>价格分采用低价优先法计算，即满足磋商文件要求的最低报价为基准价,价格分为满分30分，其他供应商的价格得分：报价得分=(基准价/报价)×30，报价大于最高限价的按无效报价处理。</w:t>
            </w:r>
          </w:p>
        </w:tc>
      </w:tr>
      <w:tr w14:paraId="4F45C0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53" w:hRule="atLeast"/>
          <w:tblHeader/>
          <w:jc w:val="center"/>
        </w:trPr>
        <w:tc>
          <w:tcPr>
            <w:tcW w:w="681" w:type="dxa"/>
            <w:vMerge w:val="restart"/>
            <w:vAlign w:val="center"/>
          </w:tcPr>
          <w:p w14:paraId="19334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2</w:t>
            </w:r>
          </w:p>
          <w:p w14:paraId="4B5088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1149" w:type="dxa"/>
            <w:vMerge w:val="restart"/>
            <w:vAlign w:val="center"/>
          </w:tcPr>
          <w:p w14:paraId="0BBA1F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施工组织</w:t>
            </w:r>
          </w:p>
          <w:p w14:paraId="704B88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rPr>
              <w:t>设计</w:t>
            </w:r>
          </w:p>
          <w:p w14:paraId="42B959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900" w:type="dxa"/>
            <w:vMerge w:val="restart"/>
            <w:vAlign w:val="center"/>
          </w:tcPr>
          <w:p w14:paraId="57008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cs="宋体"/>
                <w:color w:val="auto"/>
                <w:kern w:val="2"/>
                <w:szCs w:val="22"/>
                <w:highlight w:val="none"/>
                <w:lang w:val="en-US" w:eastAsia="zh-CN"/>
              </w:rPr>
              <w:t>64</w:t>
            </w:r>
            <w:r>
              <w:rPr>
                <w:rFonts w:hint="eastAsia" w:ascii="宋体" w:hAnsi="宋体" w:eastAsia="宋体" w:cs="宋体"/>
                <w:color w:val="auto"/>
                <w:kern w:val="2"/>
                <w:szCs w:val="22"/>
                <w:highlight w:val="none"/>
              </w:rPr>
              <w:t>分</w:t>
            </w:r>
          </w:p>
          <w:p w14:paraId="07310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6696" w:type="dxa"/>
            <w:vAlign w:val="center"/>
          </w:tcPr>
          <w:p w14:paraId="110A82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lang w:eastAsia="zh-CN"/>
              </w:rPr>
            </w:pPr>
            <w:r>
              <w:rPr>
                <w:rFonts w:hint="eastAsia" w:ascii="宋体" w:hAnsi="宋体" w:cs="宋体"/>
                <w:color w:val="auto"/>
                <w:kern w:val="2"/>
                <w:szCs w:val="22"/>
                <w:highlight w:val="none"/>
                <w:lang w:val="en-US" w:eastAsia="zh-CN"/>
              </w:rPr>
              <w:t>2.1</w:t>
            </w:r>
            <w:r>
              <w:rPr>
                <w:rFonts w:hint="eastAsia" w:ascii="宋体" w:hAnsi="宋体" w:eastAsia="宋体" w:cs="宋体"/>
                <w:color w:val="auto"/>
                <w:kern w:val="2"/>
                <w:szCs w:val="22"/>
                <w:highlight w:val="none"/>
              </w:rPr>
              <w:t>施工方案及相关技术措施</w:t>
            </w:r>
            <w:r>
              <w:rPr>
                <w:rFonts w:hint="eastAsia" w:ascii="宋体" w:hAnsi="宋体" w:eastAsia="宋体" w:cs="宋体"/>
                <w:color w:val="auto"/>
                <w:kern w:val="2"/>
                <w:szCs w:val="22"/>
                <w:highlight w:val="none"/>
                <w:lang w:eastAsia="zh-CN"/>
              </w:rPr>
              <w:t>（</w:t>
            </w:r>
            <w:r>
              <w:rPr>
                <w:rFonts w:hint="eastAsia" w:ascii="宋体" w:hAnsi="宋体" w:eastAsia="宋体" w:cs="宋体"/>
                <w:color w:val="auto"/>
                <w:kern w:val="2"/>
                <w:szCs w:val="22"/>
                <w:highlight w:val="none"/>
                <w:lang w:val="en-US" w:eastAsia="zh-CN"/>
              </w:rPr>
              <w:t>12分</w:t>
            </w:r>
            <w:r>
              <w:rPr>
                <w:rFonts w:hint="eastAsia" w:ascii="宋体" w:hAnsi="宋体" w:eastAsia="宋体" w:cs="宋体"/>
                <w:color w:val="auto"/>
                <w:kern w:val="2"/>
                <w:szCs w:val="22"/>
                <w:highlight w:val="none"/>
                <w:lang w:eastAsia="zh-CN"/>
              </w:rPr>
              <w:t>）</w:t>
            </w:r>
          </w:p>
          <w:p w14:paraId="018677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rPr>
              <w:t>针对本项目提供完善的施工方案及相关技术措施，内容包含但不限于：①对项目总体概况表述；②施工部署及措施；③对项目主要及关键方案的表述；④施工总平面图布置等。方案完整，完全包含以上4项且满足实际工作需求的得12分，每缺少一项扣3分，每有一项缺陷（缺陷是指不适用项目实际情况、凭空编造、存在逻辑漏洞、科学原理错误、不可能实现的夸大情形以及涉及的规范、标准与本项目要求不一致等）扣1分，扣完为止。说明：未提供不得分。</w:t>
            </w:r>
          </w:p>
        </w:tc>
      </w:tr>
      <w:tr w14:paraId="3A9278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77" w:hRule="atLeast"/>
          <w:tblHeader/>
          <w:jc w:val="center"/>
        </w:trPr>
        <w:tc>
          <w:tcPr>
            <w:tcW w:w="681" w:type="dxa"/>
            <w:vMerge w:val="continue"/>
            <w:vAlign w:val="center"/>
          </w:tcPr>
          <w:p w14:paraId="55D7AF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1149" w:type="dxa"/>
            <w:vMerge w:val="continue"/>
            <w:vAlign w:val="center"/>
          </w:tcPr>
          <w:p w14:paraId="56762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900" w:type="dxa"/>
            <w:vMerge w:val="continue"/>
            <w:vAlign w:val="center"/>
          </w:tcPr>
          <w:p w14:paraId="2DBF09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6696" w:type="dxa"/>
            <w:vAlign w:val="center"/>
          </w:tcPr>
          <w:p w14:paraId="3FAC85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lang w:eastAsia="zh-CN"/>
              </w:rPr>
            </w:pPr>
            <w:r>
              <w:rPr>
                <w:rFonts w:hint="eastAsia" w:ascii="宋体" w:hAnsi="宋体" w:cs="宋体"/>
                <w:color w:val="auto"/>
                <w:kern w:val="2"/>
                <w:szCs w:val="22"/>
                <w:highlight w:val="none"/>
                <w:lang w:val="en-US" w:eastAsia="zh-CN"/>
              </w:rPr>
              <w:t>2.2</w:t>
            </w:r>
            <w:r>
              <w:rPr>
                <w:rFonts w:hint="eastAsia" w:ascii="宋体" w:hAnsi="宋体" w:eastAsia="宋体" w:cs="宋体"/>
                <w:color w:val="auto"/>
                <w:kern w:val="2"/>
                <w:szCs w:val="22"/>
                <w:highlight w:val="none"/>
              </w:rPr>
              <w:t>确保工程质量的技术组织措施</w:t>
            </w:r>
            <w:r>
              <w:rPr>
                <w:rFonts w:hint="eastAsia" w:ascii="宋体" w:hAnsi="宋体" w:eastAsia="宋体" w:cs="宋体"/>
                <w:color w:val="auto"/>
                <w:kern w:val="2"/>
                <w:szCs w:val="22"/>
                <w:highlight w:val="none"/>
                <w:lang w:eastAsia="zh-CN"/>
              </w:rPr>
              <w:t>（</w:t>
            </w:r>
            <w:r>
              <w:rPr>
                <w:rFonts w:hint="eastAsia" w:ascii="宋体" w:hAnsi="宋体" w:eastAsia="宋体" w:cs="宋体"/>
                <w:color w:val="auto"/>
                <w:kern w:val="2"/>
                <w:szCs w:val="22"/>
                <w:highlight w:val="none"/>
                <w:lang w:val="en-US" w:eastAsia="zh-CN"/>
              </w:rPr>
              <w:t>8分</w:t>
            </w:r>
            <w:r>
              <w:rPr>
                <w:rFonts w:hint="eastAsia" w:ascii="宋体" w:hAnsi="宋体" w:eastAsia="宋体" w:cs="宋体"/>
                <w:color w:val="auto"/>
                <w:kern w:val="2"/>
                <w:szCs w:val="22"/>
                <w:highlight w:val="none"/>
                <w:lang w:eastAsia="zh-CN"/>
              </w:rPr>
              <w:t>）</w:t>
            </w:r>
          </w:p>
          <w:p w14:paraId="4BEF38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rPr>
              <w:t>针对本项目提供完善的工程质量的技术组织措施，内容包含但不限于：①质量管理工作流程；②工程质量保障方案；③工程质量控制体系；④各施工阶段质量管理措施等。方案完整，完全包含以上4项且满足实际工作需求的得8分，每缺少一项扣2分，每有一项缺陷（缺陷是指不适用项目实际情况、凭空编造、存在逻辑漏洞、科学原理错误、不可能实现的夸大情形以及涉及的规范、标准与本项目要求不一致等）扣1分，扣完为止。说明：未提供不得分。</w:t>
            </w:r>
          </w:p>
        </w:tc>
      </w:tr>
      <w:tr w14:paraId="6E8193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6" w:hRule="atLeast"/>
          <w:tblHeader/>
          <w:jc w:val="center"/>
        </w:trPr>
        <w:tc>
          <w:tcPr>
            <w:tcW w:w="681" w:type="dxa"/>
            <w:vMerge w:val="continue"/>
            <w:vAlign w:val="center"/>
          </w:tcPr>
          <w:p w14:paraId="499717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1149" w:type="dxa"/>
            <w:vMerge w:val="continue"/>
            <w:vAlign w:val="center"/>
          </w:tcPr>
          <w:p w14:paraId="26B6EB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900" w:type="dxa"/>
            <w:vMerge w:val="continue"/>
            <w:vAlign w:val="center"/>
          </w:tcPr>
          <w:p w14:paraId="2E892D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6696" w:type="dxa"/>
            <w:vAlign w:val="center"/>
          </w:tcPr>
          <w:p w14:paraId="74CE48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lang w:eastAsia="zh-CN"/>
              </w:rPr>
            </w:pPr>
            <w:r>
              <w:rPr>
                <w:rFonts w:hint="eastAsia" w:ascii="宋体" w:hAnsi="宋体" w:cs="宋体"/>
                <w:color w:val="auto"/>
                <w:kern w:val="2"/>
                <w:szCs w:val="22"/>
                <w:highlight w:val="none"/>
                <w:lang w:val="en-US" w:eastAsia="zh-CN"/>
              </w:rPr>
              <w:t>2.3</w:t>
            </w:r>
            <w:r>
              <w:rPr>
                <w:rFonts w:hint="eastAsia" w:ascii="宋体" w:hAnsi="宋体" w:eastAsia="宋体" w:cs="宋体"/>
                <w:color w:val="auto"/>
                <w:kern w:val="2"/>
                <w:szCs w:val="22"/>
                <w:highlight w:val="none"/>
              </w:rPr>
              <w:t>确保安全施工保证措施</w:t>
            </w:r>
            <w:r>
              <w:rPr>
                <w:rFonts w:hint="eastAsia" w:ascii="宋体" w:hAnsi="宋体" w:eastAsia="宋体" w:cs="宋体"/>
                <w:color w:val="auto"/>
                <w:kern w:val="2"/>
                <w:szCs w:val="22"/>
                <w:highlight w:val="none"/>
                <w:lang w:eastAsia="zh-CN"/>
              </w:rPr>
              <w:t>（</w:t>
            </w:r>
            <w:r>
              <w:rPr>
                <w:rFonts w:hint="eastAsia" w:ascii="宋体" w:hAnsi="宋体" w:eastAsia="宋体" w:cs="宋体"/>
                <w:color w:val="auto"/>
                <w:kern w:val="2"/>
                <w:szCs w:val="22"/>
                <w:highlight w:val="none"/>
                <w:lang w:val="en-US" w:eastAsia="zh-CN"/>
              </w:rPr>
              <w:t>8分</w:t>
            </w:r>
            <w:r>
              <w:rPr>
                <w:rFonts w:hint="eastAsia" w:ascii="宋体" w:hAnsi="宋体" w:eastAsia="宋体" w:cs="宋体"/>
                <w:color w:val="auto"/>
                <w:kern w:val="2"/>
                <w:szCs w:val="22"/>
                <w:highlight w:val="none"/>
                <w:lang w:eastAsia="zh-CN"/>
              </w:rPr>
              <w:t>）</w:t>
            </w:r>
          </w:p>
          <w:p w14:paraId="1BB5DE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rPr>
              <w:t>针对本项目提供完善的安全施工保证措施，内容包含但不限于：①安全生产目标及安全管理体系；②安全生产保障措施；方案完整，完全包含以上2项且满足实际工作需求的得8分，每缺少一项扣4分，每有一项缺陷（缺陷是指不适用项目实际情况、凭空编造、存在逻辑漏洞、科学原理错误、不可能实现的夸大情形以及涉及的规范、标准与本项目要求不一致等）扣1分，扣完为止。说明：未提供不得分。</w:t>
            </w:r>
          </w:p>
        </w:tc>
      </w:tr>
      <w:tr w14:paraId="70B2D3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6" w:hRule="atLeast"/>
          <w:tblHeader/>
          <w:jc w:val="center"/>
        </w:trPr>
        <w:tc>
          <w:tcPr>
            <w:tcW w:w="681" w:type="dxa"/>
            <w:vMerge w:val="continue"/>
            <w:vAlign w:val="center"/>
          </w:tcPr>
          <w:p w14:paraId="3682FA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1149" w:type="dxa"/>
            <w:vMerge w:val="continue"/>
            <w:vAlign w:val="center"/>
          </w:tcPr>
          <w:p w14:paraId="60646C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900" w:type="dxa"/>
            <w:vMerge w:val="continue"/>
            <w:vAlign w:val="center"/>
          </w:tcPr>
          <w:p w14:paraId="450FCE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6696" w:type="dxa"/>
            <w:vAlign w:val="center"/>
          </w:tcPr>
          <w:p w14:paraId="15A4D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lang w:eastAsia="zh-CN"/>
              </w:rPr>
            </w:pPr>
            <w:r>
              <w:rPr>
                <w:rFonts w:hint="eastAsia" w:ascii="宋体" w:hAnsi="宋体" w:cs="宋体"/>
                <w:color w:val="auto"/>
                <w:kern w:val="2"/>
                <w:szCs w:val="22"/>
                <w:highlight w:val="none"/>
                <w:lang w:val="en-US" w:eastAsia="zh-CN"/>
              </w:rPr>
              <w:t>2.4</w:t>
            </w:r>
            <w:r>
              <w:rPr>
                <w:rFonts w:hint="eastAsia" w:ascii="宋体" w:hAnsi="宋体" w:eastAsia="宋体" w:cs="宋体"/>
                <w:color w:val="auto"/>
                <w:kern w:val="2"/>
                <w:szCs w:val="22"/>
                <w:highlight w:val="none"/>
              </w:rPr>
              <w:t>确保文明施工及环境保护的技术组织措施</w:t>
            </w:r>
            <w:r>
              <w:rPr>
                <w:rFonts w:hint="eastAsia" w:ascii="宋体" w:hAnsi="宋体" w:eastAsia="宋体" w:cs="宋体"/>
                <w:color w:val="auto"/>
                <w:kern w:val="2"/>
                <w:szCs w:val="22"/>
                <w:highlight w:val="none"/>
                <w:lang w:eastAsia="zh-CN"/>
              </w:rPr>
              <w:t>（</w:t>
            </w:r>
            <w:r>
              <w:rPr>
                <w:rFonts w:hint="eastAsia" w:ascii="宋体" w:hAnsi="宋体" w:eastAsia="宋体" w:cs="宋体"/>
                <w:color w:val="auto"/>
                <w:kern w:val="2"/>
                <w:szCs w:val="22"/>
                <w:highlight w:val="none"/>
                <w:lang w:val="en-US" w:eastAsia="zh-CN"/>
              </w:rPr>
              <w:t>6分</w:t>
            </w:r>
            <w:r>
              <w:rPr>
                <w:rFonts w:hint="eastAsia" w:ascii="宋体" w:hAnsi="宋体" w:eastAsia="宋体" w:cs="宋体"/>
                <w:color w:val="auto"/>
                <w:kern w:val="2"/>
                <w:szCs w:val="22"/>
                <w:highlight w:val="none"/>
                <w:lang w:eastAsia="zh-CN"/>
              </w:rPr>
              <w:t>）</w:t>
            </w:r>
          </w:p>
          <w:p w14:paraId="108848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rPr>
              <w:t>针对本项目提供完善的文明施工及环境保护的技术组织措施，内容包含但不限于：①安全文明施工目标及施工现场的管理措施；②文明施工保障措施；③环境保护管理体系及措施等。方案完整，完全包含以上3项且满足实际工作需求的得6分，每缺少一项扣2分，每有一项缺陷（缺陷是指不适用项目实际情况、凭空编造、存在逻辑漏洞、科学原理错误、不可能实现的夸大情形以及涉及的规范、标准与本项目要求不一致等）扣1分，扣完为止。说明：未提供不得分。</w:t>
            </w:r>
          </w:p>
        </w:tc>
      </w:tr>
      <w:tr w14:paraId="495CDB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01" w:hRule="atLeast"/>
          <w:tblHeader/>
          <w:jc w:val="center"/>
        </w:trPr>
        <w:tc>
          <w:tcPr>
            <w:tcW w:w="681" w:type="dxa"/>
            <w:vMerge w:val="continue"/>
            <w:vAlign w:val="center"/>
          </w:tcPr>
          <w:p w14:paraId="1A873A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1149" w:type="dxa"/>
            <w:vMerge w:val="continue"/>
            <w:vAlign w:val="center"/>
          </w:tcPr>
          <w:p w14:paraId="755BE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900" w:type="dxa"/>
            <w:vMerge w:val="continue"/>
            <w:vAlign w:val="center"/>
          </w:tcPr>
          <w:p w14:paraId="111796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6696" w:type="dxa"/>
            <w:vAlign w:val="center"/>
          </w:tcPr>
          <w:p w14:paraId="5E9840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lang w:eastAsia="zh-CN"/>
              </w:rPr>
            </w:pPr>
            <w:r>
              <w:rPr>
                <w:rFonts w:hint="eastAsia" w:ascii="宋体" w:hAnsi="宋体" w:cs="宋体"/>
                <w:color w:val="auto"/>
                <w:kern w:val="2"/>
                <w:szCs w:val="22"/>
                <w:highlight w:val="none"/>
                <w:lang w:val="en-US" w:eastAsia="zh-CN"/>
              </w:rPr>
              <w:t>2.5</w:t>
            </w:r>
            <w:r>
              <w:rPr>
                <w:rFonts w:hint="eastAsia" w:ascii="宋体" w:hAnsi="宋体" w:eastAsia="宋体" w:cs="宋体"/>
                <w:color w:val="auto"/>
                <w:kern w:val="2"/>
                <w:szCs w:val="22"/>
                <w:highlight w:val="none"/>
              </w:rPr>
              <w:t>确保工期的技术组织措施</w:t>
            </w:r>
            <w:r>
              <w:rPr>
                <w:rFonts w:hint="eastAsia" w:ascii="宋体" w:hAnsi="宋体" w:eastAsia="宋体" w:cs="宋体"/>
                <w:color w:val="auto"/>
                <w:kern w:val="2"/>
                <w:szCs w:val="22"/>
                <w:highlight w:val="none"/>
                <w:lang w:eastAsia="zh-CN"/>
              </w:rPr>
              <w:t>（</w:t>
            </w:r>
            <w:r>
              <w:rPr>
                <w:rFonts w:hint="eastAsia" w:ascii="宋体" w:hAnsi="宋体" w:eastAsia="宋体" w:cs="宋体"/>
                <w:color w:val="auto"/>
                <w:kern w:val="2"/>
                <w:szCs w:val="22"/>
                <w:highlight w:val="none"/>
                <w:lang w:val="en-US" w:eastAsia="zh-CN"/>
              </w:rPr>
              <w:t>6分</w:t>
            </w:r>
            <w:r>
              <w:rPr>
                <w:rFonts w:hint="eastAsia" w:ascii="宋体" w:hAnsi="宋体" w:eastAsia="宋体" w:cs="宋体"/>
                <w:color w:val="auto"/>
                <w:kern w:val="2"/>
                <w:szCs w:val="22"/>
                <w:highlight w:val="none"/>
                <w:lang w:eastAsia="zh-CN"/>
              </w:rPr>
              <w:t>）</w:t>
            </w:r>
          </w:p>
          <w:p w14:paraId="224D6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rPr>
              <w:t>针对本项目提供完善的工程进度计划与措施，内容包含但不限于：①工期目标及施工进度计划措施；②遇夜间、雨季、高温等情况的工期保证措施。方案完整，完全包含以上2项且满足实际工作需求的得6分，每缺少一项扣3分，每有一项缺陷（缺陷是指不适用项目实际情况、凭空编造、存在逻辑漏洞、科学原理错误、不可能实现的夸大情形以及涉及的规范、标准与本项目要求不一致等）扣1分，扣完为止。说明：未提供不得分。</w:t>
            </w:r>
          </w:p>
        </w:tc>
      </w:tr>
      <w:tr w14:paraId="1C70B6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10" w:hRule="atLeast"/>
          <w:tblHeader/>
          <w:jc w:val="center"/>
        </w:trPr>
        <w:tc>
          <w:tcPr>
            <w:tcW w:w="681" w:type="dxa"/>
            <w:vMerge w:val="continue"/>
            <w:vAlign w:val="center"/>
          </w:tcPr>
          <w:p w14:paraId="748CFB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1149" w:type="dxa"/>
            <w:vMerge w:val="continue"/>
            <w:vAlign w:val="center"/>
          </w:tcPr>
          <w:p w14:paraId="79CC7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900" w:type="dxa"/>
            <w:vMerge w:val="continue"/>
            <w:vAlign w:val="center"/>
          </w:tcPr>
          <w:p w14:paraId="2204A4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6696" w:type="dxa"/>
            <w:vAlign w:val="center"/>
          </w:tcPr>
          <w:p w14:paraId="511C38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lang w:eastAsia="zh-CN"/>
              </w:rPr>
            </w:pPr>
            <w:r>
              <w:rPr>
                <w:rFonts w:hint="eastAsia" w:ascii="宋体" w:hAnsi="宋体" w:cs="宋体"/>
                <w:color w:val="auto"/>
                <w:kern w:val="2"/>
                <w:szCs w:val="22"/>
                <w:highlight w:val="none"/>
                <w:lang w:val="en-US" w:eastAsia="zh-CN"/>
              </w:rPr>
              <w:t>2.6</w:t>
            </w:r>
            <w:r>
              <w:rPr>
                <w:rFonts w:hint="eastAsia" w:ascii="宋体" w:hAnsi="宋体" w:eastAsia="宋体" w:cs="宋体"/>
                <w:color w:val="auto"/>
                <w:kern w:val="2"/>
                <w:szCs w:val="22"/>
                <w:highlight w:val="none"/>
              </w:rPr>
              <w:t>施工机械配备及材料投入计划</w:t>
            </w:r>
            <w:r>
              <w:rPr>
                <w:rFonts w:hint="eastAsia" w:ascii="宋体" w:hAnsi="宋体" w:eastAsia="宋体" w:cs="宋体"/>
                <w:color w:val="auto"/>
                <w:kern w:val="2"/>
                <w:szCs w:val="22"/>
                <w:highlight w:val="none"/>
                <w:lang w:eastAsia="zh-CN"/>
              </w:rPr>
              <w:t>（</w:t>
            </w:r>
            <w:r>
              <w:rPr>
                <w:rFonts w:hint="eastAsia" w:ascii="宋体" w:hAnsi="宋体" w:eastAsia="宋体" w:cs="宋体"/>
                <w:color w:val="auto"/>
                <w:kern w:val="2"/>
                <w:szCs w:val="22"/>
                <w:highlight w:val="none"/>
                <w:lang w:val="en-US" w:eastAsia="zh-CN"/>
              </w:rPr>
              <w:t>9分</w:t>
            </w:r>
            <w:r>
              <w:rPr>
                <w:rFonts w:hint="eastAsia" w:ascii="宋体" w:hAnsi="宋体" w:eastAsia="宋体" w:cs="宋体"/>
                <w:color w:val="auto"/>
                <w:kern w:val="2"/>
                <w:szCs w:val="22"/>
                <w:highlight w:val="none"/>
                <w:lang w:eastAsia="zh-CN"/>
              </w:rPr>
              <w:t>）</w:t>
            </w:r>
          </w:p>
          <w:p w14:paraId="6F37C8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rPr>
              <w:t>提供针对本项目完善的资源配备计划，内容包含但不限于：①主要材料供应计划；②施工机械设备配备计划；③材料设备发生紧急情况的调度配备计划等。方案完整，完全包含以上3项且满足实际工作需求的得9分，每缺少一项扣3分，每有一项缺陷（缺陷是指不适用项目实际情况、凭空编造、存在逻辑漏洞、科学原理错误、不可能实现的夸大情形以及涉及的规范、标准与本项目要求不一致等）扣</w:t>
            </w:r>
            <w:r>
              <w:rPr>
                <w:rFonts w:hint="eastAsia" w:ascii="宋体" w:hAnsi="宋体" w:cs="宋体"/>
                <w:color w:val="auto"/>
                <w:kern w:val="2"/>
                <w:szCs w:val="22"/>
                <w:highlight w:val="none"/>
                <w:lang w:val="en-US" w:eastAsia="zh-CN"/>
              </w:rPr>
              <w:t>1</w:t>
            </w:r>
            <w:r>
              <w:rPr>
                <w:rFonts w:hint="eastAsia" w:ascii="宋体" w:hAnsi="宋体" w:eastAsia="宋体" w:cs="宋体"/>
                <w:color w:val="auto"/>
                <w:kern w:val="2"/>
                <w:szCs w:val="22"/>
                <w:highlight w:val="none"/>
              </w:rPr>
              <w:t>.5分，扣完为止。说明：未提供不得分。</w:t>
            </w:r>
          </w:p>
        </w:tc>
      </w:tr>
      <w:tr w14:paraId="15D550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6" w:hRule="atLeast"/>
          <w:tblHeader/>
          <w:jc w:val="center"/>
        </w:trPr>
        <w:tc>
          <w:tcPr>
            <w:tcW w:w="681" w:type="dxa"/>
            <w:vMerge w:val="continue"/>
            <w:vAlign w:val="center"/>
          </w:tcPr>
          <w:p w14:paraId="5EE86B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1149" w:type="dxa"/>
            <w:vMerge w:val="continue"/>
            <w:vAlign w:val="center"/>
          </w:tcPr>
          <w:p w14:paraId="02F88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900" w:type="dxa"/>
            <w:vMerge w:val="continue"/>
            <w:vAlign w:val="center"/>
          </w:tcPr>
          <w:p w14:paraId="2E360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6696" w:type="dxa"/>
            <w:vAlign w:val="center"/>
          </w:tcPr>
          <w:p w14:paraId="573E35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lang w:val="en-US" w:eastAsia="zh-CN"/>
              </w:rPr>
            </w:pPr>
            <w:r>
              <w:rPr>
                <w:rFonts w:hint="eastAsia" w:ascii="宋体" w:hAnsi="宋体" w:cs="宋体"/>
                <w:color w:val="auto"/>
                <w:kern w:val="2"/>
                <w:szCs w:val="22"/>
                <w:highlight w:val="none"/>
                <w:lang w:val="en-US" w:eastAsia="zh-CN"/>
              </w:rPr>
              <w:t>2.7</w:t>
            </w:r>
            <w:r>
              <w:rPr>
                <w:rFonts w:hint="eastAsia" w:ascii="宋体" w:hAnsi="宋体" w:eastAsia="宋体" w:cs="宋体"/>
                <w:color w:val="auto"/>
                <w:kern w:val="2"/>
                <w:szCs w:val="22"/>
                <w:highlight w:val="none"/>
              </w:rPr>
              <w:t>项目部组成人员</w:t>
            </w:r>
            <w:r>
              <w:rPr>
                <w:rFonts w:hint="eastAsia" w:ascii="宋体" w:hAnsi="宋体" w:eastAsia="宋体" w:cs="宋体"/>
                <w:color w:val="auto"/>
                <w:kern w:val="2"/>
                <w:szCs w:val="22"/>
                <w:highlight w:val="none"/>
                <w:lang w:val="en-US" w:eastAsia="zh-CN"/>
              </w:rPr>
              <w:t>（</w:t>
            </w:r>
            <w:r>
              <w:rPr>
                <w:rFonts w:hint="eastAsia" w:ascii="宋体" w:hAnsi="宋体" w:cs="宋体"/>
                <w:color w:val="auto"/>
                <w:kern w:val="2"/>
                <w:szCs w:val="22"/>
                <w:highlight w:val="none"/>
                <w:lang w:val="en-US" w:eastAsia="zh-CN"/>
              </w:rPr>
              <w:t>7</w:t>
            </w:r>
            <w:r>
              <w:rPr>
                <w:rFonts w:hint="eastAsia" w:ascii="宋体" w:hAnsi="宋体" w:eastAsia="宋体" w:cs="宋体"/>
                <w:color w:val="auto"/>
                <w:kern w:val="2"/>
                <w:szCs w:val="22"/>
                <w:highlight w:val="none"/>
                <w:lang w:val="en-US" w:eastAsia="zh-CN"/>
              </w:rPr>
              <w:t>分）</w:t>
            </w:r>
          </w:p>
          <w:p w14:paraId="2884A6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default"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rPr>
              <w:t>1）拟派人员数量和各专业搭配齐全，组织架构中（不含项目经理）至少包含施工员、安全员、质量员、资料员、材料员各1人（至少5人），满足以上基本要求得</w:t>
            </w:r>
            <w:r>
              <w:rPr>
                <w:rFonts w:hint="eastAsia" w:ascii="宋体" w:hAnsi="宋体" w:cs="宋体"/>
                <w:color w:val="auto"/>
                <w:kern w:val="2"/>
                <w:szCs w:val="22"/>
                <w:highlight w:val="none"/>
                <w:lang w:val="en-US" w:eastAsia="zh-CN"/>
              </w:rPr>
              <w:t>5</w:t>
            </w:r>
            <w:r>
              <w:rPr>
                <w:rFonts w:hint="eastAsia" w:ascii="宋体" w:hAnsi="宋体" w:eastAsia="宋体" w:cs="宋体"/>
                <w:color w:val="auto"/>
                <w:kern w:val="2"/>
                <w:szCs w:val="22"/>
                <w:highlight w:val="none"/>
              </w:rPr>
              <w:t xml:space="preserve">分，不满足不得分。每增加一名专业管理人员增加 1 分，最多加2分。注：以加盖投标人单位公章的证书复印件或扫描件为准。 </w:t>
            </w:r>
          </w:p>
        </w:tc>
      </w:tr>
      <w:tr w14:paraId="7443E4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6" w:hRule="atLeast"/>
          <w:tblHeader/>
          <w:jc w:val="center"/>
        </w:trPr>
        <w:tc>
          <w:tcPr>
            <w:tcW w:w="681" w:type="dxa"/>
            <w:vMerge w:val="continue"/>
            <w:vAlign w:val="center"/>
          </w:tcPr>
          <w:p w14:paraId="0E60B5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1149" w:type="dxa"/>
            <w:vMerge w:val="continue"/>
            <w:vAlign w:val="center"/>
          </w:tcPr>
          <w:p w14:paraId="5D5674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900" w:type="dxa"/>
            <w:vMerge w:val="continue"/>
            <w:vAlign w:val="center"/>
          </w:tcPr>
          <w:p w14:paraId="60A5AF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6696" w:type="dxa"/>
            <w:vAlign w:val="center"/>
          </w:tcPr>
          <w:p w14:paraId="1A0F26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lang w:eastAsia="zh-CN"/>
              </w:rPr>
            </w:pPr>
            <w:r>
              <w:rPr>
                <w:rFonts w:hint="eastAsia" w:ascii="宋体" w:hAnsi="宋体" w:cs="宋体"/>
                <w:color w:val="auto"/>
                <w:kern w:val="2"/>
                <w:szCs w:val="22"/>
                <w:highlight w:val="none"/>
                <w:lang w:val="en-US" w:eastAsia="zh-CN"/>
              </w:rPr>
              <w:t>2.8</w:t>
            </w:r>
            <w:r>
              <w:rPr>
                <w:rFonts w:hint="eastAsia" w:ascii="宋体" w:hAnsi="宋体" w:eastAsia="宋体" w:cs="宋体"/>
                <w:color w:val="auto"/>
                <w:kern w:val="2"/>
                <w:szCs w:val="22"/>
                <w:highlight w:val="none"/>
              </w:rPr>
              <w:t>施工进度表或施工网络图</w:t>
            </w:r>
            <w:r>
              <w:rPr>
                <w:rFonts w:hint="eastAsia" w:ascii="宋体" w:hAnsi="宋体" w:eastAsia="宋体" w:cs="宋体"/>
                <w:color w:val="auto"/>
                <w:kern w:val="2"/>
                <w:szCs w:val="22"/>
                <w:highlight w:val="none"/>
                <w:lang w:eastAsia="zh-CN"/>
              </w:rPr>
              <w:t>（</w:t>
            </w:r>
            <w:r>
              <w:rPr>
                <w:rFonts w:hint="eastAsia" w:ascii="宋体" w:hAnsi="宋体" w:cs="宋体"/>
                <w:color w:val="auto"/>
                <w:kern w:val="2"/>
                <w:szCs w:val="22"/>
                <w:highlight w:val="none"/>
                <w:lang w:val="en-US" w:eastAsia="zh-CN"/>
              </w:rPr>
              <w:t>2</w:t>
            </w:r>
            <w:r>
              <w:rPr>
                <w:rFonts w:hint="eastAsia" w:ascii="宋体" w:hAnsi="宋体" w:eastAsia="宋体" w:cs="宋体"/>
                <w:color w:val="auto"/>
                <w:kern w:val="2"/>
                <w:szCs w:val="22"/>
                <w:highlight w:val="none"/>
                <w:lang w:val="en-US" w:eastAsia="zh-CN"/>
              </w:rPr>
              <w:t>分</w:t>
            </w:r>
            <w:r>
              <w:rPr>
                <w:rFonts w:hint="eastAsia" w:ascii="宋体" w:hAnsi="宋体" w:eastAsia="宋体" w:cs="宋体"/>
                <w:color w:val="auto"/>
                <w:kern w:val="2"/>
                <w:szCs w:val="22"/>
                <w:highlight w:val="none"/>
                <w:lang w:eastAsia="zh-CN"/>
              </w:rPr>
              <w:t>）</w:t>
            </w:r>
          </w:p>
          <w:p w14:paraId="72EBBA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rPr>
              <w:t>针对本项目提供完善的施工进度表或施工网络图，图表内容完整，合理，得</w:t>
            </w:r>
            <w:r>
              <w:rPr>
                <w:rFonts w:hint="eastAsia" w:ascii="宋体" w:hAnsi="宋体" w:cs="宋体"/>
                <w:color w:val="auto"/>
                <w:kern w:val="2"/>
                <w:szCs w:val="22"/>
                <w:highlight w:val="none"/>
                <w:lang w:val="en-US" w:eastAsia="zh-CN"/>
              </w:rPr>
              <w:t>2</w:t>
            </w:r>
            <w:r>
              <w:rPr>
                <w:rFonts w:hint="eastAsia" w:ascii="宋体" w:hAnsi="宋体" w:eastAsia="宋体" w:cs="宋体"/>
                <w:color w:val="auto"/>
                <w:kern w:val="2"/>
                <w:szCs w:val="22"/>
                <w:highlight w:val="none"/>
              </w:rPr>
              <w:t>分；有一项缺陷（缺陷是指不适用项目实际情况、凭空编造、存在逻辑漏洞、科学原理错误、不可能实现的夸大情形以及涉及的规范、标准与本项目要求不一致等）扣1分，扣完为止。说明：未提供不得分。</w:t>
            </w:r>
          </w:p>
        </w:tc>
      </w:tr>
      <w:tr w14:paraId="6D7249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6" w:hRule="atLeast"/>
          <w:tblHeader/>
          <w:jc w:val="center"/>
        </w:trPr>
        <w:tc>
          <w:tcPr>
            <w:tcW w:w="681" w:type="dxa"/>
            <w:vMerge w:val="continue"/>
            <w:vAlign w:val="center"/>
          </w:tcPr>
          <w:p w14:paraId="3CF01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1149" w:type="dxa"/>
            <w:vMerge w:val="continue"/>
            <w:vAlign w:val="center"/>
          </w:tcPr>
          <w:p w14:paraId="7022FC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900" w:type="dxa"/>
            <w:vMerge w:val="continue"/>
            <w:vAlign w:val="center"/>
          </w:tcPr>
          <w:p w14:paraId="1D85E8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p>
        </w:tc>
        <w:tc>
          <w:tcPr>
            <w:tcW w:w="6696" w:type="dxa"/>
            <w:vAlign w:val="center"/>
          </w:tcPr>
          <w:p w14:paraId="465F44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lang w:eastAsia="zh-CN"/>
              </w:rPr>
            </w:pPr>
            <w:r>
              <w:rPr>
                <w:rFonts w:hint="eastAsia" w:ascii="宋体" w:hAnsi="宋体" w:cs="宋体"/>
                <w:color w:val="auto"/>
                <w:kern w:val="2"/>
                <w:szCs w:val="22"/>
                <w:highlight w:val="none"/>
                <w:lang w:val="en-US" w:eastAsia="zh-CN"/>
              </w:rPr>
              <w:t>2.9</w:t>
            </w:r>
            <w:r>
              <w:rPr>
                <w:rFonts w:hint="eastAsia" w:ascii="宋体" w:hAnsi="宋体" w:eastAsia="宋体" w:cs="宋体"/>
                <w:color w:val="auto"/>
                <w:kern w:val="2"/>
                <w:szCs w:val="22"/>
                <w:highlight w:val="none"/>
              </w:rPr>
              <w:t>劳动力安排计划及劳务分包情况表</w:t>
            </w:r>
            <w:r>
              <w:rPr>
                <w:rFonts w:hint="eastAsia" w:ascii="宋体" w:hAnsi="宋体" w:eastAsia="宋体" w:cs="宋体"/>
                <w:color w:val="auto"/>
                <w:kern w:val="2"/>
                <w:szCs w:val="22"/>
                <w:highlight w:val="none"/>
                <w:lang w:eastAsia="zh-CN"/>
              </w:rPr>
              <w:t>（</w:t>
            </w:r>
            <w:r>
              <w:rPr>
                <w:rFonts w:hint="eastAsia" w:ascii="宋体" w:hAnsi="宋体" w:cs="宋体"/>
                <w:color w:val="auto"/>
                <w:kern w:val="2"/>
                <w:szCs w:val="22"/>
                <w:highlight w:val="none"/>
                <w:lang w:val="en-US" w:eastAsia="zh-CN"/>
              </w:rPr>
              <w:t>6</w:t>
            </w:r>
            <w:r>
              <w:rPr>
                <w:rFonts w:hint="eastAsia" w:ascii="宋体" w:hAnsi="宋体" w:eastAsia="宋体" w:cs="宋体"/>
                <w:color w:val="auto"/>
                <w:kern w:val="2"/>
                <w:szCs w:val="22"/>
                <w:highlight w:val="none"/>
                <w:lang w:val="en-US" w:eastAsia="zh-CN"/>
              </w:rPr>
              <w:t>分</w:t>
            </w:r>
            <w:r>
              <w:rPr>
                <w:rFonts w:hint="eastAsia" w:ascii="宋体" w:hAnsi="宋体" w:eastAsia="宋体" w:cs="宋体"/>
                <w:color w:val="auto"/>
                <w:kern w:val="2"/>
                <w:szCs w:val="22"/>
                <w:highlight w:val="none"/>
                <w:lang w:eastAsia="zh-CN"/>
              </w:rPr>
              <w:t>）</w:t>
            </w:r>
          </w:p>
          <w:p w14:paraId="6819B2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rPr>
              <w:t>针对本项目提供完善的劳动力安排计划及劳务分包情况表，内容包含但不限于：①劳动力计划表及劳务分包情况表；②劳动力保障措施等。 方案完整，完全包含以上2项且满足实际工作需求的得</w:t>
            </w:r>
            <w:r>
              <w:rPr>
                <w:rFonts w:hint="eastAsia" w:ascii="宋体" w:hAnsi="宋体" w:cs="宋体"/>
                <w:color w:val="auto"/>
                <w:kern w:val="2"/>
                <w:szCs w:val="22"/>
                <w:highlight w:val="none"/>
                <w:lang w:val="en-US" w:eastAsia="zh-CN"/>
              </w:rPr>
              <w:t>6</w:t>
            </w:r>
            <w:r>
              <w:rPr>
                <w:rFonts w:hint="eastAsia" w:ascii="宋体" w:hAnsi="宋体" w:eastAsia="宋体" w:cs="宋体"/>
                <w:color w:val="auto"/>
                <w:kern w:val="2"/>
                <w:szCs w:val="22"/>
                <w:highlight w:val="none"/>
              </w:rPr>
              <w:t>分，每缺少一项扣</w:t>
            </w:r>
            <w:r>
              <w:rPr>
                <w:rFonts w:hint="eastAsia" w:ascii="宋体" w:hAnsi="宋体" w:cs="宋体"/>
                <w:color w:val="auto"/>
                <w:kern w:val="2"/>
                <w:szCs w:val="22"/>
                <w:highlight w:val="none"/>
                <w:lang w:val="en-US" w:eastAsia="zh-CN"/>
              </w:rPr>
              <w:t>3</w:t>
            </w:r>
            <w:r>
              <w:rPr>
                <w:rFonts w:hint="eastAsia" w:ascii="宋体" w:hAnsi="宋体" w:eastAsia="宋体" w:cs="宋体"/>
                <w:color w:val="auto"/>
                <w:kern w:val="2"/>
                <w:szCs w:val="22"/>
                <w:highlight w:val="none"/>
              </w:rPr>
              <w:t>分，每有一项缺陷（缺陷是指不适用项目实际情况、凭空编造、存在逻辑漏洞、科学原理错误、不可能实现的夸大情形以及涉及的规范、标准与本项目要求不一致等）扣1分，扣完为止。说明：未提供不得分。</w:t>
            </w:r>
          </w:p>
        </w:tc>
      </w:tr>
      <w:tr w14:paraId="1E0452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66" w:hRule="atLeast"/>
          <w:tblHeader/>
          <w:jc w:val="center"/>
        </w:trPr>
        <w:tc>
          <w:tcPr>
            <w:tcW w:w="681" w:type="dxa"/>
            <w:vAlign w:val="center"/>
          </w:tcPr>
          <w:p w14:paraId="5BDE76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lang w:eastAsia="zh-CN"/>
              </w:rPr>
            </w:pPr>
            <w:r>
              <w:rPr>
                <w:rFonts w:hint="eastAsia" w:ascii="宋体" w:hAnsi="宋体" w:cs="宋体"/>
                <w:color w:val="auto"/>
                <w:kern w:val="2"/>
                <w:szCs w:val="22"/>
                <w:highlight w:val="none"/>
                <w:lang w:val="en-US" w:eastAsia="zh-CN"/>
              </w:rPr>
              <w:t>3</w:t>
            </w:r>
          </w:p>
        </w:tc>
        <w:tc>
          <w:tcPr>
            <w:tcW w:w="1149" w:type="dxa"/>
            <w:vAlign w:val="center"/>
          </w:tcPr>
          <w:p w14:paraId="670F0C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近年完成</w:t>
            </w:r>
            <w:r>
              <w:rPr>
                <w:rFonts w:hint="eastAsia" w:ascii="宋体" w:hAnsi="宋体" w:cs="宋体"/>
                <w:color w:val="auto"/>
                <w:kern w:val="2"/>
                <w:szCs w:val="22"/>
                <w:highlight w:val="none"/>
                <w:lang w:val="en-US" w:eastAsia="zh-CN"/>
              </w:rPr>
              <w:t>类似</w:t>
            </w:r>
            <w:r>
              <w:rPr>
                <w:rFonts w:hint="eastAsia" w:ascii="宋体" w:hAnsi="宋体" w:eastAsia="宋体" w:cs="宋体"/>
                <w:color w:val="auto"/>
                <w:kern w:val="2"/>
                <w:szCs w:val="22"/>
                <w:highlight w:val="none"/>
              </w:rPr>
              <w:t>项目业绩</w:t>
            </w:r>
          </w:p>
        </w:tc>
        <w:tc>
          <w:tcPr>
            <w:tcW w:w="900" w:type="dxa"/>
            <w:vAlign w:val="center"/>
          </w:tcPr>
          <w:p w14:paraId="61733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cs="宋体"/>
                <w:color w:val="auto"/>
                <w:kern w:val="2"/>
                <w:szCs w:val="22"/>
                <w:highlight w:val="none"/>
                <w:lang w:val="en-US" w:eastAsia="zh-CN"/>
              </w:rPr>
              <w:t>6</w:t>
            </w:r>
            <w:r>
              <w:rPr>
                <w:rFonts w:hint="eastAsia" w:ascii="宋体" w:hAnsi="宋体" w:eastAsia="宋体" w:cs="宋体"/>
                <w:color w:val="auto"/>
                <w:kern w:val="2"/>
                <w:szCs w:val="22"/>
                <w:highlight w:val="none"/>
              </w:rPr>
              <w:t>分</w:t>
            </w:r>
          </w:p>
        </w:tc>
        <w:tc>
          <w:tcPr>
            <w:tcW w:w="6696" w:type="dxa"/>
            <w:vAlign w:val="center"/>
          </w:tcPr>
          <w:p w14:paraId="47BD92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供应商近年(自202</w:t>
            </w:r>
            <w:r>
              <w:rPr>
                <w:rFonts w:hint="eastAsia" w:ascii="宋体" w:hAnsi="宋体" w:cs="宋体"/>
                <w:color w:val="auto"/>
                <w:kern w:val="2"/>
                <w:szCs w:val="22"/>
                <w:highlight w:val="none"/>
                <w:lang w:val="en-US" w:eastAsia="zh-CN"/>
              </w:rPr>
              <w:t>3</w:t>
            </w:r>
            <w:r>
              <w:rPr>
                <w:rFonts w:hint="eastAsia" w:ascii="宋体" w:hAnsi="宋体" w:eastAsia="宋体" w:cs="宋体"/>
                <w:color w:val="auto"/>
                <w:kern w:val="2"/>
                <w:szCs w:val="22"/>
                <w:highlight w:val="none"/>
              </w:rPr>
              <w:t>年1月1日至今以合同签订日期为准)类似项目业绩，每提供一个业绩得</w:t>
            </w:r>
            <w:r>
              <w:rPr>
                <w:rFonts w:hint="eastAsia" w:ascii="宋体" w:hAnsi="宋体" w:cs="宋体"/>
                <w:color w:val="auto"/>
                <w:kern w:val="2"/>
                <w:szCs w:val="22"/>
                <w:highlight w:val="none"/>
                <w:lang w:val="en-US" w:eastAsia="zh-CN"/>
              </w:rPr>
              <w:t>3</w:t>
            </w:r>
            <w:r>
              <w:rPr>
                <w:rFonts w:hint="eastAsia" w:ascii="宋体" w:hAnsi="宋体" w:eastAsia="宋体" w:cs="宋体"/>
                <w:color w:val="auto"/>
                <w:kern w:val="2"/>
                <w:szCs w:val="22"/>
                <w:highlight w:val="none"/>
              </w:rPr>
              <w:t>分，最多得6分；（须附类似项目业绩合同的复印件或扫描件，并加盖公章）</w:t>
            </w:r>
          </w:p>
        </w:tc>
      </w:tr>
      <w:tr w14:paraId="0B95A0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0" w:hRule="atLeast"/>
          <w:tblHeader/>
          <w:jc w:val="center"/>
        </w:trPr>
        <w:tc>
          <w:tcPr>
            <w:tcW w:w="1830" w:type="dxa"/>
            <w:gridSpan w:val="2"/>
            <w:vAlign w:val="center"/>
          </w:tcPr>
          <w:p w14:paraId="59769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合计</w:t>
            </w:r>
          </w:p>
        </w:tc>
        <w:tc>
          <w:tcPr>
            <w:tcW w:w="900" w:type="dxa"/>
            <w:vAlign w:val="center"/>
          </w:tcPr>
          <w:p w14:paraId="1FFDF7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100分</w:t>
            </w:r>
          </w:p>
        </w:tc>
        <w:tc>
          <w:tcPr>
            <w:tcW w:w="6696" w:type="dxa"/>
            <w:vAlign w:val="center"/>
          </w:tcPr>
          <w:p w14:paraId="5857C3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总得分=1至</w:t>
            </w:r>
            <w:r>
              <w:rPr>
                <w:rFonts w:hint="eastAsia" w:ascii="宋体" w:hAnsi="宋体" w:cs="宋体"/>
                <w:color w:val="auto"/>
                <w:kern w:val="2"/>
                <w:szCs w:val="22"/>
                <w:highlight w:val="none"/>
                <w:lang w:val="en-US" w:eastAsia="zh-CN"/>
              </w:rPr>
              <w:t>3</w:t>
            </w:r>
            <w:r>
              <w:rPr>
                <w:rFonts w:hint="eastAsia" w:ascii="宋体" w:hAnsi="宋体" w:eastAsia="宋体" w:cs="宋体"/>
                <w:color w:val="auto"/>
                <w:kern w:val="2"/>
                <w:szCs w:val="22"/>
                <w:highlight w:val="none"/>
              </w:rPr>
              <w:t>项所含内容</w:t>
            </w:r>
          </w:p>
        </w:tc>
      </w:tr>
    </w:tbl>
    <w:p w14:paraId="5A2979F6">
      <w:pPr>
        <w:keepNext w:val="0"/>
        <w:keepLines w:val="0"/>
        <w:pageBreakBefore w:val="0"/>
        <w:numPr>
          <w:ilvl w:val="0"/>
          <w:numId w:val="0"/>
        </w:numPr>
        <w:kinsoku/>
        <w:wordWrap/>
        <w:overflowPunct/>
        <w:topLinePunct w:val="0"/>
        <w:autoSpaceDE/>
        <w:autoSpaceDN/>
        <w:bidi w:val="0"/>
        <w:adjustRightInd/>
        <w:snapToGrid/>
        <w:spacing w:line="460" w:lineRule="exact"/>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 w:val="21"/>
          <w:szCs w:val="21"/>
          <w:highlight w:val="none"/>
          <w:u w:color="000000"/>
          <w:lang w:val="zh-CN" w:eastAsia="zh-CN" w:bidi="ar-SA"/>
        </w:rPr>
        <w:t>3、</w:t>
      </w:r>
      <w:r>
        <w:rPr>
          <w:rFonts w:hint="eastAsia" w:ascii="宋体" w:hAnsi="宋体" w:eastAsia="宋体" w:cs="宋体"/>
          <w:color w:val="auto"/>
          <w:szCs w:val="21"/>
          <w:highlight w:val="none"/>
          <w:lang w:val="zh-CN" w:eastAsia="zh-CN"/>
        </w:rPr>
        <w:t>供应商</w:t>
      </w:r>
      <w:r>
        <w:rPr>
          <w:rFonts w:hint="eastAsia" w:ascii="宋体" w:hAnsi="宋体" w:eastAsia="宋体" w:cs="宋体"/>
          <w:color w:val="auto"/>
          <w:szCs w:val="21"/>
          <w:highlight w:val="none"/>
          <w:lang w:val="zh-CN"/>
        </w:rPr>
        <w:t>总得分相同时，则依次比较施工组织设计、近年完成</w:t>
      </w:r>
      <w:r>
        <w:rPr>
          <w:rFonts w:hint="eastAsia" w:ascii="宋体" w:hAnsi="宋体" w:cs="宋体"/>
          <w:color w:val="auto"/>
          <w:szCs w:val="21"/>
          <w:highlight w:val="none"/>
          <w:lang w:val="en-US" w:eastAsia="zh-CN"/>
        </w:rPr>
        <w:t>类似</w:t>
      </w:r>
      <w:r>
        <w:rPr>
          <w:rFonts w:hint="eastAsia" w:ascii="宋体" w:hAnsi="宋体" w:eastAsia="宋体" w:cs="宋体"/>
          <w:color w:val="auto"/>
          <w:szCs w:val="21"/>
          <w:highlight w:val="none"/>
          <w:lang w:val="zh-CN"/>
        </w:rPr>
        <w:t>项目业绩。单项得分高者优先，决定中标候选顺序。</w:t>
      </w:r>
    </w:p>
    <w:p w14:paraId="6886D2D9">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4、本项目落实政府采购政策</w:t>
      </w:r>
    </w:p>
    <w:p w14:paraId="21AD9AC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4.1、投标企业政府采购政策</w:t>
      </w:r>
    </w:p>
    <w:p w14:paraId="130AD65E">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（1）中小企业落实政府采购政策</w:t>
      </w:r>
    </w:p>
    <w:p w14:paraId="01EA5AB8">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①采购活动执行《政府采购促进中小企业发展管理办法》的通知财库〔2020〕46号的规定。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w:t>
      </w:r>
      <w:r>
        <w:rPr>
          <w:rFonts w:hint="eastAsia" w:ascii="宋体" w:hAnsi="宋体" w:eastAsia="宋体" w:cs="宋体"/>
          <w:color w:val="auto"/>
          <w:szCs w:val="21"/>
          <w:highlight w:val="none"/>
        </w:rPr>
        <w:t>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3781343F">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②中小企业参加政府采购活动，应当出具本办法规定的《中小企业声明函》，否则不得享受相关中小企业扶持政策。任何单位和个人不得要求供应商提供《中小企业声明函》之外的中小企业身份证明文件。（2）</w:t>
      </w:r>
      <w:r>
        <w:rPr>
          <w:rFonts w:hint="eastAsia" w:ascii="宋体" w:hAnsi="宋体" w:eastAsia="宋体" w:cs="宋体"/>
          <w:color w:val="auto"/>
          <w:szCs w:val="21"/>
          <w:highlight w:val="none"/>
          <w:lang w:val="zh-CN"/>
        </w:rPr>
        <w:t>监狱和戒毒企业</w:t>
      </w:r>
      <w:r>
        <w:rPr>
          <w:rFonts w:hint="eastAsia" w:ascii="宋体" w:hAnsi="宋体" w:eastAsia="宋体" w:cs="宋体"/>
          <w:color w:val="auto"/>
          <w:szCs w:val="21"/>
          <w:highlight w:val="none"/>
        </w:rPr>
        <w:t>落实政府采购政策</w:t>
      </w:r>
    </w:p>
    <w:p w14:paraId="26983E33">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监狱和戒毒企业应符合《财政部</w:t>
      </w:r>
      <w:r>
        <w:rPr>
          <w:rFonts w:hint="eastAsia" w:ascii="宋体" w:hAnsi="宋体" w:eastAsia="宋体" w:cs="宋体"/>
          <w:color w:val="auto"/>
          <w:szCs w:val="21"/>
          <w:highlight w:val="none"/>
        </w:rPr>
        <w:t>、司法部关于政府采购支持监狱企业发展有关问题的通知》--财库[2014]68号</w:t>
      </w:r>
      <w:r>
        <w:rPr>
          <w:rFonts w:hint="eastAsia" w:ascii="宋体" w:hAnsi="宋体" w:eastAsia="宋体" w:cs="宋体"/>
          <w:color w:val="auto"/>
          <w:szCs w:val="21"/>
          <w:highlight w:val="none"/>
          <w:lang w:val="zh-CN"/>
        </w:rPr>
        <w:t>，并提供由省级以上监狱管理局、戒毒管理局(含新疆生产建设兵团)出具的属于监狱企业的证明，</w:t>
      </w:r>
      <w:r>
        <w:rPr>
          <w:rFonts w:hint="eastAsia" w:ascii="宋体" w:hAnsi="宋体" w:eastAsia="宋体" w:cs="宋体"/>
          <w:color w:val="auto"/>
          <w:szCs w:val="21"/>
          <w:highlight w:val="none"/>
        </w:rPr>
        <w:t>开标时提供原件备查。</w:t>
      </w:r>
    </w:p>
    <w:p w14:paraId="5B8E993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（3）残疾人福利性单位落实政府采购政策</w:t>
      </w:r>
    </w:p>
    <w:p w14:paraId="6B8B0EB9">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省民政厅、省财政厅和省残联联合出台《关于政府采购优先购买福利性企业产品和服务的意见》（陕民发（2015）1号），要求进一步促进福利性企业（福利性企业指社会福利企业和集中安排残疾人就业单位）持续健康发展，有效解决残疾人集中就业问题，充分发挥政府采购政策功能。</w:t>
      </w:r>
    </w:p>
    <w:p w14:paraId="4F5C7726">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残疾人福利性单位应符合财库〔2017〕141号规定，提供本单位制造的货物、承担的项目或者服务（以下简称产品），或者提供其他残疾人福利性单位制造的货物（不包括使用非残疾人福利性单位注册商标的货物）。</w:t>
      </w:r>
    </w:p>
    <w:p w14:paraId="21786EE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③投标供应商须按照财库〔2017〕141号规定，提供《残疾人福利性单位声明函》，并对声明的真实性负责。以此为依据享受政府采购政策。</w:t>
      </w:r>
    </w:p>
    <w:p w14:paraId="7A91D435">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④中标、中标供应商为残疾人福利性单位的，采购人或者其委托的采购代理机构应当随中标、中标结果同时公告其《残疾人福利性单位声明函》，接受社会监督。</w:t>
      </w:r>
    </w:p>
    <w:p w14:paraId="38736429">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（4）投标供应商应如实提供以上证明文件，如存在虚假应标，将取消其投标资格。</w:t>
      </w:r>
    </w:p>
    <w:p w14:paraId="311508A4">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2、投标产品政府采购政策</w:t>
      </w:r>
      <w:bookmarkStart w:id="243" w:name="_GoBack"/>
      <w:bookmarkEnd w:id="243"/>
    </w:p>
    <w:p w14:paraId="0A0060FF">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（1）节能产品</w:t>
      </w:r>
      <w:r>
        <w:rPr>
          <w:rFonts w:hint="eastAsia" w:ascii="宋体" w:hAnsi="宋体" w:eastAsia="宋体" w:cs="宋体"/>
          <w:color w:val="auto"/>
          <w:szCs w:val="21"/>
          <w:highlight w:val="none"/>
          <w:lang w:val="zh-CN"/>
        </w:rPr>
        <w:t>根据《国务院办公厅关于建立政府强制采购节能产品制度的通知》</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国办发[2007] 51号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的规定</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以中国政府采购网</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http://www.ccgp.gov.cn/</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公布的最新一期节能产品政府采购清单为准。</w:t>
      </w:r>
    </w:p>
    <w:p w14:paraId="3D2C1DE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（2）环境标志产品</w:t>
      </w:r>
      <w:r>
        <w:rPr>
          <w:rFonts w:hint="eastAsia" w:ascii="宋体" w:hAnsi="宋体" w:eastAsia="宋体" w:cs="宋体"/>
          <w:color w:val="auto"/>
          <w:szCs w:val="21"/>
          <w:highlight w:val="none"/>
          <w:lang w:val="zh-CN"/>
        </w:rPr>
        <w:t>根据</w:t>
      </w:r>
      <w:r>
        <w:rPr>
          <w:rFonts w:hint="eastAsia" w:ascii="宋体" w:hAnsi="宋体" w:eastAsia="宋体" w:cs="宋体"/>
          <w:sz w:val="21"/>
          <w:szCs w:val="21"/>
        </w:rPr>
        <w:t>《财政部发展改革委生态环境部市场监管总局关于调整优化节能产品、环境标志产品政府采购执行机制的通知》--（财库[2019]9号）</w:t>
      </w:r>
      <w:r>
        <w:rPr>
          <w:rFonts w:hint="eastAsia" w:ascii="宋体" w:hAnsi="宋体" w:eastAsia="宋体" w:cs="宋体"/>
          <w:color w:val="auto"/>
          <w:szCs w:val="21"/>
          <w:highlight w:val="none"/>
          <w:lang w:val="zh-CN"/>
        </w:rPr>
        <w:t>的规定</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以中国政府采购网</w:t>
      </w:r>
      <w:r>
        <w:rPr>
          <w:rFonts w:hint="eastAsia" w:ascii="宋体" w:hAnsi="宋体" w:eastAsia="宋体" w:cs="宋体"/>
          <w:color w:val="auto"/>
          <w:szCs w:val="21"/>
          <w:highlight w:val="none"/>
        </w:rPr>
        <w:t>（http://www.ccgp.gov.cn/）</w:t>
      </w:r>
      <w:r>
        <w:rPr>
          <w:rFonts w:hint="eastAsia" w:ascii="宋体" w:hAnsi="宋体" w:eastAsia="宋体" w:cs="宋体"/>
          <w:color w:val="auto"/>
          <w:szCs w:val="21"/>
          <w:highlight w:val="none"/>
          <w:lang w:val="zh-CN"/>
        </w:rPr>
        <w:t>公布的最新一期环境标志产品政府采购清单为准。</w:t>
      </w:r>
    </w:p>
    <w:p w14:paraId="17A593A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投标供应商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7BAE3346">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若节能、环保、环境标志清单内的产品仅是构成投标产品的部件、组件或零件的，则该投标产品不享受鼓励优惠政策。</w:t>
      </w:r>
    </w:p>
    <w:p w14:paraId="3616FC84">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同一标段的节能、环保、环境标志产品部分优惠只对属于清单内的非强制类产品进行优惠，强制类产品不给予优惠。</w:t>
      </w:r>
    </w:p>
    <w:p w14:paraId="72B2DD3E">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节能、环保、环境标志产品不重复优惠；同时列入国家级清单和省级清单的产品不重复优惠。</w:t>
      </w:r>
    </w:p>
    <w:p w14:paraId="2847F5BB">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获得上述认证的产品在投标时应提供有效证明材料。以上所有证明文件复印件须加盖供应商公章并注明“与原件一致”，否则不予优惠。</w:t>
      </w:r>
    </w:p>
    <w:p w14:paraId="43DB3D0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3、价格优惠比例</w:t>
      </w:r>
    </w:p>
    <w:p w14:paraId="34D5038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投标企业优惠比例</w:t>
      </w:r>
    </w:p>
    <w:p w14:paraId="05F54740">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b/>
          <w:bCs/>
          <w:color w:val="auto"/>
          <w:szCs w:val="21"/>
          <w:highlight w:val="none"/>
          <w:lang w:val="zh-CN"/>
        </w:rPr>
      </w:pPr>
      <w:r>
        <w:rPr>
          <w:rFonts w:hint="eastAsia" w:ascii="宋体" w:hAnsi="宋体" w:eastAsia="宋体" w:cs="宋体"/>
          <w:b w:val="0"/>
          <w:bCs/>
          <w:color w:val="auto"/>
          <w:sz w:val="21"/>
          <w:szCs w:val="21"/>
          <w:highlight w:val="none"/>
        </w:rPr>
        <w:t>本项目专门面向中小企业采购，须符合《政府采购促进中小企业发展管理办法》（财库〔2020〕46号）规定的中</w:t>
      </w:r>
      <w:r>
        <w:rPr>
          <w:rFonts w:hint="eastAsia" w:ascii="宋体" w:hAnsi="宋体" w:eastAsia="宋体" w:cs="宋体"/>
          <w:b w:val="0"/>
          <w:bCs/>
          <w:color w:val="auto"/>
          <w:sz w:val="21"/>
          <w:szCs w:val="21"/>
          <w:highlight w:val="none"/>
          <w:lang w:val="en-US" w:eastAsia="zh-CN"/>
        </w:rPr>
        <w:t>型</w:t>
      </w:r>
      <w:r>
        <w:rPr>
          <w:rFonts w:hint="eastAsia" w:ascii="宋体" w:hAnsi="宋体" w:eastAsia="宋体" w:cs="宋体"/>
          <w:b w:val="0"/>
          <w:bCs/>
          <w:color w:val="auto"/>
          <w:sz w:val="21"/>
          <w:szCs w:val="21"/>
          <w:highlight w:val="none"/>
        </w:rPr>
        <w:t>企业或小型企业</w:t>
      </w:r>
      <w:r>
        <w:rPr>
          <w:rFonts w:hint="eastAsia" w:ascii="宋体" w:hAnsi="宋体" w:eastAsia="宋体" w:cs="宋体"/>
          <w:b w:val="0"/>
          <w:bCs/>
          <w:color w:val="auto"/>
          <w:sz w:val="21"/>
          <w:szCs w:val="21"/>
          <w:highlight w:val="none"/>
          <w:lang w:val="en-US" w:eastAsia="zh-CN"/>
        </w:rPr>
        <w:t>或</w:t>
      </w:r>
      <w:r>
        <w:rPr>
          <w:rFonts w:hint="eastAsia" w:ascii="宋体" w:hAnsi="宋体" w:eastAsia="宋体" w:cs="宋体"/>
          <w:b w:val="0"/>
          <w:bCs/>
          <w:color w:val="auto"/>
          <w:sz w:val="21"/>
          <w:szCs w:val="21"/>
          <w:highlight w:val="none"/>
        </w:rPr>
        <w:t>微型企业参与投标</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Cs w:val="21"/>
          <w:highlight w:val="none"/>
          <w:lang w:val="zh-CN"/>
        </w:rPr>
        <w:t>并提供中小企业声明函，其划型标准严格按照国家工信部、国家统计局、国家发改委、财政部出台的《中小企业划型标准规定》（工信部联企业[2011]300号）执行。本项目不再执行价格评审优惠的扶持政策。供应商提供的《中小企业声明函》资料必须真实，否则，按照有关规定予以处理。（残疾人福利性企业及监狱企业视同为小型、微型企业）</w:t>
      </w:r>
    </w:p>
    <w:p w14:paraId="3AC28958">
      <w:pPr>
        <w:pageBreakBefore w:val="0"/>
        <w:numPr>
          <w:ilvl w:val="0"/>
          <w:numId w:val="0"/>
        </w:numPr>
        <w:kinsoku/>
        <w:wordWrap/>
        <w:overflowPunct/>
        <w:topLinePunct w:val="0"/>
        <w:autoSpaceDE/>
        <w:autoSpaceDN/>
        <w:bidi w:val="0"/>
        <w:spacing w:line="480" w:lineRule="exact"/>
        <w:ind w:left="211" w:leftChars="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eastAsia="zh-CN"/>
        </w:rPr>
        <w:t>五</w:t>
      </w:r>
      <w:r>
        <w:rPr>
          <w:rFonts w:hint="eastAsia" w:ascii="宋体" w:hAnsi="宋体" w:eastAsia="宋体" w:cs="宋体"/>
          <w:b/>
          <w:color w:val="auto"/>
          <w:sz w:val="28"/>
          <w:szCs w:val="28"/>
          <w:highlight w:val="none"/>
        </w:rPr>
        <w:t>）推荐</w:t>
      </w:r>
      <w:r>
        <w:rPr>
          <w:rFonts w:hint="eastAsia" w:ascii="宋体" w:hAnsi="宋体" w:eastAsia="宋体" w:cs="宋体"/>
          <w:b/>
          <w:color w:val="auto"/>
          <w:sz w:val="28"/>
          <w:szCs w:val="28"/>
          <w:highlight w:val="none"/>
          <w:lang w:eastAsia="zh-CN"/>
        </w:rPr>
        <w:t>成交候选人</w:t>
      </w:r>
    </w:p>
    <w:p w14:paraId="66E31533">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1、评委会将向采购人推荐1-3名成交候选人。</w:t>
      </w:r>
    </w:p>
    <w:p w14:paraId="1C44F872">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2、供应商得分相同时，按竞争性磋商响应文件综合响应程度得分高者优先，决定成交候选顺序。</w:t>
      </w:r>
    </w:p>
    <w:p w14:paraId="0CF3646F">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3、采购人对成交候选人进行确认，签订合同等事宜。</w:t>
      </w:r>
    </w:p>
    <w:p w14:paraId="093C4F8F">
      <w:pPr>
        <w:pageBreakBefore w:val="0"/>
        <w:kinsoku/>
        <w:wordWrap/>
        <w:overflowPunct/>
        <w:topLinePunct w:val="0"/>
        <w:autoSpaceDE/>
        <w:autoSpaceDN/>
        <w:bidi w:val="0"/>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eastAsia="zh-CN"/>
        </w:rPr>
        <w:t>六</w:t>
      </w:r>
      <w:r>
        <w:rPr>
          <w:rFonts w:hint="eastAsia" w:ascii="宋体" w:hAnsi="宋体" w:eastAsia="宋体" w:cs="宋体"/>
          <w:b/>
          <w:color w:val="auto"/>
          <w:sz w:val="28"/>
          <w:szCs w:val="28"/>
          <w:highlight w:val="none"/>
        </w:rPr>
        <w:t>）确定</w:t>
      </w:r>
      <w:r>
        <w:rPr>
          <w:rFonts w:hint="eastAsia" w:ascii="宋体" w:hAnsi="宋体" w:eastAsia="宋体" w:cs="宋体"/>
          <w:b/>
          <w:color w:val="auto"/>
          <w:sz w:val="28"/>
          <w:szCs w:val="28"/>
          <w:highlight w:val="none"/>
          <w:lang w:eastAsia="zh-CN"/>
        </w:rPr>
        <w:t>成交单位</w:t>
      </w:r>
      <w:r>
        <w:rPr>
          <w:rFonts w:hint="eastAsia" w:ascii="宋体" w:hAnsi="宋体" w:eastAsia="宋体" w:cs="宋体"/>
          <w:b/>
          <w:color w:val="auto"/>
          <w:sz w:val="28"/>
          <w:szCs w:val="28"/>
          <w:highlight w:val="none"/>
        </w:rPr>
        <w:t>及签订合同</w:t>
      </w:r>
    </w:p>
    <w:p w14:paraId="3AB3BCC9">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bookmarkStart w:id="29" w:name="_Toc23888"/>
      <w:bookmarkStart w:id="30" w:name="_Toc10579"/>
      <w:bookmarkStart w:id="31" w:name="_Toc1004"/>
      <w:bookmarkStart w:id="32" w:name="_Toc450138942"/>
      <w:bookmarkStart w:id="33" w:name="_Toc30861"/>
      <w:bookmarkStart w:id="34" w:name="_Toc6518"/>
      <w:r>
        <w:rPr>
          <w:rFonts w:hint="eastAsia" w:ascii="宋体" w:hAnsi="宋体" w:eastAsia="宋体" w:cs="宋体"/>
          <w:color w:val="auto"/>
          <w:szCs w:val="21"/>
          <w:highlight w:val="none"/>
        </w:rPr>
        <w:t>1、确定成交人。代理机构将于采购人依法确定成交人后发布成交公告，并向成交人发出成交通知书。</w:t>
      </w:r>
    </w:p>
    <w:p w14:paraId="6860E39D">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2、采购人在签订合同时，保留根据项目实际情况在合法范围内进行调整的权力，包括对货物数量及服务予以增加或减少。</w:t>
      </w:r>
    </w:p>
    <w:p w14:paraId="15570C73">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3、签订合同。</w:t>
      </w:r>
    </w:p>
    <w:p w14:paraId="0FC4F882">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（1）成交人应及时与采购人签订合同，代理机构作为见证方见证。</w:t>
      </w:r>
    </w:p>
    <w:p w14:paraId="48E94C0E">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（2）如果成交人未能按规定领取成交通知书并签约，</w:t>
      </w:r>
      <w:r>
        <w:rPr>
          <w:rFonts w:hint="eastAsia" w:ascii="宋体" w:hAnsi="宋体" w:eastAsia="宋体" w:cs="宋体"/>
          <w:color w:val="auto"/>
          <w:spacing w:val="-4"/>
          <w:szCs w:val="21"/>
          <w:highlight w:val="none"/>
        </w:rPr>
        <w:t>经监管部门同意后，</w:t>
      </w:r>
      <w:r>
        <w:rPr>
          <w:rFonts w:hint="eastAsia" w:ascii="宋体" w:hAnsi="宋体" w:eastAsia="宋体" w:cs="宋体"/>
          <w:color w:val="auto"/>
          <w:szCs w:val="21"/>
          <w:highlight w:val="none"/>
        </w:rPr>
        <w:t>采购人将取消其成交资格。在此情况下将另选成交人或重新招标。</w:t>
      </w:r>
    </w:p>
    <w:p w14:paraId="36667A46">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4、竞争性磋商文件、成交人的竞争性磋商响应文件、对竞争性磋商响应文件的书面澄清、成交通知书等均作为合同的附件，是合同的组成部分。</w:t>
      </w:r>
    </w:p>
    <w:p w14:paraId="2E3725AB">
      <w:pPr>
        <w:spacing w:line="560" w:lineRule="exact"/>
        <w:jc w:val="left"/>
        <w:rPr>
          <w:rFonts w:hint="eastAsia" w:ascii="宋体" w:hAnsi="宋体" w:eastAsia="宋体" w:cs="宋体"/>
          <w:color w:val="auto"/>
          <w:szCs w:val="21"/>
          <w:highlight w:val="none"/>
        </w:rPr>
        <w:sectPr>
          <w:footerReference r:id="rId11" w:type="first"/>
          <w:footerReference r:id="rId10" w:type="default"/>
          <w:pgSz w:w="11906" w:h="16838"/>
          <w:pgMar w:top="1440" w:right="1800" w:bottom="1440" w:left="1800" w:header="284" w:footer="680" w:gutter="0"/>
          <w:pgNumType w:start="1"/>
          <w:cols w:space="720" w:num="1"/>
          <w:docGrid w:type="lines" w:linePitch="312" w:charSpace="0"/>
        </w:sectPr>
      </w:pPr>
    </w:p>
    <w:p w14:paraId="25D7AF1C">
      <w:pPr>
        <w:pStyle w:val="2"/>
        <w:pageBreakBefore w:val="0"/>
        <w:numPr>
          <w:ilvl w:val="0"/>
          <w:numId w:val="0"/>
        </w:numPr>
        <w:wordWrap/>
        <w:overflowPunct/>
        <w:topLinePunct w:val="0"/>
        <w:bidi w:val="0"/>
        <w:spacing w:line="240" w:lineRule="auto"/>
        <w:rPr>
          <w:rFonts w:hint="eastAsia" w:ascii="宋体" w:hAnsi="宋体" w:eastAsia="宋体" w:cs="宋体"/>
          <w:color w:val="auto"/>
          <w:highlight w:val="none"/>
          <w:lang w:eastAsia="zh-CN"/>
        </w:rPr>
      </w:pPr>
      <w:bookmarkStart w:id="35" w:name="_Toc31651"/>
      <w:r>
        <w:rPr>
          <w:rFonts w:hint="eastAsia" w:ascii="宋体" w:hAnsi="宋体" w:eastAsia="宋体" w:cs="宋体"/>
          <w:b/>
          <w:color w:val="auto"/>
          <w:kern w:val="44"/>
          <w:sz w:val="36"/>
          <w:szCs w:val="22"/>
          <w:highlight w:val="none"/>
          <w:u w:color="000000"/>
          <w:lang w:val="en-US" w:eastAsia="zh-CN" w:bidi="ar-SA"/>
        </w:rPr>
        <w:t>第三部分</w:t>
      </w:r>
      <w:r>
        <w:rPr>
          <w:rFonts w:hint="eastAsia" w:ascii="宋体" w:hAnsi="宋体" w:eastAsia="宋体" w:cs="宋体"/>
          <w:color w:val="auto"/>
          <w:highlight w:val="none"/>
          <w:lang w:val="zh-CN"/>
        </w:rPr>
        <w:t xml:space="preserve"> </w:t>
      </w:r>
      <w:bookmarkEnd w:id="29"/>
      <w:bookmarkEnd w:id="30"/>
      <w:bookmarkEnd w:id="31"/>
      <w:bookmarkEnd w:id="32"/>
      <w:bookmarkEnd w:id="33"/>
      <w:bookmarkEnd w:id="34"/>
      <w:bookmarkStart w:id="36" w:name="_Toc24115"/>
      <w:bookmarkStart w:id="37" w:name="_Toc26038"/>
      <w:bookmarkStart w:id="38" w:name="_Toc25253"/>
      <w:bookmarkStart w:id="39" w:name="_Toc3773"/>
      <w:bookmarkStart w:id="40" w:name="_Toc15858"/>
      <w:r>
        <w:rPr>
          <w:rFonts w:hint="eastAsia" w:ascii="宋体" w:hAnsi="宋体" w:eastAsia="宋体" w:cs="宋体"/>
          <w:color w:val="auto"/>
          <w:highlight w:val="none"/>
          <w:lang w:val="zh-CN"/>
        </w:rPr>
        <w:t>磋商项目技术、服务、商务及其他要求</w:t>
      </w:r>
      <w:bookmarkEnd w:id="35"/>
    </w:p>
    <w:p w14:paraId="54F907B8">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42BD1354">
      <w:pPr>
        <w:keepNext w:val="0"/>
        <w:keepLines w:val="0"/>
        <w:pageBreakBefore w:val="0"/>
        <w:widowControl/>
        <w:kinsoku/>
        <w:wordWrap/>
        <w:overflowPunct/>
        <w:topLinePunct w:val="0"/>
        <w:autoSpaceDE/>
        <w:autoSpaceDN/>
        <w:bidi w:val="0"/>
        <w:adjustRightInd/>
        <w:snapToGrid/>
        <w:spacing w:line="480" w:lineRule="exact"/>
        <w:ind w:firstLine="422" w:firstLineChars="200"/>
        <w:textAlignment w:val="baseline"/>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3.1技术、服务及商务要求</w:t>
      </w:r>
    </w:p>
    <w:p w14:paraId="52F2A0D1">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采购包1：</w:t>
      </w:r>
    </w:p>
    <w:p w14:paraId="5BCFA7F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采购包预算金额（元）:980,810.58</w:t>
      </w:r>
    </w:p>
    <w:p w14:paraId="3761B6D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采购包最高限价（元）:980,810.58</w:t>
      </w:r>
    </w:p>
    <w:tbl>
      <w:tblPr>
        <w:tblStyle w:val="23"/>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6"/>
        <w:gridCol w:w="2411"/>
        <w:gridCol w:w="955"/>
        <w:gridCol w:w="1578"/>
        <w:gridCol w:w="1293"/>
        <w:gridCol w:w="1281"/>
      </w:tblGrid>
      <w:tr w14:paraId="3324F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6" w:type="dxa"/>
            <w:vAlign w:val="center"/>
          </w:tcPr>
          <w:p w14:paraId="3704FB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序号</w:t>
            </w:r>
          </w:p>
        </w:tc>
        <w:tc>
          <w:tcPr>
            <w:tcW w:w="2411" w:type="dxa"/>
            <w:vAlign w:val="center"/>
          </w:tcPr>
          <w:p w14:paraId="685933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标的名称</w:t>
            </w:r>
          </w:p>
        </w:tc>
        <w:tc>
          <w:tcPr>
            <w:tcW w:w="955" w:type="dxa"/>
            <w:vAlign w:val="center"/>
          </w:tcPr>
          <w:p w14:paraId="242C98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数量</w:t>
            </w:r>
          </w:p>
        </w:tc>
        <w:tc>
          <w:tcPr>
            <w:tcW w:w="1578" w:type="dxa"/>
            <w:vAlign w:val="center"/>
          </w:tcPr>
          <w:p w14:paraId="68982B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标的金额 （元）</w:t>
            </w:r>
          </w:p>
        </w:tc>
        <w:tc>
          <w:tcPr>
            <w:tcW w:w="1293" w:type="dxa"/>
            <w:vAlign w:val="center"/>
          </w:tcPr>
          <w:p w14:paraId="1005D3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计量单位</w:t>
            </w:r>
          </w:p>
        </w:tc>
        <w:tc>
          <w:tcPr>
            <w:tcW w:w="1281" w:type="dxa"/>
            <w:vAlign w:val="center"/>
          </w:tcPr>
          <w:p w14:paraId="5C84E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所属行业</w:t>
            </w:r>
          </w:p>
        </w:tc>
      </w:tr>
      <w:tr w14:paraId="74DEA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6" w:type="dxa"/>
            <w:vAlign w:val="center"/>
          </w:tcPr>
          <w:p w14:paraId="6D6B25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1</w:t>
            </w:r>
          </w:p>
        </w:tc>
        <w:tc>
          <w:tcPr>
            <w:tcW w:w="2411" w:type="dxa"/>
            <w:vAlign w:val="center"/>
          </w:tcPr>
          <w:p w14:paraId="48CD00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彬州市2025年水肥精准调控展示项目</w:t>
            </w:r>
          </w:p>
        </w:tc>
        <w:tc>
          <w:tcPr>
            <w:tcW w:w="955" w:type="dxa"/>
            <w:vAlign w:val="center"/>
          </w:tcPr>
          <w:p w14:paraId="51CF69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1.00</w:t>
            </w:r>
          </w:p>
        </w:tc>
        <w:tc>
          <w:tcPr>
            <w:tcW w:w="1578" w:type="dxa"/>
            <w:vAlign w:val="center"/>
          </w:tcPr>
          <w:p w14:paraId="06F770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980,810.58</w:t>
            </w:r>
          </w:p>
        </w:tc>
        <w:tc>
          <w:tcPr>
            <w:tcW w:w="1293" w:type="dxa"/>
            <w:vAlign w:val="center"/>
          </w:tcPr>
          <w:p w14:paraId="147D2E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项</w:t>
            </w:r>
          </w:p>
        </w:tc>
        <w:tc>
          <w:tcPr>
            <w:tcW w:w="1281" w:type="dxa"/>
            <w:vAlign w:val="center"/>
          </w:tcPr>
          <w:p w14:paraId="01784B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建筑业</w:t>
            </w:r>
          </w:p>
        </w:tc>
      </w:tr>
    </w:tbl>
    <w:p w14:paraId="48DC012F">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一、技术、服务及商务要求：</w:t>
      </w:r>
    </w:p>
    <w:p w14:paraId="38680EE9">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采购包1：</w:t>
      </w:r>
    </w:p>
    <w:p w14:paraId="0DC5DA36">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标的名称：彬州市2025年水肥精准调控展示项目</w:t>
      </w:r>
    </w:p>
    <w:tbl>
      <w:tblPr>
        <w:tblStyle w:val="23"/>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5"/>
        <w:gridCol w:w="1240"/>
        <w:gridCol w:w="6282"/>
      </w:tblGrid>
      <w:tr w14:paraId="74A1C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9" w:hRule="atLeast"/>
          <w:jc w:val="center"/>
        </w:trPr>
        <w:tc>
          <w:tcPr>
            <w:tcW w:w="785" w:type="dxa"/>
            <w:vAlign w:val="center"/>
          </w:tcPr>
          <w:p w14:paraId="4CAE47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序号</w:t>
            </w:r>
          </w:p>
        </w:tc>
        <w:tc>
          <w:tcPr>
            <w:tcW w:w="1240" w:type="dxa"/>
            <w:vAlign w:val="center"/>
          </w:tcPr>
          <w:p w14:paraId="32061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参数性质</w:t>
            </w:r>
          </w:p>
        </w:tc>
        <w:tc>
          <w:tcPr>
            <w:tcW w:w="6282" w:type="dxa"/>
            <w:vAlign w:val="center"/>
          </w:tcPr>
          <w:p w14:paraId="78EC7B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技术参数与性能指标</w:t>
            </w:r>
          </w:p>
        </w:tc>
      </w:tr>
      <w:tr w14:paraId="33E47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9" w:hRule="atLeast"/>
          <w:jc w:val="center"/>
        </w:trPr>
        <w:tc>
          <w:tcPr>
            <w:tcW w:w="785" w:type="dxa"/>
            <w:vAlign w:val="center"/>
          </w:tcPr>
          <w:p w14:paraId="00EFB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1</w:t>
            </w:r>
          </w:p>
        </w:tc>
        <w:tc>
          <w:tcPr>
            <w:tcW w:w="1240" w:type="dxa"/>
            <w:vAlign w:val="center"/>
          </w:tcPr>
          <w:p w14:paraId="129C15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p>
        </w:tc>
        <w:tc>
          <w:tcPr>
            <w:tcW w:w="6282" w:type="dxa"/>
            <w:vAlign w:val="center"/>
          </w:tcPr>
          <w:p w14:paraId="78C1E8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一、工程概况</w:t>
            </w:r>
          </w:p>
          <w:p w14:paraId="6A25F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1、建设地点：咸阳市彬州市新民镇路村和郭村</w:t>
            </w:r>
          </w:p>
          <w:p w14:paraId="56DFE2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2、项目区范围、规模和内容：</w:t>
            </w:r>
          </w:p>
          <w:p w14:paraId="3860B4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项目区涉及彬州市新民镇路村和郭村，规划建设水肥一体化滴灌区</w:t>
            </w:r>
          </w:p>
          <w:p w14:paraId="08D556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1000 亩，主要建设内容包括：田间作业工程、水肥一体化滴灌工程及其它相关配套设施。</w:t>
            </w:r>
          </w:p>
          <w:p w14:paraId="7F6760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项目区内主要建设内容如下：</w:t>
            </w:r>
          </w:p>
          <w:p w14:paraId="47B01C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（1）田间作业工程</w:t>
            </w:r>
          </w:p>
          <w:p w14:paraId="072D7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本次对1000亩地块进行播种、覆膜、铺设滴灌带作业。</w:t>
            </w:r>
          </w:p>
          <w:p w14:paraId="652664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（2）滴灌工程</w:t>
            </w:r>
          </w:p>
          <w:p w14:paraId="7DDFF4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建设滴灌工程1000亩，φ50PE 输水管10000m，φ16 贴片式滴灌带555555m。</w:t>
            </w:r>
          </w:p>
          <w:p w14:paraId="32E2E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（3）其他工程</w:t>
            </w:r>
          </w:p>
          <w:p w14:paraId="00E3B9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移动式水肥一体化设备7 套（每套带 30mDN50 消防水带），水溶肥 22t，地膜采购1000亩，科技培训200人次，多功能玉米播种一体机3辆，四情监测及鼠情监测系统一套。</w:t>
            </w:r>
          </w:p>
          <w:p w14:paraId="092C5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（具体内容详见工程量清单。）</w:t>
            </w:r>
          </w:p>
        </w:tc>
      </w:tr>
      <w:tr w14:paraId="4A19C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5" w:type="dxa"/>
            <w:vAlign w:val="center"/>
          </w:tcPr>
          <w:p w14:paraId="58B150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2</w:t>
            </w:r>
          </w:p>
        </w:tc>
        <w:tc>
          <w:tcPr>
            <w:tcW w:w="1240" w:type="dxa"/>
            <w:vAlign w:val="center"/>
          </w:tcPr>
          <w:p w14:paraId="4A8C5A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w:t>
            </w:r>
          </w:p>
        </w:tc>
        <w:tc>
          <w:tcPr>
            <w:tcW w:w="6282" w:type="dxa"/>
            <w:vAlign w:val="center"/>
          </w:tcPr>
          <w:p w14:paraId="7B455C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1、工期：120日历天。</w:t>
            </w:r>
          </w:p>
          <w:p w14:paraId="3765A4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2、质量标准：达到国家现行施工验收规范“合格”标准</w:t>
            </w:r>
          </w:p>
          <w:p w14:paraId="13B716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3、质量保修期：1年</w:t>
            </w:r>
          </w:p>
          <w:p w14:paraId="06CF69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4、施工要求：在施工期间，成交供应商必须注意人员安全，加强安全措施，并定期对施工人员进行安全教育，且施工人员必须持证上岗。</w:t>
            </w:r>
          </w:p>
          <w:p w14:paraId="1A3553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5、商务要求：</w:t>
            </w:r>
          </w:p>
          <w:p w14:paraId="09BB3A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1）付款方式：合同签订后，支付合同总价款（扣除暂列金额）40%作为预付款，根据工程进度，支付至合同价款的90%时暂停支付，项目完工后，承包人提供结算资料，由发包人向审计部门报送竣工决算资料进行决算审计，审计结束后，发包人按照决算审定价，支付剩余款项；</w:t>
            </w:r>
          </w:p>
          <w:p w14:paraId="0F7EDC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（2）违约责任：承包人应承担因其违约行为而增加的费用和（或）延误的工期。此外，可在专用合同条款中另行约定承包人违约责任的承担方式。</w:t>
            </w:r>
          </w:p>
        </w:tc>
      </w:tr>
    </w:tbl>
    <w:p w14:paraId="5E9C5EE0">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二、供应商针对本项目的施工，必须达到国家及行业现行技术规范标准，符合国家及行业验收合格标准：</w:t>
      </w:r>
    </w:p>
    <w:p w14:paraId="676BFC7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采购包1：</w:t>
      </w:r>
    </w:p>
    <w:p w14:paraId="36B9C8BA">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达到国家及行业现行技术规范标准，符合国家及行业验收合格标准。</w:t>
      </w:r>
    </w:p>
    <w:p w14:paraId="59A70BC4">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三、工程量清单（详见第四部分）</w:t>
      </w:r>
    </w:p>
    <w:p w14:paraId="38E2A413">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（说明：工程量清单应当结合《政府采购需求管理办法》（财库〔2021〕22号）第六条第二款规定，明确相关性能、材料、结构、外观、安全、标准等。）</w:t>
      </w:r>
    </w:p>
    <w:p w14:paraId="66D3540C">
      <w:pPr>
        <w:keepNext w:val="0"/>
        <w:keepLines w:val="0"/>
        <w:pageBreakBefore w:val="0"/>
        <w:widowControl/>
        <w:kinsoku/>
        <w:wordWrap/>
        <w:overflowPunct/>
        <w:topLinePunct w:val="0"/>
        <w:autoSpaceDE/>
        <w:autoSpaceDN/>
        <w:bidi w:val="0"/>
        <w:adjustRightInd/>
        <w:snapToGrid/>
        <w:spacing w:line="480" w:lineRule="exact"/>
        <w:ind w:firstLine="422" w:firstLineChars="200"/>
        <w:textAlignment w:val="baseline"/>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3.2其他要求</w:t>
      </w:r>
    </w:p>
    <w:p w14:paraId="6D21017B">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一、采购标的对应的中小企业划分标准所属行业为建筑业。建筑业的划型标准为：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0114A005">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Hans"/>
        </w:rPr>
        <w:t>二、供应商的磋商报价包括施工设备费、人工费、管理费、材料与设备费、安装费、维护费、保险费、税金、利润、政策性规费、风险、责任等完成本项目的所有费用。</w:t>
      </w:r>
    </w:p>
    <w:p w14:paraId="1CD29810">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三、质量验收标准或规范：</w:t>
      </w:r>
    </w:p>
    <w:p w14:paraId="20696CDA">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1、国家现行有关法律、法规、环保和技术指标；2、本项目施工合同；3、经批准的设计文件及工程变更文件；4、有关部政府部门的规定。</w:t>
      </w:r>
    </w:p>
    <w:p w14:paraId="34D3A9AA">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四、项目检验与验收：</w:t>
      </w:r>
    </w:p>
    <w:p w14:paraId="7A0CAF5B">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1、成交供应商向采购人提交项目实施过程中的所有资料；2、验收须以合同、磋商文件及响应文件、澄清、及国家相应的标准、规范等为依据。</w:t>
      </w:r>
    </w:p>
    <w:p w14:paraId="658E0A67">
      <w:pPr>
        <w:pStyle w:val="61"/>
        <w:keepNext w:val="0"/>
        <w:keepLines w:val="0"/>
        <w:pageBreakBefore w:val="0"/>
        <w:widowControl/>
        <w:kinsoku/>
        <w:wordWrap/>
        <w:overflowPunct/>
        <w:topLinePunct w:val="0"/>
        <w:autoSpaceDE/>
        <w:autoSpaceDN/>
        <w:bidi w:val="0"/>
        <w:adjustRightInd/>
        <w:snapToGrid/>
        <w:spacing w:line="480" w:lineRule="exact"/>
        <w:rPr>
          <w:rFonts w:hint="default" w:asciiTheme="majorEastAsia" w:hAnsiTheme="majorEastAsia" w:eastAsiaTheme="majorEastAsia" w:cstheme="majorEastAsia"/>
          <w:color w:val="auto"/>
          <w:sz w:val="21"/>
          <w:szCs w:val="21"/>
          <w:highlight w:val="none"/>
          <w:u w:val="none" w:color="000000"/>
          <w:lang w:val="en-US" w:eastAsia="zh-CN" w:bidi="ar-SA"/>
        </w:rPr>
      </w:pPr>
    </w:p>
    <w:p w14:paraId="021AC8B7">
      <w:pPr>
        <w:pStyle w:val="61"/>
        <w:rPr>
          <w:rFonts w:hint="eastAsia" w:ascii="宋体" w:hAnsi="宋体" w:eastAsia="宋体" w:cs="宋体"/>
          <w:color w:val="auto"/>
          <w:sz w:val="21"/>
          <w:szCs w:val="21"/>
          <w:highlight w:val="none"/>
          <w:lang w:eastAsia="zh-CN"/>
        </w:rPr>
      </w:pPr>
    </w:p>
    <w:p w14:paraId="6535F9A9">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p>
    <w:p w14:paraId="1B9B0F3F">
      <w:pPr>
        <w:pStyle w:val="2"/>
        <w:numPr>
          <w:ilvl w:val="0"/>
          <w:numId w:val="0"/>
        </w:numPr>
        <w:bidi w:val="0"/>
        <w:rPr>
          <w:rFonts w:hint="eastAsia" w:ascii="宋体" w:hAnsi="宋体" w:eastAsia="宋体" w:cs="宋体"/>
          <w:color w:val="auto"/>
          <w:highlight w:val="none"/>
          <w:lang w:eastAsia="zh-CN"/>
        </w:rPr>
      </w:pPr>
      <w:bookmarkStart w:id="41" w:name="_Toc32306"/>
      <w:r>
        <w:rPr>
          <w:rFonts w:hint="eastAsia" w:ascii="宋体" w:hAnsi="宋体" w:eastAsia="宋体" w:cs="宋体"/>
          <w:b/>
          <w:color w:val="auto"/>
          <w:kern w:val="44"/>
          <w:sz w:val="36"/>
          <w:szCs w:val="22"/>
          <w:highlight w:val="none"/>
          <w:u w:color="000000"/>
          <w:lang w:val="en-US" w:eastAsia="zh-CN" w:bidi="ar-SA"/>
        </w:rPr>
        <w:t>第四部分</w:t>
      </w:r>
      <w:r>
        <w:rPr>
          <w:rFonts w:hint="eastAsia" w:ascii="宋体" w:hAnsi="宋体" w:eastAsia="宋体" w:cs="宋体"/>
          <w:color w:val="auto"/>
          <w:highlight w:val="none"/>
          <w:lang w:val="zh-CN"/>
        </w:rPr>
        <w:t xml:space="preserve"> </w:t>
      </w:r>
      <w:r>
        <w:rPr>
          <w:rFonts w:hint="eastAsia" w:ascii="宋体" w:hAnsi="宋体" w:eastAsia="宋体" w:cs="宋体"/>
          <w:color w:val="auto"/>
          <w:highlight w:val="none"/>
          <w:lang w:eastAsia="zh-CN"/>
        </w:rPr>
        <w:t>工程量清单</w:t>
      </w:r>
      <w:bookmarkEnd w:id="36"/>
      <w:bookmarkEnd w:id="41"/>
    </w:p>
    <w:p w14:paraId="269E080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一、编 制 说 明</w:t>
      </w:r>
    </w:p>
    <w:p w14:paraId="6349EEA6">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工程概况</w:t>
      </w:r>
    </w:p>
    <w:p w14:paraId="7E7AAA8F">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本项目位于彬州市新民镇，建设水肥一体化滴灌区</w:t>
      </w:r>
      <w:r>
        <w:rPr>
          <w:rFonts w:hint="eastAsia" w:ascii="宋体" w:hAnsi="宋体" w:eastAsia="宋体" w:cs="宋体"/>
          <w:color w:val="auto"/>
          <w:sz w:val="21"/>
          <w:szCs w:val="21"/>
          <w:highlight w:val="none"/>
          <w:lang w:val="en-US" w:eastAsia="zh-CN"/>
        </w:rPr>
        <w:t>1000亩（其中：路村800亩、郭村200亩）。主要包括：田间作业工程、水肥一体化滴灌工程及其他相关配套设施。</w:t>
      </w:r>
    </w:p>
    <w:p w14:paraId="3A9EBB0D">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编制原则及依据</w:t>
      </w:r>
    </w:p>
    <w:p w14:paraId="47439F95">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1.编制原则</w:t>
      </w:r>
    </w:p>
    <w:p w14:paraId="5CFA25A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（1）陕</w:t>
      </w:r>
      <w:r>
        <w:rPr>
          <w:rFonts w:hint="eastAsia" w:ascii="宋体" w:hAnsi="宋体" w:eastAsia="宋体" w:cs="宋体"/>
          <w:color w:val="auto"/>
          <w:sz w:val="21"/>
          <w:szCs w:val="21"/>
          <w:highlight w:val="none"/>
          <w:lang w:eastAsia="zh-CN"/>
        </w:rPr>
        <w:t>水规计发</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07</w:t>
      </w:r>
      <w:r>
        <w:rPr>
          <w:rFonts w:hint="eastAsia" w:ascii="宋体" w:hAnsi="宋体" w:eastAsia="宋体" w:cs="宋体"/>
          <w:color w:val="auto"/>
          <w:sz w:val="21"/>
          <w:szCs w:val="21"/>
          <w:highlight w:val="none"/>
        </w:rPr>
        <w:t>号《陕西省水利工程设计概（估）算编制规定》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2024年修正）；</w:t>
      </w:r>
    </w:p>
    <w:p w14:paraId="061DE65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（2）陕</w:t>
      </w:r>
      <w:r>
        <w:rPr>
          <w:rFonts w:hint="eastAsia" w:ascii="宋体" w:hAnsi="宋体" w:eastAsia="宋体" w:cs="宋体"/>
          <w:color w:val="auto"/>
          <w:sz w:val="21"/>
          <w:szCs w:val="21"/>
          <w:highlight w:val="none"/>
          <w:lang w:eastAsia="zh-CN"/>
        </w:rPr>
        <w:t>水规计发</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07</w:t>
      </w:r>
      <w:r>
        <w:rPr>
          <w:rFonts w:hint="eastAsia" w:ascii="宋体" w:hAnsi="宋体" w:eastAsia="宋体" w:cs="宋体"/>
          <w:color w:val="auto"/>
          <w:sz w:val="21"/>
          <w:szCs w:val="21"/>
          <w:highlight w:val="none"/>
        </w:rPr>
        <w:t>号《陕西省水利建筑工程预算定额》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2024年修正）</w:t>
      </w:r>
      <w:r>
        <w:rPr>
          <w:rFonts w:hint="eastAsia" w:ascii="宋体" w:hAnsi="宋体" w:eastAsia="宋体" w:cs="宋体"/>
          <w:color w:val="auto"/>
          <w:sz w:val="21"/>
          <w:szCs w:val="21"/>
          <w:highlight w:val="none"/>
          <w:lang w:eastAsia="zh-CN"/>
        </w:rPr>
        <w:t>；</w:t>
      </w:r>
    </w:p>
    <w:p w14:paraId="4386B55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）陕</w:t>
      </w:r>
      <w:r>
        <w:rPr>
          <w:rFonts w:hint="eastAsia" w:ascii="宋体" w:hAnsi="宋体" w:eastAsia="宋体" w:cs="宋体"/>
          <w:color w:val="auto"/>
          <w:sz w:val="21"/>
          <w:szCs w:val="21"/>
          <w:highlight w:val="none"/>
          <w:lang w:eastAsia="zh-CN"/>
        </w:rPr>
        <w:t>水规计发</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07</w:t>
      </w:r>
      <w:r>
        <w:rPr>
          <w:rFonts w:hint="eastAsia" w:ascii="宋体" w:hAnsi="宋体" w:eastAsia="宋体" w:cs="宋体"/>
          <w:color w:val="auto"/>
          <w:sz w:val="21"/>
          <w:szCs w:val="21"/>
          <w:highlight w:val="none"/>
        </w:rPr>
        <w:t>号《陕西省水利</w:t>
      </w:r>
      <w:r>
        <w:rPr>
          <w:rFonts w:hint="eastAsia" w:ascii="宋体" w:hAnsi="宋体" w:eastAsia="宋体" w:cs="宋体"/>
          <w:color w:val="auto"/>
          <w:sz w:val="21"/>
          <w:szCs w:val="21"/>
          <w:highlight w:val="none"/>
          <w:lang w:eastAsia="zh-CN"/>
        </w:rPr>
        <w:t>设备安装</w:t>
      </w:r>
      <w:r>
        <w:rPr>
          <w:rFonts w:hint="eastAsia" w:ascii="宋体" w:hAnsi="宋体" w:eastAsia="宋体" w:cs="宋体"/>
          <w:color w:val="auto"/>
          <w:sz w:val="21"/>
          <w:szCs w:val="21"/>
          <w:highlight w:val="none"/>
        </w:rPr>
        <w:t>工程预算定额》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2024年修正）</w:t>
      </w:r>
      <w:r>
        <w:rPr>
          <w:rFonts w:hint="eastAsia" w:ascii="宋体" w:hAnsi="宋体" w:eastAsia="宋体" w:cs="宋体"/>
          <w:color w:val="auto"/>
          <w:sz w:val="21"/>
          <w:szCs w:val="21"/>
          <w:highlight w:val="none"/>
          <w:lang w:eastAsia="zh-CN"/>
        </w:rPr>
        <w:t>；</w:t>
      </w:r>
    </w:p>
    <w:p w14:paraId="7A8CD8F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彬州市财政投资评审中心文件，彬财评发</w:t>
      </w:r>
      <w:r>
        <w:rPr>
          <w:rFonts w:hint="eastAsia" w:ascii="宋体" w:hAnsi="宋体" w:eastAsia="宋体" w:cs="宋体"/>
          <w:color w:val="auto"/>
          <w:sz w:val="21"/>
          <w:szCs w:val="21"/>
          <w:highlight w:val="none"/>
          <w:lang w:val="en-US" w:eastAsia="zh-CN"/>
        </w:rPr>
        <w:t>[2025]125号文《彬州市财政投资评审中心关于2025年水肥精准调控展示项目预算评审报告》</w:t>
      </w:r>
      <w:r>
        <w:rPr>
          <w:rFonts w:hint="eastAsia" w:ascii="宋体" w:hAnsi="宋体" w:eastAsia="宋体" w:cs="宋体"/>
          <w:color w:val="auto"/>
          <w:sz w:val="21"/>
          <w:szCs w:val="21"/>
          <w:highlight w:val="none"/>
          <w:lang w:eastAsia="zh-CN"/>
        </w:rPr>
        <w:t>。</w:t>
      </w:r>
    </w:p>
    <w:p w14:paraId="7DDEB9DF">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2.编制依据</w:t>
      </w:r>
    </w:p>
    <w:p w14:paraId="2C353967">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（1）建筑工程：</w:t>
      </w:r>
      <w:r>
        <w:rPr>
          <w:rFonts w:hint="eastAsia" w:ascii="宋体" w:hAnsi="宋体" w:eastAsia="宋体" w:cs="宋体"/>
          <w:color w:val="auto"/>
          <w:sz w:val="21"/>
          <w:szCs w:val="21"/>
          <w:highlight w:val="none"/>
          <w:lang w:eastAsia="zh-CN"/>
        </w:rPr>
        <w:t>采用</w:t>
      </w:r>
      <w:r>
        <w:rPr>
          <w:rFonts w:hint="eastAsia" w:ascii="宋体" w:hAnsi="宋体" w:eastAsia="宋体" w:cs="宋体"/>
          <w:color w:val="auto"/>
          <w:sz w:val="21"/>
          <w:szCs w:val="21"/>
          <w:highlight w:val="none"/>
        </w:rPr>
        <w:t>陕</w:t>
      </w:r>
      <w:r>
        <w:rPr>
          <w:rFonts w:hint="eastAsia" w:ascii="宋体" w:hAnsi="宋体" w:eastAsia="宋体" w:cs="宋体"/>
          <w:color w:val="auto"/>
          <w:sz w:val="21"/>
          <w:szCs w:val="21"/>
          <w:highlight w:val="none"/>
          <w:lang w:eastAsia="zh-CN"/>
        </w:rPr>
        <w:t>水规计发</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07</w:t>
      </w:r>
      <w:r>
        <w:rPr>
          <w:rFonts w:hint="eastAsia" w:ascii="宋体" w:hAnsi="宋体" w:eastAsia="宋体" w:cs="宋体"/>
          <w:color w:val="auto"/>
          <w:sz w:val="21"/>
          <w:szCs w:val="21"/>
          <w:highlight w:val="none"/>
        </w:rPr>
        <w:t>号《陕西省水利建筑工程预算定额》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2024年修正）计算</w:t>
      </w:r>
      <w:r>
        <w:rPr>
          <w:rFonts w:hint="eastAsia" w:ascii="宋体" w:hAnsi="宋体" w:eastAsia="宋体" w:cs="宋体"/>
          <w:color w:val="auto"/>
          <w:sz w:val="21"/>
          <w:szCs w:val="21"/>
          <w:highlight w:val="none"/>
          <w:lang w:eastAsia="zh-CN"/>
        </w:rPr>
        <w:t>；</w:t>
      </w:r>
    </w:p>
    <w:p w14:paraId="2F3981E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安装工程：采用</w:t>
      </w:r>
      <w:r>
        <w:rPr>
          <w:rFonts w:hint="eastAsia" w:ascii="宋体" w:hAnsi="宋体" w:eastAsia="宋体" w:cs="宋体"/>
          <w:color w:val="auto"/>
          <w:sz w:val="21"/>
          <w:szCs w:val="21"/>
          <w:highlight w:val="none"/>
        </w:rPr>
        <w:t>陕</w:t>
      </w:r>
      <w:r>
        <w:rPr>
          <w:rFonts w:hint="eastAsia" w:ascii="宋体" w:hAnsi="宋体" w:eastAsia="宋体" w:cs="宋体"/>
          <w:color w:val="auto"/>
          <w:sz w:val="21"/>
          <w:szCs w:val="21"/>
          <w:highlight w:val="none"/>
          <w:lang w:eastAsia="zh-CN"/>
        </w:rPr>
        <w:t>水规计发</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07</w:t>
      </w:r>
      <w:r>
        <w:rPr>
          <w:rFonts w:hint="eastAsia" w:ascii="宋体" w:hAnsi="宋体" w:eastAsia="宋体" w:cs="宋体"/>
          <w:color w:val="auto"/>
          <w:sz w:val="21"/>
          <w:szCs w:val="21"/>
          <w:highlight w:val="none"/>
        </w:rPr>
        <w:t>号《陕西省水利</w:t>
      </w:r>
      <w:r>
        <w:rPr>
          <w:rFonts w:hint="eastAsia" w:ascii="宋体" w:hAnsi="宋体" w:eastAsia="宋体" w:cs="宋体"/>
          <w:color w:val="auto"/>
          <w:sz w:val="21"/>
          <w:szCs w:val="21"/>
          <w:highlight w:val="none"/>
          <w:lang w:eastAsia="zh-CN"/>
        </w:rPr>
        <w:t>设备安装</w:t>
      </w:r>
      <w:r>
        <w:rPr>
          <w:rFonts w:hint="eastAsia" w:ascii="宋体" w:hAnsi="宋体" w:eastAsia="宋体" w:cs="宋体"/>
          <w:color w:val="auto"/>
          <w:sz w:val="21"/>
          <w:szCs w:val="21"/>
          <w:highlight w:val="none"/>
        </w:rPr>
        <w:t>工程预算定额》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2024年修正）计算</w:t>
      </w:r>
      <w:r>
        <w:rPr>
          <w:rFonts w:hint="eastAsia" w:ascii="宋体" w:hAnsi="宋体" w:eastAsia="宋体" w:cs="宋体"/>
          <w:color w:val="auto"/>
          <w:sz w:val="21"/>
          <w:szCs w:val="21"/>
          <w:highlight w:val="none"/>
          <w:lang w:eastAsia="zh-CN"/>
        </w:rPr>
        <w:t>；</w:t>
      </w:r>
    </w:p>
    <w:p w14:paraId="00FA297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）施工机械台班费：采用陕</w:t>
      </w:r>
      <w:r>
        <w:rPr>
          <w:rFonts w:hint="eastAsia" w:ascii="宋体" w:hAnsi="宋体" w:eastAsia="宋体" w:cs="宋体"/>
          <w:color w:val="auto"/>
          <w:sz w:val="21"/>
          <w:szCs w:val="21"/>
          <w:highlight w:val="none"/>
          <w:lang w:eastAsia="zh-CN"/>
        </w:rPr>
        <w:t>水规计发</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07</w:t>
      </w:r>
      <w:r>
        <w:rPr>
          <w:rFonts w:hint="eastAsia" w:ascii="宋体" w:hAnsi="宋体" w:eastAsia="宋体" w:cs="宋体"/>
          <w:color w:val="auto"/>
          <w:sz w:val="21"/>
          <w:szCs w:val="21"/>
          <w:highlight w:val="none"/>
        </w:rPr>
        <w:t>号《陕西省水利工程施工机械台班费定额》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2024年修正）计算。</w:t>
      </w:r>
    </w:p>
    <w:p w14:paraId="79B08E51">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编制情况</w:t>
      </w:r>
    </w:p>
    <w:p w14:paraId="57724FD6">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3.1</w:t>
      </w:r>
      <w:r>
        <w:rPr>
          <w:rFonts w:hint="eastAsia" w:ascii="宋体" w:hAnsi="宋体" w:eastAsia="宋体" w:cs="宋体"/>
          <w:b/>
          <w:bCs/>
          <w:color w:val="auto"/>
          <w:sz w:val="21"/>
          <w:szCs w:val="21"/>
          <w:highlight w:val="none"/>
        </w:rPr>
        <w:t>基础单价</w:t>
      </w:r>
    </w:p>
    <w:p w14:paraId="672E785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（1）人工预算单价根据陕</w:t>
      </w:r>
      <w:r>
        <w:rPr>
          <w:rFonts w:hint="eastAsia" w:ascii="宋体" w:hAnsi="宋体" w:eastAsia="宋体" w:cs="宋体"/>
          <w:color w:val="auto"/>
          <w:sz w:val="21"/>
          <w:szCs w:val="21"/>
          <w:highlight w:val="none"/>
          <w:lang w:eastAsia="zh-CN"/>
        </w:rPr>
        <w:t>水规计发</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07</w:t>
      </w:r>
      <w:r>
        <w:rPr>
          <w:rFonts w:hint="eastAsia" w:ascii="宋体" w:hAnsi="宋体" w:eastAsia="宋体" w:cs="宋体"/>
          <w:color w:val="auto"/>
          <w:sz w:val="21"/>
          <w:szCs w:val="21"/>
          <w:highlight w:val="none"/>
        </w:rPr>
        <w:t>号《陕西省水利工程设计概（估）算编制规定》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2024年修正）计算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技工75元/工日，普工50元/工日。</w:t>
      </w:r>
    </w:p>
    <w:p w14:paraId="33B3E2B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（2）材料预算价：主要材料原价以不含增值税进项税额的价格计入，主要材料预算价格根据咸阳市202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年第</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lang w:val="en-US" w:eastAsia="zh-CN"/>
        </w:rPr>
        <w:t>期材料</w:t>
      </w:r>
      <w:r>
        <w:rPr>
          <w:rFonts w:hint="eastAsia" w:ascii="宋体" w:hAnsi="宋体" w:eastAsia="宋体" w:cs="宋体"/>
          <w:color w:val="auto"/>
          <w:sz w:val="21"/>
          <w:szCs w:val="21"/>
          <w:highlight w:val="none"/>
        </w:rPr>
        <w:t>价格信息</w:t>
      </w:r>
      <w:r>
        <w:rPr>
          <w:rFonts w:hint="eastAsia" w:ascii="宋体" w:hAnsi="宋体" w:eastAsia="宋体" w:cs="宋体"/>
          <w:color w:val="auto"/>
          <w:sz w:val="21"/>
          <w:szCs w:val="21"/>
          <w:highlight w:val="none"/>
          <w:lang w:eastAsia="zh-CN"/>
        </w:rPr>
        <w:t>价</w:t>
      </w:r>
      <w:r>
        <w:rPr>
          <w:rFonts w:hint="eastAsia" w:ascii="宋体" w:hAnsi="宋体" w:eastAsia="宋体" w:cs="宋体"/>
          <w:color w:val="auto"/>
          <w:sz w:val="21"/>
          <w:szCs w:val="21"/>
          <w:highlight w:val="none"/>
        </w:rPr>
        <w:t>及同类在建工程比较综合分析确定，材料预算单价包括材料原价、运杂费及采购保管费计算。次要材料预算价根据当地近期信息价、市场价或参考同类工程价格进行计算。其中材料费对应基价的差值计算材料价差，并列入单价表的“价差”部分，计取税金后列入工程单价。</w:t>
      </w:r>
    </w:p>
    <w:p w14:paraId="7FB38D2C">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3.2</w:t>
      </w:r>
      <w:r>
        <w:rPr>
          <w:rFonts w:hint="eastAsia" w:ascii="宋体" w:hAnsi="宋体" w:eastAsia="宋体" w:cs="宋体"/>
          <w:b/>
          <w:bCs/>
          <w:color w:val="auto"/>
          <w:sz w:val="21"/>
          <w:szCs w:val="21"/>
          <w:highlight w:val="none"/>
        </w:rPr>
        <w:t>费用标准</w:t>
      </w:r>
    </w:p>
    <w:p w14:paraId="1D2640B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（1）其他直接费</w:t>
      </w:r>
    </w:p>
    <w:p w14:paraId="69BD67D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建筑工程按基本直接费的</w:t>
      </w:r>
      <w:r>
        <w:rPr>
          <w:rFonts w:hint="eastAsia" w:ascii="宋体" w:hAnsi="宋体" w:eastAsia="宋体" w:cs="宋体"/>
          <w:color w:val="auto"/>
          <w:sz w:val="21"/>
          <w:szCs w:val="21"/>
          <w:highlight w:val="none"/>
          <w:lang w:val="en-US" w:eastAsia="zh-CN"/>
        </w:rPr>
        <w:t>3.75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，安装工程</w:t>
      </w:r>
      <w:r>
        <w:rPr>
          <w:rFonts w:hint="eastAsia" w:ascii="宋体" w:hAnsi="宋体" w:eastAsia="宋体" w:cs="宋体"/>
          <w:color w:val="auto"/>
          <w:sz w:val="21"/>
          <w:szCs w:val="21"/>
          <w:highlight w:val="none"/>
        </w:rPr>
        <w:t>按基本直接费的</w:t>
      </w: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w:t>
      </w:r>
    </w:p>
    <w:p w14:paraId="2F24F9B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（2）间接费</w:t>
      </w:r>
    </w:p>
    <w:p w14:paraId="4CD6BF5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2024年修正</w:t>
      </w:r>
      <w:r>
        <w:rPr>
          <w:rFonts w:hint="eastAsia" w:ascii="宋体" w:hAnsi="宋体" w:eastAsia="宋体" w:cs="宋体"/>
          <w:color w:val="auto"/>
          <w:sz w:val="21"/>
          <w:szCs w:val="21"/>
          <w:highlight w:val="none"/>
        </w:rPr>
        <w:t>办法及标准”执行，见下表。</w:t>
      </w:r>
    </w:p>
    <w:p w14:paraId="21C5423E">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间接费取费标准表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3085"/>
        <w:gridCol w:w="2131"/>
        <w:gridCol w:w="2131"/>
      </w:tblGrid>
      <w:tr w14:paraId="46F2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noWrap w:val="0"/>
            <w:vAlign w:val="center"/>
          </w:tcPr>
          <w:p w14:paraId="131FAD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序号</w:t>
            </w:r>
          </w:p>
        </w:tc>
        <w:tc>
          <w:tcPr>
            <w:tcW w:w="3085" w:type="dxa"/>
            <w:noWrap w:val="0"/>
            <w:vAlign w:val="center"/>
          </w:tcPr>
          <w:p w14:paraId="517945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工程类别</w:t>
            </w:r>
          </w:p>
        </w:tc>
        <w:tc>
          <w:tcPr>
            <w:tcW w:w="2131" w:type="dxa"/>
            <w:noWrap w:val="0"/>
            <w:vAlign w:val="center"/>
          </w:tcPr>
          <w:p w14:paraId="48A62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取费基础</w:t>
            </w:r>
          </w:p>
        </w:tc>
        <w:tc>
          <w:tcPr>
            <w:tcW w:w="2131" w:type="dxa"/>
            <w:noWrap w:val="0"/>
            <w:vAlign w:val="center"/>
          </w:tcPr>
          <w:p w14:paraId="3FF1FF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间接费率(%)</w:t>
            </w:r>
          </w:p>
        </w:tc>
      </w:tr>
      <w:tr w14:paraId="3499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noWrap w:val="0"/>
            <w:vAlign w:val="center"/>
          </w:tcPr>
          <w:p w14:paraId="2FB94A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jc w:val="center"/>
              <w:textAlignment w:val="auto"/>
              <w:rPr>
                <w:rFonts w:hint="eastAsia"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1</w:t>
            </w:r>
          </w:p>
        </w:tc>
        <w:tc>
          <w:tcPr>
            <w:tcW w:w="3085" w:type="dxa"/>
            <w:noWrap w:val="0"/>
            <w:vAlign w:val="center"/>
          </w:tcPr>
          <w:p w14:paraId="442C6D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土方工程</w:t>
            </w:r>
          </w:p>
        </w:tc>
        <w:tc>
          <w:tcPr>
            <w:tcW w:w="2131" w:type="dxa"/>
            <w:noWrap w:val="0"/>
            <w:vAlign w:val="center"/>
          </w:tcPr>
          <w:p w14:paraId="1A4729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直接费</w:t>
            </w:r>
          </w:p>
        </w:tc>
        <w:tc>
          <w:tcPr>
            <w:tcW w:w="2131" w:type="dxa"/>
            <w:noWrap w:val="0"/>
            <w:vAlign w:val="center"/>
          </w:tcPr>
          <w:p w14:paraId="6F34EC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jc w:val="center"/>
              <w:textAlignment w:val="auto"/>
              <w:rPr>
                <w:rFonts w:hint="eastAsia"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lang w:val="en-US" w:eastAsia="zh-CN"/>
              </w:rPr>
              <w:t>4</w:t>
            </w:r>
          </w:p>
        </w:tc>
      </w:tr>
      <w:tr w14:paraId="494F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noWrap w:val="0"/>
            <w:vAlign w:val="center"/>
          </w:tcPr>
          <w:p w14:paraId="485869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jc w:val="center"/>
              <w:textAlignment w:val="auto"/>
              <w:rPr>
                <w:rFonts w:hint="eastAsia"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2</w:t>
            </w:r>
          </w:p>
        </w:tc>
        <w:tc>
          <w:tcPr>
            <w:tcW w:w="3085" w:type="dxa"/>
            <w:noWrap w:val="0"/>
            <w:vAlign w:val="center"/>
          </w:tcPr>
          <w:p w14:paraId="785868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混凝土工程</w:t>
            </w:r>
          </w:p>
        </w:tc>
        <w:tc>
          <w:tcPr>
            <w:tcW w:w="2131" w:type="dxa"/>
            <w:noWrap w:val="0"/>
            <w:vAlign w:val="center"/>
          </w:tcPr>
          <w:p w14:paraId="4DA5E7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直接费</w:t>
            </w:r>
          </w:p>
        </w:tc>
        <w:tc>
          <w:tcPr>
            <w:tcW w:w="2131" w:type="dxa"/>
            <w:noWrap w:val="0"/>
            <w:vAlign w:val="center"/>
          </w:tcPr>
          <w:p w14:paraId="30C188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jc w:val="center"/>
              <w:textAlignment w:val="auto"/>
              <w:rPr>
                <w:rFonts w:hint="eastAsia" w:ascii="宋体" w:hAnsi="宋体" w:eastAsia="宋体" w:cs="宋体"/>
                <w:color w:val="auto"/>
                <w:kern w:val="2"/>
                <w:sz w:val="21"/>
                <w:szCs w:val="21"/>
                <w:highlight w:val="none"/>
                <w:vertAlign w:val="baseline"/>
                <w:lang w:eastAsia="zh-CN"/>
              </w:rPr>
            </w:pPr>
            <w:r>
              <w:rPr>
                <w:rFonts w:hint="eastAsia" w:ascii="宋体" w:hAnsi="宋体" w:eastAsia="宋体" w:cs="宋体"/>
                <w:color w:val="auto"/>
                <w:kern w:val="2"/>
                <w:sz w:val="21"/>
                <w:szCs w:val="21"/>
                <w:highlight w:val="none"/>
                <w:lang w:val="en-US" w:eastAsia="zh-CN"/>
              </w:rPr>
              <w:t>6</w:t>
            </w:r>
          </w:p>
        </w:tc>
      </w:tr>
      <w:tr w14:paraId="7B91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noWrap w:val="0"/>
            <w:vAlign w:val="center"/>
          </w:tcPr>
          <w:p w14:paraId="6B0EC9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jc w:val="center"/>
              <w:textAlignment w:val="auto"/>
              <w:rPr>
                <w:rFonts w:hint="eastAsia"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3</w:t>
            </w:r>
          </w:p>
        </w:tc>
        <w:tc>
          <w:tcPr>
            <w:tcW w:w="3085" w:type="dxa"/>
            <w:noWrap w:val="0"/>
            <w:vAlign w:val="center"/>
          </w:tcPr>
          <w:p w14:paraId="15E2AD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其他工程</w:t>
            </w:r>
          </w:p>
        </w:tc>
        <w:tc>
          <w:tcPr>
            <w:tcW w:w="2131" w:type="dxa"/>
            <w:noWrap w:val="0"/>
            <w:vAlign w:val="center"/>
          </w:tcPr>
          <w:p w14:paraId="5FD6E7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直接费</w:t>
            </w:r>
          </w:p>
        </w:tc>
        <w:tc>
          <w:tcPr>
            <w:tcW w:w="2131" w:type="dxa"/>
            <w:noWrap w:val="0"/>
            <w:vAlign w:val="center"/>
          </w:tcPr>
          <w:p w14:paraId="4B65D3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jc w:val="center"/>
              <w:textAlignment w:val="auto"/>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rPr>
              <w:t>6</w:t>
            </w:r>
          </w:p>
        </w:tc>
      </w:tr>
    </w:tbl>
    <w:p w14:paraId="15D6A41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（3）利润：按直接费、间接费之和的5％计算。</w:t>
      </w:r>
    </w:p>
    <w:p w14:paraId="0E41C9C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（4）税金：按直接费、间接费、计划利润之和的9％计算。</w:t>
      </w:r>
    </w:p>
    <w:p w14:paraId="678889EC">
      <w:pPr>
        <w:pStyle w:val="11"/>
        <w:keepNext w:val="0"/>
        <w:keepLines w:val="0"/>
        <w:pageBreakBefore w:val="0"/>
        <w:widowControl w:val="0"/>
        <w:kinsoku/>
        <w:wordWrap/>
        <w:overflowPunct/>
        <w:topLinePunct w:val="0"/>
        <w:autoSpaceDE/>
        <w:autoSpaceDN/>
        <w:bidi w:val="0"/>
        <w:spacing w:line="48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Cs w:val="21"/>
          <w:highlight w:val="none"/>
          <w:lang w:val="en-US" w:eastAsia="zh-CN"/>
        </w:rPr>
        <w:t xml:space="preserve">                        </w:t>
      </w:r>
    </w:p>
    <w:p w14:paraId="12895D93">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br w:type="page"/>
      </w:r>
    </w:p>
    <w:p w14:paraId="4E3F0A1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val="en-US" w:eastAsia="zh-CN"/>
        </w:rPr>
        <w:t>工 程 量 清 单</w:t>
      </w:r>
    </w:p>
    <w:p w14:paraId="4A4B37F9">
      <w:pPr>
        <w:pStyle w:val="11"/>
        <w:spacing w:line="247" w:lineRule="auto"/>
        <w:rPr>
          <w:rFonts w:hint="eastAsia" w:eastAsia="FangSong_GB2312"/>
          <w:color w:val="auto"/>
          <w:highlight w:val="none"/>
          <w:lang w:eastAsia="zh-CN"/>
        </w:rPr>
      </w:pPr>
      <w:r>
        <w:rPr>
          <w:rFonts w:hint="eastAsia" w:eastAsia="FangSong_GB2312"/>
          <w:color w:val="auto"/>
          <w:highlight w:val="none"/>
          <w:lang w:eastAsia="zh-CN"/>
        </w:rPr>
        <w:drawing>
          <wp:inline distT="0" distB="0" distL="114300" distR="114300">
            <wp:extent cx="5273675" cy="7458075"/>
            <wp:effectExtent l="0" t="0" r="14605" b="9525"/>
            <wp:docPr id="4" name="图片 4" descr="彬州市2025年水肥精准调控展示项目（招标清单）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彬州市2025年水肥精准调控展示项目（招标清单）1_01"/>
                    <pic:cNvPicPr>
                      <a:picLocks noChangeAspect="1"/>
                    </pic:cNvPicPr>
                  </pic:nvPicPr>
                  <pic:blipFill>
                    <a:blip r:embed="rId18"/>
                    <a:stretch>
                      <a:fillRect/>
                    </a:stretch>
                  </pic:blipFill>
                  <pic:spPr>
                    <a:xfrm>
                      <a:off x="0" y="0"/>
                      <a:ext cx="5273675" cy="7458075"/>
                    </a:xfrm>
                    <a:prstGeom prst="rect">
                      <a:avLst/>
                    </a:prstGeom>
                  </pic:spPr>
                </pic:pic>
              </a:graphicData>
            </a:graphic>
          </wp:inline>
        </w:drawing>
      </w:r>
    </w:p>
    <w:p w14:paraId="76CCC568">
      <w:pPr>
        <w:pStyle w:val="11"/>
        <w:spacing w:line="247" w:lineRule="auto"/>
        <w:rPr>
          <w:color w:val="auto"/>
          <w:highlight w:val="none"/>
        </w:rPr>
      </w:pPr>
    </w:p>
    <w:p w14:paraId="435E24FF">
      <w:pPr>
        <w:pStyle w:val="11"/>
        <w:spacing w:line="247" w:lineRule="auto"/>
        <w:rPr>
          <w:color w:val="auto"/>
          <w:highlight w:val="none"/>
        </w:rPr>
      </w:pPr>
    </w:p>
    <w:p w14:paraId="2D6D20A6">
      <w:pPr>
        <w:pStyle w:val="11"/>
        <w:spacing w:line="247" w:lineRule="auto"/>
        <w:rPr>
          <w:color w:val="auto"/>
          <w:highlight w:val="none"/>
        </w:rPr>
      </w:pPr>
    </w:p>
    <w:p w14:paraId="39DF0994">
      <w:pPr>
        <w:pStyle w:val="11"/>
        <w:spacing w:line="254" w:lineRule="auto"/>
        <w:rPr>
          <w:color w:val="auto"/>
          <w:highlight w:val="none"/>
        </w:rPr>
      </w:pPr>
    </w:p>
    <w:p w14:paraId="4A7564EF">
      <w:pPr>
        <w:pStyle w:val="11"/>
        <w:spacing w:line="254" w:lineRule="auto"/>
        <w:rPr>
          <w:rFonts w:hint="eastAsia" w:eastAsia="FangSong_GB2312"/>
          <w:color w:val="auto"/>
          <w:highlight w:val="none"/>
          <w:lang w:eastAsia="zh-CN"/>
        </w:rPr>
      </w:pPr>
      <w:r>
        <w:rPr>
          <w:rFonts w:hint="eastAsia" w:eastAsia="FangSong_GB2312"/>
          <w:color w:val="auto"/>
          <w:highlight w:val="none"/>
          <w:lang w:eastAsia="zh-CN"/>
        </w:rPr>
        <w:drawing>
          <wp:inline distT="0" distB="0" distL="114300" distR="114300">
            <wp:extent cx="5273675" cy="7458075"/>
            <wp:effectExtent l="0" t="0" r="14605" b="9525"/>
            <wp:docPr id="5" name="图片 5" descr="彬州市2025年水肥精准调控展示项目（招标清单）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彬州市2025年水肥精准调控展示项目（招标清单）2_01"/>
                    <pic:cNvPicPr>
                      <a:picLocks noChangeAspect="1"/>
                    </pic:cNvPicPr>
                  </pic:nvPicPr>
                  <pic:blipFill>
                    <a:blip r:embed="rId19"/>
                    <a:stretch>
                      <a:fillRect/>
                    </a:stretch>
                  </pic:blipFill>
                  <pic:spPr>
                    <a:xfrm>
                      <a:off x="0" y="0"/>
                      <a:ext cx="5273675" cy="7458075"/>
                    </a:xfrm>
                    <a:prstGeom prst="rect">
                      <a:avLst/>
                    </a:prstGeom>
                  </pic:spPr>
                </pic:pic>
              </a:graphicData>
            </a:graphic>
          </wp:inline>
        </w:drawing>
      </w:r>
    </w:p>
    <w:p w14:paraId="7F221A5D">
      <w:pPr>
        <w:pStyle w:val="11"/>
        <w:spacing w:line="254" w:lineRule="auto"/>
        <w:rPr>
          <w:color w:val="auto"/>
          <w:highlight w:val="none"/>
        </w:rPr>
      </w:pPr>
    </w:p>
    <w:p w14:paraId="7139E531">
      <w:pPr>
        <w:pStyle w:val="11"/>
        <w:spacing w:line="254" w:lineRule="auto"/>
        <w:rPr>
          <w:color w:val="auto"/>
          <w:highlight w:val="none"/>
        </w:rPr>
      </w:pPr>
    </w:p>
    <w:p w14:paraId="19C556A7">
      <w:pPr>
        <w:pStyle w:val="11"/>
        <w:spacing w:line="254" w:lineRule="auto"/>
        <w:rPr>
          <w:color w:val="auto"/>
          <w:highlight w:val="none"/>
        </w:rPr>
      </w:pPr>
    </w:p>
    <w:p w14:paraId="35E8D455">
      <w:pPr>
        <w:pStyle w:val="11"/>
        <w:spacing w:line="254" w:lineRule="auto"/>
        <w:rPr>
          <w:color w:val="auto"/>
          <w:highlight w:val="none"/>
        </w:rPr>
      </w:pPr>
    </w:p>
    <w:p w14:paraId="521EC856">
      <w:pPr>
        <w:pStyle w:val="42"/>
        <w:rPr>
          <w:rFonts w:hint="eastAsia" w:ascii="宋体" w:hAnsi="宋体" w:eastAsia="宋体" w:cs="宋体"/>
          <w:color w:val="auto"/>
          <w:szCs w:val="21"/>
          <w:highlight w:val="none"/>
          <w:lang w:val="zh-CN"/>
        </w:rPr>
      </w:pPr>
    </w:p>
    <w:p w14:paraId="0E0E53B5">
      <w:pPr>
        <w:pStyle w:val="42"/>
        <w:rPr>
          <w:rFonts w:hint="eastAsia" w:ascii="宋体" w:hAnsi="宋体" w:eastAsia="宋体" w:cs="宋体"/>
          <w:color w:val="auto"/>
          <w:szCs w:val="21"/>
          <w:highlight w:val="none"/>
          <w:lang w:val="zh-CN"/>
        </w:rPr>
      </w:pPr>
    </w:p>
    <w:p w14:paraId="18D31B9E">
      <w:pPr>
        <w:pStyle w:val="4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drawing>
          <wp:inline distT="0" distB="0" distL="114300" distR="114300">
            <wp:extent cx="5273675" cy="7458075"/>
            <wp:effectExtent l="0" t="0" r="14605" b="9525"/>
            <wp:docPr id="7" name="图片 7" descr="彬州市2025年水肥精准调控展示项目（招标清单）3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彬州市2025年水肥精准调控展示项目（招标清单）3_01"/>
                    <pic:cNvPicPr>
                      <a:picLocks noChangeAspect="1"/>
                    </pic:cNvPicPr>
                  </pic:nvPicPr>
                  <pic:blipFill>
                    <a:blip r:embed="rId20"/>
                    <a:stretch>
                      <a:fillRect/>
                    </a:stretch>
                  </pic:blipFill>
                  <pic:spPr>
                    <a:xfrm>
                      <a:off x="0" y="0"/>
                      <a:ext cx="5273675" cy="7458075"/>
                    </a:xfrm>
                    <a:prstGeom prst="rect">
                      <a:avLst/>
                    </a:prstGeom>
                  </pic:spPr>
                </pic:pic>
              </a:graphicData>
            </a:graphic>
          </wp:inline>
        </w:drawing>
      </w:r>
    </w:p>
    <w:p w14:paraId="63F1B00A">
      <w:pPr>
        <w:pStyle w:val="42"/>
        <w:rPr>
          <w:rFonts w:hint="eastAsia" w:ascii="宋体" w:hAnsi="宋体" w:eastAsia="宋体" w:cs="宋体"/>
          <w:color w:val="auto"/>
          <w:szCs w:val="21"/>
          <w:highlight w:val="none"/>
          <w:lang w:val="zh-CN"/>
        </w:rPr>
      </w:pPr>
    </w:p>
    <w:p w14:paraId="6330E81B">
      <w:pPr>
        <w:pStyle w:val="42"/>
        <w:rPr>
          <w:rFonts w:hint="eastAsia" w:ascii="宋体" w:hAnsi="宋体" w:eastAsia="宋体" w:cs="宋体"/>
          <w:color w:val="auto"/>
          <w:szCs w:val="21"/>
          <w:highlight w:val="none"/>
          <w:lang w:val="zh-CN"/>
        </w:rPr>
      </w:pPr>
    </w:p>
    <w:p w14:paraId="68E2217C">
      <w:pPr>
        <w:pStyle w:val="42"/>
        <w:rPr>
          <w:rFonts w:hint="eastAsia" w:ascii="宋体" w:hAnsi="宋体" w:eastAsia="宋体" w:cs="宋体"/>
          <w:color w:val="auto"/>
          <w:szCs w:val="21"/>
          <w:highlight w:val="none"/>
          <w:lang w:val="zh-CN"/>
        </w:rPr>
      </w:pPr>
    </w:p>
    <w:p w14:paraId="1CD5FC70">
      <w:pPr>
        <w:pStyle w:val="42"/>
        <w:rPr>
          <w:rFonts w:hint="eastAsia" w:ascii="宋体" w:hAnsi="宋体" w:eastAsia="宋体" w:cs="宋体"/>
          <w:color w:val="auto"/>
          <w:szCs w:val="21"/>
          <w:highlight w:val="none"/>
          <w:lang w:val="zh-CN"/>
        </w:rPr>
      </w:pPr>
    </w:p>
    <w:p w14:paraId="2E1894EF">
      <w:pPr>
        <w:pStyle w:val="42"/>
        <w:rPr>
          <w:rFonts w:hint="eastAsia" w:ascii="宋体" w:hAnsi="宋体" w:eastAsia="宋体" w:cs="宋体"/>
          <w:color w:val="auto"/>
          <w:szCs w:val="21"/>
          <w:highlight w:val="none"/>
          <w:lang w:val="zh-CN"/>
        </w:rPr>
      </w:pPr>
    </w:p>
    <w:p w14:paraId="4BF98E58">
      <w:pPr>
        <w:pStyle w:val="42"/>
        <w:rPr>
          <w:rFonts w:hint="eastAsia" w:ascii="宋体" w:hAnsi="宋体" w:eastAsia="宋体" w:cs="宋体"/>
          <w:color w:val="auto"/>
          <w:szCs w:val="21"/>
          <w:highlight w:val="none"/>
          <w:lang w:val="zh-CN"/>
        </w:rPr>
      </w:pPr>
    </w:p>
    <w:p w14:paraId="70239364">
      <w:pPr>
        <w:pStyle w:val="4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drawing>
          <wp:inline distT="0" distB="0" distL="114300" distR="114300">
            <wp:extent cx="5273675" cy="7458075"/>
            <wp:effectExtent l="0" t="0" r="14605" b="9525"/>
            <wp:docPr id="8" name="图片 8" descr="彬州市2025年水肥精准调控展示项目（招标清单）3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彬州市2025年水肥精准调控展示项目（招标清单）3_02"/>
                    <pic:cNvPicPr>
                      <a:picLocks noChangeAspect="1"/>
                    </pic:cNvPicPr>
                  </pic:nvPicPr>
                  <pic:blipFill>
                    <a:blip r:embed="rId21"/>
                    <a:stretch>
                      <a:fillRect/>
                    </a:stretch>
                  </pic:blipFill>
                  <pic:spPr>
                    <a:xfrm>
                      <a:off x="0" y="0"/>
                      <a:ext cx="5273675" cy="7458075"/>
                    </a:xfrm>
                    <a:prstGeom prst="rect">
                      <a:avLst/>
                    </a:prstGeom>
                  </pic:spPr>
                </pic:pic>
              </a:graphicData>
            </a:graphic>
          </wp:inline>
        </w:drawing>
      </w:r>
    </w:p>
    <w:p w14:paraId="15FCA9C8">
      <w:pPr>
        <w:pStyle w:val="42"/>
        <w:rPr>
          <w:rFonts w:hint="eastAsia" w:ascii="宋体" w:hAnsi="宋体" w:eastAsia="宋体" w:cs="宋体"/>
          <w:color w:val="auto"/>
          <w:szCs w:val="21"/>
          <w:highlight w:val="none"/>
          <w:lang w:val="zh-CN"/>
        </w:rPr>
      </w:pPr>
    </w:p>
    <w:p w14:paraId="489FE847">
      <w:pPr>
        <w:pStyle w:val="42"/>
        <w:rPr>
          <w:rFonts w:hint="eastAsia" w:ascii="宋体" w:hAnsi="宋体" w:eastAsia="宋体" w:cs="宋体"/>
          <w:color w:val="auto"/>
          <w:szCs w:val="21"/>
          <w:highlight w:val="none"/>
          <w:lang w:val="zh-CN"/>
        </w:rPr>
      </w:pPr>
    </w:p>
    <w:p w14:paraId="3F18D781">
      <w:pPr>
        <w:pStyle w:val="42"/>
        <w:rPr>
          <w:rFonts w:hint="eastAsia" w:ascii="宋体" w:hAnsi="宋体" w:eastAsia="宋体" w:cs="宋体"/>
          <w:color w:val="auto"/>
          <w:szCs w:val="21"/>
          <w:highlight w:val="none"/>
          <w:lang w:val="zh-CN"/>
        </w:rPr>
      </w:pPr>
    </w:p>
    <w:p w14:paraId="1A36AFBE">
      <w:pPr>
        <w:pStyle w:val="42"/>
        <w:rPr>
          <w:rFonts w:hint="eastAsia" w:ascii="宋体" w:hAnsi="宋体" w:eastAsia="宋体" w:cs="宋体"/>
          <w:color w:val="auto"/>
          <w:szCs w:val="21"/>
          <w:highlight w:val="none"/>
          <w:lang w:val="zh-CN"/>
        </w:rPr>
      </w:pPr>
    </w:p>
    <w:p w14:paraId="6ACCCD28">
      <w:pPr>
        <w:pStyle w:val="42"/>
        <w:rPr>
          <w:rFonts w:hint="eastAsia" w:ascii="宋体" w:hAnsi="宋体" w:eastAsia="宋体" w:cs="宋体"/>
          <w:color w:val="auto"/>
          <w:szCs w:val="21"/>
          <w:highlight w:val="none"/>
          <w:lang w:val="zh-CN"/>
        </w:rPr>
      </w:pPr>
    </w:p>
    <w:p w14:paraId="7983B855">
      <w:pPr>
        <w:pStyle w:val="42"/>
        <w:rPr>
          <w:rFonts w:hint="eastAsia" w:ascii="宋体" w:hAnsi="宋体" w:eastAsia="宋体" w:cs="宋体"/>
          <w:color w:val="auto"/>
          <w:szCs w:val="21"/>
          <w:highlight w:val="none"/>
          <w:lang w:val="zh-CN"/>
        </w:rPr>
      </w:pPr>
    </w:p>
    <w:p w14:paraId="3247C8AB">
      <w:pPr>
        <w:pStyle w:val="4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drawing>
          <wp:inline distT="0" distB="0" distL="114300" distR="114300">
            <wp:extent cx="5273675" cy="7458075"/>
            <wp:effectExtent l="0" t="0" r="14605" b="9525"/>
            <wp:docPr id="9" name="图片 9" descr="彬州市2025年水肥精准调控展示项目（招标清单）3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彬州市2025年水肥精准调控展示项目（招标清单）3_03"/>
                    <pic:cNvPicPr>
                      <a:picLocks noChangeAspect="1"/>
                    </pic:cNvPicPr>
                  </pic:nvPicPr>
                  <pic:blipFill>
                    <a:blip r:embed="rId22"/>
                    <a:stretch>
                      <a:fillRect/>
                    </a:stretch>
                  </pic:blipFill>
                  <pic:spPr>
                    <a:xfrm>
                      <a:off x="0" y="0"/>
                      <a:ext cx="5273675" cy="7458075"/>
                    </a:xfrm>
                    <a:prstGeom prst="rect">
                      <a:avLst/>
                    </a:prstGeom>
                  </pic:spPr>
                </pic:pic>
              </a:graphicData>
            </a:graphic>
          </wp:inline>
        </w:drawing>
      </w:r>
    </w:p>
    <w:p w14:paraId="0A366457">
      <w:pPr>
        <w:pStyle w:val="42"/>
        <w:rPr>
          <w:rFonts w:hint="eastAsia" w:ascii="宋体" w:hAnsi="宋体" w:eastAsia="宋体" w:cs="宋体"/>
          <w:color w:val="auto"/>
          <w:szCs w:val="21"/>
          <w:highlight w:val="none"/>
          <w:lang w:val="zh-CN"/>
        </w:rPr>
      </w:pPr>
    </w:p>
    <w:p w14:paraId="7ACFB47D">
      <w:pPr>
        <w:pStyle w:val="42"/>
        <w:rPr>
          <w:rFonts w:hint="eastAsia" w:ascii="宋体" w:hAnsi="宋体" w:eastAsia="宋体" w:cs="宋体"/>
          <w:color w:val="auto"/>
          <w:szCs w:val="21"/>
          <w:highlight w:val="none"/>
          <w:lang w:val="zh-CN"/>
        </w:rPr>
      </w:pPr>
    </w:p>
    <w:p w14:paraId="5BA5174D">
      <w:pPr>
        <w:pStyle w:val="42"/>
        <w:rPr>
          <w:rFonts w:hint="eastAsia" w:ascii="宋体" w:hAnsi="宋体" w:eastAsia="宋体" w:cs="宋体"/>
          <w:color w:val="auto"/>
          <w:szCs w:val="21"/>
          <w:highlight w:val="none"/>
          <w:lang w:val="zh-CN"/>
        </w:rPr>
      </w:pPr>
    </w:p>
    <w:p w14:paraId="33C91745">
      <w:pPr>
        <w:pStyle w:val="42"/>
        <w:rPr>
          <w:rFonts w:hint="eastAsia" w:ascii="宋体" w:hAnsi="宋体" w:eastAsia="宋体" w:cs="宋体"/>
          <w:color w:val="auto"/>
          <w:szCs w:val="21"/>
          <w:highlight w:val="none"/>
          <w:lang w:val="zh-CN"/>
        </w:rPr>
      </w:pPr>
    </w:p>
    <w:p w14:paraId="205AD955">
      <w:pPr>
        <w:pStyle w:val="42"/>
        <w:rPr>
          <w:rFonts w:hint="eastAsia" w:ascii="宋体" w:hAnsi="宋体" w:eastAsia="宋体" w:cs="宋体"/>
          <w:color w:val="auto"/>
          <w:szCs w:val="21"/>
          <w:highlight w:val="none"/>
          <w:lang w:val="zh-CN"/>
        </w:rPr>
      </w:pPr>
    </w:p>
    <w:p w14:paraId="56B33672">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br w:type="page"/>
      </w:r>
    </w:p>
    <w:bookmarkEnd w:id="37"/>
    <w:p w14:paraId="430A68A8">
      <w:pPr>
        <w:pStyle w:val="2"/>
        <w:bidi w:val="0"/>
        <w:rPr>
          <w:rFonts w:hint="eastAsia" w:ascii="宋体" w:hAnsi="宋体" w:eastAsia="宋体" w:cs="宋体"/>
          <w:color w:val="auto"/>
          <w:highlight w:val="none"/>
          <w:lang w:eastAsia="zh-CN"/>
        </w:rPr>
      </w:pPr>
      <w:bookmarkStart w:id="42" w:name="_Toc383012293"/>
      <w:bookmarkStart w:id="43" w:name="_Toc26803"/>
      <w:bookmarkStart w:id="44" w:name="_Toc29399"/>
      <w:bookmarkStart w:id="45" w:name="_Toc18559"/>
      <w:r>
        <w:rPr>
          <w:rFonts w:hint="eastAsia" w:ascii="宋体" w:hAnsi="宋体" w:eastAsia="宋体" w:cs="宋体"/>
          <w:color w:val="auto"/>
          <w:highlight w:val="none"/>
          <w:lang w:eastAsia="zh-CN"/>
        </w:rPr>
        <w:t>第五部分</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合同</w:t>
      </w:r>
      <w:bookmarkEnd w:id="42"/>
      <w:r>
        <w:rPr>
          <w:rFonts w:hint="eastAsia" w:ascii="宋体" w:hAnsi="宋体" w:eastAsia="宋体" w:cs="宋体"/>
          <w:color w:val="auto"/>
          <w:highlight w:val="none"/>
          <w:lang w:eastAsia="zh-CN"/>
        </w:rPr>
        <w:t>格式</w:t>
      </w:r>
      <w:bookmarkEnd w:id="43"/>
      <w:bookmarkEnd w:id="44"/>
      <w:bookmarkEnd w:id="45"/>
    </w:p>
    <w:p w14:paraId="1DD1A8E1">
      <w:pPr>
        <w:pStyle w:val="71"/>
        <w:pageBreakBefore w:val="0"/>
        <w:kinsoku/>
        <w:wordWrap/>
        <w:overflowPunct/>
        <w:topLinePunct w:val="0"/>
        <w:bidi w:val="0"/>
        <w:snapToGrid/>
        <w:spacing w:line="400" w:lineRule="exact"/>
        <w:jc w:val="center"/>
        <w:outlineLvl w:val="1"/>
        <w:rPr>
          <w:rFonts w:hint="eastAsia" w:ascii="宋体" w:hAnsi="宋体" w:eastAsia="宋体" w:cs="宋体"/>
          <w:b/>
          <w:color w:val="auto"/>
          <w:sz w:val="15"/>
          <w:szCs w:val="15"/>
          <w:highlight w:val="none"/>
          <w:lang w:val="en-US" w:eastAsia="zh-CN"/>
        </w:rPr>
      </w:pPr>
      <w:bookmarkStart w:id="46" w:name="_Toc265408489"/>
    </w:p>
    <w:p w14:paraId="099FA9C8">
      <w:pPr>
        <w:pStyle w:val="71"/>
        <w:pageBreakBefore w:val="0"/>
        <w:kinsoku/>
        <w:wordWrap/>
        <w:overflowPunct/>
        <w:topLinePunct w:val="0"/>
        <w:bidi w:val="0"/>
        <w:snapToGrid/>
        <w:spacing w:line="400" w:lineRule="exact"/>
        <w:jc w:val="center"/>
        <w:outlineLvl w:val="1"/>
        <w:rPr>
          <w:rFonts w:hint="eastAsia" w:ascii="宋体" w:hAnsi="宋体" w:eastAsia="宋体" w:cs="宋体"/>
          <w:b/>
          <w:color w:val="auto"/>
          <w:sz w:val="15"/>
          <w:szCs w:val="15"/>
          <w:highlight w:val="none"/>
          <w:lang w:val="en-US" w:eastAsia="zh-CN"/>
        </w:rPr>
      </w:pPr>
    </w:p>
    <w:p w14:paraId="7EDBD5A5">
      <w:pPr>
        <w:jc w:val="center"/>
        <w:rPr>
          <w:rFonts w:hint="eastAsia"/>
          <w:b/>
          <w:bCs/>
          <w:color w:val="auto"/>
          <w:sz w:val="48"/>
          <w:szCs w:val="48"/>
          <w:highlight w:val="none"/>
          <w:lang w:val="en-US" w:eastAsia="zh-CN"/>
        </w:rPr>
      </w:pPr>
      <w:r>
        <w:rPr>
          <w:rFonts w:hint="eastAsia"/>
          <w:b/>
          <w:bCs/>
          <w:color w:val="auto"/>
          <w:sz w:val="48"/>
          <w:szCs w:val="48"/>
          <w:highlight w:val="none"/>
          <w:lang w:val="en-US" w:eastAsia="zh-CN"/>
        </w:rPr>
        <w:t>彬州市2025年水肥精准调控展示项目</w:t>
      </w:r>
    </w:p>
    <w:p w14:paraId="33B1DC9E">
      <w:pPr>
        <w:pStyle w:val="71"/>
        <w:pageBreakBefore w:val="0"/>
        <w:kinsoku/>
        <w:wordWrap/>
        <w:overflowPunct/>
        <w:topLinePunct w:val="0"/>
        <w:bidi w:val="0"/>
        <w:snapToGrid/>
        <w:spacing w:line="400" w:lineRule="exact"/>
        <w:jc w:val="center"/>
        <w:outlineLvl w:val="1"/>
        <w:rPr>
          <w:rFonts w:hint="eastAsia" w:ascii="宋体" w:hAnsi="宋体" w:eastAsia="宋体" w:cs="宋体"/>
          <w:b/>
          <w:color w:val="auto"/>
          <w:sz w:val="48"/>
          <w:szCs w:val="48"/>
          <w:highlight w:val="none"/>
          <w:lang w:val="en-US" w:eastAsia="zh-CN"/>
        </w:rPr>
      </w:pPr>
    </w:p>
    <w:p w14:paraId="4A757FE7">
      <w:pPr>
        <w:pStyle w:val="71"/>
        <w:pageBreakBefore w:val="0"/>
        <w:kinsoku/>
        <w:wordWrap/>
        <w:overflowPunct/>
        <w:topLinePunct w:val="0"/>
        <w:bidi w:val="0"/>
        <w:snapToGrid/>
        <w:spacing w:line="400" w:lineRule="exact"/>
        <w:jc w:val="center"/>
        <w:outlineLvl w:val="1"/>
        <w:rPr>
          <w:rFonts w:hint="eastAsia" w:ascii="宋体" w:hAnsi="宋体" w:eastAsia="宋体" w:cs="宋体"/>
          <w:b/>
          <w:color w:val="auto"/>
          <w:sz w:val="48"/>
          <w:szCs w:val="48"/>
          <w:highlight w:val="none"/>
          <w:lang w:val="en-US" w:eastAsia="zh-CN"/>
        </w:rPr>
      </w:pPr>
    </w:p>
    <w:p w14:paraId="4B5E7A55">
      <w:pPr>
        <w:pStyle w:val="71"/>
        <w:pageBreakBefore w:val="0"/>
        <w:kinsoku/>
        <w:wordWrap/>
        <w:overflowPunct/>
        <w:topLinePunct w:val="0"/>
        <w:bidi w:val="0"/>
        <w:snapToGrid/>
        <w:spacing w:line="400" w:lineRule="exact"/>
        <w:jc w:val="center"/>
        <w:outlineLvl w:val="1"/>
        <w:rPr>
          <w:rFonts w:hint="eastAsia" w:ascii="宋体" w:hAnsi="宋体" w:eastAsia="宋体" w:cs="宋体"/>
          <w:b/>
          <w:color w:val="auto"/>
          <w:sz w:val="48"/>
          <w:szCs w:val="48"/>
          <w:highlight w:val="none"/>
          <w:lang w:val="en-US" w:eastAsia="zh-CN"/>
        </w:rPr>
      </w:pPr>
    </w:p>
    <w:p w14:paraId="34F8E50C">
      <w:pPr>
        <w:pStyle w:val="71"/>
        <w:pageBreakBefore w:val="0"/>
        <w:kinsoku/>
        <w:wordWrap/>
        <w:overflowPunct/>
        <w:topLinePunct w:val="0"/>
        <w:bidi w:val="0"/>
        <w:snapToGrid/>
        <w:spacing w:line="400" w:lineRule="exact"/>
        <w:jc w:val="center"/>
        <w:outlineLvl w:val="1"/>
        <w:rPr>
          <w:rFonts w:hint="eastAsia" w:ascii="宋体" w:hAnsi="宋体" w:eastAsia="宋体" w:cs="宋体"/>
          <w:b/>
          <w:color w:val="auto"/>
          <w:sz w:val="48"/>
          <w:szCs w:val="48"/>
          <w:highlight w:val="none"/>
          <w:lang w:val="en-US" w:eastAsia="zh-CN"/>
        </w:rPr>
      </w:pPr>
    </w:p>
    <w:p w14:paraId="5851F667">
      <w:pPr>
        <w:pStyle w:val="71"/>
        <w:pageBreakBefore w:val="0"/>
        <w:kinsoku/>
        <w:wordWrap/>
        <w:overflowPunct/>
        <w:topLinePunct w:val="0"/>
        <w:bidi w:val="0"/>
        <w:snapToGrid/>
        <w:spacing w:line="400" w:lineRule="exact"/>
        <w:jc w:val="center"/>
        <w:outlineLvl w:val="1"/>
        <w:rPr>
          <w:rFonts w:hint="eastAsia" w:ascii="宋体" w:hAnsi="宋体" w:eastAsia="宋体" w:cs="宋体"/>
          <w:b/>
          <w:color w:val="auto"/>
          <w:sz w:val="48"/>
          <w:szCs w:val="48"/>
          <w:highlight w:val="none"/>
          <w:lang w:val="en-US" w:eastAsia="zh-CN"/>
        </w:rPr>
      </w:pPr>
    </w:p>
    <w:p w14:paraId="1D6AB93B">
      <w:pPr>
        <w:pStyle w:val="71"/>
        <w:pageBreakBefore w:val="0"/>
        <w:kinsoku/>
        <w:wordWrap/>
        <w:overflowPunct/>
        <w:topLinePunct w:val="0"/>
        <w:bidi w:val="0"/>
        <w:snapToGrid/>
        <w:spacing w:line="400" w:lineRule="exact"/>
        <w:jc w:val="center"/>
        <w:outlineLvl w:val="1"/>
        <w:rPr>
          <w:rFonts w:hint="eastAsia" w:ascii="宋体" w:hAnsi="宋体" w:eastAsia="宋体" w:cs="宋体"/>
          <w:b/>
          <w:color w:val="auto"/>
          <w:sz w:val="48"/>
          <w:szCs w:val="48"/>
          <w:highlight w:val="none"/>
          <w:lang w:val="en-US" w:eastAsia="zh-CN"/>
        </w:rPr>
      </w:pPr>
    </w:p>
    <w:p w14:paraId="773245B2">
      <w:pPr>
        <w:pStyle w:val="71"/>
        <w:pageBreakBefore w:val="0"/>
        <w:kinsoku/>
        <w:wordWrap/>
        <w:overflowPunct/>
        <w:topLinePunct w:val="0"/>
        <w:bidi w:val="0"/>
        <w:snapToGrid/>
        <w:spacing w:line="400" w:lineRule="exact"/>
        <w:jc w:val="center"/>
        <w:outlineLvl w:val="1"/>
        <w:rPr>
          <w:rFonts w:hint="eastAsia" w:ascii="宋体" w:hAnsi="宋体" w:eastAsia="宋体" w:cs="宋体"/>
          <w:b/>
          <w:color w:val="auto"/>
          <w:sz w:val="48"/>
          <w:szCs w:val="48"/>
          <w:highlight w:val="none"/>
          <w:lang w:val="en-US" w:eastAsia="zh-CN"/>
        </w:rPr>
      </w:pPr>
    </w:p>
    <w:p w14:paraId="7D7F86D5">
      <w:pPr>
        <w:pStyle w:val="71"/>
        <w:pageBreakBefore w:val="0"/>
        <w:kinsoku/>
        <w:wordWrap/>
        <w:overflowPunct/>
        <w:topLinePunct w:val="0"/>
        <w:bidi w:val="0"/>
        <w:snapToGrid/>
        <w:spacing w:line="400" w:lineRule="exact"/>
        <w:jc w:val="center"/>
        <w:outlineLvl w:val="1"/>
        <w:rPr>
          <w:rFonts w:hint="eastAsia" w:ascii="宋体" w:hAnsi="宋体" w:eastAsia="宋体" w:cs="宋体"/>
          <w:b/>
          <w:color w:val="auto"/>
          <w:sz w:val="48"/>
          <w:szCs w:val="48"/>
          <w:highlight w:val="none"/>
          <w:lang w:val="en-US" w:eastAsia="zh-CN"/>
        </w:rPr>
      </w:pPr>
    </w:p>
    <w:p w14:paraId="00AC20F7">
      <w:pPr>
        <w:pStyle w:val="71"/>
        <w:pageBreakBefore w:val="0"/>
        <w:kinsoku/>
        <w:wordWrap/>
        <w:overflowPunct/>
        <w:topLinePunct w:val="0"/>
        <w:bidi w:val="0"/>
        <w:snapToGrid/>
        <w:spacing w:line="400" w:lineRule="exact"/>
        <w:jc w:val="center"/>
        <w:outlineLvl w:val="1"/>
        <w:rPr>
          <w:rFonts w:hint="eastAsia" w:ascii="宋体" w:hAnsi="宋体" w:eastAsia="宋体" w:cs="宋体"/>
          <w:b/>
          <w:color w:val="auto"/>
          <w:sz w:val="48"/>
          <w:szCs w:val="48"/>
          <w:highlight w:val="none"/>
          <w:lang w:val="en-US" w:eastAsia="zh-CN"/>
        </w:rPr>
      </w:pPr>
    </w:p>
    <w:p w14:paraId="2E7952D3">
      <w:pPr>
        <w:pStyle w:val="71"/>
        <w:pageBreakBefore w:val="0"/>
        <w:kinsoku/>
        <w:wordWrap/>
        <w:overflowPunct/>
        <w:topLinePunct w:val="0"/>
        <w:bidi w:val="0"/>
        <w:snapToGrid/>
        <w:spacing w:line="400" w:lineRule="exact"/>
        <w:jc w:val="center"/>
        <w:outlineLvl w:val="1"/>
        <w:rPr>
          <w:rFonts w:hint="eastAsia" w:ascii="宋体" w:hAnsi="宋体" w:eastAsia="宋体" w:cs="宋体"/>
          <w:b/>
          <w:color w:val="auto"/>
          <w:sz w:val="48"/>
          <w:szCs w:val="48"/>
          <w:highlight w:val="none"/>
          <w:lang w:val="en-US" w:eastAsia="zh-CN"/>
        </w:rPr>
      </w:pPr>
    </w:p>
    <w:p w14:paraId="2161EAFC">
      <w:pPr>
        <w:jc w:val="center"/>
        <w:rPr>
          <w:rFonts w:hint="default"/>
          <w:color w:val="auto"/>
          <w:sz w:val="48"/>
          <w:szCs w:val="48"/>
          <w:highlight w:val="none"/>
          <w:lang w:val="en-US"/>
        </w:rPr>
      </w:pPr>
      <w:r>
        <w:rPr>
          <w:rFonts w:hint="eastAsia"/>
          <w:color w:val="auto"/>
          <w:sz w:val="48"/>
          <w:szCs w:val="48"/>
          <w:highlight w:val="none"/>
          <w:lang w:val="en-US" w:eastAsia="zh-CN"/>
        </w:rPr>
        <w:t>施工合同</w:t>
      </w:r>
    </w:p>
    <w:p w14:paraId="4B4CCA92">
      <w:pPr>
        <w:pStyle w:val="71"/>
        <w:pageBreakBefore w:val="0"/>
        <w:kinsoku/>
        <w:wordWrap/>
        <w:overflowPunct/>
        <w:topLinePunct w:val="0"/>
        <w:bidi w:val="0"/>
        <w:snapToGrid/>
        <w:spacing w:line="400" w:lineRule="exact"/>
        <w:jc w:val="center"/>
        <w:outlineLvl w:val="1"/>
        <w:rPr>
          <w:rFonts w:hint="eastAsia" w:ascii="宋体" w:hAnsi="宋体" w:eastAsia="宋体" w:cs="宋体"/>
          <w:b/>
          <w:color w:val="auto"/>
          <w:sz w:val="36"/>
          <w:highlight w:val="none"/>
        </w:rPr>
      </w:pPr>
    </w:p>
    <w:p w14:paraId="5FBFE3E6">
      <w:pPr>
        <w:pStyle w:val="71"/>
        <w:pageBreakBefore w:val="0"/>
        <w:kinsoku/>
        <w:wordWrap/>
        <w:overflowPunct/>
        <w:topLinePunct w:val="0"/>
        <w:bidi w:val="0"/>
        <w:snapToGrid/>
        <w:spacing w:line="400" w:lineRule="exact"/>
        <w:jc w:val="center"/>
        <w:outlineLvl w:val="1"/>
        <w:rPr>
          <w:rFonts w:hint="eastAsia" w:ascii="宋体" w:hAnsi="宋体" w:eastAsia="宋体" w:cs="宋体"/>
          <w:b/>
          <w:color w:val="auto"/>
          <w:sz w:val="36"/>
          <w:highlight w:val="none"/>
        </w:rPr>
      </w:pPr>
    </w:p>
    <w:p w14:paraId="0CB44C68">
      <w:pPr>
        <w:pStyle w:val="71"/>
        <w:pageBreakBefore w:val="0"/>
        <w:kinsoku/>
        <w:wordWrap/>
        <w:overflowPunct/>
        <w:topLinePunct w:val="0"/>
        <w:bidi w:val="0"/>
        <w:snapToGrid/>
        <w:spacing w:line="400" w:lineRule="exact"/>
        <w:jc w:val="center"/>
        <w:outlineLvl w:val="1"/>
        <w:rPr>
          <w:rFonts w:hint="eastAsia" w:ascii="宋体" w:hAnsi="宋体" w:eastAsia="宋体" w:cs="宋体"/>
          <w:b/>
          <w:color w:val="auto"/>
          <w:sz w:val="36"/>
          <w:highlight w:val="none"/>
        </w:rPr>
      </w:pPr>
    </w:p>
    <w:p w14:paraId="2889FFFE">
      <w:pPr>
        <w:pStyle w:val="71"/>
        <w:pageBreakBefore w:val="0"/>
        <w:kinsoku/>
        <w:wordWrap/>
        <w:overflowPunct/>
        <w:topLinePunct w:val="0"/>
        <w:bidi w:val="0"/>
        <w:snapToGrid/>
        <w:spacing w:line="400" w:lineRule="exact"/>
        <w:jc w:val="center"/>
        <w:outlineLvl w:val="1"/>
        <w:rPr>
          <w:rFonts w:hint="eastAsia" w:ascii="宋体" w:hAnsi="宋体" w:eastAsia="宋体" w:cs="宋体"/>
          <w:b/>
          <w:color w:val="auto"/>
          <w:sz w:val="36"/>
          <w:highlight w:val="none"/>
        </w:rPr>
      </w:pPr>
    </w:p>
    <w:p w14:paraId="703F0DB9">
      <w:pPr>
        <w:pStyle w:val="71"/>
        <w:pageBreakBefore w:val="0"/>
        <w:kinsoku/>
        <w:wordWrap/>
        <w:overflowPunct/>
        <w:topLinePunct w:val="0"/>
        <w:bidi w:val="0"/>
        <w:snapToGrid/>
        <w:spacing w:line="400" w:lineRule="exact"/>
        <w:jc w:val="center"/>
        <w:outlineLvl w:val="1"/>
        <w:rPr>
          <w:rFonts w:hint="eastAsia" w:ascii="宋体" w:hAnsi="宋体" w:eastAsia="宋体" w:cs="宋体"/>
          <w:b/>
          <w:color w:val="auto"/>
          <w:sz w:val="36"/>
          <w:highlight w:val="none"/>
        </w:rPr>
      </w:pPr>
    </w:p>
    <w:p w14:paraId="50ADF485">
      <w:pPr>
        <w:pStyle w:val="71"/>
        <w:pageBreakBefore w:val="0"/>
        <w:kinsoku/>
        <w:wordWrap/>
        <w:overflowPunct/>
        <w:topLinePunct w:val="0"/>
        <w:bidi w:val="0"/>
        <w:snapToGrid/>
        <w:spacing w:line="400" w:lineRule="exact"/>
        <w:jc w:val="center"/>
        <w:outlineLvl w:val="1"/>
        <w:rPr>
          <w:rFonts w:hint="eastAsia" w:ascii="宋体" w:hAnsi="宋体" w:eastAsia="宋体" w:cs="宋体"/>
          <w:b/>
          <w:color w:val="auto"/>
          <w:sz w:val="36"/>
          <w:highlight w:val="none"/>
        </w:rPr>
      </w:pPr>
    </w:p>
    <w:p w14:paraId="6E9897BF">
      <w:pPr>
        <w:pStyle w:val="71"/>
        <w:pageBreakBefore w:val="0"/>
        <w:kinsoku/>
        <w:wordWrap/>
        <w:overflowPunct/>
        <w:topLinePunct w:val="0"/>
        <w:bidi w:val="0"/>
        <w:snapToGrid/>
        <w:spacing w:line="400" w:lineRule="exact"/>
        <w:jc w:val="center"/>
        <w:outlineLvl w:val="1"/>
        <w:rPr>
          <w:rFonts w:hint="eastAsia" w:ascii="宋体" w:hAnsi="宋体" w:eastAsia="宋体" w:cs="宋体"/>
          <w:b/>
          <w:color w:val="auto"/>
          <w:sz w:val="36"/>
          <w:highlight w:val="none"/>
        </w:rPr>
      </w:pPr>
    </w:p>
    <w:p w14:paraId="20E5E98D">
      <w:pPr>
        <w:pStyle w:val="71"/>
        <w:pageBreakBefore w:val="0"/>
        <w:kinsoku/>
        <w:wordWrap/>
        <w:overflowPunct/>
        <w:topLinePunct w:val="0"/>
        <w:bidi w:val="0"/>
        <w:snapToGrid/>
        <w:spacing w:line="400" w:lineRule="exact"/>
        <w:jc w:val="center"/>
        <w:outlineLvl w:val="1"/>
        <w:rPr>
          <w:rFonts w:hint="eastAsia" w:ascii="宋体" w:hAnsi="宋体" w:eastAsia="宋体" w:cs="宋体"/>
          <w:b/>
          <w:color w:val="auto"/>
          <w:sz w:val="36"/>
          <w:highlight w:val="none"/>
        </w:rPr>
      </w:pPr>
    </w:p>
    <w:p w14:paraId="11DCDA9B">
      <w:pPr>
        <w:pStyle w:val="71"/>
        <w:pageBreakBefore w:val="0"/>
        <w:kinsoku/>
        <w:wordWrap/>
        <w:overflowPunct/>
        <w:topLinePunct w:val="0"/>
        <w:bidi w:val="0"/>
        <w:snapToGrid/>
        <w:spacing w:line="400" w:lineRule="exact"/>
        <w:jc w:val="center"/>
        <w:outlineLvl w:val="1"/>
        <w:rPr>
          <w:rFonts w:hint="eastAsia" w:ascii="宋体" w:hAnsi="宋体" w:eastAsia="宋体" w:cs="宋体"/>
          <w:b/>
          <w:color w:val="auto"/>
          <w:sz w:val="36"/>
          <w:highlight w:val="none"/>
        </w:rPr>
      </w:pPr>
    </w:p>
    <w:p w14:paraId="034EFDF7">
      <w:pPr>
        <w:pStyle w:val="71"/>
        <w:pageBreakBefore w:val="0"/>
        <w:kinsoku/>
        <w:wordWrap/>
        <w:overflowPunct/>
        <w:topLinePunct w:val="0"/>
        <w:bidi w:val="0"/>
        <w:snapToGrid/>
        <w:spacing w:line="400" w:lineRule="exact"/>
        <w:jc w:val="center"/>
        <w:outlineLvl w:val="1"/>
        <w:rPr>
          <w:rFonts w:hint="eastAsia" w:ascii="宋体" w:hAnsi="宋体" w:eastAsia="宋体" w:cs="宋体"/>
          <w:b/>
          <w:color w:val="auto"/>
          <w:sz w:val="36"/>
          <w:highlight w:val="none"/>
        </w:rPr>
      </w:pPr>
    </w:p>
    <w:p w14:paraId="68B4F6A8">
      <w:pPr>
        <w:pStyle w:val="71"/>
        <w:pageBreakBefore w:val="0"/>
        <w:kinsoku/>
        <w:wordWrap/>
        <w:overflowPunct/>
        <w:topLinePunct w:val="0"/>
        <w:bidi w:val="0"/>
        <w:snapToGrid/>
        <w:spacing w:line="400" w:lineRule="exact"/>
        <w:jc w:val="center"/>
        <w:outlineLvl w:val="1"/>
        <w:rPr>
          <w:rFonts w:hint="eastAsia" w:ascii="宋体" w:hAnsi="宋体" w:eastAsia="宋体" w:cs="宋体"/>
          <w:b/>
          <w:color w:val="auto"/>
          <w:sz w:val="36"/>
          <w:highlight w:val="none"/>
        </w:rPr>
      </w:pPr>
    </w:p>
    <w:p w14:paraId="29180329">
      <w:pPr>
        <w:pStyle w:val="71"/>
        <w:pageBreakBefore w:val="0"/>
        <w:kinsoku/>
        <w:wordWrap/>
        <w:overflowPunct/>
        <w:topLinePunct w:val="0"/>
        <w:bidi w:val="0"/>
        <w:snapToGrid/>
        <w:spacing w:line="400" w:lineRule="exact"/>
        <w:jc w:val="center"/>
        <w:outlineLvl w:val="1"/>
        <w:rPr>
          <w:rFonts w:hint="eastAsia" w:ascii="宋体" w:hAnsi="宋体" w:eastAsia="宋体" w:cs="宋体"/>
          <w:b/>
          <w:color w:val="auto"/>
          <w:sz w:val="36"/>
          <w:highlight w:val="none"/>
        </w:rPr>
      </w:pPr>
    </w:p>
    <w:p w14:paraId="6538A092">
      <w:pPr>
        <w:pStyle w:val="71"/>
        <w:pageBreakBefore w:val="0"/>
        <w:kinsoku/>
        <w:wordWrap/>
        <w:overflowPunct/>
        <w:topLinePunct w:val="0"/>
        <w:bidi w:val="0"/>
        <w:snapToGrid/>
        <w:spacing w:line="400" w:lineRule="exact"/>
        <w:ind w:firstLine="1606" w:firstLineChars="500"/>
        <w:jc w:val="both"/>
        <w:outlineLvl w:val="1"/>
        <w:rPr>
          <w:rFonts w:hint="default" w:ascii="宋体" w:hAnsi="宋体" w:eastAsia="宋体" w:cs="宋体"/>
          <w:b/>
          <w:color w:val="auto"/>
          <w:sz w:val="32"/>
          <w:szCs w:val="32"/>
          <w:highlight w:val="none"/>
          <w:u w:val="single"/>
          <w:lang w:val="en-US" w:eastAsia="zh-CN"/>
        </w:rPr>
      </w:pPr>
      <w:r>
        <w:rPr>
          <w:rFonts w:hint="eastAsia" w:ascii="宋体" w:hAnsi="宋体" w:eastAsia="宋体" w:cs="宋体"/>
          <w:b/>
          <w:color w:val="auto"/>
          <w:sz w:val="32"/>
          <w:szCs w:val="32"/>
          <w:highlight w:val="none"/>
          <w:lang w:val="en-US" w:eastAsia="zh-CN"/>
        </w:rPr>
        <w:t>发包人：</w:t>
      </w:r>
      <w:r>
        <w:rPr>
          <w:rFonts w:hint="eastAsia" w:ascii="宋体" w:hAnsi="宋体" w:cs="宋体"/>
          <w:b/>
          <w:color w:val="auto"/>
          <w:sz w:val="32"/>
          <w:szCs w:val="32"/>
          <w:highlight w:val="none"/>
          <w:u w:val="single"/>
          <w:lang w:val="en-US" w:eastAsia="zh-CN"/>
        </w:rPr>
        <w:t xml:space="preserve">                      </w:t>
      </w:r>
    </w:p>
    <w:p w14:paraId="661BC1BC">
      <w:pPr>
        <w:pageBreakBefore w:val="0"/>
        <w:kinsoku/>
        <w:wordWrap/>
        <w:overflowPunct/>
        <w:topLinePunct w:val="0"/>
        <w:autoSpaceDE w:val="0"/>
        <w:autoSpaceDN w:val="0"/>
        <w:bidi w:val="0"/>
        <w:snapToGrid/>
        <w:spacing w:line="400" w:lineRule="exact"/>
        <w:ind w:firstLine="1606" w:firstLineChars="500"/>
        <w:jc w:val="left"/>
        <w:rPr>
          <w:rFonts w:hint="default" w:ascii="宋体" w:hAnsi="宋体" w:eastAsia="宋体" w:cs="宋体"/>
          <w:b/>
          <w:color w:val="auto"/>
          <w:sz w:val="32"/>
          <w:szCs w:val="32"/>
          <w:highlight w:val="none"/>
          <w:u w:val="single"/>
          <w:lang w:val="en-US" w:eastAsia="zh-CN"/>
        </w:rPr>
      </w:pPr>
      <w:r>
        <w:rPr>
          <w:rFonts w:hint="eastAsia" w:ascii="宋体" w:hAnsi="宋体" w:eastAsia="宋体" w:cs="宋体"/>
          <w:b/>
          <w:color w:val="auto"/>
          <w:sz w:val="32"/>
          <w:szCs w:val="32"/>
          <w:highlight w:val="none"/>
          <w:lang w:val="en-US" w:eastAsia="zh-CN"/>
        </w:rPr>
        <w:t>承包人：</w:t>
      </w:r>
      <w:r>
        <w:rPr>
          <w:rFonts w:hint="eastAsia" w:ascii="宋体" w:hAnsi="宋体"/>
          <w:color w:val="auto"/>
          <w:sz w:val="32"/>
          <w:szCs w:val="32"/>
          <w:highlight w:val="none"/>
          <w:u w:val="single"/>
          <w:lang w:val="en-US" w:eastAsia="zh-CN"/>
        </w:rPr>
        <w:t xml:space="preserve">                      </w:t>
      </w:r>
    </w:p>
    <w:p w14:paraId="3B7B8982">
      <w:pPr>
        <w:pStyle w:val="71"/>
        <w:pageBreakBefore w:val="0"/>
        <w:kinsoku/>
        <w:wordWrap/>
        <w:overflowPunct/>
        <w:topLinePunct w:val="0"/>
        <w:bidi w:val="0"/>
        <w:snapToGrid/>
        <w:spacing w:line="400" w:lineRule="exact"/>
        <w:ind w:firstLine="1606" w:firstLineChars="500"/>
        <w:jc w:val="both"/>
        <w:outlineLvl w:val="1"/>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签订日期：</w:t>
      </w:r>
      <w:r>
        <w:rPr>
          <w:rFonts w:hint="eastAsia" w:ascii="宋体" w:hAnsi="宋体"/>
          <w:color w:val="auto"/>
          <w:sz w:val="32"/>
          <w:szCs w:val="32"/>
          <w:highlight w:val="none"/>
          <w:u w:val="single"/>
          <w:lang w:val="en-US" w:eastAsia="zh-CN"/>
        </w:rPr>
        <w:t xml:space="preserve">                    </w:t>
      </w:r>
    </w:p>
    <w:p w14:paraId="1E000F17">
      <w:pPr>
        <w:pStyle w:val="4"/>
        <w:pageBreakBefore w:val="0"/>
        <w:shd w:val="clear" w:color="auto" w:fill="FFFFFF"/>
        <w:kinsoku/>
        <w:wordWrap/>
        <w:overflowPunct/>
        <w:topLinePunct w:val="0"/>
        <w:bidi w:val="0"/>
        <w:snapToGrid/>
        <w:spacing w:before="156" w:beforeLines="50" w:line="400" w:lineRule="exact"/>
        <w:jc w:val="center"/>
        <w:rPr>
          <w:rFonts w:hAnsi="宋体"/>
          <w:b/>
          <w:bCs/>
          <w:color w:val="auto"/>
          <w:highlight w:val="none"/>
        </w:rPr>
      </w:pPr>
      <w:r>
        <w:rPr>
          <w:rFonts w:hint="eastAsia" w:hAnsi="宋体"/>
          <w:b/>
          <w:bCs/>
          <w:color w:val="auto"/>
          <w:highlight w:val="none"/>
          <w:lang w:val="en-US" w:eastAsia="zh-CN"/>
        </w:rPr>
        <w:br w:type="page"/>
      </w:r>
      <w:r>
        <w:rPr>
          <w:rFonts w:hint="eastAsia" w:hAnsi="宋体"/>
          <w:b/>
          <w:bCs/>
          <w:color w:val="auto"/>
          <w:highlight w:val="none"/>
          <w:lang w:val="en-US" w:eastAsia="zh-CN"/>
        </w:rPr>
        <w:t xml:space="preserve">第一部分  </w:t>
      </w:r>
      <w:r>
        <w:rPr>
          <w:rFonts w:hint="eastAsia" w:hAnsi="宋体"/>
          <w:b/>
          <w:bCs/>
          <w:color w:val="auto"/>
          <w:highlight w:val="none"/>
        </w:rPr>
        <w:t>合同协议书</w:t>
      </w:r>
    </w:p>
    <w:p w14:paraId="3AC28956">
      <w:pPr>
        <w:pageBreakBefore w:val="0"/>
        <w:kinsoku/>
        <w:wordWrap/>
        <w:overflowPunct/>
        <w:topLinePunct w:val="0"/>
        <w:autoSpaceDE w:val="0"/>
        <w:autoSpaceDN w:val="0"/>
        <w:bidi w:val="0"/>
        <w:snapToGrid/>
        <w:spacing w:line="400" w:lineRule="exact"/>
        <w:ind w:firstLine="420" w:firstLineChars="200"/>
        <w:jc w:val="left"/>
        <w:rPr>
          <w:rFonts w:hint="eastAsia" w:ascii="宋体" w:hAnsi="宋体" w:eastAsia="宋体" w:cs="Times New Roman"/>
          <w:color w:val="auto"/>
          <w:sz w:val="21"/>
          <w:szCs w:val="21"/>
          <w:highlight w:val="none"/>
        </w:rPr>
      </w:pP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(发包人名称，以下简称“发包人”)为实施</w:t>
      </w:r>
      <w:r>
        <w:rPr>
          <w:rFonts w:ascii="宋体" w:hAnsi="宋体"/>
          <w:color w:val="auto"/>
          <w:sz w:val="21"/>
          <w:szCs w:val="21"/>
          <w:highlight w:val="non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(项目名称)，已接受</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(承包人名称，以下简称“承包人”)对该项目</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(项目名称)</w:t>
      </w:r>
      <w:r>
        <w:rPr>
          <w:rFonts w:hint="eastAsia" w:ascii="宋体" w:hAnsi="宋体" w:eastAsia="宋体" w:cs="Times New Roman"/>
          <w:color w:val="auto"/>
          <w:sz w:val="21"/>
          <w:szCs w:val="21"/>
          <w:highlight w:val="none"/>
        </w:rPr>
        <w:t>施工的投标</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确定其为中标人。</w:t>
      </w:r>
      <w:r>
        <w:rPr>
          <w:rFonts w:hint="eastAsia" w:ascii="宋体" w:hAnsi="宋体" w:eastAsia="宋体" w:cs="Times New Roman"/>
          <w:color w:val="auto"/>
          <w:sz w:val="21"/>
          <w:szCs w:val="21"/>
          <w:highlight w:val="none"/>
        </w:rPr>
        <w:t>发包人和承包人共同达成如下协议。</w:t>
      </w:r>
    </w:p>
    <w:p w14:paraId="2F17234F">
      <w:pPr>
        <w:pageBreakBefore w:val="0"/>
        <w:kinsoku/>
        <w:wordWrap/>
        <w:overflowPunct/>
        <w:topLinePunct w:val="0"/>
        <w:autoSpaceDE w:val="0"/>
        <w:autoSpaceDN w:val="0"/>
        <w:bidi w:val="0"/>
        <w:snapToGrid/>
        <w:spacing w:line="400" w:lineRule="exact"/>
        <w:ind w:left="239" w:leftChars="114" w:firstLine="210" w:firstLineChars="100"/>
        <w:jc w:val="left"/>
        <w:rPr>
          <w:rFonts w:hint="default" w:ascii="宋体" w:hAnsi="宋体" w:eastAsia="宋体"/>
          <w:color w:val="auto"/>
          <w:sz w:val="21"/>
          <w:szCs w:val="21"/>
          <w:highlight w:val="none"/>
          <w:u w:val="single"/>
          <w:lang w:val="en-US" w:eastAsia="zh-CN"/>
        </w:rPr>
      </w:pPr>
      <w:r>
        <w:rPr>
          <w:rFonts w:ascii="宋体" w:hAnsi="宋体"/>
          <w:color w:val="auto"/>
          <w:sz w:val="21"/>
          <w:szCs w:val="21"/>
          <w:highlight w:val="none"/>
        </w:rPr>
        <w:t>1</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项目概况：</w:t>
      </w:r>
      <w:r>
        <w:rPr>
          <w:rFonts w:hint="eastAsia" w:ascii="宋体" w:hAnsi="宋体"/>
          <w:color w:val="auto"/>
          <w:sz w:val="21"/>
          <w:szCs w:val="21"/>
          <w:highlight w:val="none"/>
          <w:u w:val="single"/>
          <w:lang w:val="en-US" w:eastAsia="zh-CN"/>
        </w:rPr>
        <w:t xml:space="preserve">                          </w:t>
      </w:r>
    </w:p>
    <w:p w14:paraId="5B5071E6">
      <w:pPr>
        <w:pageBreakBefore w:val="0"/>
        <w:kinsoku/>
        <w:wordWrap/>
        <w:overflowPunct/>
        <w:topLinePunct w:val="0"/>
        <w:autoSpaceDE w:val="0"/>
        <w:autoSpaceDN w:val="0"/>
        <w:bidi w:val="0"/>
        <w:snapToGrid/>
        <w:spacing w:line="400" w:lineRule="exact"/>
        <w:ind w:firstLine="420" w:firstLineChars="200"/>
        <w:jc w:val="left"/>
        <w:rPr>
          <w:rFonts w:hint="eastAsia"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、下列文件应视为构成合同文件的组成部分：</w:t>
      </w:r>
    </w:p>
    <w:p w14:paraId="5C2AA4CB">
      <w:pPr>
        <w:pageBreakBefore w:val="0"/>
        <w:kinsoku/>
        <w:wordWrap/>
        <w:overflowPunct/>
        <w:topLinePunct w:val="0"/>
        <w:autoSpaceDE w:val="0"/>
        <w:autoSpaceDN w:val="0"/>
        <w:bidi w:val="0"/>
        <w:snapToGrid/>
        <w:spacing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)本协议书及合同</w:t>
      </w:r>
      <w:r>
        <w:rPr>
          <w:rFonts w:hint="eastAsia" w:ascii="宋体" w:hAnsi="宋体"/>
          <w:color w:val="auto"/>
          <w:sz w:val="21"/>
          <w:szCs w:val="21"/>
          <w:highlight w:val="none"/>
          <w:lang w:val="en-US" w:eastAsia="zh-CN"/>
        </w:rPr>
        <w:t>相关</w:t>
      </w:r>
      <w:r>
        <w:rPr>
          <w:rFonts w:hint="eastAsia" w:ascii="宋体" w:hAnsi="宋体"/>
          <w:color w:val="auto"/>
          <w:sz w:val="21"/>
          <w:szCs w:val="21"/>
          <w:highlight w:val="none"/>
        </w:rPr>
        <w:t>附件(含评标期间和合同谈判过程中的澄清文件和补充资料)；</w:t>
      </w:r>
    </w:p>
    <w:p w14:paraId="67DD37A4">
      <w:pPr>
        <w:pageBreakBefore w:val="0"/>
        <w:kinsoku/>
        <w:wordWrap/>
        <w:overflowPunct/>
        <w:topLinePunct w:val="0"/>
        <w:autoSpaceDE w:val="0"/>
        <w:autoSpaceDN w:val="0"/>
        <w:bidi w:val="0"/>
        <w:snapToGrid/>
        <w:spacing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成交</w:t>
      </w:r>
      <w:r>
        <w:rPr>
          <w:rFonts w:hint="eastAsia" w:ascii="宋体" w:hAnsi="宋体"/>
          <w:color w:val="auto"/>
          <w:sz w:val="21"/>
          <w:szCs w:val="21"/>
          <w:highlight w:val="none"/>
        </w:rPr>
        <w:t>通知书；</w:t>
      </w:r>
    </w:p>
    <w:p w14:paraId="29F07945">
      <w:pPr>
        <w:pageBreakBefore w:val="0"/>
        <w:kinsoku/>
        <w:wordWrap/>
        <w:overflowPunct/>
        <w:topLinePunct w:val="0"/>
        <w:autoSpaceDE w:val="0"/>
        <w:autoSpaceDN w:val="0"/>
        <w:bidi w:val="0"/>
        <w:snapToGrid/>
        <w:spacing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)投标函及投标函附录</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如有</w:t>
      </w:r>
      <w:r>
        <w:rPr>
          <w:rFonts w:hint="eastAsia" w:ascii="宋体" w:hAnsi="宋体"/>
          <w:color w:val="auto"/>
          <w:sz w:val="21"/>
          <w:szCs w:val="21"/>
          <w:highlight w:val="none"/>
          <w:lang w:eastAsia="zh-CN"/>
        </w:rPr>
        <w:t>）</w:t>
      </w:r>
      <w:r>
        <w:rPr>
          <w:rFonts w:hint="eastAsia" w:ascii="宋体" w:hAnsi="宋体"/>
          <w:color w:val="auto"/>
          <w:sz w:val="21"/>
          <w:szCs w:val="21"/>
          <w:highlight w:val="none"/>
        </w:rPr>
        <w:t>；</w:t>
      </w:r>
    </w:p>
    <w:p w14:paraId="111D71B4">
      <w:pPr>
        <w:pageBreakBefore w:val="0"/>
        <w:kinsoku/>
        <w:wordWrap/>
        <w:overflowPunct/>
        <w:topLinePunct w:val="0"/>
        <w:autoSpaceDE w:val="0"/>
        <w:autoSpaceDN w:val="0"/>
        <w:bidi w:val="0"/>
        <w:snapToGrid/>
        <w:spacing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)专用合同条款；</w:t>
      </w:r>
    </w:p>
    <w:p w14:paraId="6BB0A4BB">
      <w:pPr>
        <w:pageBreakBefore w:val="0"/>
        <w:kinsoku/>
        <w:wordWrap/>
        <w:overflowPunct/>
        <w:topLinePunct w:val="0"/>
        <w:autoSpaceDE w:val="0"/>
        <w:autoSpaceDN w:val="0"/>
        <w:bidi w:val="0"/>
        <w:snapToGrid/>
        <w:spacing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)通用合同条款；</w:t>
      </w:r>
    </w:p>
    <w:p w14:paraId="1F717957">
      <w:pPr>
        <w:pageBreakBefore w:val="0"/>
        <w:kinsoku/>
        <w:wordWrap/>
        <w:overflowPunct/>
        <w:topLinePunct w:val="0"/>
        <w:autoSpaceDE w:val="0"/>
        <w:autoSpaceDN w:val="0"/>
        <w:bidi w:val="0"/>
        <w:snapToGrid/>
        <w:spacing w:line="400" w:lineRule="exact"/>
        <w:ind w:firstLine="420" w:firstLineChars="200"/>
        <w:jc w:val="left"/>
        <w:rPr>
          <w:rFonts w:hint="eastAsia" w:ascii="宋体" w:hAnsi="宋体"/>
          <w:color w:val="auto"/>
          <w:sz w:val="21"/>
          <w:szCs w:val="21"/>
          <w:highlight w:val="none"/>
          <w:lang w:eastAsia="zh-CN"/>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技术标准和要求（合同技术条款）</w:t>
      </w:r>
      <w:r>
        <w:rPr>
          <w:rFonts w:hint="eastAsia" w:ascii="宋体" w:hAnsi="宋体"/>
          <w:color w:val="auto"/>
          <w:sz w:val="21"/>
          <w:szCs w:val="21"/>
          <w:highlight w:val="none"/>
          <w:lang w:eastAsia="zh-CN"/>
        </w:rPr>
        <w:t>；</w:t>
      </w:r>
    </w:p>
    <w:p w14:paraId="556D9E21">
      <w:pPr>
        <w:pageBreakBefore w:val="0"/>
        <w:kinsoku/>
        <w:wordWrap/>
        <w:overflowPunct/>
        <w:topLinePunct w:val="0"/>
        <w:autoSpaceDE w:val="0"/>
        <w:autoSpaceDN w:val="0"/>
        <w:bidi w:val="0"/>
        <w:snapToGrid/>
        <w:spacing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)图纸；</w:t>
      </w:r>
    </w:p>
    <w:p w14:paraId="4EF33BDF">
      <w:pPr>
        <w:pageBreakBefore w:val="0"/>
        <w:kinsoku/>
        <w:wordWrap/>
        <w:overflowPunct/>
        <w:topLinePunct w:val="0"/>
        <w:autoSpaceDE w:val="0"/>
        <w:autoSpaceDN w:val="0"/>
        <w:bidi w:val="0"/>
        <w:snapToGrid/>
        <w:spacing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)已标价工程量清单；</w:t>
      </w:r>
    </w:p>
    <w:p w14:paraId="1CDC37B7">
      <w:pPr>
        <w:pageBreakBefore w:val="0"/>
        <w:kinsoku/>
        <w:wordWrap/>
        <w:overflowPunct/>
        <w:topLinePunct w:val="0"/>
        <w:autoSpaceDE w:val="0"/>
        <w:autoSpaceDN w:val="0"/>
        <w:bidi w:val="0"/>
        <w:snapToGrid/>
        <w:spacing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)其他合同文件。</w:t>
      </w:r>
    </w:p>
    <w:p w14:paraId="4D9B65E9">
      <w:pPr>
        <w:pageBreakBefore w:val="0"/>
        <w:kinsoku/>
        <w:wordWrap/>
        <w:overflowPunct/>
        <w:topLinePunct w:val="0"/>
        <w:autoSpaceDE w:val="0"/>
        <w:autoSpaceDN w:val="0"/>
        <w:bidi w:val="0"/>
        <w:snapToGrid/>
        <w:spacing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上述文件互相补充和解释。如</w:t>
      </w:r>
      <w:r>
        <w:rPr>
          <w:rFonts w:hint="eastAsia" w:ascii="宋体" w:hAnsi="宋体"/>
          <w:color w:val="auto"/>
          <w:sz w:val="21"/>
          <w:szCs w:val="21"/>
          <w:highlight w:val="none"/>
          <w:lang w:val="en-US" w:eastAsia="zh-CN"/>
        </w:rPr>
        <w:t>有不明确</w:t>
      </w:r>
      <w:r>
        <w:rPr>
          <w:rFonts w:hint="eastAsia" w:ascii="宋体" w:hAnsi="宋体"/>
          <w:color w:val="auto"/>
          <w:sz w:val="21"/>
          <w:szCs w:val="21"/>
          <w:highlight w:val="none"/>
        </w:rPr>
        <w:t>或不一致之处，以</w:t>
      </w:r>
      <w:r>
        <w:rPr>
          <w:rFonts w:hint="eastAsia" w:ascii="宋体" w:hAnsi="宋体"/>
          <w:color w:val="auto"/>
          <w:sz w:val="21"/>
          <w:szCs w:val="21"/>
          <w:highlight w:val="none"/>
          <w:lang w:val="en-US" w:eastAsia="zh-CN"/>
        </w:rPr>
        <w:t>合同约定次序</w:t>
      </w:r>
      <w:r>
        <w:rPr>
          <w:rFonts w:hint="eastAsia" w:ascii="宋体" w:hAnsi="宋体"/>
          <w:color w:val="auto"/>
          <w:sz w:val="21"/>
          <w:szCs w:val="21"/>
          <w:highlight w:val="none"/>
        </w:rPr>
        <w:t>在先者为准。</w:t>
      </w:r>
    </w:p>
    <w:p w14:paraId="0D32665E">
      <w:pPr>
        <w:pageBreakBefore w:val="0"/>
        <w:kinsoku/>
        <w:wordWrap/>
        <w:overflowPunct/>
        <w:topLinePunct w:val="0"/>
        <w:autoSpaceDE w:val="0"/>
        <w:autoSpaceDN w:val="0"/>
        <w:bidi w:val="0"/>
        <w:snapToGrid/>
        <w:spacing w:line="400" w:lineRule="exact"/>
        <w:ind w:left="359" w:leftChars="171" w:firstLine="105" w:firstLineChars="50"/>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3、签约合同价：人民币(大写)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val="en-US" w:eastAsia="zh-CN"/>
        </w:rPr>
        <w:t>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本合同价款采用</w:t>
      </w:r>
      <w:r>
        <w:rPr>
          <w:rFonts w:hint="eastAsia" w:ascii="宋体" w:hAnsi="宋体" w:eastAsia="宋体" w:cs="宋体"/>
          <w:color w:val="auto"/>
          <w:sz w:val="21"/>
          <w:szCs w:val="21"/>
          <w:highlight w:val="none"/>
          <w:u w:val="single"/>
          <w:lang w:val="en-US" w:eastAsia="zh-CN"/>
        </w:rPr>
        <w:t xml:space="preserve"> 固定综合单价 </w:t>
      </w:r>
      <w:r>
        <w:rPr>
          <w:rFonts w:hint="eastAsia" w:ascii="宋体" w:hAnsi="宋体" w:eastAsia="宋体" w:cs="宋体"/>
          <w:color w:val="auto"/>
          <w:sz w:val="21"/>
          <w:szCs w:val="21"/>
          <w:highlight w:val="none"/>
          <w:u w:val="none"/>
          <w:lang w:val="en-US" w:eastAsia="zh-CN"/>
        </w:rPr>
        <w:t>方式确定。</w:t>
      </w:r>
    </w:p>
    <w:p w14:paraId="39B8EA73">
      <w:pPr>
        <w:pageBreakBefore w:val="0"/>
        <w:kinsoku/>
        <w:wordWrap/>
        <w:overflowPunct/>
        <w:topLinePunct w:val="0"/>
        <w:autoSpaceDE w:val="0"/>
        <w:autoSpaceDN w:val="0"/>
        <w:bidi w:val="0"/>
        <w:snapToGrid/>
        <w:spacing w:line="400" w:lineRule="exact"/>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4、</w:t>
      </w:r>
      <w:r>
        <w:rPr>
          <w:rFonts w:ascii="宋体" w:hAnsi="宋体"/>
          <w:color w:val="auto"/>
          <w:sz w:val="21"/>
          <w:szCs w:val="21"/>
          <w:highlight w:val="none"/>
        </w:rPr>
        <w:t>承包人项目经理：</w:t>
      </w:r>
      <w:r>
        <w:rPr>
          <w:rFonts w:hint="eastAsia" w:ascii="宋体" w:hAnsi="宋体"/>
          <w:color w:val="auto"/>
          <w:sz w:val="21"/>
          <w:szCs w:val="21"/>
          <w:highlight w:val="none"/>
          <w:u w:val="single"/>
        </w:rPr>
        <w:t xml:space="preserve">        </w:t>
      </w:r>
      <w:r>
        <w:rPr>
          <w:rFonts w:ascii="宋体" w:hAnsi="宋体"/>
          <w:color w:val="auto"/>
          <w:sz w:val="21"/>
          <w:szCs w:val="21"/>
          <w:highlight w:val="none"/>
        </w:rPr>
        <w:t>。</w:t>
      </w:r>
    </w:p>
    <w:p w14:paraId="3BB17D83">
      <w:pPr>
        <w:pageBreakBefore w:val="0"/>
        <w:kinsoku/>
        <w:wordWrap/>
        <w:overflowPunct/>
        <w:topLinePunct w:val="0"/>
        <w:autoSpaceDE w:val="0"/>
        <w:autoSpaceDN w:val="0"/>
        <w:bidi w:val="0"/>
        <w:snapToGrid/>
        <w:spacing w:line="400" w:lineRule="exact"/>
        <w:ind w:firstLine="420" w:firstLineChars="200"/>
        <w:jc w:val="left"/>
        <w:rPr>
          <w:rFonts w:hint="eastAsia" w:ascii="宋体" w:hAnsi="宋体"/>
          <w:color w:val="auto"/>
          <w:sz w:val="21"/>
          <w:szCs w:val="21"/>
          <w:highlight w:val="none"/>
          <w:u w:val="single"/>
        </w:rPr>
      </w:pPr>
      <w:r>
        <w:rPr>
          <w:rFonts w:hint="eastAsia" w:ascii="宋体" w:hAnsi="宋体"/>
          <w:color w:val="auto"/>
          <w:sz w:val="21"/>
          <w:szCs w:val="21"/>
          <w:highlight w:val="none"/>
        </w:rPr>
        <w:t>5、工程质量符合</w:t>
      </w:r>
      <w:r>
        <w:rPr>
          <w:rFonts w:ascii="宋体" w:hAnsi="宋体"/>
          <w:color w:val="auto"/>
          <w:sz w:val="21"/>
          <w:szCs w:val="21"/>
          <w:highlight w:val="none"/>
          <w:u w:val="single"/>
        </w:rPr>
        <w:t xml:space="preserve">       </w:t>
      </w:r>
      <w:r>
        <w:rPr>
          <w:rFonts w:hint="eastAsia" w:ascii="宋体" w:hAnsi="宋体"/>
          <w:color w:val="auto"/>
          <w:sz w:val="21"/>
          <w:szCs w:val="21"/>
          <w:highlight w:val="none"/>
        </w:rPr>
        <w:t>标准。</w:t>
      </w:r>
    </w:p>
    <w:p w14:paraId="5B8BA9F7">
      <w:pPr>
        <w:pageBreakBefore w:val="0"/>
        <w:kinsoku/>
        <w:wordWrap/>
        <w:overflowPunct/>
        <w:topLinePunct w:val="0"/>
        <w:autoSpaceDE w:val="0"/>
        <w:autoSpaceDN w:val="0"/>
        <w:bidi w:val="0"/>
        <w:snapToGrid/>
        <w:spacing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6、承包人承诺按合同约定承担工程的实施、完成及缺陷修复。</w:t>
      </w:r>
    </w:p>
    <w:p w14:paraId="7D88FDBA">
      <w:pPr>
        <w:pageBreakBefore w:val="0"/>
        <w:kinsoku/>
        <w:wordWrap/>
        <w:overflowPunct/>
        <w:topLinePunct w:val="0"/>
        <w:autoSpaceDE w:val="0"/>
        <w:autoSpaceDN w:val="0"/>
        <w:bidi w:val="0"/>
        <w:snapToGrid/>
        <w:spacing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7、发包人承诺按合同约定的条件、时间和方式向承包人支付合同价款。</w:t>
      </w:r>
    </w:p>
    <w:p w14:paraId="74B53EAF">
      <w:pPr>
        <w:pageBreakBefore w:val="0"/>
        <w:kinsoku/>
        <w:wordWrap/>
        <w:overflowPunct/>
        <w:topLinePunct w:val="0"/>
        <w:autoSpaceDE w:val="0"/>
        <w:autoSpaceDN w:val="0"/>
        <w:bidi w:val="0"/>
        <w:snapToGrid/>
        <w:spacing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8、承包人应按照监理人指示开工，工期为</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日历天。</w:t>
      </w:r>
    </w:p>
    <w:p w14:paraId="12036ECF">
      <w:pPr>
        <w:pageBreakBefore w:val="0"/>
        <w:kinsoku/>
        <w:wordWrap/>
        <w:overflowPunct/>
        <w:topLinePunct w:val="0"/>
        <w:autoSpaceDE w:val="0"/>
        <w:autoSpaceDN w:val="0"/>
        <w:bidi w:val="0"/>
        <w:snapToGrid/>
        <w:spacing w:line="40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9、本协议书正本</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份、副本</w:t>
      </w:r>
      <w:r>
        <w:rPr>
          <w:rFonts w:hint="eastAsia" w:ascii="宋体" w:hAnsi="宋体"/>
          <w:b/>
          <w:bCs/>
          <w:color w:val="auto"/>
          <w:sz w:val="21"/>
          <w:szCs w:val="21"/>
          <w:highlight w:val="none"/>
          <w:u w:val="single"/>
        </w:rPr>
        <w:t xml:space="preserve">     </w:t>
      </w:r>
      <w:r>
        <w:rPr>
          <w:rFonts w:hint="eastAsia" w:ascii="宋体" w:hAnsi="宋体"/>
          <w:color w:val="auto"/>
          <w:sz w:val="21"/>
          <w:szCs w:val="21"/>
          <w:highlight w:val="none"/>
        </w:rPr>
        <w:t>份</w:t>
      </w:r>
      <w:r>
        <w:rPr>
          <w:rFonts w:ascii="宋体" w:hAnsi="宋体"/>
          <w:color w:val="auto"/>
          <w:sz w:val="21"/>
          <w:szCs w:val="21"/>
          <w:highlight w:val="none"/>
        </w:rPr>
        <w:t>,</w:t>
      </w:r>
      <w:r>
        <w:rPr>
          <w:rFonts w:hint="eastAsia" w:ascii="宋体" w:hAnsi="宋体"/>
          <w:color w:val="auto"/>
          <w:sz w:val="21"/>
          <w:szCs w:val="21"/>
          <w:highlight w:val="none"/>
        </w:rPr>
        <w:t>合同双方各执正本</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份</w:t>
      </w:r>
      <w:r>
        <w:rPr>
          <w:rFonts w:ascii="宋体" w:hAnsi="宋体"/>
          <w:color w:val="auto"/>
          <w:sz w:val="21"/>
          <w:szCs w:val="21"/>
          <w:highlight w:val="none"/>
        </w:rPr>
        <w:t>,</w:t>
      </w:r>
      <w:r>
        <w:rPr>
          <w:rFonts w:hint="eastAsia" w:ascii="宋体" w:hAnsi="宋体"/>
          <w:color w:val="auto"/>
          <w:sz w:val="21"/>
          <w:szCs w:val="21"/>
          <w:highlight w:val="none"/>
        </w:rPr>
        <w:t>副本</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份</w:t>
      </w:r>
      <w:r>
        <w:rPr>
          <w:rFonts w:ascii="宋体" w:hAnsi="宋体"/>
          <w:color w:val="auto"/>
          <w:sz w:val="21"/>
          <w:szCs w:val="21"/>
          <w:highlight w:val="none"/>
        </w:rPr>
        <w:t>,</w:t>
      </w:r>
      <w:r>
        <w:rPr>
          <w:rFonts w:hint="eastAsia" w:ascii="宋体" w:hAnsi="宋体"/>
          <w:color w:val="auto"/>
          <w:sz w:val="21"/>
          <w:szCs w:val="21"/>
          <w:highlight w:val="none"/>
        </w:rPr>
        <w:t>当正本与副本的内容不一致时</w:t>
      </w:r>
      <w:r>
        <w:rPr>
          <w:rFonts w:ascii="宋体" w:hAnsi="宋体"/>
          <w:color w:val="auto"/>
          <w:sz w:val="21"/>
          <w:szCs w:val="21"/>
          <w:highlight w:val="none"/>
        </w:rPr>
        <w:t>,</w:t>
      </w:r>
      <w:r>
        <w:rPr>
          <w:rFonts w:hint="eastAsia" w:ascii="宋体" w:hAnsi="宋体"/>
          <w:color w:val="auto"/>
          <w:sz w:val="21"/>
          <w:szCs w:val="21"/>
          <w:highlight w:val="none"/>
        </w:rPr>
        <w:t>以正本为准。</w:t>
      </w:r>
    </w:p>
    <w:p w14:paraId="4E2C0930">
      <w:pPr>
        <w:pageBreakBefore w:val="0"/>
        <w:kinsoku/>
        <w:wordWrap/>
        <w:overflowPunct/>
        <w:topLinePunct w:val="0"/>
        <w:autoSpaceDE w:val="0"/>
        <w:autoSpaceDN w:val="0"/>
        <w:bidi w:val="0"/>
        <w:snapToGrid/>
        <w:spacing w:line="400" w:lineRule="exact"/>
        <w:ind w:firstLine="420" w:firstLineChars="200"/>
        <w:jc w:val="left"/>
        <w:rPr>
          <w:rFonts w:hint="eastAsia"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0、合同未尽事宜，双方另行签订补充协议。补充协议是合同组成部分。</w:t>
      </w:r>
    </w:p>
    <w:p w14:paraId="61EDF819">
      <w:pPr>
        <w:pageBreakBefore w:val="0"/>
        <w:kinsoku/>
        <w:wordWrap/>
        <w:overflowPunct/>
        <w:topLinePunct w:val="0"/>
        <w:autoSpaceDE w:val="0"/>
        <w:autoSpaceDN w:val="0"/>
        <w:bidi w:val="0"/>
        <w:snapToGrid/>
        <w:spacing w:line="400" w:lineRule="exact"/>
        <w:ind w:firstLine="420" w:firstLineChars="200"/>
        <w:jc w:val="left"/>
        <w:rPr>
          <w:rFonts w:hint="eastAsia" w:asciiTheme="majorEastAsia" w:hAnsiTheme="majorEastAsia" w:eastAsiaTheme="majorEastAsia" w:cstheme="majorEastAsia"/>
          <w:bCs/>
          <w:color w:val="auto"/>
          <w:kern w:val="0"/>
          <w:sz w:val="21"/>
          <w:szCs w:val="21"/>
          <w:highlight w:val="none"/>
          <w:lang w:val="en-US" w:eastAsia="zh-CN" w:bidi="ar-SA"/>
        </w:rPr>
      </w:pPr>
      <w:r>
        <w:rPr>
          <w:rFonts w:hint="eastAsia" w:ascii="宋体" w:hAnsi="宋体"/>
          <w:color w:val="auto"/>
          <w:sz w:val="21"/>
          <w:szCs w:val="21"/>
          <w:highlight w:val="none"/>
          <w:lang w:val="en-US" w:eastAsia="zh-CN"/>
        </w:rPr>
        <w:t>11、</w:t>
      </w:r>
      <w:r>
        <w:rPr>
          <w:rFonts w:hint="eastAsia" w:asciiTheme="majorEastAsia" w:hAnsiTheme="majorEastAsia" w:eastAsiaTheme="majorEastAsia" w:cstheme="majorEastAsia"/>
          <w:bCs/>
          <w:color w:val="auto"/>
          <w:kern w:val="0"/>
          <w:sz w:val="21"/>
          <w:szCs w:val="21"/>
          <w:highlight w:val="none"/>
          <w:lang w:val="en-US" w:eastAsia="zh-CN" w:bidi="ar-SA"/>
        </w:rPr>
        <w:t>政府采购信用担保及信用融资政策</w:t>
      </w:r>
    </w:p>
    <w:p w14:paraId="516019DC">
      <w:pPr>
        <w:pStyle w:val="72"/>
        <w:keepLines w:val="0"/>
        <w:pageBreakBefore w:val="0"/>
        <w:widowControl w:val="0"/>
        <w:shd w:val="clear" w:color="auto" w:fill="auto"/>
        <w:kinsoku/>
        <w:wordWrap/>
        <w:overflowPunct/>
        <w:topLinePunct w:val="0"/>
        <w:autoSpaceDE/>
        <w:autoSpaceDN/>
        <w:bidi w:val="0"/>
        <w:snapToGrid/>
        <w:spacing w:line="400" w:lineRule="exact"/>
        <w:ind w:firstLine="560"/>
        <w:rPr>
          <w:rFonts w:hint="eastAsia" w:asciiTheme="majorEastAsia" w:hAnsiTheme="majorEastAsia" w:eastAsiaTheme="majorEastAsia" w:cstheme="majorEastAsia"/>
          <w:bCs/>
          <w:color w:val="auto"/>
          <w:sz w:val="21"/>
          <w:szCs w:val="21"/>
          <w:highlight w:val="none"/>
          <w:lang w:val="en-US" w:eastAsia="zh-CN"/>
        </w:rPr>
      </w:pPr>
      <w:r>
        <w:rPr>
          <w:rFonts w:hint="eastAsia" w:asciiTheme="majorEastAsia" w:hAnsiTheme="majorEastAsia" w:eastAsiaTheme="majorEastAsia" w:cstheme="majorEastAsia"/>
          <w:bCs/>
          <w:color w:val="auto"/>
          <w:sz w:val="21"/>
          <w:szCs w:val="21"/>
          <w:highlight w:val="none"/>
          <w:lang w:val="en-US" w:eastAsia="zh-CN"/>
        </w:rPr>
        <w:t>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tbl>
      <w:tblPr>
        <w:tblStyle w:val="23"/>
        <w:tblW w:w="0" w:type="auto"/>
        <w:tblInd w:w="0" w:type="dxa"/>
        <w:tblLayout w:type="fixed"/>
        <w:tblCellMar>
          <w:top w:w="0" w:type="dxa"/>
          <w:left w:w="108" w:type="dxa"/>
          <w:bottom w:w="0" w:type="dxa"/>
          <w:right w:w="108" w:type="dxa"/>
        </w:tblCellMar>
      </w:tblPr>
      <w:tblGrid>
        <w:gridCol w:w="4758"/>
        <w:gridCol w:w="4803"/>
      </w:tblGrid>
      <w:tr w14:paraId="2A5548D1">
        <w:tblPrEx>
          <w:tblCellMar>
            <w:top w:w="0" w:type="dxa"/>
            <w:left w:w="108" w:type="dxa"/>
            <w:bottom w:w="0" w:type="dxa"/>
            <w:right w:w="108" w:type="dxa"/>
          </w:tblCellMar>
        </w:tblPrEx>
        <w:trPr>
          <w:trHeight w:val="648" w:hRule="atLeast"/>
        </w:trPr>
        <w:tc>
          <w:tcPr>
            <w:tcW w:w="4758" w:type="dxa"/>
            <w:noWrap w:val="0"/>
            <w:vAlign w:val="center"/>
          </w:tcPr>
          <w:p w14:paraId="67450AB4">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0" w:right="0"/>
              <w:rPr>
                <w:rFonts w:hint="default" w:ascii="宋体" w:hAnsi="宋体" w:cs="Arial"/>
                <w:color w:val="auto"/>
                <w:kern w:val="2"/>
                <w:sz w:val="21"/>
                <w:szCs w:val="21"/>
                <w:highlight w:val="none"/>
              </w:rPr>
            </w:pPr>
            <w:r>
              <w:rPr>
                <w:rFonts w:hint="eastAsia" w:ascii="宋体" w:hAnsi="宋体"/>
                <w:color w:val="auto"/>
                <w:kern w:val="2"/>
                <w:sz w:val="21"/>
                <w:szCs w:val="21"/>
                <w:highlight w:val="none"/>
              </w:rPr>
              <w:t>发  包  人：</w:t>
            </w:r>
            <w:r>
              <w:rPr>
                <w:rFonts w:hint="default" w:ascii="宋体" w:hAnsi="宋体"/>
                <w:color w:val="auto"/>
                <w:kern w:val="2"/>
                <w:sz w:val="21"/>
                <w:szCs w:val="21"/>
                <w:highlight w:val="none"/>
                <w:u w:val="single"/>
              </w:rPr>
              <w:t xml:space="preserve">  </w:t>
            </w:r>
            <w:r>
              <w:rPr>
                <w:rFonts w:hint="eastAsia" w:ascii="宋体" w:hAnsi="宋体"/>
                <w:color w:val="auto"/>
                <w:kern w:val="2"/>
                <w:sz w:val="21"/>
                <w:szCs w:val="21"/>
                <w:highlight w:val="none"/>
                <w:u w:val="single"/>
              </w:rPr>
              <w:t xml:space="preserve">          </w:t>
            </w:r>
            <w:r>
              <w:rPr>
                <w:rFonts w:hint="default" w:ascii="宋体" w:hAnsi="宋体"/>
                <w:color w:val="auto"/>
                <w:kern w:val="2"/>
                <w:sz w:val="21"/>
                <w:szCs w:val="21"/>
                <w:highlight w:val="none"/>
                <w:u w:val="single"/>
              </w:rPr>
              <w:t xml:space="preserve"> </w:t>
            </w:r>
            <w:r>
              <w:rPr>
                <w:rFonts w:hint="eastAsia" w:ascii="宋体" w:hAnsi="宋体"/>
                <w:color w:val="auto"/>
                <w:kern w:val="2"/>
                <w:sz w:val="21"/>
                <w:szCs w:val="21"/>
                <w:highlight w:val="none"/>
              </w:rPr>
              <w:t>(盖单位章)</w:t>
            </w:r>
          </w:p>
        </w:tc>
        <w:tc>
          <w:tcPr>
            <w:tcW w:w="4803" w:type="dxa"/>
            <w:noWrap w:val="0"/>
            <w:vAlign w:val="center"/>
          </w:tcPr>
          <w:p w14:paraId="669C95AF">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840" w:right="0" w:hanging="735" w:hangingChars="350"/>
              <w:rPr>
                <w:rFonts w:hint="default" w:ascii="宋体" w:hAnsi="宋体" w:cs="Arial"/>
                <w:color w:val="auto"/>
                <w:kern w:val="2"/>
                <w:sz w:val="21"/>
                <w:szCs w:val="21"/>
                <w:highlight w:val="none"/>
              </w:rPr>
            </w:pPr>
            <w:r>
              <w:rPr>
                <w:rFonts w:hint="eastAsia" w:ascii="宋体" w:hAnsi="宋体"/>
                <w:color w:val="auto"/>
                <w:kern w:val="2"/>
                <w:sz w:val="21"/>
                <w:szCs w:val="21"/>
                <w:highlight w:val="none"/>
              </w:rPr>
              <w:t>承  包  人：</w:t>
            </w:r>
            <w:r>
              <w:rPr>
                <w:rFonts w:hint="default" w:ascii="宋体" w:hAnsi="宋体"/>
                <w:color w:val="auto"/>
                <w:kern w:val="2"/>
                <w:sz w:val="21"/>
                <w:szCs w:val="21"/>
                <w:highlight w:val="none"/>
                <w:u w:val="single"/>
              </w:rPr>
              <w:t xml:space="preserve">  </w:t>
            </w:r>
            <w:r>
              <w:rPr>
                <w:rFonts w:hint="eastAsia" w:ascii="宋体" w:hAnsi="宋体"/>
                <w:color w:val="auto"/>
                <w:kern w:val="2"/>
                <w:sz w:val="21"/>
                <w:szCs w:val="21"/>
                <w:highlight w:val="none"/>
                <w:u w:val="single"/>
              </w:rPr>
              <w:t xml:space="preserve">           </w:t>
            </w:r>
            <w:r>
              <w:rPr>
                <w:rFonts w:hint="eastAsia" w:ascii="宋体" w:hAnsi="宋体"/>
                <w:color w:val="auto"/>
                <w:kern w:val="2"/>
                <w:sz w:val="21"/>
                <w:szCs w:val="21"/>
                <w:highlight w:val="none"/>
              </w:rPr>
              <w:t>(盖单位章)</w:t>
            </w:r>
          </w:p>
        </w:tc>
      </w:tr>
      <w:tr w14:paraId="2AAB9703">
        <w:tblPrEx>
          <w:tblCellMar>
            <w:top w:w="0" w:type="dxa"/>
            <w:left w:w="108" w:type="dxa"/>
            <w:bottom w:w="0" w:type="dxa"/>
            <w:right w:w="108" w:type="dxa"/>
          </w:tblCellMar>
        </w:tblPrEx>
        <w:trPr>
          <w:trHeight w:val="648" w:hRule="atLeast"/>
        </w:trPr>
        <w:tc>
          <w:tcPr>
            <w:tcW w:w="4758" w:type="dxa"/>
            <w:noWrap w:val="0"/>
            <w:vAlign w:val="center"/>
          </w:tcPr>
          <w:p w14:paraId="3C9B0F8F">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840" w:right="0" w:hanging="735" w:hangingChars="350"/>
              <w:jc w:val="left"/>
              <w:rPr>
                <w:rFonts w:hint="eastAsia" w:ascii="宋体" w:hAnsi="宋体"/>
                <w:color w:val="auto"/>
                <w:kern w:val="2"/>
                <w:sz w:val="21"/>
                <w:szCs w:val="21"/>
                <w:highlight w:val="none"/>
              </w:rPr>
            </w:pPr>
            <w:r>
              <w:rPr>
                <w:rFonts w:hint="eastAsia" w:ascii="宋体" w:hAnsi="宋体"/>
                <w:color w:val="auto"/>
                <w:kern w:val="2"/>
                <w:sz w:val="21"/>
                <w:szCs w:val="21"/>
                <w:highlight w:val="none"/>
              </w:rPr>
              <w:t>法定代表人或其委托代理人：</w:t>
            </w:r>
            <w:r>
              <w:rPr>
                <w:rFonts w:hint="eastAsia" w:ascii="宋体" w:hAnsi="宋体"/>
                <w:color w:val="auto"/>
                <w:kern w:val="2"/>
                <w:sz w:val="21"/>
                <w:szCs w:val="21"/>
                <w:highlight w:val="none"/>
                <w:u w:val="single"/>
              </w:rPr>
              <w:t xml:space="preserve"> （签字）                           </w:t>
            </w:r>
          </w:p>
        </w:tc>
        <w:tc>
          <w:tcPr>
            <w:tcW w:w="4803" w:type="dxa"/>
            <w:noWrap w:val="0"/>
            <w:vAlign w:val="center"/>
          </w:tcPr>
          <w:p w14:paraId="3B5EF984">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840" w:right="0" w:hanging="735" w:hangingChars="350"/>
              <w:rPr>
                <w:rFonts w:hint="eastAsia" w:ascii="宋体" w:hAnsi="宋体"/>
                <w:color w:val="auto"/>
                <w:kern w:val="2"/>
                <w:sz w:val="21"/>
                <w:szCs w:val="21"/>
                <w:highlight w:val="none"/>
              </w:rPr>
            </w:pPr>
            <w:r>
              <w:rPr>
                <w:rFonts w:hint="eastAsia" w:ascii="宋体" w:hAnsi="宋体"/>
                <w:color w:val="auto"/>
                <w:kern w:val="2"/>
                <w:sz w:val="21"/>
                <w:szCs w:val="21"/>
                <w:highlight w:val="none"/>
              </w:rPr>
              <w:t>法定代表人或其委托代理人：</w:t>
            </w:r>
            <w:r>
              <w:rPr>
                <w:rFonts w:hint="eastAsia" w:ascii="宋体" w:hAnsi="宋体"/>
                <w:color w:val="auto"/>
                <w:kern w:val="2"/>
                <w:sz w:val="21"/>
                <w:szCs w:val="21"/>
                <w:highlight w:val="none"/>
                <w:u w:val="single"/>
              </w:rPr>
              <w:t xml:space="preserve"> （签字）</w:t>
            </w:r>
          </w:p>
        </w:tc>
      </w:tr>
      <w:tr w14:paraId="66E6E2EA">
        <w:tblPrEx>
          <w:tblCellMar>
            <w:top w:w="0" w:type="dxa"/>
            <w:left w:w="108" w:type="dxa"/>
            <w:bottom w:w="0" w:type="dxa"/>
            <w:right w:w="108" w:type="dxa"/>
          </w:tblCellMar>
        </w:tblPrEx>
        <w:trPr>
          <w:trHeight w:val="648" w:hRule="atLeast"/>
        </w:trPr>
        <w:tc>
          <w:tcPr>
            <w:tcW w:w="4758" w:type="dxa"/>
            <w:noWrap w:val="0"/>
            <w:vAlign w:val="center"/>
          </w:tcPr>
          <w:p w14:paraId="3A11B795">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840" w:right="0" w:hanging="735" w:hangingChars="350"/>
              <w:rPr>
                <w:rFonts w:hint="eastAsia" w:ascii="宋体" w:hAnsi="宋体"/>
                <w:color w:val="auto"/>
                <w:kern w:val="2"/>
                <w:sz w:val="21"/>
                <w:szCs w:val="21"/>
                <w:highlight w:val="none"/>
              </w:rPr>
            </w:pPr>
          </w:p>
        </w:tc>
        <w:tc>
          <w:tcPr>
            <w:tcW w:w="4803" w:type="dxa"/>
            <w:noWrap w:val="0"/>
            <w:vAlign w:val="center"/>
          </w:tcPr>
          <w:p w14:paraId="60E28D1A">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840" w:right="0" w:hanging="735" w:hangingChars="350"/>
              <w:rPr>
                <w:rFonts w:hint="eastAsia" w:ascii="宋体" w:hAnsi="宋体"/>
                <w:color w:val="auto"/>
                <w:kern w:val="2"/>
                <w:sz w:val="21"/>
                <w:szCs w:val="21"/>
                <w:highlight w:val="none"/>
              </w:rPr>
            </w:pPr>
          </w:p>
        </w:tc>
      </w:tr>
      <w:tr w14:paraId="5219626C">
        <w:tblPrEx>
          <w:tblCellMar>
            <w:top w:w="0" w:type="dxa"/>
            <w:left w:w="108" w:type="dxa"/>
            <w:bottom w:w="0" w:type="dxa"/>
            <w:right w:w="108" w:type="dxa"/>
          </w:tblCellMar>
        </w:tblPrEx>
        <w:trPr>
          <w:trHeight w:val="648" w:hRule="atLeast"/>
        </w:trPr>
        <w:tc>
          <w:tcPr>
            <w:tcW w:w="4758" w:type="dxa"/>
            <w:noWrap w:val="0"/>
            <w:vAlign w:val="center"/>
          </w:tcPr>
          <w:p w14:paraId="35EDABAB">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840" w:right="0" w:hanging="735" w:hangingChars="350"/>
              <w:rPr>
                <w:rFonts w:hint="eastAsia" w:ascii="宋体" w:hAnsi="宋体"/>
                <w:color w:val="auto"/>
                <w:kern w:val="2"/>
                <w:sz w:val="21"/>
                <w:szCs w:val="21"/>
                <w:highlight w:val="none"/>
              </w:rPr>
            </w:pPr>
            <w:r>
              <w:rPr>
                <w:rFonts w:hint="eastAsia" w:ascii="宋体" w:hAnsi="宋体"/>
                <w:color w:val="auto"/>
                <w:kern w:val="2"/>
                <w:sz w:val="21"/>
                <w:szCs w:val="21"/>
                <w:highlight w:val="none"/>
                <w:u w:val="single"/>
              </w:rPr>
              <w:t xml:space="preserve">        </w:t>
            </w:r>
            <w:r>
              <w:rPr>
                <w:rFonts w:hint="default" w:ascii="宋体" w:hAnsi="宋体"/>
                <w:color w:val="auto"/>
                <w:kern w:val="2"/>
                <w:sz w:val="21"/>
                <w:szCs w:val="21"/>
                <w:highlight w:val="none"/>
              </w:rPr>
              <w:t>年</w:t>
            </w:r>
            <w:r>
              <w:rPr>
                <w:rFonts w:hint="eastAsia" w:ascii="宋体" w:hAnsi="宋体"/>
                <w:color w:val="auto"/>
                <w:kern w:val="2"/>
                <w:sz w:val="21"/>
                <w:szCs w:val="21"/>
                <w:highlight w:val="none"/>
                <w:u w:val="single"/>
              </w:rPr>
              <w:t xml:space="preserve">     </w:t>
            </w:r>
            <w:r>
              <w:rPr>
                <w:rFonts w:hint="default" w:ascii="宋体" w:hAnsi="宋体"/>
                <w:color w:val="auto"/>
                <w:kern w:val="2"/>
                <w:sz w:val="21"/>
                <w:szCs w:val="21"/>
                <w:highlight w:val="none"/>
              </w:rPr>
              <w:t>月</w:t>
            </w:r>
            <w:r>
              <w:rPr>
                <w:rFonts w:hint="eastAsia" w:ascii="宋体" w:hAnsi="宋体"/>
                <w:color w:val="auto"/>
                <w:kern w:val="2"/>
                <w:sz w:val="21"/>
                <w:szCs w:val="21"/>
                <w:highlight w:val="none"/>
                <w:u w:val="single"/>
              </w:rPr>
              <w:t xml:space="preserve">     </w:t>
            </w:r>
            <w:r>
              <w:rPr>
                <w:rFonts w:hint="default" w:ascii="宋体" w:hAnsi="宋体"/>
                <w:color w:val="auto"/>
                <w:kern w:val="2"/>
                <w:sz w:val="21"/>
                <w:szCs w:val="21"/>
                <w:highlight w:val="none"/>
              </w:rPr>
              <w:t>日</w:t>
            </w:r>
          </w:p>
        </w:tc>
        <w:tc>
          <w:tcPr>
            <w:tcW w:w="4803" w:type="dxa"/>
            <w:noWrap w:val="0"/>
            <w:vAlign w:val="center"/>
          </w:tcPr>
          <w:p w14:paraId="644A6DA2">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840" w:right="0" w:hanging="735" w:hangingChars="350"/>
              <w:rPr>
                <w:rFonts w:hint="eastAsia" w:ascii="宋体" w:hAnsi="宋体"/>
                <w:color w:val="auto"/>
                <w:kern w:val="2"/>
                <w:sz w:val="21"/>
                <w:szCs w:val="21"/>
                <w:highlight w:val="none"/>
              </w:rPr>
            </w:pPr>
            <w:r>
              <w:rPr>
                <w:rFonts w:hint="eastAsia" w:ascii="宋体" w:hAnsi="宋体"/>
                <w:color w:val="auto"/>
                <w:kern w:val="2"/>
                <w:sz w:val="21"/>
                <w:szCs w:val="21"/>
                <w:highlight w:val="none"/>
                <w:u w:val="single"/>
              </w:rPr>
              <w:t xml:space="preserve">        </w:t>
            </w:r>
            <w:r>
              <w:rPr>
                <w:rFonts w:hint="default" w:ascii="宋体" w:hAnsi="宋体"/>
                <w:color w:val="auto"/>
                <w:kern w:val="2"/>
                <w:sz w:val="21"/>
                <w:szCs w:val="21"/>
                <w:highlight w:val="none"/>
              </w:rPr>
              <w:t>年</w:t>
            </w:r>
            <w:r>
              <w:rPr>
                <w:rFonts w:hint="eastAsia" w:ascii="宋体" w:hAnsi="宋体"/>
                <w:color w:val="auto"/>
                <w:kern w:val="2"/>
                <w:sz w:val="21"/>
                <w:szCs w:val="21"/>
                <w:highlight w:val="none"/>
                <w:u w:val="single"/>
              </w:rPr>
              <w:t xml:space="preserve">     </w:t>
            </w:r>
            <w:r>
              <w:rPr>
                <w:rFonts w:hint="default" w:ascii="宋体" w:hAnsi="宋体"/>
                <w:color w:val="auto"/>
                <w:kern w:val="2"/>
                <w:sz w:val="21"/>
                <w:szCs w:val="21"/>
                <w:highlight w:val="none"/>
              </w:rPr>
              <w:t>月</w:t>
            </w:r>
            <w:r>
              <w:rPr>
                <w:rFonts w:hint="eastAsia" w:ascii="宋体" w:hAnsi="宋体"/>
                <w:color w:val="auto"/>
                <w:kern w:val="2"/>
                <w:sz w:val="21"/>
                <w:szCs w:val="21"/>
                <w:highlight w:val="none"/>
                <w:u w:val="single"/>
              </w:rPr>
              <w:t xml:space="preserve">     </w:t>
            </w:r>
            <w:r>
              <w:rPr>
                <w:rFonts w:hint="default" w:ascii="宋体" w:hAnsi="宋体"/>
                <w:color w:val="auto"/>
                <w:kern w:val="2"/>
                <w:sz w:val="21"/>
                <w:szCs w:val="21"/>
                <w:highlight w:val="none"/>
              </w:rPr>
              <w:t>日</w:t>
            </w:r>
          </w:p>
        </w:tc>
      </w:tr>
    </w:tbl>
    <w:p w14:paraId="2FE20B0F">
      <w:pPr>
        <w:pageBreakBefore w:val="0"/>
        <w:kinsoku/>
        <w:wordWrap/>
        <w:overflowPunct/>
        <w:topLinePunct w:val="0"/>
        <w:bidi w:val="0"/>
        <w:snapToGrid/>
        <w:spacing w:line="400" w:lineRule="exact"/>
        <w:rPr>
          <w:rFonts w:hAnsi="宋体"/>
          <w:color w:val="auto"/>
          <w:highlight w:val="none"/>
        </w:rPr>
      </w:pPr>
    </w:p>
    <w:p w14:paraId="61708E2B">
      <w:pPr>
        <w:pageBreakBefore w:val="0"/>
        <w:kinsoku/>
        <w:wordWrap/>
        <w:overflowPunct/>
        <w:topLinePunct w:val="0"/>
        <w:bidi w:val="0"/>
        <w:snapToGrid/>
        <w:spacing w:line="400" w:lineRule="exact"/>
        <w:rPr>
          <w:rFonts w:hAnsi="宋体"/>
          <w:color w:val="auto"/>
          <w:highlight w:val="none"/>
        </w:rPr>
      </w:pPr>
    </w:p>
    <w:p w14:paraId="20CA367C">
      <w:pPr>
        <w:pageBreakBefore w:val="0"/>
        <w:kinsoku/>
        <w:wordWrap/>
        <w:overflowPunct/>
        <w:topLinePunct w:val="0"/>
        <w:bidi w:val="0"/>
        <w:snapToGrid/>
        <w:spacing w:line="400" w:lineRule="exact"/>
        <w:rPr>
          <w:rFonts w:hAnsi="宋体"/>
          <w:color w:val="auto"/>
          <w:highlight w:val="none"/>
        </w:rPr>
      </w:pPr>
    </w:p>
    <w:p w14:paraId="093EAC5D">
      <w:pPr>
        <w:pageBreakBefore w:val="0"/>
        <w:kinsoku/>
        <w:wordWrap/>
        <w:overflowPunct/>
        <w:topLinePunct w:val="0"/>
        <w:bidi w:val="0"/>
        <w:snapToGrid/>
        <w:spacing w:line="400" w:lineRule="exact"/>
        <w:rPr>
          <w:rFonts w:hAnsi="宋体"/>
          <w:color w:val="auto"/>
          <w:highlight w:val="none"/>
        </w:rPr>
      </w:pPr>
    </w:p>
    <w:p w14:paraId="77E8ABB0">
      <w:pPr>
        <w:pageBreakBefore w:val="0"/>
        <w:kinsoku/>
        <w:wordWrap/>
        <w:overflowPunct/>
        <w:topLinePunct w:val="0"/>
        <w:bidi w:val="0"/>
        <w:snapToGrid/>
        <w:spacing w:line="400" w:lineRule="exact"/>
        <w:rPr>
          <w:rFonts w:hAnsi="宋体"/>
          <w:color w:val="auto"/>
          <w:highlight w:val="none"/>
        </w:rPr>
      </w:pPr>
    </w:p>
    <w:p w14:paraId="76AA20AD">
      <w:pPr>
        <w:pageBreakBefore w:val="0"/>
        <w:kinsoku/>
        <w:wordWrap/>
        <w:overflowPunct/>
        <w:topLinePunct w:val="0"/>
        <w:bidi w:val="0"/>
        <w:snapToGrid/>
        <w:spacing w:line="400" w:lineRule="exact"/>
        <w:rPr>
          <w:rFonts w:hAnsi="宋体"/>
          <w:color w:val="auto"/>
          <w:highlight w:val="none"/>
        </w:rPr>
      </w:pPr>
    </w:p>
    <w:p w14:paraId="04A52ABE">
      <w:pPr>
        <w:pageBreakBefore w:val="0"/>
        <w:kinsoku/>
        <w:wordWrap/>
        <w:overflowPunct/>
        <w:topLinePunct w:val="0"/>
        <w:bidi w:val="0"/>
        <w:snapToGrid/>
        <w:spacing w:line="400" w:lineRule="exact"/>
        <w:rPr>
          <w:rFonts w:hAnsi="宋体"/>
          <w:color w:val="auto"/>
          <w:highlight w:val="none"/>
        </w:rPr>
      </w:pPr>
    </w:p>
    <w:p w14:paraId="3B19E77A">
      <w:pPr>
        <w:pageBreakBefore w:val="0"/>
        <w:kinsoku/>
        <w:wordWrap/>
        <w:overflowPunct/>
        <w:topLinePunct w:val="0"/>
        <w:bidi w:val="0"/>
        <w:snapToGrid/>
        <w:spacing w:line="400" w:lineRule="exact"/>
        <w:rPr>
          <w:rFonts w:hAnsi="宋体"/>
          <w:color w:val="auto"/>
          <w:highlight w:val="none"/>
        </w:rPr>
      </w:pPr>
    </w:p>
    <w:p w14:paraId="5D43581A">
      <w:pPr>
        <w:pageBreakBefore w:val="0"/>
        <w:kinsoku/>
        <w:wordWrap/>
        <w:overflowPunct/>
        <w:topLinePunct w:val="0"/>
        <w:bidi w:val="0"/>
        <w:snapToGrid/>
        <w:spacing w:line="400" w:lineRule="exact"/>
        <w:rPr>
          <w:rFonts w:hAnsi="宋体"/>
          <w:color w:val="auto"/>
          <w:highlight w:val="none"/>
        </w:rPr>
      </w:pPr>
    </w:p>
    <w:p w14:paraId="22F82D93">
      <w:pPr>
        <w:pageBreakBefore w:val="0"/>
        <w:kinsoku/>
        <w:wordWrap/>
        <w:overflowPunct/>
        <w:topLinePunct w:val="0"/>
        <w:bidi w:val="0"/>
        <w:snapToGrid/>
        <w:spacing w:line="400" w:lineRule="exact"/>
        <w:rPr>
          <w:rFonts w:hAnsi="宋体"/>
          <w:color w:val="auto"/>
          <w:highlight w:val="none"/>
        </w:rPr>
      </w:pPr>
    </w:p>
    <w:p w14:paraId="6A63AD96">
      <w:pPr>
        <w:pageBreakBefore w:val="0"/>
        <w:kinsoku/>
        <w:wordWrap/>
        <w:overflowPunct/>
        <w:topLinePunct w:val="0"/>
        <w:bidi w:val="0"/>
        <w:snapToGrid/>
        <w:spacing w:line="400" w:lineRule="exact"/>
        <w:rPr>
          <w:rFonts w:hAnsi="宋体"/>
          <w:color w:val="auto"/>
          <w:highlight w:val="none"/>
        </w:rPr>
      </w:pPr>
    </w:p>
    <w:p w14:paraId="34504ABA">
      <w:pPr>
        <w:rPr>
          <w:rFonts w:hAnsi="宋体"/>
          <w:color w:val="auto"/>
          <w:highlight w:val="none"/>
        </w:rPr>
      </w:pPr>
      <w:r>
        <w:rPr>
          <w:rFonts w:hAnsi="宋体"/>
          <w:color w:val="auto"/>
          <w:highlight w:val="none"/>
        </w:rPr>
        <w:br w:type="page"/>
      </w:r>
    </w:p>
    <w:p w14:paraId="774310D2">
      <w:pPr>
        <w:pageBreakBefore w:val="0"/>
        <w:kinsoku/>
        <w:wordWrap/>
        <w:overflowPunct/>
        <w:topLinePunct w:val="0"/>
        <w:bidi w:val="0"/>
        <w:snapToGrid/>
        <w:spacing w:line="400" w:lineRule="exact"/>
        <w:jc w:val="center"/>
        <w:rPr>
          <w:rFonts w:hint="eastAsia" w:ascii="宋体" w:hAnsi="宋体" w:eastAsia="宋体" w:cs="Times New Roman"/>
          <w:b/>
          <w:bCs/>
          <w:color w:val="auto"/>
          <w:kern w:val="0"/>
          <w:sz w:val="28"/>
          <w:szCs w:val="28"/>
          <w:highlight w:val="none"/>
          <w:lang w:val="en-US" w:eastAsia="zh-CN" w:bidi="ar-SA"/>
        </w:rPr>
      </w:pPr>
      <w:r>
        <w:rPr>
          <w:rFonts w:hint="eastAsia" w:ascii="宋体" w:hAnsi="宋体" w:eastAsia="宋体" w:cs="Times New Roman"/>
          <w:b/>
          <w:bCs/>
          <w:color w:val="auto"/>
          <w:kern w:val="0"/>
          <w:sz w:val="28"/>
          <w:szCs w:val="28"/>
          <w:highlight w:val="none"/>
          <w:lang w:val="en-US" w:eastAsia="zh-CN" w:bidi="ar-SA"/>
        </w:rPr>
        <w:t>第二部分 通用合同条款</w:t>
      </w:r>
      <w:bookmarkEnd w:id="46"/>
    </w:p>
    <w:p w14:paraId="43975779">
      <w:pPr>
        <w:pStyle w:val="4"/>
        <w:pageBreakBefore w:val="0"/>
        <w:kinsoku/>
        <w:wordWrap/>
        <w:overflowPunct/>
        <w:topLinePunct w:val="0"/>
        <w:bidi w:val="0"/>
        <w:snapToGrid/>
        <w:spacing w:line="400" w:lineRule="exact"/>
        <w:jc w:val="left"/>
        <w:rPr>
          <w:rFonts w:hint="eastAsia" w:eastAsia="宋体"/>
          <w:color w:val="auto"/>
          <w:sz w:val="24"/>
          <w:szCs w:val="24"/>
          <w:highlight w:val="none"/>
          <w:lang w:eastAsia="zh-CN"/>
        </w:rPr>
      </w:pPr>
      <w:bookmarkStart w:id="47" w:name="_Toc265408490"/>
      <w:r>
        <w:rPr>
          <w:color w:val="auto"/>
          <w:sz w:val="24"/>
          <w:szCs w:val="24"/>
          <w:highlight w:val="none"/>
        </w:rPr>
        <w:t xml:space="preserve">1  </w:t>
      </w:r>
      <w:r>
        <w:rPr>
          <w:rFonts w:hAnsi="宋体"/>
          <w:color w:val="auto"/>
          <w:sz w:val="24"/>
          <w:szCs w:val="24"/>
          <w:highlight w:val="none"/>
        </w:rPr>
        <w:t>一般约定</w:t>
      </w:r>
      <w:bookmarkEnd w:id="47"/>
    </w:p>
    <w:p w14:paraId="45C65F9F">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1.1 词语定义</w:t>
      </w:r>
    </w:p>
    <w:p w14:paraId="6E1F9F47">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通用合同条款、专用合同条款中的下列词语应具有本款所赋予的含义。</w:t>
      </w:r>
    </w:p>
    <w:p w14:paraId="1083780C">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1.1.1 </w:t>
      </w:r>
      <w:r>
        <w:rPr>
          <w:rFonts w:hAnsi="宋体"/>
          <w:color w:val="auto"/>
          <w:highlight w:val="none"/>
        </w:rPr>
        <w:t>合同</w:t>
      </w:r>
    </w:p>
    <w:p w14:paraId="4E4ABF23">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1.1.1.1 </w:t>
      </w:r>
      <w:r>
        <w:rPr>
          <w:rFonts w:hAnsi="宋体"/>
          <w:color w:val="auto"/>
          <w:highlight w:val="none"/>
        </w:rPr>
        <w:t>合同文件（或称合同）：指合同协议书、中标通知书、投标函及投标函附录、专用合同条款、通用合同条款、技术标准和要求、图纸、已标价工程量清单，以及其他合同文件。</w:t>
      </w:r>
    </w:p>
    <w:p w14:paraId="5BBC8BA7">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1.1.1.2 </w:t>
      </w:r>
      <w:r>
        <w:rPr>
          <w:rFonts w:hAnsi="宋体"/>
          <w:color w:val="auto"/>
          <w:highlight w:val="none"/>
        </w:rPr>
        <w:t>合同协议书：指第</w:t>
      </w:r>
      <w:r>
        <w:rPr>
          <w:color w:val="auto"/>
          <w:highlight w:val="none"/>
        </w:rPr>
        <w:t xml:space="preserve">1.5 </w:t>
      </w:r>
      <w:r>
        <w:rPr>
          <w:rFonts w:hAnsi="宋体"/>
          <w:color w:val="auto"/>
          <w:highlight w:val="none"/>
        </w:rPr>
        <w:t>款所指的合同协议书。</w:t>
      </w:r>
    </w:p>
    <w:p w14:paraId="1E236780">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1.1.1.3 </w:t>
      </w:r>
      <w:r>
        <w:rPr>
          <w:rFonts w:hAnsi="宋体"/>
          <w:color w:val="auto"/>
          <w:highlight w:val="none"/>
        </w:rPr>
        <w:t>中标通知书：指发包人通知承包人中标的函件。</w:t>
      </w:r>
    </w:p>
    <w:p w14:paraId="76286DCA">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1.1.1.4 </w:t>
      </w:r>
      <w:r>
        <w:rPr>
          <w:rFonts w:hAnsi="宋体"/>
          <w:color w:val="auto"/>
          <w:highlight w:val="none"/>
        </w:rPr>
        <w:t>投标函：指构成合同文件组成部分的由承包人填写并签署的投标函。</w:t>
      </w:r>
    </w:p>
    <w:p w14:paraId="012C9F17">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1.1.1.5 </w:t>
      </w:r>
      <w:r>
        <w:rPr>
          <w:rFonts w:hAnsi="宋体"/>
          <w:color w:val="auto"/>
          <w:highlight w:val="none"/>
        </w:rPr>
        <w:t>投标函附录：指附在投标函后构成合同文件的投标函附录。</w:t>
      </w:r>
    </w:p>
    <w:p w14:paraId="0D55DC5A">
      <w:pPr>
        <w:pageBreakBefore w:val="0"/>
        <w:kinsoku/>
        <w:wordWrap/>
        <w:overflowPunct/>
        <w:topLinePunct w:val="0"/>
        <w:autoSpaceDE w:val="0"/>
        <w:autoSpaceDN w:val="0"/>
        <w:bidi w:val="0"/>
        <w:adjustRightInd w:val="0"/>
        <w:snapToGrid/>
        <w:spacing w:line="400" w:lineRule="exact"/>
        <w:ind w:firstLine="420" w:firstLineChars="200"/>
        <w:jc w:val="left"/>
        <w:rPr>
          <w:color w:val="auto"/>
          <w:highlight w:val="none"/>
        </w:rPr>
      </w:pPr>
      <w:r>
        <w:rPr>
          <w:color w:val="auto"/>
          <w:highlight w:val="none"/>
        </w:rPr>
        <w:t xml:space="preserve">1.1.1.6 </w:t>
      </w:r>
      <w:r>
        <w:rPr>
          <w:rFonts w:hAnsi="宋体"/>
          <w:color w:val="auto"/>
          <w:highlight w:val="none"/>
        </w:rPr>
        <w:t>技术标准和要求：指构成合同文件组成部分的名为技术标准和要求（合同技术条款）的文件，包括合同双方当事人约定对其所作的修改或补充。</w:t>
      </w:r>
    </w:p>
    <w:p w14:paraId="237B706F">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1.1.1.7 </w:t>
      </w:r>
      <w:r>
        <w:rPr>
          <w:rFonts w:hAnsi="宋体"/>
          <w:color w:val="auto"/>
          <w:highlight w:val="none"/>
        </w:rPr>
        <w:t>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w:t>
      </w:r>
      <w:r>
        <w:rPr>
          <w:color w:val="auto"/>
          <w:highlight w:val="none"/>
        </w:rPr>
        <w:t xml:space="preserve"> </w:t>
      </w:r>
      <w:r>
        <w:rPr>
          <w:rFonts w:hAnsi="宋体"/>
          <w:color w:val="auto"/>
          <w:highlight w:val="none"/>
        </w:rPr>
        <w:t>亦不能直接用于施工。</w:t>
      </w:r>
    </w:p>
    <w:p w14:paraId="2E903F35">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1.1.1.8 </w:t>
      </w:r>
      <w:r>
        <w:rPr>
          <w:rFonts w:hAnsi="宋体"/>
          <w:color w:val="auto"/>
          <w:highlight w:val="none"/>
        </w:rPr>
        <w:t>己标价工程量清单：指构成合同文件组成部分的由承包人按照规定的格式和要求填写并标明价格的工程量清单。</w:t>
      </w:r>
    </w:p>
    <w:p w14:paraId="25E7BF5E">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1.1.1.9 </w:t>
      </w:r>
      <w:r>
        <w:rPr>
          <w:rFonts w:hAnsi="宋体"/>
          <w:color w:val="auto"/>
          <w:highlight w:val="none"/>
        </w:rPr>
        <w:t>其他合同文件：指经合同双方当事人确认构成合同文件的其他文件。</w:t>
      </w:r>
    </w:p>
    <w:p w14:paraId="3CCF0AC3">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1.1.2 </w:t>
      </w:r>
      <w:r>
        <w:rPr>
          <w:rFonts w:hAnsi="宋体"/>
          <w:color w:val="auto"/>
          <w:highlight w:val="none"/>
        </w:rPr>
        <w:t>合同当事人和人员</w:t>
      </w:r>
    </w:p>
    <w:p w14:paraId="5EC1A324">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1.1.2.1 </w:t>
      </w:r>
      <w:r>
        <w:rPr>
          <w:rFonts w:hAnsi="宋体"/>
          <w:color w:val="auto"/>
          <w:highlight w:val="none"/>
        </w:rPr>
        <w:t>合同当事人：指发包人和（或）承包人。</w:t>
      </w:r>
    </w:p>
    <w:p w14:paraId="286DE5D9">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1.1.2.2 </w:t>
      </w:r>
      <w:r>
        <w:rPr>
          <w:rFonts w:hAnsi="宋体"/>
          <w:color w:val="auto"/>
          <w:highlight w:val="none"/>
        </w:rPr>
        <w:t>发包人：指专用合同条款中指明并与承包人在合同协议书中签字的当事人。</w:t>
      </w:r>
    </w:p>
    <w:p w14:paraId="55750C85">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1.1.2.3 </w:t>
      </w:r>
      <w:r>
        <w:rPr>
          <w:rFonts w:hAnsi="宋体"/>
          <w:color w:val="auto"/>
          <w:highlight w:val="none"/>
        </w:rPr>
        <w:t>承包人：指专用合同条款中指明并与发包人在合同协议书中签字的当事人。</w:t>
      </w:r>
    </w:p>
    <w:p w14:paraId="618B6E7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1.1.2.4 </w:t>
      </w:r>
      <w:r>
        <w:rPr>
          <w:rFonts w:hAnsi="宋体"/>
          <w:color w:val="auto"/>
          <w:highlight w:val="none"/>
        </w:rPr>
        <w:t>承包人项目经理：指承包人派驻施工场地的全权负责人。</w:t>
      </w:r>
    </w:p>
    <w:p w14:paraId="6BB0244A">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1.1.2.5 </w:t>
      </w:r>
      <w:r>
        <w:rPr>
          <w:rFonts w:hAnsi="宋体"/>
          <w:color w:val="auto"/>
          <w:highlight w:val="none"/>
        </w:rPr>
        <w:t>分包人：指专用合同条款中指明的，从承包人处分包合同中某一部分工程，并与其签订分包合同的分包人。</w:t>
      </w:r>
    </w:p>
    <w:p w14:paraId="4C2E8F88">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1.1.2.6 </w:t>
      </w:r>
      <w:r>
        <w:rPr>
          <w:rFonts w:hAnsi="宋体"/>
          <w:color w:val="auto"/>
          <w:highlight w:val="none"/>
        </w:rPr>
        <w:t>监理人：指在专用合同条款中指明的，受发包人委托对合同履行实施管理的法人或其他组织。</w:t>
      </w:r>
    </w:p>
    <w:p w14:paraId="16EE7823">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1.1.2.7 </w:t>
      </w:r>
      <w:r>
        <w:rPr>
          <w:rFonts w:hAnsi="宋体"/>
          <w:color w:val="auto"/>
          <w:highlight w:val="none"/>
        </w:rPr>
        <w:t>总监理工程师（总监）：指由监理人委派常驻施工场地对合同履行实施管理的全权负责人。</w:t>
      </w:r>
    </w:p>
    <w:p w14:paraId="747656A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1.1.3 </w:t>
      </w:r>
      <w:r>
        <w:rPr>
          <w:rFonts w:hAnsi="宋体"/>
          <w:color w:val="auto"/>
          <w:highlight w:val="none"/>
        </w:rPr>
        <w:t>工程和设备</w:t>
      </w:r>
    </w:p>
    <w:p w14:paraId="7F90AFA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1.1.3.1 </w:t>
      </w:r>
      <w:r>
        <w:rPr>
          <w:rFonts w:hAnsi="宋体"/>
          <w:color w:val="auto"/>
          <w:highlight w:val="none"/>
        </w:rPr>
        <w:t>工程：指永久工程和（或）临时工程。</w:t>
      </w:r>
    </w:p>
    <w:p w14:paraId="772DE83F">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1.1.3.2 </w:t>
      </w:r>
      <w:r>
        <w:rPr>
          <w:rFonts w:hAnsi="宋体"/>
          <w:color w:val="auto"/>
          <w:highlight w:val="none"/>
        </w:rPr>
        <w:t>永久工程：指按合同约定建造并移交给发包人的工程，包括工程设备。</w:t>
      </w:r>
    </w:p>
    <w:p w14:paraId="434EC9E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1.1.3.3 </w:t>
      </w:r>
      <w:r>
        <w:rPr>
          <w:rFonts w:hAnsi="宋体"/>
          <w:color w:val="auto"/>
          <w:highlight w:val="none"/>
        </w:rPr>
        <w:t>临时工程：指为完成合同约定的永久工程所修建的各类临时性工程，不包括施工设备。</w:t>
      </w:r>
    </w:p>
    <w:p w14:paraId="08479C7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1.1.3.4 </w:t>
      </w:r>
      <w:r>
        <w:rPr>
          <w:rFonts w:hAnsi="宋体"/>
          <w:color w:val="auto"/>
          <w:highlight w:val="none"/>
        </w:rPr>
        <w:t>单位工程：指专用合同条款中指明特定范围的永久工程。</w:t>
      </w:r>
    </w:p>
    <w:p w14:paraId="73EC6723">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1.1.3.5 </w:t>
      </w:r>
      <w:r>
        <w:rPr>
          <w:rFonts w:hAnsi="宋体"/>
          <w:color w:val="auto"/>
          <w:highlight w:val="none"/>
        </w:rPr>
        <w:t>工程设备：指构成或计划构成永久工程一部分的机电设备、金属结构设备、仪器装置及其他类似的设备和装置。</w:t>
      </w:r>
    </w:p>
    <w:p w14:paraId="275A2A76">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1.1.3.6 </w:t>
      </w:r>
      <w:r>
        <w:rPr>
          <w:rFonts w:hAnsi="宋体"/>
          <w:color w:val="auto"/>
          <w:highlight w:val="none"/>
        </w:rPr>
        <w:t>施工设备：指为完成合同约定的各项工作所需的设备、器具和其他物品，不包括临时工程和材料。</w:t>
      </w:r>
    </w:p>
    <w:p w14:paraId="38A9A1BD">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1.1.3.7 </w:t>
      </w:r>
      <w:r>
        <w:rPr>
          <w:rFonts w:hAnsi="宋体"/>
          <w:color w:val="auto"/>
          <w:highlight w:val="none"/>
        </w:rPr>
        <w:t>临时设施：指为完成合同约定的各项工作所服务的临时性生产和生活设施。</w:t>
      </w:r>
    </w:p>
    <w:p w14:paraId="5E327508">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1.1.3.8 </w:t>
      </w:r>
      <w:r>
        <w:rPr>
          <w:rFonts w:hAnsi="宋体"/>
          <w:color w:val="auto"/>
          <w:highlight w:val="none"/>
        </w:rPr>
        <w:t>承包人设备：指承包人自带的施工设备。</w:t>
      </w:r>
    </w:p>
    <w:p w14:paraId="2D9EC79E">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1.1.3.9 </w:t>
      </w:r>
      <w:r>
        <w:rPr>
          <w:rFonts w:hAnsi="宋体"/>
          <w:color w:val="auto"/>
          <w:highlight w:val="none"/>
        </w:rPr>
        <w:t>施工场地（或称工地、现场）：指用于合同工程施工的场所，以及在合同中指定作为施工场地组成部分的其他场所，包括永久占地和临时占地。</w:t>
      </w:r>
    </w:p>
    <w:p w14:paraId="09FD132E">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1.1.3.10 </w:t>
      </w:r>
      <w:r>
        <w:rPr>
          <w:rFonts w:hAnsi="宋体"/>
          <w:color w:val="auto"/>
          <w:highlight w:val="none"/>
        </w:rPr>
        <w:t>永久占地：指发包人为建设本合同工程永久征用的场地</w:t>
      </w:r>
      <w:r>
        <w:rPr>
          <w:rFonts w:hint="eastAsia" w:hAnsi="宋体"/>
          <w:color w:val="auto"/>
          <w:highlight w:val="none"/>
        </w:rPr>
        <w:t>。</w:t>
      </w:r>
    </w:p>
    <w:p w14:paraId="4B28A075">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1.1.3.11 </w:t>
      </w:r>
      <w:r>
        <w:rPr>
          <w:rFonts w:hAnsi="宋体"/>
          <w:color w:val="auto"/>
          <w:highlight w:val="none"/>
        </w:rPr>
        <w:t>临时占地：指发包人为建设本合同工程临时征用，承包人在完工后须按合同要求退还的场地。</w:t>
      </w:r>
    </w:p>
    <w:p w14:paraId="62170475">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1.1.4 </w:t>
      </w:r>
      <w:r>
        <w:rPr>
          <w:rFonts w:hAnsi="宋体"/>
          <w:color w:val="auto"/>
          <w:highlight w:val="none"/>
        </w:rPr>
        <w:t>日期</w:t>
      </w:r>
    </w:p>
    <w:p w14:paraId="73BFE759">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1.1.4.1 </w:t>
      </w:r>
      <w:r>
        <w:rPr>
          <w:rFonts w:hAnsi="宋体"/>
          <w:color w:val="auto"/>
          <w:highlight w:val="none"/>
        </w:rPr>
        <w:t>开工通知：指监理人按第</w:t>
      </w:r>
      <w:r>
        <w:rPr>
          <w:color w:val="auto"/>
          <w:highlight w:val="none"/>
        </w:rPr>
        <w:t xml:space="preserve">11.1 </w:t>
      </w:r>
      <w:r>
        <w:rPr>
          <w:rFonts w:hAnsi="宋体"/>
          <w:color w:val="auto"/>
          <w:highlight w:val="none"/>
        </w:rPr>
        <w:t>款通知承包人开工的函件。</w:t>
      </w:r>
    </w:p>
    <w:p w14:paraId="67FCA4CD">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1.1.4.2 </w:t>
      </w:r>
      <w:r>
        <w:rPr>
          <w:rFonts w:hAnsi="宋体"/>
          <w:color w:val="auto"/>
          <w:highlight w:val="none"/>
        </w:rPr>
        <w:t>开工日期：指监理人按第</w:t>
      </w:r>
      <w:r>
        <w:rPr>
          <w:color w:val="auto"/>
          <w:highlight w:val="none"/>
        </w:rPr>
        <w:t xml:space="preserve">11 . 1 </w:t>
      </w:r>
      <w:r>
        <w:rPr>
          <w:rFonts w:hAnsi="宋体"/>
          <w:color w:val="auto"/>
          <w:highlight w:val="none"/>
        </w:rPr>
        <w:t>款发出的开工通知中写明的开工日期。</w:t>
      </w:r>
    </w:p>
    <w:p w14:paraId="7E2EDC3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1.1.4.3 </w:t>
      </w:r>
      <w:r>
        <w:rPr>
          <w:rFonts w:hAnsi="宋体"/>
          <w:color w:val="auto"/>
          <w:highlight w:val="none"/>
        </w:rPr>
        <w:t>工期：指承包人在投标函中承诺的完成合同工程所需的期限，包括按第</w:t>
      </w:r>
      <w:r>
        <w:rPr>
          <w:color w:val="auto"/>
          <w:highlight w:val="none"/>
        </w:rPr>
        <w:t xml:space="preserve">11.3 </w:t>
      </w:r>
      <w:r>
        <w:rPr>
          <w:rFonts w:hAnsi="宋体"/>
          <w:color w:val="auto"/>
          <w:highlight w:val="none"/>
        </w:rPr>
        <w:t>款、第</w:t>
      </w:r>
      <w:r>
        <w:rPr>
          <w:color w:val="auto"/>
          <w:highlight w:val="none"/>
        </w:rPr>
        <w:t xml:space="preserve">11.4 </w:t>
      </w:r>
      <w:r>
        <w:rPr>
          <w:rFonts w:hAnsi="宋体"/>
          <w:color w:val="auto"/>
          <w:highlight w:val="none"/>
        </w:rPr>
        <w:t>款和第</w:t>
      </w:r>
      <w:r>
        <w:rPr>
          <w:color w:val="auto"/>
          <w:highlight w:val="none"/>
        </w:rPr>
        <w:t xml:space="preserve">11.6 </w:t>
      </w:r>
      <w:r>
        <w:rPr>
          <w:rFonts w:hAnsi="宋体"/>
          <w:color w:val="auto"/>
          <w:highlight w:val="none"/>
        </w:rPr>
        <w:t>款约定所作的变更。</w:t>
      </w:r>
    </w:p>
    <w:p w14:paraId="2E72827E">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1.1.4.4 </w:t>
      </w:r>
      <w:r>
        <w:rPr>
          <w:rFonts w:hAnsi="宋体"/>
          <w:color w:val="auto"/>
          <w:highlight w:val="none"/>
        </w:rPr>
        <w:t>竣工日期：即合同工程完工日期，指第</w:t>
      </w:r>
      <w:r>
        <w:rPr>
          <w:color w:val="auto"/>
          <w:highlight w:val="none"/>
        </w:rPr>
        <w:t xml:space="preserve">1.1.4.3 </w:t>
      </w:r>
      <w:r>
        <w:rPr>
          <w:rFonts w:hAnsi="宋体"/>
          <w:color w:val="auto"/>
          <w:highlight w:val="none"/>
        </w:rPr>
        <w:t>目约定工期届满时的日期。实际完工日期以合同工程完工证书中写明的日期为准。</w:t>
      </w:r>
    </w:p>
    <w:p w14:paraId="59E26536">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1.1.4.5 </w:t>
      </w:r>
      <w:r>
        <w:rPr>
          <w:rFonts w:hAnsi="宋体"/>
          <w:color w:val="auto"/>
          <w:highlight w:val="none"/>
        </w:rPr>
        <w:t>缺陷责任期：即工程质量保修期，指履行第</w:t>
      </w:r>
      <w:r>
        <w:rPr>
          <w:color w:val="auto"/>
          <w:highlight w:val="none"/>
        </w:rPr>
        <w:t>19.2</w:t>
      </w:r>
      <w:r>
        <w:rPr>
          <w:rFonts w:hAnsi="宋体"/>
          <w:color w:val="auto"/>
          <w:highlight w:val="none"/>
        </w:rPr>
        <w:t>款约定的缺陷责任的期限，包括根据第</w:t>
      </w:r>
      <w:r>
        <w:rPr>
          <w:color w:val="auto"/>
          <w:highlight w:val="none"/>
        </w:rPr>
        <w:t>19.3</w:t>
      </w:r>
      <w:r>
        <w:rPr>
          <w:rFonts w:hAnsi="宋体"/>
          <w:color w:val="auto"/>
          <w:highlight w:val="none"/>
        </w:rPr>
        <w:t>款约定所作的延长，具体期限由专用合同条款约定。</w:t>
      </w:r>
    </w:p>
    <w:p w14:paraId="5CBB2C2C">
      <w:pPr>
        <w:pageBreakBefore w:val="0"/>
        <w:kinsoku/>
        <w:wordWrap/>
        <w:overflowPunct/>
        <w:topLinePunct w:val="0"/>
        <w:bidi w:val="0"/>
        <w:snapToGrid/>
        <w:spacing w:line="400" w:lineRule="exact"/>
        <w:ind w:firstLine="420" w:firstLineChars="200"/>
        <w:rPr>
          <w:rFonts w:hAnsi="宋体"/>
          <w:color w:val="auto"/>
          <w:highlight w:val="none"/>
        </w:rPr>
      </w:pPr>
      <w:r>
        <w:rPr>
          <w:color w:val="auto"/>
          <w:highlight w:val="none"/>
        </w:rPr>
        <w:t xml:space="preserve">1.1.4.7 </w:t>
      </w:r>
      <w:r>
        <w:rPr>
          <w:rFonts w:hAnsi="宋体"/>
          <w:color w:val="auto"/>
          <w:highlight w:val="none"/>
        </w:rPr>
        <w:t>天：除特别指明外，指</w:t>
      </w:r>
      <w:r>
        <w:rPr>
          <w:rFonts w:hint="eastAsia" w:hAnsi="宋体"/>
          <w:color w:val="auto"/>
          <w:highlight w:val="none"/>
          <w:lang w:val="en-US" w:eastAsia="zh-CN"/>
        </w:rPr>
        <w:t>日历天</w:t>
      </w:r>
      <w:r>
        <w:rPr>
          <w:rFonts w:hAnsi="宋体"/>
          <w:color w:val="auto"/>
          <w:highlight w:val="none"/>
        </w:rPr>
        <w:t>。合同中按天计算时间的，开始当天不计入，从次日开始计算。期限最后一天的截止时间为当天24:00。</w:t>
      </w:r>
    </w:p>
    <w:p w14:paraId="222AB09D">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1.1.5 </w:t>
      </w:r>
      <w:r>
        <w:rPr>
          <w:rFonts w:hAnsi="宋体"/>
          <w:color w:val="auto"/>
          <w:highlight w:val="none"/>
        </w:rPr>
        <w:t>合同价格和费用</w:t>
      </w:r>
    </w:p>
    <w:p w14:paraId="2EDEE7C1">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1.1.5.1 </w:t>
      </w:r>
      <w:r>
        <w:rPr>
          <w:rFonts w:hAnsi="宋体"/>
          <w:color w:val="auto"/>
          <w:highlight w:val="none"/>
        </w:rPr>
        <w:t>签约合同价：指签定合同时合同协议书中写明的，包括了暂列金额、暂估价的合同总金额。</w:t>
      </w:r>
    </w:p>
    <w:p w14:paraId="3BCF38A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1.1.5.2 </w:t>
      </w:r>
      <w:r>
        <w:rPr>
          <w:rFonts w:hAnsi="宋体"/>
          <w:color w:val="auto"/>
          <w:highlight w:val="none"/>
        </w:rPr>
        <w:t>合同价格：指承包人按合同约定完成了包括缺陷责任期内的全部承包工作后，发包人应付给承包人的金额，包括在履行合同过程中按合同约定进行的变更和调整。</w:t>
      </w:r>
    </w:p>
    <w:p w14:paraId="10DBF8E0">
      <w:pPr>
        <w:pageBreakBefore w:val="0"/>
        <w:kinsoku/>
        <w:wordWrap/>
        <w:overflowPunct/>
        <w:topLinePunct w:val="0"/>
        <w:bidi w:val="0"/>
        <w:snapToGrid/>
        <w:spacing w:line="400" w:lineRule="exact"/>
        <w:ind w:firstLine="420" w:firstLineChars="200"/>
        <w:rPr>
          <w:rFonts w:hAnsi="宋体"/>
          <w:color w:val="auto"/>
          <w:highlight w:val="none"/>
        </w:rPr>
      </w:pPr>
      <w:r>
        <w:rPr>
          <w:color w:val="auto"/>
          <w:highlight w:val="none"/>
        </w:rPr>
        <w:t xml:space="preserve">1.1.5.3 </w:t>
      </w:r>
      <w:r>
        <w:rPr>
          <w:rFonts w:hAnsi="宋体"/>
          <w:color w:val="auto"/>
          <w:highlight w:val="none"/>
        </w:rPr>
        <w:t>费用：指为履行合同所发生的或将要发生的所有合理开支，包括管理费和应分</w:t>
      </w:r>
    </w:p>
    <w:p w14:paraId="3EACCD95">
      <w:pPr>
        <w:pageBreakBefore w:val="0"/>
        <w:kinsoku/>
        <w:wordWrap/>
        <w:overflowPunct/>
        <w:topLinePunct w:val="0"/>
        <w:bidi w:val="0"/>
        <w:snapToGrid/>
        <w:spacing w:line="400" w:lineRule="exact"/>
        <w:rPr>
          <w:color w:val="auto"/>
          <w:highlight w:val="none"/>
        </w:rPr>
      </w:pPr>
      <w:r>
        <w:rPr>
          <w:rFonts w:hAnsi="宋体"/>
          <w:color w:val="auto"/>
          <w:highlight w:val="none"/>
        </w:rPr>
        <w:t>摊的其他费用，但不包括利润。</w:t>
      </w:r>
    </w:p>
    <w:p w14:paraId="667A31B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1.1.5.4 </w:t>
      </w:r>
      <w:r>
        <w:rPr>
          <w:rFonts w:hAnsi="宋体"/>
          <w:color w:val="auto"/>
          <w:highlight w:val="none"/>
        </w:rPr>
        <w:t>暂列金额：指已标价工程量清单中所列的暂列金额，用于在签订协议书时尚未确定或不可预见变更的施工及其所需材料、工程设备、服务等的金额，包括以计日工方式支付的金额。</w:t>
      </w:r>
    </w:p>
    <w:p w14:paraId="78A5C5C6">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1.1.5.5 </w:t>
      </w:r>
      <w:r>
        <w:rPr>
          <w:rFonts w:hAnsi="宋体"/>
          <w:color w:val="auto"/>
          <w:highlight w:val="none"/>
        </w:rPr>
        <w:t>暂估价：指发包人在工程量清单中给定的用于支付必然发生但暂时不能确定价格的材料、设备以及专业工程的金额。</w:t>
      </w:r>
    </w:p>
    <w:p w14:paraId="5525657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1.1.5.6 </w:t>
      </w:r>
      <w:r>
        <w:rPr>
          <w:rFonts w:hAnsi="宋体"/>
          <w:color w:val="auto"/>
          <w:highlight w:val="none"/>
        </w:rPr>
        <w:t>计日工：指对零星工作采取的一种计价方式，按合同中的计日工子目及其单价计价付款。</w:t>
      </w:r>
    </w:p>
    <w:p w14:paraId="02420A8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1.1.5.7 </w:t>
      </w:r>
      <w:r>
        <w:rPr>
          <w:rFonts w:hAnsi="宋体"/>
          <w:color w:val="auto"/>
          <w:highlight w:val="none"/>
        </w:rPr>
        <w:t>质量保证金（或称保留金）：指按第</w:t>
      </w:r>
      <w:r>
        <w:rPr>
          <w:color w:val="auto"/>
          <w:highlight w:val="none"/>
        </w:rPr>
        <w:t>17</w:t>
      </w:r>
      <w:r>
        <w:rPr>
          <w:rFonts w:hint="eastAsia"/>
          <w:color w:val="auto"/>
          <w:highlight w:val="none"/>
          <w:lang w:val="en-US" w:eastAsia="zh-CN"/>
        </w:rPr>
        <w:t>.</w:t>
      </w:r>
      <w:r>
        <w:rPr>
          <w:color w:val="auto"/>
          <w:highlight w:val="none"/>
        </w:rPr>
        <w:t>4</w:t>
      </w:r>
      <w:r>
        <w:rPr>
          <w:rFonts w:hint="eastAsia"/>
          <w:color w:val="auto"/>
          <w:highlight w:val="none"/>
          <w:lang w:val="en-US" w:eastAsia="zh-CN"/>
        </w:rPr>
        <w:t>.</w:t>
      </w:r>
      <w:r>
        <w:rPr>
          <w:color w:val="auto"/>
          <w:highlight w:val="none"/>
        </w:rPr>
        <w:t>1</w:t>
      </w:r>
      <w:r>
        <w:rPr>
          <w:rFonts w:hAnsi="宋体"/>
          <w:color w:val="auto"/>
          <w:highlight w:val="none"/>
        </w:rPr>
        <w:t>款约定用于保证在缺陷责任期内履行缺陷修复义务的金额。</w:t>
      </w:r>
    </w:p>
    <w:p w14:paraId="0E9ABA2B">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1.1.6 </w:t>
      </w:r>
      <w:r>
        <w:rPr>
          <w:rFonts w:hAnsi="宋体"/>
          <w:color w:val="auto"/>
          <w:highlight w:val="none"/>
        </w:rPr>
        <w:t>其他</w:t>
      </w:r>
    </w:p>
    <w:p w14:paraId="680B8044">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1.1.6.1 </w:t>
      </w:r>
      <w:r>
        <w:rPr>
          <w:rFonts w:hAnsi="宋体"/>
          <w:color w:val="auto"/>
          <w:highlight w:val="none"/>
        </w:rPr>
        <w:t>书面形式：指合同文件、信函、电报、传真等可以有形地表现所载内容的形式。</w:t>
      </w:r>
    </w:p>
    <w:p w14:paraId="0772A703">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1.2 语言文字</w:t>
      </w:r>
    </w:p>
    <w:p w14:paraId="1832E734">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除专用术语外，合同使用的语言文字为中文。必要时专用术语应附有中文注释。</w:t>
      </w:r>
    </w:p>
    <w:p w14:paraId="54BB0179">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1.3 法律</w:t>
      </w:r>
    </w:p>
    <w:p w14:paraId="4A845C15">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适用于合同的法律包括中华人民共和国法律、行政法规、部门规章，以及工程所在地的地方法规、自治条例、单行条例和地方政府规章。</w:t>
      </w:r>
    </w:p>
    <w:p w14:paraId="0DF3B301">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1.4 合同文件的优先顺序</w:t>
      </w:r>
    </w:p>
    <w:p w14:paraId="6FEE9E4E">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组成合同的各项文件应互相解释，互为说明。除专用合同条款另有约定外，解释合同文件的优先顺序如下：</w:t>
      </w:r>
    </w:p>
    <w:p w14:paraId="114408BB">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l</w:t>
      </w:r>
      <w:r>
        <w:rPr>
          <w:rFonts w:hAnsi="宋体"/>
          <w:color w:val="auto"/>
          <w:highlight w:val="none"/>
        </w:rPr>
        <w:t>）合同协议书；</w:t>
      </w:r>
    </w:p>
    <w:p w14:paraId="4DC08EF0">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2</w:t>
      </w:r>
      <w:r>
        <w:rPr>
          <w:rFonts w:hAnsi="宋体"/>
          <w:color w:val="auto"/>
          <w:highlight w:val="none"/>
        </w:rPr>
        <w:t>）中标通知书；</w:t>
      </w:r>
    </w:p>
    <w:p w14:paraId="34424B2C">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3</w:t>
      </w:r>
      <w:r>
        <w:rPr>
          <w:rFonts w:hAnsi="宋体"/>
          <w:color w:val="auto"/>
          <w:highlight w:val="none"/>
        </w:rPr>
        <w:t>）投标函及投标函附录；</w:t>
      </w:r>
    </w:p>
    <w:p w14:paraId="62DA2CBC">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4</w:t>
      </w:r>
      <w:r>
        <w:rPr>
          <w:rFonts w:hAnsi="宋体"/>
          <w:color w:val="auto"/>
          <w:highlight w:val="none"/>
        </w:rPr>
        <w:t>）专用合同条款；</w:t>
      </w:r>
    </w:p>
    <w:p w14:paraId="4AA4E710">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5</w:t>
      </w:r>
      <w:r>
        <w:rPr>
          <w:rFonts w:hAnsi="宋体"/>
          <w:color w:val="auto"/>
          <w:highlight w:val="none"/>
        </w:rPr>
        <w:t>）通用合同条款；</w:t>
      </w:r>
    </w:p>
    <w:p w14:paraId="74CCA2E0">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6</w:t>
      </w:r>
      <w:r>
        <w:rPr>
          <w:rFonts w:hAnsi="宋体"/>
          <w:color w:val="auto"/>
          <w:highlight w:val="none"/>
        </w:rPr>
        <w:t>）技术标准和要求；</w:t>
      </w:r>
    </w:p>
    <w:p w14:paraId="769CAC04">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7</w:t>
      </w:r>
      <w:r>
        <w:rPr>
          <w:rFonts w:hAnsi="宋体"/>
          <w:color w:val="auto"/>
          <w:highlight w:val="none"/>
        </w:rPr>
        <w:t>）图纸；</w:t>
      </w:r>
    </w:p>
    <w:p w14:paraId="30927B93">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8</w:t>
      </w:r>
      <w:r>
        <w:rPr>
          <w:rFonts w:hAnsi="宋体"/>
          <w:color w:val="auto"/>
          <w:highlight w:val="none"/>
        </w:rPr>
        <w:t>）已标价工程量清单；</w:t>
      </w:r>
    </w:p>
    <w:p w14:paraId="0039CBBA">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9</w:t>
      </w:r>
      <w:r>
        <w:rPr>
          <w:rFonts w:hAnsi="宋体"/>
          <w:color w:val="auto"/>
          <w:highlight w:val="none"/>
        </w:rPr>
        <w:t>）其他合同文件。</w:t>
      </w:r>
    </w:p>
    <w:p w14:paraId="2E554423">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1.5 合同协议书</w:t>
      </w:r>
    </w:p>
    <w:p w14:paraId="2C02AE2C">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承包人按中标通知书规定的时间与发包人签订合同协议书。除法律另有规定或合同另有约定外，发包人和承包人的法定代表人或其委托代理人在合同协议书上签字并盖单位章后，合同生效。</w:t>
      </w:r>
    </w:p>
    <w:p w14:paraId="2750443D">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1.6 图纸和承包人文件</w:t>
      </w:r>
    </w:p>
    <w:p w14:paraId="14619A15">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1.6.1 </w:t>
      </w:r>
      <w:r>
        <w:rPr>
          <w:rFonts w:hAnsi="宋体"/>
          <w:color w:val="auto"/>
          <w:highlight w:val="none"/>
        </w:rPr>
        <w:t>图纸的提供</w:t>
      </w:r>
    </w:p>
    <w:p w14:paraId="0434F3DD">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发包人应按技术标准和要求（合同技术条款）约定的期限和数量将施工图纸以及其它图纸（包括配套说明和有关资料）提供给承包人。由于发包人未按时提供图纸造成工期延误的，按第</w:t>
      </w:r>
      <w:r>
        <w:rPr>
          <w:color w:val="auto"/>
          <w:highlight w:val="none"/>
        </w:rPr>
        <w:t>11.3</w:t>
      </w:r>
      <w:r>
        <w:rPr>
          <w:rFonts w:hAnsi="宋体"/>
          <w:color w:val="auto"/>
          <w:highlight w:val="none"/>
        </w:rPr>
        <w:t>款的约定办理。</w:t>
      </w:r>
    </w:p>
    <w:p w14:paraId="5DF5235D">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1.6.2 </w:t>
      </w:r>
      <w:r>
        <w:rPr>
          <w:rFonts w:hAnsi="宋体"/>
          <w:color w:val="auto"/>
          <w:highlight w:val="none"/>
        </w:rPr>
        <w:t>承包人提供的文件</w:t>
      </w:r>
    </w:p>
    <w:p w14:paraId="2052CC6B">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承包人提供的文件应按技术标准和要求（合同技术条款）约定的期限和数量提供给监理人。监理人应按技术标准和要求（合同技术条款）约定的期限批复承包人。</w:t>
      </w:r>
    </w:p>
    <w:p w14:paraId="49342C5E">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1. 6.3 </w:t>
      </w:r>
      <w:r>
        <w:rPr>
          <w:rFonts w:hAnsi="宋体"/>
          <w:color w:val="auto"/>
          <w:highlight w:val="none"/>
        </w:rPr>
        <w:t>图纸的修改</w:t>
      </w:r>
    </w:p>
    <w:p w14:paraId="5F1E1EDD">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28B75C3F">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1.6.4 </w:t>
      </w:r>
      <w:r>
        <w:rPr>
          <w:rFonts w:hAnsi="宋体"/>
          <w:color w:val="auto"/>
          <w:highlight w:val="none"/>
        </w:rPr>
        <w:t>图纸的错误</w:t>
      </w:r>
    </w:p>
    <w:p w14:paraId="69D2B99C">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承包人发现发包人提供的图纸存在明显错误或疏忽，应及时通知监理人。</w:t>
      </w:r>
    </w:p>
    <w:p w14:paraId="1FA92FFC">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1.6.5 </w:t>
      </w:r>
      <w:r>
        <w:rPr>
          <w:rFonts w:hAnsi="宋体"/>
          <w:color w:val="auto"/>
          <w:highlight w:val="none"/>
        </w:rPr>
        <w:t>图纸和承包人文件的保管</w:t>
      </w:r>
    </w:p>
    <w:p w14:paraId="5316D450">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监理人和承包人均应在施工场地各保存一套完整的包含第</w:t>
      </w:r>
      <w:r>
        <w:rPr>
          <w:color w:val="auto"/>
          <w:highlight w:val="none"/>
        </w:rPr>
        <w:t xml:space="preserve">1.6.1 </w:t>
      </w:r>
      <w:r>
        <w:rPr>
          <w:rFonts w:hAnsi="宋体"/>
          <w:color w:val="auto"/>
          <w:highlight w:val="none"/>
        </w:rPr>
        <w:t>款、第</w:t>
      </w:r>
      <w:r>
        <w:rPr>
          <w:color w:val="auto"/>
          <w:highlight w:val="none"/>
        </w:rPr>
        <w:t xml:space="preserve">1.6.2 </w:t>
      </w:r>
      <w:r>
        <w:rPr>
          <w:rFonts w:hAnsi="宋体"/>
          <w:color w:val="auto"/>
          <w:highlight w:val="none"/>
        </w:rPr>
        <w:t>款、第</w:t>
      </w:r>
      <w:r>
        <w:rPr>
          <w:color w:val="auto"/>
          <w:highlight w:val="none"/>
        </w:rPr>
        <w:t xml:space="preserve">1.6.3 </w:t>
      </w:r>
      <w:r>
        <w:rPr>
          <w:rFonts w:hAnsi="宋体"/>
          <w:color w:val="auto"/>
          <w:highlight w:val="none"/>
        </w:rPr>
        <w:t>款约定内容的图纸和承包人文件。</w:t>
      </w:r>
    </w:p>
    <w:p w14:paraId="4B6FE6A6">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1.7 联络</w:t>
      </w:r>
    </w:p>
    <w:p w14:paraId="6C36A69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1.7.1 </w:t>
      </w:r>
      <w:r>
        <w:rPr>
          <w:rFonts w:hAnsi="宋体"/>
          <w:color w:val="auto"/>
          <w:highlight w:val="none"/>
        </w:rPr>
        <w:t>与合同有关的通知、批准、证明、证书、指示、要求、请求、同意、意见、确定和决定等，均应采用书面形式。</w:t>
      </w:r>
    </w:p>
    <w:p w14:paraId="1AEE64FB">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1.7.2 </w:t>
      </w:r>
      <w:r>
        <w:rPr>
          <w:rFonts w:hAnsi="宋体"/>
          <w:color w:val="auto"/>
          <w:highlight w:val="none"/>
        </w:rPr>
        <w:t>第</w:t>
      </w:r>
      <w:r>
        <w:rPr>
          <w:color w:val="auto"/>
          <w:highlight w:val="none"/>
        </w:rPr>
        <w:t>1.7.1</w:t>
      </w:r>
      <w:r>
        <w:rPr>
          <w:rFonts w:hAnsi="宋体"/>
          <w:color w:val="auto"/>
          <w:highlight w:val="none"/>
        </w:rPr>
        <w:t>款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14:paraId="1F9D86BF">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1.7.3 </w:t>
      </w:r>
      <w:r>
        <w:rPr>
          <w:rFonts w:hAnsi="宋体"/>
          <w:color w:val="auto"/>
          <w:highlight w:val="none"/>
        </w:rPr>
        <w:t>来往函件均应按合同约定的期限及时发出和答复，不得无故扣压和拖延，亦不得拒收。否则，由此造成的后果有责任方负责。</w:t>
      </w:r>
    </w:p>
    <w:p w14:paraId="47EFA0F8">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1.8 转让</w:t>
      </w:r>
    </w:p>
    <w:p w14:paraId="72E620D4">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除合同另有约定外，未经对方当事人同意，一方当事人不得将合同权利全部或部分转让给第三人，也不得全部或部分转移合同义务。</w:t>
      </w:r>
    </w:p>
    <w:p w14:paraId="27294AA8">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1.9 严禁贿赂</w:t>
      </w:r>
    </w:p>
    <w:p w14:paraId="05BB8736">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合同双方当事人不得以贿赂或变相贿赂的方式，谋取不当利益或损害对方权益。因贿赂造成对方损失的，行为人应赔偿损失，并承担相应的法律责任。</w:t>
      </w:r>
    </w:p>
    <w:p w14:paraId="625BD145">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1.10 化石、文物</w:t>
      </w:r>
    </w:p>
    <w:p w14:paraId="34EAB5A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1.10.1 </w:t>
      </w:r>
      <w:r>
        <w:rPr>
          <w:rFonts w:hAnsi="宋体"/>
          <w:color w:val="auto"/>
          <w:highlight w:val="none"/>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30B5E21A">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1.10.2 </w:t>
      </w:r>
      <w:r>
        <w:rPr>
          <w:rFonts w:hAnsi="宋体"/>
          <w:color w:val="auto"/>
          <w:highlight w:val="none"/>
        </w:rPr>
        <w:t>承包人发现文物后不及时报告或隐瞒不报，致使文物丢失或损坏的，应赔偿损失，并承担相应的法律责任。</w:t>
      </w:r>
    </w:p>
    <w:p w14:paraId="0E030F70">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1.11 专利技术</w:t>
      </w:r>
    </w:p>
    <w:p w14:paraId="0AF8A435">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1.11.1 </w:t>
      </w:r>
      <w:r>
        <w:rPr>
          <w:rFonts w:hAnsi="宋体"/>
          <w:color w:val="auto"/>
          <w:highlight w:val="none"/>
        </w:rPr>
        <w:t>承包人在使用任何材料、承包人设备、工程设备或采用施工工艺时，因侵犯专利权或其他知识产权所引起的责任，由承包人承担，但由于遵照发包人提供的设计或技术标准和要求引起的除外。</w:t>
      </w:r>
    </w:p>
    <w:p w14:paraId="31C52A46">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1.11.2 </w:t>
      </w:r>
      <w:r>
        <w:rPr>
          <w:rFonts w:hAnsi="宋体"/>
          <w:color w:val="auto"/>
          <w:highlight w:val="none"/>
        </w:rPr>
        <w:t>承包人在投标文件中采用专利技术的，专利技术的使用费包含在投标报价内。</w:t>
      </w:r>
    </w:p>
    <w:p w14:paraId="2D66AAD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1.11.3 </w:t>
      </w:r>
      <w:r>
        <w:rPr>
          <w:rFonts w:hAnsi="宋体"/>
          <w:color w:val="auto"/>
          <w:highlight w:val="none"/>
        </w:rPr>
        <w:t>承包人的技术秘密和声明需要保密的资料和信息，发包人和监理人不得为合同以外的目的泄露给他人。</w:t>
      </w:r>
    </w:p>
    <w:p w14:paraId="02EE04F7">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1.11.4 </w:t>
      </w:r>
      <w:r>
        <w:rPr>
          <w:rFonts w:hAnsi="宋体"/>
          <w:color w:val="auto"/>
          <w:highlight w:val="none"/>
        </w:rPr>
        <w:t>合同实施过程中，发包人要求承包人采用专利技术的，发包人应办理相应的使用手续，承包人应按发包人约定的条件使用，并承担使用专利技术的相关试验工作，所需费用由发包人承担。</w:t>
      </w:r>
    </w:p>
    <w:p w14:paraId="02CD629E">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1.12 图纸和文件的保密</w:t>
      </w:r>
    </w:p>
    <w:p w14:paraId="39B6EF6B">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1.12.1 </w:t>
      </w:r>
      <w:r>
        <w:rPr>
          <w:rFonts w:hAnsi="宋体"/>
          <w:color w:val="auto"/>
          <w:highlight w:val="none"/>
        </w:rPr>
        <w:t>发包人提供的图纸和文件，未经发包人同意，承包人不得为合同以外的目的泄露给他人或公开发表与引用。</w:t>
      </w:r>
    </w:p>
    <w:p w14:paraId="4E5379C7">
      <w:pPr>
        <w:pageBreakBefore w:val="0"/>
        <w:kinsoku/>
        <w:wordWrap/>
        <w:overflowPunct/>
        <w:topLinePunct w:val="0"/>
        <w:bidi w:val="0"/>
        <w:snapToGrid/>
        <w:spacing w:line="400" w:lineRule="exact"/>
        <w:ind w:firstLine="420" w:firstLineChars="200"/>
        <w:rPr>
          <w:rFonts w:hAnsi="宋体"/>
          <w:color w:val="auto"/>
          <w:highlight w:val="none"/>
        </w:rPr>
      </w:pPr>
      <w:r>
        <w:rPr>
          <w:color w:val="auto"/>
          <w:highlight w:val="none"/>
        </w:rPr>
        <w:t xml:space="preserve">1.12.2 </w:t>
      </w:r>
      <w:r>
        <w:rPr>
          <w:rFonts w:hAnsi="宋体"/>
          <w:color w:val="auto"/>
          <w:highlight w:val="none"/>
        </w:rPr>
        <w:t>承包人提供的文件，未经承包人同意，发包人和监理人不得为合同以外的目的泄</w:t>
      </w:r>
    </w:p>
    <w:p w14:paraId="4B71808F">
      <w:pPr>
        <w:pageBreakBefore w:val="0"/>
        <w:kinsoku/>
        <w:wordWrap/>
        <w:overflowPunct/>
        <w:topLinePunct w:val="0"/>
        <w:bidi w:val="0"/>
        <w:snapToGrid/>
        <w:spacing w:line="400" w:lineRule="exact"/>
        <w:rPr>
          <w:color w:val="auto"/>
          <w:highlight w:val="none"/>
        </w:rPr>
      </w:pPr>
      <w:r>
        <w:rPr>
          <w:rFonts w:hAnsi="宋体"/>
          <w:color w:val="auto"/>
          <w:highlight w:val="none"/>
        </w:rPr>
        <w:t>露给他人或公开发表与引用。</w:t>
      </w:r>
    </w:p>
    <w:p w14:paraId="5BFD53BF">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bookmarkStart w:id="48" w:name="_Toc265408491"/>
      <w:r>
        <w:rPr>
          <w:rFonts w:ascii="Times New Roman" w:hAnsi="Times New Roman" w:eastAsia="宋体" w:cs="Times New Roman"/>
          <w:b/>
          <w:bCs/>
          <w:color w:val="auto"/>
          <w:sz w:val="24"/>
          <w:szCs w:val="24"/>
          <w:highlight w:val="none"/>
          <w:lang w:val="en-US" w:eastAsia="zh-CN"/>
        </w:rPr>
        <w:t>2  发包人义务</w:t>
      </w:r>
      <w:bookmarkEnd w:id="48"/>
    </w:p>
    <w:p w14:paraId="7696194A">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2.1 遵守法律</w:t>
      </w:r>
    </w:p>
    <w:p w14:paraId="0A47F9B7">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发包人在履行合同过程中应遵守法律，并保证承包人免于承担因发包人违反法律而引起的任何责任。</w:t>
      </w:r>
    </w:p>
    <w:p w14:paraId="47DBA5F0">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2.2 发出开工通知</w:t>
      </w:r>
    </w:p>
    <w:p w14:paraId="1661C5BE">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发包人应委托监理人按第</w:t>
      </w:r>
      <w:r>
        <w:rPr>
          <w:color w:val="auto"/>
          <w:highlight w:val="none"/>
        </w:rPr>
        <w:t xml:space="preserve">11.1 </w:t>
      </w:r>
      <w:r>
        <w:rPr>
          <w:rFonts w:hAnsi="宋体"/>
          <w:color w:val="auto"/>
          <w:highlight w:val="none"/>
        </w:rPr>
        <w:t>款的约定向承包人发出开工通知。</w:t>
      </w:r>
    </w:p>
    <w:p w14:paraId="3DF6F874">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2.3 提供施工场地</w:t>
      </w:r>
    </w:p>
    <w:p w14:paraId="39A6B8BC">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2.3.1 </w:t>
      </w:r>
      <w:r>
        <w:rPr>
          <w:rFonts w:hAnsi="宋体"/>
          <w:color w:val="auto"/>
          <w:highlight w:val="none"/>
        </w:rPr>
        <w:t>发包人应在合同双方签订合同协议书后的</w:t>
      </w:r>
      <w:r>
        <w:rPr>
          <w:color w:val="auto"/>
          <w:highlight w:val="none"/>
        </w:rPr>
        <w:t>14</w:t>
      </w:r>
      <w:r>
        <w:rPr>
          <w:rFonts w:hAnsi="宋体"/>
          <w:color w:val="auto"/>
          <w:highlight w:val="none"/>
        </w:rPr>
        <w:t>天内，将本合同工程的施工场地范围图提交给承包人。发包人提供的施工场地范围图应标明场地范围内永久占地与临时占地的范围和界限，以及指明提供给承包人用于施工场地布置的范围和界限及其有关资料。</w:t>
      </w:r>
    </w:p>
    <w:p w14:paraId="3BB71CE1">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2.3.2 </w:t>
      </w:r>
      <w:r>
        <w:rPr>
          <w:rFonts w:hAnsi="宋体"/>
          <w:color w:val="auto"/>
          <w:highlight w:val="none"/>
        </w:rPr>
        <w:t>发包人提供的施工用地范围在专用合同条款中约定。</w:t>
      </w:r>
    </w:p>
    <w:p w14:paraId="67516067">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2.3.3 </w:t>
      </w:r>
      <w:r>
        <w:rPr>
          <w:rFonts w:hAnsi="宋体"/>
          <w:color w:val="auto"/>
          <w:highlight w:val="none"/>
        </w:rPr>
        <w:t>除专用合同条款另有约定外，发包人应按技术标准和要求（合同技术条款）的约定，向承包人提供施工场地内的工程地质图纸和报告，以及地下障碍物图纸等施工场地有关资料，并保证资料的真实、准确、完整。</w:t>
      </w:r>
    </w:p>
    <w:p w14:paraId="3C4B66B6">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2.4 协助承包人办理证件和批件</w:t>
      </w:r>
    </w:p>
    <w:p w14:paraId="2EA830F1">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发包人应协助承包人办理法律规定的有关施工证件和批件。</w:t>
      </w:r>
    </w:p>
    <w:p w14:paraId="5DCDD72F">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2.5 组织设计交底</w:t>
      </w:r>
    </w:p>
    <w:p w14:paraId="6BC86AD5">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发包人应根据合同进度计划，组织设计单位向承包人进行设计交底。</w:t>
      </w:r>
    </w:p>
    <w:p w14:paraId="1E0A8E40">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2.6 支付合同价款</w:t>
      </w:r>
    </w:p>
    <w:p w14:paraId="222C0F50">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发包人应按合同约定向承包人及时支付合同价款。</w:t>
      </w:r>
    </w:p>
    <w:p w14:paraId="54A42F92">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2.7 组织竣工验收（组织法人验收）</w:t>
      </w:r>
    </w:p>
    <w:p w14:paraId="68ADA13B">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发包人应按合同约定及时组织法人验收。</w:t>
      </w:r>
    </w:p>
    <w:p w14:paraId="39CCDF39">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2.8 其他义务</w:t>
      </w:r>
    </w:p>
    <w:p w14:paraId="27124E81">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其他义务在专用合同条款中补充约定。</w:t>
      </w:r>
    </w:p>
    <w:p w14:paraId="38FCBAA1">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bookmarkStart w:id="49" w:name="_Toc265408492"/>
      <w:r>
        <w:rPr>
          <w:rFonts w:ascii="Times New Roman" w:hAnsi="Times New Roman" w:eastAsia="宋体" w:cs="Times New Roman"/>
          <w:b/>
          <w:bCs/>
          <w:color w:val="auto"/>
          <w:sz w:val="24"/>
          <w:szCs w:val="24"/>
          <w:highlight w:val="none"/>
          <w:lang w:val="en-US" w:eastAsia="zh-CN"/>
        </w:rPr>
        <w:t>3  监理人</w:t>
      </w:r>
      <w:bookmarkEnd w:id="49"/>
    </w:p>
    <w:p w14:paraId="206F790A">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3.1 监理人的职责和权力</w:t>
      </w:r>
    </w:p>
    <w:p w14:paraId="7B8D4E8B">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3.1.1 </w:t>
      </w:r>
      <w:r>
        <w:rPr>
          <w:rFonts w:hAnsi="宋体"/>
          <w:color w:val="auto"/>
          <w:highlight w:val="none"/>
        </w:rPr>
        <w:t>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w:t>
      </w:r>
      <w:r>
        <w:rPr>
          <w:color w:val="auto"/>
          <w:highlight w:val="none"/>
        </w:rPr>
        <w:t>15</w:t>
      </w:r>
      <w:r>
        <w:rPr>
          <w:rFonts w:hAnsi="宋体"/>
          <w:color w:val="auto"/>
          <w:highlight w:val="none"/>
        </w:rPr>
        <w:t>条的约定增加相应的费用，并通知承包人。</w:t>
      </w:r>
    </w:p>
    <w:p w14:paraId="791960F6">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3.1.2 </w:t>
      </w:r>
      <w:r>
        <w:rPr>
          <w:rFonts w:hAnsi="宋体"/>
          <w:color w:val="auto"/>
          <w:highlight w:val="none"/>
        </w:rPr>
        <w:t>监理人发出的任何指示应视为已得到发包人的批准，但监理人无权免除或变更合同约定的发包人和承包人的权利、义务和责任。</w:t>
      </w:r>
    </w:p>
    <w:p w14:paraId="0113E25D">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3.1.3 </w:t>
      </w:r>
      <w:r>
        <w:rPr>
          <w:rFonts w:hAnsi="宋体"/>
          <w:color w:val="auto"/>
          <w:highlight w:val="none"/>
        </w:rPr>
        <w:t>合同约定应由承包人承担的义务和责任，不因监理人对承包人提交文件的审查或批准，对工程、材料和设备的检查和检验，以及为实施监理作出的指示等职务行为而减轻或解除。</w:t>
      </w:r>
    </w:p>
    <w:p w14:paraId="635F64D1">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3.2 总监理工程师</w:t>
      </w:r>
    </w:p>
    <w:p w14:paraId="1D330278">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发包人应在发出开工通知前将总监理工程师的任命通知承包人。总监理工程师更换时，应在调离</w:t>
      </w:r>
      <w:r>
        <w:rPr>
          <w:color w:val="auto"/>
          <w:highlight w:val="none"/>
        </w:rPr>
        <w:t xml:space="preserve">14 </w:t>
      </w:r>
      <w:r>
        <w:rPr>
          <w:rFonts w:hAnsi="宋体"/>
          <w:color w:val="auto"/>
          <w:highlight w:val="none"/>
        </w:rPr>
        <w:t>天前通知承包人。总监理工程师短期离开施工场地的，应委派代表代行其职责，并通知承包人。</w:t>
      </w:r>
    </w:p>
    <w:p w14:paraId="1E0ED989">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3.3 监理人员</w:t>
      </w:r>
    </w:p>
    <w:p w14:paraId="00BAA91C">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3.3.1 </w:t>
      </w:r>
      <w:r>
        <w:rPr>
          <w:rFonts w:hAnsi="宋体"/>
          <w:color w:val="auto"/>
          <w:highlight w:val="none"/>
        </w:rPr>
        <w:t>总监理工程师可以授权其他监理人员负责执行其指派的一项或多项监理工作。总监理工程师应将被授权监理人员的姓名及其授权范围通知承包人。被授权的监理人员在授权范围内发出的指示视为己得到总监理工程师的同意，与总监理工程师发出的指示具有同等效力。总监理工程师撤销某项授权时，应将撤销授权的决定及时通知承包人。</w:t>
      </w:r>
    </w:p>
    <w:p w14:paraId="49E5FA09">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3.3.2 </w:t>
      </w:r>
      <w:r>
        <w:rPr>
          <w:rFonts w:hAnsi="宋体"/>
          <w:color w:val="auto"/>
          <w:highlight w:val="none"/>
        </w:rPr>
        <w:t>监理人员对承包人的任何工作、工程或其采用的材料和工程设备未在约定的或合理的期限内提出否定意见的，视为已获批准，但不影响监理人在以后拒绝该项工作、工程、材料或工程设备的权利。</w:t>
      </w:r>
    </w:p>
    <w:p w14:paraId="68A71F2F">
      <w:pPr>
        <w:pageBreakBefore w:val="0"/>
        <w:kinsoku/>
        <w:wordWrap/>
        <w:overflowPunct/>
        <w:topLinePunct w:val="0"/>
        <w:bidi w:val="0"/>
        <w:snapToGrid/>
        <w:spacing w:line="400" w:lineRule="exact"/>
        <w:ind w:firstLine="420" w:firstLineChars="200"/>
        <w:rPr>
          <w:rFonts w:hAnsi="宋体"/>
          <w:color w:val="auto"/>
          <w:highlight w:val="none"/>
        </w:rPr>
      </w:pPr>
      <w:r>
        <w:rPr>
          <w:color w:val="auto"/>
          <w:highlight w:val="none"/>
        </w:rPr>
        <w:t xml:space="preserve">3.3.3 </w:t>
      </w:r>
      <w:r>
        <w:rPr>
          <w:rFonts w:hAnsi="宋体"/>
          <w:color w:val="auto"/>
          <w:highlight w:val="none"/>
        </w:rPr>
        <w:t>承包人对总监理工程师授权的监理人员发出的指示有疑问的，可向总监理工程师</w:t>
      </w:r>
    </w:p>
    <w:p w14:paraId="007DCF89">
      <w:pPr>
        <w:pageBreakBefore w:val="0"/>
        <w:kinsoku/>
        <w:wordWrap/>
        <w:overflowPunct/>
        <w:topLinePunct w:val="0"/>
        <w:bidi w:val="0"/>
        <w:snapToGrid/>
        <w:spacing w:line="400" w:lineRule="exact"/>
        <w:rPr>
          <w:color w:val="auto"/>
          <w:highlight w:val="none"/>
        </w:rPr>
      </w:pPr>
      <w:r>
        <w:rPr>
          <w:rFonts w:hAnsi="宋体"/>
          <w:color w:val="auto"/>
          <w:highlight w:val="none"/>
        </w:rPr>
        <w:t>提出书面异议，总监理工程师应在</w:t>
      </w:r>
      <w:r>
        <w:rPr>
          <w:color w:val="auto"/>
          <w:highlight w:val="none"/>
        </w:rPr>
        <w:t>48</w:t>
      </w:r>
      <w:r>
        <w:rPr>
          <w:rFonts w:hAnsi="宋体"/>
          <w:color w:val="auto"/>
          <w:highlight w:val="none"/>
        </w:rPr>
        <w:t>小时内对该指示予以确认、更改或撤销。</w:t>
      </w:r>
    </w:p>
    <w:p w14:paraId="0D2AC744">
      <w:pPr>
        <w:pageBreakBefore w:val="0"/>
        <w:kinsoku/>
        <w:wordWrap/>
        <w:overflowPunct/>
        <w:topLinePunct w:val="0"/>
        <w:bidi w:val="0"/>
        <w:snapToGrid/>
        <w:spacing w:line="400" w:lineRule="exact"/>
        <w:ind w:firstLine="420" w:firstLineChars="200"/>
        <w:rPr>
          <w:rFonts w:hAnsi="宋体"/>
          <w:color w:val="auto"/>
          <w:highlight w:val="none"/>
        </w:rPr>
      </w:pPr>
      <w:r>
        <w:rPr>
          <w:color w:val="auto"/>
          <w:highlight w:val="none"/>
        </w:rPr>
        <w:t xml:space="preserve">3.3.4 </w:t>
      </w:r>
      <w:r>
        <w:rPr>
          <w:rFonts w:hAnsi="宋体"/>
          <w:color w:val="auto"/>
          <w:highlight w:val="none"/>
        </w:rPr>
        <w:t>除专用合同条款另有约定外，总监理工程师不应将第</w:t>
      </w:r>
      <w:r>
        <w:rPr>
          <w:color w:val="auto"/>
          <w:highlight w:val="none"/>
        </w:rPr>
        <w:t xml:space="preserve">3.5 </w:t>
      </w:r>
      <w:r>
        <w:rPr>
          <w:rFonts w:hAnsi="宋体"/>
          <w:color w:val="auto"/>
          <w:highlight w:val="none"/>
        </w:rPr>
        <w:t>款约定应由总监理工程</w:t>
      </w:r>
    </w:p>
    <w:p w14:paraId="0D888A01">
      <w:pPr>
        <w:pageBreakBefore w:val="0"/>
        <w:kinsoku/>
        <w:wordWrap/>
        <w:overflowPunct/>
        <w:topLinePunct w:val="0"/>
        <w:bidi w:val="0"/>
        <w:snapToGrid/>
        <w:spacing w:line="400" w:lineRule="exact"/>
        <w:rPr>
          <w:color w:val="auto"/>
          <w:highlight w:val="none"/>
        </w:rPr>
      </w:pPr>
      <w:r>
        <w:rPr>
          <w:rFonts w:hAnsi="宋体"/>
          <w:color w:val="auto"/>
          <w:highlight w:val="none"/>
        </w:rPr>
        <w:t>师作出确定的权力授权或委托给其他监理人员。</w:t>
      </w:r>
    </w:p>
    <w:p w14:paraId="2D46E007">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3.4 监理人的指示</w:t>
      </w:r>
    </w:p>
    <w:p w14:paraId="34FE4323">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3.4.1 </w:t>
      </w:r>
      <w:r>
        <w:rPr>
          <w:rFonts w:hAnsi="宋体"/>
          <w:color w:val="auto"/>
          <w:highlight w:val="none"/>
        </w:rPr>
        <w:t>监理人应按第</w:t>
      </w:r>
      <w:r>
        <w:rPr>
          <w:color w:val="auto"/>
          <w:highlight w:val="none"/>
        </w:rPr>
        <w:t xml:space="preserve">3.1 </w:t>
      </w:r>
      <w:r>
        <w:rPr>
          <w:rFonts w:hAnsi="宋体"/>
          <w:color w:val="auto"/>
          <w:highlight w:val="none"/>
        </w:rPr>
        <w:t>款的约定向承包人发出指示，监理人的指示应盖有监理人授权的施工场地机构章，并由总监理工程师或总监理工程师按第</w:t>
      </w:r>
      <w:r>
        <w:rPr>
          <w:color w:val="auto"/>
          <w:highlight w:val="none"/>
        </w:rPr>
        <w:t xml:space="preserve">3.3.1 </w:t>
      </w:r>
      <w:r>
        <w:rPr>
          <w:rFonts w:hAnsi="宋体"/>
          <w:color w:val="auto"/>
          <w:highlight w:val="none"/>
        </w:rPr>
        <w:t>款约定授权的监理人员签字。</w:t>
      </w:r>
    </w:p>
    <w:p w14:paraId="1E0C1134">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3.4.2 </w:t>
      </w:r>
      <w:r>
        <w:rPr>
          <w:rFonts w:hAnsi="宋体"/>
          <w:color w:val="auto"/>
          <w:highlight w:val="none"/>
        </w:rPr>
        <w:t>承包人收到监理人按第</w:t>
      </w:r>
      <w:r>
        <w:rPr>
          <w:color w:val="auto"/>
          <w:highlight w:val="none"/>
        </w:rPr>
        <w:t xml:space="preserve">3.4.1 </w:t>
      </w:r>
      <w:r>
        <w:rPr>
          <w:rFonts w:hAnsi="宋体"/>
          <w:color w:val="auto"/>
          <w:highlight w:val="none"/>
        </w:rPr>
        <w:t>款作出的指示后应遵照执行。指示构成变更的，应按第</w:t>
      </w:r>
      <w:r>
        <w:rPr>
          <w:rFonts w:hint="eastAsia" w:hAnsi="宋体"/>
          <w:color w:val="auto"/>
          <w:highlight w:val="none"/>
          <w:lang w:val="en-US" w:eastAsia="zh-CN"/>
        </w:rPr>
        <w:t>15</w:t>
      </w:r>
      <w:r>
        <w:rPr>
          <w:rFonts w:hAnsi="宋体"/>
          <w:color w:val="auto"/>
          <w:highlight w:val="none"/>
        </w:rPr>
        <w:t>条处理。</w:t>
      </w:r>
    </w:p>
    <w:p w14:paraId="14BF9C93">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3.4.3 </w:t>
      </w:r>
      <w:r>
        <w:rPr>
          <w:rFonts w:hAnsi="宋体"/>
          <w:color w:val="auto"/>
          <w:highlight w:val="none"/>
        </w:rPr>
        <w:t>在紧急情况下，总监理工程师或被授权的监理人员可以当场签发临时书面指示，承包人应遵照执行。承包人应在收到上述临时书面指示后</w:t>
      </w:r>
      <w:r>
        <w:rPr>
          <w:color w:val="auto"/>
          <w:highlight w:val="none"/>
        </w:rPr>
        <w:t>24</w:t>
      </w:r>
      <w:r>
        <w:rPr>
          <w:rFonts w:hAnsi="宋体"/>
          <w:color w:val="auto"/>
          <w:highlight w:val="none"/>
        </w:rPr>
        <w:t>小时内，向监理人发出书面确认函。监理人在收到书面确认函后</w:t>
      </w:r>
      <w:r>
        <w:rPr>
          <w:color w:val="auto"/>
          <w:highlight w:val="none"/>
        </w:rPr>
        <w:t>24</w:t>
      </w:r>
      <w:r>
        <w:rPr>
          <w:rFonts w:hAnsi="宋体"/>
          <w:color w:val="auto"/>
          <w:highlight w:val="none"/>
        </w:rPr>
        <w:t>小时内未予答复的，该书面确认函应被视为监理人的正式指示。</w:t>
      </w:r>
    </w:p>
    <w:p w14:paraId="75BA5C29">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3.4.4 </w:t>
      </w:r>
      <w:r>
        <w:rPr>
          <w:rFonts w:hAnsi="宋体"/>
          <w:color w:val="auto"/>
          <w:highlight w:val="none"/>
        </w:rPr>
        <w:t>除合同另有约定外，承包人只从总监理工程师或按第</w:t>
      </w:r>
      <w:r>
        <w:rPr>
          <w:color w:val="auto"/>
          <w:highlight w:val="none"/>
        </w:rPr>
        <w:t xml:space="preserve">3.3.1 </w:t>
      </w:r>
      <w:r>
        <w:rPr>
          <w:rFonts w:hAnsi="宋体"/>
          <w:color w:val="auto"/>
          <w:highlight w:val="none"/>
        </w:rPr>
        <w:t>款被授权的监理人员处取得指示。</w:t>
      </w:r>
    </w:p>
    <w:p w14:paraId="4B39E3AD">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3.4.5 </w:t>
      </w:r>
      <w:r>
        <w:rPr>
          <w:rFonts w:hAnsi="宋体"/>
          <w:color w:val="auto"/>
          <w:highlight w:val="none"/>
        </w:rPr>
        <w:t>由于监理人未能按合同约定发出指示、指示延误或指示错误而导致承包人费用增加和（或）工期延误的，由发包人承担赔偿责任。</w:t>
      </w:r>
    </w:p>
    <w:p w14:paraId="09205B3C">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3.5 商定或确定</w:t>
      </w:r>
    </w:p>
    <w:p w14:paraId="11E06F3C">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3.5.1 </w:t>
      </w:r>
      <w:r>
        <w:rPr>
          <w:rFonts w:hAnsi="宋体"/>
          <w:color w:val="auto"/>
          <w:highlight w:val="none"/>
        </w:rPr>
        <w:t>合同约定总监理工程师应按照本款对任何事项进行商定或确定时，总监理工程师应与合同当事人协商，尽量达成一致。不能达成一致的，总监理工程师应认真研究后审慎确定。</w:t>
      </w:r>
    </w:p>
    <w:p w14:paraId="22938B87">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3.5.2 </w:t>
      </w:r>
      <w:r>
        <w:rPr>
          <w:rFonts w:hAnsi="宋体"/>
          <w:color w:val="auto"/>
          <w:highlight w:val="none"/>
        </w:rPr>
        <w:t>总监理工程师应将商定或确定的事项通知合同当事人，并附详细依据。对总监理工程师的确定有异议的，构成争议，按照第</w:t>
      </w:r>
      <w:r>
        <w:rPr>
          <w:color w:val="auto"/>
          <w:highlight w:val="none"/>
        </w:rPr>
        <w:t xml:space="preserve">24 </w:t>
      </w:r>
      <w:r>
        <w:rPr>
          <w:rFonts w:hAnsi="宋体"/>
          <w:color w:val="auto"/>
          <w:highlight w:val="none"/>
        </w:rPr>
        <w:t>条的约定处理。在争议解决前，双方应暂按总监理工程师的确定执行，按照第</w:t>
      </w:r>
      <w:r>
        <w:rPr>
          <w:color w:val="auto"/>
          <w:highlight w:val="none"/>
        </w:rPr>
        <w:t xml:space="preserve">24 </w:t>
      </w:r>
      <w:r>
        <w:rPr>
          <w:rFonts w:hAnsi="宋体"/>
          <w:color w:val="auto"/>
          <w:highlight w:val="none"/>
        </w:rPr>
        <w:t>条的约定对总监理工程师的确定作出修改的，按修改后的结果执行。</w:t>
      </w:r>
    </w:p>
    <w:p w14:paraId="422EEF5D">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bookmarkStart w:id="50" w:name="_Toc265408493"/>
      <w:r>
        <w:rPr>
          <w:rFonts w:ascii="Times New Roman" w:hAnsi="Times New Roman" w:eastAsia="宋体" w:cs="Times New Roman"/>
          <w:b/>
          <w:bCs/>
          <w:color w:val="auto"/>
          <w:sz w:val="24"/>
          <w:szCs w:val="24"/>
          <w:highlight w:val="none"/>
          <w:lang w:val="en-US" w:eastAsia="zh-CN"/>
        </w:rPr>
        <w:t>4  承包人</w:t>
      </w:r>
      <w:bookmarkEnd w:id="50"/>
    </w:p>
    <w:p w14:paraId="3DA3D45F">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4.1 承包人的一般义务</w:t>
      </w:r>
    </w:p>
    <w:p w14:paraId="169C227F">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4.1.1 </w:t>
      </w:r>
      <w:r>
        <w:rPr>
          <w:rFonts w:hAnsi="宋体"/>
          <w:color w:val="auto"/>
          <w:highlight w:val="none"/>
        </w:rPr>
        <w:t>遵守法律</w:t>
      </w:r>
    </w:p>
    <w:p w14:paraId="694735BA">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承包人在履行合同过程中应遵守法律，并保证发包人免于承担因承包人违反法律而引起的任何责任。</w:t>
      </w:r>
    </w:p>
    <w:p w14:paraId="6181856B">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4.1.2 </w:t>
      </w:r>
      <w:r>
        <w:rPr>
          <w:rFonts w:hAnsi="宋体"/>
          <w:color w:val="auto"/>
          <w:highlight w:val="none"/>
        </w:rPr>
        <w:t>依法纳税</w:t>
      </w:r>
    </w:p>
    <w:p w14:paraId="630F71D8">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承包人应按有关法律规定纳税，应缴纳的税金包括在合同价格内。</w:t>
      </w:r>
    </w:p>
    <w:p w14:paraId="631AD250">
      <w:pPr>
        <w:pageBreakBefore w:val="0"/>
        <w:kinsoku/>
        <w:wordWrap/>
        <w:overflowPunct/>
        <w:topLinePunct w:val="0"/>
        <w:bidi w:val="0"/>
        <w:snapToGrid/>
        <w:spacing w:line="400" w:lineRule="exact"/>
        <w:ind w:firstLine="420" w:firstLineChars="200"/>
        <w:rPr>
          <w:rFonts w:hAnsi="宋体"/>
          <w:color w:val="auto"/>
          <w:highlight w:val="none"/>
        </w:rPr>
      </w:pPr>
      <w:r>
        <w:rPr>
          <w:color w:val="auto"/>
          <w:highlight w:val="none"/>
        </w:rPr>
        <w:t xml:space="preserve">4.1.3 </w:t>
      </w:r>
      <w:r>
        <w:rPr>
          <w:rFonts w:hAnsi="宋体"/>
          <w:color w:val="auto"/>
          <w:highlight w:val="none"/>
        </w:rPr>
        <w:t>完成各项承包工作</w:t>
      </w:r>
    </w:p>
    <w:p w14:paraId="377EAA3F">
      <w:pPr>
        <w:pageBreakBefore w:val="0"/>
        <w:kinsoku/>
        <w:wordWrap/>
        <w:overflowPunct/>
        <w:topLinePunct w:val="0"/>
        <w:bidi w:val="0"/>
        <w:snapToGrid/>
        <w:spacing w:line="400" w:lineRule="exact"/>
        <w:ind w:firstLine="420" w:firstLineChars="200"/>
        <w:rPr>
          <w:rFonts w:hAnsi="宋体"/>
          <w:color w:val="auto"/>
          <w:highlight w:val="none"/>
        </w:rPr>
      </w:pPr>
      <w:r>
        <w:rPr>
          <w:rFonts w:hAnsi="宋体"/>
          <w:color w:val="auto"/>
          <w:highlight w:val="none"/>
        </w:rPr>
        <w:t>承包人应按合同约定以及监理人根据第</w:t>
      </w:r>
      <w:r>
        <w:rPr>
          <w:color w:val="auto"/>
          <w:highlight w:val="none"/>
        </w:rPr>
        <w:t>3.4</w:t>
      </w:r>
      <w:r>
        <w:rPr>
          <w:rFonts w:hAnsi="宋体"/>
          <w:color w:val="auto"/>
          <w:highlight w:val="none"/>
        </w:rPr>
        <w:t>款作出的指示，实施、完成全部工程，并修</w:t>
      </w:r>
    </w:p>
    <w:p w14:paraId="7BA29167">
      <w:pPr>
        <w:pageBreakBefore w:val="0"/>
        <w:kinsoku/>
        <w:wordWrap/>
        <w:overflowPunct/>
        <w:topLinePunct w:val="0"/>
        <w:bidi w:val="0"/>
        <w:snapToGrid/>
        <w:spacing w:line="400" w:lineRule="exact"/>
        <w:rPr>
          <w:rFonts w:hAnsi="宋体"/>
          <w:color w:val="auto"/>
          <w:highlight w:val="none"/>
        </w:rPr>
      </w:pPr>
      <w:r>
        <w:rPr>
          <w:rFonts w:hAnsi="宋体"/>
          <w:color w:val="auto"/>
          <w:highlight w:val="none"/>
        </w:rPr>
        <w:t>补工程中的任何缺陷。除第</w:t>
      </w:r>
      <w:r>
        <w:rPr>
          <w:color w:val="auto"/>
          <w:highlight w:val="none"/>
        </w:rPr>
        <w:t>5.2</w:t>
      </w:r>
      <w:r>
        <w:rPr>
          <w:rFonts w:hAnsi="宋体"/>
          <w:color w:val="auto"/>
          <w:highlight w:val="none"/>
        </w:rPr>
        <w:t>款、第</w:t>
      </w:r>
      <w:r>
        <w:rPr>
          <w:color w:val="auto"/>
          <w:highlight w:val="none"/>
        </w:rPr>
        <w:t>6.2</w:t>
      </w:r>
      <w:r>
        <w:rPr>
          <w:rFonts w:hAnsi="宋体"/>
          <w:color w:val="auto"/>
          <w:highlight w:val="none"/>
        </w:rPr>
        <w:t>款另有约定外，承包人应提供为完成合同工作所</w:t>
      </w:r>
    </w:p>
    <w:p w14:paraId="31164F49">
      <w:pPr>
        <w:pageBreakBefore w:val="0"/>
        <w:kinsoku/>
        <w:wordWrap/>
        <w:overflowPunct/>
        <w:topLinePunct w:val="0"/>
        <w:bidi w:val="0"/>
        <w:snapToGrid/>
        <w:spacing w:line="400" w:lineRule="exact"/>
        <w:rPr>
          <w:color w:val="auto"/>
          <w:highlight w:val="none"/>
        </w:rPr>
      </w:pPr>
      <w:r>
        <w:rPr>
          <w:rFonts w:hAnsi="宋体"/>
          <w:color w:val="auto"/>
          <w:highlight w:val="none"/>
        </w:rPr>
        <w:t>需的劳务、材料、施工设备、工程设备和其它物品，并按合同约定负责临时设施的设计、建造、运行、维护、管理和拆除。</w:t>
      </w:r>
    </w:p>
    <w:p w14:paraId="45BA045A">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4.1.4 </w:t>
      </w:r>
      <w:r>
        <w:rPr>
          <w:rFonts w:hAnsi="宋体"/>
          <w:color w:val="auto"/>
          <w:highlight w:val="none"/>
        </w:rPr>
        <w:t>对施工作业和施工方法的完备性负责</w:t>
      </w:r>
    </w:p>
    <w:p w14:paraId="7CD96492">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承包人应按合同约定的工作内容和施工进度要求，编制施工组织设计和施工措施计划，并对所有施工作业和施工方法的完备性和安全可靠性负责。</w:t>
      </w:r>
    </w:p>
    <w:p w14:paraId="7E4BF014">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4.1.5 </w:t>
      </w:r>
      <w:r>
        <w:rPr>
          <w:rFonts w:hAnsi="宋体"/>
          <w:color w:val="auto"/>
          <w:highlight w:val="none"/>
        </w:rPr>
        <w:t>保证工程施工和人员的安全</w:t>
      </w:r>
    </w:p>
    <w:p w14:paraId="08D24BC0">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承包人应按第</w:t>
      </w:r>
      <w:r>
        <w:rPr>
          <w:color w:val="auto"/>
          <w:highlight w:val="none"/>
        </w:rPr>
        <w:t xml:space="preserve">9.2 </w:t>
      </w:r>
      <w:r>
        <w:rPr>
          <w:rFonts w:hAnsi="宋体"/>
          <w:color w:val="auto"/>
          <w:highlight w:val="none"/>
        </w:rPr>
        <w:t>款约定采取施工安全措施，确保工程及其人员、材料、设备和设施的安全，防止因工程施工造成的人身伤害和财产损失。</w:t>
      </w:r>
    </w:p>
    <w:p w14:paraId="4C0082C9">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4.1.6 </w:t>
      </w:r>
      <w:r>
        <w:rPr>
          <w:rFonts w:hAnsi="宋体"/>
          <w:color w:val="auto"/>
          <w:highlight w:val="none"/>
        </w:rPr>
        <w:t>负责施工场地及其周边环境与生态的保护工作</w:t>
      </w:r>
    </w:p>
    <w:p w14:paraId="0CC9CA77">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承包人应按照第</w:t>
      </w:r>
      <w:r>
        <w:rPr>
          <w:color w:val="auto"/>
          <w:highlight w:val="none"/>
        </w:rPr>
        <w:t xml:space="preserve">9.4 </w:t>
      </w:r>
      <w:r>
        <w:rPr>
          <w:rFonts w:hAnsi="宋体"/>
          <w:color w:val="auto"/>
          <w:highlight w:val="none"/>
        </w:rPr>
        <w:t>款约定负责施工场地及其周边环境与生态的保护工作。</w:t>
      </w:r>
    </w:p>
    <w:p w14:paraId="224870CF">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4.1.7 </w:t>
      </w:r>
      <w:r>
        <w:rPr>
          <w:rFonts w:hAnsi="宋体"/>
          <w:color w:val="auto"/>
          <w:highlight w:val="none"/>
        </w:rPr>
        <w:t>避免施工对公众与他人的利益造成损害</w:t>
      </w:r>
    </w:p>
    <w:p w14:paraId="00CB5DEE">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2E64B2E">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4.1.8 </w:t>
      </w:r>
      <w:r>
        <w:rPr>
          <w:rFonts w:hAnsi="宋体"/>
          <w:color w:val="auto"/>
          <w:highlight w:val="none"/>
        </w:rPr>
        <w:t>为他人提供方便</w:t>
      </w:r>
    </w:p>
    <w:p w14:paraId="18B5D288">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承包人应按监理人的指示为他人在施工场地或附近实施与工程有关的其他各项工作提供可能的条件。除合同另有约定外，提供有关条件的内容和可能发生的费用，由监理人按第</w:t>
      </w:r>
      <w:r>
        <w:rPr>
          <w:color w:val="auto"/>
          <w:highlight w:val="none"/>
        </w:rPr>
        <w:t xml:space="preserve">3.5 </w:t>
      </w:r>
      <w:r>
        <w:rPr>
          <w:rFonts w:hAnsi="宋体"/>
          <w:color w:val="auto"/>
          <w:highlight w:val="none"/>
        </w:rPr>
        <w:t>款商定或确定。</w:t>
      </w:r>
    </w:p>
    <w:p w14:paraId="2BF9B69B">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4.1.9 </w:t>
      </w:r>
      <w:r>
        <w:rPr>
          <w:rFonts w:hAnsi="宋体"/>
          <w:color w:val="auto"/>
          <w:highlight w:val="none"/>
        </w:rPr>
        <w:t>工程的维护和照管</w:t>
      </w:r>
    </w:p>
    <w:p w14:paraId="083904E6">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75A18365">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4.1.10 </w:t>
      </w:r>
      <w:r>
        <w:rPr>
          <w:rFonts w:hAnsi="宋体"/>
          <w:color w:val="auto"/>
          <w:highlight w:val="none"/>
        </w:rPr>
        <w:t>其他义务</w:t>
      </w:r>
    </w:p>
    <w:p w14:paraId="7899199B">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其他义务在专用合同条款中补充约定。</w:t>
      </w:r>
    </w:p>
    <w:p w14:paraId="705F1181">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4.2 履约担保</w:t>
      </w:r>
    </w:p>
    <w:p w14:paraId="7A9F3EEA">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承包人应保证其履约担保在发包人颁发</w:t>
      </w:r>
      <w:r>
        <w:rPr>
          <w:rFonts w:hint="eastAsia" w:hAnsi="宋体"/>
          <w:color w:val="auto"/>
          <w:highlight w:val="none"/>
          <w:lang w:val="en-US" w:eastAsia="zh-CN"/>
        </w:rPr>
        <w:t>合同</w:t>
      </w:r>
      <w:r>
        <w:rPr>
          <w:rFonts w:hAnsi="宋体"/>
          <w:color w:val="auto"/>
          <w:highlight w:val="none"/>
        </w:rPr>
        <w:t>工程完工证书前一直有效。发包人应在合同工程完工证书颁发后</w:t>
      </w:r>
      <w:r>
        <w:rPr>
          <w:color w:val="auto"/>
          <w:highlight w:val="none"/>
        </w:rPr>
        <w:t xml:space="preserve">28 </w:t>
      </w:r>
      <w:r>
        <w:rPr>
          <w:rFonts w:hAnsi="宋体"/>
          <w:color w:val="auto"/>
          <w:highlight w:val="none"/>
        </w:rPr>
        <w:t>天内</w:t>
      </w:r>
      <w:r>
        <w:rPr>
          <w:rFonts w:hint="eastAsia" w:hAnsi="宋体"/>
          <w:color w:val="auto"/>
          <w:highlight w:val="none"/>
          <w:lang w:val="en-US" w:eastAsia="zh-CN"/>
        </w:rPr>
        <w:t>将</w:t>
      </w:r>
      <w:r>
        <w:rPr>
          <w:rFonts w:hAnsi="宋体"/>
          <w:color w:val="auto"/>
          <w:highlight w:val="none"/>
        </w:rPr>
        <w:t>履约担保退还给承包人。</w:t>
      </w:r>
    </w:p>
    <w:p w14:paraId="38C5C28E">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4.3 分包</w:t>
      </w:r>
    </w:p>
    <w:p w14:paraId="44B9C7EA">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4.3.1 </w:t>
      </w:r>
      <w:r>
        <w:rPr>
          <w:rFonts w:hAnsi="宋体"/>
          <w:color w:val="auto"/>
          <w:highlight w:val="none"/>
        </w:rPr>
        <w:t>承包人不得将其承包的全部工程转包给第三人，或将其承包的全部工程肢解后以分包的名义转包给第三人。</w:t>
      </w:r>
    </w:p>
    <w:p w14:paraId="62027D8C">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4.3.2 </w:t>
      </w:r>
      <w:r>
        <w:rPr>
          <w:rFonts w:hAnsi="宋体"/>
          <w:color w:val="auto"/>
          <w:highlight w:val="none"/>
        </w:rPr>
        <w:t>承包人不得将工程主体、关键性工作分包给第三人。除专用合同条款另有约定外，未经发包人同意，承包人不得将工程的其他部分或工作分包给第三人。</w:t>
      </w:r>
    </w:p>
    <w:p w14:paraId="7EE62743">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4.3.3 </w:t>
      </w:r>
      <w:r>
        <w:rPr>
          <w:rFonts w:hAnsi="宋体"/>
          <w:color w:val="auto"/>
          <w:highlight w:val="none"/>
        </w:rPr>
        <w:t>分包人的资格能力应与其分包工程的标准和规模相适应。</w:t>
      </w:r>
    </w:p>
    <w:p w14:paraId="65FB527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4.3.4 </w:t>
      </w:r>
      <w:r>
        <w:rPr>
          <w:rFonts w:hAnsi="宋体"/>
          <w:color w:val="auto"/>
          <w:highlight w:val="none"/>
        </w:rPr>
        <w:t>按投标函附录约定分包工程的，承包人应向发包人和监理人提交分包合同副本。</w:t>
      </w:r>
    </w:p>
    <w:p w14:paraId="3E44765B">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4.3.5 </w:t>
      </w:r>
      <w:r>
        <w:rPr>
          <w:rFonts w:hAnsi="宋体"/>
          <w:color w:val="auto"/>
          <w:highlight w:val="none"/>
        </w:rPr>
        <w:t>承包人应与分包人就分包工程向发包人承担连带责任。</w:t>
      </w:r>
    </w:p>
    <w:p w14:paraId="3261E94C">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4.3.6</w:t>
      </w:r>
      <w:r>
        <w:rPr>
          <w:rFonts w:hAnsi="宋体"/>
          <w:color w:val="auto"/>
          <w:highlight w:val="none"/>
        </w:rPr>
        <w:t>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2868E528">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4.3.7</w:t>
      </w:r>
      <w:r>
        <w:rPr>
          <w:rFonts w:hAnsi="宋体"/>
          <w:color w:val="auto"/>
          <w:highlight w:val="none"/>
        </w:rPr>
        <w:t>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14:paraId="04C12C93">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由指定分包人造成的与其分包工作有关的一切索赔、诉讼和损失赔偿由指定分包人直接对发包人负责，承包人不对此承担责任。</w:t>
      </w:r>
    </w:p>
    <w:p w14:paraId="0B1C2CA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4.3.8</w:t>
      </w:r>
      <w:r>
        <w:rPr>
          <w:rFonts w:hAnsi="宋体"/>
          <w:color w:val="auto"/>
          <w:highlight w:val="none"/>
        </w:rPr>
        <w:t>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14:paraId="07F184A7">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4.3.9</w:t>
      </w:r>
      <w:r>
        <w:rPr>
          <w:rFonts w:hAnsi="宋体"/>
          <w:color w:val="auto"/>
          <w:highlight w:val="none"/>
        </w:rPr>
        <w:t>除第</w:t>
      </w:r>
      <w:r>
        <w:rPr>
          <w:color w:val="auto"/>
          <w:highlight w:val="none"/>
        </w:rPr>
        <w:t>4.3.7</w:t>
      </w:r>
      <w:r>
        <w:rPr>
          <w:rFonts w:hAnsi="宋体"/>
          <w:color w:val="auto"/>
          <w:highlight w:val="none"/>
        </w:rPr>
        <w:t>款规定的指定分包外，承包人对其分包项目的实施以及分包人的行为向发包人负全部责任。承包人应对分包项目的工程进度、质量、安全、计量和验收等实施监督和管理。</w:t>
      </w:r>
    </w:p>
    <w:p w14:paraId="6989854B">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4.3.10</w:t>
      </w:r>
      <w:r>
        <w:rPr>
          <w:rFonts w:hAnsi="宋体"/>
          <w:color w:val="auto"/>
          <w:highlight w:val="none"/>
        </w:rPr>
        <w:t>分包人应按专用合同条款的约定设立项目管理机构组织管理分包工程的施工活动。</w:t>
      </w:r>
    </w:p>
    <w:p w14:paraId="04B9EB66">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4.4 联合体</w:t>
      </w:r>
    </w:p>
    <w:p w14:paraId="6BFC9819">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4.4.1 </w:t>
      </w:r>
      <w:r>
        <w:rPr>
          <w:rFonts w:hAnsi="宋体"/>
          <w:color w:val="auto"/>
          <w:highlight w:val="none"/>
        </w:rPr>
        <w:t>联合体各方应共同与发包人签订合同协议书。联合体各方应为履行合同承担连带责任。</w:t>
      </w:r>
    </w:p>
    <w:p w14:paraId="6E5E1511">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4.4.2 </w:t>
      </w:r>
      <w:r>
        <w:rPr>
          <w:rFonts w:hAnsi="宋体"/>
          <w:color w:val="auto"/>
          <w:highlight w:val="none"/>
        </w:rPr>
        <w:t>联合体协议经发包人确认后作为合同附件。在履行合同过程中，未经发包人同意，不得修改联合体协议。</w:t>
      </w:r>
    </w:p>
    <w:p w14:paraId="03E9A011">
      <w:pPr>
        <w:pageBreakBefore w:val="0"/>
        <w:kinsoku/>
        <w:wordWrap/>
        <w:overflowPunct/>
        <w:topLinePunct w:val="0"/>
        <w:bidi w:val="0"/>
        <w:snapToGrid/>
        <w:spacing w:line="400" w:lineRule="exact"/>
        <w:ind w:firstLine="420" w:firstLineChars="200"/>
        <w:rPr>
          <w:rFonts w:hAnsi="宋体"/>
          <w:color w:val="auto"/>
          <w:highlight w:val="none"/>
        </w:rPr>
      </w:pPr>
      <w:r>
        <w:rPr>
          <w:color w:val="auto"/>
          <w:highlight w:val="none"/>
        </w:rPr>
        <w:t xml:space="preserve">4.4.3 </w:t>
      </w:r>
      <w:r>
        <w:rPr>
          <w:rFonts w:hAnsi="宋体"/>
          <w:color w:val="auto"/>
          <w:highlight w:val="none"/>
        </w:rPr>
        <w:t>联合体牵头人负责与发包人和监理人联系，并接受指示，负责组织联合体各成员</w:t>
      </w:r>
    </w:p>
    <w:p w14:paraId="0CB9A1AC">
      <w:pPr>
        <w:pageBreakBefore w:val="0"/>
        <w:kinsoku/>
        <w:wordWrap/>
        <w:overflowPunct/>
        <w:topLinePunct w:val="0"/>
        <w:bidi w:val="0"/>
        <w:snapToGrid/>
        <w:spacing w:line="400" w:lineRule="exact"/>
        <w:rPr>
          <w:color w:val="auto"/>
          <w:highlight w:val="none"/>
        </w:rPr>
      </w:pPr>
      <w:r>
        <w:rPr>
          <w:rFonts w:hAnsi="宋体"/>
          <w:color w:val="auto"/>
          <w:highlight w:val="none"/>
        </w:rPr>
        <w:t>全面履行合同。</w:t>
      </w:r>
    </w:p>
    <w:p w14:paraId="43E4C8D2">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4.5 承包人项目经理</w:t>
      </w:r>
    </w:p>
    <w:p w14:paraId="5756B606">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4.5.1 </w:t>
      </w:r>
      <w:r>
        <w:rPr>
          <w:rFonts w:hAnsi="宋体"/>
          <w:color w:val="auto"/>
          <w:highlight w:val="none"/>
        </w:rPr>
        <w:t>承包人应按合同约定指派项目经理，并在约定的期限内到职。承包人更换项目经理应事先征得发包人同意，并应在更换</w:t>
      </w:r>
      <w:r>
        <w:rPr>
          <w:color w:val="auto"/>
          <w:highlight w:val="none"/>
        </w:rPr>
        <w:t>14</w:t>
      </w:r>
      <w:r>
        <w:rPr>
          <w:rFonts w:hAnsi="宋体"/>
          <w:color w:val="auto"/>
          <w:highlight w:val="none"/>
        </w:rPr>
        <w:t>天前通知发包人和监理人。承包人项目经理短期离开施工场地，应事先征得监理人同意，并委派代表代行其职责。</w:t>
      </w:r>
    </w:p>
    <w:p w14:paraId="0E61F7A1">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4.5.2 </w:t>
      </w:r>
      <w:r>
        <w:rPr>
          <w:rFonts w:hAnsi="宋体"/>
          <w:color w:val="auto"/>
          <w:highlight w:val="none"/>
        </w:rPr>
        <w:t>承包人项目经理应按合同约定以及监理人按第</w:t>
      </w:r>
      <w:r>
        <w:rPr>
          <w:color w:val="auto"/>
          <w:highlight w:val="none"/>
        </w:rPr>
        <w:t>3.4</w:t>
      </w:r>
      <w:r>
        <w:rPr>
          <w:rFonts w:hAnsi="宋体"/>
          <w:color w:val="auto"/>
          <w:highlight w:val="none"/>
        </w:rPr>
        <w:t>款作出的指示，负责组织合同工程的实施。在情况紧急且无法与监理人取得联系时，可采取保证工程和人员生命财产</w:t>
      </w:r>
      <w:r>
        <w:rPr>
          <w:rFonts w:hint="eastAsia" w:hAnsi="宋体"/>
          <w:color w:val="auto"/>
          <w:highlight w:val="none"/>
          <w:lang w:val="en-US" w:eastAsia="zh-CN"/>
        </w:rPr>
        <w:t>安全</w:t>
      </w:r>
      <w:r>
        <w:rPr>
          <w:rFonts w:hAnsi="宋体"/>
          <w:color w:val="auto"/>
          <w:highlight w:val="none"/>
        </w:rPr>
        <w:t>的紧急措施，并在采取措施后</w:t>
      </w:r>
      <w:r>
        <w:rPr>
          <w:color w:val="auto"/>
          <w:highlight w:val="none"/>
        </w:rPr>
        <w:t>24</w:t>
      </w:r>
      <w:r>
        <w:rPr>
          <w:rFonts w:hAnsi="宋体"/>
          <w:color w:val="auto"/>
          <w:highlight w:val="none"/>
        </w:rPr>
        <w:t>小时内向监理人提交书面报告。</w:t>
      </w:r>
    </w:p>
    <w:p w14:paraId="14DF198A">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4.5.3 </w:t>
      </w:r>
      <w:r>
        <w:rPr>
          <w:rFonts w:hAnsi="宋体"/>
          <w:color w:val="auto"/>
          <w:highlight w:val="none"/>
        </w:rPr>
        <w:t>承包人为履行合同发出的一切函件均应盖有承包人授权的施工场地管理机构章，并由承包人项目经理或其授权代表签字。</w:t>
      </w:r>
    </w:p>
    <w:p w14:paraId="7DC7E9D9">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4.5.4 </w:t>
      </w:r>
      <w:r>
        <w:rPr>
          <w:rFonts w:hAnsi="宋体"/>
          <w:color w:val="auto"/>
          <w:highlight w:val="none"/>
        </w:rPr>
        <w:t>承包人项目经理可以授权其下属人员履行其某项职责，但事先应将这些人员的姓名和授权范围通知监理人。</w:t>
      </w:r>
    </w:p>
    <w:p w14:paraId="7639854A">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4.6 承包人人员的管理</w:t>
      </w:r>
    </w:p>
    <w:p w14:paraId="2E9B962F">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4.6.1 </w:t>
      </w:r>
      <w:r>
        <w:rPr>
          <w:rFonts w:hAnsi="宋体"/>
          <w:color w:val="auto"/>
          <w:highlight w:val="none"/>
        </w:rPr>
        <w:t>承包人应在接到开工通知后</w:t>
      </w:r>
      <w:r>
        <w:rPr>
          <w:color w:val="auto"/>
          <w:highlight w:val="none"/>
        </w:rPr>
        <w:t>28</w:t>
      </w:r>
      <w:r>
        <w:rPr>
          <w:rFonts w:hAnsi="宋体"/>
          <w:color w:val="auto"/>
          <w:highlight w:val="none"/>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33AF2576">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4.6.2 </w:t>
      </w:r>
      <w:r>
        <w:rPr>
          <w:rFonts w:hAnsi="宋体"/>
          <w:color w:val="auto"/>
          <w:highlight w:val="none"/>
        </w:rPr>
        <w:t>为完成合同约定的各项工作，承包人应向施工场地派遣或雇佣足够数量的下列人员：</w:t>
      </w:r>
    </w:p>
    <w:p w14:paraId="0FAAC17A">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1</w:t>
      </w:r>
      <w:r>
        <w:rPr>
          <w:rFonts w:hAnsi="宋体"/>
          <w:color w:val="auto"/>
          <w:highlight w:val="none"/>
        </w:rPr>
        <w:t>）具有相应资格的专业技工和合格的普工；</w:t>
      </w:r>
    </w:p>
    <w:p w14:paraId="7FFB7AFD">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2</w:t>
      </w:r>
      <w:r>
        <w:rPr>
          <w:rFonts w:hAnsi="宋体"/>
          <w:color w:val="auto"/>
          <w:highlight w:val="none"/>
        </w:rPr>
        <w:t>）具有相应施工经验的技术人员；</w:t>
      </w:r>
    </w:p>
    <w:p w14:paraId="5F20D18D">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3</w:t>
      </w:r>
      <w:r>
        <w:rPr>
          <w:rFonts w:hAnsi="宋体"/>
          <w:color w:val="auto"/>
          <w:highlight w:val="none"/>
        </w:rPr>
        <w:t>）具有相应岗位资格的各级管理人员。</w:t>
      </w:r>
    </w:p>
    <w:p w14:paraId="37A744FD">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4.6.3 </w:t>
      </w:r>
      <w:r>
        <w:rPr>
          <w:rFonts w:hAnsi="宋体"/>
          <w:color w:val="auto"/>
          <w:highlight w:val="none"/>
        </w:rPr>
        <w:t>承包人安排在施工场地的主要管理人员和技术骨干应相对稳定。承包人更换主要管理人员和技术骨干时，应取得监理人的同意。</w:t>
      </w:r>
    </w:p>
    <w:p w14:paraId="5C27B458">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4.6.4 </w:t>
      </w:r>
      <w:r>
        <w:rPr>
          <w:rFonts w:hAnsi="宋体"/>
          <w:color w:val="auto"/>
          <w:highlight w:val="none"/>
        </w:rPr>
        <w:t>特殊岗位的工作人员均应持有相应的资格证明，监理人有权随时检查。监理人认为有必要时，可进行现场考核。</w:t>
      </w:r>
    </w:p>
    <w:p w14:paraId="6E0EC3F0">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4.7 </w:t>
      </w:r>
      <w:r>
        <w:rPr>
          <w:rFonts w:hAnsi="宋体"/>
          <w:color w:val="auto"/>
          <w:highlight w:val="none"/>
        </w:rPr>
        <w:t>撤换承包人项目经理和其他人员</w:t>
      </w:r>
    </w:p>
    <w:p w14:paraId="7E251237">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承包人应对其项目经理和其他人员进行有效管理。监理人要求撤换不能胜任本职工作、行为不端或玩忽职守的承包人项目经理和其他人员的，承包人应予以撤换。</w:t>
      </w:r>
    </w:p>
    <w:p w14:paraId="32D7BE44">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4.8 </w:t>
      </w:r>
      <w:r>
        <w:rPr>
          <w:rFonts w:hAnsi="宋体"/>
          <w:color w:val="auto"/>
          <w:highlight w:val="none"/>
        </w:rPr>
        <w:t>保障承包人人员的合法权益。</w:t>
      </w:r>
    </w:p>
    <w:p w14:paraId="17185634">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4.8.1 </w:t>
      </w:r>
      <w:r>
        <w:rPr>
          <w:rFonts w:hAnsi="宋体"/>
          <w:color w:val="auto"/>
          <w:highlight w:val="none"/>
        </w:rPr>
        <w:t>承包人应与其雇佣的人员签订劳动合同，并按时发放工资。</w:t>
      </w:r>
    </w:p>
    <w:p w14:paraId="23CC44A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4.8.2 </w:t>
      </w:r>
      <w:r>
        <w:rPr>
          <w:rFonts w:hAnsi="宋体"/>
          <w:color w:val="auto"/>
          <w:highlight w:val="none"/>
        </w:rPr>
        <w:t>承包人应按劳动法的规定安排工作时间，保证其雇佣人员享有休息和休假的权利。因工程施工的特殊需要占用休假日或延长工作时间的，应不超过法律规定的限度，并按法律规定给予补休或付酬。</w:t>
      </w:r>
    </w:p>
    <w:p w14:paraId="4C1C2134">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4.8.3 </w:t>
      </w:r>
      <w:r>
        <w:rPr>
          <w:rFonts w:hAnsi="宋体"/>
          <w:color w:val="auto"/>
          <w:highlight w:val="none"/>
        </w:rPr>
        <w:t>承包人应为其雇佣人员提供必要的食宿条件，以及符合环境保护和卫生要求的生活环境，在远离城镇的施工场地，还应配备必要的伤病防治和急救的医务人员与医疗设施。</w:t>
      </w:r>
    </w:p>
    <w:p w14:paraId="56E00D0C">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4.8.4 </w:t>
      </w:r>
      <w:r>
        <w:rPr>
          <w:rFonts w:hAnsi="宋体"/>
          <w:color w:val="auto"/>
          <w:highlight w:val="none"/>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4B1E9250">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4.8.5 </w:t>
      </w:r>
      <w:r>
        <w:rPr>
          <w:rFonts w:hAnsi="宋体"/>
          <w:color w:val="auto"/>
          <w:highlight w:val="none"/>
        </w:rPr>
        <w:t>承包人应按有关法律规定和合同约定，为其雇佣人员办理保险。</w:t>
      </w:r>
    </w:p>
    <w:p w14:paraId="67C8481C">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4.8.6 </w:t>
      </w:r>
      <w:r>
        <w:rPr>
          <w:rFonts w:hAnsi="宋体"/>
          <w:color w:val="auto"/>
          <w:highlight w:val="none"/>
        </w:rPr>
        <w:t>承包人应负责处理其雇佣人员因工伤亡事故的善后事宜。</w:t>
      </w:r>
    </w:p>
    <w:p w14:paraId="0C6F87F1">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4.9 工程价款应专款专用</w:t>
      </w:r>
    </w:p>
    <w:p w14:paraId="38DFD9CE">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发包人按合同约定支付给承包人的各项价款应专用于合同工程。</w:t>
      </w:r>
    </w:p>
    <w:p w14:paraId="486D77CD">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4.10 承包人现场查勘</w:t>
      </w:r>
    </w:p>
    <w:p w14:paraId="30BFBC66">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4.10.1 </w:t>
      </w:r>
      <w:r>
        <w:rPr>
          <w:rFonts w:hAnsi="宋体"/>
          <w:color w:val="auto"/>
          <w:highlight w:val="none"/>
        </w:rPr>
        <w:t>发包人应将其持有的现场地质勘探资料、水文气象资料提供给承包人，并对其准确胜负责。但承包人应对其阅读上述有关资料后所作出的解释和推断负责。</w:t>
      </w:r>
    </w:p>
    <w:p w14:paraId="5C725691">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4.10.2 </w:t>
      </w:r>
      <w:r>
        <w:rPr>
          <w:rFonts w:hAnsi="宋体"/>
          <w:color w:val="auto"/>
          <w:highlight w:val="none"/>
        </w:rPr>
        <w:t>承包人应对施工场地和周围环境进行查勘，并收集有关地质、水文、气象条件、交通条件、风俗习惯以及其他为完成合同工作有关的当地资料。在全部合同工作中，应视为承包人己充分估计了应承担的责任和风险。</w:t>
      </w:r>
    </w:p>
    <w:p w14:paraId="5342F845">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4.11 不利物质条件</w:t>
      </w:r>
    </w:p>
    <w:p w14:paraId="65EEF904">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4.11.1</w:t>
      </w:r>
      <w:r>
        <w:rPr>
          <w:rFonts w:hAnsi="宋体"/>
          <w:color w:val="auto"/>
          <w:highlight w:val="none"/>
        </w:rPr>
        <w:t>除专用合同条款另有约定外，不利物质条件是指在施工中遭遇不可预见的外界障碍或自然条件造成施工受阻。</w:t>
      </w:r>
    </w:p>
    <w:p w14:paraId="4880175F">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4.11.2 </w:t>
      </w:r>
      <w:r>
        <w:rPr>
          <w:rFonts w:hAnsi="宋体"/>
          <w:color w:val="auto"/>
          <w:highlight w:val="none"/>
        </w:rPr>
        <w:t>承包人遇到不利物质条件时，应采取适应不利物质条件的合理措施继续施工，并及时通知监理人。承包人有权根据第</w:t>
      </w:r>
      <w:r>
        <w:rPr>
          <w:color w:val="auto"/>
          <w:highlight w:val="none"/>
        </w:rPr>
        <w:t>23.1</w:t>
      </w:r>
      <w:r>
        <w:rPr>
          <w:rFonts w:hAnsi="宋体"/>
          <w:color w:val="auto"/>
          <w:highlight w:val="none"/>
        </w:rPr>
        <w:t>款的约定，要求延长工期及增加费用。监理人收到此类要求后，应在分析上述外界障碍或自然条件是否不可预见及不可预见程度的基础上，按照通用合同条款第</w:t>
      </w:r>
      <w:r>
        <w:rPr>
          <w:color w:val="auto"/>
          <w:highlight w:val="none"/>
        </w:rPr>
        <w:t>15</w:t>
      </w:r>
      <w:r>
        <w:rPr>
          <w:rFonts w:hAnsi="宋体"/>
          <w:color w:val="auto"/>
          <w:highlight w:val="none"/>
        </w:rPr>
        <w:t>条的约定办理。</w:t>
      </w:r>
    </w:p>
    <w:p w14:paraId="40A15512">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bookmarkStart w:id="51" w:name="_Toc265408494"/>
      <w:r>
        <w:rPr>
          <w:rFonts w:ascii="Times New Roman" w:hAnsi="Times New Roman" w:eastAsia="宋体" w:cs="Times New Roman"/>
          <w:b/>
          <w:bCs/>
          <w:color w:val="auto"/>
          <w:sz w:val="24"/>
          <w:szCs w:val="24"/>
          <w:highlight w:val="none"/>
          <w:lang w:val="en-US" w:eastAsia="zh-CN"/>
        </w:rPr>
        <w:t>5  材料和工程设备</w:t>
      </w:r>
      <w:bookmarkEnd w:id="51"/>
    </w:p>
    <w:p w14:paraId="7111AA51">
      <w:pPr>
        <w:pageBreakBefore w:val="0"/>
        <w:kinsoku/>
        <w:wordWrap/>
        <w:overflowPunct/>
        <w:topLinePunct w:val="0"/>
        <w:bidi w:val="0"/>
        <w:snapToGrid/>
        <w:spacing w:line="400" w:lineRule="exact"/>
        <w:ind w:firstLine="482" w:firstLineChars="200"/>
        <w:rPr>
          <w:color w:val="auto"/>
          <w:highlight w:val="none"/>
        </w:rPr>
      </w:pPr>
      <w:r>
        <w:rPr>
          <w:rFonts w:ascii="Times New Roman" w:hAnsi="Times New Roman" w:eastAsia="宋体" w:cs="Times New Roman"/>
          <w:b/>
          <w:bCs/>
          <w:color w:val="auto"/>
          <w:sz w:val="24"/>
          <w:szCs w:val="24"/>
          <w:highlight w:val="none"/>
          <w:lang w:val="en-US" w:eastAsia="zh-CN"/>
        </w:rPr>
        <w:t>5.1 承包人提供的材料和工程设备</w:t>
      </w:r>
    </w:p>
    <w:p w14:paraId="62439867">
      <w:pPr>
        <w:pageBreakBefore w:val="0"/>
        <w:kinsoku/>
        <w:wordWrap/>
        <w:overflowPunct/>
        <w:topLinePunct w:val="0"/>
        <w:bidi w:val="0"/>
        <w:snapToGrid/>
        <w:spacing w:line="400" w:lineRule="exact"/>
        <w:ind w:firstLine="420" w:firstLineChars="200"/>
        <w:rPr>
          <w:rFonts w:hAnsi="宋体"/>
          <w:color w:val="auto"/>
          <w:highlight w:val="none"/>
        </w:rPr>
      </w:pPr>
      <w:r>
        <w:rPr>
          <w:color w:val="auto"/>
          <w:highlight w:val="none"/>
        </w:rPr>
        <w:t xml:space="preserve">5.1.1 </w:t>
      </w:r>
      <w:r>
        <w:rPr>
          <w:rFonts w:hAnsi="宋体"/>
          <w:color w:val="auto"/>
          <w:highlight w:val="none"/>
        </w:rPr>
        <w:t>除第</w:t>
      </w:r>
      <w:r>
        <w:rPr>
          <w:color w:val="auto"/>
          <w:highlight w:val="none"/>
        </w:rPr>
        <w:t>5.2</w:t>
      </w:r>
      <w:r>
        <w:rPr>
          <w:rFonts w:hAnsi="宋体"/>
          <w:color w:val="auto"/>
          <w:highlight w:val="none"/>
        </w:rPr>
        <w:t>款约定由发包人提供的材料和工程设备外，承包人负责采购、运输和保</w:t>
      </w:r>
    </w:p>
    <w:p w14:paraId="695C2315">
      <w:pPr>
        <w:pageBreakBefore w:val="0"/>
        <w:kinsoku/>
        <w:wordWrap/>
        <w:overflowPunct/>
        <w:topLinePunct w:val="0"/>
        <w:bidi w:val="0"/>
        <w:snapToGrid/>
        <w:spacing w:line="400" w:lineRule="exact"/>
        <w:rPr>
          <w:color w:val="auto"/>
          <w:highlight w:val="none"/>
        </w:rPr>
      </w:pPr>
      <w:r>
        <w:rPr>
          <w:rFonts w:hAnsi="宋体"/>
          <w:color w:val="auto"/>
          <w:highlight w:val="none"/>
        </w:rPr>
        <w:t>管本合同工作所需的材料和工程设备。承包人应对其采购的材料和工程设备负责。</w:t>
      </w:r>
    </w:p>
    <w:p w14:paraId="731B8957">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5.1.2 </w:t>
      </w:r>
      <w:r>
        <w:rPr>
          <w:rFonts w:hAnsi="宋体"/>
          <w:color w:val="auto"/>
          <w:highlight w:val="none"/>
        </w:rPr>
        <w:t>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354A3353">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5.1.3 </w:t>
      </w:r>
      <w:r>
        <w:rPr>
          <w:rFonts w:hAnsi="宋体"/>
          <w:color w:val="auto"/>
          <w:highlight w:val="none"/>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33425DAC">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5.2 发包人提供的材料和工程设备</w:t>
      </w:r>
    </w:p>
    <w:p w14:paraId="6F1EA83D">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5.2.1 </w:t>
      </w:r>
      <w:r>
        <w:rPr>
          <w:rFonts w:hAnsi="宋体"/>
          <w:color w:val="auto"/>
          <w:highlight w:val="none"/>
        </w:rPr>
        <w:t>发包人提供的材料和工程设备，应在专用合同条款中写明材料和工程设备的名称、规格、数量、价格、交货方式、交货地点和计划交货日期等。</w:t>
      </w:r>
    </w:p>
    <w:p w14:paraId="0C1BDE86">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5.2.2 </w:t>
      </w:r>
      <w:r>
        <w:rPr>
          <w:rFonts w:hAnsi="宋体"/>
          <w:color w:val="auto"/>
          <w:highlight w:val="none"/>
        </w:rPr>
        <w:t>承包人应根据合同进度计划的安排，向监理人报送要求发包人交货的日期计划。发包人应按照监理人与合同双方当事人商定的交货日期，向承包人提交材料和工程设备。</w:t>
      </w:r>
    </w:p>
    <w:p w14:paraId="62A7BABB">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5.2.3 </w:t>
      </w:r>
      <w:r>
        <w:rPr>
          <w:rFonts w:hAnsi="宋体"/>
          <w:color w:val="auto"/>
          <w:highlight w:val="none"/>
        </w:rPr>
        <w:t>发包人应在材料和工程设备到货７天前通知承包人，承包人应会同监理人在约定的时间内，赴交货地点共同进行验收。发包人提供的材料和工程设备运至交货地点验收后，由承包人负责接收、卸货、运输和保管。</w:t>
      </w:r>
    </w:p>
    <w:p w14:paraId="609E62F6">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5.2.4 </w:t>
      </w:r>
      <w:r>
        <w:rPr>
          <w:rFonts w:hAnsi="宋体"/>
          <w:color w:val="auto"/>
          <w:highlight w:val="none"/>
        </w:rPr>
        <w:t>发包人要求向承包人提前交货的，承包人不得拒绝，但发包人应承担承包人由此增加的费用。</w:t>
      </w:r>
    </w:p>
    <w:p w14:paraId="605B2321">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5.2.5 </w:t>
      </w:r>
      <w:r>
        <w:rPr>
          <w:rFonts w:hAnsi="宋体"/>
          <w:color w:val="auto"/>
          <w:highlight w:val="none"/>
        </w:rPr>
        <w:t>承包人要求更改交货日期或地点的，应事先报请监理人批准。由于承包人要求更改交货时间或地点所增加的费用和（或）工期延误由承包人承担。</w:t>
      </w:r>
    </w:p>
    <w:p w14:paraId="0E9DF833">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5.2.6 </w:t>
      </w:r>
      <w:r>
        <w:rPr>
          <w:rFonts w:hAnsi="宋体"/>
          <w:color w:val="auto"/>
          <w:highlight w:val="none"/>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1E7D7F35">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5.3 材料和工程设备专用于合同工程</w:t>
      </w:r>
    </w:p>
    <w:p w14:paraId="264C78F4">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5.3.1 </w:t>
      </w:r>
      <w:r>
        <w:rPr>
          <w:rFonts w:hAnsi="宋体"/>
          <w:color w:val="auto"/>
          <w:highlight w:val="none"/>
        </w:rPr>
        <w:t>运入施工场地的材料、工程设备，包括备品备件、安装专用工器具与随机资料，必须专用于合同工程，未经监理人同意，承包人不得运出施工场地或挪作他用。</w:t>
      </w:r>
    </w:p>
    <w:p w14:paraId="16ED0FFA">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5.3.2 </w:t>
      </w:r>
      <w:r>
        <w:rPr>
          <w:rFonts w:hAnsi="宋体"/>
          <w:color w:val="auto"/>
          <w:highlight w:val="none"/>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25DC3521">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5.4 禁止使用不合格的材料和工程设备</w:t>
      </w:r>
    </w:p>
    <w:p w14:paraId="03959B81">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5.4.1 </w:t>
      </w:r>
      <w:r>
        <w:rPr>
          <w:rFonts w:hAnsi="宋体"/>
          <w:color w:val="auto"/>
          <w:highlight w:val="none"/>
        </w:rPr>
        <w:t>监理人有权拒绝承包人提供的不合格材料或工程设备，并要求承包人立即进行更换。监理人应在更换后再次进行检查和检验，由此增加的费用和（或）工期延误由承包人承担。</w:t>
      </w:r>
    </w:p>
    <w:p w14:paraId="06E7244C">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5.4.2 </w:t>
      </w:r>
      <w:r>
        <w:rPr>
          <w:rFonts w:hAnsi="宋体"/>
          <w:color w:val="auto"/>
          <w:highlight w:val="none"/>
        </w:rPr>
        <w:t>监理人发现承包人使用了不合格的材料和工程设备，应即时发出指示要求承包人立即改正，并禁止在工程中继续使用不合格的材料和工程设备。</w:t>
      </w:r>
    </w:p>
    <w:p w14:paraId="1EAE34C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5.4.3 </w:t>
      </w:r>
      <w:r>
        <w:rPr>
          <w:rFonts w:hAnsi="宋体"/>
          <w:color w:val="auto"/>
          <w:highlight w:val="none"/>
        </w:rPr>
        <w:t>发包人提供的材料或工程设备不符合合同要求的，承包人有权拒绝，并可要求发包人更换，由此增加的费用和（或）工期延误由发包人承担。</w:t>
      </w:r>
    </w:p>
    <w:p w14:paraId="56DE41A9">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bookmarkStart w:id="52" w:name="_Toc265408495"/>
      <w:r>
        <w:rPr>
          <w:rFonts w:ascii="Times New Roman" w:hAnsi="Times New Roman" w:eastAsia="宋体" w:cs="Times New Roman"/>
          <w:b/>
          <w:bCs/>
          <w:color w:val="auto"/>
          <w:sz w:val="24"/>
          <w:szCs w:val="24"/>
          <w:highlight w:val="none"/>
          <w:lang w:val="en-US" w:eastAsia="zh-CN"/>
        </w:rPr>
        <w:t>6  施工设备和临时设施</w:t>
      </w:r>
      <w:bookmarkEnd w:id="52"/>
    </w:p>
    <w:p w14:paraId="39664A7C">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6.1 承包人提供的施工设备和临时设施</w:t>
      </w:r>
    </w:p>
    <w:p w14:paraId="6D10E18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6.1.1 </w:t>
      </w:r>
      <w:r>
        <w:rPr>
          <w:rFonts w:hAnsi="宋体"/>
          <w:color w:val="auto"/>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22436BEF">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6.1.2 </w:t>
      </w:r>
      <w:r>
        <w:rPr>
          <w:rFonts w:hAnsi="宋体"/>
          <w:color w:val="auto"/>
          <w:highlight w:val="none"/>
        </w:rPr>
        <w:t>除专用合同条款另有约定外，承包人应自行承担修建临时设施的费用，需要临时占地的，应由发包人办理申请手续并承担相应费用。</w:t>
      </w:r>
    </w:p>
    <w:p w14:paraId="19178407">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6.2 发包人提供的施工设备和临时设施</w:t>
      </w:r>
    </w:p>
    <w:p w14:paraId="74FEA6D8">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发包人提供的施工设备或临时设施在专用合同条款中约定。</w:t>
      </w:r>
    </w:p>
    <w:p w14:paraId="3E8639BF">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6.3 要求承包人增加或更换施工设备</w:t>
      </w:r>
    </w:p>
    <w:p w14:paraId="51C7BD19">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承包人使用的施工设备不能满足合同进度计划和（或）质量要求时，监理人有权要求承包人增加或更换施工设备，承包人应及时增加或更换，由此增加的费用和（或）工期延误由承包人承担。</w:t>
      </w:r>
    </w:p>
    <w:p w14:paraId="38AE4DA6">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6.4 施工设备和临时设施专用于合同工程</w:t>
      </w:r>
    </w:p>
    <w:p w14:paraId="6662E065">
      <w:pPr>
        <w:pageBreakBefore w:val="0"/>
        <w:kinsoku/>
        <w:wordWrap/>
        <w:overflowPunct/>
        <w:topLinePunct w:val="0"/>
        <w:bidi w:val="0"/>
        <w:snapToGrid/>
        <w:spacing w:line="400" w:lineRule="exact"/>
        <w:ind w:firstLine="420" w:firstLineChars="200"/>
        <w:rPr>
          <w:rFonts w:hAnsi="宋体"/>
          <w:color w:val="auto"/>
          <w:highlight w:val="none"/>
        </w:rPr>
      </w:pPr>
      <w:r>
        <w:rPr>
          <w:color w:val="auto"/>
          <w:highlight w:val="none"/>
        </w:rPr>
        <w:t xml:space="preserve">6.4.1 </w:t>
      </w:r>
      <w:r>
        <w:rPr>
          <w:rFonts w:hAnsi="宋体"/>
          <w:color w:val="auto"/>
          <w:highlight w:val="none"/>
        </w:rPr>
        <w:t>除合同另有约定外，运入施工场地的所有施工设备以及在施工场地建设的临时设</w:t>
      </w:r>
    </w:p>
    <w:p w14:paraId="62ED45FF">
      <w:pPr>
        <w:pageBreakBefore w:val="0"/>
        <w:kinsoku/>
        <w:wordWrap/>
        <w:overflowPunct/>
        <w:topLinePunct w:val="0"/>
        <w:bidi w:val="0"/>
        <w:snapToGrid/>
        <w:spacing w:line="400" w:lineRule="exact"/>
        <w:rPr>
          <w:rFonts w:hAnsi="宋体"/>
          <w:color w:val="auto"/>
          <w:highlight w:val="none"/>
        </w:rPr>
      </w:pPr>
      <w:r>
        <w:rPr>
          <w:rFonts w:hAnsi="宋体"/>
          <w:color w:val="auto"/>
          <w:highlight w:val="none"/>
        </w:rPr>
        <w:t>施应专用于合同工程。未经监理人同意，不得将上述施工设备和临时设施中的任何部分运出</w:t>
      </w:r>
    </w:p>
    <w:p w14:paraId="29C54505">
      <w:pPr>
        <w:pageBreakBefore w:val="0"/>
        <w:kinsoku/>
        <w:wordWrap/>
        <w:overflowPunct/>
        <w:topLinePunct w:val="0"/>
        <w:bidi w:val="0"/>
        <w:snapToGrid/>
        <w:spacing w:line="400" w:lineRule="exact"/>
        <w:rPr>
          <w:color w:val="auto"/>
          <w:highlight w:val="none"/>
        </w:rPr>
      </w:pPr>
      <w:r>
        <w:rPr>
          <w:rFonts w:hAnsi="宋体"/>
          <w:color w:val="auto"/>
          <w:highlight w:val="none"/>
        </w:rPr>
        <w:t>施工场地或挪作他用。</w:t>
      </w:r>
    </w:p>
    <w:p w14:paraId="7A7A6E32">
      <w:pPr>
        <w:pageBreakBefore w:val="0"/>
        <w:kinsoku/>
        <w:wordWrap/>
        <w:overflowPunct/>
        <w:topLinePunct w:val="0"/>
        <w:bidi w:val="0"/>
        <w:snapToGrid/>
        <w:spacing w:line="400" w:lineRule="exact"/>
        <w:ind w:firstLine="420" w:firstLineChars="200"/>
        <w:rPr>
          <w:rFonts w:hAnsi="宋体"/>
          <w:color w:val="auto"/>
          <w:highlight w:val="none"/>
        </w:rPr>
      </w:pPr>
      <w:r>
        <w:rPr>
          <w:color w:val="auto"/>
          <w:highlight w:val="none"/>
        </w:rPr>
        <w:t xml:space="preserve">6.4.2 </w:t>
      </w:r>
      <w:r>
        <w:rPr>
          <w:rFonts w:hAnsi="宋体"/>
          <w:color w:val="auto"/>
          <w:highlight w:val="none"/>
        </w:rPr>
        <w:t>经监理人同意，承包人可根据合同进度计划撤走闲置的施工设备。</w:t>
      </w:r>
      <w:bookmarkStart w:id="53" w:name="_Toc265408496"/>
    </w:p>
    <w:p w14:paraId="34378ABF">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7  交通运输</w:t>
      </w:r>
      <w:bookmarkEnd w:id="53"/>
    </w:p>
    <w:p w14:paraId="3CE8D9D5">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7.1 道路通行权和场外设施</w:t>
      </w:r>
    </w:p>
    <w:p w14:paraId="758D8500">
      <w:pPr>
        <w:pageBreakBefore w:val="0"/>
        <w:kinsoku/>
        <w:wordWrap/>
        <w:overflowPunct/>
        <w:topLinePunct w:val="0"/>
        <w:bidi w:val="0"/>
        <w:snapToGrid/>
        <w:spacing w:line="400" w:lineRule="exact"/>
        <w:ind w:firstLine="420" w:firstLineChars="200"/>
        <w:rPr>
          <w:color w:val="auto"/>
          <w:kern w:val="0"/>
          <w:sz w:val="20"/>
          <w:highlight w:val="none"/>
        </w:rPr>
      </w:pPr>
      <w:r>
        <w:rPr>
          <w:rFonts w:hAnsi="宋体"/>
          <w:color w:val="auto"/>
          <w:highlight w:val="none"/>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29182DD0">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7.2 场内施工道路</w:t>
      </w:r>
    </w:p>
    <w:p w14:paraId="554E87C7">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7.2.1 </w:t>
      </w:r>
      <w:r>
        <w:rPr>
          <w:rFonts w:hAnsi="宋体"/>
          <w:color w:val="auto"/>
          <w:highlight w:val="none"/>
        </w:rPr>
        <w:t>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14:paraId="1D81CC2D">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7.2.2 </w:t>
      </w:r>
      <w:r>
        <w:rPr>
          <w:rFonts w:hAnsi="宋体"/>
          <w:color w:val="auto"/>
          <w:highlight w:val="none"/>
        </w:rPr>
        <w:t>承包人修建的临时道路和交通设施，应免费提供发包人、监理人以及与本合同有关的其他承包人使用。</w:t>
      </w:r>
    </w:p>
    <w:p w14:paraId="392D18F7">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7.3 </w:t>
      </w:r>
      <w:r>
        <w:rPr>
          <w:rFonts w:hAnsi="宋体"/>
          <w:color w:val="auto"/>
          <w:highlight w:val="none"/>
        </w:rPr>
        <w:t>场外交通</w:t>
      </w:r>
    </w:p>
    <w:p w14:paraId="7FB5622E">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7.3.1 </w:t>
      </w:r>
      <w:r>
        <w:rPr>
          <w:rFonts w:hAnsi="宋体"/>
          <w:color w:val="auto"/>
          <w:highlight w:val="none"/>
        </w:rPr>
        <w:t>承包人车辆外出行驶所需的场外公共道路的通行费、养路费和税款等由承包人承担。</w:t>
      </w:r>
    </w:p>
    <w:p w14:paraId="10B74F70">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7.3.2 </w:t>
      </w:r>
      <w:r>
        <w:rPr>
          <w:rFonts w:hAnsi="宋体"/>
          <w:color w:val="auto"/>
          <w:highlight w:val="none"/>
        </w:rPr>
        <w:t>承包人应遵守有关交通法规，严格按照道路和桥梁的限制荷重安全行驶，并服从交通管理部门的检查和监督。</w:t>
      </w:r>
    </w:p>
    <w:p w14:paraId="6658E125">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7.4 超大件和超重件的运输</w:t>
      </w:r>
    </w:p>
    <w:p w14:paraId="706CD66F">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4368ABC">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7.5 道路和桥梁的损坏责任</w:t>
      </w:r>
    </w:p>
    <w:p w14:paraId="0ADF3555">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因承包人运输造成施工场地内外公共道路和桥梁损坏的，由承包人承担修复损坏的全部费用和可能引起的赔偿。</w:t>
      </w:r>
    </w:p>
    <w:p w14:paraId="2A0007B5">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7.6 水路和航空运输</w:t>
      </w:r>
    </w:p>
    <w:p w14:paraId="20A682CE">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本条上述各款的内容适用于水路运输和航空运输，其中</w:t>
      </w:r>
      <w:r>
        <w:rPr>
          <w:color w:val="auto"/>
          <w:highlight w:val="none"/>
        </w:rPr>
        <w:t>“</w:t>
      </w:r>
      <w:r>
        <w:rPr>
          <w:rFonts w:hAnsi="宋体"/>
          <w:color w:val="auto"/>
          <w:highlight w:val="none"/>
        </w:rPr>
        <w:t>道路</w:t>
      </w:r>
      <w:r>
        <w:rPr>
          <w:color w:val="auto"/>
          <w:highlight w:val="none"/>
        </w:rPr>
        <w:t>”</w:t>
      </w:r>
      <w:r>
        <w:rPr>
          <w:rFonts w:hAnsi="宋体"/>
          <w:color w:val="auto"/>
          <w:highlight w:val="none"/>
        </w:rPr>
        <w:t>一词的涵义包括河道、航线、船闸、机场、码头、堤防以及水路或航空运输中其他相似结构物；</w:t>
      </w:r>
      <w:r>
        <w:rPr>
          <w:color w:val="auto"/>
          <w:highlight w:val="none"/>
        </w:rPr>
        <w:t>“</w:t>
      </w:r>
      <w:r>
        <w:rPr>
          <w:rFonts w:hAnsi="宋体"/>
          <w:color w:val="auto"/>
          <w:highlight w:val="none"/>
        </w:rPr>
        <w:t>车辆</w:t>
      </w:r>
      <w:r>
        <w:rPr>
          <w:color w:val="auto"/>
          <w:highlight w:val="none"/>
        </w:rPr>
        <w:t>”</w:t>
      </w:r>
      <w:r>
        <w:rPr>
          <w:rFonts w:hAnsi="宋体"/>
          <w:color w:val="auto"/>
          <w:highlight w:val="none"/>
        </w:rPr>
        <w:t>一词的涯义包括船舶和飞机等。</w:t>
      </w:r>
    </w:p>
    <w:p w14:paraId="6E7F6B2E">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bookmarkStart w:id="54" w:name="_Toc265408497"/>
      <w:r>
        <w:rPr>
          <w:rFonts w:ascii="Times New Roman" w:hAnsi="Times New Roman" w:eastAsia="宋体" w:cs="Times New Roman"/>
          <w:b/>
          <w:bCs/>
          <w:color w:val="auto"/>
          <w:sz w:val="24"/>
          <w:szCs w:val="24"/>
          <w:highlight w:val="none"/>
          <w:lang w:val="en-US" w:eastAsia="zh-CN"/>
        </w:rPr>
        <w:t>8  测量放线</w:t>
      </w:r>
      <w:bookmarkEnd w:id="54"/>
    </w:p>
    <w:p w14:paraId="482E4E9B">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8.1 施工控制网</w:t>
      </w:r>
    </w:p>
    <w:p w14:paraId="72BD4735">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8.1.1 </w:t>
      </w:r>
      <w:r>
        <w:rPr>
          <w:rFonts w:hAnsi="宋体"/>
          <w:color w:val="auto"/>
          <w:highlight w:val="none"/>
        </w:rPr>
        <w:t>除专用合同条款另有约定外，施工控制网由承包人负责测设，发包人应在本合同协议书签订后的</w:t>
      </w:r>
      <w:r>
        <w:rPr>
          <w:color w:val="auto"/>
          <w:highlight w:val="none"/>
        </w:rPr>
        <w:t>14</w:t>
      </w:r>
      <w:r>
        <w:rPr>
          <w:rFonts w:hAnsi="宋体"/>
          <w:color w:val="auto"/>
          <w:highlight w:val="none"/>
        </w:rPr>
        <w:t>天内，向承包人提供测量基准点、基准线和水准点及其相关资料。承包人应在收到上述资料后的</w:t>
      </w:r>
      <w:r>
        <w:rPr>
          <w:color w:val="auto"/>
          <w:highlight w:val="none"/>
        </w:rPr>
        <w:t>28</w:t>
      </w:r>
      <w:r>
        <w:rPr>
          <w:rFonts w:hAnsi="宋体"/>
          <w:color w:val="auto"/>
          <w:highlight w:val="none"/>
        </w:rPr>
        <w:t>天内，将施测的施工控制网资料提交监理人审批。监理人应在收到报批件后的</w:t>
      </w:r>
      <w:r>
        <w:rPr>
          <w:color w:val="auto"/>
          <w:highlight w:val="none"/>
        </w:rPr>
        <w:t>14</w:t>
      </w:r>
      <w:r>
        <w:rPr>
          <w:rFonts w:hAnsi="宋体"/>
          <w:color w:val="auto"/>
          <w:highlight w:val="none"/>
        </w:rPr>
        <w:t>天内批复承包人。</w:t>
      </w:r>
    </w:p>
    <w:p w14:paraId="70326B13">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8.1.2 </w:t>
      </w:r>
      <w:r>
        <w:rPr>
          <w:rFonts w:hAnsi="宋体"/>
          <w:color w:val="auto"/>
          <w:highlight w:val="none"/>
        </w:rPr>
        <w:t>承包人应负责管理施工控制网点。施工控制网点丢失或损坏的，承包人应及时修复。承包人应承担施工控制网点的管理与修复费用，并在工程竣工后将施工控制网点移交发包人。</w:t>
      </w:r>
    </w:p>
    <w:p w14:paraId="57345670">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8.2 施工测量</w:t>
      </w:r>
    </w:p>
    <w:p w14:paraId="77F56A78">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8.2.1 </w:t>
      </w:r>
      <w:r>
        <w:rPr>
          <w:rFonts w:hAnsi="宋体"/>
          <w:color w:val="auto"/>
          <w:highlight w:val="none"/>
        </w:rPr>
        <w:t>承包人应负责施工过程中的全部施工测量放线工作，并配置合格的人员、仪器、设备和其他物品。</w:t>
      </w:r>
    </w:p>
    <w:p w14:paraId="566E361B">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8.2.2 </w:t>
      </w:r>
      <w:r>
        <w:rPr>
          <w:rFonts w:hAnsi="宋体"/>
          <w:color w:val="auto"/>
          <w:highlight w:val="none"/>
        </w:rPr>
        <w:t>监理人可以指示承包人进行抽样复测，当复测中发现错误或出现超过合同约定的误差时，承包人应按监理人指示进行修正或补测，并承担相应的复测费用。</w:t>
      </w:r>
    </w:p>
    <w:p w14:paraId="7599FDD1">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8.3 基准资料错误的责任</w:t>
      </w:r>
    </w:p>
    <w:p w14:paraId="18120984">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79C17D4B">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8.4 监理人使用施工控制网</w:t>
      </w:r>
    </w:p>
    <w:p w14:paraId="2F18B1A0">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监理人需要使用施工控制网的，承包人应提供必要的协助，发包人不再为此支付费用。</w:t>
      </w:r>
    </w:p>
    <w:p w14:paraId="507A6AF0">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8.5 补充地质勘探</w:t>
      </w:r>
    </w:p>
    <w:p w14:paraId="637A69C2">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14:paraId="2A2BA384">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bookmarkStart w:id="55" w:name="_Toc265408498"/>
      <w:r>
        <w:rPr>
          <w:rFonts w:ascii="Times New Roman" w:hAnsi="Times New Roman" w:eastAsia="宋体" w:cs="Times New Roman"/>
          <w:b/>
          <w:bCs/>
          <w:color w:val="auto"/>
          <w:sz w:val="24"/>
          <w:szCs w:val="24"/>
          <w:highlight w:val="none"/>
          <w:lang w:val="en-US" w:eastAsia="zh-CN"/>
        </w:rPr>
        <w:t>9  施工安全、治安保卫和环境保护</w:t>
      </w:r>
      <w:bookmarkEnd w:id="55"/>
    </w:p>
    <w:p w14:paraId="5CFC22F7">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9.1 发包人的施工安全责任</w:t>
      </w:r>
    </w:p>
    <w:p w14:paraId="5AD1D258">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9.1.1 </w:t>
      </w:r>
      <w:r>
        <w:rPr>
          <w:rFonts w:hAnsi="宋体"/>
          <w:color w:val="auto"/>
          <w:highlight w:val="none"/>
        </w:rPr>
        <w:t>　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0EEB31D6">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9.1.2 </w:t>
      </w:r>
      <w:r>
        <w:rPr>
          <w:rFonts w:hAnsi="宋体"/>
          <w:color w:val="auto"/>
          <w:highlight w:val="none"/>
        </w:rPr>
        <w:t>发包人应对其现场机构雇佣的全部人员的工伤事故承担责任，但由于承包人原因造成发包人人员工伤的，应由承包人承担责任。</w:t>
      </w:r>
    </w:p>
    <w:p w14:paraId="45EB0BB3">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9.1.3 </w:t>
      </w:r>
      <w:r>
        <w:rPr>
          <w:rFonts w:hAnsi="宋体"/>
          <w:color w:val="auto"/>
          <w:highlight w:val="none"/>
        </w:rPr>
        <w:t>发包人应负责赔偿以下各种情况造成的第三者人身伤亡和财产损失：</w:t>
      </w:r>
    </w:p>
    <w:p w14:paraId="2AEA605F">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l</w:t>
      </w:r>
      <w:r>
        <w:rPr>
          <w:rFonts w:hAnsi="宋体"/>
          <w:color w:val="auto"/>
          <w:highlight w:val="none"/>
        </w:rPr>
        <w:t>）工程或工程的任何部分对土地的占用所造成的第三者财产损失；</w:t>
      </w:r>
    </w:p>
    <w:p w14:paraId="7E18FA71">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2</w:t>
      </w:r>
      <w:r>
        <w:rPr>
          <w:rFonts w:hAnsi="宋体"/>
          <w:color w:val="auto"/>
          <w:highlight w:val="none"/>
        </w:rPr>
        <w:t>）由于发包人原因在施工场地及其毗邻地带造成的第三者人身伤亡和财产损失。</w:t>
      </w:r>
    </w:p>
    <w:p w14:paraId="0821E6FD">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9.1.4 </w:t>
      </w:r>
      <w:r>
        <w:rPr>
          <w:rFonts w:hAnsi="宋体"/>
          <w:color w:val="auto"/>
          <w:highlight w:val="none"/>
        </w:rPr>
        <w:t>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26C76F88">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9.1.5 </w:t>
      </w:r>
      <w:r>
        <w:rPr>
          <w:rFonts w:hAnsi="宋体"/>
          <w:color w:val="auto"/>
          <w:highlight w:val="none"/>
        </w:rPr>
        <w:t>发包人按照已标价工程量清单所列金额和合同约定的计量支付规定，支付安全作业环境及安全施工措施所需费用。</w:t>
      </w:r>
    </w:p>
    <w:p w14:paraId="3A6B7DB5">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9.1.6 </w:t>
      </w:r>
      <w:r>
        <w:rPr>
          <w:rFonts w:hAnsi="宋体"/>
          <w:color w:val="auto"/>
          <w:highlight w:val="none"/>
        </w:rPr>
        <w:t>发包人负责组织工程参建单位编制保证安全生产的措施方案。工程开工前，就落实保证安全生产的措施进行全面系统的布置，进一步明确承包人的安全生产责任。</w:t>
      </w:r>
    </w:p>
    <w:p w14:paraId="4DF92267">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9.1.7 </w:t>
      </w:r>
      <w:r>
        <w:rPr>
          <w:rFonts w:hAnsi="宋体"/>
          <w:color w:val="auto"/>
          <w:highlight w:val="none"/>
        </w:rPr>
        <w:t>发包人负责在拆除工程和爆破工程施工</w:t>
      </w:r>
      <w:r>
        <w:rPr>
          <w:color w:val="auto"/>
          <w:highlight w:val="none"/>
        </w:rPr>
        <w:t>14</w:t>
      </w:r>
      <w:r>
        <w:rPr>
          <w:rFonts w:hAnsi="宋体"/>
          <w:color w:val="auto"/>
          <w:highlight w:val="none"/>
        </w:rPr>
        <w:t>天前向有关部门或机构报送相关备案资料。</w:t>
      </w:r>
    </w:p>
    <w:p w14:paraId="21875BF3">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9.2 承包人的施工安全责任</w:t>
      </w:r>
    </w:p>
    <w:p w14:paraId="215E0737">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9.2.1 </w:t>
      </w:r>
      <w:r>
        <w:rPr>
          <w:rFonts w:hAnsi="宋体"/>
          <w:color w:val="auto"/>
          <w:highlight w:val="none"/>
        </w:rPr>
        <w:t>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461B67E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9.2.2 </w:t>
      </w:r>
      <w:r>
        <w:rPr>
          <w:rFonts w:hAnsi="宋体"/>
          <w:color w:val="auto"/>
          <w:highlight w:val="none"/>
        </w:rPr>
        <w:t>承包人应加强施工作业安全管理，特别应加强易燃、易爆材料、火工器材、有毒与腐蚀性材料和其他危险品的管理，以及对爆破作业和地下工程施工等危险作业的管理。</w:t>
      </w:r>
    </w:p>
    <w:p w14:paraId="71DF3041">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9.2.3 </w:t>
      </w:r>
      <w:r>
        <w:rPr>
          <w:rFonts w:hAnsi="宋体"/>
          <w:color w:val="auto"/>
          <w:highlight w:val="none"/>
        </w:rPr>
        <w:t>承包人应严格按照国家安全标准制定施工安全操作规程，配备必要的安全生产和劳动保护设施，加强对承包人人员的安全教育，并发放安全工作手册和劳动保护用具。</w:t>
      </w:r>
    </w:p>
    <w:p w14:paraId="5D10A96E">
      <w:pPr>
        <w:pageBreakBefore w:val="0"/>
        <w:kinsoku/>
        <w:wordWrap/>
        <w:overflowPunct/>
        <w:topLinePunct w:val="0"/>
        <w:bidi w:val="0"/>
        <w:snapToGrid/>
        <w:spacing w:line="400" w:lineRule="exact"/>
        <w:ind w:firstLine="420" w:firstLineChars="200"/>
        <w:rPr>
          <w:rFonts w:hAnsi="宋体"/>
          <w:color w:val="auto"/>
          <w:highlight w:val="none"/>
        </w:rPr>
      </w:pPr>
      <w:r>
        <w:rPr>
          <w:color w:val="auto"/>
          <w:highlight w:val="none"/>
        </w:rPr>
        <w:t xml:space="preserve">9.2.4 </w:t>
      </w:r>
      <w:r>
        <w:rPr>
          <w:rFonts w:hAnsi="宋体"/>
          <w:color w:val="auto"/>
          <w:highlight w:val="none"/>
        </w:rPr>
        <w:t>承包人应按监理人的指示制定应对灾害的紧急预案，报送监理人审批。承包人还应按预案做好安全检查，配置必要的救助物资和器材，切实保护好有关人员的人身和财产安</w:t>
      </w:r>
    </w:p>
    <w:p w14:paraId="13ED38F7">
      <w:pPr>
        <w:pageBreakBefore w:val="0"/>
        <w:kinsoku/>
        <w:wordWrap/>
        <w:overflowPunct/>
        <w:topLinePunct w:val="0"/>
        <w:bidi w:val="0"/>
        <w:snapToGrid/>
        <w:spacing w:line="400" w:lineRule="exact"/>
        <w:rPr>
          <w:color w:val="auto"/>
          <w:highlight w:val="none"/>
        </w:rPr>
      </w:pPr>
      <w:r>
        <w:rPr>
          <w:rFonts w:hAnsi="宋体"/>
          <w:color w:val="auto"/>
          <w:highlight w:val="none"/>
        </w:rPr>
        <w:t>全。</w:t>
      </w:r>
    </w:p>
    <w:p w14:paraId="0337AC93">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9.2.5 </w:t>
      </w:r>
      <w:r>
        <w:rPr>
          <w:rFonts w:hAnsi="宋体"/>
          <w:color w:val="auto"/>
          <w:highlight w:val="none"/>
        </w:rPr>
        <w:t>合同约定的安全作业环境及安全施工措施所需费用应遵守有关规定，并包括在相关工作的合同价格中。因采取合同未约定的安全作业环境及安全施工措施增加的费用，由监理人按第</w:t>
      </w:r>
      <w:r>
        <w:rPr>
          <w:color w:val="auto"/>
          <w:highlight w:val="none"/>
        </w:rPr>
        <w:t xml:space="preserve">3.5 </w:t>
      </w:r>
      <w:r>
        <w:rPr>
          <w:rFonts w:hAnsi="宋体"/>
          <w:color w:val="auto"/>
          <w:highlight w:val="none"/>
        </w:rPr>
        <w:t>款商定或确定。</w:t>
      </w:r>
    </w:p>
    <w:p w14:paraId="46C4D6CF">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9.2.6 </w:t>
      </w:r>
      <w:r>
        <w:rPr>
          <w:rFonts w:hAnsi="宋体"/>
          <w:color w:val="auto"/>
          <w:highlight w:val="none"/>
        </w:rPr>
        <w:t>承包人应对其履行合同所雇佣的全部人员，包括分包人人员的工伤事故承担责任，但由于发包人原因造成承包人人员工伤事故的，应由发包人承担责任。</w:t>
      </w:r>
    </w:p>
    <w:p w14:paraId="721F109D">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9.2.7 </w:t>
      </w:r>
      <w:r>
        <w:rPr>
          <w:rFonts w:hAnsi="宋体"/>
          <w:color w:val="auto"/>
          <w:highlight w:val="none"/>
        </w:rPr>
        <w:t>由于承包人原因在施工场地内及其毗邻地带造成的第三者人员伤亡和财产损失，由承包人负责赔偿。</w:t>
      </w:r>
    </w:p>
    <w:p w14:paraId="4A8ACD4E">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9.2.8 </w:t>
      </w:r>
      <w:r>
        <w:rPr>
          <w:rFonts w:hAnsi="宋体"/>
          <w:color w:val="auto"/>
          <w:highlight w:val="none"/>
        </w:rPr>
        <w:t>承包人已标价工程量清单应包含工程安全作业环境及安全施工措施所需费用。</w:t>
      </w:r>
    </w:p>
    <w:p w14:paraId="1E68B519">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9.2.9</w:t>
      </w:r>
      <w:r>
        <w:rPr>
          <w:rFonts w:hAnsi="宋体"/>
          <w:color w:val="auto"/>
          <w:highlight w:val="none"/>
        </w:rPr>
        <w:t>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6438668E">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9.2.10 </w:t>
      </w:r>
      <w:r>
        <w:rPr>
          <w:rFonts w:hAnsi="宋体"/>
          <w:color w:val="auto"/>
          <w:highlight w:val="none"/>
        </w:rPr>
        <w:t>承包人应设立安全生产管理机构，施工现场应有专职安全生产管理人员。</w:t>
      </w:r>
    </w:p>
    <w:p w14:paraId="360861D5">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9.2.11 </w:t>
      </w:r>
      <w:r>
        <w:rPr>
          <w:rFonts w:hAnsi="宋体"/>
          <w:color w:val="auto"/>
          <w:highlight w:val="none"/>
        </w:rPr>
        <w:t>承包人应负责对特种作业人员进行专门的安全作业培训，并保证特种作业人员持证上岗。</w:t>
      </w:r>
    </w:p>
    <w:p w14:paraId="2F7778ED">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9.2.12 </w:t>
      </w:r>
      <w:r>
        <w:rPr>
          <w:rFonts w:hAnsi="宋体"/>
          <w:color w:val="auto"/>
          <w:highlight w:val="none"/>
        </w:rPr>
        <w:t>承包人应在施工组织设计中编制安全技术措施和施工现场临时用电方案。对专用合同条款约定的工程，应编制专项施工方案报监理人批准。对专用合同条款约定的专项施工方案，还应组织专家进行论证、审查，其中专家</w:t>
      </w:r>
      <w:r>
        <w:rPr>
          <w:color w:val="auto"/>
          <w:highlight w:val="none"/>
        </w:rPr>
        <w:t>1/2</w:t>
      </w:r>
      <w:r>
        <w:rPr>
          <w:rFonts w:hAnsi="宋体"/>
          <w:color w:val="auto"/>
          <w:highlight w:val="none"/>
        </w:rPr>
        <w:t>人员应经发包人同意。</w:t>
      </w:r>
    </w:p>
    <w:p w14:paraId="60BD2BE7">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9.2.13 </w:t>
      </w:r>
      <w:r>
        <w:rPr>
          <w:rFonts w:hAnsi="宋体"/>
          <w:color w:val="auto"/>
          <w:highlight w:val="none"/>
        </w:rPr>
        <w:t>承包人在使用施工起重机械和整体提升脚手架、模板等自升式架设设施前，应组织有关单位进行验收。</w:t>
      </w:r>
    </w:p>
    <w:p w14:paraId="0103B257">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9.3 治安保卫</w:t>
      </w:r>
    </w:p>
    <w:p w14:paraId="5CCA6053">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9.3.1 </w:t>
      </w:r>
      <w:r>
        <w:rPr>
          <w:rFonts w:hAnsi="宋体"/>
          <w:color w:val="auto"/>
          <w:highlight w:val="none"/>
        </w:rPr>
        <w:t>除合同另有约定外，发包人应与当地公安部门协商，在现场建立治安管理机构或联防组织，统一管理施工场地的治安保卫事项，履行合同工程的治安保卫职责。</w:t>
      </w:r>
    </w:p>
    <w:p w14:paraId="2C41C595">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9.3.2 </w:t>
      </w:r>
      <w:r>
        <w:rPr>
          <w:rFonts w:hAnsi="宋体"/>
          <w:color w:val="auto"/>
          <w:highlight w:val="none"/>
        </w:rPr>
        <w:t>发包人和承包人除应协助现场治安管理机构或联防组织维护施工场地的社会治安外，还应做好包括生活区在内的各自管辖区的治安保卫工作。</w:t>
      </w:r>
    </w:p>
    <w:p w14:paraId="68E34A9D">
      <w:pPr>
        <w:pageBreakBefore w:val="0"/>
        <w:kinsoku/>
        <w:wordWrap/>
        <w:overflowPunct/>
        <w:topLinePunct w:val="0"/>
        <w:bidi w:val="0"/>
        <w:snapToGrid/>
        <w:spacing w:line="400" w:lineRule="exact"/>
        <w:ind w:firstLine="420" w:firstLineChars="200"/>
        <w:rPr>
          <w:rFonts w:hAnsi="宋体"/>
          <w:color w:val="auto"/>
          <w:highlight w:val="none"/>
        </w:rPr>
      </w:pPr>
      <w:r>
        <w:rPr>
          <w:color w:val="auto"/>
          <w:highlight w:val="none"/>
        </w:rPr>
        <w:t xml:space="preserve">9.3.3 </w:t>
      </w:r>
      <w:r>
        <w:rPr>
          <w:rFonts w:hAnsi="宋体"/>
          <w:color w:val="auto"/>
          <w:highlight w:val="none"/>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7FF5816D">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9.4 环境保护</w:t>
      </w:r>
    </w:p>
    <w:p w14:paraId="60C1F9CB">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9.4.1 </w:t>
      </w:r>
      <w:r>
        <w:rPr>
          <w:rFonts w:hAnsi="宋体"/>
          <w:color w:val="auto"/>
          <w:highlight w:val="none"/>
        </w:rPr>
        <w:t>承包人在施工过程中，应遵守有关环境保护的法律，履行合同约定的环境保护义务，并对违反法律和合同约定义务所造成的环境破坏、人身伤害和财产损失负责。</w:t>
      </w:r>
    </w:p>
    <w:p w14:paraId="26B1DAA5">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9.4.2 </w:t>
      </w:r>
      <w:r>
        <w:rPr>
          <w:rFonts w:hAnsi="宋体"/>
          <w:color w:val="auto"/>
          <w:highlight w:val="none"/>
        </w:rPr>
        <w:t>承包人应按合同约定的环保工作内容，编制施工环保措施计划，报送监理人审批。</w:t>
      </w:r>
    </w:p>
    <w:p w14:paraId="3B4C1AE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9.4.3 </w:t>
      </w:r>
      <w:r>
        <w:rPr>
          <w:rFonts w:hAnsi="宋体"/>
          <w:color w:val="auto"/>
          <w:highlight w:val="none"/>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61BA189B">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9.4.4 </w:t>
      </w:r>
      <w:r>
        <w:rPr>
          <w:rFonts w:hAnsi="宋体"/>
          <w:color w:val="auto"/>
          <w:highlight w:val="none"/>
        </w:rPr>
        <w:t>承包人应按合同约定采取有效措施，对施工开挖的边坡及时进行支护，维护排水设施，并进行水土保护，避免因施工造成的地质灾害。</w:t>
      </w:r>
    </w:p>
    <w:p w14:paraId="721943C8">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9.4.5 </w:t>
      </w:r>
      <w:r>
        <w:rPr>
          <w:rFonts w:hAnsi="宋体"/>
          <w:color w:val="auto"/>
          <w:highlight w:val="none"/>
        </w:rPr>
        <w:t>承包人应按国家饮用水管理标准定期对饮用水源进行监测，防止施工活动污染饮用水源。</w:t>
      </w:r>
    </w:p>
    <w:p w14:paraId="4DD8D90E">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9.4.6 </w:t>
      </w:r>
      <w:r>
        <w:rPr>
          <w:rFonts w:hAnsi="宋体"/>
          <w:color w:val="auto"/>
          <w:highlight w:val="none"/>
        </w:rPr>
        <w:t>承包人应按合同约定，加强对噪声、粉尘、废气、废水和废油的控制，努力降低噪声，控制粉尘和废气浓度，做好废水和废油的治理和排放。</w:t>
      </w:r>
    </w:p>
    <w:p w14:paraId="6953A1EA">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9.5 事故处理</w:t>
      </w:r>
    </w:p>
    <w:p w14:paraId="01B1E6E9">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9.5.1 </w:t>
      </w:r>
      <w:r>
        <w:rPr>
          <w:rFonts w:hAnsi="宋体"/>
          <w:color w:val="auto"/>
          <w:highlight w:val="none"/>
        </w:rPr>
        <w:t>发包人负责组织参建单位制定本工程的质量与安全事故应急预案，建立质量与安全事故应急处置指挥部。</w:t>
      </w:r>
    </w:p>
    <w:p w14:paraId="05E8CCAE">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9.5.2 </w:t>
      </w:r>
      <w:r>
        <w:rPr>
          <w:rFonts w:hAnsi="宋体"/>
          <w:color w:val="auto"/>
          <w:highlight w:val="none"/>
        </w:rPr>
        <w:t>承包人应对施工现场易发生重大事故的部位、环节进行监控，配备救援器材、设备，并定期组织演练。</w:t>
      </w:r>
    </w:p>
    <w:p w14:paraId="5BA97C6B">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9.5.3 </w:t>
      </w:r>
      <w:r>
        <w:rPr>
          <w:rFonts w:hAnsi="宋体"/>
          <w:color w:val="auto"/>
          <w:highlight w:val="none"/>
        </w:rPr>
        <w:t>工程开工前，承包人应根据本工程的特点制定施工现场施工质量与安全事故应急预案，并报发包人备案。</w:t>
      </w:r>
    </w:p>
    <w:p w14:paraId="059D359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9.5.4 </w:t>
      </w:r>
      <w:r>
        <w:rPr>
          <w:rFonts w:hAnsi="宋体"/>
          <w:color w:val="auto"/>
          <w:highlight w:val="none"/>
        </w:rPr>
        <w:t>施工过程中发生事故时，发包人、承包人应立即启动应急预案。</w:t>
      </w:r>
    </w:p>
    <w:p w14:paraId="6BEE061A">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9.5.5 </w:t>
      </w:r>
      <w:r>
        <w:rPr>
          <w:rFonts w:hAnsi="宋体"/>
          <w:color w:val="auto"/>
          <w:highlight w:val="none"/>
        </w:rPr>
        <w:t>事故调查处理由发包人按相关规定履行手续，承包人应配合。</w:t>
      </w:r>
    </w:p>
    <w:p w14:paraId="5C7C91B8">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9.6 水土保持</w:t>
      </w:r>
    </w:p>
    <w:p w14:paraId="72181950">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9.6.1 </w:t>
      </w:r>
      <w:r>
        <w:rPr>
          <w:rFonts w:hAnsi="宋体"/>
          <w:color w:val="auto"/>
          <w:highlight w:val="none"/>
        </w:rPr>
        <w:t>发包人应及时向承包人提供水土保持方案。</w:t>
      </w:r>
    </w:p>
    <w:p w14:paraId="53115FA3">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9.6.2 </w:t>
      </w:r>
      <w:r>
        <w:rPr>
          <w:rFonts w:hAnsi="宋体"/>
          <w:color w:val="auto"/>
          <w:highlight w:val="none"/>
        </w:rPr>
        <w:t>承包人在施工过程中，应遵守有关水土保持的法律法规和规章，履行合同约定的水土保持义务，并对其违反法律和合同约定义务所造成的水土流失灾害、人身伤害和财产损失负责。</w:t>
      </w:r>
    </w:p>
    <w:p w14:paraId="64D87687">
      <w:pPr>
        <w:pageBreakBefore w:val="0"/>
        <w:kinsoku/>
        <w:wordWrap/>
        <w:overflowPunct/>
        <w:topLinePunct w:val="0"/>
        <w:bidi w:val="0"/>
        <w:snapToGrid/>
        <w:spacing w:line="400" w:lineRule="exact"/>
        <w:ind w:firstLine="420" w:firstLineChars="200"/>
        <w:rPr>
          <w:rFonts w:ascii="Times New Roman" w:hAnsi="Times New Roman" w:eastAsia="宋体" w:cs="Times New Roman"/>
          <w:b w:val="0"/>
          <w:bCs w:val="0"/>
          <w:color w:val="auto"/>
          <w:sz w:val="24"/>
          <w:szCs w:val="24"/>
          <w:highlight w:val="none"/>
          <w:lang w:val="en-US" w:eastAsia="zh-CN"/>
        </w:rPr>
      </w:pPr>
      <w:r>
        <w:rPr>
          <w:color w:val="auto"/>
          <w:highlight w:val="none"/>
        </w:rPr>
        <w:t xml:space="preserve">9.6.3 </w:t>
      </w:r>
      <w:r>
        <w:rPr>
          <w:rFonts w:hAnsi="宋体"/>
          <w:color w:val="auto"/>
          <w:highlight w:val="none"/>
        </w:rPr>
        <w:t>承包人的水土保持措施计划，应满足技术标准和要求（合同技术条款）约定的要</w:t>
      </w:r>
      <w:r>
        <w:rPr>
          <w:rFonts w:ascii="Times New Roman" w:hAnsi="Times New Roman" w:eastAsia="宋体" w:cs="Times New Roman"/>
          <w:b w:val="0"/>
          <w:bCs w:val="0"/>
          <w:color w:val="auto"/>
          <w:sz w:val="24"/>
          <w:szCs w:val="24"/>
          <w:highlight w:val="none"/>
          <w:lang w:val="en-US" w:eastAsia="zh-CN"/>
        </w:rPr>
        <w:t>求。</w:t>
      </w:r>
    </w:p>
    <w:p w14:paraId="0D2F07A1">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9.7 文明工地</w:t>
      </w:r>
    </w:p>
    <w:p w14:paraId="337207AE">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9.7.1 </w:t>
      </w:r>
      <w:r>
        <w:rPr>
          <w:rFonts w:hAnsi="宋体"/>
          <w:color w:val="auto"/>
          <w:highlight w:val="none"/>
        </w:rPr>
        <w:t>发包人应按专用合同条款的约定，负责建立创建文明建设工地的组织机构，制定创建文明建设工地的规划和办法。</w:t>
      </w:r>
    </w:p>
    <w:p w14:paraId="0688AD2B">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9.7.2 </w:t>
      </w:r>
      <w:r>
        <w:rPr>
          <w:rFonts w:hAnsi="宋体"/>
          <w:color w:val="auto"/>
          <w:highlight w:val="none"/>
        </w:rPr>
        <w:t>承包人应按创建文明建设工地的规划和办法，履行职责，承担相应责任。所需费用应含在已标价工程量清单中。</w:t>
      </w:r>
    </w:p>
    <w:p w14:paraId="22FF50DA">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9.8 防汛度汛</w:t>
      </w:r>
    </w:p>
    <w:p w14:paraId="3B935D13">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9.8.1 </w:t>
      </w:r>
      <w:r>
        <w:rPr>
          <w:rFonts w:hAnsi="宋体"/>
          <w:color w:val="auto"/>
          <w:highlight w:val="none"/>
        </w:rPr>
        <w:t>发包人负责组织工程参建单位编制本工程的度汛方案和措施。</w:t>
      </w:r>
    </w:p>
    <w:p w14:paraId="2E619C14">
      <w:pPr>
        <w:pageBreakBefore w:val="0"/>
        <w:kinsoku/>
        <w:wordWrap/>
        <w:overflowPunct/>
        <w:topLinePunct w:val="0"/>
        <w:bidi w:val="0"/>
        <w:snapToGrid/>
        <w:spacing w:line="400" w:lineRule="exact"/>
        <w:ind w:firstLine="420" w:firstLineChars="200"/>
        <w:rPr>
          <w:color w:val="auto"/>
          <w:kern w:val="0"/>
          <w:sz w:val="20"/>
          <w:highlight w:val="none"/>
        </w:rPr>
      </w:pPr>
      <w:r>
        <w:rPr>
          <w:color w:val="auto"/>
          <w:highlight w:val="none"/>
        </w:rPr>
        <w:t xml:space="preserve">9.8.2 </w:t>
      </w:r>
      <w:r>
        <w:rPr>
          <w:rFonts w:hAnsi="宋体"/>
          <w:color w:val="auto"/>
          <w:highlight w:val="none"/>
        </w:rPr>
        <w:t>承包人应根据发包人编制的本工程度汛方案和措施，制定相应的度汛方案，报发包人批准后实施。</w:t>
      </w:r>
    </w:p>
    <w:p w14:paraId="69C5DD37">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bookmarkStart w:id="56" w:name="_Toc265408499"/>
      <w:r>
        <w:rPr>
          <w:rFonts w:ascii="Times New Roman" w:hAnsi="Times New Roman" w:eastAsia="宋体" w:cs="Times New Roman"/>
          <w:b/>
          <w:bCs/>
          <w:color w:val="auto"/>
          <w:sz w:val="24"/>
          <w:szCs w:val="24"/>
          <w:highlight w:val="none"/>
          <w:lang w:val="en-US" w:eastAsia="zh-CN"/>
        </w:rPr>
        <w:t>10  进度计划</w:t>
      </w:r>
      <w:bookmarkEnd w:id="56"/>
    </w:p>
    <w:p w14:paraId="142FEBBB">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10.1 合同进度计划</w:t>
      </w:r>
    </w:p>
    <w:p w14:paraId="32C2CEDE">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2BBD23D5">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10.2 合同进度计划的修订</w:t>
      </w:r>
    </w:p>
    <w:p w14:paraId="3133A89F">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不论何种原因造成工程的实际进度与第</w:t>
      </w:r>
      <w:r>
        <w:rPr>
          <w:color w:val="auto"/>
          <w:highlight w:val="none"/>
        </w:rPr>
        <w:t>10.1</w:t>
      </w:r>
      <w:r>
        <w:rPr>
          <w:rFonts w:hAnsi="宋体"/>
          <w:color w:val="auto"/>
          <w:highlight w:val="none"/>
        </w:rPr>
        <w:t>款的合同进度计划不符时，承包人均应在</w:t>
      </w:r>
      <w:r>
        <w:rPr>
          <w:color w:val="auto"/>
          <w:highlight w:val="none"/>
        </w:rPr>
        <w:t>14</w:t>
      </w:r>
      <w:r>
        <w:rPr>
          <w:rFonts w:hAnsi="宋体"/>
          <w:color w:val="auto"/>
          <w:highlight w:val="none"/>
        </w:rPr>
        <w:t>天内向监理人提交修订合同进度计划的申请报告，并附有关措施和相关资料，报监理人审批，监理人应在收到申请报告后的</w:t>
      </w:r>
      <w:r>
        <w:rPr>
          <w:color w:val="auto"/>
          <w:highlight w:val="none"/>
        </w:rPr>
        <w:t>14</w:t>
      </w:r>
      <w:r>
        <w:rPr>
          <w:rFonts w:hAnsi="宋体"/>
          <w:color w:val="auto"/>
          <w:highlight w:val="none"/>
        </w:rPr>
        <w:t>天内批复。当监理人认为需要修订合同进度计划时，承包人应按监理人的指示，在</w:t>
      </w:r>
      <w:r>
        <w:rPr>
          <w:color w:val="auto"/>
          <w:highlight w:val="none"/>
        </w:rPr>
        <w:t>14</w:t>
      </w:r>
      <w:r>
        <w:rPr>
          <w:rFonts w:hAnsi="宋体"/>
          <w:color w:val="auto"/>
          <w:highlight w:val="none"/>
        </w:rPr>
        <w:t>天内向监理人提交修订的合同进度计划，并附调整计划的相关资料，提交监理人审批。监理人应在收到进度计划后的</w:t>
      </w:r>
      <w:r>
        <w:rPr>
          <w:color w:val="auto"/>
          <w:highlight w:val="none"/>
        </w:rPr>
        <w:t>14</w:t>
      </w:r>
      <w:r>
        <w:rPr>
          <w:rFonts w:hAnsi="宋体"/>
          <w:color w:val="auto"/>
          <w:highlight w:val="none"/>
        </w:rPr>
        <w:t>天内批复。</w:t>
      </w:r>
    </w:p>
    <w:p w14:paraId="3E00F5D5">
      <w:pPr>
        <w:pageBreakBefore w:val="0"/>
        <w:kinsoku/>
        <w:wordWrap/>
        <w:overflowPunct/>
        <w:topLinePunct w:val="0"/>
        <w:bidi w:val="0"/>
        <w:snapToGrid/>
        <w:spacing w:line="400" w:lineRule="exact"/>
        <w:ind w:firstLine="420" w:firstLineChars="200"/>
        <w:rPr>
          <w:rFonts w:hAnsi="宋体"/>
          <w:color w:val="auto"/>
          <w:highlight w:val="none"/>
        </w:rPr>
      </w:pPr>
      <w:r>
        <w:rPr>
          <w:rFonts w:hAnsi="宋体"/>
          <w:color w:val="auto"/>
          <w:highlight w:val="none"/>
        </w:rPr>
        <w:t>不论何种原因造成施工进度延迟，承包人均应按监理人的指示，采取有效措施赶上进度。</w:t>
      </w:r>
    </w:p>
    <w:p w14:paraId="4117AEC0">
      <w:pPr>
        <w:pageBreakBefore w:val="0"/>
        <w:kinsoku/>
        <w:wordWrap/>
        <w:overflowPunct/>
        <w:topLinePunct w:val="0"/>
        <w:bidi w:val="0"/>
        <w:snapToGrid/>
        <w:spacing w:line="400" w:lineRule="exact"/>
        <w:rPr>
          <w:rFonts w:hAnsi="宋体"/>
          <w:color w:val="auto"/>
          <w:highlight w:val="none"/>
        </w:rPr>
      </w:pPr>
      <w:r>
        <w:rPr>
          <w:rFonts w:hAnsi="宋体"/>
          <w:color w:val="auto"/>
          <w:highlight w:val="none"/>
        </w:rPr>
        <w:t>承包人应在向监理人提交修订合同进度计划的同时，编制一份赶工措施报告提交监理人审</w:t>
      </w:r>
    </w:p>
    <w:p w14:paraId="6E33030D">
      <w:pPr>
        <w:pageBreakBefore w:val="0"/>
        <w:kinsoku/>
        <w:wordWrap/>
        <w:overflowPunct/>
        <w:topLinePunct w:val="0"/>
        <w:bidi w:val="0"/>
        <w:snapToGrid/>
        <w:spacing w:line="400" w:lineRule="exact"/>
        <w:rPr>
          <w:color w:val="auto"/>
          <w:highlight w:val="none"/>
        </w:rPr>
      </w:pPr>
      <w:r>
        <w:rPr>
          <w:rFonts w:hAnsi="宋体"/>
          <w:color w:val="auto"/>
          <w:highlight w:val="none"/>
        </w:rPr>
        <w:t>批。由于发包人原因造成施工进度延迟，应按第</w:t>
      </w:r>
      <w:r>
        <w:rPr>
          <w:color w:val="auto"/>
          <w:highlight w:val="none"/>
        </w:rPr>
        <w:t>11.3</w:t>
      </w:r>
      <w:r>
        <w:rPr>
          <w:rFonts w:hAnsi="宋体"/>
          <w:color w:val="auto"/>
          <w:highlight w:val="none"/>
        </w:rPr>
        <w:t>款的约定办理；由于承包人原因造成施工进度延迟，应按第</w:t>
      </w:r>
      <w:r>
        <w:rPr>
          <w:color w:val="auto"/>
          <w:highlight w:val="none"/>
        </w:rPr>
        <w:t>11.5</w:t>
      </w:r>
      <w:r>
        <w:rPr>
          <w:rFonts w:hAnsi="宋体"/>
          <w:color w:val="auto"/>
          <w:highlight w:val="none"/>
        </w:rPr>
        <w:t>款的约定办理。</w:t>
      </w:r>
    </w:p>
    <w:p w14:paraId="1F327FDB">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10.3　单位工程进度计划</w:t>
      </w:r>
    </w:p>
    <w:p w14:paraId="4080190E">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监理人认为有必要时，承包人应按监理人指示的内容和期限，并根据合同进度计划的进度控制要求，编制单位工程进度计划，提交监理人审批。</w:t>
      </w:r>
    </w:p>
    <w:p w14:paraId="3415CE52">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10.4　提交资金流估算表</w:t>
      </w:r>
    </w:p>
    <w:p w14:paraId="1ABF2878">
      <w:pPr>
        <w:pageBreakBefore w:val="0"/>
        <w:kinsoku/>
        <w:wordWrap/>
        <w:overflowPunct/>
        <w:topLinePunct w:val="0"/>
        <w:bidi w:val="0"/>
        <w:snapToGrid/>
        <w:spacing w:line="400" w:lineRule="exact"/>
        <w:ind w:firstLine="420" w:firstLineChars="200"/>
        <w:rPr>
          <w:rFonts w:hint="eastAsia"/>
          <w:color w:val="auto"/>
          <w:highlight w:val="none"/>
        </w:rPr>
      </w:pPr>
      <w:r>
        <w:rPr>
          <w:rFonts w:hAnsi="宋体"/>
          <w:color w:val="auto"/>
          <w:highlight w:val="none"/>
        </w:rPr>
        <w:t>承包人应在按第</w:t>
      </w:r>
      <w:r>
        <w:rPr>
          <w:color w:val="auto"/>
          <w:highlight w:val="none"/>
        </w:rPr>
        <w:t>10.1</w:t>
      </w:r>
      <w:r>
        <w:rPr>
          <w:rFonts w:hAnsi="宋体"/>
          <w:color w:val="auto"/>
          <w:highlight w:val="none"/>
        </w:rPr>
        <w:t>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r>
        <w:rPr>
          <w:color w:val="auto"/>
          <w:highlight w:val="none"/>
        </w:rPr>
        <w:t xml:space="preserve"> </w:t>
      </w:r>
    </w:p>
    <w:p w14:paraId="4E3FDF31">
      <w:pPr>
        <w:pageBreakBefore w:val="0"/>
        <w:kinsoku/>
        <w:wordWrap/>
        <w:overflowPunct/>
        <w:topLinePunct w:val="0"/>
        <w:bidi w:val="0"/>
        <w:snapToGrid/>
        <w:spacing w:line="400" w:lineRule="exact"/>
        <w:ind w:firstLine="420" w:firstLineChars="200"/>
        <w:jc w:val="center"/>
        <w:rPr>
          <w:color w:val="auto"/>
          <w:highlight w:val="none"/>
        </w:rPr>
      </w:pPr>
      <w:r>
        <w:rPr>
          <w:rFonts w:hAnsi="宋体"/>
          <w:color w:val="auto"/>
          <w:highlight w:val="none"/>
        </w:rPr>
        <w:t>资金流估算表（参考表格）</w:t>
      </w:r>
      <w:r>
        <w:rPr>
          <w:color w:val="auto"/>
          <w:highlight w:val="none"/>
        </w:rPr>
        <w:t xml:space="preserve">              </w:t>
      </w:r>
      <w:r>
        <w:rPr>
          <w:rFonts w:hAnsi="宋体"/>
          <w:color w:val="auto"/>
          <w:highlight w:val="none"/>
        </w:rPr>
        <w:t>金额单位</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561"/>
        <w:gridCol w:w="1239"/>
        <w:gridCol w:w="1497"/>
        <w:gridCol w:w="1260"/>
        <w:gridCol w:w="821"/>
        <w:gridCol w:w="1180"/>
        <w:gridCol w:w="642"/>
        <w:gridCol w:w="796"/>
        <w:gridCol w:w="1080"/>
      </w:tblGrid>
      <w:tr w14:paraId="254E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dxa"/>
            <w:noWrap w:val="0"/>
            <w:vAlign w:val="center"/>
          </w:tcPr>
          <w:p w14:paraId="4A3F6A3C">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 w:val="18"/>
                <w:szCs w:val="22"/>
                <w:highlight w:val="none"/>
              </w:rPr>
            </w:pPr>
            <w:r>
              <w:rPr>
                <w:rFonts w:hint="default" w:hAnsi="宋体"/>
                <w:color w:val="auto"/>
                <w:kern w:val="2"/>
                <w:sz w:val="18"/>
                <w:szCs w:val="22"/>
                <w:highlight w:val="none"/>
              </w:rPr>
              <w:t>年</w:t>
            </w:r>
          </w:p>
        </w:tc>
        <w:tc>
          <w:tcPr>
            <w:tcW w:w="561" w:type="dxa"/>
            <w:noWrap w:val="0"/>
            <w:vAlign w:val="center"/>
          </w:tcPr>
          <w:p w14:paraId="6D5F33C7">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 w:val="18"/>
                <w:szCs w:val="22"/>
                <w:highlight w:val="none"/>
              </w:rPr>
            </w:pPr>
            <w:r>
              <w:rPr>
                <w:rFonts w:hint="default" w:hAnsi="宋体"/>
                <w:color w:val="auto"/>
                <w:kern w:val="2"/>
                <w:sz w:val="18"/>
                <w:szCs w:val="22"/>
                <w:highlight w:val="none"/>
              </w:rPr>
              <w:t>月</w:t>
            </w:r>
          </w:p>
        </w:tc>
        <w:tc>
          <w:tcPr>
            <w:tcW w:w="1239" w:type="dxa"/>
            <w:noWrap w:val="0"/>
            <w:vAlign w:val="center"/>
          </w:tcPr>
          <w:p w14:paraId="350982DB">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 w:val="18"/>
                <w:szCs w:val="22"/>
                <w:highlight w:val="none"/>
              </w:rPr>
            </w:pPr>
            <w:r>
              <w:rPr>
                <w:rFonts w:hint="default" w:hAnsi="宋体"/>
                <w:color w:val="auto"/>
                <w:kern w:val="2"/>
                <w:sz w:val="18"/>
                <w:szCs w:val="22"/>
                <w:highlight w:val="none"/>
              </w:rPr>
              <w:t>工程预付款</w:t>
            </w:r>
          </w:p>
        </w:tc>
        <w:tc>
          <w:tcPr>
            <w:tcW w:w="1497" w:type="dxa"/>
            <w:noWrap w:val="0"/>
            <w:vAlign w:val="center"/>
          </w:tcPr>
          <w:p w14:paraId="230FCD22">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 w:val="18"/>
                <w:szCs w:val="22"/>
                <w:highlight w:val="none"/>
              </w:rPr>
            </w:pPr>
            <w:r>
              <w:rPr>
                <w:rFonts w:hint="default" w:hAnsi="宋体"/>
                <w:color w:val="auto"/>
                <w:kern w:val="2"/>
                <w:sz w:val="18"/>
                <w:szCs w:val="22"/>
                <w:highlight w:val="none"/>
              </w:rPr>
              <w:t>完成工作量付款</w:t>
            </w:r>
          </w:p>
        </w:tc>
        <w:tc>
          <w:tcPr>
            <w:tcW w:w="1260" w:type="dxa"/>
            <w:noWrap w:val="0"/>
            <w:vAlign w:val="center"/>
          </w:tcPr>
          <w:p w14:paraId="5C8E7698">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 w:val="18"/>
                <w:szCs w:val="22"/>
                <w:highlight w:val="none"/>
              </w:rPr>
            </w:pPr>
            <w:r>
              <w:rPr>
                <w:rFonts w:hint="default" w:hAnsi="宋体"/>
                <w:color w:val="auto"/>
                <w:kern w:val="2"/>
                <w:sz w:val="18"/>
                <w:szCs w:val="22"/>
                <w:highlight w:val="none"/>
              </w:rPr>
              <w:t>质量保证金扣留</w:t>
            </w:r>
          </w:p>
        </w:tc>
        <w:tc>
          <w:tcPr>
            <w:tcW w:w="821" w:type="dxa"/>
            <w:noWrap w:val="0"/>
            <w:vAlign w:val="center"/>
          </w:tcPr>
          <w:p w14:paraId="1E9D1979">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 w:val="18"/>
                <w:szCs w:val="22"/>
                <w:highlight w:val="none"/>
              </w:rPr>
            </w:pPr>
            <w:r>
              <w:rPr>
                <w:rFonts w:hint="default" w:hAnsi="宋体"/>
                <w:color w:val="auto"/>
                <w:kern w:val="2"/>
                <w:sz w:val="18"/>
                <w:szCs w:val="22"/>
                <w:highlight w:val="none"/>
              </w:rPr>
              <w:t>材料款扣除</w:t>
            </w:r>
          </w:p>
        </w:tc>
        <w:tc>
          <w:tcPr>
            <w:tcW w:w="1180" w:type="dxa"/>
            <w:noWrap w:val="0"/>
            <w:vAlign w:val="center"/>
          </w:tcPr>
          <w:p w14:paraId="349B9261">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 w:val="18"/>
                <w:szCs w:val="22"/>
                <w:highlight w:val="none"/>
              </w:rPr>
            </w:pPr>
            <w:r>
              <w:rPr>
                <w:rFonts w:hint="default" w:hAnsi="宋体"/>
                <w:color w:val="auto"/>
                <w:kern w:val="2"/>
                <w:sz w:val="18"/>
                <w:szCs w:val="22"/>
                <w:highlight w:val="none"/>
              </w:rPr>
              <w:t>预付款扣还</w:t>
            </w:r>
          </w:p>
        </w:tc>
        <w:tc>
          <w:tcPr>
            <w:tcW w:w="642" w:type="dxa"/>
            <w:noWrap w:val="0"/>
            <w:vAlign w:val="center"/>
          </w:tcPr>
          <w:p w14:paraId="7581CD61">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 w:val="18"/>
                <w:szCs w:val="22"/>
                <w:highlight w:val="none"/>
              </w:rPr>
            </w:pPr>
            <w:r>
              <w:rPr>
                <w:rFonts w:hint="default" w:hAnsi="宋体"/>
                <w:color w:val="auto"/>
                <w:kern w:val="2"/>
                <w:sz w:val="18"/>
                <w:szCs w:val="22"/>
                <w:highlight w:val="none"/>
              </w:rPr>
              <w:t>其他</w:t>
            </w:r>
          </w:p>
        </w:tc>
        <w:tc>
          <w:tcPr>
            <w:tcW w:w="796" w:type="dxa"/>
            <w:noWrap w:val="0"/>
            <w:vAlign w:val="center"/>
          </w:tcPr>
          <w:p w14:paraId="74827F2A">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 w:val="18"/>
                <w:szCs w:val="22"/>
                <w:highlight w:val="none"/>
              </w:rPr>
            </w:pPr>
            <w:r>
              <w:rPr>
                <w:rFonts w:hint="default" w:hAnsi="宋体"/>
                <w:color w:val="auto"/>
                <w:kern w:val="2"/>
                <w:sz w:val="18"/>
                <w:szCs w:val="22"/>
                <w:highlight w:val="none"/>
              </w:rPr>
              <w:t>应收款</w:t>
            </w:r>
          </w:p>
        </w:tc>
        <w:tc>
          <w:tcPr>
            <w:tcW w:w="1080" w:type="dxa"/>
            <w:noWrap w:val="0"/>
            <w:vAlign w:val="center"/>
          </w:tcPr>
          <w:p w14:paraId="1805CF93">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 w:val="18"/>
                <w:szCs w:val="22"/>
                <w:highlight w:val="none"/>
              </w:rPr>
            </w:pPr>
            <w:r>
              <w:rPr>
                <w:rFonts w:hint="default" w:hAnsi="宋体"/>
                <w:color w:val="auto"/>
                <w:kern w:val="2"/>
                <w:sz w:val="18"/>
                <w:szCs w:val="22"/>
                <w:highlight w:val="none"/>
              </w:rPr>
              <w:t>累计应收款</w:t>
            </w:r>
          </w:p>
        </w:tc>
      </w:tr>
      <w:tr w14:paraId="023D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dxa"/>
            <w:noWrap w:val="0"/>
            <w:vAlign w:val="center"/>
          </w:tcPr>
          <w:p w14:paraId="065C0C81">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561" w:type="dxa"/>
            <w:noWrap w:val="0"/>
            <w:vAlign w:val="center"/>
          </w:tcPr>
          <w:p w14:paraId="1EF6C027">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1239" w:type="dxa"/>
            <w:noWrap w:val="0"/>
            <w:vAlign w:val="center"/>
          </w:tcPr>
          <w:p w14:paraId="2E473815">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1497" w:type="dxa"/>
            <w:noWrap w:val="0"/>
            <w:vAlign w:val="center"/>
          </w:tcPr>
          <w:p w14:paraId="209489DA">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1260" w:type="dxa"/>
            <w:noWrap w:val="0"/>
            <w:vAlign w:val="center"/>
          </w:tcPr>
          <w:p w14:paraId="49683A23">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821" w:type="dxa"/>
            <w:noWrap w:val="0"/>
            <w:vAlign w:val="center"/>
          </w:tcPr>
          <w:p w14:paraId="75983B29">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1180" w:type="dxa"/>
            <w:noWrap w:val="0"/>
            <w:vAlign w:val="center"/>
          </w:tcPr>
          <w:p w14:paraId="2250C5A0">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642" w:type="dxa"/>
            <w:noWrap w:val="0"/>
            <w:vAlign w:val="center"/>
          </w:tcPr>
          <w:p w14:paraId="3BD59AC3">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796" w:type="dxa"/>
            <w:noWrap w:val="0"/>
            <w:vAlign w:val="center"/>
          </w:tcPr>
          <w:p w14:paraId="7ACB366D">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1080" w:type="dxa"/>
            <w:noWrap w:val="0"/>
            <w:vAlign w:val="center"/>
          </w:tcPr>
          <w:p w14:paraId="5932AD8A">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r>
      <w:tr w14:paraId="68AB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dxa"/>
            <w:noWrap w:val="0"/>
            <w:vAlign w:val="center"/>
          </w:tcPr>
          <w:p w14:paraId="01E0BD76">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561" w:type="dxa"/>
            <w:noWrap w:val="0"/>
            <w:vAlign w:val="center"/>
          </w:tcPr>
          <w:p w14:paraId="345D4D03">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1239" w:type="dxa"/>
            <w:noWrap w:val="0"/>
            <w:vAlign w:val="center"/>
          </w:tcPr>
          <w:p w14:paraId="35CF2498">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1497" w:type="dxa"/>
            <w:noWrap w:val="0"/>
            <w:vAlign w:val="center"/>
          </w:tcPr>
          <w:p w14:paraId="1DFB7E05">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1260" w:type="dxa"/>
            <w:noWrap w:val="0"/>
            <w:vAlign w:val="center"/>
          </w:tcPr>
          <w:p w14:paraId="64E574F9">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821" w:type="dxa"/>
            <w:noWrap w:val="0"/>
            <w:vAlign w:val="center"/>
          </w:tcPr>
          <w:p w14:paraId="1B311B5F">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1180" w:type="dxa"/>
            <w:noWrap w:val="0"/>
            <w:vAlign w:val="center"/>
          </w:tcPr>
          <w:p w14:paraId="7858C1FF">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642" w:type="dxa"/>
            <w:noWrap w:val="0"/>
            <w:vAlign w:val="center"/>
          </w:tcPr>
          <w:p w14:paraId="7E385429">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796" w:type="dxa"/>
            <w:noWrap w:val="0"/>
            <w:vAlign w:val="center"/>
          </w:tcPr>
          <w:p w14:paraId="52E65DAC">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1080" w:type="dxa"/>
            <w:noWrap w:val="0"/>
            <w:vAlign w:val="center"/>
          </w:tcPr>
          <w:p w14:paraId="01D7A878">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r>
      <w:tr w14:paraId="0500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dxa"/>
            <w:noWrap w:val="0"/>
            <w:vAlign w:val="center"/>
          </w:tcPr>
          <w:p w14:paraId="5D55197D">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561" w:type="dxa"/>
            <w:noWrap w:val="0"/>
            <w:vAlign w:val="center"/>
          </w:tcPr>
          <w:p w14:paraId="4108F9BA">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1239" w:type="dxa"/>
            <w:noWrap w:val="0"/>
            <w:vAlign w:val="center"/>
          </w:tcPr>
          <w:p w14:paraId="32C0A80F">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1497" w:type="dxa"/>
            <w:noWrap w:val="0"/>
            <w:vAlign w:val="center"/>
          </w:tcPr>
          <w:p w14:paraId="248C1ADE">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1260" w:type="dxa"/>
            <w:noWrap w:val="0"/>
            <w:vAlign w:val="center"/>
          </w:tcPr>
          <w:p w14:paraId="52D643D9">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821" w:type="dxa"/>
            <w:noWrap w:val="0"/>
            <w:vAlign w:val="center"/>
          </w:tcPr>
          <w:p w14:paraId="01EF6364">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1180" w:type="dxa"/>
            <w:noWrap w:val="0"/>
            <w:vAlign w:val="center"/>
          </w:tcPr>
          <w:p w14:paraId="3512FBC0">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642" w:type="dxa"/>
            <w:noWrap w:val="0"/>
            <w:vAlign w:val="center"/>
          </w:tcPr>
          <w:p w14:paraId="211EAA02">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796" w:type="dxa"/>
            <w:noWrap w:val="0"/>
            <w:vAlign w:val="center"/>
          </w:tcPr>
          <w:p w14:paraId="42331122">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c>
          <w:tcPr>
            <w:tcW w:w="1080" w:type="dxa"/>
            <w:noWrap w:val="0"/>
            <w:vAlign w:val="center"/>
          </w:tcPr>
          <w:p w14:paraId="3637171D">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color w:val="auto"/>
                <w:kern w:val="2"/>
                <w:szCs w:val="22"/>
                <w:highlight w:val="none"/>
              </w:rPr>
            </w:pPr>
          </w:p>
        </w:tc>
      </w:tr>
    </w:tbl>
    <w:p w14:paraId="44299BE2">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bookmarkStart w:id="57" w:name="_Toc265408500"/>
      <w:r>
        <w:rPr>
          <w:rFonts w:ascii="Times New Roman" w:hAnsi="Times New Roman" w:eastAsia="宋体" w:cs="Times New Roman"/>
          <w:b/>
          <w:bCs/>
          <w:color w:val="auto"/>
          <w:sz w:val="24"/>
          <w:szCs w:val="24"/>
          <w:highlight w:val="none"/>
          <w:lang w:val="en-US" w:eastAsia="zh-CN"/>
        </w:rPr>
        <w:t>11  开工和竣工</w:t>
      </w:r>
      <w:bookmarkEnd w:id="57"/>
      <w:r>
        <w:rPr>
          <w:rFonts w:ascii="Times New Roman" w:hAnsi="Times New Roman" w:eastAsia="宋体" w:cs="Times New Roman"/>
          <w:b/>
          <w:bCs/>
          <w:color w:val="auto"/>
          <w:sz w:val="24"/>
          <w:szCs w:val="24"/>
          <w:highlight w:val="none"/>
          <w:lang w:val="en-US" w:eastAsia="zh-CN"/>
        </w:rPr>
        <w:t>（完工）</w:t>
      </w:r>
    </w:p>
    <w:p w14:paraId="27134045">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11.1 开工</w:t>
      </w:r>
    </w:p>
    <w:p w14:paraId="2DA25220">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11.1.1 </w:t>
      </w:r>
      <w:r>
        <w:rPr>
          <w:rFonts w:hAnsi="宋体"/>
          <w:color w:val="auto"/>
          <w:highlight w:val="none"/>
        </w:rPr>
        <w:t>监理人应在开工日期</w:t>
      </w:r>
      <w:r>
        <w:rPr>
          <w:color w:val="auto"/>
          <w:highlight w:val="none"/>
        </w:rPr>
        <w:t>7</w:t>
      </w:r>
      <w:r>
        <w:rPr>
          <w:rFonts w:hAnsi="宋体"/>
          <w:color w:val="auto"/>
          <w:highlight w:val="none"/>
        </w:rPr>
        <w:t>天前向承包人发出开工通知。监理人在发出开工通知前应获得发包人同意。工期自监理人发出的开工通知中载明的开工日期起计算。承包人应在开工日期后尽快施工。</w:t>
      </w:r>
    </w:p>
    <w:p w14:paraId="682A0048">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11.1.2 </w:t>
      </w:r>
      <w:r>
        <w:rPr>
          <w:rFonts w:hAnsi="宋体"/>
          <w:color w:val="auto"/>
          <w:highlight w:val="none"/>
        </w:rPr>
        <w:t>承包人应按第</w:t>
      </w:r>
      <w:r>
        <w:rPr>
          <w:color w:val="auto"/>
          <w:highlight w:val="none"/>
        </w:rPr>
        <w:t xml:space="preserve">10.1 </w:t>
      </w:r>
      <w:r>
        <w:rPr>
          <w:rFonts w:hAnsi="宋体"/>
          <w:color w:val="auto"/>
          <w:highlight w:val="none"/>
        </w:rPr>
        <w:t>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1612A7DA">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11.1.3 </w:t>
      </w:r>
      <w:r>
        <w:rPr>
          <w:rFonts w:hAnsi="宋体"/>
          <w:color w:val="auto"/>
          <w:highlight w:val="none"/>
        </w:rPr>
        <w:t>若发包人未能按合同约定向承包人提供开工的必要条件，承包人有权要求延长工期。监理人应在收到承包人的书面要求后，按第</w:t>
      </w:r>
      <w:r>
        <w:rPr>
          <w:color w:val="auto"/>
          <w:highlight w:val="none"/>
        </w:rPr>
        <w:t>3.5</w:t>
      </w:r>
      <w:r>
        <w:rPr>
          <w:rFonts w:hAnsi="宋体"/>
          <w:color w:val="auto"/>
          <w:highlight w:val="none"/>
        </w:rPr>
        <w:t>款的约定，与合同双方商定或确定增加的费用和延长的工期。</w:t>
      </w:r>
    </w:p>
    <w:p w14:paraId="6F7D02A9">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11.1.4 </w:t>
      </w:r>
      <w:r>
        <w:rPr>
          <w:rFonts w:hAnsi="宋体"/>
          <w:color w:val="auto"/>
          <w:highlight w:val="none"/>
        </w:rPr>
        <w:t>承包人在接到开工通知后</w:t>
      </w:r>
      <w:r>
        <w:rPr>
          <w:color w:val="auto"/>
          <w:highlight w:val="none"/>
        </w:rPr>
        <w:t>14</w:t>
      </w:r>
      <w:r>
        <w:rPr>
          <w:rFonts w:hAnsi="宋体"/>
          <w:color w:val="auto"/>
          <w:highlight w:val="none"/>
        </w:rPr>
        <w:t>天内未按进度计划要求及时进场组织施工，监理人可通知承包人在接到通知后</w:t>
      </w:r>
      <w:r>
        <w:rPr>
          <w:color w:val="auto"/>
          <w:highlight w:val="none"/>
        </w:rPr>
        <w:t>7</w:t>
      </w:r>
      <w:r>
        <w:rPr>
          <w:rFonts w:hAnsi="宋体"/>
          <w:color w:val="auto"/>
          <w:highlight w:val="none"/>
        </w:rPr>
        <w:t>天内提交一份说明其进场延误的书面报告，报送监理人。书面报告应说明不能及时进场的原因和补救措施，由此增加的费用和工期延误责任由承包人承担。</w:t>
      </w:r>
    </w:p>
    <w:p w14:paraId="590AD432">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11.2 竣工（完工）</w:t>
      </w:r>
    </w:p>
    <w:p w14:paraId="3A8ABB3D">
      <w:pPr>
        <w:pageBreakBefore w:val="0"/>
        <w:kinsoku/>
        <w:wordWrap/>
        <w:overflowPunct/>
        <w:topLinePunct w:val="0"/>
        <w:bidi w:val="0"/>
        <w:snapToGrid/>
        <w:spacing w:line="400" w:lineRule="exact"/>
        <w:ind w:firstLine="420" w:firstLineChars="200"/>
        <w:rPr>
          <w:rFonts w:hAnsi="宋体"/>
          <w:color w:val="auto"/>
          <w:highlight w:val="none"/>
        </w:rPr>
      </w:pPr>
      <w:r>
        <w:rPr>
          <w:rFonts w:hAnsi="宋体"/>
          <w:color w:val="auto"/>
          <w:highlight w:val="none"/>
        </w:rPr>
        <w:t>承包人应在第</w:t>
      </w:r>
      <w:r>
        <w:rPr>
          <w:color w:val="auto"/>
          <w:highlight w:val="none"/>
        </w:rPr>
        <w:t>1.1.4.3</w:t>
      </w:r>
      <w:r>
        <w:rPr>
          <w:rFonts w:hAnsi="宋体"/>
          <w:color w:val="auto"/>
          <w:highlight w:val="none"/>
        </w:rPr>
        <w:t>目约定的期限内完成合同工程。合同工程实际完工日期在合同工</w:t>
      </w:r>
    </w:p>
    <w:p w14:paraId="6D4080C4">
      <w:pPr>
        <w:pageBreakBefore w:val="0"/>
        <w:kinsoku/>
        <w:wordWrap/>
        <w:overflowPunct/>
        <w:topLinePunct w:val="0"/>
        <w:bidi w:val="0"/>
        <w:snapToGrid/>
        <w:spacing w:line="400" w:lineRule="exact"/>
        <w:rPr>
          <w:color w:val="auto"/>
          <w:highlight w:val="none"/>
        </w:rPr>
      </w:pPr>
      <w:r>
        <w:rPr>
          <w:rFonts w:hAnsi="宋体"/>
          <w:color w:val="auto"/>
          <w:highlight w:val="none"/>
        </w:rPr>
        <w:t>程完工证书中明确。</w:t>
      </w:r>
    </w:p>
    <w:p w14:paraId="0A15C352">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11.3 发包人的工期延误</w:t>
      </w:r>
    </w:p>
    <w:p w14:paraId="26E24220">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在履行合同过程中，由于发包人的下列原因造成工期延误的，承包人有权要求发包人延长工期和（或）增加费用，并支付合理利润。需要修订合同进度计划的，按照第</w:t>
      </w:r>
      <w:r>
        <w:rPr>
          <w:color w:val="auto"/>
          <w:highlight w:val="none"/>
        </w:rPr>
        <w:t xml:space="preserve">10.2 </w:t>
      </w:r>
      <w:r>
        <w:rPr>
          <w:rFonts w:hAnsi="宋体"/>
          <w:color w:val="auto"/>
          <w:highlight w:val="none"/>
        </w:rPr>
        <w:t>款的约定办理。</w:t>
      </w:r>
    </w:p>
    <w:p w14:paraId="13977ECC">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l</w:t>
      </w:r>
      <w:r>
        <w:rPr>
          <w:rFonts w:hAnsi="宋体"/>
          <w:color w:val="auto"/>
          <w:highlight w:val="none"/>
        </w:rPr>
        <w:t>）增加合同工作内容；</w:t>
      </w:r>
    </w:p>
    <w:p w14:paraId="37E6C508">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2</w:t>
      </w:r>
      <w:r>
        <w:rPr>
          <w:rFonts w:hAnsi="宋体"/>
          <w:color w:val="auto"/>
          <w:highlight w:val="none"/>
        </w:rPr>
        <w:t>）改变合同中任何一项工作的质量要求或其他特性；</w:t>
      </w:r>
    </w:p>
    <w:p w14:paraId="417D7481">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3</w:t>
      </w:r>
      <w:r>
        <w:rPr>
          <w:rFonts w:hAnsi="宋体"/>
          <w:color w:val="auto"/>
          <w:highlight w:val="none"/>
        </w:rPr>
        <w:t>）发包人迟延提供材料、工程设备或变更交货地点的；</w:t>
      </w:r>
    </w:p>
    <w:p w14:paraId="01DF435D">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4</w:t>
      </w:r>
      <w:r>
        <w:rPr>
          <w:rFonts w:hAnsi="宋体"/>
          <w:color w:val="auto"/>
          <w:highlight w:val="none"/>
        </w:rPr>
        <w:t>）因发包人原因导致的暂停施工；</w:t>
      </w:r>
    </w:p>
    <w:p w14:paraId="0B115B87">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5</w:t>
      </w:r>
      <w:r>
        <w:rPr>
          <w:rFonts w:hAnsi="宋体"/>
          <w:color w:val="auto"/>
          <w:highlight w:val="none"/>
        </w:rPr>
        <w:t>）提供图纸延误；</w:t>
      </w:r>
    </w:p>
    <w:p w14:paraId="0DA2FECF">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6</w:t>
      </w:r>
      <w:r>
        <w:rPr>
          <w:rFonts w:hAnsi="宋体"/>
          <w:color w:val="auto"/>
          <w:highlight w:val="none"/>
        </w:rPr>
        <w:t>）未按合同约定及时支付预付款、进度款；</w:t>
      </w:r>
    </w:p>
    <w:p w14:paraId="3D8FB5AD">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7</w:t>
      </w:r>
      <w:r>
        <w:rPr>
          <w:rFonts w:hAnsi="宋体"/>
          <w:color w:val="auto"/>
          <w:highlight w:val="none"/>
        </w:rPr>
        <w:t>）发包人造成工期延误的其他原因。</w:t>
      </w:r>
    </w:p>
    <w:p w14:paraId="3EEC5A26">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11.4 异常恶劣的气候条件</w:t>
      </w:r>
    </w:p>
    <w:p w14:paraId="26788DCE">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11.4.1 </w:t>
      </w:r>
      <w:r>
        <w:rPr>
          <w:rFonts w:hAnsi="宋体"/>
          <w:color w:val="auto"/>
          <w:highlight w:val="none"/>
        </w:rPr>
        <w:t>当工程所在地发生危及施工安全的异常恶劣气候时，发包人和承包人应按本合同通用合同条款第</w:t>
      </w:r>
      <w:r>
        <w:rPr>
          <w:color w:val="auto"/>
          <w:highlight w:val="none"/>
        </w:rPr>
        <w:t>12</w:t>
      </w:r>
      <w:r>
        <w:rPr>
          <w:rFonts w:hAnsi="宋体"/>
          <w:color w:val="auto"/>
          <w:highlight w:val="none"/>
        </w:rPr>
        <w:t>条的约定，及时采取暂停施工或部分暂停施工措施。异常恶劣气候条件解除后，承包人应及时安排复工。</w:t>
      </w:r>
    </w:p>
    <w:p w14:paraId="388A1B88">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11.4.2 </w:t>
      </w:r>
      <w:r>
        <w:rPr>
          <w:rFonts w:hAnsi="宋体"/>
          <w:color w:val="auto"/>
          <w:highlight w:val="none"/>
        </w:rPr>
        <w:t>异常恶劣气候条件造成的工期延误和工程损坏，应由发包人与承包人参照本合同通用合同条款第</w:t>
      </w:r>
      <w:r>
        <w:rPr>
          <w:color w:val="auto"/>
          <w:highlight w:val="none"/>
        </w:rPr>
        <w:t>21.3</w:t>
      </w:r>
      <w:r>
        <w:rPr>
          <w:rFonts w:hAnsi="宋体"/>
          <w:color w:val="auto"/>
          <w:highlight w:val="none"/>
        </w:rPr>
        <w:t>款的约定协商处理。</w:t>
      </w:r>
    </w:p>
    <w:p w14:paraId="4B2156CB">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11.4.3 </w:t>
      </w:r>
      <w:r>
        <w:rPr>
          <w:rFonts w:hAnsi="宋体"/>
          <w:color w:val="auto"/>
          <w:highlight w:val="none"/>
        </w:rPr>
        <w:t>本合同工程界定异常恶劣气候条件的范围在专用合同条款中约定。</w:t>
      </w:r>
    </w:p>
    <w:p w14:paraId="2C1FA52E">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11.5 承包人的工期延误</w:t>
      </w:r>
    </w:p>
    <w:p w14:paraId="10750743">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291ADB77">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11.6 工期提前</w:t>
      </w:r>
    </w:p>
    <w:p w14:paraId="4E451402">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56258F75">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发包人要求提前完工的，双方协商一致后应签订提前完工协议，协议内容包括：</w:t>
      </w:r>
    </w:p>
    <w:p w14:paraId="3EFB9610">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1</w:t>
      </w:r>
      <w:r>
        <w:rPr>
          <w:rFonts w:hAnsi="宋体"/>
          <w:color w:val="auto"/>
          <w:highlight w:val="none"/>
        </w:rPr>
        <w:t>）提前的时间和修订后的进度计划；</w:t>
      </w:r>
    </w:p>
    <w:p w14:paraId="3198B6EB">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2</w:t>
      </w:r>
      <w:r>
        <w:rPr>
          <w:rFonts w:hAnsi="宋体"/>
          <w:color w:val="auto"/>
          <w:highlight w:val="none"/>
        </w:rPr>
        <w:t>）承包人的赶工措施；</w:t>
      </w:r>
    </w:p>
    <w:p w14:paraId="19325A62">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3</w:t>
      </w:r>
      <w:r>
        <w:rPr>
          <w:rFonts w:hAnsi="宋体"/>
          <w:color w:val="auto"/>
          <w:highlight w:val="none"/>
        </w:rPr>
        <w:t>）发包人为赶工提供的条件；</w:t>
      </w:r>
    </w:p>
    <w:p w14:paraId="2DFBCE4C">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4</w:t>
      </w:r>
      <w:r>
        <w:rPr>
          <w:rFonts w:hAnsi="宋体"/>
          <w:color w:val="auto"/>
          <w:highlight w:val="none"/>
        </w:rPr>
        <w:t>）赶工费用（包括利润和奖金）。</w:t>
      </w:r>
    </w:p>
    <w:p w14:paraId="73CAF5C1">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bookmarkStart w:id="58" w:name="_Toc265408501"/>
      <w:r>
        <w:rPr>
          <w:rFonts w:ascii="Times New Roman" w:hAnsi="Times New Roman" w:eastAsia="宋体" w:cs="Times New Roman"/>
          <w:b/>
          <w:bCs/>
          <w:color w:val="auto"/>
          <w:sz w:val="24"/>
          <w:szCs w:val="24"/>
          <w:highlight w:val="none"/>
          <w:lang w:val="en-US" w:eastAsia="zh-CN"/>
        </w:rPr>
        <w:t>12  暂停施工</w:t>
      </w:r>
      <w:bookmarkEnd w:id="58"/>
    </w:p>
    <w:p w14:paraId="17DC074B">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12.1 承包人暂停施工的责任</w:t>
      </w:r>
    </w:p>
    <w:p w14:paraId="7257A6E4">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因下列暂停施工增加的费用和（或）工期延误由承包人承担：</w:t>
      </w:r>
    </w:p>
    <w:p w14:paraId="2F24E9CF">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1</w:t>
      </w:r>
      <w:r>
        <w:rPr>
          <w:rFonts w:hAnsi="宋体"/>
          <w:color w:val="auto"/>
          <w:highlight w:val="none"/>
        </w:rPr>
        <w:t>）承包人违约引起的暂停施工；</w:t>
      </w:r>
    </w:p>
    <w:p w14:paraId="06C6AC5A">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2</w:t>
      </w:r>
      <w:r>
        <w:rPr>
          <w:rFonts w:hAnsi="宋体"/>
          <w:color w:val="auto"/>
          <w:highlight w:val="none"/>
        </w:rPr>
        <w:t>）由于承包人原因为工程合理施工和安全保障所必需的暂停施工；</w:t>
      </w:r>
    </w:p>
    <w:p w14:paraId="5EE91A72">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3</w:t>
      </w:r>
      <w:r>
        <w:rPr>
          <w:rFonts w:hAnsi="宋体"/>
          <w:color w:val="auto"/>
          <w:highlight w:val="none"/>
        </w:rPr>
        <w:t>）承包人擅自暂停施工；</w:t>
      </w:r>
    </w:p>
    <w:p w14:paraId="30B8D036">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4</w:t>
      </w:r>
      <w:r>
        <w:rPr>
          <w:rFonts w:hAnsi="宋体"/>
          <w:color w:val="auto"/>
          <w:highlight w:val="none"/>
        </w:rPr>
        <w:t>）承包人其他原因引起的暂停施工；</w:t>
      </w:r>
    </w:p>
    <w:p w14:paraId="3E2D6350">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5</w:t>
      </w:r>
      <w:r>
        <w:rPr>
          <w:rFonts w:hAnsi="宋体"/>
          <w:color w:val="auto"/>
          <w:highlight w:val="none"/>
        </w:rPr>
        <w:t>）专用合同条款约定由承包人承担的其他暂停施工。</w:t>
      </w:r>
    </w:p>
    <w:p w14:paraId="704E2B61">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12.2 发包人暂停施工的责任</w:t>
      </w:r>
    </w:p>
    <w:p w14:paraId="7C70EB33">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由于发包人原因引起的暂停施工造成工期延误的，承包人有权要求发包人延长工期和（或）增加费用，并支付合理利润。</w:t>
      </w:r>
    </w:p>
    <w:p w14:paraId="051F4CD7">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属于下列任何一种情况引起的暂停施工，均为发包人的责任：</w:t>
      </w:r>
    </w:p>
    <w:p w14:paraId="3A7D4BCD">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1</w:t>
      </w:r>
      <w:r>
        <w:rPr>
          <w:rFonts w:hAnsi="宋体"/>
          <w:color w:val="auto"/>
          <w:highlight w:val="none"/>
        </w:rPr>
        <w:t>）由于发包人违约引起的暂停施工；</w:t>
      </w:r>
    </w:p>
    <w:p w14:paraId="3E3A31FF">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2</w:t>
      </w:r>
      <w:r>
        <w:rPr>
          <w:rFonts w:hAnsi="宋体"/>
          <w:color w:val="auto"/>
          <w:highlight w:val="none"/>
        </w:rPr>
        <w:t>）由于不可抗力的自然或社会因素引起的暂停施工；</w:t>
      </w:r>
    </w:p>
    <w:p w14:paraId="055EAC4A">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3</w:t>
      </w:r>
      <w:r>
        <w:rPr>
          <w:rFonts w:hAnsi="宋体"/>
          <w:color w:val="auto"/>
          <w:highlight w:val="none"/>
        </w:rPr>
        <w:t>）专用合同条款中约定的其它由于发包人原因引起的暂停施工。</w:t>
      </w:r>
    </w:p>
    <w:p w14:paraId="7D1859E7">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12.3 监理人暂停施工指示</w:t>
      </w:r>
    </w:p>
    <w:p w14:paraId="37B7F4DF">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12.3.1 </w:t>
      </w:r>
      <w:r>
        <w:rPr>
          <w:rFonts w:hAnsi="宋体"/>
          <w:color w:val="auto"/>
          <w:highlight w:val="none"/>
        </w:rPr>
        <w:t>监理人认为有必要时，可向承包人作出暂停施工的指示，承包人应按监理人指示暂停施工。不论由于何种原因引起的暂停施工，暂停施工期间承包人应负责妥善保护工程并提供安全保障。</w:t>
      </w:r>
    </w:p>
    <w:p w14:paraId="44DB0770">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12.3.2 </w:t>
      </w:r>
      <w:r>
        <w:rPr>
          <w:rFonts w:hAnsi="宋体"/>
          <w:color w:val="auto"/>
          <w:highlight w:val="none"/>
        </w:rPr>
        <w:t>由于发包人的原因发生暂停施工的紧急情况，且监理人未及时下达暂停施工指示的，承包人可先暂停施工，并及时向监理人提出暂停施工的书面请求。监理人应在接到书面请求后的</w:t>
      </w:r>
      <w:r>
        <w:rPr>
          <w:color w:val="auto"/>
          <w:highlight w:val="none"/>
        </w:rPr>
        <w:t>24</w:t>
      </w:r>
      <w:r>
        <w:rPr>
          <w:rFonts w:hAnsi="宋体"/>
          <w:color w:val="auto"/>
          <w:highlight w:val="none"/>
        </w:rPr>
        <w:t>小时内予以答复，逾期未答复的，视为同意承包人的暂停施工请求。</w:t>
      </w:r>
    </w:p>
    <w:p w14:paraId="4979B24A">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12.4 暂停施工后的复工</w:t>
      </w:r>
    </w:p>
    <w:p w14:paraId="31905A38">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12.4.1 </w:t>
      </w:r>
      <w:r>
        <w:rPr>
          <w:rFonts w:hAnsi="宋体"/>
          <w:color w:val="auto"/>
          <w:highlight w:val="none"/>
        </w:rPr>
        <w:t>暂停施工后，监理人应与发包人和承包人协商，采取有效措施积极消除暂停施工的影响。当工程具备复工条件时，监理人应立即向承包人发出复工通知。承包人收到复工通知后，应在监理人指定的期限内复工。</w:t>
      </w:r>
    </w:p>
    <w:p w14:paraId="0235EF91">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12.4.2 </w:t>
      </w:r>
      <w:r>
        <w:rPr>
          <w:rFonts w:hAnsi="宋体"/>
          <w:color w:val="auto"/>
          <w:highlight w:val="none"/>
        </w:rPr>
        <w:t>承包人无故拖延和拒绝复工的，由此增加的费用和工期延误由承包人承担；因发包人原因无法按时复工的，承包人有权要求发包人延长工期和（或）增加费用，并支付合理利润。</w:t>
      </w:r>
    </w:p>
    <w:p w14:paraId="2FCD985B">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12.5 暂停施工持续56 天以上</w:t>
      </w:r>
    </w:p>
    <w:p w14:paraId="35A0A948">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12.5.1 </w:t>
      </w:r>
      <w:r>
        <w:rPr>
          <w:rFonts w:hAnsi="宋体"/>
          <w:color w:val="auto"/>
          <w:highlight w:val="none"/>
        </w:rPr>
        <w:t>监理人发出暂停施工指示后</w:t>
      </w:r>
      <w:r>
        <w:rPr>
          <w:color w:val="auto"/>
          <w:highlight w:val="none"/>
        </w:rPr>
        <w:t xml:space="preserve">56 </w:t>
      </w:r>
      <w:r>
        <w:rPr>
          <w:rFonts w:hAnsi="宋体"/>
          <w:color w:val="auto"/>
          <w:highlight w:val="none"/>
        </w:rPr>
        <w:t>天内未向承包人发出复工通知，除了该项停工属于第</w:t>
      </w:r>
      <w:r>
        <w:rPr>
          <w:color w:val="auto"/>
          <w:highlight w:val="none"/>
        </w:rPr>
        <w:t xml:space="preserve">12.1 </w:t>
      </w:r>
      <w:r>
        <w:rPr>
          <w:rFonts w:hAnsi="宋体"/>
          <w:color w:val="auto"/>
          <w:highlight w:val="none"/>
        </w:rPr>
        <w:t>款的情况外，承包人可向监理人提交书面通知，要求监理人在收到书面通知后</w:t>
      </w:r>
      <w:r>
        <w:rPr>
          <w:color w:val="auto"/>
          <w:highlight w:val="none"/>
        </w:rPr>
        <w:t>28</w:t>
      </w:r>
      <w:r>
        <w:rPr>
          <w:rFonts w:hAnsi="宋体"/>
          <w:color w:val="auto"/>
          <w:highlight w:val="none"/>
        </w:rPr>
        <w:t>天内准许已暂停施工的工程或其中一部分工程继续施工。如监理人逾期不予批准，则承包人可以通知监理人，将工程受影响的部分视为按第</w:t>
      </w:r>
      <w:r>
        <w:rPr>
          <w:color w:val="auto"/>
          <w:highlight w:val="none"/>
        </w:rPr>
        <w:t>15.1</w:t>
      </w:r>
      <w:r>
        <w:rPr>
          <w:rFonts w:hAnsi="宋体"/>
          <w:color w:val="auto"/>
          <w:highlight w:val="none"/>
        </w:rPr>
        <w:t>（</w:t>
      </w:r>
      <w:r>
        <w:rPr>
          <w:color w:val="auto"/>
          <w:highlight w:val="none"/>
        </w:rPr>
        <w:t>l</w:t>
      </w:r>
      <w:r>
        <w:rPr>
          <w:rFonts w:hAnsi="宋体"/>
          <w:color w:val="auto"/>
          <w:highlight w:val="none"/>
        </w:rPr>
        <w:t>）款的可取消工作。如暂停施工影响到整个工程，可视为发包人违约，应按第</w:t>
      </w:r>
      <w:r>
        <w:rPr>
          <w:color w:val="auto"/>
          <w:highlight w:val="none"/>
        </w:rPr>
        <w:t xml:space="preserve">22.2 </w:t>
      </w:r>
      <w:r>
        <w:rPr>
          <w:rFonts w:hAnsi="宋体"/>
          <w:color w:val="auto"/>
          <w:highlight w:val="none"/>
        </w:rPr>
        <w:t>款的规定办理。</w:t>
      </w:r>
    </w:p>
    <w:p w14:paraId="52BC8900">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12.5.2 </w:t>
      </w:r>
      <w:r>
        <w:rPr>
          <w:rFonts w:hAnsi="宋体"/>
          <w:color w:val="auto"/>
          <w:highlight w:val="none"/>
        </w:rPr>
        <w:t>由于承包人责任引起的暂停施工，如承包人在收到监理人暂停施工指示后</w:t>
      </w:r>
      <w:r>
        <w:rPr>
          <w:color w:val="auto"/>
          <w:highlight w:val="none"/>
        </w:rPr>
        <w:t xml:space="preserve">56 </w:t>
      </w:r>
      <w:r>
        <w:rPr>
          <w:rFonts w:hAnsi="宋体"/>
          <w:color w:val="auto"/>
          <w:highlight w:val="none"/>
        </w:rPr>
        <w:t>天内不认真采取有效的复工措施，造成工期延误，可视为承包人违约，应按第</w:t>
      </w:r>
      <w:r>
        <w:rPr>
          <w:color w:val="auto"/>
          <w:highlight w:val="none"/>
        </w:rPr>
        <w:t xml:space="preserve">22.1 </w:t>
      </w:r>
      <w:r>
        <w:rPr>
          <w:rFonts w:hAnsi="宋体"/>
          <w:color w:val="auto"/>
          <w:highlight w:val="none"/>
        </w:rPr>
        <w:t>款的规定办理。</w:t>
      </w:r>
    </w:p>
    <w:p w14:paraId="49583269">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bookmarkStart w:id="59" w:name="_Toc265408502"/>
      <w:r>
        <w:rPr>
          <w:rFonts w:ascii="Times New Roman" w:hAnsi="Times New Roman" w:eastAsia="宋体" w:cs="Times New Roman"/>
          <w:b/>
          <w:bCs/>
          <w:color w:val="auto"/>
          <w:sz w:val="24"/>
          <w:szCs w:val="24"/>
          <w:highlight w:val="none"/>
          <w:lang w:val="en-US" w:eastAsia="zh-CN"/>
        </w:rPr>
        <w:t>13  工程质量</w:t>
      </w:r>
      <w:bookmarkEnd w:id="59"/>
    </w:p>
    <w:p w14:paraId="4E74B0A1">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13.1 工程质量要求</w:t>
      </w:r>
    </w:p>
    <w:p w14:paraId="3C6CA1AD">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13.1.1 </w:t>
      </w:r>
      <w:r>
        <w:rPr>
          <w:rFonts w:hAnsi="宋体"/>
          <w:color w:val="auto"/>
          <w:highlight w:val="none"/>
        </w:rPr>
        <w:t>工程质量验收按合同约定验收标准执行。</w:t>
      </w:r>
    </w:p>
    <w:p w14:paraId="75F79023">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13.1.2 </w:t>
      </w:r>
      <w:r>
        <w:rPr>
          <w:rFonts w:hAnsi="宋体"/>
          <w:color w:val="auto"/>
          <w:highlight w:val="none"/>
        </w:rPr>
        <w:t>因承包人原因造成工程质量达不到合同约定验收标准的，监理人有权要求承包人返工直至符合合同要求为止，由此造成的费用增加和（或）工期延误由承包人承担。</w:t>
      </w:r>
    </w:p>
    <w:p w14:paraId="782D026D">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13.1.3 </w:t>
      </w:r>
      <w:r>
        <w:rPr>
          <w:rFonts w:hAnsi="宋体"/>
          <w:color w:val="auto"/>
          <w:highlight w:val="none"/>
        </w:rPr>
        <w:t>因发包人原因造成工程质量达不到合同约定验收标准的，发包人应承担由于承包人返工造成的费用增加和（或）工期延误，并支付承包人合理利润。</w:t>
      </w:r>
    </w:p>
    <w:p w14:paraId="673D613C">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13.2 承包人的质量管理</w:t>
      </w:r>
    </w:p>
    <w:p w14:paraId="341E7CB0">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13.2.1</w:t>
      </w:r>
      <w:r>
        <w:rPr>
          <w:rFonts w:hAnsi="宋体"/>
          <w:color w:val="auto"/>
          <w:highlight w:val="none"/>
        </w:rPr>
        <w:t>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14:paraId="7ADEAAFE">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13.2.2 </w:t>
      </w:r>
      <w:r>
        <w:rPr>
          <w:rFonts w:hAnsi="宋体"/>
          <w:color w:val="auto"/>
          <w:highlight w:val="none"/>
        </w:rPr>
        <w:t>承包人应加强对施工人员的质量教育和技术培训，定期考核施工人员的劳动技能，严格执行规范和操作规程。</w:t>
      </w:r>
    </w:p>
    <w:p w14:paraId="3775CECE">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13.3 承包人的质量检查</w:t>
      </w:r>
    </w:p>
    <w:p w14:paraId="484E2057">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承包人应按合同约定对材料、工程设备以及工程的所有部位及其施工工艺进行全过程的质量检查和检验，并作详细记录，编制工程质量报表，报送监理人审查。</w:t>
      </w:r>
    </w:p>
    <w:p w14:paraId="6AC450D3">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13.4 监理人的质量检查</w:t>
      </w:r>
    </w:p>
    <w:p w14:paraId="1467E86D">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7B3CE98B">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13.5 工程隐蔽部位覆盖前的检查</w:t>
      </w:r>
    </w:p>
    <w:p w14:paraId="7DC0CFCE">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13.5.1 </w:t>
      </w:r>
      <w:r>
        <w:rPr>
          <w:rFonts w:hAnsi="宋体"/>
          <w:color w:val="auto"/>
          <w:highlight w:val="none"/>
        </w:rPr>
        <w:t>通知监理人检查</w:t>
      </w:r>
    </w:p>
    <w:p w14:paraId="15B4F62E">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640135D6">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13.5.2 </w:t>
      </w:r>
      <w:r>
        <w:rPr>
          <w:rFonts w:hAnsi="宋体"/>
          <w:color w:val="auto"/>
          <w:highlight w:val="none"/>
        </w:rPr>
        <w:t>监理人未到场检查</w:t>
      </w:r>
    </w:p>
    <w:p w14:paraId="6E92D862">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监理人未按第</w:t>
      </w:r>
      <w:r>
        <w:rPr>
          <w:color w:val="auto"/>
          <w:highlight w:val="none"/>
        </w:rPr>
        <w:t xml:space="preserve">13.5.l </w:t>
      </w:r>
      <w:r>
        <w:rPr>
          <w:rFonts w:hAnsi="宋体"/>
          <w:color w:val="auto"/>
          <w:highlight w:val="none"/>
        </w:rPr>
        <w:t>款约定的时间进行检查的，除监理人另有指示外，承包人可自行完成覆盖工作，并作相应记录报送监理人，监理人应签字确认。监理人事后对检查记录有疑问的，可按第</w:t>
      </w:r>
      <w:r>
        <w:rPr>
          <w:color w:val="auto"/>
          <w:highlight w:val="none"/>
        </w:rPr>
        <w:t xml:space="preserve">13.5.3 </w:t>
      </w:r>
      <w:r>
        <w:rPr>
          <w:rFonts w:hAnsi="宋体"/>
          <w:color w:val="auto"/>
          <w:highlight w:val="none"/>
        </w:rPr>
        <w:t>款的约定重新检查。</w:t>
      </w:r>
    </w:p>
    <w:p w14:paraId="4BBE3991">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13.5.3 </w:t>
      </w:r>
      <w:r>
        <w:rPr>
          <w:rFonts w:hAnsi="宋体"/>
          <w:color w:val="auto"/>
          <w:highlight w:val="none"/>
        </w:rPr>
        <w:t>监理人重新检查</w:t>
      </w:r>
    </w:p>
    <w:p w14:paraId="55D96FDB">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承包人按第</w:t>
      </w:r>
      <w:r>
        <w:rPr>
          <w:color w:val="auto"/>
          <w:highlight w:val="none"/>
        </w:rPr>
        <w:t xml:space="preserve">13.5.1 </w:t>
      </w:r>
      <w:r>
        <w:rPr>
          <w:rFonts w:hAnsi="宋体"/>
          <w:color w:val="auto"/>
          <w:highlight w:val="none"/>
        </w:rPr>
        <w:t>款或第</w:t>
      </w:r>
      <w:r>
        <w:rPr>
          <w:color w:val="auto"/>
          <w:highlight w:val="none"/>
        </w:rPr>
        <w:t xml:space="preserve">13.5.2 </w:t>
      </w:r>
      <w:r>
        <w:rPr>
          <w:rFonts w:hAnsi="宋体"/>
          <w:color w:val="auto"/>
          <w:highlight w:val="none"/>
        </w:rPr>
        <w:t>款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1F0B8B63">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13.5.4 </w:t>
      </w:r>
      <w:r>
        <w:rPr>
          <w:rFonts w:hAnsi="宋体"/>
          <w:color w:val="auto"/>
          <w:highlight w:val="none"/>
        </w:rPr>
        <w:t>承包人私自覆盖</w:t>
      </w:r>
    </w:p>
    <w:p w14:paraId="284CE701">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承包人未通知监理人到场检查，私自将工程隐蔽部位覆盖的，监理人有权指示承包人钻孔探测或揭开检查，由此增加的费用和（或）工期延误由承包人承担。</w:t>
      </w:r>
    </w:p>
    <w:p w14:paraId="5CD6C5DF">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13.6 清除不合格工程</w:t>
      </w:r>
    </w:p>
    <w:p w14:paraId="776894A7">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13.6.1 </w:t>
      </w:r>
      <w:r>
        <w:rPr>
          <w:rFonts w:hAnsi="宋体"/>
          <w:color w:val="auto"/>
          <w:highlight w:val="none"/>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0582E3E9">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13.6.2 </w:t>
      </w:r>
      <w:r>
        <w:rPr>
          <w:rFonts w:hAnsi="宋体"/>
          <w:color w:val="auto"/>
          <w:highlight w:val="none"/>
        </w:rPr>
        <w:t>由于发包人提供的材料或工程设备不合格造成的工程不合格，需要承包人采取措施补救的，发包人应承担由此增加的费用和（或）工期延误，并支付承包人合理利润。</w:t>
      </w:r>
    </w:p>
    <w:p w14:paraId="72B637D3">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13.7 质量评定</w:t>
      </w:r>
    </w:p>
    <w:p w14:paraId="1619CB18">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13.7.1 </w:t>
      </w:r>
      <w:r>
        <w:rPr>
          <w:rFonts w:hAnsi="宋体"/>
          <w:color w:val="auto"/>
          <w:highlight w:val="none"/>
        </w:rPr>
        <w:t>发包人应组织承包人进行工程项目划分，并确定单位工程、主要分部工程、重要隐蔽单元工程和关键部位单元工程。</w:t>
      </w:r>
    </w:p>
    <w:p w14:paraId="4F7D1604">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13.7.2 </w:t>
      </w:r>
      <w:r>
        <w:rPr>
          <w:rFonts w:hAnsi="宋体"/>
          <w:color w:val="auto"/>
          <w:highlight w:val="none"/>
        </w:rPr>
        <w:t>工程实施过程中，单位工程、主要分部工程、重要隐蔽单元工程和关键部位单元工程的项目划分需要调整时，承包人应报发包人确认。</w:t>
      </w:r>
    </w:p>
    <w:p w14:paraId="2F0E8A96">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13.7.3 </w:t>
      </w:r>
      <w:r>
        <w:rPr>
          <w:rFonts w:hAnsi="宋体"/>
          <w:color w:val="auto"/>
          <w:highlight w:val="none"/>
        </w:rPr>
        <w:t>承包人应在单元（工序）工程质量自评合格后，报监理人核定质量等级并签证认可。</w:t>
      </w:r>
    </w:p>
    <w:p w14:paraId="2606CE2F">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13.7.4 </w:t>
      </w:r>
      <w:r>
        <w:rPr>
          <w:rFonts w:hAnsi="宋体"/>
          <w:color w:val="auto"/>
          <w:highlight w:val="none"/>
        </w:rPr>
        <w:t>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14:paraId="1C36E401">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13.7.5 </w:t>
      </w:r>
      <w:r>
        <w:rPr>
          <w:rFonts w:hAnsi="宋体"/>
          <w:color w:val="auto"/>
          <w:highlight w:val="none"/>
        </w:rPr>
        <w:t>承包人应在分部工程质量自评合格后，报监理人复核和发包人认定。发包人负责按有关规定完成分部工程质量结论报工程质量监督机构核备（核定）手续。</w:t>
      </w:r>
    </w:p>
    <w:p w14:paraId="1BDA9D47">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13.7.6 </w:t>
      </w:r>
      <w:r>
        <w:rPr>
          <w:rFonts w:hAnsi="宋体"/>
          <w:color w:val="auto"/>
          <w:highlight w:val="none"/>
        </w:rPr>
        <w:t>承包人应在单位工程质量自评合格后，报监理人复核和发包人认定。发包人负责按有关规定完成单位工程质量结论报工程质量监督机构核定手续。</w:t>
      </w:r>
    </w:p>
    <w:p w14:paraId="4738DA69">
      <w:pPr>
        <w:pageBreakBefore w:val="0"/>
        <w:kinsoku/>
        <w:wordWrap/>
        <w:overflowPunct/>
        <w:topLinePunct w:val="0"/>
        <w:bidi w:val="0"/>
        <w:snapToGrid/>
        <w:spacing w:line="400" w:lineRule="exact"/>
        <w:ind w:firstLine="420" w:firstLineChars="200"/>
        <w:rPr>
          <w:rFonts w:hAnsi="宋体"/>
          <w:color w:val="auto"/>
          <w:highlight w:val="none"/>
        </w:rPr>
      </w:pPr>
      <w:r>
        <w:rPr>
          <w:color w:val="auto"/>
          <w:highlight w:val="none"/>
        </w:rPr>
        <w:t xml:space="preserve">13.7.7 </w:t>
      </w:r>
      <w:r>
        <w:rPr>
          <w:rFonts w:hAnsi="宋体"/>
          <w:color w:val="auto"/>
          <w:highlight w:val="none"/>
        </w:rPr>
        <w:t>除专用合同条款另有约定外，工程质量等级分为合格和优良，应分别达到约定的</w:t>
      </w:r>
    </w:p>
    <w:p w14:paraId="52F41668">
      <w:pPr>
        <w:pageBreakBefore w:val="0"/>
        <w:kinsoku/>
        <w:wordWrap/>
        <w:overflowPunct/>
        <w:topLinePunct w:val="0"/>
        <w:bidi w:val="0"/>
        <w:snapToGrid/>
        <w:spacing w:line="400" w:lineRule="exact"/>
        <w:rPr>
          <w:color w:val="auto"/>
          <w:highlight w:val="none"/>
        </w:rPr>
      </w:pPr>
      <w:r>
        <w:rPr>
          <w:rFonts w:hAnsi="宋体"/>
          <w:color w:val="auto"/>
          <w:highlight w:val="none"/>
        </w:rPr>
        <w:t>标准。</w:t>
      </w:r>
    </w:p>
    <w:p w14:paraId="18A6F603">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13.8 质量事故处理</w:t>
      </w:r>
    </w:p>
    <w:p w14:paraId="458D4D1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13.8.1 </w:t>
      </w:r>
      <w:r>
        <w:rPr>
          <w:rFonts w:hAnsi="宋体"/>
          <w:color w:val="auto"/>
          <w:highlight w:val="none"/>
        </w:rPr>
        <w:t>发生质量事故时，承包人应及时向发包人和监理人报告。</w:t>
      </w:r>
    </w:p>
    <w:p w14:paraId="7D42C6A8">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13.8.2 </w:t>
      </w:r>
      <w:r>
        <w:rPr>
          <w:rFonts w:hAnsi="宋体"/>
          <w:color w:val="auto"/>
          <w:highlight w:val="none"/>
        </w:rPr>
        <w:t>质量事故调查处理由发包人按相关规定履行手续，承包人应配合。</w:t>
      </w:r>
    </w:p>
    <w:p w14:paraId="41A870F7">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13.8.3 </w:t>
      </w:r>
      <w:r>
        <w:rPr>
          <w:rFonts w:hAnsi="宋体"/>
          <w:color w:val="auto"/>
          <w:highlight w:val="none"/>
        </w:rPr>
        <w:t>承包人应对质量缺陷进行备案。发包人委托监理人对质量缺陷备案情况进行监督检查并履行相关手续。</w:t>
      </w:r>
    </w:p>
    <w:p w14:paraId="7957BF62">
      <w:pPr>
        <w:pageBreakBefore w:val="0"/>
        <w:kinsoku/>
        <w:wordWrap/>
        <w:overflowPunct/>
        <w:topLinePunct w:val="0"/>
        <w:bidi w:val="0"/>
        <w:snapToGrid/>
        <w:spacing w:line="400" w:lineRule="exact"/>
        <w:ind w:firstLine="420" w:firstLineChars="200"/>
        <w:rPr>
          <w:color w:val="auto"/>
          <w:kern w:val="0"/>
          <w:sz w:val="19"/>
          <w:highlight w:val="none"/>
        </w:rPr>
      </w:pPr>
      <w:r>
        <w:rPr>
          <w:color w:val="auto"/>
          <w:highlight w:val="none"/>
        </w:rPr>
        <w:t xml:space="preserve">13.8.4 </w:t>
      </w:r>
      <w:r>
        <w:rPr>
          <w:rFonts w:hAnsi="宋体"/>
          <w:color w:val="auto"/>
          <w:highlight w:val="none"/>
        </w:rPr>
        <w:t>除专用合同条款另有约定外，工程竣工验收时，发包人负责向竣工验收委员会汇报并提交历次质量缺陷处理的备案资料。</w:t>
      </w:r>
    </w:p>
    <w:p w14:paraId="350EE458">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bookmarkStart w:id="60" w:name="_Toc265408503"/>
      <w:r>
        <w:rPr>
          <w:rFonts w:ascii="Times New Roman" w:hAnsi="Times New Roman" w:eastAsia="宋体" w:cs="Times New Roman"/>
          <w:b/>
          <w:bCs/>
          <w:color w:val="auto"/>
          <w:sz w:val="24"/>
          <w:szCs w:val="24"/>
          <w:highlight w:val="none"/>
          <w:lang w:val="en-US" w:eastAsia="zh-CN"/>
        </w:rPr>
        <w:t>14  试验和检验</w:t>
      </w:r>
      <w:bookmarkEnd w:id="60"/>
    </w:p>
    <w:p w14:paraId="41605808">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14.1 材料、工程设备和工程的试验和检验</w:t>
      </w:r>
    </w:p>
    <w:p w14:paraId="6D8C630D">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14.1.1 </w:t>
      </w:r>
      <w:r>
        <w:rPr>
          <w:rFonts w:hAnsi="宋体"/>
          <w:color w:val="auto"/>
          <w:highlight w:val="none"/>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5CEE00B">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14.1.2 </w:t>
      </w:r>
      <w:r>
        <w:rPr>
          <w:rFonts w:hAnsi="宋体"/>
          <w:color w:val="auto"/>
          <w:highlight w:val="none"/>
        </w:rPr>
        <w:t>监理人未按合同约定派员参加试验和检验的，除监理人另有指示外，承包人可自行试验和检验，并应立即将试验和检验结果报送监理人，监理人应签字确认。</w:t>
      </w:r>
    </w:p>
    <w:p w14:paraId="3CD8933A">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14.1.3 </w:t>
      </w:r>
      <w:r>
        <w:rPr>
          <w:rFonts w:hAnsi="宋体"/>
          <w:color w:val="auto"/>
          <w:highlight w:val="none"/>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07D8489D">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14.1.4 </w:t>
      </w:r>
      <w:r>
        <w:rPr>
          <w:rFonts w:hAnsi="宋体"/>
          <w:color w:val="auto"/>
          <w:highlight w:val="none"/>
        </w:rPr>
        <w:t>承包人应按相关规定和标准对水泥、钢材等原材料与中间产品质量进行检验，并报监理人复核。</w:t>
      </w:r>
    </w:p>
    <w:p w14:paraId="2EC4AC4F">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14.1.5 </w:t>
      </w:r>
      <w:r>
        <w:rPr>
          <w:rFonts w:hAnsi="宋体"/>
          <w:color w:val="auto"/>
          <w:highlight w:val="none"/>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70D59FF1">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14.1.6 </w:t>
      </w:r>
      <w:r>
        <w:rPr>
          <w:rFonts w:hAnsi="宋体"/>
          <w:color w:val="auto"/>
          <w:highlight w:val="none"/>
        </w:rPr>
        <w:t>对专用合同条款约定的试块、试件及有关材料，监理人实行见证取样。见证取样资料由承包人制备，记录应真实齐全，监理人、承包人等参与见证取样人员均应在相关文件上签字。</w:t>
      </w:r>
    </w:p>
    <w:p w14:paraId="1FC7FDA9">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14.2 现场材料试验</w:t>
      </w:r>
    </w:p>
    <w:p w14:paraId="3E32A66B">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14.2.1 </w:t>
      </w:r>
      <w:r>
        <w:rPr>
          <w:rFonts w:hAnsi="宋体"/>
          <w:color w:val="auto"/>
          <w:highlight w:val="none"/>
        </w:rPr>
        <w:t>承包人根据合同约定或监理人指示进行的现场材料试验，应由承包人提供试验场所、试验人员、试验设备器材以及其他必要的试验条件。</w:t>
      </w:r>
    </w:p>
    <w:p w14:paraId="25EBC54A">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14.2.2 </w:t>
      </w:r>
      <w:r>
        <w:rPr>
          <w:rFonts w:hAnsi="宋体"/>
          <w:color w:val="auto"/>
          <w:highlight w:val="none"/>
        </w:rPr>
        <w:t>监理人在必要时可以使用承包人的试验场所、试验设备器材以及其他试验条件，进行以工程质量检查为目的的复核性材料试验，承包人应予以协助。</w:t>
      </w:r>
    </w:p>
    <w:p w14:paraId="7E31BA80">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14.3 现场工艺试验</w:t>
      </w:r>
    </w:p>
    <w:p w14:paraId="7670E16B">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274FDB3F">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bookmarkStart w:id="61" w:name="_Toc265408504"/>
      <w:r>
        <w:rPr>
          <w:rFonts w:ascii="Times New Roman" w:hAnsi="Times New Roman" w:eastAsia="宋体" w:cs="Times New Roman"/>
          <w:b/>
          <w:bCs/>
          <w:color w:val="auto"/>
          <w:sz w:val="24"/>
          <w:szCs w:val="24"/>
          <w:highlight w:val="none"/>
          <w:lang w:val="en-US" w:eastAsia="zh-CN"/>
        </w:rPr>
        <w:t>15  变更</w:t>
      </w:r>
      <w:bookmarkEnd w:id="61"/>
    </w:p>
    <w:p w14:paraId="6C6C1EC4">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15.1 变更的范围和内容</w:t>
      </w:r>
    </w:p>
    <w:p w14:paraId="7C823AED">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在履行合同中发生以下情形之一，应按照本款规定进行变更。</w:t>
      </w:r>
    </w:p>
    <w:p w14:paraId="7B363ADE">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1</w:t>
      </w:r>
      <w:r>
        <w:rPr>
          <w:rFonts w:hAnsi="宋体"/>
          <w:color w:val="auto"/>
          <w:highlight w:val="none"/>
        </w:rPr>
        <w:t>）取消合同中任何一项工作，但被取消的工作不能转由发包人或其它人实施；</w:t>
      </w:r>
    </w:p>
    <w:p w14:paraId="18A7C11D">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2</w:t>
      </w:r>
      <w:r>
        <w:rPr>
          <w:rFonts w:hAnsi="宋体"/>
          <w:color w:val="auto"/>
          <w:highlight w:val="none"/>
        </w:rPr>
        <w:t>）改变合同中任何一项工作的质量或其它特性；</w:t>
      </w:r>
    </w:p>
    <w:p w14:paraId="58985411">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3</w:t>
      </w:r>
      <w:r>
        <w:rPr>
          <w:rFonts w:hAnsi="宋体"/>
          <w:color w:val="auto"/>
          <w:highlight w:val="none"/>
        </w:rPr>
        <w:t>）改变合同工程的基线、标高、位置或尺寸；</w:t>
      </w:r>
    </w:p>
    <w:p w14:paraId="2195A8B1">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4</w:t>
      </w:r>
      <w:r>
        <w:rPr>
          <w:rFonts w:hAnsi="宋体"/>
          <w:color w:val="auto"/>
          <w:highlight w:val="none"/>
        </w:rPr>
        <w:t>）改变合同中任何一项工作的施工时间或改变已批准的施工工艺或顺序；</w:t>
      </w:r>
    </w:p>
    <w:p w14:paraId="51009027">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5</w:t>
      </w:r>
      <w:r>
        <w:rPr>
          <w:rFonts w:hAnsi="宋体"/>
          <w:color w:val="auto"/>
          <w:highlight w:val="none"/>
        </w:rPr>
        <w:t>）为完成工程需要追加的额外工作；</w:t>
      </w:r>
    </w:p>
    <w:p w14:paraId="07FD6E2C">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6</w:t>
      </w:r>
      <w:r>
        <w:rPr>
          <w:rFonts w:hAnsi="宋体"/>
          <w:color w:val="auto"/>
          <w:highlight w:val="none"/>
        </w:rPr>
        <w:t>）增加或减少专用合同条款中约定的关键项目工程量超过其工程总量的一定数量百分比。</w:t>
      </w:r>
    </w:p>
    <w:p w14:paraId="4D912CCD">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上述第（</w:t>
      </w:r>
      <w:r>
        <w:rPr>
          <w:color w:val="auto"/>
          <w:highlight w:val="none"/>
        </w:rPr>
        <w:t>1</w:t>
      </w:r>
      <w:r>
        <w:rPr>
          <w:rFonts w:hAnsi="宋体"/>
          <w:color w:val="auto"/>
          <w:highlight w:val="none"/>
        </w:rPr>
        <w:t>）～（</w:t>
      </w:r>
      <w:r>
        <w:rPr>
          <w:color w:val="auto"/>
          <w:highlight w:val="none"/>
        </w:rPr>
        <w:t>6</w:t>
      </w:r>
      <w:r>
        <w:rPr>
          <w:rFonts w:hAnsi="宋体"/>
          <w:color w:val="auto"/>
          <w:highlight w:val="none"/>
        </w:rPr>
        <w:t>）目的变更内容引起工程施工组织和进度计划发生实质性变动和影响其原定的价格时，才予调整该项目的单价。第（</w:t>
      </w:r>
      <w:r>
        <w:rPr>
          <w:color w:val="auto"/>
          <w:highlight w:val="none"/>
        </w:rPr>
        <w:t>6</w:t>
      </w:r>
      <w:r>
        <w:rPr>
          <w:rFonts w:hAnsi="宋体"/>
          <w:color w:val="auto"/>
          <w:highlight w:val="none"/>
        </w:rPr>
        <w:t>）目情形下单价调整方式在专用合同条款中约定。</w:t>
      </w:r>
    </w:p>
    <w:p w14:paraId="02D220F4">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15.2 变更权</w:t>
      </w:r>
    </w:p>
    <w:p w14:paraId="24E9962F">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在履行合同过程中，经发包人同意，监理人可按第</w:t>
      </w:r>
      <w:r>
        <w:rPr>
          <w:color w:val="auto"/>
          <w:highlight w:val="none"/>
        </w:rPr>
        <w:t xml:space="preserve">15.3 </w:t>
      </w:r>
      <w:r>
        <w:rPr>
          <w:rFonts w:hAnsi="宋体"/>
          <w:color w:val="auto"/>
          <w:highlight w:val="none"/>
        </w:rPr>
        <w:t>款约定的变更程序向承包人作出变更指示，承包人应遵照执行。没有监理人的变更指示，承包人不得擅自变更。</w:t>
      </w:r>
    </w:p>
    <w:p w14:paraId="2DFEF9E4">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15.3 变更程序</w:t>
      </w:r>
    </w:p>
    <w:p w14:paraId="75548D1F">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15.3.1</w:t>
      </w:r>
      <w:r>
        <w:rPr>
          <w:rFonts w:hAnsi="宋体"/>
          <w:color w:val="auto"/>
          <w:highlight w:val="none"/>
        </w:rPr>
        <w:t>变更的提出</w:t>
      </w:r>
    </w:p>
    <w:p w14:paraId="452B2E5A">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1</w:t>
      </w:r>
      <w:r>
        <w:rPr>
          <w:rFonts w:hAnsi="宋体"/>
          <w:color w:val="auto"/>
          <w:highlight w:val="none"/>
        </w:rPr>
        <w:t>）在合同履行过程中，可能发生第</w:t>
      </w:r>
      <w:r>
        <w:rPr>
          <w:color w:val="auto"/>
          <w:highlight w:val="none"/>
        </w:rPr>
        <w:t xml:space="preserve">15.1 </w:t>
      </w:r>
      <w:r>
        <w:rPr>
          <w:rFonts w:hAnsi="宋体"/>
          <w:color w:val="auto"/>
          <w:highlight w:val="none"/>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color w:val="auto"/>
          <w:highlight w:val="none"/>
        </w:rPr>
        <w:t xml:space="preserve">15.3.3 </w:t>
      </w:r>
      <w:r>
        <w:rPr>
          <w:rFonts w:hAnsi="宋体"/>
          <w:color w:val="auto"/>
          <w:highlight w:val="none"/>
        </w:rPr>
        <w:t>款约定发出变更指示。</w:t>
      </w:r>
    </w:p>
    <w:p w14:paraId="4ECA2EC0">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2</w:t>
      </w:r>
      <w:r>
        <w:rPr>
          <w:rFonts w:hAnsi="宋体"/>
          <w:color w:val="auto"/>
          <w:highlight w:val="none"/>
        </w:rPr>
        <w:t>）在合同履行过程中，发生第</w:t>
      </w:r>
      <w:r>
        <w:rPr>
          <w:color w:val="auto"/>
          <w:highlight w:val="none"/>
        </w:rPr>
        <w:t xml:space="preserve">15.1 </w:t>
      </w:r>
      <w:r>
        <w:rPr>
          <w:rFonts w:hAnsi="宋体"/>
          <w:color w:val="auto"/>
          <w:highlight w:val="none"/>
        </w:rPr>
        <w:t>款约定情形的，监理人应按照第</w:t>
      </w:r>
      <w:r>
        <w:rPr>
          <w:color w:val="auto"/>
          <w:highlight w:val="none"/>
        </w:rPr>
        <w:t xml:space="preserve">15.3.3 </w:t>
      </w:r>
      <w:r>
        <w:rPr>
          <w:rFonts w:hAnsi="宋体"/>
          <w:color w:val="auto"/>
          <w:highlight w:val="none"/>
        </w:rPr>
        <w:t>款约定向承包人发出变更指示。</w:t>
      </w:r>
    </w:p>
    <w:p w14:paraId="24930FDC">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3</w:t>
      </w:r>
      <w:r>
        <w:rPr>
          <w:rFonts w:hAnsi="宋体"/>
          <w:color w:val="auto"/>
          <w:highlight w:val="none"/>
        </w:rPr>
        <w:t>）承包人收到监理人按合同约定发出的图纸和文件，经检查认为其中存在第</w:t>
      </w:r>
      <w:r>
        <w:rPr>
          <w:color w:val="auto"/>
          <w:highlight w:val="none"/>
        </w:rPr>
        <w:t xml:space="preserve">15.1 </w:t>
      </w:r>
      <w:r>
        <w:rPr>
          <w:rFonts w:hAnsi="宋体"/>
          <w:color w:val="auto"/>
          <w:highlight w:val="none"/>
        </w:rPr>
        <w:t>款约定情形的，可向监理人提出书面变更建议。变更建议应阐明要求变更的依据，并附必要的图纸和说明。监理人收到承包人书面建议后，应与发包人共同研究，确认存在变更的，应在收到承包人书面建议后的</w:t>
      </w:r>
      <w:r>
        <w:rPr>
          <w:color w:val="auto"/>
          <w:highlight w:val="none"/>
        </w:rPr>
        <w:t xml:space="preserve">14 </w:t>
      </w:r>
      <w:r>
        <w:rPr>
          <w:rFonts w:hAnsi="宋体"/>
          <w:color w:val="auto"/>
          <w:highlight w:val="none"/>
        </w:rPr>
        <w:t>天内作出变更指示。经研究后不同意作为变更的，应由监理人书面答复承包人。</w:t>
      </w:r>
    </w:p>
    <w:p w14:paraId="5380193F">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4</w:t>
      </w:r>
      <w:r>
        <w:rPr>
          <w:rFonts w:hAnsi="宋体"/>
          <w:color w:val="auto"/>
          <w:highlight w:val="none"/>
        </w:rPr>
        <w:t>）若承包人收到监理人的变更意向书后认为难以实施此项变更，应立即通知监理人，说明原因并附详细依据。监理人与承包人和发包人协商后确定撤销、改变或不改变原变更意向书。</w:t>
      </w:r>
    </w:p>
    <w:p w14:paraId="0BE46EA1">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15.3.2 </w:t>
      </w:r>
      <w:r>
        <w:rPr>
          <w:rFonts w:hAnsi="宋体"/>
          <w:color w:val="auto"/>
          <w:highlight w:val="none"/>
        </w:rPr>
        <w:t>变更估价</w:t>
      </w:r>
    </w:p>
    <w:p w14:paraId="48433F46">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l</w:t>
      </w:r>
      <w:r>
        <w:rPr>
          <w:rFonts w:hAnsi="宋体"/>
          <w:color w:val="auto"/>
          <w:highlight w:val="none"/>
        </w:rPr>
        <w:t>）除专用合同条款对期限另有约定外，承包人应在收到变更指示或变更意向书后的</w:t>
      </w:r>
      <w:r>
        <w:rPr>
          <w:color w:val="auto"/>
          <w:highlight w:val="none"/>
        </w:rPr>
        <w:t xml:space="preserve">14 </w:t>
      </w:r>
      <w:r>
        <w:rPr>
          <w:rFonts w:hAnsi="宋体"/>
          <w:color w:val="auto"/>
          <w:highlight w:val="none"/>
        </w:rPr>
        <w:t>天内，向监理人提交变更报价书，报价内容应根据第</w:t>
      </w:r>
      <w:r>
        <w:rPr>
          <w:color w:val="auto"/>
          <w:highlight w:val="none"/>
        </w:rPr>
        <w:t xml:space="preserve">15.4 </w:t>
      </w:r>
      <w:r>
        <w:rPr>
          <w:rFonts w:hAnsi="宋体"/>
          <w:color w:val="auto"/>
          <w:highlight w:val="none"/>
        </w:rPr>
        <w:t>款约定的估价原则，详细开列变更工作的价格组成及其依据，并附必要的施工方法说明和有关图纸。</w:t>
      </w:r>
    </w:p>
    <w:p w14:paraId="6A79D61B">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2</w:t>
      </w:r>
      <w:r>
        <w:rPr>
          <w:rFonts w:hAnsi="宋体"/>
          <w:color w:val="auto"/>
          <w:highlight w:val="none"/>
        </w:rPr>
        <w:t>）变更工作影响工期的，承包人应提出调整工期的具体细节。监理人认为有必要时，可要求承包人提交要求提前或延长工期的施工进度计划及相应施工措施等详细资料。</w:t>
      </w:r>
    </w:p>
    <w:p w14:paraId="2C611BBF">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3</w:t>
      </w:r>
      <w:r>
        <w:rPr>
          <w:rFonts w:hAnsi="宋体"/>
          <w:color w:val="auto"/>
          <w:highlight w:val="none"/>
        </w:rPr>
        <w:t>）除专用合同条款对期限另有约定外，监理人收到承包人变更报价书后的</w:t>
      </w:r>
      <w:r>
        <w:rPr>
          <w:color w:val="auto"/>
          <w:highlight w:val="none"/>
        </w:rPr>
        <w:t xml:space="preserve">14 </w:t>
      </w:r>
      <w:r>
        <w:rPr>
          <w:rFonts w:hAnsi="宋体"/>
          <w:color w:val="auto"/>
          <w:highlight w:val="none"/>
        </w:rPr>
        <w:t>天内，根据第</w:t>
      </w:r>
      <w:r>
        <w:rPr>
          <w:color w:val="auto"/>
          <w:highlight w:val="none"/>
        </w:rPr>
        <w:t xml:space="preserve">15.4 </w:t>
      </w:r>
      <w:r>
        <w:rPr>
          <w:rFonts w:hAnsi="宋体"/>
          <w:color w:val="auto"/>
          <w:highlight w:val="none"/>
        </w:rPr>
        <w:t>款约定的估价原则，按照第</w:t>
      </w:r>
      <w:r>
        <w:rPr>
          <w:color w:val="auto"/>
          <w:highlight w:val="none"/>
        </w:rPr>
        <w:t xml:space="preserve">3.5 </w:t>
      </w:r>
      <w:r>
        <w:rPr>
          <w:rFonts w:hAnsi="宋体"/>
          <w:color w:val="auto"/>
          <w:highlight w:val="none"/>
        </w:rPr>
        <w:t>款商定或确定变更价格。</w:t>
      </w:r>
    </w:p>
    <w:p w14:paraId="20363A93">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15.3.3 </w:t>
      </w:r>
      <w:r>
        <w:rPr>
          <w:rFonts w:hAnsi="宋体"/>
          <w:color w:val="auto"/>
          <w:highlight w:val="none"/>
        </w:rPr>
        <w:t>变更指示</w:t>
      </w:r>
    </w:p>
    <w:p w14:paraId="0386E937">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l</w:t>
      </w:r>
      <w:r>
        <w:rPr>
          <w:rFonts w:hAnsi="宋体"/>
          <w:color w:val="auto"/>
          <w:highlight w:val="none"/>
        </w:rPr>
        <w:t>）变更指示只能由监理人发出。</w:t>
      </w:r>
    </w:p>
    <w:p w14:paraId="08309F68">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2</w:t>
      </w:r>
      <w:r>
        <w:rPr>
          <w:rFonts w:hAnsi="宋体"/>
          <w:color w:val="auto"/>
          <w:highlight w:val="none"/>
        </w:rPr>
        <w:t>）变更指示应说明变更的目的、范围、变更内容以及变更的工程量及其进度和技术要求，并附有关图纸和文件。承包人收到变更指示后，应按变更指示进行变更工作。</w:t>
      </w:r>
    </w:p>
    <w:p w14:paraId="5F917401">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15.4 变更的估价原则</w:t>
      </w:r>
    </w:p>
    <w:p w14:paraId="42DCB117">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除专用合同条款另有约定外，因变更引起的价格调整按照本款约定处理。</w:t>
      </w:r>
      <w:r>
        <w:rPr>
          <w:color w:val="auto"/>
          <w:highlight w:val="none"/>
        </w:rPr>
        <w:t xml:space="preserve">15.4.1 </w:t>
      </w:r>
      <w:r>
        <w:rPr>
          <w:rFonts w:hAnsi="宋体"/>
          <w:color w:val="auto"/>
          <w:highlight w:val="none"/>
        </w:rPr>
        <w:t>己标价工程量清单中有适用于变更工作的子目的，采用该子目的单价。</w:t>
      </w:r>
    </w:p>
    <w:p w14:paraId="4B9A8915">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15.4.2 </w:t>
      </w:r>
      <w:r>
        <w:rPr>
          <w:rFonts w:hAnsi="宋体"/>
          <w:color w:val="auto"/>
          <w:highlight w:val="none"/>
        </w:rPr>
        <w:t>己标价工程量清单中无适用于变更工作的子目，但有类似子目的，可在合理范围内参照类似子目的单价，由监理人按第</w:t>
      </w:r>
      <w:r>
        <w:rPr>
          <w:color w:val="auto"/>
          <w:highlight w:val="none"/>
        </w:rPr>
        <w:t xml:space="preserve">3.5 </w:t>
      </w:r>
      <w:r>
        <w:rPr>
          <w:rFonts w:hAnsi="宋体"/>
          <w:color w:val="auto"/>
          <w:highlight w:val="none"/>
        </w:rPr>
        <w:t>款商定或确定变更工作的单价。</w:t>
      </w:r>
    </w:p>
    <w:p w14:paraId="1BAA62A8">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15.4.3 </w:t>
      </w:r>
      <w:r>
        <w:rPr>
          <w:rFonts w:hAnsi="宋体"/>
          <w:color w:val="auto"/>
          <w:highlight w:val="none"/>
        </w:rPr>
        <w:t>己标价工程量清单中无适用或类似子目的单价，可按照成本加利润的原则，由监理人按第</w:t>
      </w:r>
      <w:r>
        <w:rPr>
          <w:color w:val="auto"/>
          <w:highlight w:val="none"/>
        </w:rPr>
        <w:t xml:space="preserve">3. 5 </w:t>
      </w:r>
      <w:r>
        <w:rPr>
          <w:rFonts w:hAnsi="宋体"/>
          <w:color w:val="auto"/>
          <w:highlight w:val="none"/>
        </w:rPr>
        <w:t>款商定或确定变更工作的单价。</w:t>
      </w:r>
    </w:p>
    <w:p w14:paraId="2E090F99">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15.5 承包人的合理化建议</w:t>
      </w:r>
    </w:p>
    <w:p w14:paraId="16D76496">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15.5.1 </w:t>
      </w:r>
      <w:r>
        <w:rPr>
          <w:rFonts w:hAnsi="宋体"/>
          <w:color w:val="auto"/>
          <w:highlight w:val="none"/>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color w:val="auto"/>
          <w:highlight w:val="none"/>
        </w:rPr>
        <w:t>15.3.3</w:t>
      </w:r>
      <w:r>
        <w:rPr>
          <w:rFonts w:hAnsi="宋体"/>
          <w:color w:val="auto"/>
          <w:highlight w:val="none"/>
        </w:rPr>
        <w:t>款约定向承包人发出变更指示。</w:t>
      </w:r>
    </w:p>
    <w:p w14:paraId="64AE9E6F">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15.5.2 </w:t>
      </w:r>
      <w:r>
        <w:rPr>
          <w:rFonts w:hAnsi="宋体"/>
          <w:color w:val="auto"/>
          <w:highlight w:val="none"/>
        </w:rPr>
        <w:t>承包人提出的合理化建议降低了合同价格、缩短了工期或者提高了工程经济效益的，发包人可按国家有关规定在专用合同条款中约定给予奖励。</w:t>
      </w:r>
    </w:p>
    <w:p w14:paraId="6563BFC8">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15.6 暂列金额</w:t>
      </w:r>
    </w:p>
    <w:p w14:paraId="2DA2CF77">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暂列金额只能按照监理人的指示使用，并对合同价格进行相应调整。</w:t>
      </w:r>
    </w:p>
    <w:p w14:paraId="5E0C6F33">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15.7 计日工</w:t>
      </w:r>
    </w:p>
    <w:p w14:paraId="3F1EB403">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15.7.1 </w:t>
      </w:r>
      <w:r>
        <w:rPr>
          <w:rFonts w:hAnsi="宋体"/>
          <w:color w:val="auto"/>
          <w:highlight w:val="none"/>
        </w:rPr>
        <w:t>发包人认为有必要时，由监理人通知承包人以计日工方式实施变更的零星工作。其价款按列入已标价工程量清单中的计日工计价子目及其单价进行计算．</w:t>
      </w:r>
      <w:r>
        <w:rPr>
          <w:color w:val="auto"/>
          <w:highlight w:val="none"/>
        </w:rPr>
        <w:t xml:space="preserve">, </w:t>
      </w:r>
    </w:p>
    <w:p w14:paraId="3008536D">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15.7.2 </w:t>
      </w:r>
      <w:r>
        <w:rPr>
          <w:rFonts w:hAnsi="宋体"/>
          <w:color w:val="auto"/>
          <w:highlight w:val="none"/>
        </w:rPr>
        <w:t>采用计日工计价的任何一项变更工作，应从暂列金额中支付，承包人应在该项变更的实施过程中，每天提交以下报表和有关凭证报送监理人审批：</w:t>
      </w:r>
    </w:p>
    <w:p w14:paraId="74E44B01">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l</w:t>
      </w:r>
      <w:r>
        <w:rPr>
          <w:rFonts w:hAnsi="宋体"/>
          <w:color w:val="auto"/>
          <w:highlight w:val="none"/>
        </w:rPr>
        <w:t>）工作名称、内容和数量；</w:t>
      </w:r>
    </w:p>
    <w:p w14:paraId="5E5C4C8B">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2</w:t>
      </w:r>
      <w:r>
        <w:rPr>
          <w:rFonts w:hAnsi="宋体"/>
          <w:color w:val="auto"/>
          <w:highlight w:val="none"/>
        </w:rPr>
        <w:t>）投入该工作所有人员的姓名、工种、级别和耗用工时；</w:t>
      </w:r>
    </w:p>
    <w:p w14:paraId="44A2955D">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3</w:t>
      </w:r>
      <w:r>
        <w:rPr>
          <w:rFonts w:hAnsi="宋体"/>
          <w:color w:val="auto"/>
          <w:highlight w:val="none"/>
        </w:rPr>
        <w:t>）投入该工作的材料类别和数量；</w:t>
      </w:r>
    </w:p>
    <w:p w14:paraId="7B91D878">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4</w:t>
      </w:r>
      <w:r>
        <w:rPr>
          <w:rFonts w:hAnsi="宋体"/>
          <w:color w:val="auto"/>
          <w:highlight w:val="none"/>
        </w:rPr>
        <w:t>）投入该工作的施工设备型号、台数和耗用台时；</w:t>
      </w:r>
    </w:p>
    <w:p w14:paraId="414284BA">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5</w:t>
      </w:r>
      <w:r>
        <w:rPr>
          <w:rFonts w:hAnsi="宋体"/>
          <w:color w:val="auto"/>
          <w:highlight w:val="none"/>
        </w:rPr>
        <w:t>）监理人要求提交的其他资料和凭证。</w:t>
      </w:r>
    </w:p>
    <w:p w14:paraId="7DE75928">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15.7.3 </w:t>
      </w:r>
      <w:r>
        <w:rPr>
          <w:rFonts w:hAnsi="宋体"/>
          <w:color w:val="auto"/>
          <w:highlight w:val="none"/>
        </w:rPr>
        <w:t>计日工由承包人汇总后，按第</w:t>
      </w:r>
      <w:r>
        <w:rPr>
          <w:color w:val="auto"/>
          <w:highlight w:val="none"/>
        </w:rPr>
        <w:t xml:space="preserve">17.3.2 </w:t>
      </w:r>
      <w:r>
        <w:rPr>
          <w:rFonts w:hAnsi="宋体"/>
          <w:color w:val="auto"/>
          <w:highlight w:val="none"/>
        </w:rPr>
        <w:t>款的约定列入进度付款申请单，由监理人复核并经发包人同意后列入进度付款。</w:t>
      </w:r>
    </w:p>
    <w:p w14:paraId="31808BA7">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15.8 暂估价</w:t>
      </w:r>
    </w:p>
    <w:p w14:paraId="1A90D903">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15.8.1 </w:t>
      </w:r>
      <w:r>
        <w:rPr>
          <w:rFonts w:hAnsi="宋体"/>
          <w:color w:val="auto"/>
          <w:highlight w:val="none"/>
        </w:rPr>
        <w:t>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14:paraId="75B6034B">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15.8.2 </w:t>
      </w:r>
      <w:r>
        <w:rPr>
          <w:rFonts w:hAnsi="宋体"/>
          <w:color w:val="auto"/>
          <w:highlight w:val="none"/>
        </w:rPr>
        <w:t>发包人在工程量清单中给定暂估价的材料和工程设备不属于依法必须招标的范围或未达到规定的规模标准的，应由承包人按第</w:t>
      </w:r>
      <w:r>
        <w:rPr>
          <w:color w:val="auto"/>
          <w:highlight w:val="none"/>
        </w:rPr>
        <w:t xml:space="preserve">5.1 </w:t>
      </w:r>
      <w:r>
        <w:rPr>
          <w:rFonts w:hAnsi="宋体"/>
          <w:color w:val="auto"/>
          <w:highlight w:val="none"/>
        </w:rPr>
        <w:t>款的约定提供。经监理人确认的材料、工程设备的价格与工程量清单中所列的暂估价的金额差以及相应的税金等其他费用列入合同价格。</w:t>
      </w:r>
    </w:p>
    <w:p w14:paraId="0C5B3AE0">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15.8.3</w:t>
      </w:r>
      <w:r>
        <w:rPr>
          <w:rFonts w:hAnsi="宋体"/>
          <w:color w:val="auto"/>
          <w:highlight w:val="none"/>
        </w:rPr>
        <w:t>发包人在工程量清单中给定暂估价的专业工程不属于依法必须招标的范围或未达到规定的规模标准的，由监理人按照第</w:t>
      </w:r>
      <w:r>
        <w:rPr>
          <w:color w:val="auto"/>
          <w:highlight w:val="none"/>
        </w:rPr>
        <w:t xml:space="preserve">15.4 </w:t>
      </w:r>
      <w:r>
        <w:rPr>
          <w:rFonts w:hAnsi="宋体"/>
          <w:color w:val="auto"/>
          <w:highlight w:val="none"/>
        </w:rPr>
        <w:t>款进行估价，但专用合同条款另有约定的除外。经估价的专业工程与工程量清单中所列的暂估价的金额差以及相应的税金等其他费用列入合同价格。</w:t>
      </w:r>
    </w:p>
    <w:p w14:paraId="44B475D9">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bookmarkStart w:id="62" w:name="_Toc265408505"/>
      <w:r>
        <w:rPr>
          <w:rFonts w:ascii="Times New Roman" w:hAnsi="Times New Roman" w:eastAsia="宋体" w:cs="Times New Roman"/>
          <w:b/>
          <w:bCs/>
          <w:color w:val="auto"/>
          <w:sz w:val="24"/>
          <w:szCs w:val="24"/>
          <w:highlight w:val="none"/>
          <w:lang w:val="en-US" w:eastAsia="zh-CN"/>
        </w:rPr>
        <w:t>16  价格调整</w:t>
      </w:r>
      <w:bookmarkEnd w:id="62"/>
    </w:p>
    <w:p w14:paraId="45196E29">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16.1 物价波动引起的价格调整</w:t>
      </w:r>
    </w:p>
    <w:p w14:paraId="765F0CEC">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由于物价波动原因引起合同价格需要调整的，其价格调整方式在专用合同条款中约定。</w:t>
      </w:r>
    </w:p>
    <w:p w14:paraId="1B2E8825">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16.1.1 </w:t>
      </w:r>
      <w:r>
        <w:rPr>
          <w:rFonts w:hAnsi="宋体"/>
          <w:color w:val="auto"/>
          <w:highlight w:val="none"/>
        </w:rPr>
        <w:t>采用价格指数调整价格差额</w:t>
      </w:r>
    </w:p>
    <w:p w14:paraId="4EB63327">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16.1.1.1 </w:t>
      </w:r>
      <w:r>
        <w:rPr>
          <w:rFonts w:hAnsi="宋体"/>
          <w:color w:val="auto"/>
          <w:highlight w:val="none"/>
        </w:rPr>
        <w:t>价格调整公式</w:t>
      </w:r>
    </w:p>
    <w:p w14:paraId="7303FC06">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因人工、材料和设备等价格波动影响合同价格时，根据投标函附录中的价格指数和权重表约定的数据，按以下公式计算差额并调整合同价格。</w:t>
      </w:r>
    </w:p>
    <w:p w14:paraId="77BBF57C">
      <w:pPr>
        <w:pageBreakBefore w:val="0"/>
        <w:kinsoku/>
        <w:wordWrap/>
        <w:overflowPunct/>
        <w:topLinePunct w:val="0"/>
        <w:bidi w:val="0"/>
        <w:snapToGrid/>
        <w:spacing w:line="400" w:lineRule="exact"/>
        <w:ind w:firstLine="2310" w:firstLineChars="1100"/>
        <w:rPr>
          <w:color w:val="auto"/>
          <w:highlight w:val="none"/>
        </w:rPr>
      </w:pPr>
    </w:p>
    <w:p w14:paraId="5C3838C6">
      <w:pPr>
        <w:pageBreakBefore w:val="0"/>
        <w:kinsoku/>
        <w:wordWrap/>
        <w:overflowPunct/>
        <w:topLinePunct w:val="0"/>
        <w:bidi w:val="0"/>
        <w:snapToGrid/>
        <w:spacing w:line="400" w:lineRule="exact"/>
        <w:ind w:firstLine="2310" w:firstLineChars="1100"/>
        <w:rPr>
          <w:color w:val="auto"/>
          <w:highlight w:val="none"/>
        </w:rPr>
      </w:pPr>
      <w:r>
        <w:rPr>
          <w:color w:val="auto"/>
          <w:highlight w:val="none"/>
        </w:rPr>
        <w:t>F</w:t>
      </w:r>
      <w:r>
        <w:rPr>
          <w:color w:val="auto"/>
          <w:sz w:val="28"/>
          <w:highlight w:val="none"/>
          <w:vertAlign w:val="subscript"/>
        </w:rPr>
        <w:t>t1</w:t>
      </w:r>
      <w:r>
        <w:rPr>
          <w:color w:val="auto"/>
          <w:highlight w:val="none"/>
          <w:vertAlign w:val="subscript"/>
        </w:rPr>
        <w:t xml:space="preserve">        </w:t>
      </w:r>
      <w:r>
        <w:rPr>
          <w:color w:val="auto"/>
          <w:highlight w:val="none"/>
        </w:rPr>
        <w:t>F</w:t>
      </w:r>
      <w:r>
        <w:rPr>
          <w:color w:val="auto"/>
          <w:sz w:val="28"/>
          <w:highlight w:val="none"/>
          <w:vertAlign w:val="subscript"/>
        </w:rPr>
        <w:t>t2</w:t>
      </w:r>
      <w:r>
        <w:rPr>
          <w:color w:val="auto"/>
          <w:highlight w:val="none"/>
          <w:vertAlign w:val="subscript"/>
        </w:rPr>
        <w:t xml:space="preserve">         </w:t>
      </w:r>
      <w:r>
        <w:rPr>
          <w:color w:val="auto"/>
          <w:highlight w:val="none"/>
        </w:rPr>
        <w:t>F</w:t>
      </w:r>
      <w:r>
        <w:rPr>
          <w:color w:val="auto"/>
          <w:sz w:val="28"/>
          <w:highlight w:val="none"/>
          <w:vertAlign w:val="subscript"/>
        </w:rPr>
        <w:t>t3</w:t>
      </w:r>
      <w:r>
        <w:rPr>
          <w:color w:val="auto"/>
          <w:highlight w:val="none"/>
          <w:vertAlign w:val="subscript"/>
        </w:rPr>
        <w:t xml:space="preserve">              </w:t>
      </w:r>
      <w:r>
        <w:rPr>
          <w:color w:val="auto"/>
          <w:highlight w:val="none"/>
        </w:rPr>
        <w:t>F</w:t>
      </w:r>
      <w:r>
        <w:rPr>
          <w:color w:val="auto"/>
          <w:sz w:val="28"/>
          <w:highlight w:val="none"/>
          <w:vertAlign w:val="subscript"/>
        </w:rPr>
        <w:t>tn</w:t>
      </w:r>
    </w:p>
    <w:p w14:paraId="52C1657C">
      <w:pPr>
        <w:pageBreakBefore w:val="0"/>
        <w:numPr>
          <w:ilvl w:val="0"/>
          <w:numId w:val="4"/>
        </w:numPr>
        <w:kinsoku/>
        <w:wordWrap/>
        <w:overflowPunct/>
        <w:topLinePunct w:val="0"/>
        <w:bidi w:val="0"/>
        <w:snapToGrid/>
        <w:spacing w:line="400" w:lineRule="exact"/>
        <w:rPr>
          <w:color w:val="auto"/>
          <w:highlight w:val="none"/>
        </w:rPr>
      </w:pPr>
      <w:r>
        <w:rPr>
          <w:color w:val="auto"/>
          <w:highlight w:val="none"/>
        </w:rPr>
        <w:t>P=P</w:t>
      </w:r>
      <w:r>
        <w:rPr>
          <w:color w:val="auto"/>
          <w:highlight w:val="none"/>
          <w:vertAlign w:val="subscript"/>
        </w:rPr>
        <w:t>O</w:t>
      </w:r>
      <w:r>
        <w:rPr>
          <w:rFonts w:hAnsi="宋体"/>
          <w:color w:val="auto"/>
          <w:highlight w:val="none"/>
        </w:rPr>
        <w:t>［</w:t>
      </w:r>
      <w:r>
        <w:rPr>
          <w:color w:val="auto"/>
          <w:highlight w:val="none"/>
        </w:rPr>
        <w:t>A+</w:t>
      </w:r>
      <w:r>
        <w:rPr>
          <w:rFonts w:hAnsi="宋体"/>
          <w:color w:val="auto"/>
          <w:highlight w:val="none"/>
        </w:rPr>
        <w:t>｛</w:t>
      </w:r>
      <w:r>
        <w:rPr>
          <w:color w:val="auto"/>
          <w:highlight w:val="none"/>
        </w:rPr>
        <w:t>B</w:t>
      </w:r>
      <w:r>
        <w:rPr>
          <w:color w:val="auto"/>
          <w:highlight w:val="none"/>
          <w:vertAlign w:val="subscript"/>
        </w:rPr>
        <w:t>1</w:t>
      </w:r>
      <w:r>
        <w:rPr>
          <w:color w:val="auto"/>
          <w:highlight w:val="none"/>
        </w:rPr>
        <w:t>×—</w:t>
      </w:r>
      <w:r>
        <w:rPr>
          <w:rFonts w:hAnsi="宋体"/>
          <w:color w:val="auto"/>
          <w:highlight w:val="none"/>
        </w:rPr>
        <w:t>＋</w:t>
      </w:r>
      <w:r>
        <w:rPr>
          <w:color w:val="auto"/>
          <w:highlight w:val="none"/>
        </w:rPr>
        <w:t>B</w:t>
      </w:r>
      <w:r>
        <w:rPr>
          <w:color w:val="auto"/>
          <w:highlight w:val="none"/>
          <w:vertAlign w:val="subscript"/>
        </w:rPr>
        <w:t>2</w:t>
      </w:r>
      <w:r>
        <w:rPr>
          <w:color w:val="auto"/>
          <w:highlight w:val="none"/>
        </w:rPr>
        <w:t>×—</w:t>
      </w:r>
      <w:r>
        <w:rPr>
          <w:rFonts w:hAnsi="宋体"/>
          <w:color w:val="auto"/>
          <w:highlight w:val="none"/>
        </w:rPr>
        <w:t>＋</w:t>
      </w:r>
      <w:r>
        <w:rPr>
          <w:color w:val="auto"/>
          <w:highlight w:val="none"/>
        </w:rPr>
        <w:t>B</w:t>
      </w:r>
      <w:r>
        <w:rPr>
          <w:color w:val="auto"/>
          <w:highlight w:val="none"/>
          <w:vertAlign w:val="subscript"/>
        </w:rPr>
        <w:t>3</w:t>
      </w:r>
      <w:r>
        <w:rPr>
          <w:color w:val="auto"/>
          <w:highlight w:val="none"/>
        </w:rPr>
        <w:t>×—</w:t>
      </w:r>
      <w:r>
        <w:rPr>
          <w:rFonts w:hAnsi="宋体"/>
          <w:color w:val="auto"/>
          <w:highlight w:val="none"/>
        </w:rPr>
        <w:t>＋</w:t>
      </w:r>
      <w:r>
        <w:rPr>
          <w:color w:val="auto"/>
          <w:highlight w:val="none"/>
        </w:rPr>
        <w:t>…</w:t>
      </w:r>
      <w:r>
        <w:rPr>
          <w:rFonts w:hAnsi="宋体"/>
          <w:color w:val="auto"/>
          <w:highlight w:val="none"/>
        </w:rPr>
        <w:t>＋</w:t>
      </w:r>
      <w:r>
        <w:rPr>
          <w:color w:val="auto"/>
          <w:highlight w:val="none"/>
        </w:rPr>
        <w:t>B</w:t>
      </w:r>
      <w:r>
        <w:rPr>
          <w:color w:val="auto"/>
          <w:highlight w:val="none"/>
          <w:vertAlign w:val="subscript"/>
        </w:rPr>
        <w:t>n</w:t>
      </w:r>
      <w:r>
        <w:rPr>
          <w:color w:val="auto"/>
          <w:highlight w:val="none"/>
        </w:rPr>
        <w:t>×—</w:t>
      </w:r>
      <w:r>
        <w:rPr>
          <w:rFonts w:hAnsi="宋体"/>
          <w:color w:val="auto"/>
          <w:highlight w:val="none"/>
        </w:rPr>
        <w:t>｝－</w:t>
      </w:r>
      <w:r>
        <w:rPr>
          <w:color w:val="auto"/>
          <w:highlight w:val="none"/>
        </w:rPr>
        <w:t>1</w:t>
      </w:r>
      <w:r>
        <w:rPr>
          <w:rFonts w:hAnsi="宋体"/>
          <w:color w:val="auto"/>
          <w:highlight w:val="none"/>
        </w:rPr>
        <w:t>］</w:t>
      </w:r>
      <w:r>
        <w:rPr>
          <w:color w:val="auto"/>
          <w:highlight w:val="none"/>
        </w:rPr>
        <w:t xml:space="preserve"> </w:t>
      </w:r>
    </w:p>
    <w:p w14:paraId="3AF815C6">
      <w:pPr>
        <w:pageBreakBefore w:val="0"/>
        <w:kinsoku/>
        <w:wordWrap/>
        <w:overflowPunct/>
        <w:topLinePunct w:val="0"/>
        <w:bidi w:val="0"/>
        <w:snapToGrid/>
        <w:spacing w:line="400" w:lineRule="exact"/>
        <w:ind w:left="420" w:leftChars="200" w:firstLine="1890" w:firstLineChars="900"/>
        <w:rPr>
          <w:color w:val="auto"/>
          <w:highlight w:val="none"/>
        </w:rPr>
      </w:pPr>
      <w:r>
        <w:rPr>
          <w:color w:val="auto"/>
          <w:highlight w:val="none"/>
        </w:rPr>
        <w:t>F</w:t>
      </w:r>
      <w:r>
        <w:rPr>
          <w:color w:val="auto"/>
          <w:sz w:val="28"/>
          <w:highlight w:val="none"/>
          <w:vertAlign w:val="subscript"/>
        </w:rPr>
        <w:t xml:space="preserve">01       </w:t>
      </w:r>
      <w:r>
        <w:rPr>
          <w:color w:val="auto"/>
          <w:highlight w:val="none"/>
        </w:rPr>
        <w:t>F</w:t>
      </w:r>
      <w:r>
        <w:rPr>
          <w:color w:val="auto"/>
          <w:sz w:val="28"/>
          <w:highlight w:val="none"/>
          <w:vertAlign w:val="subscript"/>
        </w:rPr>
        <w:t xml:space="preserve">02      </w:t>
      </w:r>
      <w:r>
        <w:rPr>
          <w:color w:val="auto"/>
          <w:highlight w:val="none"/>
        </w:rPr>
        <w:t>F</w:t>
      </w:r>
      <w:r>
        <w:rPr>
          <w:color w:val="auto"/>
          <w:sz w:val="28"/>
          <w:highlight w:val="none"/>
          <w:vertAlign w:val="subscript"/>
        </w:rPr>
        <w:t xml:space="preserve">03          </w:t>
      </w:r>
      <w:r>
        <w:rPr>
          <w:color w:val="auto"/>
          <w:highlight w:val="none"/>
        </w:rPr>
        <w:t>F</w:t>
      </w:r>
      <w:r>
        <w:rPr>
          <w:color w:val="auto"/>
          <w:sz w:val="28"/>
          <w:highlight w:val="none"/>
          <w:vertAlign w:val="subscript"/>
        </w:rPr>
        <w:t>0n</w:t>
      </w:r>
    </w:p>
    <w:p w14:paraId="64959FD1">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式中：△</w:t>
      </w:r>
      <w:r>
        <w:rPr>
          <w:color w:val="auto"/>
          <w:highlight w:val="none"/>
        </w:rPr>
        <w:t xml:space="preserve"> P </w:t>
      </w:r>
      <w:r>
        <w:rPr>
          <w:rFonts w:hAnsi="宋体"/>
          <w:color w:val="auto"/>
          <w:highlight w:val="none"/>
        </w:rPr>
        <w:t>一需调整的价格差额；</w:t>
      </w:r>
    </w:p>
    <w:p w14:paraId="52F26BF9">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P</w:t>
      </w:r>
      <w:r>
        <w:rPr>
          <w:color w:val="auto"/>
          <w:highlight w:val="none"/>
          <w:vertAlign w:val="subscript"/>
        </w:rPr>
        <w:t>O</w:t>
      </w:r>
      <w:r>
        <w:rPr>
          <w:color w:val="auto"/>
          <w:highlight w:val="none"/>
        </w:rPr>
        <w:t>——</w:t>
      </w:r>
      <w:r>
        <w:rPr>
          <w:rFonts w:hAnsi="宋体"/>
          <w:color w:val="auto"/>
          <w:highlight w:val="none"/>
        </w:rPr>
        <w:t>第</w:t>
      </w:r>
      <w:r>
        <w:rPr>
          <w:color w:val="auto"/>
          <w:highlight w:val="none"/>
        </w:rPr>
        <w:t xml:space="preserve">17.3.3 </w:t>
      </w:r>
      <w:r>
        <w:rPr>
          <w:rFonts w:hAnsi="宋体"/>
          <w:color w:val="auto"/>
          <w:highlight w:val="none"/>
        </w:rPr>
        <w:t>款、第</w:t>
      </w:r>
      <w:r>
        <w:rPr>
          <w:color w:val="auto"/>
          <w:highlight w:val="none"/>
        </w:rPr>
        <w:t xml:space="preserve">17.5 .2 </w:t>
      </w:r>
      <w:r>
        <w:rPr>
          <w:rFonts w:hAnsi="宋体"/>
          <w:color w:val="auto"/>
          <w:highlight w:val="none"/>
        </w:rPr>
        <w:t>款和第</w:t>
      </w:r>
      <w:r>
        <w:rPr>
          <w:color w:val="auto"/>
          <w:highlight w:val="none"/>
        </w:rPr>
        <w:t xml:space="preserve">17.6.2 </w:t>
      </w:r>
      <w:r>
        <w:rPr>
          <w:rFonts w:hAnsi="宋体"/>
          <w:color w:val="auto"/>
          <w:highlight w:val="none"/>
        </w:rPr>
        <w:t>款约定的付款证书中承包人应得到的己完成工程量的金额。此项金额应不包括价格调整、不计质量保证金的扣留和支付、预付款的支付和扣回。第</w:t>
      </w:r>
      <w:r>
        <w:rPr>
          <w:color w:val="auto"/>
          <w:highlight w:val="none"/>
        </w:rPr>
        <w:t>15</w:t>
      </w:r>
      <w:r>
        <w:rPr>
          <w:rFonts w:hAnsi="宋体"/>
          <w:color w:val="auto"/>
          <w:highlight w:val="none"/>
        </w:rPr>
        <w:t>条约定的变更及其他金额已按现行价格计价的，也不计在内；</w:t>
      </w:r>
    </w:p>
    <w:p w14:paraId="28328F58">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A ---</w:t>
      </w:r>
      <w:r>
        <w:rPr>
          <w:rFonts w:hAnsi="宋体"/>
          <w:color w:val="auto"/>
          <w:highlight w:val="none"/>
        </w:rPr>
        <w:t>定值权重（即不调部分的权重）；</w:t>
      </w:r>
      <w:r>
        <w:rPr>
          <w:color w:val="auto"/>
          <w:highlight w:val="none"/>
        </w:rPr>
        <w:t xml:space="preserve"> </w:t>
      </w:r>
    </w:p>
    <w:p w14:paraId="11CE1044">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B</w:t>
      </w:r>
      <w:r>
        <w:rPr>
          <w:color w:val="auto"/>
          <w:sz w:val="28"/>
          <w:highlight w:val="none"/>
          <w:vertAlign w:val="subscript"/>
        </w:rPr>
        <w:t>1</w:t>
      </w:r>
      <w:r>
        <w:rPr>
          <w:rFonts w:hAnsi="宋体"/>
          <w:color w:val="auto"/>
          <w:highlight w:val="none"/>
        </w:rPr>
        <w:t>；</w:t>
      </w:r>
      <w:r>
        <w:rPr>
          <w:color w:val="auto"/>
          <w:highlight w:val="none"/>
        </w:rPr>
        <w:t>B</w:t>
      </w:r>
      <w:r>
        <w:rPr>
          <w:color w:val="auto"/>
          <w:sz w:val="28"/>
          <w:highlight w:val="none"/>
          <w:vertAlign w:val="subscript"/>
        </w:rPr>
        <w:t>2</w:t>
      </w:r>
      <w:r>
        <w:rPr>
          <w:rFonts w:hAnsi="宋体"/>
          <w:color w:val="auto"/>
          <w:highlight w:val="none"/>
        </w:rPr>
        <w:t>；</w:t>
      </w:r>
      <w:r>
        <w:rPr>
          <w:color w:val="auto"/>
          <w:highlight w:val="none"/>
        </w:rPr>
        <w:t>B</w:t>
      </w:r>
      <w:r>
        <w:rPr>
          <w:color w:val="auto"/>
          <w:sz w:val="28"/>
          <w:highlight w:val="none"/>
          <w:vertAlign w:val="subscript"/>
        </w:rPr>
        <w:t>3</w:t>
      </w:r>
      <w:r>
        <w:rPr>
          <w:rFonts w:hAnsi="宋体"/>
          <w:color w:val="auto"/>
          <w:highlight w:val="none"/>
        </w:rPr>
        <w:t>；</w:t>
      </w:r>
      <w:r>
        <w:rPr>
          <w:color w:val="auto"/>
          <w:highlight w:val="none"/>
        </w:rPr>
        <w:t>……B</w:t>
      </w:r>
      <w:r>
        <w:rPr>
          <w:color w:val="auto"/>
          <w:sz w:val="28"/>
          <w:highlight w:val="none"/>
          <w:vertAlign w:val="subscript"/>
        </w:rPr>
        <w:t>n</w:t>
      </w:r>
      <w:r>
        <w:rPr>
          <w:color w:val="auto"/>
          <w:highlight w:val="none"/>
        </w:rPr>
        <w:t>---</w:t>
      </w:r>
      <w:r>
        <w:rPr>
          <w:rFonts w:hAnsi="宋体"/>
          <w:color w:val="auto"/>
          <w:highlight w:val="none"/>
        </w:rPr>
        <w:t>各可调因子的变值权重（即可调部分的权重）为各可调因子在投标函投标总报价中所占的比例；</w:t>
      </w:r>
    </w:p>
    <w:p w14:paraId="17645A60">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F</w:t>
      </w:r>
      <w:r>
        <w:rPr>
          <w:color w:val="auto"/>
          <w:sz w:val="28"/>
          <w:highlight w:val="none"/>
          <w:vertAlign w:val="subscript"/>
        </w:rPr>
        <w:t>t1</w:t>
      </w:r>
      <w:r>
        <w:rPr>
          <w:rFonts w:hAnsi="宋体"/>
          <w:color w:val="auto"/>
          <w:highlight w:val="none"/>
        </w:rPr>
        <w:t>；</w:t>
      </w:r>
      <w:r>
        <w:rPr>
          <w:color w:val="auto"/>
          <w:highlight w:val="none"/>
        </w:rPr>
        <w:t>F</w:t>
      </w:r>
      <w:r>
        <w:rPr>
          <w:color w:val="auto"/>
          <w:sz w:val="28"/>
          <w:highlight w:val="none"/>
          <w:vertAlign w:val="subscript"/>
        </w:rPr>
        <w:t>t2</w:t>
      </w:r>
      <w:r>
        <w:rPr>
          <w:rFonts w:hAnsi="宋体"/>
          <w:color w:val="auto"/>
          <w:highlight w:val="none"/>
        </w:rPr>
        <w:t>；</w:t>
      </w:r>
      <w:r>
        <w:rPr>
          <w:color w:val="auto"/>
          <w:highlight w:val="none"/>
        </w:rPr>
        <w:t>F</w:t>
      </w:r>
      <w:r>
        <w:rPr>
          <w:color w:val="auto"/>
          <w:sz w:val="28"/>
          <w:highlight w:val="none"/>
          <w:vertAlign w:val="subscript"/>
        </w:rPr>
        <w:t>t3</w:t>
      </w:r>
      <w:r>
        <w:rPr>
          <w:rFonts w:hAnsi="宋体"/>
          <w:color w:val="auto"/>
          <w:highlight w:val="none"/>
        </w:rPr>
        <w:t>；</w:t>
      </w:r>
      <w:r>
        <w:rPr>
          <w:color w:val="auto"/>
          <w:highlight w:val="none"/>
        </w:rPr>
        <w:t>……F</w:t>
      </w:r>
      <w:r>
        <w:rPr>
          <w:color w:val="auto"/>
          <w:sz w:val="28"/>
          <w:highlight w:val="none"/>
          <w:vertAlign w:val="subscript"/>
        </w:rPr>
        <w:t>tn</w:t>
      </w:r>
      <w:r>
        <w:rPr>
          <w:color w:val="auto"/>
          <w:highlight w:val="none"/>
        </w:rPr>
        <w:t>---</w:t>
      </w:r>
      <w:r>
        <w:rPr>
          <w:rFonts w:hAnsi="宋体"/>
          <w:color w:val="auto"/>
          <w:highlight w:val="none"/>
        </w:rPr>
        <w:t>各可调因子的现行价格指数，指第</w:t>
      </w:r>
      <w:r>
        <w:rPr>
          <w:color w:val="auto"/>
          <w:highlight w:val="none"/>
        </w:rPr>
        <w:t xml:space="preserve">17.3.3 </w:t>
      </w:r>
      <w:r>
        <w:rPr>
          <w:rFonts w:hAnsi="宋体"/>
          <w:color w:val="auto"/>
          <w:highlight w:val="none"/>
        </w:rPr>
        <w:t>款、第</w:t>
      </w:r>
      <w:r>
        <w:rPr>
          <w:color w:val="auto"/>
          <w:highlight w:val="none"/>
        </w:rPr>
        <w:t xml:space="preserve">17.5.2 </w:t>
      </w:r>
      <w:r>
        <w:rPr>
          <w:rFonts w:hAnsi="宋体"/>
          <w:color w:val="auto"/>
          <w:highlight w:val="none"/>
        </w:rPr>
        <w:t>款和第</w:t>
      </w:r>
      <w:r>
        <w:rPr>
          <w:color w:val="auto"/>
          <w:highlight w:val="none"/>
        </w:rPr>
        <w:t xml:space="preserve">17.6.2 </w:t>
      </w:r>
      <w:r>
        <w:rPr>
          <w:rFonts w:hAnsi="宋体"/>
          <w:color w:val="auto"/>
          <w:highlight w:val="none"/>
        </w:rPr>
        <w:t>款约定的付款证书相关周期最后一天的前</w:t>
      </w:r>
      <w:r>
        <w:rPr>
          <w:color w:val="auto"/>
          <w:highlight w:val="none"/>
        </w:rPr>
        <w:t>42</w:t>
      </w:r>
      <w:r>
        <w:rPr>
          <w:rFonts w:hAnsi="宋体"/>
          <w:color w:val="auto"/>
          <w:highlight w:val="none"/>
        </w:rPr>
        <w:t>天的各可调因子的价格指数；</w:t>
      </w:r>
    </w:p>
    <w:p w14:paraId="6C3F7981">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F</w:t>
      </w:r>
      <w:r>
        <w:rPr>
          <w:color w:val="auto"/>
          <w:sz w:val="28"/>
          <w:highlight w:val="none"/>
          <w:vertAlign w:val="subscript"/>
        </w:rPr>
        <w:t>01</w:t>
      </w:r>
      <w:r>
        <w:rPr>
          <w:rFonts w:hAnsi="宋体"/>
          <w:color w:val="auto"/>
          <w:highlight w:val="none"/>
        </w:rPr>
        <w:t>；</w:t>
      </w:r>
      <w:r>
        <w:rPr>
          <w:color w:val="auto"/>
          <w:highlight w:val="none"/>
        </w:rPr>
        <w:t>F</w:t>
      </w:r>
      <w:r>
        <w:rPr>
          <w:color w:val="auto"/>
          <w:sz w:val="28"/>
          <w:highlight w:val="none"/>
          <w:vertAlign w:val="subscript"/>
        </w:rPr>
        <w:t>02</w:t>
      </w:r>
      <w:r>
        <w:rPr>
          <w:rFonts w:hAnsi="宋体"/>
          <w:color w:val="auto"/>
          <w:highlight w:val="none"/>
        </w:rPr>
        <w:t>；</w:t>
      </w:r>
      <w:r>
        <w:rPr>
          <w:color w:val="auto"/>
          <w:highlight w:val="none"/>
        </w:rPr>
        <w:t>F</w:t>
      </w:r>
      <w:r>
        <w:rPr>
          <w:color w:val="auto"/>
          <w:sz w:val="28"/>
          <w:highlight w:val="none"/>
          <w:vertAlign w:val="subscript"/>
        </w:rPr>
        <w:t>03</w:t>
      </w:r>
      <w:r>
        <w:rPr>
          <w:rFonts w:hAnsi="宋体"/>
          <w:color w:val="auto"/>
          <w:highlight w:val="none"/>
        </w:rPr>
        <w:t>；</w:t>
      </w:r>
      <w:r>
        <w:rPr>
          <w:color w:val="auto"/>
          <w:highlight w:val="none"/>
        </w:rPr>
        <w:t>……F</w:t>
      </w:r>
      <w:r>
        <w:rPr>
          <w:color w:val="auto"/>
          <w:sz w:val="28"/>
          <w:highlight w:val="none"/>
          <w:vertAlign w:val="subscript"/>
        </w:rPr>
        <w:t>0n</w:t>
      </w:r>
      <w:r>
        <w:rPr>
          <w:color w:val="auto"/>
          <w:highlight w:val="none"/>
        </w:rPr>
        <w:t>---</w:t>
      </w:r>
      <w:r>
        <w:rPr>
          <w:rFonts w:hAnsi="宋体"/>
          <w:color w:val="auto"/>
          <w:highlight w:val="none"/>
        </w:rPr>
        <w:t>各可调因子的基本价格指数，指基准日期的各可调因子的价格指数。</w:t>
      </w:r>
    </w:p>
    <w:p w14:paraId="0F179C9B">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21D0839E">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16.1.1.2 </w:t>
      </w:r>
      <w:r>
        <w:rPr>
          <w:rFonts w:hAnsi="宋体"/>
          <w:color w:val="auto"/>
          <w:highlight w:val="none"/>
        </w:rPr>
        <w:t>暂时确定调整差额</w:t>
      </w:r>
    </w:p>
    <w:p w14:paraId="5FF81E15">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在计算调整差额时得不到现行价格指数的，可暂用上一次价格指数计算，并在以后的付款中再按实际价格指数进行调整。</w:t>
      </w:r>
    </w:p>
    <w:p w14:paraId="08D79CB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16.1.1.3 </w:t>
      </w:r>
      <w:r>
        <w:rPr>
          <w:rFonts w:hAnsi="宋体"/>
          <w:color w:val="auto"/>
          <w:highlight w:val="none"/>
        </w:rPr>
        <w:t>权重的调整</w:t>
      </w:r>
    </w:p>
    <w:p w14:paraId="44D1B892">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按第</w:t>
      </w:r>
      <w:r>
        <w:rPr>
          <w:color w:val="auto"/>
          <w:highlight w:val="none"/>
        </w:rPr>
        <w:t xml:space="preserve">15.1 </w:t>
      </w:r>
      <w:r>
        <w:rPr>
          <w:rFonts w:hAnsi="宋体"/>
          <w:color w:val="auto"/>
          <w:highlight w:val="none"/>
        </w:rPr>
        <w:t>款约定的变更导致原定合同中的权重不合理时，由监理人与承包人和发包人协商后进行调整。</w:t>
      </w:r>
    </w:p>
    <w:p w14:paraId="5B4D58C8">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16.1.1.4 </w:t>
      </w:r>
      <w:r>
        <w:rPr>
          <w:rFonts w:hAnsi="宋体"/>
          <w:color w:val="auto"/>
          <w:highlight w:val="none"/>
        </w:rPr>
        <w:t>承包人工期延误后的价格调整</w:t>
      </w:r>
    </w:p>
    <w:p w14:paraId="50EF0531">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由于承包人原因未在约定的工期内竣工的，则对原约定竣工日期后继续施工的工程，在使用第</w:t>
      </w:r>
      <w:r>
        <w:rPr>
          <w:color w:val="auto"/>
          <w:highlight w:val="none"/>
        </w:rPr>
        <w:t>16.1.1. 1</w:t>
      </w:r>
      <w:r>
        <w:rPr>
          <w:rFonts w:hAnsi="宋体"/>
          <w:color w:val="auto"/>
          <w:highlight w:val="none"/>
        </w:rPr>
        <w:t>目价格调整公式时，应采用原约定竣工日期与实际竣工日期的两个价格指数中较低的一个作为现行价格指数。</w:t>
      </w:r>
    </w:p>
    <w:p w14:paraId="6AE15690">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16.1.2 </w:t>
      </w:r>
      <w:r>
        <w:rPr>
          <w:rFonts w:hAnsi="宋体"/>
          <w:color w:val="auto"/>
          <w:highlight w:val="none"/>
        </w:rPr>
        <w:t>采用造价信息调整价格差额</w:t>
      </w:r>
    </w:p>
    <w:p w14:paraId="41AE73FA">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48D496B1">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工程造价信息的来源以及价格调整的项目和系数在专用合同条款中约定。</w:t>
      </w:r>
    </w:p>
    <w:p w14:paraId="39E6959A">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16.2 法律变化引起的价格调整</w:t>
      </w:r>
    </w:p>
    <w:p w14:paraId="7E1FF78B">
      <w:pPr>
        <w:pageBreakBefore w:val="0"/>
        <w:kinsoku/>
        <w:wordWrap/>
        <w:overflowPunct/>
        <w:topLinePunct w:val="0"/>
        <w:bidi w:val="0"/>
        <w:snapToGrid/>
        <w:spacing w:line="400" w:lineRule="exact"/>
        <w:ind w:firstLine="420" w:firstLineChars="200"/>
        <w:rPr>
          <w:rFonts w:hAnsi="宋体"/>
          <w:color w:val="auto"/>
          <w:highlight w:val="none"/>
        </w:rPr>
      </w:pPr>
      <w:r>
        <w:rPr>
          <w:rFonts w:hAnsi="宋体"/>
          <w:color w:val="auto"/>
          <w:highlight w:val="none"/>
        </w:rPr>
        <w:t>在基准日后，因法律变化导致承包人在合同履行中所需要的工程费用发生除第</w:t>
      </w:r>
      <w:r>
        <w:rPr>
          <w:color w:val="auto"/>
          <w:highlight w:val="none"/>
        </w:rPr>
        <w:t xml:space="preserve">16.1 </w:t>
      </w:r>
      <w:r>
        <w:rPr>
          <w:rFonts w:hAnsi="宋体"/>
          <w:color w:val="auto"/>
          <w:highlight w:val="none"/>
        </w:rPr>
        <w:t>款</w:t>
      </w:r>
    </w:p>
    <w:p w14:paraId="2F7E207B">
      <w:pPr>
        <w:pageBreakBefore w:val="0"/>
        <w:kinsoku/>
        <w:wordWrap/>
        <w:overflowPunct/>
        <w:topLinePunct w:val="0"/>
        <w:bidi w:val="0"/>
        <w:snapToGrid/>
        <w:spacing w:line="400" w:lineRule="exact"/>
        <w:rPr>
          <w:rFonts w:hAnsi="宋体"/>
          <w:color w:val="auto"/>
          <w:highlight w:val="none"/>
        </w:rPr>
      </w:pPr>
      <w:r>
        <w:rPr>
          <w:rFonts w:hAnsi="宋体"/>
          <w:color w:val="auto"/>
          <w:highlight w:val="none"/>
        </w:rPr>
        <w:t>约定以外的增减时，监理人应根据法律、国家或省、自治区、直辖市有关部门的规定，按第</w:t>
      </w:r>
    </w:p>
    <w:p w14:paraId="4F51C533">
      <w:pPr>
        <w:pageBreakBefore w:val="0"/>
        <w:kinsoku/>
        <w:wordWrap/>
        <w:overflowPunct/>
        <w:topLinePunct w:val="0"/>
        <w:bidi w:val="0"/>
        <w:snapToGrid/>
        <w:spacing w:line="400" w:lineRule="exact"/>
        <w:rPr>
          <w:color w:val="auto"/>
          <w:highlight w:val="none"/>
        </w:rPr>
      </w:pPr>
      <w:r>
        <w:rPr>
          <w:color w:val="auto"/>
          <w:highlight w:val="none"/>
        </w:rPr>
        <w:t xml:space="preserve">3.5 </w:t>
      </w:r>
      <w:r>
        <w:rPr>
          <w:rFonts w:hAnsi="宋体"/>
          <w:color w:val="auto"/>
          <w:highlight w:val="none"/>
        </w:rPr>
        <w:t>款商定或确定需调整的合同价款。</w:t>
      </w:r>
    </w:p>
    <w:p w14:paraId="7BBD56BF">
      <w:pPr>
        <w:pageBreakBefore w:val="0"/>
        <w:kinsoku/>
        <w:wordWrap/>
        <w:overflowPunct/>
        <w:topLinePunct w:val="0"/>
        <w:bidi w:val="0"/>
        <w:snapToGrid/>
        <w:spacing w:line="400" w:lineRule="exact"/>
        <w:ind w:firstLine="482" w:firstLineChars="200"/>
        <w:rPr>
          <w:rFonts w:hint="eastAsia" w:ascii="Times New Roman" w:hAnsi="Times New Roman" w:eastAsia="宋体" w:cs="Times New Roman"/>
          <w:b/>
          <w:bCs/>
          <w:color w:val="auto"/>
          <w:sz w:val="24"/>
          <w:szCs w:val="24"/>
          <w:highlight w:val="none"/>
          <w:lang w:val="en-US" w:eastAsia="zh-CN"/>
        </w:rPr>
      </w:pPr>
      <w:bookmarkStart w:id="63" w:name="_Toc265408506"/>
      <w:r>
        <w:rPr>
          <w:rFonts w:ascii="Times New Roman" w:hAnsi="Times New Roman" w:eastAsia="宋体" w:cs="Times New Roman"/>
          <w:b/>
          <w:bCs/>
          <w:color w:val="auto"/>
          <w:sz w:val="24"/>
          <w:szCs w:val="24"/>
          <w:highlight w:val="none"/>
          <w:lang w:val="en-US" w:eastAsia="zh-CN"/>
        </w:rPr>
        <w:t>17  计量与支付</w:t>
      </w:r>
      <w:bookmarkEnd w:id="63"/>
    </w:p>
    <w:p w14:paraId="1E5E3142">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17.1 计量</w:t>
      </w:r>
    </w:p>
    <w:p w14:paraId="6C25318F">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17.1.1 </w:t>
      </w:r>
      <w:r>
        <w:rPr>
          <w:rFonts w:hAnsi="宋体"/>
          <w:color w:val="auto"/>
          <w:highlight w:val="none"/>
        </w:rPr>
        <w:t>计量单位</w:t>
      </w:r>
    </w:p>
    <w:p w14:paraId="2E657B90">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计量采用国家法定的计量单位。</w:t>
      </w:r>
    </w:p>
    <w:p w14:paraId="0367565F">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17.1.2 </w:t>
      </w:r>
      <w:r>
        <w:rPr>
          <w:rFonts w:hAnsi="宋体"/>
          <w:color w:val="auto"/>
          <w:highlight w:val="none"/>
        </w:rPr>
        <w:t>计量方法</w:t>
      </w:r>
    </w:p>
    <w:p w14:paraId="23F4F581">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结算工程量应按工程量清单中约定的方法计量。</w:t>
      </w:r>
    </w:p>
    <w:p w14:paraId="5B68CAEB">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17.1.3 </w:t>
      </w:r>
      <w:r>
        <w:rPr>
          <w:rFonts w:hAnsi="宋体"/>
          <w:color w:val="auto"/>
          <w:highlight w:val="none"/>
        </w:rPr>
        <w:t>计量周期</w:t>
      </w:r>
    </w:p>
    <w:p w14:paraId="4ADCA964">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除专用合同条款另有约定外，单价子目已完成工程量按月计量，总价子目的计量周期按批准的支付分解报告确定。</w:t>
      </w:r>
    </w:p>
    <w:p w14:paraId="3FF97F8C">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17.1.4 </w:t>
      </w:r>
      <w:r>
        <w:rPr>
          <w:rFonts w:hAnsi="宋体"/>
          <w:color w:val="auto"/>
          <w:highlight w:val="none"/>
        </w:rPr>
        <w:t>单价子目的计量</w:t>
      </w:r>
    </w:p>
    <w:p w14:paraId="283CC66D">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l</w:t>
      </w:r>
      <w:r>
        <w:rPr>
          <w:rFonts w:hAnsi="宋体"/>
          <w:color w:val="auto"/>
          <w:highlight w:val="none"/>
        </w:rPr>
        <w:t>）已标价工程量清单中的单价子目工程量为估算工程量。结算工程量是承包人实际完成的，并按合同约定的计量方法进行计量的工程量。</w:t>
      </w:r>
    </w:p>
    <w:p w14:paraId="44C0A0EE">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2</w:t>
      </w:r>
      <w:r>
        <w:rPr>
          <w:rFonts w:hAnsi="宋体"/>
          <w:color w:val="auto"/>
          <w:highlight w:val="none"/>
        </w:rPr>
        <w:t>）承包人对己完成的工程进行计量，向监理人提交进度付款申请单、己完成工程量报表和有关计量资料。</w:t>
      </w:r>
    </w:p>
    <w:p w14:paraId="7DF3A5C7">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3</w:t>
      </w:r>
      <w:r>
        <w:rPr>
          <w:rFonts w:hAnsi="宋体"/>
          <w:color w:val="auto"/>
          <w:highlight w:val="none"/>
        </w:rPr>
        <w:t>）监理人对承包人提交的工程量报表进行复核，以确定实际完成的工程量。对数量有异议的，可要求承包人按第</w:t>
      </w:r>
      <w:r>
        <w:rPr>
          <w:color w:val="auto"/>
          <w:highlight w:val="none"/>
        </w:rPr>
        <w:t xml:space="preserve">8.2 </w:t>
      </w:r>
      <w:r>
        <w:rPr>
          <w:rFonts w:hAnsi="宋体"/>
          <w:color w:val="auto"/>
          <w:highlight w:val="none"/>
        </w:rPr>
        <w:t>款约定进行共同复核和抽样复测。承包人应协助监理人进行复核并按监理人要求提供补充计量资料。承包人未按监理人要求参加复核，监理人复核或修正的工程量视为承包人实际完成的工程量。</w:t>
      </w:r>
    </w:p>
    <w:p w14:paraId="030C4F16">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4</w:t>
      </w:r>
      <w:r>
        <w:rPr>
          <w:rFonts w:hAnsi="宋体"/>
          <w:color w:val="auto"/>
          <w:highlight w:val="none"/>
        </w:rPr>
        <w:t>）监理人认为有必要时，可通知承包人共同进行联合测量、计量，承包人应遵照执行。</w:t>
      </w:r>
    </w:p>
    <w:p w14:paraId="5ED511A8">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5</w:t>
      </w:r>
      <w:r>
        <w:rPr>
          <w:rFonts w:hAnsi="宋体"/>
          <w:color w:val="auto"/>
          <w:highlight w:val="none"/>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末按监理人要求派员参加的，监理人最终核实的工程量视为承包人完成该子目的准确工程量。</w:t>
      </w:r>
    </w:p>
    <w:p w14:paraId="44E24DFE">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6</w:t>
      </w:r>
      <w:r>
        <w:rPr>
          <w:rFonts w:hAnsi="宋体"/>
          <w:color w:val="auto"/>
          <w:highlight w:val="none"/>
        </w:rPr>
        <w:t>）监理人应在收到承包人提交的工程量报表后的</w:t>
      </w:r>
      <w:r>
        <w:rPr>
          <w:color w:val="auto"/>
          <w:highlight w:val="none"/>
        </w:rPr>
        <w:t xml:space="preserve">7 </w:t>
      </w:r>
      <w:r>
        <w:rPr>
          <w:rFonts w:hAnsi="宋体"/>
          <w:color w:val="auto"/>
          <w:highlight w:val="none"/>
        </w:rPr>
        <w:t>天内进行复核，监理人未在约定时间内复核的，承包人提交的工程量报表中的工程量视为承包人实际完成的工程量，据此计算工程价款。</w:t>
      </w:r>
    </w:p>
    <w:p w14:paraId="410A5F7B">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17.1.5 </w:t>
      </w:r>
      <w:r>
        <w:rPr>
          <w:rFonts w:hAnsi="宋体"/>
          <w:color w:val="auto"/>
          <w:highlight w:val="none"/>
        </w:rPr>
        <w:t>总价子目的计量</w:t>
      </w:r>
    </w:p>
    <w:p w14:paraId="4E65E82F">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总价子目的分解和计量按照下述约定进行。</w:t>
      </w:r>
    </w:p>
    <w:p w14:paraId="086609B8">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1</w:t>
      </w:r>
      <w:r>
        <w:rPr>
          <w:rFonts w:hAnsi="宋体"/>
          <w:color w:val="auto"/>
          <w:highlight w:val="none"/>
        </w:rPr>
        <w:t>）总价子目的计量和支付应以总价为基础，不因第</w:t>
      </w:r>
      <w:r>
        <w:rPr>
          <w:color w:val="auto"/>
          <w:highlight w:val="none"/>
        </w:rPr>
        <w:t>16.1</w:t>
      </w:r>
      <w:r>
        <w:rPr>
          <w:rFonts w:hAnsi="宋体"/>
          <w:color w:val="auto"/>
          <w:highlight w:val="none"/>
        </w:rPr>
        <w:t>款中的因素而进行调整。承包人实际完成的工程量，是进行工程目标管理和控制进度支付的依据。</w:t>
      </w:r>
    </w:p>
    <w:p w14:paraId="6674C843">
      <w:pPr>
        <w:pageBreakBefore w:val="0"/>
        <w:kinsoku/>
        <w:wordWrap/>
        <w:overflowPunct/>
        <w:topLinePunct w:val="0"/>
        <w:bidi w:val="0"/>
        <w:snapToGrid/>
        <w:spacing w:line="400" w:lineRule="exact"/>
        <w:ind w:firstLine="420" w:firstLineChars="200"/>
        <w:rPr>
          <w:rFonts w:hAnsi="宋体"/>
          <w:color w:val="auto"/>
          <w:highlight w:val="none"/>
        </w:rPr>
      </w:pPr>
      <w:r>
        <w:rPr>
          <w:rFonts w:hAnsi="宋体"/>
          <w:color w:val="auto"/>
          <w:highlight w:val="none"/>
        </w:rPr>
        <w:t>（</w:t>
      </w:r>
      <w:r>
        <w:rPr>
          <w:color w:val="auto"/>
          <w:highlight w:val="none"/>
        </w:rPr>
        <w:t>2</w:t>
      </w:r>
      <w:r>
        <w:rPr>
          <w:rFonts w:hAnsi="宋体"/>
          <w:color w:val="auto"/>
          <w:highlight w:val="none"/>
        </w:rPr>
        <w:t>）承包人应按工程量清单的要求对总价子目进行分解，并在签订协议书后的</w:t>
      </w:r>
      <w:r>
        <w:rPr>
          <w:color w:val="auto"/>
          <w:highlight w:val="none"/>
        </w:rPr>
        <w:t>28</w:t>
      </w:r>
      <w:r>
        <w:rPr>
          <w:rFonts w:hAnsi="宋体"/>
          <w:color w:val="auto"/>
          <w:highlight w:val="none"/>
        </w:rPr>
        <w:t>天内</w:t>
      </w:r>
    </w:p>
    <w:p w14:paraId="2EF9E6FB">
      <w:pPr>
        <w:pageBreakBefore w:val="0"/>
        <w:kinsoku/>
        <w:wordWrap/>
        <w:overflowPunct/>
        <w:topLinePunct w:val="0"/>
        <w:bidi w:val="0"/>
        <w:snapToGrid/>
        <w:spacing w:line="400" w:lineRule="exact"/>
        <w:rPr>
          <w:color w:val="auto"/>
          <w:highlight w:val="none"/>
        </w:rPr>
      </w:pPr>
      <w:r>
        <w:rPr>
          <w:rFonts w:hAnsi="宋体"/>
          <w:color w:val="auto"/>
          <w:highlight w:val="none"/>
        </w:rPr>
        <w:t>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30A511A1">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3</w:t>
      </w:r>
      <w:r>
        <w:rPr>
          <w:rFonts w:hAnsi="宋体"/>
          <w:color w:val="auto"/>
          <w:highlight w:val="none"/>
        </w:rPr>
        <w:t>）监理人对承包人提交的上述资料进行复核，以确定分阶段实际完成的工程量和工程形象目标。对其有异议的，可要求承包人按第</w:t>
      </w:r>
      <w:r>
        <w:rPr>
          <w:color w:val="auto"/>
          <w:highlight w:val="none"/>
        </w:rPr>
        <w:t>8.2</w:t>
      </w:r>
      <w:r>
        <w:rPr>
          <w:rFonts w:hAnsi="宋体"/>
          <w:color w:val="auto"/>
          <w:highlight w:val="none"/>
        </w:rPr>
        <w:t>款约定进行共同复核和抽样复测。</w:t>
      </w:r>
    </w:p>
    <w:p w14:paraId="05754124">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4</w:t>
      </w:r>
      <w:r>
        <w:rPr>
          <w:rFonts w:hAnsi="宋体"/>
          <w:color w:val="auto"/>
          <w:highlight w:val="none"/>
        </w:rPr>
        <w:t>）除按照第</w:t>
      </w:r>
      <w:r>
        <w:rPr>
          <w:color w:val="auto"/>
          <w:highlight w:val="none"/>
        </w:rPr>
        <w:t>15</w:t>
      </w:r>
      <w:r>
        <w:rPr>
          <w:rFonts w:hAnsi="宋体"/>
          <w:color w:val="auto"/>
          <w:highlight w:val="none"/>
        </w:rPr>
        <w:t>条约定的变更外，总价子目的工程量是承包人用于结算的最终工程量。</w:t>
      </w:r>
    </w:p>
    <w:p w14:paraId="1D2551C5">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17.2 预付款</w:t>
      </w:r>
    </w:p>
    <w:p w14:paraId="284C678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17.2.1 </w:t>
      </w:r>
      <w:r>
        <w:rPr>
          <w:rFonts w:hAnsi="宋体"/>
          <w:color w:val="auto"/>
          <w:highlight w:val="none"/>
        </w:rPr>
        <w:t>预付款</w:t>
      </w:r>
    </w:p>
    <w:p w14:paraId="793DFE50">
      <w:pPr>
        <w:pageBreakBefore w:val="0"/>
        <w:kinsoku/>
        <w:wordWrap/>
        <w:overflowPunct/>
        <w:topLinePunct w:val="0"/>
        <w:bidi w:val="0"/>
        <w:snapToGrid/>
        <w:spacing w:line="400" w:lineRule="exact"/>
        <w:ind w:firstLine="420" w:firstLineChars="200"/>
        <w:rPr>
          <w:rFonts w:hint="eastAsia" w:hAnsi="宋体"/>
          <w:color w:val="auto"/>
          <w:szCs w:val="22"/>
          <w:highlight w:val="none"/>
        </w:rPr>
      </w:pPr>
      <w:r>
        <w:rPr>
          <w:rFonts w:hint="eastAsia" w:hAnsi="宋体"/>
          <w:color w:val="auto"/>
          <w:szCs w:val="22"/>
          <w:highlight w:val="none"/>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633FCB61">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17.2.2 </w:t>
      </w:r>
      <w:r>
        <w:rPr>
          <w:rFonts w:hAnsi="宋体"/>
          <w:color w:val="auto"/>
          <w:highlight w:val="none"/>
        </w:rPr>
        <w:t>预付款保函（担保）</w:t>
      </w:r>
    </w:p>
    <w:p w14:paraId="630DB6E3">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l</w:t>
      </w:r>
      <w:r>
        <w:rPr>
          <w:rFonts w:hAnsi="宋体"/>
          <w:color w:val="auto"/>
          <w:highlight w:val="none"/>
        </w:rPr>
        <w:t>）承包人应在收到第一次工程预付款的同时向发包人提交工程预付款担保，担保金额应与第一次工程预付款金额相同，工程预付款担保在第一次工程预付款被发包人扣回前一直有效。</w:t>
      </w:r>
    </w:p>
    <w:p w14:paraId="55123C28">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2</w:t>
      </w:r>
      <w:r>
        <w:rPr>
          <w:rFonts w:hAnsi="宋体"/>
          <w:color w:val="auto"/>
          <w:highlight w:val="none"/>
        </w:rPr>
        <w:t>）工程材料预付款的担保在专用合同条款中约定。</w:t>
      </w:r>
    </w:p>
    <w:p w14:paraId="20B8CA20">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3</w:t>
      </w:r>
      <w:r>
        <w:rPr>
          <w:rFonts w:hAnsi="宋体"/>
          <w:color w:val="auto"/>
          <w:highlight w:val="none"/>
        </w:rPr>
        <w:t>）预付款担保的担保金额可根据预付款扣回的金额相应递减。</w:t>
      </w:r>
    </w:p>
    <w:p w14:paraId="504714AE">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17.2.3 </w:t>
      </w:r>
      <w:r>
        <w:rPr>
          <w:rFonts w:hAnsi="宋体"/>
          <w:color w:val="auto"/>
          <w:highlight w:val="none"/>
        </w:rPr>
        <w:t>预付款的扣回与还清</w:t>
      </w:r>
    </w:p>
    <w:p w14:paraId="19279518">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预付款在进度付款中扣回，扣回与还清办法在专用合同条款中约定。在颁发合同工程完工证书前，由于不可抗力或其它原因解除合同时，预付款尚未扣清的，尚未扣清的预付款余额应作为承包人的到期应付款。</w:t>
      </w:r>
    </w:p>
    <w:p w14:paraId="099DDDA8">
      <w:pPr>
        <w:pageBreakBefore w:val="0"/>
        <w:kinsoku/>
        <w:wordWrap/>
        <w:overflowPunct/>
        <w:topLinePunct w:val="0"/>
        <w:bidi w:val="0"/>
        <w:snapToGrid/>
        <w:spacing w:line="400" w:lineRule="exact"/>
        <w:ind w:firstLine="482" w:firstLineChars="200"/>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17.3 工程进度付款</w:t>
      </w:r>
    </w:p>
    <w:p w14:paraId="501BF39B">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17.3.1 </w:t>
      </w:r>
      <w:r>
        <w:rPr>
          <w:rFonts w:hAnsi="宋体"/>
          <w:color w:val="auto"/>
          <w:highlight w:val="none"/>
        </w:rPr>
        <w:t>付款周期</w:t>
      </w:r>
    </w:p>
    <w:p w14:paraId="4FCD3D6B">
      <w:pPr>
        <w:pageBreakBefore w:val="0"/>
        <w:kinsoku/>
        <w:wordWrap/>
        <w:overflowPunct/>
        <w:topLinePunct w:val="0"/>
        <w:bidi w:val="0"/>
        <w:snapToGrid/>
        <w:spacing w:line="400" w:lineRule="exact"/>
        <w:ind w:firstLine="420" w:firstLineChars="200"/>
        <w:rPr>
          <w:rFonts w:hint="eastAsia" w:hAnsi="宋体"/>
          <w:color w:val="auto"/>
          <w:highlight w:val="none"/>
        </w:rPr>
      </w:pPr>
      <w:r>
        <w:rPr>
          <w:rFonts w:hint="eastAsia" w:hAnsi="宋体"/>
          <w:color w:val="auto"/>
          <w:highlight w:val="none"/>
        </w:rPr>
        <w:t>付款周期同计量周期。</w:t>
      </w:r>
    </w:p>
    <w:p w14:paraId="20D31DBA">
      <w:pPr>
        <w:pageBreakBefore w:val="0"/>
        <w:kinsoku/>
        <w:wordWrap/>
        <w:overflowPunct/>
        <w:topLinePunct w:val="0"/>
        <w:bidi w:val="0"/>
        <w:snapToGrid/>
        <w:spacing w:line="400" w:lineRule="exact"/>
        <w:ind w:firstLine="420" w:firstLineChars="200"/>
        <w:rPr>
          <w:rFonts w:hAnsi="宋体"/>
          <w:color w:val="auto"/>
          <w:highlight w:val="none"/>
        </w:rPr>
      </w:pPr>
      <w:r>
        <w:rPr>
          <w:color w:val="auto"/>
          <w:highlight w:val="none"/>
        </w:rPr>
        <w:t xml:space="preserve">17.3.2 </w:t>
      </w:r>
      <w:r>
        <w:rPr>
          <w:rFonts w:hAnsi="宋体"/>
          <w:color w:val="auto"/>
          <w:highlight w:val="none"/>
        </w:rPr>
        <w:t>进度付款申请单</w:t>
      </w:r>
    </w:p>
    <w:p w14:paraId="17DC0965">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7DB40FA0">
      <w:pPr>
        <w:pageBreakBefore w:val="0"/>
        <w:widowControl w:val="0"/>
        <w:numPr>
          <w:ilvl w:val="0"/>
          <w:numId w:val="5"/>
        </w:numPr>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截至本次付款周期末已实施工程的价款；</w:t>
      </w:r>
    </w:p>
    <w:p w14:paraId="52C0E1D9">
      <w:pPr>
        <w:pageBreakBefore w:val="0"/>
        <w:widowControl w:val="0"/>
        <w:numPr>
          <w:ilvl w:val="0"/>
          <w:numId w:val="5"/>
        </w:numPr>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根据第15条应增加和扣减的变更金额；</w:t>
      </w:r>
    </w:p>
    <w:p w14:paraId="26217643">
      <w:pPr>
        <w:pageBreakBefore w:val="0"/>
        <w:widowControl w:val="0"/>
        <w:numPr>
          <w:ilvl w:val="0"/>
          <w:numId w:val="5"/>
        </w:numPr>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根据第23条应增加和扣减的索赔金额；</w:t>
      </w:r>
    </w:p>
    <w:p w14:paraId="197B3D7F">
      <w:pPr>
        <w:pageBreakBefore w:val="0"/>
        <w:widowControl w:val="0"/>
        <w:numPr>
          <w:ilvl w:val="0"/>
          <w:numId w:val="5"/>
        </w:numPr>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根据第17.2款约定应支付的预付款和扣减的返还预付款；</w:t>
      </w:r>
    </w:p>
    <w:p w14:paraId="5CE20ACD">
      <w:pPr>
        <w:pageBreakBefore w:val="0"/>
        <w:widowControl w:val="0"/>
        <w:numPr>
          <w:ilvl w:val="0"/>
          <w:numId w:val="5"/>
        </w:numPr>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根据第17.4.1项约定应扣减的质量保证金；</w:t>
      </w:r>
    </w:p>
    <w:p w14:paraId="7531D552">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（6）根据合同应增加和扣减的其他金额。</w:t>
      </w:r>
    </w:p>
    <w:p w14:paraId="7230337C">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17.3.3 进度付款证书和支付时间</w:t>
      </w:r>
    </w:p>
    <w:p w14:paraId="4BD8E58D">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1FCA006B">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(2)发包人应在监理人收到进度付款申请单后的28天内,将进度应付款支付给承包人。发包人不按期支付的,按专用合同条款的约定支付逾期付款违约金。</w:t>
      </w:r>
    </w:p>
    <w:p w14:paraId="49284D69">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(3)监理人出具进度付款证书,不应视为监理人已同意、批准或接受了承包人完成的该部分工作。</w:t>
      </w:r>
    </w:p>
    <w:p w14:paraId="3E55E8A0">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(4)进度付款涉及政府投资资金的,按照国库集中支付等国家相关规定和专用合同条款的约定办理。</w:t>
      </w:r>
    </w:p>
    <w:p w14:paraId="0D63414C">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17.3.4 工程进度付款</w:t>
      </w:r>
      <w:r>
        <w:rPr>
          <w:rFonts w:hint="eastAsia" w:ascii="宋体" w:hAnsi="宋体" w:eastAsia="宋体" w:cs="宋体"/>
          <w:color w:val="auto"/>
          <w:sz w:val="21"/>
          <w:szCs w:val="21"/>
          <w:highlight w:val="none"/>
          <w:lang w:val="en-US" w:eastAsia="zh-CN"/>
        </w:rPr>
        <w:t>的修正</w:t>
      </w:r>
    </w:p>
    <w:p w14:paraId="1A4B1AD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在对以往历次已签发的进度付款证书进行汇总和复核中发现错、漏或重复的，监理人有权予以修正，承包人也有权提出修正申请。经双方复核同意的修正，应在本次进度付款中支付或扣除。</w:t>
      </w:r>
    </w:p>
    <w:p w14:paraId="08A925F6">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17.4 质量保证金</w:t>
      </w:r>
    </w:p>
    <w:p w14:paraId="1FF2E33C">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17.4.1 </w:t>
      </w:r>
      <w:r>
        <w:rPr>
          <w:rFonts w:hint="eastAsia" w:ascii="宋体" w:hAnsi="宋体" w:eastAsia="宋体" w:cs="宋体"/>
          <w:color w:val="auto"/>
          <w:sz w:val="21"/>
          <w:szCs w:val="21"/>
          <w:highlight w:val="none"/>
          <w:lang w:val="en-US" w:eastAsia="zh-CN"/>
        </w:rPr>
        <w:t>监理人应从第一个工程进度付款周期开始，在发包人的进度付款中，按专用合同条款的约定扣留质量保证金，直至扣留的工程质量保证金总额达到专用合同条款约定的金额或比例为止。质量保证金的计算额度不包括预付款的支付与扣回金额。</w:t>
      </w:r>
    </w:p>
    <w:p w14:paraId="6F7B53BE">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17.4.2 合同工程完工证书颁发后14天内，发包人将质量保证金总额的一半支付给承包人。在第1.1.4.5目约定的缺陷责任期（工程质量保修期） 满时，发包人将在30个工作日内会同承包人按照合同约定的内容核实承包人是否完成保修责任。如无异议，发包人应当在核实后将剩余的质量保证金支付给承包人。</w:t>
      </w:r>
    </w:p>
    <w:p w14:paraId="00AC83ED">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17.4.3 在第1.1.4.5 目约定的缺陷责任期满时，承包人没有完成缺陷责任的，发包人有权扣留与未履行责任剩余工作所需金额相应的质量保证金余额，并有权根据第19.3 款约定要求延长缺陷责任期，直至完成剩余工作为止。</w:t>
      </w:r>
    </w:p>
    <w:p w14:paraId="09B55AEA">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 xml:space="preserve">17.5 </w:t>
      </w:r>
      <w:r>
        <w:rPr>
          <w:rFonts w:hint="eastAsia" w:ascii="宋体" w:hAnsi="宋体" w:eastAsia="宋体" w:cs="宋体"/>
          <w:b/>
          <w:bCs/>
          <w:color w:val="auto"/>
          <w:sz w:val="21"/>
          <w:szCs w:val="21"/>
          <w:highlight w:val="none"/>
          <w:lang w:val="en-US" w:eastAsia="zh-CN"/>
        </w:rPr>
        <w:t>竣工结算（完工结算）</w:t>
      </w:r>
    </w:p>
    <w:p w14:paraId="393966BF">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17.5.1竣工（完工）付款申请单</w:t>
      </w:r>
    </w:p>
    <w:p w14:paraId="0B22E290">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val="en-US" w:eastAsia="zh-CN"/>
        </w:rPr>
        <w:t>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01867128">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lang w:val="en-US" w:eastAsia="zh-CN"/>
        </w:rPr>
        <w:t>监理人对完工付款申请单有异议的，有权要求承包人进行修正和提供补充资料。经监理人和承包人协商后，由承包人向监理人提交修正后的完工付款申请单。</w:t>
      </w:r>
    </w:p>
    <w:p w14:paraId="5F7134E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17.5.2竣工(完工)付款证书及支付时间</w:t>
      </w:r>
    </w:p>
    <w:p w14:paraId="0934E96A">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14:paraId="0B8C1443">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(2)发包人应在监理人出具完工付款证书后的14天内，将应支付款支付给承包人。发包人不按期支付的，按第17.3.3(2)目的约定，将逾期付款违约金支付给承包人。</w:t>
      </w:r>
    </w:p>
    <w:p w14:paraId="35EADD5A">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(3)承包人对发包人签认的完工付款证书有异议的，发包人可出具完工付款申请单中承包人已同意部分的临时付款证书。存在争议的部分，按第24条的约定办理。</w:t>
      </w:r>
    </w:p>
    <w:p w14:paraId="35E59F4E">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(4)完工付款涉及政府投资资金的，按第17.3.3(4)目的约定办理。</w:t>
      </w:r>
    </w:p>
    <w:p w14:paraId="26341980">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17.6 最终结清</w:t>
      </w:r>
    </w:p>
    <w:p w14:paraId="51C4DAFD">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17.6.1 </w:t>
      </w:r>
      <w:r>
        <w:rPr>
          <w:rFonts w:hAnsi="宋体"/>
          <w:color w:val="auto"/>
          <w:highlight w:val="none"/>
        </w:rPr>
        <w:t>最终结清申请单</w:t>
      </w:r>
    </w:p>
    <w:p w14:paraId="610ADD29">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1</w:t>
      </w:r>
      <w:r>
        <w:rPr>
          <w:rFonts w:hAnsi="宋体"/>
          <w:color w:val="auto"/>
          <w:highlight w:val="none"/>
        </w:rPr>
        <w:t>）工程质量保修责任终止证书签发后，承包人应按监理人批准的格式提交最终结清申请单。提交最终结清申请单的份数在专用合同条款中约定。</w:t>
      </w:r>
    </w:p>
    <w:p w14:paraId="3BEB15CC">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2</w:t>
      </w:r>
      <w:r>
        <w:rPr>
          <w:rFonts w:hAnsi="宋体"/>
          <w:color w:val="auto"/>
          <w:highlight w:val="none"/>
        </w:rPr>
        <w:t>）发包人对最终结清申请单内容有异议的，有权要求承包人进行修正和提供补充资料，由承包人向监理人提交修正后的最终结清申请单。</w:t>
      </w:r>
    </w:p>
    <w:p w14:paraId="3B4BAAB5">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17.6.2 </w:t>
      </w:r>
      <w:r>
        <w:rPr>
          <w:rFonts w:hAnsi="宋体"/>
          <w:color w:val="auto"/>
          <w:highlight w:val="none"/>
        </w:rPr>
        <w:t>最终结清证书和支付时间</w:t>
      </w:r>
    </w:p>
    <w:p w14:paraId="027D3932">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l</w:t>
      </w:r>
      <w:r>
        <w:rPr>
          <w:rFonts w:hAnsi="宋体"/>
          <w:color w:val="auto"/>
          <w:highlight w:val="none"/>
        </w:rPr>
        <w:t>）监理人收到承包人提交的最终结清申请单后的</w:t>
      </w:r>
      <w:r>
        <w:rPr>
          <w:color w:val="auto"/>
          <w:highlight w:val="none"/>
        </w:rPr>
        <w:t>14</w:t>
      </w:r>
      <w:r>
        <w:rPr>
          <w:rFonts w:hAnsi="宋体"/>
          <w:color w:val="auto"/>
          <w:highlight w:val="none"/>
        </w:rPr>
        <w:t>天内，提出发包人应支付给承包人的价款送发包人审核并抄送承包人。发包人应在收到后</w:t>
      </w:r>
      <w:r>
        <w:rPr>
          <w:color w:val="auto"/>
          <w:highlight w:val="none"/>
        </w:rPr>
        <w:t>14</w:t>
      </w:r>
      <w:r>
        <w:rPr>
          <w:rFonts w:hAnsi="宋体"/>
          <w:color w:val="auto"/>
          <w:highlight w:val="none"/>
        </w:rPr>
        <w:t>天内审核完毕，由监理人向承包人出具经发包人签认的最终结清证书。监理人未在约定时间内核查，又未提出具体意见的，视为承包人提交的最终结清申请己经监理人核查同意；发包人未在约定时间内审核又未提出具体意见的，监理人提出应支付给承包人的价款视为已经发包人同意。</w:t>
      </w:r>
    </w:p>
    <w:p w14:paraId="2BDD3710">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2</w:t>
      </w:r>
      <w:r>
        <w:rPr>
          <w:rFonts w:hAnsi="宋体"/>
          <w:color w:val="auto"/>
          <w:highlight w:val="none"/>
        </w:rPr>
        <w:t>）发包人应在监理人出具最终结清证书后的</w:t>
      </w:r>
      <w:r>
        <w:rPr>
          <w:color w:val="auto"/>
          <w:highlight w:val="none"/>
        </w:rPr>
        <w:t xml:space="preserve">14 </w:t>
      </w:r>
      <w:r>
        <w:rPr>
          <w:rFonts w:hAnsi="宋体"/>
          <w:color w:val="auto"/>
          <w:highlight w:val="none"/>
        </w:rPr>
        <w:t>天内，将应支付款支付给承包人。</w:t>
      </w:r>
    </w:p>
    <w:p w14:paraId="11A8C347">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发包人不按期支付的，按第</w:t>
      </w:r>
      <w:r>
        <w:rPr>
          <w:color w:val="auto"/>
          <w:highlight w:val="none"/>
        </w:rPr>
        <w:t>17.3.3</w:t>
      </w:r>
      <w:r>
        <w:rPr>
          <w:rFonts w:hAnsi="宋体"/>
          <w:color w:val="auto"/>
          <w:highlight w:val="none"/>
        </w:rPr>
        <w:t>（</w:t>
      </w:r>
      <w:r>
        <w:rPr>
          <w:color w:val="auto"/>
          <w:highlight w:val="none"/>
        </w:rPr>
        <w:t>2</w:t>
      </w:r>
      <w:r>
        <w:rPr>
          <w:rFonts w:hAnsi="宋体"/>
          <w:color w:val="auto"/>
          <w:highlight w:val="none"/>
        </w:rPr>
        <w:t>）目的约定，将逾期付款违约金支付给承包人。</w:t>
      </w:r>
    </w:p>
    <w:p w14:paraId="015ABA8A">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3</w:t>
      </w:r>
      <w:r>
        <w:rPr>
          <w:rFonts w:hAnsi="宋体"/>
          <w:color w:val="auto"/>
          <w:highlight w:val="none"/>
        </w:rPr>
        <w:t>）承包人对发包人签认的最终结清证书有异议的，按第</w:t>
      </w:r>
      <w:r>
        <w:rPr>
          <w:color w:val="auto"/>
          <w:highlight w:val="none"/>
        </w:rPr>
        <w:t>24</w:t>
      </w:r>
      <w:r>
        <w:rPr>
          <w:rFonts w:hAnsi="宋体"/>
          <w:color w:val="auto"/>
          <w:highlight w:val="none"/>
        </w:rPr>
        <w:t>条的约定办理。</w:t>
      </w:r>
    </w:p>
    <w:p w14:paraId="24291DE9">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w:t>
      </w:r>
      <w:r>
        <w:rPr>
          <w:color w:val="auto"/>
          <w:highlight w:val="none"/>
        </w:rPr>
        <w:t>4</w:t>
      </w:r>
      <w:r>
        <w:rPr>
          <w:rFonts w:hAnsi="宋体"/>
          <w:color w:val="auto"/>
          <w:highlight w:val="none"/>
        </w:rPr>
        <w:t>）最终结清付款涉及政府投资资金的，按第</w:t>
      </w:r>
      <w:r>
        <w:rPr>
          <w:color w:val="auto"/>
          <w:highlight w:val="none"/>
        </w:rPr>
        <w:t>17.3.3</w:t>
      </w:r>
      <w:r>
        <w:rPr>
          <w:rFonts w:hAnsi="宋体"/>
          <w:color w:val="auto"/>
          <w:highlight w:val="none"/>
        </w:rPr>
        <w:t>（</w:t>
      </w:r>
      <w:r>
        <w:rPr>
          <w:color w:val="auto"/>
          <w:highlight w:val="none"/>
        </w:rPr>
        <w:t>4</w:t>
      </w:r>
      <w:r>
        <w:rPr>
          <w:rFonts w:hAnsi="宋体"/>
          <w:color w:val="auto"/>
          <w:highlight w:val="none"/>
        </w:rPr>
        <w:t>）目的约定办理。</w:t>
      </w:r>
    </w:p>
    <w:p w14:paraId="24214EA7">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17.7 竣工财务决算</w:t>
      </w:r>
    </w:p>
    <w:p w14:paraId="413D07ED">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发包人负责编制本工程项目竣工财务决算，承包人应按专用合同条款的约定提供竣工财务决算编制所需的相关材料。</w:t>
      </w:r>
    </w:p>
    <w:p w14:paraId="41012479">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17.8 竣工审计</w:t>
      </w:r>
    </w:p>
    <w:p w14:paraId="66D25884">
      <w:pPr>
        <w:pageBreakBefore w:val="0"/>
        <w:kinsoku/>
        <w:wordWrap/>
        <w:overflowPunct/>
        <w:topLinePunct w:val="0"/>
        <w:bidi w:val="0"/>
        <w:snapToGrid/>
        <w:spacing w:line="400" w:lineRule="exact"/>
        <w:ind w:firstLine="420" w:firstLineChars="200"/>
        <w:rPr>
          <w:rFonts w:hAnsi="宋体"/>
          <w:color w:val="auto"/>
          <w:highlight w:val="none"/>
        </w:rPr>
      </w:pPr>
      <w:r>
        <w:rPr>
          <w:rFonts w:hAnsi="宋体"/>
          <w:color w:val="auto"/>
          <w:highlight w:val="none"/>
        </w:rPr>
        <w:t>发包人负责完成本工程竣工审计手续，承包人应完成相关配合工作。</w:t>
      </w:r>
      <w:bookmarkStart w:id="64" w:name="_Toc265408507"/>
    </w:p>
    <w:p w14:paraId="6E8F7E88">
      <w:pPr>
        <w:pageBreakBefore w:val="0"/>
        <w:kinsoku/>
        <w:wordWrap/>
        <w:overflowPunct/>
        <w:topLinePunct w:val="0"/>
        <w:bidi w:val="0"/>
        <w:snapToGrid/>
        <w:spacing w:line="4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  竣工验收（验收）</w:t>
      </w:r>
      <w:bookmarkEnd w:id="64"/>
    </w:p>
    <w:p w14:paraId="00BF6E37">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18.1 验收工作分类</w:t>
      </w:r>
    </w:p>
    <w:p w14:paraId="25A8D880">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4F65C804">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18.2 分部工程验收</w:t>
      </w:r>
    </w:p>
    <w:p w14:paraId="326F4C9C">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18.2.1 </w:t>
      </w:r>
      <w:r>
        <w:rPr>
          <w:rFonts w:hAnsi="宋体"/>
          <w:color w:val="auto"/>
          <w:highlight w:val="none"/>
        </w:rPr>
        <w:t>分部工程具备验收条件时，承包人应向发包人提交验收申请报告，发包人应在收到验收申请报告之日起１０个工作日内决定是否同意进行验收。</w:t>
      </w:r>
    </w:p>
    <w:p w14:paraId="76CE3987">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18.2.2 </w:t>
      </w:r>
      <w:r>
        <w:rPr>
          <w:rFonts w:hAnsi="宋体"/>
          <w:color w:val="auto"/>
          <w:highlight w:val="none"/>
        </w:rPr>
        <w:t>除专用合同条款另有约定外，监理人主持分部工程验收，承包人应派符合条件的代表参加验收工作组。</w:t>
      </w:r>
    </w:p>
    <w:p w14:paraId="42A34F9A">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18.2.3 </w:t>
      </w:r>
      <w:r>
        <w:rPr>
          <w:rFonts w:hAnsi="宋体"/>
          <w:color w:val="auto"/>
          <w:highlight w:val="none"/>
        </w:rPr>
        <w:t>分部工程验收通过后，发包人向承包人发送分部工程验收鉴定书。承包人应及时完成分部工程验收鉴定书载明应由承包人处理的遗留问题。</w:t>
      </w:r>
    </w:p>
    <w:p w14:paraId="5B085B81">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18.3 单位工程验收</w:t>
      </w:r>
    </w:p>
    <w:p w14:paraId="1CE41C16">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18.3.1 </w:t>
      </w:r>
      <w:r>
        <w:rPr>
          <w:rFonts w:hAnsi="宋体"/>
          <w:color w:val="auto"/>
          <w:highlight w:val="none"/>
        </w:rPr>
        <w:t>单位工程具备验收条件时，承包人应向发包人提交验收申请报告，发包人应在收到验收申请报告之日起</w:t>
      </w:r>
      <w:r>
        <w:rPr>
          <w:color w:val="auto"/>
          <w:highlight w:val="none"/>
        </w:rPr>
        <w:t>10</w:t>
      </w:r>
      <w:r>
        <w:rPr>
          <w:rFonts w:hAnsi="宋体"/>
          <w:color w:val="auto"/>
          <w:highlight w:val="none"/>
        </w:rPr>
        <w:t>个工作日内决定是否同意进行验收。</w:t>
      </w:r>
    </w:p>
    <w:p w14:paraId="3191B04A">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18.3.2 </w:t>
      </w:r>
      <w:r>
        <w:rPr>
          <w:rFonts w:hAnsi="宋体"/>
          <w:color w:val="auto"/>
          <w:highlight w:val="none"/>
        </w:rPr>
        <w:t>发包人主持单位工程验收，承包人应派符合条件的代表参加验收工作组。</w:t>
      </w:r>
    </w:p>
    <w:p w14:paraId="50596D6D">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18.3.3 </w:t>
      </w:r>
      <w:r>
        <w:rPr>
          <w:rFonts w:hAnsi="宋体"/>
          <w:color w:val="auto"/>
          <w:highlight w:val="none"/>
        </w:rPr>
        <w:t>单位工程验收通过后，发包人向承包人发送单位工程验收鉴定书。承包人应及时完成单位工程验收鉴定书载明应由承包人处理的遗留问题。</w:t>
      </w:r>
    </w:p>
    <w:p w14:paraId="7C0E11B1">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1 8.3.4 </w:t>
      </w:r>
      <w:r>
        <w:rPr>
          <w:rFonts w:hAnsi="宋体"/>
          <w:color w:val="auto"/>
          <w:highlight w:val="none"/>
        </w:rPr>
        <w:t>需提前投入使用的单位工程在专用合同条款中明确。</w:t>
      </w:r>
    </w:p>
    <w:p w14:paraId="267D8FF5">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18.4 合同工程完工验收</w:t>
      </w:r>
    </w:p>
    <w:p w14:paraId="47938918">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18.4.1 </w:t>
      </w:r>
      <w:r>
        <w:rPr>
          <w:rFonts w:hAnsi="宋体"/>
          <w:color w:val="auto"/>
          <w:highlight w:val="none"/>
        </w:rPr>
        <w:t>合同工程具备验收条件时，承包人应向发包人提交验收申请报告，发包人应在收到验收申请报告之日起</w:t>
      </w:r>
      <w:r>
        <w:rPr>
          <w:color w:val="auto"/>
          <w:highlight w:val="none"/>
        </w:rPr>
        <w:t>20</w:t>
      </w:r>
      <w:r>
        <w:rPr>
          <w:rFonts w:hAnsi="宋体"/>
          <w:color w:val="auto"/>
          <w:highlight w:val="none"/>
        </w:rPr>
        <w:t>个工作日内决定是否同意进行验收。</w:t>
      </w:r>
    </w:p>
    <w:p w14:paraId="0320A0F4">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18.4.2 </w:t>
      </w:r>
      <w:r>
        <w:rPr>
          <w:rFonts w:hAnsi="宋体"/>
          <w:color w:val="auto"/>
          <w:highlight w:val="none"/>
        </w:rPr>
        <w:t>发包人主持合同工程完工验收，承包人应派代表参加验收工作组。</w:t>
      </w:r>
    </w:p>
    <w:p w14:paraId="2724281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18.4.3 </w:t>
      </w:r>
      <w:r>
        <w:rPr>
          <w:rFonts w:hAnsi="宋体"/>
          <w:color w:val="auto"/>
          <w:highlight w:val="none"/>
        </w:rPr>
        <w:t>合同工程完工验收通过后，发包人向承包人发送合同工程完工验收鉴定书。承包人应及时完成合同工程完工验收鉴定书载明应由承包人处理的遗留问题。</w:t>
      </w:r>
    </w:p>
    <w:p w14:paraId="5AB6F923">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18.4.4 </w:t>
      </w:r>
      <w:r>
        <w:rPr>
          <w:rFonts w:hAnsi="宋体"/>
          <w:color w:val="auto"/>
          <w:highlight w:val="none"/>
        </w:rPr>
        <w:t>合同工程完工验收通过后，发包人与承包人应在</w:t>
      </w:r>
      <w:r>
        <w:rPr>
          <w:color w:val="auto"/>
          <w:highlight w:val="none"/>
        </w:rPr>
        <w:t>30</w:t>
      </w:r>
      <w:r>
        <w:rPr>
          <w:rFonts w:hAnsi="宋体"/>
          <w:color w:val="auto"/>
          <w:highlight w:val="none"/>
        </w:rPr>
        <w:t>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w:t>
      </w:r>
      <w:r>
        <w:rPr>
          <w:color w:val="auto"/>
          <w:highlight w:val="none"/>
        </w:rPr>
        <w:t>30</w:t>
      </w:r>
      <w:r>
        <w:rPr>
          <w:rFonts w:hAnsi="宋体"/>
          <w:color w:val="auto"/>
          <w:highlight w:val="none"/>
        </w:rPr>
        <w:t>个工作日内向承包人颁发合同工程完工证书。</w:t>
      </w:r>
    </w:p>
    <w:p w14:paraId="60389700">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18.5 阶段验收</w:t>
      </w:r>
    </w:p>
    <w:p w14:paraId="0A0A4990">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18.5.1 </w:t>
      </w:r>
      <w:r>
        <w:rPr>
          <w:rFonts w:hAnsi="宋体"/>
          <w:color w:val="auto"/>
          <w:highlight w:val="none"/>
        </w:rPr>
        <w:t>工程建设具备阶段验收条件时，发包人负责提出阶段验收申请报告。承包人应派代表参加阶段验收，并作为被验收单位在验收鉴定书上签字。阶段验收的具体类别在专用合同条款中约定。</w:t>
      </w:r>
    </w:p>
    <w:p w14:paraId="47199205">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18.5.2 </w:t>
      </w:r>
      <w:r>
        <w:rPr>
          <w:rFonts w:hAnsi="宋体"/>
          <w:color w:val="auto"/>
          <w:highlight w:val="none"/>
        </w:rPr>
        <w:t>承包人应及时完成阶段验收鉴定书载明应由承包人处理的遗留问题。</w:t>
      </w:r>
    </w:p>
    <w:p w14:paraId="0FA47268">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18.6 专项验收</w:t>
      </w:r>
    </w:p>
    <w:p w14:paraId="4343E55B">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18.6.1 </w:t>
      </w:r>
      <w:r>
        <w:rPr>
          <w:rFonts w:hAnsi="宋体"/>
          <w:color w:val="auto"/>
          <w:highlight w:val="none"/>
        </w:rPr>
        <w:t>发包人负责提出专项验收申请报告。承包人应按专项验收的相关规定参加专项验收。专项验收的具体类别在专用合同条款中约定。</w:t>
      </w:r>
    </w:p>
    <w:p w14:paraId="1ADCDD80">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18.6.2 </w:t>
      </w:r>
      <w:r>
        <w:rPr>
          <w:rFonts w:hAnsi="宋体"/>
          <w:color w:val="auto"/>
          <w:highlight w:val="none"/>
        </w:rPr>
        <w:t>承包人应及时完成专项验收成果性文件载明应由承包人处理的遗留问题。</w:t>
      </w:r>
    </w:p>
    <w:p w14:paraId="0FC1EB72">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18.7 竣工验收</w:t>
      </w:r>
    </w:p>
    <w:p w14:paraId="44CB52F6">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18.7.1 </w:t>
      </w:r>
      <w:r>
        <w:rPr>
          <w:rFonts w:hAnsi="宋体"/>
          <w:color w:val="auto"/>
          <w:highlight w:val="none"/>
        </w:rPr>
        <w:t>申请竣工验收前，发包人组织竣工验收自查，承包人应派代表参加。</w:t>
      </w:r>
    </w:p>
    <w:p w14:paraId="141BEFF5">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18.7.2 </w:t>
      </w:r>
      <w:r>
        <w:rPr>
          <w:rFonts w:hAnsi="宋体"/>
          <w:color w:val="auto"/>
          <w:highlight w:val="none"/>
        </w:rPr>
        <w:t>竣工验收分为竣工技术预验收和竣工验收两个阶段。发包人应通知承包人派代表参加技术预验收和竣工验收。</w:t>
      </w:r>
    </w:p>
    <w:p w14:paraId="3F432EDA">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18.7.3 </w:t>
      </w:r>
      <w:r>
        <w:rPr>
          <w:rFonts w:hAnsi="宋体"/>
          <w:color w:val="auto"/>
          <w:highlight w:val="none"/>
        </w:rPr>
        <w:t>专用合同条款约定工程需要进行技术鉴定的，承包人应提交有关资料并完成配合工作。</w:t>
      </w:r>
    </w:p>
    <w:p w14:paraId="222457AD">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18.7.4 </w:t>
      </w:r>
      <w:r>
        <w:rPr>
          <w:rFonts w:hAnsi="宋体"/>
          <w:color w:val="auto"/>
          <w:highlight w:val="none"/>
        </w:rPr>
        <w:t>竣工验收需要进行质量检测的，所需费用由发包人承担，但因承包人原因造成质量不合格的除外。</w:t>
      </w:r>
    </w:p>
    <w:p w14:paraId="083E9CA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18.7.5 </w:t>
      </w:r>
      <w:r>
        <w:rPr>
          <w:rFonts w:hAnsi="宋体"/>
          <w:color w:val="auto"/>
          <w:highlight w:val="none"/>
        </w:rPr>
        <w:t>工程质量保修期满以及竣工验收遗留问题和尾工处理完成并通过验收后，发包人负责将处理情况和验收成果报送竣工验收主持单位，申请领取工程竣工证书，并发送承包人。</w:t>
      </w:r>
    </w:p>
    <w:p w14:paraId="2A0572F2">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18.8 施工期运行</w:t>
      </w:r>
    </w:p>
    <w:p w14:paraId="582A4BC0">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18.8.1 </w:t>
      </w:r>
      <w:r>
        <w:rPr>
          <w:rFonts w:hAnsi="宋体"/>
          <w:color w:val="auto"/>
          <w:highlight w:val="none"/>
        </w:rPr>
        <w:t>施工期运行是指合同工程尚未全部完工，其中某单位工程或部分工程已完工，需要投入施工期运行的，经发包人按第</w:t>
      </w:r>
      <w:r>
        <w:rPr>
          <w:color w:val="auto"/>
          <w:highlight w:val="none"/>
        </w:rPr>
        <w:t>18.2</w:t>
      </w:r>
      <w:r>
        <w:rPr>
          <w:rFonts w:hAnsi="宋体"/>
          <w:color w:val="auto"/>
          <w:highlight w:val="none"/>
        </w:rPr>
        <w:t>款或第</w:t>
      </w:r>
      <w:r>
        <w:rPr>
          <w:color w:val="auto"/>
          <w:highlight w:val="none"/>
        </w:rPr>
        <w:t>18.3</w:t>
      </w:r>
      <w:r>
        <w:rPr>
          <w:rFonts w:hAnsi="宋体"/>
          <w:color w:val="auto"/>
          <w:highlight w:val="none"/>
        </w:rPr>
        <w:t>款的约定验收合格，证明能确保安全后，才能在施工期投入运行。需要在施工期运行的单位工程或部分工程在专用合同条款中约定。</w:t>
      </w:r>
    </w:p>
    <w:p w14:paraId="77B99561">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18.8.2 </w:t>
      </w:r>
      <w:r>
        <w:rPr>
          <w:rFonts w:hAnsi="宋体"/>
          <w:color w:val="auto"/>
          <w:highlight w:val="none"/>
        </w:rPr>
        <w:t>在施工期运行中发现工程或工程设备损坏或存在缺陷的，由承包人按第</w:t>
      </w:r>
      <w:r>
        <w:rPr>
          <w:color w:val="auto"/>
          <w:highlight w:val="none"/>
        </w:rPr>
        <w:t>19.2</w:t>
      </w:r>
      <w:r>
        <w:rPr>
          <w:rFonts w:hAnsi="宋体"/>
          <w:color w:val="auto"/>
          <w:highlight w:val="none"/>
        </w:rPr>
        <w:t>款约定进行修复。</w:t>
      </w:r>
    </w:p>
    <w:p w14:paraId="402ED529">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18.9 试运行</w:t>
      </w:r>
    </w:p>
    <w:p w14:paraId="54F85E12">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18.9.1 </w:t>
      </w:r>
      <w:r>
        <w:rPr>
          <w:rFonts w:hAnsi="宋体"/>
          <w:color w:val="auto"/>
          <w:highlight w:val="none"/>
        </w:rPr>
        <w:t>除专用合同条款另有约定外，承包人应按规定进行工程及工程设备试运行，负责提供试运行所需的人员、器材和必要的条件，并承担全部试运行费用。</w:t>
      </w:r>
    </w:p>
    <w:p w14:paraId="2BFC2003">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18.9.2 </w:t>
      </w:r>
      <w:r>
        <w:rPr>
          <w:rFonts w:hAnsi="宋体"/>
          <w:color w:val="auto"/>
          <w:highlight w:val="none"/>
        </w:rPr>
        <w:t>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766D0025">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18.10 竣工（完工）清场</w:t>
      </w:r>
    </w:p>
    <w:p w14:paraId="0D711646">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18.10.1 </w:t>
      </w:r>
      <w:r>
        <w:rPr>
          <w:rFonts w:hAnsi="宋体"/>
          <w:color w:val="auto"/>
          <w:highlight w:val="none"/>
        </w:rPr>
        <w:t>工程项目竣工（完工）清场的工作范围和内容在技术标准和要求（合同技术条款）中约定。</w:t>
      </w:r>
    </w:p>
    <w:p w14:paraId="3FEFCD9E">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18.10.2 </w:t>
      </w:r>
      <w:r>
        <w:rPr>
          <w:rFonts w:hAnsi="宋体"/>
          <w:color w:val="auto"/>
          <w:highlight w:val="none"/>
        </w:rPr>
        <w:t>承包人未按监理人的要求恢复临时占地，或者场地清理未达到合同约定的，发包人有权委托其它人恢复或清理，所发生的金额从拟支付给承包人的款项中扣除。</w:t>
      </w:r>
    </w:p>
    <w:p w14:paraId="279DE0DE">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18.11 施工队伍的撤离</w:t>
      </w:r>
    </w:p>
    <w:p w14:paraId="06B9BD9C">
      <w:pPr>
        <w:pageBreakBefore w:val="0"/>
        <w:kinsoku/>
        <w:wordWrap/>
        <w:overflowPunct/>
        <w:topLinePunct w:val="0"/>
        <w:bidi w:val="0"/>
        <w:snapToGrid/>
        <w:spacing w:line="400" w:lineRule="exact"/>
        <w:ind w:firstLine="420" w:firstLineChars="200"/>
        <w:rPr>
          <w:rFonts w:hAnsi="宋体"/>
          <w:color w:val="auto"/>
          <w:highlight w:val="none"/>
        </w:rPr>
      </w:pPr>
      <w:r>
        <w:rPr>
          <w:rFonts w:hAnsi="宋体"/>
          <w:color w:val="auto"/>
          <w:highlight w:val="none"/>
        </w:rPr>
        <w:t>合同工程完工证书颁发后的</w:t>
      </w:r>
      <w:r>
        <w:rPr>
          <w:color w:val="auto"/>
          <w:highlight w:val="none"/>
        </w:rPr>
        <w:t>56</w:t>
      </w:r>
      <w:r>
        <w:rPr>
          <w:rFonts w:hAnsi="宋体"/>
          <w:color w:val="auto"/>
          <w:highlight w:val="none"/>
        </w:rPr>
        <w:t>天内，除了经监理人同意需在缺陷责任期（工程质量保</w:t>
      </w:r>
    </w:p>
    <w:p w14:paraId="7283EA50">
      <w:pPr>
        <w:pageBreakBefore w:val="0"/>
        <w:kinsoku/>
        <w:wordWrap/>
        <w:overflowPunct/>
        <w:topLinePunct w:val="0"/>
        <w:bidi w:val="0"/>
        <w:snapToGrid/>
        <w:spacing w:line="400" w:lineRule="exact"/>
        <w:rPr>
          <w:color w:val="auto"/>
          <w:kern w:val="0"/>
          <w:sz w:val="20"/>
          <w:highlight w:val="none"/>
        </w:rPr>
      </w:pPr>
      <w:r>
        <w:rPr>
          <w:rFonts w:hAnsi="宋体"/>
          <w:color w:val="auto"/>
          <w:highlight w:val="none"/>
        </w:rPr>
        <w:t>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14:paraId="04F27891">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bookmarkStart w:id="65" w:name="_Toc265408508"/>
      <w:r>
        <w:rPr>
          <w:rFonts w:hint="eastAsia" w:ascii="宋体" w:hAnsi="宋体" w:eastAsia="宋体" w:cs="宋体"/>
          <w:b/>
          <w:bCs/>
          <w:color w:val="auto"/>
          <w:sz w:val="21"/>
          <w:szCs w:val="21"/>
          <w:highlight w:val="none"/>
        </w:rPr>
        <w:t>19  缺陷责任与保修责任</w:t>
      </w:r>
      <w:bookmarkEnd w:id="65"/>
    </w:p>
    <w:p w14:paraId="5306695F">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19.1 缺陷责任期（工程质量保修期）的起算时间</w:t>
      </w:r>
    </w:p>
    <w:p w14:paraId="7ABE67D1">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除专用合同条款另有约定外，缺陷责任期（工程质量保修期）从工程通过合同工程完工验收后开始计算。在合同工程完工验收前，已经发包人提前验收的单位工程或部分工程，若未投入使用，其缺陷责任期（工程质量保修期）</w:t>
      </w:r>
      <w:r>
        <w:rPr>
          <w:color w:val="auto"/>
          <w:highlight w:val="none"/>
        </w:rPr>
        <w:t xml:space="preserve"> </w:t>
      </w:r>
      <w:r>
        <w:rPr>
          <w:rFonts w:hAnsi="宋体"/>
          <w:color w:val="auto"/>
          <w:highlight w:val="none"/>
        </w:rPr>
        <w:t>亦从工程通过合同工程完工验收后开始计算；若已投入使用，其缺陷责任期（工程质量保修期）从通过单位工程或部分工程投入使用验收后开始计算。缺陷责任期（工程质量保修期）的期限在专用合同条款中约定。</w:t>
      </w:r>
    </w:p>
    <w:p w14:paraId="01F71D72">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19.2 缺陷责任</w:t>
      </w:r>
    </w:p>
    <w:p w14:paraId="27DAB66E">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19.2.1 </w:t>
      </w:r>
      <w:r>
        <w:rPr>
          <w:rFonts w:hAnsi="宋体"/>
          <w:color w:val="auto"/>
          <w:highlight w:val="none"/>
        </w:rPr>
        <w:t>承包人应在缺陷责任期内对己交付使用的工程承担缺陷责任。</w:t>
      </w:r>
    </w:p>
    <w:p w14:paraId="05E710FA">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19.2.2 </w:t>
      </w:r>
      <w:r>
        <w:rPr>
          <w:rFonts w:hAnsi="宋体"/>
          <w:color w:val="auto"/>
          <w:highlight w:val="none"/>
        </w:rPr>
        <w:t>缺陷责任期内，发包人对己接收使用的工程负责日常维护工作。发包人在使用过程中，发现己接收的工程存在新的缺陷或已修复的缺陷部位或部件又遭损坏的，承包人应负责修复，直至检验合格为止。</w:t>
      </w:r>
    </w:p>
    <w:p w14:paraId="1090AD4E">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19.2.3 </w:t>
      </w:r>
      <w:r>
        <w:rPr>
          <w:rFonts w:hAnsi="宋体"/>
          <w:color w:val="auto"/>
          <w:highlight w:val="none"/>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5AD942F9">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19.2.4 </w:t>
      </w:r>
      <w:r>
        <w:rPr>
          <w:rFonts w:hAnsi="宋体"/>
          <w:color w:val="auto"/>
          <w:highlight w:val="none"/>
        </w:rPr>
        <w:t>承包人不能在合理时间内修复缺陷的，发包人可自行修复或委托其他人修复，所需费用和利润的承担，按第</w:t>
      </w:r>
      <w:r>
        <w:rPr>
          <w:color w:val="auto"/>
          <w:highlight w:val="none"/>
        </w:rPr>
        <w:t xml:space="preserve">19.2.3 </w:t>
      </w:r>
      <w:r>
        <w:rPr>
          <w:rFonts w:hAnsi="宋体"/>
          <w:color w:val="auto"/>
          <w:highlight w:val="none"/>
        </w:rPr>
        <w:t>款约定办理。</w:t>
      </w:r>
    </w:p>
    <w:p w14:paraId="23214410">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19.3 缺陷责任期的延长</w:t>
      </w:r>
    </w:p>
    <w:p w14:paraId="01FAD1FF">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由于承包人原因造成某项缺陷或损坏使某项工程或工程设备不能按原．定目标使用而需要再次检查、检验和修复的，发包人有权要求承包人相应延长缺陷责任期，但缺陷责任期最长不超过</w:t>
      </w:r>
      <w:r>
        <w:rPr>
          <w:color w:val="auto"/>
          <w:highlight w:val="none"/>
        </w:rPr>
        <w:t>2</w:t>
      </w:r>
      <w:r>
        <w:rPr>
          <w:rFonts w:hAnsi="宋体"/>
          <w:color w:val="auto"/>
          <w:highlight w:val="none"/>
        </w:rPr>
        <w:t>年。</w:t>
      </w:r>
    </w:p>
    <w:p w14:paraId="500AB7BC">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19.4 进一步试验和试运行</w:t>
      </w:r>
    </w:p>
    <w:p w14:paraId="11E66395">
      <w:pPr>
        <w:pageBreakBefore w:val="0"/>
        <w:kinsoku/>
        <w:wordWrap/>
        <w:overflowPunct/>
        <w:topLinePunct w:val="0"/>
        <w:bidi w:val="0"/>
        <w:snapToGrid/>
        <w:spacing w:line="400" w:lineRule="exact"/>
        <w:ind w:firstLine="420" w:firstLineChars="200"/>
        <w:rPr>
          <w:color w:val="auto"/>
          <w:highlight w:val="none"/>
        </w:rPr>
      </w:pPr>
      <w:r>
        <w:rPr>
          <w:rFonts w:hAnsi="宋体"/>
          <w:color w:val="auto"/>
          <w:highlight w:val="none"/>
        </w:rPr>
        <w:t>任何一项缺陷或损坏修复后，经检查证明其影响了工程或工程设备的使用性能，承包人应重新进行合同约定的试验和试运行，试验和试运行的全部费用应由责任方承担。</w:t>
      </w:r>
    </w:p>
    <w:p w14:paraId="65036CB5">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19.5 承包人的进入权</w:t>
      </w:r>
    </w:p>
    <w:p w14:paraId="5892849D">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缺陷责任期内承包人为缺陷修复工作需要，有权进入工程现场，但应遵守发包人的保安和保密规定。</w:t>
      </w:r>
    </w:p>
    <w:p w14:paraId="59F4C452">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19.6 缺陷责任期终止证书（工程质量保修责任终止证书）</w:t>
      </w:r>
    </w:p>
    <w:p w14:paraId="6A16183B">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合同工程完工验收或投入使用验收后，发包人与承包人应办理工程交接手续，承包人应向发包人递交工程质量保修书。</w:t>
      </w:r>
    </w:p>
    <w:p w14:paraId="4BB3CF1A">
      <w:pPr>
        <w:pageBreakBefore w:val="0"/>
        <w:widowControl/>
        <w:kinsoku/>
        <w:wordWrap/>
        <w:overflowPunct/>
        <w:topLinePunct w:val="0"/>
        <w:autoSpaceDE/>
        <w:autoSpaceDN/>
        <w:bidi w:val="0"/>
        <w:adjustRightInd/>
        <w:snapToGrid/>
        <w:spacing w:line="400" w:lineRule="exact"/>
        <w:ind w:firstLine="420" w:firstLineChars="200"/>
        <w:textAlignment w:val="baseline"/>
        <w:rPr>
          <w:rFonts w:hAnsi="宋体"/>
          <w:color w:val="auto"/>
          <w:highlight w:val="none"/>
        </w:rPr>
      </w:pPr>
      <w:r>
        <w:rPr>
          <w:rFonts w:hAnsi="宋体"/>
          <w:color w:val="auto"/>
          <w:highlight w:val="none"/>
        </w:rPr>
        <w:t>缺陷责任期（工程质量保修期）满后</w:t>
      </w:r>
      <w:r>
        <w:rPr>
          <w:color w:val="auto"/>
          <w:highlight w:val="none"/>
        </w:rPr>
        <w:t>30</w:t>
      </w:r>
      <w:r>
        <w:rPr>
          <w:rFonts w:hAnsi="宋体"/>
          <w:color w:val="auto"/>
          <w:highlight w:val="none"/>
        </w:rPr>
        <w:t>个工作日内，发包人应向承包人颁发工程质量</w:t>
      </w:r>
    </w:p>
    <w:p w14:paraId="5532EEA0">
      <w:pPr>
        <w:pageBreakBefore w:val="0"/>
        <w:widowControl/>
        <w:kinsoku/>
        <w:wordWrap/>
        <w:overflowPunct/>
        <w:topLinePunct w:val="0"/>
        <w:autoSpaceDE/>
        <w:autoSpaceDN/>
        <w:bidi w:val="0"/>
        <w:adjustRightInd/>
        <w:snapToGrid/>
        <w:spacing w:line="400" w:lineRule="exact"/>
        <w:textAlignment w:val="baseline"/>
        <w:rPr>
          <w:color w:val="auto"/>
          <w:highlight w:val="none"/>
        </w:rPr>
      </w:pPr>
      <w:r>
        <w:rPr>
          <w:rFonts w:hAnsi="宋体"/>
          <w:color w:val="auto"/>
          <w:highlight w:val="none"/>
        </w:rPr>
        <w:t>保修责任终止证书，并退还剩余的质量保证金，但保修责任范围内的质量缺陷未处理完成的应除外。</w:t>
      </w:r>
    </w:p>
    <w:p w14:paraId="35C2AC47">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19.7 保修责任</w:t>
      </w:r>
    </w:p>
    <w:p w14:paraId="5762B81C">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0197056F">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bookmarkStart w:id="66" w:name="_Toc265408509"/>
      <w:r>
        <w:rPr>
          <w:rFonts w:hint="eastAsia" w:ascii="宋体" w:hAnsi="宋体" w:eastAsia="宋体" w:cs="宋体"/>
          <w:b/>
          <w:bCs/>
          <w:color w:val="auto"/>
          <w:sz w:val="21"/>
          <w:szCs w:val="21"/>
          <w:highlight w:val="none"/>
        </w:rPr>
        <w:t>20  保险</w:t>
      </w:r>
      <w:bookmarkEnd w:id="66"/>
    </w:p>
    <w:p w14:paraId="4D94A4B3">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20.1 工程保险</w:t>
      </w:r>
    </w:p>
    <w:p w14:paraId="0F63D376">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55B73761">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20.2 人员工伤事故的保险</w:t>
      </w:r>
    </w:p>
    <w:p w14:paraId="2D05349B">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20.2.1 </w:t>
      </w:r>
      <w:r>
        <w:rPr>
          <w:rFonts w:hAnsi="宋体"/>
          <w:color w:val="auto"/>
          <w:highlight w:val="none"/>
        </w:rPr>
        <w:t>承包人员工伤事故的保险</w:t>
      </w:r>
    </w:p>
    <w:p w14:paraId="3BE642E0">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承包人应依照有关法律规定参加工伤保险，为其履行合同所雇佣的全部人员，缴纳工伤保险费，并要求其分包人也进行此项保险。</w:t>
      </w:r>
    </w:p>
    <w:p w14:paraId="5E1FF4A8">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20.2.2 </w:t>
      </w:r>
      <w:r>
        <w:rPr>
          <w:rFonts w:hAnsi="宋体"/>
          <w:color w:val="auto"/>
          <w:highlight w:val="none"/>
        </w:rPr>
        <w:t>发包人员工伤事故的保险</w:t>
      </w:r>
    </w:p>
    <w:p w14:paraId="5B443881">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发包人应依照有关法律规定参加工伤保险，为其现场机构雇佣的全部人员，缴纳工伤保险费，并要求其监理人也进行此项保险。</w:t>
      </w:r>
    </w:p>
    <w:p w14:paraId="66983FEA">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20.3 人身意外伤害险</w:t>
      </w:r>
    </w:p>
    <w:p w14:paraId="15800472">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20.3.1 </w:t>
      </w:r>
      <w:r>
        <w:rPr>
          <w:rFonts w:hAnsi="宋体"/>
          <w:color w:val="auto"/>
          <w:highlight w:val="none"/>
        </w:rPr>
        <w:t>发包人应在整个施工期间为其现场机构雇用的全部人员，投保人身意外伤害险，缴纳保险费，并要求其监理人也进行此项保险。</w:t>
      </w:r>
    </w:p>
    <w:p w14:paraId="7B2FD8C8">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20.3.2 </w:t>
      </w:r>
      <w:r>
        <w:rPr>
          <w:rFonts w:hAnsi="宋体"/>
          <w:color w:val="auto"/>
          <w:highlight w:val="none"/>
        </w:rPr>
        <w:t>承包人应在整个施工期间为其现场机构雇用的全部人员，投保人身意外伤害险，缴纳保险费，并要求其分包人也进行此项保险。</w:t>
      </w:r>
    </w:p>
    <w:p w14:paraId="797FFB26">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20.4 第三者责任险</w:t>
      </w:r>
    </w:p>
    <w:p w14:paraId="5B49370A">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20.4.1 </w:t>
      </w:r>
      <w:r>
        <w:rPr>
          <w:rFonts w:hAnsi="宋体"/>
          <w:color w:val="auto"/>
          <w:highlight w:val="none"/>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3C61BEB6">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20.4.2 </w:t>
      </w:r>
      <w:r>
        <w:rPr>
          <w:rFonts w:hAnsi="宋体"/>
          <w:color w:val="auto"/>
          <w:highlight w:val="none"/>
        </w:rPr>
        <w:t>在缺陷责任期终止证书颁发前，承包人应以承包人和发包人的共同名义，投保第</w:t>
      </w:r>
      <w:r>
        <w:rPr>
          <w:color w:val="auto"/>
          <w:highlight w:val="none"/>
        </w:rPr>
        <w:t xml:space="preserve">20.4.1 </w:t>
      </w:r>
      <w:r>
        <w:rPr>
          <w:rFonts w:hAnsi="宋体"/>
          <w:color w:val="auto"/>
          <w:highlight w:val="none"/>
        </w:rPr>
        <w:t>款约定的第三者责任险，其保险费率、保险金额等有关内容在专用合同条款中约定。</w:t>
      </w:r>
    </w:p>
    <w:p w14:paraId="41A80199">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20.5 其他保险</w:t>
      </w:r>
    </w:p>
    <w:p w14:paraId="2D126FAC">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除专用合同条款另有约定外，承包人应为其施工设备、进场的材料和工程设备等办理保险。</w:t>
      </w:r>
    </w:p>
    <w:p w14:paraId="032079EE">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20.6 对各项保险的一般要求</w:t>
      </w:r>
    </w:p>
    <w:p w14:paraId="49F98DEA">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20.6.1 </w:t>
      </w:r>
      <w:r>
        <w:rPr>
          <w:rFonts w:hAnsi="宋体"/>
          <w:color w:val="auto"/>
          <w:highlight w:val="none"/>
        </w:rPr>
        <w:t>保险凭证</w:t>
      </w:r>
    </w:p>
    <w:p w14:paraId="3E100C62">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承包人应在专用合同条款约定的期限内向发包人提交各项保险生效的证据和保险单副本，保险单必须与专用合同条款约定的条件保持一致。</w:t>
      </w:r>
    </w:p>
    <w:p w14:paraId="2BCDD9A4">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20.6.2 </w:t>
      </w:r>
      <w:r>
        <w:rPr>
          <w:rFonts w:hAnsi="宋体"/>
          <w:color w:val="auto"/>
          <w:highlight w:val="none"/>
        </w:rPr>
        <w:t>保险合同条款的变动</w:t>
      </w:r>
    </w:p>
    <w:p w14:paraId="736D9EDC">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承包人需要变动保险合同条款时，应事先征得发包人同意，并通知监理人。保险人作出变动的，承包人应在收到保险人通知后立即通知发包人和监理人。</w:t>
      </w:r>
    </w:p>
    <w:p w14:paraId="16AF158B">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20.6.3 </w:t>
      </w:r>
      <w:r>
        <w:rPr>
          <w:rFonts w:hAnsi="宋体"/>
          <w:color w:val="auto"/>
          <w:highlight w:val="none"/>
        </w:rPr>
        <w:t>持续保险</w:t>
      </w:r>
    </w:p>
    <w:p w14:paraId="06C08741">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承包人应与保险人保持联系，使保险人能够随时了解工程实施中的变动，并确保按保险合同条款要求持续保险。</w:t>
      </w:r>
    </w:p>
    <w:p w14:paraId="210E76CC">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20.6.4 </w:t>
      </w:r>
      <w:r>
        <w:rPr>
          <w:rFonts w:hAnsi="宋体"/>
          <w:color w:val="auto"/>
          <w:highlight w:val="none"/>
        </w:rPr>
        <w:t>保险金不足的补偿</w:t>
      </w:r>
    </w:p>
    <w:p w14:paraId="0E48C76D">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保险金不足以补偿损失时，应由承包人和发包人各自负责补偿的范围和金额在专用合同条款中约定。</w:t>
      </w:r>
    </w:p>
    <w:p w14:paraId="7F8FF2A6">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20.6.5 </w:t>
      </w:r>
      <w:r>
        <w:rPr>
          <w:rFonts w:hAnsi="宋体"/>
          <w:color w:val="auto"/>
          <w:highlight w:val="none"/>
        </w:rPr>
        <w:t>未按约定投保的补救</w:t>
      </w:r>
    </w:p>
    <w:p w14:paraId="466E30D0">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l</w:t>
      </w:r>
      <w:r>
        <w:rPr>
          <w:rFonts w:hAnsi="宋体"/>
          <w:color w:val="auto"/>
          <w:highlight w:val="none"/>
        </w:rPr>
        <w:t>）由于负有投保义务的一方当事人未按合同约定办理保险，或未能使保险持续有效的，另一方当事人可代为办理，所需费用由对方当事人承担。</w:t>
      </w:r>
    </w:p>
    <w:p w14:paraId="2B2AE6CB">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2</w:t>
      </w:r>
      <w:r>
        <w:rPr>
          <w:rFonts w:hAnsi="宋体"/>
          <w:color w:val="auto"/>
          <w:highlight w:val="none"/>
        </w:rPr>
        <w:t>）由于负有投保义务的一方当事人未按合同约定办理某项保险，导致受益人未能得到保险人的赔偿，原应从该项保险得到的保险金应由负有投保义务的一方当事人支付。</w:t>
      </w:r>
    </w:p>
    <w:p w14:paraId="391215D3">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20.6.6 </w:t>
      </w:r>
      <w:r>
        <w:rPr>
          <w:rFonts w:hAnsi="宋体"/>
          <w:color w:val="auto"/>
          <w:highlight w:val="none"/>
        </w:rPr>
        <w:t>报告义务</w:t>
      </w:r>
    </w:p>
    <w:p w14:paraId="77FDAFF3">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当保险事故发生时，投保人应按照保险单规定的条件和期限及时向保险人报告。</w:t>
      </w:r>
    </w:p>
    <w:p w14:paraId="2193B10E">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20.7 风险责任的转移</w:t>
      </w:r>
    </w:p>
    <w:p w14:paraId="69B29456">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工程通过合同工程完工验收并移交给发包人后，原由承包人应承担的风险责任，以及保险的责任、权利和义务同时转移给发包人，但承包人在缺陷责任期（工程质量保修期）前造成损失和损坏情形除外。</w:t>
      </w:r>
    </w:p>
    <w:p w14:paraId="354A76F1">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bookmarkStart w:id="67" w:name="_Toc265408510"/>
      <w:r>
        <w:rPr>
          <w:rFonts w:hint="eastAsia" w:ascii="宋体" w:hAnsi="宋体" w:eastAsia="宋体" w:cs="宋体"/>
          <w:b/>
          <w:bCs/>
          <w:color w:val="auto"/>
          <w:sz w:val="21"/>
          <w:szCs w:val="21"/>
          <w:highlight w:val="none"/>
        </w:rPr>
        <w:t>21  不可抗力</w:t>
      </w:r>
      <w:bookmarkEnd w:id="67"/>
    </w:p>
    <w:p w14:paraId="13A4B0F0">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21.1 不可抗力的确认</w:t>
      </w:r>
    </w:p>
    <w:p w14:paraId="33E3F985">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21.1.1 </w:t>
      </w:r>
      <w:r>
        <w:rPr>
          <w:rFonts w:hAnsi="宋体"/>
          <w:color w:val="auto"/>
          <w:highlight w:val="none"/>
        </w:rPr>
        <w:t>不可抗力是指承包人和发包人在订立合同时不可预见，在工程施工过程中不可避免发生并不能克服的自然灾害和社会性突发事件，如地震、海啸、瘟疫、水灾、骚乱、暴动、战争和专用合同条款约定的其他情形。</w:t>
      </w:r>
    </w:p>
    <w:p w14:paraId="2D0337B9">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21.1.2 </w:t>
      </w:r>
      <w:r>
        <w:rPr>
          <w:rFonts w:hAnsi="宋体"/>
          <w:color w:val="auto"/>
          <w:highlight w:val="none"/>
        </w:rPr>
        <w:t>不可抗力发生后，发包人和承包人应及时认真统计所造成的损失，收集不可抗力造成损失的证据。合同双方对是否属于不可抗力或其损失的意见不一致的，由监理人按第</w:t>
      </w:r>
      <w:r>
        <w:rPr>
          <w:color w:val="auto"/>
          <w:highlight w:val="none"/>
        </w:rPr>
        <w:t xml:space="preserve">3.5 </w:t>
      </w:r>
      <w:r>
        <w:rPr>
          <w:rFonts w:hAnsi="宋体"/>
          <w:color w:val="auto"/>
          <w:highlight w:val="none"/>
        </w:rPr>
        <w:t>款商定或确定。发生争议时，按第</w:t>
      </w:r>
      <w:r>
        <w:rPr>
          <w:color w:val="auto"/>
          <w:highlight w:val="none"/>
        </w:rPr>
        <w:t>24</w:t>
      </w:r>
      <w:r>
        <w:rPr>
          <w:rFonts w:hAnsi="宋体"/>
          <w:color w:val="auto"/>
          <w:highlight w:val="none"/>
        </w:rPr>
        <w:t>条的约定办理。</w:t>
      </w:r>
    </w:p>
    <w:p w14:paraId="0E55A7EF">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21.2 不可抗力的通知</w:t>
      </w:r>
    </w:p>
    <w:p w14:paraId="218760BC">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21.2.1 </w:t>
      </w:r>
      <w:r>
        <w:rPr>
          <w:rFonts w:hAnsi="宋体"/>
          <w:color w:val="auto"/>
          <w:highlight w:val="none"/>
        </w:rPr>
        <w:t>合同一方当事人遇到不可抗力事件，使其履行合同义务受到阻碍时，应立即通知合同另一方当事人和监理人，书面说明不可抗力和受阻碍的详细情况，并提供必要的证明。</w:t>
      </w:r>
    </w:p>
    <w:p w14:paraId="4496FDFE">
      <w:pPr>
        <w:pageBreakBefore w:val="0"/>
        <w:widowControl/>
        <w:kinsoku/>
        <w:wordWrap/>
        <w:overflowPunct/>
        <w:topLinePunct w:val="0"/>
        <w:autoSpaceDE/>
        <w:autoSpaceDN/>
        <w:bidi w:val="0"/>
        <w:adjustRightInd/>
        <w:snapToGrid/>
        <w:spacing w:line="400" w:lineRule="exact"/>
        <w:ind w:firstLine="420" w:firstLineChars="200"/>
        <w:textAlignment w:val="baseline"/>
        <w:rPr>
          <w:rFonts w:hAnsi="宋体"/>
          <w:color w:val="auto"/>
          <w:highlight w:val="none"/>
        </w:rPr>
      </w:pPr>
      <w:r>
        <w:rPr>
          <w:color w:val="auto"/>
          <w:highlight w:val="none"/>
        </w:rPr>
        <w:t xml:space="preserve">21.2.2 </w:t>
      </w:r>
      <w:r>
        <w:rPr>
          <w:rFonts w:hAnsi="宋体"/>
          <w:color w:val="auto"/>
          <w:highlight w:val="none"/>
        </w:rPr>
        <w:t>如不可抗力持续发生，合同一方当事人应及时向合同另一方当事人和监理人提交</w:t>
      </w:r>
    </w:p>
    <w:p w14:paraId="7F2F10C3">
      <w:pPr>
        <w:pageBreakBefore w:val="0"/>
        <w:widowControl/>
        <w:kinsoku/>
        <w:wordWrap/>
        <w:overflowPunct/>
        <w:topLinePunct w:val="0"/>
        <w:autoSpaceDE/>
        <w:autoSpaceDN/>
        <w:bidi w:val="0"/>
        <w:adjustRightInd/>
        <w:snapToGrid/>
        <w:spacing w:line="400" w:lineRule="exact"/>
        <w:textAlignment w:val="baseline"/>
        <w:rPr>
          <w:rFonts w:hAnsi="宋体"/>
          <w:color w:val="auto"/>
          <w:highlight w:val="none"/>
        </w:rPr>
      </w:pPr>
      <w:r>
        <w:rPr>
          <w:rFonts w:hAnsi="宋体"/>
          <w:color w:val="auto"/>
          <w:highlight w:val="none"/>
        </w:rPr>
        <w:t>中间报告，说明不可抗力和履行合同受阻的情况，并于不可抗力事件结束后</w:t>
      </w:r>
      <w:r>
        <w:rPr>
          <w:color w:val="auto"/>
          <w:highlight w:val="none"/>
        </w:rPr>
        <w:t>28</w:t>
      </w:r>
      <w:r>
        <w:rPr>
          <w:rFonts w:hAnsi="宋体"/>
          <w:color w:val="auto"/>
          <w:highlight w:val="none"/>
        </w:rPr>
        <w:t>天内提交最</w:t>
      </w:r>
    </w:p>
    <w:p w14:paraId="72C8855A">
      <w:pPr>
        <w:pageBreakBefore w:val="0"/>
        <w:widowControl/>
        <w:kinsoku/>
        <w:wordWrap/>
        <w:overflowPunct/>
        <w:topLinePunct w:val="0"/>
        <w:autoSpaceDE/>
        <w:autoSpaceDN/>
        <w:bidi w:val="0"/>
        <w:adjustRightInd/>
        <w:snapToGrid/>
        <w:spacing w:line="400" w:lineRule="exact"/>
        <w:textAlignment w:val="baseline"/>
        <w:rPr>
          <w:color w:val="auto"/>
          <w:highlight w:val="none"/>
        </w:rPr>
      </w:pPr>
      <w:r>
        <w:rPr>
          <w:rFonts w:hAnsi="宋体"/>
          <w:color w:val="auto"/>
          <w:highlight w:val="none"/>
        </w:rPr>
        <w:t>终报告及有关资料。</w:t>
      </w:r>
    </w:p>
    <w:p w14:paraId="63B91CEE">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21.3 不可抗力后果及其处理</w:t>
      </w:r>
    </w:p>
    <w:p w14:paraId="3CC003A8">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21.3.1 </w:t>
      </w:r>
      <w:r>
        <w:rPr>
          <w:rFonts w:hAnsi="宋体"/>
          <w:color w:val="auto"/>
          <w:highlight w:val="none"/>
        </w:rPr>
        <w:t>不可抗力造成损害的责任</w:t>
      </w:r>
    </w:p>
    <w:p w14:paraId="7ED4D8A3">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除专用合同条款另有约定外，不可抗力导致的人员伤亡、财产损失、费用增加和（或）工期延误等后果，由合同双方按以下原则承担：</w:t>
      </w:r>
    </w:p>
    <w:p w14:paraId="124128DA">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1</w:t>
      </w:r>
      <w:r>
        <w:rPr>
          <w:rFonts w:hAnsi="宋体"/>
          <w:color w:val="auto"/>
          <w:highlight w:val="none"/>
        </w:rPr>
        <w:t>）永久工程，包括己运至施工场地的材料和工程设备的损害，以及因工程损害造成的第三者人员伤亡和财产损失由发包人承担；</w:t>
      </w:r>
    </w:p>
    <w:p w14:paraId="170C2718">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2</w:t>
      </w:r>
      <w:r>
        <w:rPr>
          <w:rFonts w:hAnsi="宋体"/>
          <w:color w:val="auto"/>
          <w:highlight w:val="none"/>
        </w:rPr>
        <w:t>）承包人设备的损坏由承包人承担；</w:t>
      </w:r>
    </w:p>
    <w:p w14:paraId="4010DE43">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3</w:t>
      </w:r>
      <w:r>
        <w:rPr>
          <w:rFonts w:hAnsi="宋体"/>
          <w:color w:val="auto"/>
          <w:highlight w:val="none"/>
        </w:rPr>
        <w:t>）发包人和承包人各自承担其人员伤亡和其他财产损失及其相关费用；</w:t>
      </w:r>
    </w:p>
    <w:p w14:paraId="6955CBFF">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4</w:t>
      </w:r>
      <w:r>
        <w:rPr>
          <w:rFonts w:hAnsi="宋体"/>
          <w:color w:val="auto"/>
          <w:highlight w:val="none"/>
        </w:rPr>
        <w:t>）承包人的停工损失由承包人承担，但停工期间应监理人要求照管工程和清理、修复工程的金额由发包人承担；</w:t>
      </w:r>
    </w:p>
    <w:p w14:paraId="6F81C8F9">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5</w:t>
      </w:r>
      <w:r>
        <w:rPr>
          <w:rFonts w:hAnsi="宋体"/>
          <w:color w:val="auto"/>
          <w:highlight w:val="none"/>
        </w:rPr>
        <w:t>）不能按期竣工的，应合理延长工期，承包人不需支付逾期竣工违约金。发包人要求赶工的，承包人应采取赶工措施，赶工费用由发包人承担。</w:t>
      </w:r>
    </w:p>
    <w:p w14:paraId="17D9CCA4">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21.3.2 </w:t>
      </w:r>
      <w:r>
        <w:rPr>
          <w:rFonts w:hAnsi="宋体"/>
          <w:color w:val="auto"/>
          <w:highlight w:val="none"/>
        </w:rPr>
        <w:t>延迟履行期间发生的不可抗力</w:t>
      </w:r>
    </w:p>
    <w:p w14:paraId="1A4ACC91">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合同一方当事人延迟履行，在延迟履行期间发生不可抗力的，不免除其责任。</w:t>
      </w:r>
    </w:p>
    <w:p w14:paraId="41CF082D">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21.3.3 </w:t>
      </w:r>
      <w:r>
        <w:rPr>
          <w:rFonts w:hAnsi="宋体"/>
          <w:color w:val="auto"/>
          <w:highlight w:val="none"/>
        </w:rPr>
        <w:t>避免和减少不可抗力损失</w:t>
      </w:r>
    </w:p>
    <w:p w14:paraId="78ED8330">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不可抗力发生后，发包人和承包人均应采取措施尽量避免和减少损失的扩大，任何一方没有采取有效措施导致损失扩大的，应对扩大的损失承担责任。</w:t>
      </w:r>
    </w:p>
    <w:p w14:paraId="6D34D0AB">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21.3.4 </w:t>
      </w:r>
      <w:r>
        <w:rPr>
          <w:rFonts w:hAnsi="宋体"/>
          <w:color w:val="auto"/>
          <w:highlight w:val="none"/>
        </w:rPr>
        <w:t>因不可抗力解除合同</w:t>
      </w:r>
    </w:p>
    <w:p w14:paraId="3AB118F6">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合同一方当事人因不可抗力不能履行合同的，应当及时通知对方解除合同。合同解除后，承包人应按照第</w:t>
      </w:r>
      <w:r>
        <w:rPr>
          <w:color w:val="auto"/>
          <w:highlight w:val="none"/>
        </w:rPr>
        <w:t xml:space="preserve">22.2.5 </w:t>
      </w:r>
      <w:r>
        <w:rPr>
          <w:rFonts w:hAnsi="宋体"/>
          <w:color w:val="auto"/>
          <w:highlight w:val="none"/>
        </w:rPr>
        <w:t>款约定撤离施工场地。已经订货的材料、设备由订货方负责退货或解除订货合同，不能退还的货款和因退货、解除订货合同发生的费用，由发包人承担，因未及时退货造成的损失由责任方承担。合同解除后的付款，参照第</w:t>
      </w:r>
      <w:r>
        <w:rPr>
          <w:color w:val="auto"/>
          <w:highlight w:val="none"/>
        </w:rPr>
        <w:t xml:space="preserve">22.2.4 </w:t>
      </w:r>
      <w:r>
        <w:rPr>
          <w:rFonts w:hAnsi="宋体"/>
          <w:color w:val="auto"/>
          <w:highlight w:val="none"/>
        </w:rPr>
        <w:t>款约定，由监理人按第</w:t>
      </w:r>
      <w:r>
        <w:rPr>
          <w:color w:val="auto"/>
          <w:highlight w:val="none"/>
        </w:rPr>
        <w:t xml:space="preserve">3.5 </w:t>
      </w:r>
      <w:r>
        <w:rPr>
          <w:rFonts w:hAnsi="宋体"/>
          <w:color w:val="auto"/>
          <w:highlight w:val="none"/>
        </w:rPr>
        <w:t>款商定或确定。</w:t>
      </w:r>
    </w:p>
    <w:p w14:paraId="1163FB1C">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bookmarkStart w:id="68" w:name="_Toc265408511"/>
      <w:r>
        <w:rPr>
          <w:rFonts w:hint="eastAsia" w:ascii="宋体" w:hAnsi="宋体" w:eastAsia="宋体" w:cs="宋体"/>
          <w:b/>
          <w:bCs/>
          <w:color w:val="auto"/>
          <w:sz w:val="21"/>
          <w:szCs w:val="21"/>
          <w:highlight w:val="none"/>
        </w:rPr>
        <w:t>22  违约</w:t>
      </w:r>
      <w:bookmarkEnd w:id="68"/>
    </w:p>
    <w:p w14:paraId="592696E5">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22.1 承包人违约</w:t>
      </w:r>
    </w:p>
    <w:p w14:paraId="0A358737">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22.1.1 </w:t>
      </w:r>
      <w:r>
        <w:rPr>
          <w:rFonts w:hAnsi="宋体"/>
          <w:color w:val="auto"/>
          <w:highlight w:val="none"/>
        </w:rPr>
        <w:t>承包人违约的情形</w:t>
      </w:r>
    </w:p>
    <w:p w14:paraId="0233A09F">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在履行合同过程中发生的下列情况属承包人违约：</w:t>
      </w:r>
    </w:p>
    <w:p w14:paraId="2496DF24">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1</w:t>
      </w:r>
      <w:r>
        <w:rPr>
          <w:rFonts w:hAnsi="宋体"/>
          <w:color w:val="auto"/>
          <w:highlight w:val="none"/>
        </w:rPr>
        <w:t>）承包人违反第</w:t>
      </w:r>
      <w:r>
        <w:rPr>
          <w:color w:val="auto"/>
          <w:highlight w:val="none"/>
        </w:rPr>
        <w:t xml:space="preserve">1.8 </w:t>
      </w:r>
      <w:r>
        <w:rPr>
          <w:rFonts w:hAnsi="宋体"/>
          <w:color w:val="auto"/>
          <w:highlight w:val="none"/>
        </w:rPr>
        <w:t>款或第</w:t>
      </w:r>
      <w:r>
        <w:rPr>
          <w:color w:val="auto"/>
          <w:highlight w:val="none"/>
        </w:rPr>
        <w:t xml:space="preserve">4.3 </w:t>
      </w:r>
      <w:r>
        <w:rPr>
          <w:rFonts w:hAnsi="宋体"/>
          <w:color w:val="auto"/>
          <w:highlight w:val="none"/>
        </w:rPr>
        <w:t>款的约定，私自将合同的全部或部分权利转让给其他人，或私自将合同的全部或部分义务转移给其他人；</w:t>
      </w:r>
    </w:p>
    <w:p w14:paraId="24D1A866">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2</w:t>
      </w:r>
      <w:r>
        <w:rPr>
          <w:rFonts w:hAnsi="宋体"/>
          <w:color w:val="auto"/>
          <w:highlight w:val="none"/>
        </w:rPr>
        <w:t>）承包人违反第</w:t>
      </w:r>
      <w:r>
        <w:rPr>
          <w:color w:val="auto"/>
          <w:highlight w:val="none"/>
        </w:rPr>
        <w:t xml:space="preserve">5.3 </w:t>
      </w:r>
      <w:r>
        <w:rPr>
          <w:rFonts w:hAnsi="宋体"/>
          <w:color w:val="auto"/>
          <w:highlight w:val="none"/>
        </w:rPr>
        <w:t>款或第</w:t>
      </w:r>
      <w:r>
        <w:rPr>
          <w:color w:val="auto"/>
          <w:highlight w:val="none"/>
        </w:rPr>
        <w:t xml:space="preserve">6.4 </w:t>
      </w:r>
      <w:r>
        <w:rPr>
          <w:rFonts w:hAnsi="宋体"/>
          <w:color w:val="auto"/>
          <w:highlight w:val="none"/>
        </w:rPr>
        <w:t>款的约定，未经监理人批准，私自将己按合同约定进入施工场地的施工设备、临时设施或材料撤离施工场地；</w:t>
      </w:r>
    </w:p>
    <w:p w14:paraId="00DBCB1D">
      <w:pPr>
        <w:pageBreakBefore w:val="0"/>
        <w:widowControl/>
        <w:kinsoku/>
        <w:wordWrap/>
        <w:overflowPunct/>
        <w:topLinePunct w:val="0"/>
        <w:autoSpaceDE/>
        <w:autoSpaceDN/>
        <w:bidi w:val="0"/>
        <w:adjustRightInd/>
        <w:snapToGrid/>
        <w:spacing w:line="400" w:lineRule="exact"/>
        <w:ind w:firstLine="420" w:firstLineChars="200"/>
        <w:textAlignment w:val="baseline"/>
        <w:rPr>
          <w:rFonts w:hAnsi="宋体"/>
          <w:color w:val="auto"/>
          <w:highlight w:val="none"/>
        </w:rPr>
      </w:pPr>
      <w:r>
        <w:rPr>
          <w:rFonts w:hAnsi="宋体"/>
          <w:color w:val="auto"/>
          <w:highlight w:val="none"/>
        </w:rPr>
        <w:t>（</w:t>
      </w:r>
      <w:r>
        <w:rPr>
          <w:color w:val="auto"/>
          <w:highlight w:val="none"/>
        </w:rPr>
        <w:t>3</w:t>
      </w:r>
      <w:r>
        <w:rPr>
          <w:rFonts w:hAnsi="宋体"/>
          <w:color w:val="auto"/>
          <w:highlight w:val="none"/>
        </w:rPr>
        <w:t>）承包人违反第</w:t>
      </w:r>
      <w:r>
        <w:rPr>
          <w:color w:val="auto"/>
          <w:highlight w:val="none"/>
        </w:rPr>
        <w:t xml:space="preserve">5.4 </w:t>
      </w:r>
      <w:r>
        <w:rPr>
          <w:rFonts w:hAnsi="宋体"/>
          <w:color w:val="auto"/>
          <w:highlight w:val="none"/>
        </w:rPr>
        <w:t>款的约定使用了不合格材料或工程设备，工程质量达不到标准</w:t>
      </w:r>
    </w:p>
    <w:p w14:paraId="6A7EB8C7">
      <w:pPr>
        <w:pageBreakBefore w:val="0"/>
        <w:widowControl/>
        <w:kinsoku/>
        <w:wordWrap/>
        <w:overflowPunct/>
        <w:topLinePunct w:val="0"/>
        <w:autoSpaceDE/>
        <w:autoSpaceDN/>
        <w:bidi w:val="0"/>
        <w:adjustRightInd/>
        <w:snapToGrid/>
        <w:spacing w:line="400" w:lineRule="exact"/>
        <w:textAlignment w:val="baseline"/>
        <w:rPr>
          <w:color w:val="auto"/>
          <w:highlight w:val="none"/>
        </w:rPr>
      </w:pPr>
      <w:r>
        <w:rPr>
          <w:rFonts w:hAnsi="宋体"/>
          <w:color w:val="auto"/>
          <w:highlight w:val="none"/>
        </w:rPr>
        <w:t>要求，又拒绝清除不合格工程；</w:t>
      </w:r>
    </w:p>
    <w:p w14:paraId="303A1D4B">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4</w:t>
      </w:r>
      <w:r>
        <w:rPr>
          <w:rFonts w:hAnsi="宋体"/>
          <w:color w:val="auto"/>
          <w:highlight w:val="none"/>
        </w:rPr>
        <w:t>）承包人未能按合同进度计划及时完成合同约定的工作，已造成或预期造成工期延误；</w:t>
      </w:r>
    </w:p>
    <w:p w14:paraId="22F5C094">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5</w:t>
      </w:r>
      <w:r>
        <w:rPr>
          <w:rFonts w:hAnsi="宋体"/>
          <w:color w:val="auto"/>
          <w:highlight w:val="none"/>
        </w:rPr>
        <w:t>）承包人在缺陷责任期（工程质量保修期）内，未能对合同工程完工验收鉴定书所列的缺陷清单的内容或缺陷责任期（工程质量保修期）内发生的缺陷进行修复，而又拒绝按监理人指示再进行修补；</w:t>
      </w:r>
    </w:p>
    <w:p w14:paraId="090BA475">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6</w:t>
      </w:r>
      <w:r>
        <w:rPr>
          <w:rFonts w:hAnsi="宋体"/>
          <w:color w:val="auto"/>
          <w:highlight w:val="none"/>
        </w:rPr>
        <w:t>）承包人无法继续履行或明确表示不履行或实质上己停止履行合同；</w:t>
      </w:r>
    </w:p>
    <w:p w14:paraId="27B19A9A">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7</w:t>
      </w:r>
      <w:r>
        <w:rPr>
          <w:rFonts w:hAnsi="宋体"/>
          <w:color w:val="auto"/>
          <w:highlight w:val="none"/>
        </w:rPr>
        <w:t>）承包人不按合同约定履行义务的其他情况。</w:t>
      </w:r>
    </w:p>
    <w:p w14:paraId="12CC0950">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22.1.2 </w:t>
      </w:r>
      <w:r>
        <w:rPr>
          <w:rFonts w:hAnsi="宋体"/>
          <w:color w:val="auto"/>
          <w:highlight w:val="none"/>
        </w:rPr>
        <w:t>对承包人违约的处理</w:t>
      </w:r>
    </w:p>
    <w:p w14:paraId="4E212768">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l</w:t>
      </w:r>
      <w:r>
        <w:rPr>
          <w:rFonts w:hAnsi="宋体"/>
          <w:color w:val="auto"/>
          <w:highlight w:val="none"/>
        </w:rPr>
        <w:t>）承包人发生第</w:t>
      </w:r>
      <w:r>
        <w:rPr>
          <w:color w:val="auto"/>
          <w:highlight w:val="none"/>
        </w:rPr>
        <w:t>22.1.1</w:t>
      </w:r>
      <w:r>
        <w:rPr>
          <w:rFonts w:hAnsi="宋体"/>
          <w:color w:val="auto"/>
          <w:highlight w:val="none"/>
        </w:rPr>
        <w:t>（</w:t>
      </w:r>
      <w:r>
        <w:rPr>
          <w:color w:val="auto"/>
          <w:highlight w:val="none"/>
        </w:rPr>
        <w:t>6</w:t>
      </w:r>
      <w:r>
        <w:rPr>
          <w:rFonts w:hAnsi="宋体"/>
          <w:color w:val="auto"/>
          <w:highlight w:val="none"/>
        </w:rPr>
        <w:t>）目约定的违约情况时，发包人可通知承包人立即解除合同，并按有关法律处理。</w:t>
      </w:r>
    </w:p>
    <w:p w14:paraId="6D413E2A">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2</w:t>
      </w:r>
      <w:r>
        <w:rPr>
          <w:rFonts w:hAnsi="宋体"/>
          <w:color w:val="auto"/>
          <w:highlight w:val="none"/>
        </w:rPr>
        <w:t>）承包人发生除第</w:t>
      </w:r>
      <w:r>
        <w:rPr>
          <w:color w:val="auto"/>
          <w:highlight w:val="none"/>
        </w:rPr>
        <w:t>22.1.1</w:t>
      </w:r>
      <w:r>
        <w:rPr>
          <w:rFonts w:hAnsi="宋体"/>
          <w:color w:val="auto"/>
          <w:highlight w:val="none"/>
        </w:rPr>
        <w:t>（</w:t>
      </w:r>
      <w:r>
        <w:rPr>
          <w:color w:val="auto"/>
          <w:highlight w:val="none"/>
        </w:rPr>
        <w:t>6</w:t>
      </w:r>
      <w:r>
        <w:rPr>
          <w:rFonts w:hAnsi="宋体"/>
          <w:color w:val="auto"/>
          <w:highlight w:val="none"/>
        </w:rPr>
        <w:t>）目约定以外的其他违约情况时，监理人可向承包人发出整改通知，要求其在指定的期限内改正。承包人应承担其违约所引起的费用增加和（或）工期延误。</w:t>
      </w:r>
    </w:p>
    <w:p w14:paraId="4A9693B0">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3</w:t>
      </w:r>
      <w:r>
        <w:rPr>
          <w:rFonts w:hAnsi="宋体"/>
          <w:color w:val="auto"/>
          <w:highlight w:val="none"/>
        </w:rPr>
        <w:t>）经检查证明承包人已采取了有效措施纠正违约行为，具备复工条件的，可由监理人签发复工通知复工。</w:t>
      </w:r>
    </w:p>
    <w:p w14:paraId="335BC20D">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22.1.3 </w:t>
      </w:r>
      <w:r>
        <w:rPr>
          <w:rFonts w:hAnsi="宋体"/>
          <w:color w:val="auto"/>
          <w:highlight w:val="none"/>
        </w:rPr>
        <w:t>承包人违约解除合同</w:t>
      </w:r>
    </w:p>
    <w:p w14:paraId="0A3D2C07">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监理人发出整改通知</w:t>
      </w:r>
      <w:r>
        <w:rPr>
          <w:color w:val="auto"/>
          <w:highlight w:val="none"/>
        </w:rPr>
        <w:t>28</w:t>
      </w:r>
      <w:r>
        <w:rPr>
          <w:rFonts w:hAnsi="宋体"/>
          <w:color w:val="auto"/>
          <w:highlight w:val="none"/>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2F696840">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22.1.4 </w:t>
      </w:r>
      <w:r>
        <w:rPr>
          <w:rFonts w:hAnsi="宋体"/>
          <w:color w:val="auto"/>
          <w:highlight w:val="none"/>
        </w:rPr>
        <w:t>合同解除后的估价、付款和结清</w:t>
      </w:r>
    </w:p>
    <w:p w14:paraId="7902F4E6">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1</w:t>
      </w:r>
      <w:r>
        <w:rPr>
          <w:rFonts w:hAnsi="宋体"/>
          <w:color w:val="auto"/>
          <w:highlight w:val="none"/>
        </w:rPr>
        <w:t>）合同解除后，监理人按第</w:t>
      </w:r>
      <w:r>
        <w:rPr>
          <w:color w:val="auto"/>
          <w:highlight w:val="none"/>
        </w:rPr>
        <w:t xml:space="preserve">3.5 </w:t>
      </w:r>
      <w:r>
        <w:rPr>
          <w:rFonts w:hAnsi="宋体"/>
          <w:color w:val="auto"/>
          <w:highlight w:val="none"/>
        </w:rPr>
        <w:t>款商定或确定承包人实际完成工作的价值，以及承包人己提供的材料、施工设备、工程设备和临时工程等的价值。</w:t>
      </w:r>
    </w:p>
    <w:p w14:paraId="01836175">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2</w:t>
      </w:r>
      <w:r>
        <w:rPr>
          <w:rFonts w:hAnsi="宋体"/>
          <w:color w:val="auto"/>
          <w:highlight w:val="none"/>
        </w:rPr>
        <w:t>）合同解除后，发包人应暂停对承包人的一切付款，查清各项付款和己扣款金额，包括承包人应支付的违约金。</w:t>
      </w:r>
    </w:p>
    <w:p w14:paraId="5D5215D7">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3</w:t>
      </w:r>
      <w:r>
        <w:rPr>
          <w:rFonts w:hAnsi="宋体"/>
          <w:color w:val="auto"/>
          <w:highlight w:val="none"/>
        </w:rPr>
        <w:t>）合同解除后，发包人应按第</w:t>
      </w:r>
      <w:r>
        <w:rPr>
          <w:color w:val="auto"/>
          <w:highlight w:val="none"/>
        </w:rPr>
        <w:t xml:space="preserve">23.4 </w:t>
      </w:r>
      <w:r>
        <w:rPr>
          <w:rFonts w:hAnsi="宋体"/>
          <w:color w:val="auto"/>
          <w:highlight w:val="none"/>
        </w:rPr>
        <w:t>款的约定向承包人索赔由于解除合同给发包人造成的损失。</w:t>
      </w:r>
    </w:p>
    <w:p w14:paraId="20E0E743">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4</w:t>
      </w:r>
      <w:r>
        <w:rPr>
          <w:rFonts w:hAnsi="宋体"/>
          <w:color w:val="auto"/>
          <w:highlight w:val="none"/>
        </w:rPr>
        <w:t>）合同双方确认上述往来款项后，出具最终结清付款证书，结清全部合同款项。</w:t>
      </w:r>
    </w:p>
    <w:p w14:paraId="52ADB9D8">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5</w:t>
      </w:r>
      <w:r>
        <w:rPr>
          <w:rFonts w:hAnsi="宋体"/>
          <w:color w:val="auto"/>
          <w:highlight w:val="none"/>
        </w:rPr>
        <w:t>）发包人和承包人未能就解除合同后的结清达成一致而形成争议的，按第</w:t>
      </w:r>
      <w:r>
        <w:rPr>
          <w:color w:val="auto"/>
          <w:highlight w:val="none"/>
        </w:rPr>
        <w:t>24</w:t>
      </w:r>
      <w:r>
        <w:rPr>
          <w:rFonts w:hAnsi="宋体"/>
          <w:color w:val="auto"/>
          <w:highlight w:val="none"/>
        </w:rPr>
        <w:t>条的约定办理。</w:t>
      </w:r>
    </w:p>
    <w:p w14:paraId="21227C2E">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22.1.5 </w:t>
      </w:r>
      <w:r>
        <w:rPr>
          <w:rFonts w:hAnsi="宋体"/>
          <w:color w:val="auto"/>
          <w:highlight w:val="none"/>
        </w:rPr>
        <w:t>协议利益的转让</w:t>
      </w:r>
    </w:p>
    <w:p w14:paraId="3B26CC10">
      <w:pPr>
        <w:pageBreakBefore w:val="0"/>
        <w:widowControl/>
        <w:kinsoku/>
        <w:wordWrap/>
        <w:overflowPunct/>
        <w:topLinePunct w:val="0"/>
        <w:autoSpaceDE/>
        <w:autoSpaceDN/>
        <w:bidi w:val="0"/>
        <w:adjustRightInd/>
        <w:snapToGrid/>
        <w:spacing w:line="400" w:lineRule="exact"/>
        <w:ind w:firstLine="420" w:firstLineChars="200"/>
        <w:textAlignment w:val="baseline"/>
        <w:rPr>
          <w:rFonts w:hAnsi="宋体"/>
          <w:color w:val="auto"/>
          <w:highlight w:val="none"/>
        </w:rPr>
      </w:pPr>
      <w:r>
        <w:rPr>
          <w:rFonts w:hAnsi="宋体"/>
          <w:color w:val="auto"/>
          <w:highlight w:val="none"/>
        </w:rPr>
        <w:t>因承包人违约解除合同的，发包人有权要求承包人将其为实施合同而签订的材料和设备</w:t>
      </w:r>
    </w:p>
    <w:p w14:paraId="7F7EB3EE">
      <w:pPr>
        <w:pageBreakBefore w:val="0"/>
        <w:widowControl/>
        <w:kinsoku/>
        <w:wordWrap/>
        <w:overflowPunct/>
        <w:topLinePunct w:val="0"/>
        <w:autoSpaceDE/>
        <w:autoSpaceDN/>
        <w:bidi w:val="0"/>
        <w:adjustRightInd/>
        <w:snapToGrid/>
        <w:spacing w:line="400" w:lineRule="exact"/>
        <w:textAlignment w:val="baseline"/>
        <w:rPr>
          <w:color w:val="auto"/>
          <w:highlight w:val="none"/>
        </w:rPr>
      </w:pPr>
      <w:r>
        <w:rPr>
          <w:rFonts w:hAnsi="宋体"/>
          <w:color w:val="auto"/>
          <w:highlight w:val="none"/>
        </w:rPr>
        <w:t>的订货协议或任何服务协议利益转让给发包人，并在解除合同后的</w:t>
      </w:r>
      <w:r>
        <w:rPr>
          <w:color w:val="auto"/>
          <w:highlight w:val="none"/>
        </w:rPr>
        <w:t>14</w:t>
      </w:r>
      <w:r>
        <w:rPr>
          <w:rFonts w:hAnsi="宋体"/>
          <w:color w:val="auto"/>
          <w:highlight w:val="none"/>
        </w:rPr>
        <w:t>天内，依法办理转让手续。</w:t>
      </w:r>
    </w:p>
    <w:p w14:paraId="540BCF2F">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22.1.6 </w:t>
      </w:r>
      <w:r>
        <w:rPr>
          <w:rFonts w:hAnsi="宋体"/>
          <w:color w:val="auto"/>
          <w:highlight w:val="none"/>
        </w:rPr>
        <w:t>紧急情况下无能力或不愿进行抢救</w:t>
      </w:r>
    </w:p>
    <w:p w14:paraId="6002FF65">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69ABB22D">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22.2 发包人违约</w:t>
      </w:r>
    </w:p>
    <w:p w14:paraId="4AADF6C4">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22.2.1 </w:t>
      </w:r>
      <w:r>
        <w:rPr>
          <w:rFonts w:hAnsi="宋体"/>
          <w:color w:val="auto"/>
          <w:highlight w:val="none"/>
        </w:rPr>
        <w:t>发包人违约的情形</w:t>
      </w:r>
    </w:p>
    <w:p w14:paraId="35A4BDC8">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在履行合同过程中发生的下列情形，属发包人违约：</w:t>
      </w:r>
    </w:p>
    <w:p w14:paraId="749E028D">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l</w:t>
      </w:r>
      <w:r>
        <w:rPr>
          <w:rFonts w:hAnsi="宋体"/>
          <w:color w:val="auto"/>
          <w:highlight w:val="none"/>
        </w:rPr>
        <w:t>）发包人未能按合同约定支付预付款或合同价款，或拖延、拒绝批准付款申请和支付凭证，导致付款延误的；</w:t>
      </w:r>
    </w:p>
    <w:p w14:paraId="474829E7">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2</w:t>
      </w:r>
      <w:r>
        <w:rPr>
          <w:rFonts w:hAnsi="宋体"/>
          <w:color w:val="auto"/>
          <w:highlight w:val="none"/>
        </w:rPr>
        <w:t>）发包人原因造成停工的；</w:t>
      </w:r>
    </w:p>
    <w:p w14:paraId="0FCA24DF">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3</w:t>
      </w:r>
      <w:r>
        <w:rPr>
          <w:rFonts w:hAnsi="宋体"/>
          <w:color w:val="auto"/>
          <w:highlight w:val="none"/>
        </w:rPr>
        <w:t>）监理人无正当理由没有在约定期限内发出复工指示，导致承包人无法复工的；</w:t>
      </w:r>
    </w:p>
    <w:p w14:paraId="06BF030B">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4</w:t>
      </w:r>
      <w:r>
        <w:rPr>
          <w:rFonts w:hAnsi="宋体"/>
          <w:color w:val="auto"/>
          <w:highlight w:val="none"/>
        </w:rPr>
        <w:t>）发包人无法继续履行或明确表示不履行或实质上已停止履行合同的；</w:t>
      </w:r>
    </w:p>
    <w:p w14:paraId="3F4298B8">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5</w:t>
      </w:r>
      <w:r>
        <w:rPr>
          <w:rFonts w:hAnsi="宋体"/>
          <w:color w:val="auto"/>
          <w:highlight w:val="none"/>
        </w:rPr>
        <w:t>）发包人不履行合同约定其他义务的。</w:t>
      </w:r>
    </w:p>
    <w:p w14:paraId="353E12C9">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22.2.2 </w:t>
      </w:r>
      <w:r>
        <w:rPr>
          <w:rFonts w:hAnsi="宋体"/>
          <w:color w:val="auto"/>
          <w:highlight w:val="none"/>
        </w:rPr>
        <w:t>承包人有权暂停施工</w:t>
      </w:r>
    </w:p>
    <w:p w14:paraId="408469CC">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发包人发生除第</w:t>
      </w:r>
      <w:r>
        <w:rPr>
          <w:color w:val="auto"/>
          <w:highlight w:val="none"/>
        </w:rPr>
        <w:t>22.2.1</w:t>
      </w:r>
      <w:r>
        <w:rPr>
          <w:rFonts w:hAnsi="宋体"/>
          <w:color w:val="auto"/>
          <w:highlight w:val="none"/>
        </w:rPr>
        <w:t>（</w:t>
      </w:r>
      <w:r>
        <w:rPr>
          <w:color w:val="auto"/>
          <w:highlight w:val="none"/>
        </w:rPr>
        <w:t>4</w:t>
      </w:r>
      <w:r>
        <w:rPr>
          <w:rFonts w:hAnsi="宋体"/>
          <w:color w:val="auto"/>
          <w:highlight w:val="none"/>
        </w:rPr>
        <w:t>）目以外的违约情况时，承包人可向发包人发出通知，要求发包人采取有效措施纠正违约行为。发包人收到承包人通知后的</w:t>
      </w:r>
      <w:r>
        <w:rPr>
          <w:color w:val="auto"/>
          <w:highlight w:val="none"/>
        </w:rPr>
        <w:t>28</w:t>
      </w:r>
      <w:r>
        <w:rPr>
          <w:rFonts w:hAnsi="宋体"/>
          <w:color w:val="auto"/>
          <w:highlight w:val="none"/>
        </w:rPr>
        <w:t>天内仍不履行合同义务，承包人有权暂停施工，并通知监理人，发包人应承担由此增加的费用和（或）工期延误，并支付承包人合理利润。</w:t>
      </w:r>
    </w:p>
    <w:p w14:paraId="4F2567A4">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22.2.3 </w:t>
      </w:r>
      <w:r>
        <w:rPr>
          <w:rFonts w:hAnsi="宋体"/>
          <w:color w:val="auto"/>
          <w:highlight w:val="none"/>
        </w:rPr>
        <w:t>发包人违约解除合同</w:t>
      </w:r>
    </w:p>
    <w:p w14:paraId="59C668CD">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1</w:t>
      </w:r>
      <w:r>
        <w:rPr>
          <w:rFonts w:hAnsi="宋体"/>
          <w:color w:val="auto"/>
          <w:highlight w:val="none"/>
        </w:rPr>
        <w:t>）发生第</w:t>
      </w:r>
      <w:r>
        <w:rPr>
          <w:color w:val="auto"/>
          <w:highlight w:val="none"/>
        </w:rPr>
        <w:t>22.2.1</w:t>
      </w:r>
      <w:r>
        <w:rPr>
          <w:rFonts w:hAnsi="宋体"/>
          <w:color w:val="auto"/>
          <w:highlight w:val="none"/>
        </w:rPr>
        <w:t>（</w:t>
      </w:r>
      <w:r>
        <w:rPr>
          <w:color w:val="auto"/>
          <w:highlight w:val="none"/>
        </w:rPr>
        <w:t>4</w:t>
      </w:r>
      <w:r>
        <w:rPr>
          <w:rFonts w:hAnsi="宋体"/>
          <w:color w:val="auto"/>
          <w:highlight w:val="none"/>
        </w:rPr>
        <w:t>）目的违约情况时，承包人可书面通知发包人解除合同。</w:t>
      </w:r>
    </w:p>
    <w:p w14:paraId="3579D82C">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2</w:t>
      </w:r>
      <w:r>
        <w:rPr>
          <w:rFonts w:hAnsi="宋体"/>
          <w:color w:val="auto"/>
          <w:highlight w:val="none"/>
        </w:rPr>
        <w:t>）承包人按</w:t>
      </w:r>
      <w:r>
        <w:rPr>
          <w:color w:val="auto"/>
          <w:highlight w:val="none"/>
        </w:rPr>
        <w:t xml:space="preserve">22.2.2 </w:t>
      </w:r>
      <w:r>
        <w:rPr>
          <w:rFonts w:hAnsi="宋体"/>
          <w:color w:val="auto"/>
          <w:highlight w:val="none"/>
        </w:rPr>
        <w:t>款暂停施工</w:t>
      </w:r>
      <w:r>
        <w:rPr>
          <w:color w:val="auto"/>
          <w:highlight w:val="none"/>
        </w:rPr>
        <w:t>28</w:t>
      </w:r>
      <w:r>
        <w:rPr>
          <w:rFonts w:hAnsi="宋体"/>
          <w:color w:val="auto"/>
          <w:highlight w:val="none"/>
        </w:rPr>
        <w:t>天后，发包人仍不纠正违约行为的，承包人可向发包人发出解除合同通知。但承包人的这一行动不免除发包人承担的违约责任，也不影响承包人根据合同约定享有的索赔权利。</w:t>
      </w:r>
    </w:p>
    <w:p w14:paraId="4E4EAE83">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22.2.4 </w:t>
      </w:r>
      <w:r>
        <w:rPr>
          <w:rFonts w:hAnsi="宋体"/>
          <w:color w:val="auto"/>
          <w:highlight w:val="none"/>
        </w:rPr>
        <w:t>解除合同后的付款</w:t>
      </w:r>
    </w:p>
    <w:p w14:paraId="6223AE12">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因发包人违约解除合同的，发包人应在解除合同后</w:t>
      </w:r>
      <w:r>
        <w:rPr>
          <w:color w:val="auto"/>
          <w:highlight w:val="none"/>
        </w:rPr>
        <w:t>28</w:t>
      </w:r>
      <w:r>
        <w:rPr>
          <w:rFonts w:hAnsi="宋体"/>
          <w:color w:val="auto"/>
          <w:highlight w:val="none"/>
        </w:rPr>
        <w:t>天内向承包人支付下列金额，承包人应在此期限内及时向发包人提交要求支付下列金额的有关资料和凭证：</w:t>
      </w:r>
    </w:p>
    <w:p w14:paraId="11939EF2">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l</w:t>
      </w:r>
      <w:r>
        <w:rPr>
          <w:rFonts w:hAnsi="宋体"/>
          <w:color w:val="auto"/>
          <w:highlight w:val="none"/>
        </w:rPr>
        <w:t>）合同解除日以前所完成工作的价款；</w:t>
      </w:r>
    </w:p>
    <w:p w14:paraId="7B3414D1">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2</w:t>
      </w:r>
      <w:r>
        <w:rPr>
          <w:rFonts w:hAnsi="宋体"/>
          <w:color w:val="auto"/>
          <w:highlight w:val="none"/>
        </w:rPr>
        <w:t>）承包人为该工程施工订购并己付款的材料、工程设备和其他物品的金额。发包人付还后，该材料、工程设备和其他物品归发包人所有；</w:t>
      </w:r>
    </w:p>
    <w:p w14:paraId="352D590E">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3</w:t>
      </w:r>
      <w:r>
        <w:rPr>
          <w:rFonts w:hAnsi="宋体"/>
          <w:color w:val="auto"/>
          <w:highlight w:val="none"/>
        </w:rPr>
        <w:t>）承包人为完成工程所发生的，而发包人未支付的金额；</w:t>
      </w:r>
    </w:p>
    <w:p w14:paraId="024F0B02">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4</w:t>
      </w:r>
      <w:r>
        <w:rPr>
          <w:rFonts w:hAnsi="宋体"/>
          <w:color w:val="auto"/>
          <w:highlight w:val="none"/>
        </w:rPr>
        <w:t>）承包人撤离施工场地以及遣散承包人人员的金额；</w:t>
      </w:r>
    </w:p>
    <w:p w14:paraId="0DD15F88">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5</w:t>
      </w:r>
      <w:r>
        <w:rPr>
          <w:rFonts w:hAnsi="宋体"/>
          <w:color w:val="auto"/>
          <w:highlight w:val="none"/>
        </w:rPr>
        <w:t>）由于解除合同应赔偿的承包人损失；</w:t>
      </w:r>
    </w:p>
    <w:p w14:paraId="1E2AF91A">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6</w:t>
      </w:r>
      <w:r>
        <w:rPr>
          <w:rFonts w:hAnsi="宋体"/>
          <w:color w:val="auto"/>
          <w:highlight w:val="none"/>
        </w:rPr>
        <w:t>）按合同约定在合同解除日前应支付给承包人的其他金额。</w:t>
      </w:r>
    </w:p>
    <w:p w14:paraId="7502D88D">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发包人应按本项约定支付上述金额并退还质量保证金和履约担保，但有权要求承包人支付应偿还给发包人的各项金额。</w:t>
      </w:r>
    </w:p>
    <w:p w14:paraId="54D7C882">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22.2.5 </w:t>
      </w:r>
      <w:r>
        <w:rPr>
          <w:rFonts w:hAnsi="宋体"/>
          <w:color w:val="auto"/>
          <w:highlight w:val="none"/>
        </w:rPr>
        <w:t>解除合同后的承包人撤离</w:t>
      </w:r>
    </w:p>
    <w:p w14:paraId="39AC44EF">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因发包人违约而解除合同后，承包人应妥善做好已竣工工程和己购材料、设备的保护和移交工作，按发包人要求将承包人设备和人员撤出施工场地。承包人撤出施工场地应遵守第</w:t>
      </w:r>
    </w:p>
    <w:p w14:paraId="377754A9">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18.7.1 </w:t>
      </w:r>
      <w:r>
        <w:rPr>
          <w:rFonts w:hAnsi="宋体"/>
          <w:color w:val="auto"/>
          <w:highlight w:val="none"/>
        </w:rPr>
        <w:t>款的约定，发包人应为承包人撤出提供必要条件。</w:t>
      </w:r>
    </w:p>
    <w:p w14:paraId="05E15AE9">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22.3 第三人造成的违约</w:t>
      </w:r>
    </w:p>
    <w:p w14:paraId="32AD2BDE">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在履行合同过程中，一方当事人因第三人的原因造成违约的，应当向对方当事人承担违约责任。一方当事人和第三人之间的纠纷，依照法律规定或者按照约定解决。</w:t>
      </w:r>
    </w:p>
    <w:p w14:paraId="5028D085">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bookmarkStart w:id="69" w:name="_Toc265408512"/>
      <w:r>
        <w:rPr>
          <w:rFonts w:hint="eastAsia" w:ascii="宋体" w:hAnsi="宋体" w:eastAsia="宋体" w:cs="宋体"/>
          <w:b/>
          <w:bCs/>
          <w:color w:val="auto"/>
          <w:sz w:val="21"/>
          <w:szCs w:val="21"/>
          <w:highlight w:val="none"/>
        </w:rPr>
        <w:t>23  索赔</w:t>
      </w:r>
      <w:bookmarkEnd w:id="69"/>
    </w:p>
    <w:p w14:paraId="2B4EF81C">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23.1 承包人索赔的提出</w:t>
      </w:r>
    </w:p>
    <w:p w14:paraId="35BEDAE9">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根据合同约定，承包人认为有权得到追加付款和（或）延长工期的，应按以下程序向发包人提出索赔：</w:t>
      </w:r>
    </w:p>
    <w:p w14:paraId="4A180808">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l</w:t>
      </w:r>
      <w:r>
        <w:rPr>
          <w:rFonts w:hAnsi="宋体"/>
          <w:color w:val="auto"/>
          <w:highlight w:val="none"/>
        </w:rPr>
        <w:t>）承包人应在知道或应当知道索赔事件发生后</w:t>
      </w:r>
      <w:r>
        <w:rPr>
          <w:color w:val="auto"/>
          <w:highlight w:val="none"/>
        </w:rPr>
        <w:t xml:space="preserve">28 </w:t>
      </w:r>
      <w:r>
        <w:rPr>
          <w:rFonts w:hAnsi="宋体"/>
          <w:color w:val="auto"/>
          <w:highlight w:val="none"/>
        </w:rPr>
        <w:t>天内，向监理人递交索赔意向通知书，并说明发生索赔事件的事由。承包人未在前述</w:t>
      </w:r>
      <w:r>
        <w:rPr>
          <w:color w:val="auto"/>
          <w:highlight w:val="none"/>
        </w:rPr>
        <w:t>28</w:t>
      </w:r>
      <w:r>
        <w:rPr>
          <w:rFonts w:hAnsi="宋体"/>
          <w:color w:val="auto"/>
          <w:highlight w:val="none"/>
        </w:rPr>
        <w:t>天内发出索赔意向通知书的，丧失要求追加付款和（或）延长工期的权利：</w:t>
      </w:r>
    </w:p>
    <w:p w14:paraId="5CD498E3">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2</w:t>
      </w:r>
      <w:r>
        <w:rPr>
          <w:rFonts w:hAnsi="宋体"/>
          <w:color w:val="auto"/>
          <w:highlight w:val="none"/>
        </w:rPr>
        <w:t>）承包人应在发出索赔意向通知书后</w:t>
      </w:r>
      <w:r>
        <w:rPr>
          <w:color w:val="auto"/>
          <w:highlight w:val="none"/>
        </w:rPr>
        <w:t>28</w:t>
      </w:r>
      <w:r>
        <w:rPr>
          <w:rFonts w:hAnsi="宋体"/>
          <w:color w:val="auto"/>
          <w:highlight w:val="none"/>
        </w:rPr>
        <w:t>天内，向监理人正式递交索赔通知书。索赔通知书应详细说明索赔理由以及要求追加的付款金额和（或）延长的工期，并附必要的记录和证明材料；</w:t>
      </w:r>
    </w:p>
    <w:p w14:paraId="4C50F418">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3</w:t>
      </w:r>
      <w:r>
        <w:rPr>
          <w:rFonts w:hAnsi="宋体"/>
          <w:color w:val="auto"/>
          <w:highlight w:val="none"/>
        </w:rPr>
        <w:t>）索赔事件具有连续影响的，承包人应按合理时间间隔继续递交延续索赔通知，说明连续影响的实际情况和记录，列出累计的追加付款金额和（或）工期延长天数；</w:t>
      </w:r>
    </w:p>
    <w:p w14:paraId="333FE003">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4</w:t>
      </w:r>
      <w:r>
        <w:rPr>
          <w:rFonts w:hAnsi="宋体"/>
          <w:color w:val="auto"/>
          <w:highlight w:val="none"/>
        </w:rPr>
        <w:t>）在索赔事件影响结束后的</w:t>
      </w:r>
      <w:r>
        <w:rPr>
          <w:color w:val="auto"/>
          <w:highlight w:val="none"/>
        </w:rPr>
        <w:t xml:space="preserve">28 </w:t>
      </w:r>
      <w:r>
        <w:rPr>
          <w:rFonts w:hAnsi="宋体"/>
          <w:color w:val="auto"/>
          <w:highlight w:val="none"/>
        </w:rPr>
        <w:t>天内，承包人应向监理人递交最终索赔通知书，说明最终要求索赔的追加付款金额和延长的工期，并附必要的记录和证明材料。</w:t>
      </w:r>
    </w:p>
    <w:p w14:paraId="1C2B982C">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23.2 承包人索赔处理程序</w:t>
      </w:r>
    </w:p>
    <w:p w14:paraId="4E736DB8">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1</w:t>
      </w:r>
      <w:r>
        <w:rPr>
          <w:rFonts w:hAnsi="宋体"/>
          <w:color w:val="auto"/>
          <w:highlight w:val="none"/>
        </w:rPr>
        <w:t>）监理人收到承包人提交的索赔通知书后，应及时审查索赔通知书的内容、杳验承包人的记录和证明材料，必要时监理人可要求承包人提交全部原始记录副本。</w:t>
      </w:r>
    </w:p>
    <w:p w14:paraId="77F3CAAC">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2</w:t>
      </w:r>
      <w:r>
        <w:rPr>
          <w:rFonts w:hAnsi="宋体"/>
          <w:color w:val="auto"/>
          <w:highlight w:val="none"/>
        </w:rPr>
        <w:t>）监理人应按第</w:t>
      </w:r>
      <w:r>
        <w:rPr>
          <w:color w:val="auto"/>
          <w:highlight w:val="none"/>
        </w:rPr>
        <w:t xml:space="preserve">3.5 </w:t>
      </w:r>
      <w:r>
        <w:rPr>
          <w:rFonts w:hAnsi="宋体"/>
          <w:color w:val="auto"/>
          <w:highlight w:val="none"/>
        </w:rPr>
        <w:t>款商定或确定追加的付款和（或）延长的工期，并在收到上述索赔通知书或有关索赔的进一步证明材料后的</w:t>
      </w:r>
      <w:r>
        <w:rPr>
          <w:color w:val="auto"/>
          <w:highlight w:val="none"/>
        </w:rPr>
        <w:t>42</w:t>
      </w:r>
      <w:r>
        <w:rPr>
          <w:rFonts w:hAnsi="宋体"/>
          <w:color w:val="auto"/>
          <w:highlight w:val="none"/>
        </w:rPr>
        <w:t>天内，将索赔处理结果答复承包人。</w:t>
      </w:r>
    </w:p>
    <w:p w14:paraId="5D81C627">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3</w:t>
      </w:r>
      <w:r>
        <w:rPr>
          <w:rFonts w:hAnsi="宋体"/>
          <w:color w:val="auto"/>
          <w:highlight w:val="none"/>
        </w:rPr>
        <w:t>）承包人接受索赔处理结果的，发包人应在作出索赔处理结果答复后</w:t>
      </w:r>
      <w:r>
        <w:rPr>
          <w:color w:val="auto"/>
          <w:highlight w:val="none"/>
        </w:rPr>
        <w:t xml:space="preserve">28 </w:t>
      </w:r>
      <w:r>
        <w:rPr>
          <w:rFonts w:hAnsi="宋体"/>
          <w:color w:val="auto"/>
          <w:highlight w:val="none"/>
        </w:rPr>
        <w:t>天内完成赔付。承包人不接受索赔处理结果的，按第</w:t>
      </w:r>
      <w:r>
        <w:rPr>
          <w:color w:val="auto"/>
          <w:highlight w:val="none"/>
        </w:rPr>
        <w:t>24</w:t>
      </w:r>
      <w:r>
        <w:rPr>
          <w:rFonts w:hAnsi="宋体"/>
          <w:color w:val="auto"/>
          <w:highlight w:val="none"/>
        </w:rPr>
        <w:t>条的约定办理。</w:t>
      </w:r>
    </w:p>
    <w:p w14:paraId="62E0AC3D">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23.3 承包人提出索赔的期限</w:t>
      </w:r>
    </w:p>
    <w:p w14:paraId="11D275C0">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23.3.1 </w:t>
      </w:r>
      <w:r>
        <w:rPr>
          <w:rFonts w:hAnsi="宋体"/>
          <w:color w:val="auto"/>
          <w:highlight w:val="none"/>
        </w:rPr>
        <w:t>承包人按第</w:t>
      </w:r>
      <w:r>
        <w:rPr>
          <w:color w:val="auto"/>
          <w:highlight w:val="none"/>
        </w:rPr>
        <w:t xml:space="preserve">17.5 </w:t>
      </w:r>
      <w:r>
        <w:rPr>
          <w:rFonts w:hAnsi="宋体"/>
          <w:color w:val="auto"/>
          <w:highlight w:val="none"/>
        </w:rPr>
        <w:t>款的约定接受了完工付款后，应被认为已无权再提出在合同工程完工证书颁发前所发生的任何索赔。</w:t>
      </w:r>
    </w:p>
    <w:p w14:paraId="20C8DE18">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23.3.2</w:t>
      </w:r>
      <w:r>
        <w:rPr>
          <w:rFonts w:hAnsi="宋体"/>
          <w:color w:val="auto"/>
          <w:highlight w:val="none"/>
        </w:rPr>
        <w:t>承包人按第</w:t>
      </w:r>
      <w:r>
        <w:rPr>
          <w:color w:val="auto"/>
          <w:highlight w:val="none"/>
        </w:rPr>
        <w:t>17.6</w:t>
      </w:r>
      <w:r>
        <w:rPr>
          <w:rFonts w:hAnsi="宋体"/>
          <w:color w:val="auto"/>
          <w:highlight w:val="none"/>
        </w:rPr>
        <w:t>款的约定提交的最终结清申请单中，只限于提出合同工程完工证书颁发后发生的索赔。提出索赔的期限自接受最终结清证书时终止。</w:t>
      </w:r>
    </w:p>
    <w:p w14:paraId="717EBEAC">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23.4 发包人的索赔</w:t>
      </w:r>
    </w:p>
    <w:p w14:paraId="4884AA9A">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23.4.1 </w:t>
      </w:r>
      <w:r>
        <w:rPr>
          <w:rFonts w:hAnsi="宋体"/>
          <w:color w:val="auto"/>
          <w:highlight w:val="none"/>
        </w:rPr>
        <w:t>发生索赔事件后，监理人应及时书面通知承包人，详细说明发包人有权得到的索赔金额和（或）延长缺陷责任期的细节和依据。发包人提出索赔的期限和要求与第</w:t>
      </w:r>
      <w:r>
        <w:rPr>
          <w:color w:val="auto"/>
          <w:highlight w:val="none"/>
        </w:rPr>
        <w:t xml:space="preserve">23.3 </w:t>
      </w:r>
      <w:r>
        <w:rPr>
          <w:rFonts w:hAnsi="宋体"/>
          <w:color w:val="auto"/>
          <w:highlight w:val="none"/>
        </w:rPr>
        <w:t>款的约定相同，延长缺陷责任期的通知应在缺陷责任期届满前发出。</w:t>
      </w:r>
    </w:p>
    <w:p w14:paraId="519A55BB">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23.4.2 </w:t>
      </w:r>
      <w:r>
        <w:rPr>
          <w:rFonts w:hAnsi="宋体"/>
          <w:color w:val="auto"/>
          <w:highlight w:val="none"/>
        </w:rPr>
        <w:t>监理人按第</w:t>
      </w:r>
      <w:r>
        <w:rPr>
          <w:color w:val="auto"/>
          <w:highlight w:val="none"/>
        </w:rPr>
        <w:t xml:space="preserve">3.5 </w:t>
      </w:r>
      <w:r>
        <w:rPr>
          <w:rFonts w:hAnsi="宋体"/>
          <w:color w:val="auto"/>
          <w:highlight w:val="none"/>
        </w:rPr>
        <w:t>款商定或确定发包人从承包人处得到赔付的金额和（或）缺陷责任期的延长期。承包人应付给发包人的金额可从拟支付给承包人的合同价款中扣除，或由承包人以其他方式支付给发包人。</w:t>
      </w:r>
    </w:p>
    <w:p w14:paraId="6D5DDBA7">
      <w:pPr>
        <w:pageBreakBefore w:val="0"/>
        <w:widowControl/>
        <w:kinsoku/>
        <w:wordWrap/>
        <w:overflowPunct/>
        <w:topLinePunct w:val="0"/>
        <w:autoSpaceDE/>
        <w:autoSpaceDN/>
        <w:bidi w:val="0"/>
        <w:adjustRightInd/>
        <w:snapToGrid/>
        <w:spacing w:line="400" w:lineRule="exact"/>
        <w:ind w:firstLine="420" w:firstLineChars="200"/>
        <w:textAlignment w:val="baseline"/>
        <w:rPr>
          <w:rFonts w:hint="eastAsia"/>
          <w:color w:val="auto"/>
          <w:highlight w:val="none"/>
        </w:rPr>
      </w:pPr>
      <w:bookmarkStart w:id="70" w:name="_Toc265408513"/>
      <w:r>
        <w:rPr>
          <w:rFonts w:hint="eastAsia"/>
          <w:color w:val="auto"/>
          <w:highlight w:val="none"/>
        </w:rPr>
        <w:t xml:space="preserve">23.4.3 </w:t>
      </w:r>
      <w:r>
        <w:rPr>
          <w:rFonts w:hint="eastAsia"/>
          <w:color w:val="auto"/>
          <w:highlight w:val="none"/>
          <w:lang w:val="en-US" w:eastAsia="zh-CN"/>
        </w:rPr>
        <w:t>承包</w:t>
      </w:r>
      <w:r>
        <w:rPr>
          <w:rFonts w:hint="eastAsia"/>
          <w:color w:val="auto"/>
          <w:highlight w:val="none"/>
        </w:rPr>
        <w:t>人对监理人按第23.4.1发出的索赔书面通知内容持异议时，应在收到书面通知后的14内， 将持有异议的书面报告及其证明材料提交监理人。监理人应在收到承包人书面报告后的14</w:t>
      </w:r>
      <w:r>
        <w:rPr>
          <w:rFonts w:hint="eastAsia"/>
          <w:color w:val="auto"/>
          <w:highlight w:val="none"/>
          <w:lang w:val="en-US" w:eastAsia="zh-CN"/>
        </w:rPr>
        <w:t>天内</w:t>
      </w:r>
      <w:r>
        <w:rPr>
          <w:rFonts w:hint="eastAsia"/>
          <w:color w:val="auto"/>
          <w:highlight w:val="none"/>
        </w:rPr>
        <w:t>，将异议的处理意见通知承包人，并按第23.4.2款的约定执行赔付。若承包人不接受监理人的索赔处理意见，可按本合同第24条规定办理。</w:t>
      </w:r>
    </w:p>
    <w:p w14:paraId="138A70A0">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24  争议的解决</w:t>
      </w:r>
      <w:bookmarkEnd w:id="70"/>
    </w:p>
    <w:p w14:paraId="34792A89">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24.1 争议的解决方式</w:t>
      </w:r>
    </w:p>
    <w:p w14:paraId="44E9CC90">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38D75BB0">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l</w:t>
      </w:r>
      <w:r>
        <w:rPr>
          <w:rFonts w:hAnsi="宋体"/>
          <w:color w:val="auto"/>
          <w:highlight w:val="none"/>
        </w:rPr>
        <w:t>）向约定的仲裁委员会申请仲裁；</w:t>
      </w:r>
    </w:p>
    <w:p w14:paraId="50E77BB0">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w:t>
      </w:r>
      <w:r>
        <w:rPr>
          <w:color w:val="auto"/>
          <w:highlight w:val="none"/>
        </w:rPr>
        <w:t>2</w:t>
      </w:r>
      <w:r>
        <w:rPr>
          <w:rFonts w:hAnsi="宋体"/>
          <w:color w:val="auto"/>
          <w:highlight w:val="none"/>
        </w:rPr>
        <w:t>）向有管辖权的人民法院提起诉讼。</w:t>
      </w:r>
    </w:p>
    <w:p w14:paraId="3BD96015">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24.2 友好解决</w:t>
      </w:r>
    </w:p>
    <w:p w14:paraId="706F3565">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rFonts w:hAnsi="宋体"/>
          <w:color w:val="auto"/>
          <w:highlight w:val="none"/>
        </w:rPr>
        <w:t>在提请争议评审、仲裁或者诉讼前，以及在争议评审、仲裁或诉讼过程中，发包人和承包人均可共同努力友好协商解决争议。</w:t>
      </w:r>
    </w:p>
    <w:p w14:paraId="28014D82">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24.3 争议评审</w:t>
      </w:r>
    </w:p>
    <w:p w14:paraId="4A28001C">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24.3.1 </w:t>
      </w:r>
      <w:r>
        <w:rPr>
          <w:rFonts w:hAnsi="宋体"/>
          <w:color w:val="auto"/>
          <w:highlight w:val="none"/>
        </w:rPr>
        <w:t>采用争议评审的，发包人和承包人应在开工日后的</w:t>
      </w:r>
      <w:r>
        <w:rPr>
          <w:color w:val="auto"/>
          <w:highlight w:val="none"/>
        </w:rPr>
        <w:t>28</w:t>
      </w:r>
      <w:r>
        <w:rPr>
          <w:rFonts w:hAnsi="宋体"/>
          <w:color w:val="auto"/>
          <w:highlight w:val="none"/>
        </w:rPr>
        <w:t>天内或在争议发生后，协商成立争议评审组。争议评审组由有合同管理和工程实践经验的专家组成。</w:t>
      </w:r>
    </w:p>
    <w:p w14:paraId="5CF69039">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24.3.2 </w:t>
      </w:r>
      <w:r>
        <w:rPr>
          <w:rFonts w:hAnsi="宋体"/>
          <w:color w:val="auto"/>
          <w:highlight w:val="none"/>
        </w:rPr>
        <w:t>合同双方的争议，应首先由申请人向争议评审组提交一份详细的评审申请报告，并附必要的文件、图纸和证明材料，申请人还应将上述报告的副本同时提交给被申请人和监理人。</w:t>
      </w:r>
    </w:p>
    <w:p w14:paraId="61DAF5B3">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24.3.3 </w:t>
      </w:r>
      <w:r>
        <w:rPr>
          <w:rFonts w:hAnsi="宋体"/>
          <w:color w:val="auto"/>
          <w:highlight w:val="none"/>
        </w:rPr>
        <w:t>被申请人在收到申请人评审申请报告副本后的</w:t>
      </w:r>
      <w:r>
        <w:rPr>
          <w:color w:val="auto"/>
          <w:highlight w:val="none"/>
        </w:rPr>
        <w:t xml:space="preserve">28 </w:t>
      </w:r>
      <w:r>
        <w:rPr>
          <w:rFonts w:hAnsi="宋体"/>
          <w:color w:val="auto"/>
          <w:highlight w:val="none"/>
        </w:rPr>
        <w:t>天内，向争议评审组提交一份答辩报告，并附证明材料。被申请人应将答辩报告的副本同时提交给申请人和监理人。</w:t>
      </w:r>
    </w:p>
    <w:p w14:paraId="0EF4D1F1">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24.3.4 </w:t>
      </w:r>
      <w:r>
        <w:rPr>
          <w:rFonts w:hAnsi="宋体"/>
          <w:color w:val="auto"/>
          <w:highlight w:val="none"/>
        </w:rPr>
        <w:t>除专用合同条款另有约定外，争议评审组在收到合同双方报告后的</w:t>
      </w:r>
      <w:r>
        <w:rPr>
          <w:color w:val="auto"/>
          <w:highlight w:val="none"/>
        </w:rPr>
        <w:t>14</w:t>
      </w:r>
      <w:r>
        <w:rPr>
          <w:rFonts w:hAnsi="宋体"/>
          <w:color w:val="auto"/>
          <w:highlight w:val="none"/>
        </w:rPr>
        <w:t>天内，邀请双方代表和有关人员举行调查会，向双方调查争议细节；必要时争议评审组可要求双方进一步提供补充材料。</w:t>
      </w:r>
    </w:p>
    <w:p w14:paraId="3AFD4732">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24.3.5 </w:t>
      </w:r>
      <w:r>
        <w:rPr>
          <w:rFonts w:hAnsi="宋体"/>
          <w:color w:val="auto"/>
          <w:highlight w:val="none"/>
        </w:rPr>
        <w:t>除专用合同条款另有约定外，在调查会结束后的</w:t>
      </w:r>
      <w:r>
        <w:rPr>
          <w:color w:val="auto"/>
          <w:highlight w:val="none"/>
        </w:rPr>
        <w:t>14</w:t>
      </w:r>
      <w:r>
        <w:rPr>
          <w:rFonts w:hAnsi="宋体"/>
          <w:color w:val="auto"/>
          <w:highlight w:val="none"/>
        </w:rPr>
        <w:t>天内，争议评审组应在不受任何干扰的情况下进行独立、公正的评审，作出书面评审意见，并说明理由。在争议评审期间，争议双方暂按总监理工程师的确定执行。</w:t>
      </w:r>
    </w:p>
    <w:p w14:paraId="7B5F0EFE">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24.3.6 </w:t>
      </w:r>
      <w:r>
        <w:rPr>
          <w:rFonts w:hAnsi="宋体"/>
          <w:color w:val="auto"/>
          <w:highlight w:val="none"/>
        </w:rPr>
        <w:t>发包人和承包人接受评审意见的，由监理人根据评审意见拟定执行协议，经争议双方签字后作为合同的补充文件，并遵照执行。</w:t>
      </w:r>
    </w:p>
    <w:p w14:paraId="0DE67D6E">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24.3.7 </w:t>
      </w:r>
      <w:r>
        <w:rPr>
          <w:rFonts w:hAnsi="宋体"/>
          <w:color w:val="auto"/>
          <w:highlight w:val="none"/>
        </w:rPr>
        <w:t>发包人或承包人不接受评审意见，并要求提交仲裁或提起诉讼的，应在收到评审意见后的</w:t>
      </w:r>
      <w:r>
        <w:rPr>
          <w:color w:val="auto"/>
          <w:highlight w:val="none"/>
        </w:rPr>
        <w:t xml:space="preserve">14 </w:t>
      </w:r>
      <w:r>
        <w:rPr>
          <w:rFonts w:hAnsi="宋体"/>
          <w:color w:val="auto"/>
          <w:highlight w:val="none"/>
        </w:rPr>
        <w:t>天内将仲裁或起诉意向书面通知另一方，并抄送监理人，但在仲裁或诉讼结束前应暂按总监理工程师的确定执行。</w:t>
      </w:r>
    </w:p>
    <w:p w14:paraId="6EF0553F">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24.4 仲裁</w:t>
      </w:r>
    </w:p>
    <w:p w14:paraId="78D22397">
      <w:pPr>
        <w:pageBreakBefore w:val="0"/>
        <w:widowControl/>
        <w:kinsoku/>
        <w:wordWrap/>
        <w:overflowPunct/>
        <w:topLinePunct w:val="0"/>
        <w:autoSpaceDE/>
        <w:autoSpaceDN/>
        <w:bidi w:val="0"/>
        <w:adjustRightInd/>
        <w:snapToGrid/>
        <w:spacing w:line="400" w:lineRule="exact"/>
        <w:ind w:firstLine="420" w:firstLineChars="200"/>
        <w:textAlignment w:val="baseline"/>
        <w:rPr>
          <w:color w:val="auto"/>
          <w:highlight w:val="none"/>
        </w:rPr>
      </w:pPr>
      <w:r>
        <w:rPr>
          <w:color w:val="auto"/>
          <w:highlight w:val="none"/>
        </w:rPr>
        <w:t xml:space="preserve">24.4.1 </w:t>
      </w:r>
      <w:r>
        <w:rPr>
          <w:rFonts w:hAnsi="宋体"/>
          <w:color w:val="auto"/>
          <w:highlight w:val="none"/>
        </w:rPr>
        <w:t>若合同双方商定直接向仲裁机构申请仲裁，</w:t>
      </w:r>
      <w:r>
        <w:rPr>
          <w:color w:val="auto"/>
          <w:highlight w:val="none"/>
        </w:rPr>
        <w:t xml:space="preserve"> </w:t>
      </w:r>
      <w:r>
        <w:rPr>
          <w:rFonts w:hAnsi="宋体"/>
          <w:color w:val="auto"/>
          <w:highlight w:val="none"/>
        </w:rPr>
        <w:t>应签订仲裁协议并约定仲裁机构。</w:t>
      </w:r>
    </w:p>
    <w:p w14:paraId="6AF0347A">
      <w:pPr>
        <w:pageBreakBefore w:val="0"/>
        <w:widowControl/>
        <w:kinsoku/>
        <w:wordWrap/>
        <w:overflowPunct/>
        <w:topLinePunct w:val="0"/>
        <w:autoSpaceDE/>
        <w:autoSpaceDN/>
        <w:bidi w:val="0"/>
        <w:adjustRightInd/>
        <w:snapToGrid/>
        <w:spacing w:line="400" w:lineRule="exact"/>
        <w:ind w:firstLine="420" w:firstLineChars="200"/>
        <w:textAlignment w:val="baseline"/>
        <w:rPr>
          <w:rFonts w:hAnsi="宋体"/>
          <w:color w:val="auto"/>
          <w:highlight w:val="none"/>
        </w:rPr>
      </w:pPr>
      <w:r>
        <w:rPr>
          <w:color w:val="auto"/>
          <w:highlight w:val="none"/>
        </w:rPr>
        <w:t xml:space="preserve">24.4.2 </w:t>
      </w:r>
      <w:r>
        <w:rPr>
          <w:rFonts w:hAnsi="宋体"/>
          <w:color w:val="auto"/>
          <w:highlight w:val="none"/>
        </w:rPr>
        <w:t>若合同双方未能达成仲裁协议，则本合同的仲裁条款无效，任一方均有权向人民法院提起诉讼。</w:t>
      </w:r>
    </w:p>
    <w:p w14:paraId="63C1F6E0">
      <w:pPr>
        <w:pStyle w:val="4"/>
        <w:pageBreakBefore w:val="0"/>
        <w:kinsoku/>
        <w:wordWrap/>
        <w:overflowPunct/>
        <w:topLinePunct w:val="0"/>
        <w:bidi w:val="0"/>
        <w:snapToGrid/>
        <w:spacing w:line="400" w:lineRule="exact"/>
        <w:jc w:val="center"/>
        <w:rPr>
          <w:color w:val="auto"/>
          <w:highlight w:val="none"/>
        </w:rPr>
      </w:pPr>
      <w:bookmarkStart w:id="71" w:name="_Toc265408514"/>
      <w:r>
        <w:rPr>
          <w:rFonts w:hAnsi="宋体"/>
          <w:color w:val="auto"/>
          <w:highlight w:val="none"/>
        </w:rPr>
        <w:br w:type="page"/>
      </w:r>
      <w:r>
        <w:rPr>
          <w:rFonts w:hAnsi="宋体"/>
          <w:color w:val="auto"/>
          <w:highlight w:val="none"/>
        </w:rPr>
        <w:t>第</w:t>
      </w:r>
      <w:r>
        <w:rPr>
          <w:rFonts w:hint="eastAsia"/>
          <w:color w:val="auto"/>
          <w:highlight w:val="none"/>
          <w:lang w:val="en-US" w:eastAsia="zh-CN"/>
        </w:rPr>
        <w:t>三</w:t>
      </w:r>
      <w:r>
        <w:rPr>
          <w:rFonts w:hint="eastAsia" w:hAnsi="宋体"/>
          <w:color w:val="auto"/>
          <w:highlight w:val="none"/>
          <w:lang w:val="en-US" w:eastAsia="zh-CN"/>
        </w:rPr>
        <w:t>部分</w:t>
      </w:r>
      <w:r>
        <w:rPr>
          <w:color w:val="auto"/>
          <w:highlight w:val="none"/>
        </w:rPr>
        <w:t xml:space="preserve">  </w:t>
      </w:r>
      <w:r>
        <w:rPr>
          <w:rFonts w:hAnsi="宋体"/>
          <w:color w:val="auto"/>
          <w:highlight w:val="none"/>
        </w:rPr>
        <w:t>专用合同条款</w:t>
      </w:r>
      <w:bookmarkEnd w:id="71"/>
    </w:p>
    <w:p w14:paraId="5D8C0A75">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bookmarkStart w:id="72" w:name="_Toc265408515"/>
      <w:r>
        <w:rPr>
          <w:rFonts w:hint="eastAsia" w:ascii="宋体" w:hAnsi="宋体" w:eastAsia="宋体" w:cs="宋体"/>
          <w:b/>
          <w:bCs/>
          <w:color w:val="auto"/>
          <w:sz w:val="21"/>
          <w:szCs w:val="21"/>
          <w:highlight w:val="none"/>
        </w:rPr>
        <w:t>1 一般约定</w:t>
      </w:r>
      <w:bookmarkEnd w:id="72"/>
    </w:p>
    <w:p w14:paraId="02157539">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 词语定义</w:t>
      </w:r>
    </w:p>
    <w:p w14:paraId="21E69292">
      <w:pPr>
        <w:pageBreakBefore w:val="0"/>
        <w:kinsoku/>
        <w:wordWrap/>
        <w:overflowPunct/>
        <w:topLinePunct w:val="0"/>
        <w:bidi w:val="0"/>
        <w:snapToGrid/>
        <w:spacing w:line="400" w:lineRule="exact"/>
        <w:ind w:firstLine="420" w:firstLineChars="200"/>
        <w:rPr>
          <w:color w:val="auto"/>
          <w:szCs w:val="21"/>
          <w:highlight w:val="none"/>
        </w:rPr>
      </w:pPr>
      <w:r>
        <w:rPr>
          <w:color w:val="auto"/>
          <w:szCs w:val="21"/>
          <w:highlight w:val="none"/>
        </w:rPr>
        <w:t xml:space="preserve">1.1.2 </w:t>
      </w:r>
      <w:r>
        <w:rPr>
          <w:rFonts w:hAnsi="宋体"/>
          <w:color w:val="auto"/>
          <w:szCs w:val="21"/>
          <w:highlight w:val="none"/>
        </w:rPr>
        <w:t>合同当事人和人员</w:t>
      </w:r>
    </w:p>
    <w:p w14:paraId="2FCDCAE1">
      <w:pPr>
        <w:pageBreakBefore w:val="0"/>
        <w:kinsoku/>
        <w:wordWrap/>
        <w:overflowPunct/>
        <w:topLinePunct w:val="0"/>
        <w:bidi w:val="0"/>
        <w:snapToGrid/>
        <w:spacing w:line="400" w:lineRule="exact"/>
        <w:ind w:firstLine="420" w:firstLineChars="200"/>
        <w:rPr>
          <w:rFonts w:ascii="Times New Roman" w:hAnsi="宋体" w:eastAsia="宋体" w:cs="Times New Roman"/>
          <w:color w:val="auto"/>
          <w:szCs w:val="21"/>
          <w:highlight w:val="none"/>
          <w:u w:val="single" w:color="auto"/>
        </w:rPr>
      </w:pPr>
      <w:r>
        <w:rPr>
          <w:color w:val="auto"/>
          <w:szCs w:val="21"/>
          <w:highlight w:val="none"/>
        </w:rPr>
        <w:t xml:space="preserve">1.1.2.2 </w:t>
      </w:r>
      <w:r>
        <w:rPr>
          <w:rFonts w:hAnsi="宋体"/>
          <w:color w:val="auto"/>
          <w:szCs w:val="21"/>
          <w:highlight w:val="none"/>
        </w:rPr>
        <w:t>发包人：</w:t>
      </w:r>
      <w:r>
        <w:rPr>
          <w:rFonts w:hint="eastAsia" w:hAnsi="宋体"/>
          <w:color w:val="auto"/>
          <w:szCs w:val="21"/>
          <w:highlight w:val="none"/>
          <w:u w:val="single" w:color="auto"/>
        </w:rPr>
        <w:t>彬州市农业技术推广中心</w:t>
      </w:r>
    </w:p>
    <w:p w14:paraId="0EE21BB2">
      <w:pPr>
        <w:pageBreakBefore w:val="0"/>
        <w:kinsoku/>
        <w:wordWrap/>
        <w:overflowPunct/>
        <w:topLinePunct w:val="0"/>
        <w:bidi w:val="0"/>
        <w:snapToGrid/>
        <w:spacing w:line="400" w:lineRule="exact"/>
        <w:ind w:firstLine="420" w:firstLineChars="200"/>
        <w:rPr>
          <w:color w:val="auto"/>
          <w:szCs w:val="21"/>
          <w:highlight w:val="none"/>
        </w:rPr>
      </w:pPr>
      <w:r>
        <w:rPr>
          <w:color w:val="auto"/>
          <w:szCs w:val="21"/>
          <w:highlight w:val="none"/>
        </w:rPr>
        <w:t xml:space="preserve">1.1.2.3 </w:t>
      </w:r>
      <w:r>
        <w:rPr>
          <w:rFonts w:hAnsi="宋体"/>
          <w:color w:val="auto"/>
          <w:szCs w:val="21"/>
          <w:highlight w:val="none"/>
        </w:rPr>
        <w:t>承包人：</w:t>
      </w:r>
      <w:r>
        <w:rPr>
          <w:color w:val="auto"/>
          <w:szCs w:val="21"/>
          <w:highlight w:val="none"/>
          <w:u w:val="single"/>
        </w:rPr>
        <w:t xml:space="preserve"> </w:t>
      </w:r>
      <w:r>
        <w:rPr>
          <w:rFonts w:hAnsi="宋体"/>
          <w:color w:val="auto"/>
          <w:szCs w:val="21"/>
          <w:highlight w:val="none"/>
          <w:u w:val="single"/>
        </w:rPr>
        <w:t>（签约后填入承包人的名称）</w:t>
      </w:r>
      <w:r>
        <w:rPr>
          <w:color w:val="auto"/>
          <w:szCs w:val="21"/>
          <w:highlight w:val="none"/>
          <w:u w:val="single"/>
        </w:rPr>
        <w:t xml:space="preserve"> </w:t>
      </w:r>
      <w:r>
        <w:rPr>
          <w:rFonts w:hAnsi="宋体"/>
          <w:color w:val="auto"/>
          <w:szCs w:val="21"/>
          <w:highlight w:val="none"/>
        </w:rPr>
        <w:t>。</w:t>
      </w:r>
    </w:p>
    <w:p w14:paraId="6AAA1C06">
      <w:pPr>
        <w:pageBreakBefore w:val="0"/>
        <w:kinsoku/>
        <w:wordWrap/>
        <w:overflowPunct/>
        <w:topLinePunct w:val="0"/>
        <w:bidi w:val="0"/>
        <w:snapToGrid/>
        <w:spacing w:line="400" w:lineRule="exact"/>
        <w:ind w:firstLine="420" w:firstLineChars="200"/>
        <w:rPr>
          <w:color w:val="auto"/>
          <w:szCs w:val="21"/>
          <w:highlight w:val="none"/>
        </w:rPr>
      </w:pPr>
      <w:r>
        <w:rPr>
          <w:color w:val="auto"/>
          <w:szCs w:val="21"/>
          <w:highlight w:val="none"/>
        </w:rPr>
        <w:t xml:space="preserve">1.1.2.5 </w:t>
      </w:r>
      <w:r>
        <w:rPr>
          <w:rFonts w:hAnsi="宋体"/>
          <w:color w:val="auto"/>
          <w:szCs w:val="21"/>
          <w:highlight w:val="none"/>
        </w:rPr>
        <w:t>分包人：</w:t>
      </w:r>
      <w:r>
        <w:rPr>
          <w:rFonts w:hAnsi="宋体"/>
          <w:color w:val="auto"/>
          <w:szCs w:val="21"/>
          <w:highlight w:val="none"/>
          <w:u w:val="single"/>
        </w:rPr>
        <w:t>　　　</w:t>
      </w:r>
      <w:r>
        <w:rPr>
          <w:rFonts w:hint="eastAsia" w:hAnsi="宋体"/>
          <w:color w:val="auto"/>
          <w:szCs w:val="21"/>
          <w:highlight w:val="none"/>
          <w:u w:val="single"/>
        </w:rPr>
        <w:t xml:space="preserve">     不适用</w:t>
      </w:r>
      <w:r>
        <w:rPr>
          <w:color w:val="auto"/>
          <w:szCs w:val="21"/>
          <w:highlight w:val="none"/>
          <w:u w:val="single"/>
        </w:rPr>
        <w:t xml:space="preserve">         </w:t>
      </w:r>
      <w:r>
        <w:rPr>
          <w:rFonts w:hAnsi="宋体"/>
          <w:color w:val="auto"/>
          <w:szCs w:val="21"/>
          <w:highlight w:val="none"/>
          <w:u w:val="single"/>
        </w:rPr>
        <w:t>　</w:t>
      </w:r>
      <w:r>
        <w:rPr>
          <w:rFonts w:hAnsi="宋体"/>
          <w:color w:val="auto"/>
          <w:szCs w:val="21"/>
          <w:highlight w:val="none"/>
        </w:rPr>
        <w:t>。</w:t>
      </w:r>
    </w:p>
    <w:p w14:paraId="3045AFC3">
      <w:pPr>
        <w:pageBreakBefore w:val="0"/>
        <w:kinsoku/>
        <w:wordWrap/>
        <w:overflowPunct/>
        <w:topLinePunct w:val="0"/>
        <w:bidi w:val="0"/>
        <w:snapToGrid/>
        <w:spacing w:line="400" w:lineRule="exact"/>
        <w:ind w:firstLine="420" w:firstLineChars="200"/>
        <w:rPr>
          <w:color w:val="auto"/>
          <w:szCs w:val="21"/>
          <w:highlight w:val="none"/>
        </w:rPr>
      </w:pPr>
      <w:r>
        <w:rPr>
          <w:color w:val="auto"/>
          <w:szCs w:val="21"/>
          <w:highlight w:val="none"/>
        </w:rPr>
        <w:t xml:space="preserve">1.1.2.6 </w:t>
      </w:r>
      <w:r>
        <w:rPr>
          <w:rFonts w:hAnsi="宋体"/>
          <w:color w:val="auto"/>
          <w:szCs w:val="21"/>
          <w:highlight w:val="none"/>
        </w:rPr>
        <w:t>监理人：</w:t>
      </w:r>
      <w:r>
        <w:rPr>
          <w:rFonts w:hint="eastAsia" w:hAnsi="宋体"/>
          <w:color w:val="auto"/>
          <w:szCs w:val="21"/>
          <w:highlight w:val="none"/>
          <w:u w:val="single"/>
        </w:rPr>
        <w:t xml:space="preserve">     </w:t>
      </w:r>
      <w:r>
        <w:rPr>
          <w:rFonts w:hAnsi="宋体"/>
          <w:color w:val="auto"/>
          <w:szCs w:val="21"/>
          <w:highlight w:val="none"/>
          <w:u w:val="single"/>
        </w:rPr>
        <w:t>（填入监理人名称）</w:t>
      </w:r>
      <w:r>
        <w:rPr>
          <w:rFonts w:hint="eastAsia" w:hAnsi="宋体"/>
          <w:color w:val="auto"/>
          <w:szCs w:val="21"/>
          <w:highlight w:val="none"/>
          <w:u w:val="single"/>
        </w:rPr>
        <w:t xml:space="preserve">   </w:t>
      </w:r>
      <w:r>
        <w:rPr>
          <w:rFonts w:hAnsi="宋体"/>
          <w:color w:val="auto"/>
          <w:szCs w:val="21"/>
          <w:highlight w:val="none"/>
          <w:u w:val="single"/>
        </w:rPr>
        <w:t>　</w:t>
      </w:r>
      <w:r>
        <w:rPr>
          <w:rFonts w:hAnsi="宋体"/>
          <w:color w:val="auto"/>
          <w:szCs w:val="21"/>
          <w:highlight w:val="none"/>
        </w:rPr>
        <w:t>。</w:t>
      </w:r>
    </w:p>
    <w:p w14:paraId="51221715">
      <w:pPr>
        <w:pageBreakBefore w:val="0"/>
        <w:kinsoku/>
        <w:wordWrap/>
        <w:overflowPunct/>
        <w:topLinePunct w:val="0"/>
        <w:bidi w:val="0"/>
        <w:snapToGrid/>
        <w:spacing w:line="400" w:lineRule="exact"/>
        <w:ind w:firstLine="420" w:firstLineChars="200"/>
        <w:rPr>
          <w:color w:val="auto"/>
          <w:szCs w:val="21"/>
          <w:highlight w:val="none"/>
        </w:rPr>
      </w:pPr>
      <w:r>
        <w:rPr>
          <w:color w:val="auto"/>
          <w:szCs w:val="21"/>
          <w:highlight w:val="none"/>
        </w:rPr>
        <w:t>1.1.4</w:t>
      </w:r>
      <w:r>
        <w:rPr>
          <w:rFonts w:hAnsi="宋体"/>
          <w:color w:val="auto"/>
          <w:szCs w:val="21"/>
          <w:highlight w:val="none"/>
        </w:rPr>
        <w:t>日期</w:t>
      </w:r>
    </w:p>
    <w:p w14:paraId="6301BE51">
      <w:pPr>
        <w:pageBreakBefore w:val="0"/>
        <w:kinsoku/>
        <w:wordWrap/>
        <w:overflowPunct/>
        <w:topLinePunct w:val="0"/>
        <w:bidi w:val="0"/>
        <w:snapToGrid/>
        <w:spacing w:line="400" w:lineRule="exact"/>
        <w:ind w:firstLine="420" w:firstLineChars="200"/>
        <w:rPr>
          <w:rFonts w:hAnsi="宋体"/>
          <w:color w:val="auto"/>
          <w:szCs w:val="21"/>
          <w:highlight w:val="none"/>
        </w:rPr>
      </w:pPr>
      <w:r>
        <w:rPr>
          <w:color w:val="auto"/>
          <w:szCs w:val="21"/>
          <w:highlight w:val="none"/>
        </w:rPr>
        <w:t xml:space="preserve">1.1.4.5 </w:t>
      </w:r>
      <w:r>
        <w:rPr>
          <w:rFonts w:hAnsi="宋体"/>
          <w:color w:val="auto"/>
          <w:szCs w:val="21"/>
          <w:highlight w:val="none"/>
        </w:rPr>
        <w:t>缺陷责任期（工程质量保修期）：</w:t>
      </w:r>
      <w:r>
        <w:rPr>
          <w:rFonts w:hAnsi="宋体"/>
          <w:color w:val="auto"/>
          <w:szCs w:val="21"/>
          <w:highlight w:val="none"/>
          <w:u w:val="single"/>
        </w:rPr>
        <w:t>工程竣工验收合格后1年。</w:t>
      </w:r>
    </w:p>
    <w:p w14:paraId="27CAB1F2">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1.4 合同文件的优先顺序</w:t>
      </w:r>
    </w:p>
    <w:p w14:paraId="7A4054CA">
      <w:pPr>
        <w:pageBreakBefore w:val="0"/>
        <w:kinsoku/>
        <w:wordWrap/>
        <w:overflowPunct/>
        <w:topLinePunct w:val="0"/>
        <w:bidi w:val="0"/>
        <w:snapToGrid/>
        <w:spacing w:line="400" w:lineRule="exact"/>
        <w:ind w:firstLine="420" w:firstLineChars="200"/>
        <w:rPr>
          <w:rFonts w:hint="eastAsia" w:ascii="Times New Roman" w:hAnsi="宋体" w:eastAsia="宋体" w:cs="Times New Roman"/>
          <w:color w:val="auto"/>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进入合同文件的各项文件及其优先顺序</w:t>
      </w:r>
      <w:r>
        <w:rPr>
          <w:rFonts w:hint="eastAsia" w:ascii="Times New Roman" w:hAnsi="宋体" w:eastAsia="宋体" w:cs="Times New Roman"/>
          <w:color w:val="auto"/>
          <w:szCs w:val="21"/>
          <w:highlight w:val="none"/>
          <w:lang w:val="en-US" w:eastAsia="zh-CN"/>
        </w:rPr>
        <w:t>是</w:t>
      </w:r>
      <w:r>
        <w:rPr>
          <w:rFonts w:hint="eastAsia" w:ascii="Times New Roman" w:hAnsi="宋体" w:eastAsia="宋体" w:cs="Times New Roman"/>
          <w:color w:val="auto"/>
          <w:szCs w:val="21"/>
          <w:highlight w:val="none"/>
          <w:u w:val="single"/>
          <w:lang w:val="en-US" w:eastAsia="zh-CN"/>
        </w:rPr>
        <w:t xml:space="preserve">  (1)协议书(包括补充协议)；(2)成交通知书；(3)磋商报价书；(4)专用合同条款；(5)通用合同条款；(6)技术条款；(7)图纸：(8)已标价的工程量清单；(9)经双方确认进入合同的其它文件。</w:t>
      </w:r>
    </w:p>
    <w:p w14:paraId="6EFA6C1A">
      <w:pPr>
        <w:pageBreakBefore w:val="0"/>
        <w:kinsoku/>
        <w:wordWrap/>
        <w:overflowPunct/>
        <w:topLinePunct w:val="0"/>
        <w:bidi w:val="0"/>
        <w:snapToGrid/>
        <w:spacing w:line="400" w:lineRule="exact"/>
        <w:ind w:firstLine="420" w:firstLineChars="200"/>
        <w:rPr>
          <w:rFonts w:ascii="Times New Roman" w:hAnsi="宋体" w:eastAsia="宋体" w:cs="Times New Roman"/>
          <w:color w:val="auto"/>
          <w:szCs w:val="21"/>
          <w:highlight w:val="none"/>
        </w:rPr>
      </w:pPr>
      <w:r>
        <w:rPr>
          <w:rFonts w:ascii="Times New Roman" w:hAnsi="宋体" w:eastAsia="宋体" w:cs="Times New Roman"/>
          <w:color w:val="auto"/>
          <w:szCs w:val="21"/>
          <w:highlight w:val="none"/>
        </w:rPr>
        <w:t>1.7 联络</w:t>
      </w:r>
    </w:p>
    <w:p w14:paraId="4FD1AEFD">
      <w:pPr>
        <w:pageBreakBefore w:val="0"/>
        <w:kinsoku/>
        <w:wordWrap/>
        <w:overflowPunct/>
        <w:topLinePunct w:val="0"/>
        <w:bidi w:val="0"/>
        <w:snapToGrid/>
        <w:spacing w:line="400" w:lineRule="exact"/>
        <w:ind w:firstLine="420" w:firstLineChars="200"/>
        <w:rPr>
          <w:color w:val="auto"/>
          <w:szCs w:val="21"/>
          <w:highlight w:val="none"/>
        </w:rPr>
      </w:pPr>
      <w:r>
        <w:rPr>
          <w:color w:val="auto"/>
          <w:szCs w:val="21"/>
          <w:highlight w:val="none"/>
        </w:rPr>
        <w:t xml:space="preserve">1.7.2 </w:t>
      </w:r>
      <w:r>
        <w:rPr>
          <w:rFonts w:hAnsi="宋体"/>
          <w:color w:val="auto"/>
          <w:szCs w:val="21"/>
          <w:highlight w:val="none"/>
        </w:rPr>
        <w:t>来往函件均应按技术标准和要求（合同技术条款）约定的期限送达</w:t>
      </w:r>
      <w:r>
        <w:rPr>
          <w:rFonts w:hint="eastAsia" w:hAnsi="宋体"/>
          <w:color w:val="auto"/>
          <w:szCs w:val="21"/>
          <w:highlight w:val="none"/>
          <w:u w:val="single"/>
          <w:lang w:val="en-US" w:eastAsia="zh-CN"/>
        </w:rPr>
        <w:t>发包人</w:t>
      </w:r>
      <w:r>
        <w:rPr>
          <w:rFonts w:hAnsi="宋体"/>
          <w:color w:val="auto"/>
          <w:szCs w:val="21"/>
          <w:highlight w:val="none"/>
          <w:u w:val="none"/>
        </w:rPr>
        <w:t>处</w:t>
      </w:r>
      <w:r>
        <w:rPr>
          <w:rFonts w:hAnsi="宋体"/>
          <w:color w:val="auto"/>
          <w:szCs w:val="21"/>
          <w:highlight w:val="none"/>
        </w:rPr>
        <w:t>。</w:t>
      </w:r>
    </w:p>
    <w:p w14:paraId="6C8BBE3C">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73" w:name="_Toc265408516"/>
      <w:r>
        <w:rPr>
          <w:rFonts w:hint="eastAsia" w:ascii="宋体" w:hAnsi="宋体" w:eastAsia="宋体" w:cs="宋体"/>
          <w:b/>
          <w:bCs/>
          <w:color w:val="auto"/>
          <w:sz w:val="21"/>
          <w:szCs w:val="21"/>
          <w:highlight w:val="none"/>
          <w:lang w:val="en-US" w:eastAsia="zh-CN"/>
        </w:rPr>
        <w:t>2 发包人义务</w:t>
      </w:r>
      <w:bookmarkEnd w:id="73"/>
    </w:p>
    <w:p w14:paraId="144CB595">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2.3 提供施工场地</w:t>
      </w:r>
    </w:p>
    <w:p w14:paraId="7FEF29D2">
      <w:pPr>
        <w:pageBreakBefore w:val="0"/>
        <w:kinsoku/>
        <w:wordWrap/>
        <w:overflowPunct/>
        <w:topLinePunct w:val="0"/>
        <w:bidi w:val="0"/>
        <w:snapToGrid/>
        <w:spacing w:line="400" w:lineRule="exact"/>
        <w:ind w:firstLine="420" w:firstLineChars="200"/>
        <w:rPr>
          <w:color w:val="auto"/>
          <w:szCs w:val="21"/>
          <w:highlight w:val="none"/>
        </w:rPr>
      </w:pPr>
      <w:r>
        <w:rPr>
          <w:color w:val="auto"/>
          <w:szCs w:val="21"/>
          <w:highlight w:val="none"/>
        </w:rPr>
        <w:t xml:space="preserve">2.3.2 </w:t>
      </w:r>
      <w:r>
        <w:rPr>
          <w:rFonts w:hAnsi="宋体"/>
          <w:color w:val="auto"/>
          <w:szCs w:val="21"/>
          <w:highlight w:val="none"/>
        </w:rPr>
        <w:t>发包人提供的施工场地范围为：</w:t>
      </w:r>
      <w:r>
        <w:rPr>
          <w:rFonts w:hAnsi="宋体"/>
          <w:color w:val="auto"/>
          <w:szCs w:val="21"/>
          <w:highlight w:val="none"/>
          <w:u w:val="single"/>
        </w:rPr>
        <w:t>施工图纸指定范围</w:t>
      </w:r>
      <w:r>
        <w:rPr>
          <w:rFonts w:hint="eastAsia" w:hAnsi="宋体"/>
          <w:color w:val="auto"/>
          <w:szCs w:val="21"/>
          <w:highlight w:val="none"/>
          <w:u w:val="single"/>
          <w:lang w:eastAsia="zh-CN"/>
        </w:rPr>
        <w:t>，提供的用地范围和期限可在签订协议书时商定</w:t>
      </w:r>
      <w:r>
        <w:rPr>
          <w:rFonts w:hAnsi="宋体"/>
          <w:color w:val="auto"/>
          <w:szCs w:val="21"/>
          <w:highlight w:val="none"/>
        </w:rPr>
        <w:t>。</w:t>
      </w:r>
    </w:p>
    <w:p w14:paraId="7C48E16C">
      <w:pPr>
        <w:pageBreakBefore w:val="0"/>
        <w:kinsoku/>
        <w:wordWrap/>
        <w:overflowPunct/>
        <w:topLinePunct w:val="0"/>
        <w:bidi w:val="0"/>
        <w:snapToGrid/>
        <w:spacing w:line="400" w:lineRule="exact"/>
        <w:ind w:firstLine="420" w:firstLineChars="200"/>
        <w:rPr>
          <w:color w:val="auto"/>
          <w:szCs w:val="21"/>
          <w:highlight w:val="none"/>
        </w:rPr>
      </w:pPr>
      <w:r>
        <w:rPr>
          <w:color w:val="auto"/>
          <w:szCs w:val="21"/>
          <w:highlight w:val="none"/>
        </w:rPr>
        <w:t xml:space="preserve">2.3.3 </w:t>
      </w:r>
      <w:r>
        <w:rPr>
          <w:rFonts w:hAnsi="宋体"/>
          <w:color w:val="auto"/>
          <w:szCs w:val="21"/>
          <w:highlight w:val="none"/>
        </w:rPr>
        <w:t>承包人自行勘察的施工场地范围为：</w:t>
      </w:r>
      <w:r>
        <w:rPr>
          <w:rFonts w:hAnsi="宋体"/>
          <w:color w:val="auto"/>
          <w:szCs w:val="21"/>
          <w:highlight w:val="none"/>
          <w:u w:val="single"/>
        </w:rPr>
        <w:t>施工图纸指定范围</w:t>
      </w:r>
      <w:r>
        <w:rPr>
          <w:rFonts w:hAnsi="宋体"/>
          <w:color w:val="auto"/>
          <w:szCs w:val="21"/>
          <w:highlight w:val="none"/>
        </w:rPr>
        <w:t>。</w:t>
      </w:r>
    </w:p>
    <w:p w14:paraId="5E9B5AA2">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2.8 其它义务</w:t>
      </w:r>
    </w:p>
    <w:p w14:paraId="73375679">
      <w:pPr>
        <w:keepLines w:val="0"/>
        <w:pageBreakBefore w:val="0"/>
        <w:widowControl w:val="0"/>
        <w:shd w:val="clear" w:color="auto" w:fill="auto"/>
        <w:kinsoku/>
        <w:wordWrap/>
        <w:overflowPunct/>
        <w:topLinePunct w:val="0"/>
        <w:autoSpaceDE/>
        <w:autoSpaceDN/>
        <w:bidi w:val="0"/>
        <w:snapToGrid/>
        <w:spacing w:line="400" w:lineRule="exact"/>
        <w:ind w:firstLine="420" w:firstLineChars="200"/>
        <w:rPr>
          <w:rFonts w:hint="eastAsia" w:asciiTheme="majorEastAsia" w:hAnsiTheme="majorEastAsia" w:eastAsiaTheme="majorEastAsia" w:cstheme="majorEastAsia"/>
          <w:b w:val="0"/>
          <w:bCs/>
          <w:color w:val="auto"/>
          <w:sz w:val="21"/>
          <w:szCs w:val="21"/>
          <w:highlight w:val="none"/>
          <w:u w:val="single"/>
        </w:rPr>
      </w:pPr>
      <w:bookmarkStart w:id="74" w:name="_Toc221951135"/>
      <w:bookmarkStart w:id="75" w:name="_Toc265408517"/>
      <w:r>
        <w:rPr>
          <w:rFonts w:hint="eastAsia" w:asciiTheme="majorEastAsia" w:hAnsiTheme="majorEastAsia" w:eastAsiaTheme="majorEastAsia" w:cstheme="majorEastAsia"/>
          <w:color w:val="auto"/>
          <w:sz w:val="21"/>
          <w:szCs w:val="21"/>
          <w:highlight w:val="none"/>
        </w:rPr>
        <w:t>补充约定：</w:t>
      </w:r>
      <w:bookmarkEnd w:id="74"/>
      <w:r>
        <w:rPr>
          <w:rFonts w:hint="eastAsia" w:asciiTheme="majorEastAsia" w:hAnsiTheme="majorEastAsia" w:eastAsiaTheme="majorEastAsia" w:cstheme="majorEastAsia"/>
          <w:b w:val="0"/>
          <w:bCs/>
          <w:color w:val="auto"/>
          <w:sz w:val="21"/>
          <w:szCs w:val="21"/>
          <w:highlight w:val="none"/>
          <w:u w:val="single"/>
        </w:rPr>
        <w:t>发包人可协助承包人联系施工电源、水源，但电费、水费由承包人承担。</w:t>
      </w:r>
    </w:p>
    <w:p w14:paraId="51654ECA">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 监理人</w:t>
      </w:r>
      <w:bookmarkEnd w:id="75"/>
    </w:p>
    <w:p w14:paraId="1E3B76F5">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3.1 监理人的职责和权力</w:t>
      </w:r>
    </w:p>
    <w:p w14:paraId="43D78E53">
      <w:pPr>
        <w:pageBreakBefore w:val="0"/>
        <w:kinsoku/>
        <w:wordWrap/>
        <w:overflowPunct/>
        <w:topLinePunct w:val="0"/>
        <w:bidi w:val="0"/>
        <w:snapToGrid/>
        <w:spacing w:line="400" w:lineRule="exact"/>
        <w:ind w:firstLine="420" w:firstLineChars="200"/>
        <w:rPr>
          <w:color w:val="auto"/>
          <w:szCs w:val="21"/>
          <w:highlight w:val="none"/>
        </w:rPr>
      </w:pPr>
      <w:r>
        <w:rPr>
          <w:color w:val="auto"/>
          <w:szCs w:val="21"/>
          <w:highlight w:val="none"/>
        </w:rPr>
        <w:t xml:space="preserve">3.1.1 </w:t>
      </w:r>
      <w:r>
        <w:rPr>
          <w:rFonts w:hAnsi="宋体"/>
          <w:color w:val="auto"/>
          <w:szCs w:val="21"/>
          <w:highlight w:val="none"/>
        </w:rPr>
        <w:t>监理人须根据发包人事先批准的权力范围行使权力，发包人批准的权力范围：</w:t>
      </w:r>
    </w:p>
    <w:p w14:paraId="4174D832">
      <w:pPr>
        <w:pageBreakBefore w:val="0"/>
        <w:kinsoku/>
        <w:wordWrap/>
        <w:overflowPunct/>
        <w:topLinePunct w:val="0"/>
        <w:bidi w:val="0"/>
        <w:snapToGrid/>
        <w:spacing w:line="400" w:lineRule="exact"/>
        <w:ind w:firstLine="420" w:firstLineChars="200"/>
        <w:rPr>
          <w:color w:val="auto"/>
          <w:szCs w:val="21"/>
          <w:highlight w:val="none"/>
        </w:rPr>
      </w:pPr>
      <w:r>
        <w:rPr>
          <w:rFonts w:hAnsi="宋体"/>
          <w:color w:val="auto"/>
          <w:szCs w:val="21"/>
          <w:highlight w:val="none"/>
        </w:rPr>
        <w:t>（１）按第</w:t>
      </w:r>
      <w:r>
        <w:rPr>
          <w:color w:val="auto"/>
          <w:szCs w:val="21"/>
          <w:highlight w:val="none"/>
        </w:rPr>
        <w:t>4.3</w:t>
      </w:r>
      <w:r>
        <w:rPr>
          <w:rFonts w:hAnsi="宋体"/>
          <w:color w:val="auto"/>
          <w:szCs w:val="21"/>
          <w:highlight w:val="none"/>
        </w:rPr>
        <w:t>款约定，批准工程的分包；</w:t>
      </w:r>
    </w:p>
    <w:p w14:paraId="65027E38">
      <w:pPr>
        <w:pageBreakBefore w:val="0"/>
        <w:kinsoku/>
        <w:wordWrap/>
        <w:overflowPunct/>
        <w:topLinePunct w:val="0"/>
        <w:bidi w:val="0"/>
        <w:snapToGrid/>
        <w:spacing w:line="400" w:lineRule="exact"/>
        <w:ind w:firstLine="420" w:firstLineChars="200"/>
        <w:rPr>
          <w:color w:val="auto"/>
          <w:szCs w:val="21"/>
          <w:highlight w:val="none"/>
        </w:rPr>
      </w:pPr>
      <w:r>
        <w:rPr>
          <w:rFonts w:hAnsi="宋体"/>
          <w:color w:val="auto"/>
          <w:szCs w:val="21"/>
          <w:highlight w:val="none"/>
        </w:rPr>
        <w:t>（２）按第</w:t>
      </w:r>
      <w:r>
        <w:rPr>
          <w:color w:val="auto"/>
          <w:szCs w:val="21"/>
          <w:highlight w:val="none"/>
        </w:rPr>
        <w:t>11.3</w:t>
      </w:r>
      <w:r>
        <w:rPr>
          <w:rFonts w:hAnsi="宋体"/>
          <w:color w:val="auto"/>
          <w:szCs w:val="21"/>
          <w:highlight w:val="none"/>
        </w:rPr>
        <w:t>款约定，确定延长完工期限；</w:t>
      </w:r>
    </w:p>
    <w:p w14:paraId="39A3FD81">
      <w:pPr>
        <w:pageBreakBefore w:val="0"/>
        <w:kinsoku/>
        <w:wordWrap/>
        <w:overflowPunct/>
        <w:topLinePunct w:val="0"/>
        <w:bidi w:val="0"/>
        <w:snapToGrid/>
        <w:spacing w:line="400" w:lineRule="exact"/>
        <w:ind w:firstLine="420" w:firstLineChars="200"/>
        <w:rPr>
          <w:color w:val="auto"/>
          <w:szCs w:val="21"/>
          <w:highlight w:val="none"/>
        </w:rPr>
      </w:pPr>
      <w:r>
        <w:rPr>
          <w:rFonts w:hAnsi="宋体"/>
          <w:color w:val="auto"/>
          <w:szCs w:val="21"/>
          <w:highlight w:val="none"/>
        </w:rPr>
        <w:t>（３）按第</w:t>
      </w:r>
      <w:r>
        <w:rPr>
          <w:color w:val="auto"/>
          <w:szCs w:val="21"/>
          <w:highlight w:val="none"/>
        </w:rPr>
        <w:t>15.6</w:t>
      </w:r>
      <w:r>
        <w:rPr>
          <w:rFonts w:hAnsi="宋体"/>
          <w:color w:val="auto"/>
          <w:szCs w:val="21"/>
          <w:highlight w:val="none"/>
        </w:rPr>
        <w:t>款约定，批准暂列金额的使用；</w:t>
      </w:r>
    </w:p>
    <w:p w14:paraId="041C2385">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76" w:name="_Toc265408518"/>
      <w:r>
        <w:rPr>
          <w:rFonts w:hint="eastAsia" w:ascii="宋体" w:hAnsi="宋体" w:eastAsia="宋体" w:cs="宋体"/>
          <w:b/>
          <w:bCs/>
          <w:color w:val="auto"/>
          <w:sz w:val="21"/>
          <w:szCs w:val="21"/>
          <w:highlight w:val="none"/>
          <w:lang w:val="en-US" w:eastAsia="zh-CN"/>
        </w:rPr>
        <w:t>4 承包人</w:t>
      </w:r>
      <w:bookmarkEnd w:id="76"/>
    </w:p>
    <w:p w14:paraId="594AB4A7">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4.1 承包人的一般义务</w:t>
      </w:r>
    </w:p>
    <w:p w14:paraId="0DF00AF8">
      <w:pPr>
        <w:pageBreakBefore w:val="0"/>
        <w:kinsoku/>
        <w:wordWrap/>
        <w:overflowPunct/>
        <w:topLinePunct w:val="0"/>
        <w:bidi w:val="0"/>
        <w:snapToGrid/>
        <w:spacing w:line="400" w:lineRule="exact"/>
        <w:ind w:firstLine="420" w:firstLineChars="200"/>
        <w:rPr>
          <w:rFonts w:hAnsi="宋体"/>
          <w:color w:val="auto"/>
          <w:szCs w:val="21"/>
          <w:highlight w:val="none"/>
        </w:rPr>
      </w:pPr>
      <w:r>
        <w:rPr>
          <w:color w:val="auto"/>
          <w:szCs w:val="21"/>
          <w:highlight w:val="none"/>
        </w:rPr>
        <w:t xml:space="preserve">4.1.10 </w:t>
      </w:r>
      <w:r>
        <w:rPr>
          <w:rFonts w:hAnsi="宋体"/>
          <w:color w:val="auto"/>
          <w:szCs w:val="21"/>
          <w:highlight w:val="none"/>
        </w:rPr>
        <w:t>其它义务：</w:t>
      </w:r>
    </w:p>
    <w:p w14:paraId="10C4B19E">
      <w:pPr>
        <w:pageBreakBefore w:val="0"/>
        <w:kinsoku/>
        <w:wordWrap/>
        <w:overflowPunct/>
        <w:topLinePunct w:val="0"/>
        <w:bidi w:val="0"/>
        <w:snapToGrid/>
        <w:spacing w:line="400" w:lineRule="exact"/>
        <w:ind w:firstLine="420" w:firstLineChars="200"/>
        <w:rPr>
          <w:rFonts w:hint="eastAsia" w:ascii="Times New Roman" w:hAnsi="宋体" w:eastAsia="宋体" w:cs="Times New Roman"/>
          <w:color w:val="auto"/>
          <w:szCs w:val="21"/>
          <w:highlight w:val="none"/>
          <w:u w:val="single"/>
        </w:rPr>
      </w:pPr>
      <w:r>
        <w:rPr>
          <w:rFonts w:hint="eastAsia" w:ascii="Times New Roman" w:hAnsi="宋体" w:eastAsia="宋体" w:cs="Times New Roman"/>
          <w:color w:val="auto"/>
          <w:szCs w:val="21"/>
          <w:highlight w:val="none"/>
          <w:u w:val="single"/>
        </w:rPr>
        <w:t>（1）承包人自己的施工用电、用水等费用由承包人负担；</w:t>
      </w:r>
    </w:p>
    <w:p w14:paraId="5284ED2D">
      <w:pPr>
        <w:pageBreakBefore w:val="0"/>
        <w:kinsoku/>
        <w:wordWrap/>
        <w:overflowPunct/>
        <w:topLinePunct w:val="0"/>
        <w:bidi w:val="0"/>
        <w:snapToGrid/>
        <w:spacing w:line="400" w:lineRule="exact"/>
        <w:ind w:firstLine="420" w:firstLineChars="200"/>
        <w:rPr>
          <w:rFonts w:hint="eastAsia" w:ascii="Times New Roman" w:hAnsi="宋体" w:eastAsia="宋体" w:cs="Times New Roman"/>
          <w:color w:val="auto"/>
          <w:szCs w:val="21"/>
          <w:highlight w:val="none"/>
          <w:u w:val="single"/>
        </w:rPr>
      </w:pPr>
      <w:r>
        <w:rPr>
          <w:rFonts w:hint="eastAsia" w:ascii="Times New Roman" w:hAnsi="宋体" w:eastAsia="宋体" w:cs="Times New Roman"/>
          <w:color w:val="auto"/>
          <w:szCs w:val="21"/>
          <w:highlight w:val="none"/>
          <w:u w:val="single"/>
        </w:rPr>
        <w:t>（2）施工中可能发生的临时停电，承包人应备有自备电源；</w:t>
      </w:r>
    </w:p>
    <w:p w14:paraId="0D96F3BA">
      <w:pPr>
        <w:pageBreakBefore w:val="0"/>
        <w:kinsoku/>
        <w:wordWrap/>
        <w:overflowPunct/>
        <w:topLinePunct w:val="0"/>
        <w:bidi w:val="0"/>
        <w:snapToGrid/>
        <w:spacing w:line="400" w:lineRule="exact"/>
        <w:ind w:firstLine="420" w:firstLineChars="200"/>
        <w:rPr>
          <w:rFonts w:hint="eastAsia" w:ascii="Times New Roman" w:hAnsi="宋体" w:eastAsia="宋体" w:cs="Times New Roman"/>
          <w:color w:val="auto"/>
          <w:szCs w:val="21"/>
          <w:highlight w:val="none"/>
          <w:u w:val="single"/>
        </w:rPr>
      </w:pPr>
      <w:r>
        <w:rPr>
          <w:rFonts w:hint="eastAsia" w:ascii="Times New Roman" w:hAnsi="宋体" w:eastAsia="宋体" w:cs="Times New Roman"/>
          <w:color w:val="auto"/>
          <w:szCs w:val="21"/>
          <w:highlight w:val="none"/>
          <w:u w:val="single"/>
        </w:rPr>
        <w:t>（3）承包人应在合同规定的期限内完成工地清理（含弃料场地整理）、临时设施的占地复耕、并按期撤退人员和剩余材料，该项费用由承包人自理；</w:t>
      </w:r>
    </w:p>
    <w:p w14:paraId="02DBD55C">
      <w:pPr>
        <w:pageBreakBefore w:val="0"/>
        <w:kinsoku/>
        <w:wordWrap/>
        <w:overflowPunct/>
        <w:topLinePunct w:val="0"/>
        <w:bidi w:val="0"/>
        <w:snapToGrid/>
        <w:spacing w:line="400" w:lineRule="exact"/>
        <w:ind w:firstLine="420" w:firstLineChars="200"/>
        <w:rPr>
          <w:rFonts w:hint="eastAsia" w:ascii="Times New Roman" w:hAnsi="宋体" w:eastAsia="宋体" w:cs="Times New Roman"/>
          <w:color w:val="auto"/>
          <w:szCs w:val="21"/>
          <w:highlight w:val="none"/>
          <w:u w:val="single"/>
        </w:rPr>
      </w:pPr>
      <w:r>
        <w:rPr>
          <w:rFonts w:hint="eastAsia" w:ascii="Times New Roman" w:hAnsi="宋体" w:eastAsia="宋体" w:cs="Times New Roman"/>
          <w:color w:val="auto"/>
          <w:szCs w:val="21"/>
          <w:highlight w:val="none"/>
          <w:u w:val="single"/>
        </w:rPr>
        <w:t>（4）承包人应按合同规定负责办理由承包人投保的保险；</w:t>
      </w:r>
    </w:p>
    <w:p w14:paraId="59E5CCB9">
      <w:pPr>
        <w:pageBreakBefore w:val="0"/>
        <w:kinsoku/>
        <w:wordWrap/>
        <w:overflowPunct/>
        <w:topLinePunct w:val="0"/>
        <w:bidi w:val="0"/>
        <w:snapToGrid/>
        <w:spacing w:line="400" w:lineRule="exact"/>
        <w:ind w:firstLine="420" w:firstLineChars="200"/>
        <w:rPr>
          <w:rFonts w:hint="eastAsia" w:ascii="Times New Roman" w:hAnsi="宋体" w:eastAsia="宋体" w:cs="Times New Roman"/>
          <w:color w:val="auto"/>
          <w:szCs w:val="21"/>
          <w:highlight w:val="none"/>
          <w:u w:val="single"/>
        </w:rPr>
      </w:pPr>
      <w:r>
        <w:rPr>
          <w:rFonts w:hint="eastAsia" w:ascii="Times New Roman" w:hAnsi="宋体" w:eastAsia="宋体" w:cs="Times New Roman"/>
          <w:color w:val="auto"/>
          <w:szCs w:val="21"/>
          <w:highlight w:val="none"/>
          <w:u w:val="single"/>
        </w:rPr>
        <w:t>（5）为规范项目农民工工资支付行为，预防和解决企业拖欠、克扣农民工工资问题，承包人在收到成交通知书后，签订施工合同时，须签订承包人杜绝拖欠民工工资行为承诺书，当发生拖欠、克扣农民工工资等现象时，发包人将有权扣除工程进度款及履约保证金用于支付农民工工资。</w:t>
      </w:r>
    </w:p>
    <w:p w14:paraId="1B579CD0">
      <w:pPr>
        <w:pageBreakBefore w:val="0"/>
        <w:kinsoku/>
        <w:wordWrap/>
        <w:overflowPunct/>
        <w:topLinePunct w:val="0"/>
        <w:bidi w:val="0"/>
        <w:snapToGrid/>
        <w:spacing w:line="400" w:lineRule="exact"/>
        <w:ind w:firstLine="420" w:firstLineChars="200"/>
        <w:rPr>
          <w:rFonts w:hint="eastAsia" w:ascii="Times New Roman" w:hAnsi="宋体" w:eastAsia="宋体" w:cs="Times New Roman"/>
          <w:color w:val="auto"/>
          <w:szCs w:val="21"/>
          <w:highlight w:val="none"/>
          <w:u w:val="single"/>
        </w:rPr>
      </w:pPr>
      <w:r>
        <w:rPr>
          <w:rFonts w:hint="eastAsia" w:ascii="Times New Roman" w:hAnsi="宋体" w:eastAsia="宋体" w:cs="Times New Roman"/>
          <w:color w:val="auto"/>
          <w:szCs w:val="21"/>
          <w:highlight w:val="none"/>
          <w:u w:val="single"/>
        </w:rPr>
        <w:t>（6）承包人应自觉完成发包人安排的其他有关工作。</w:t>
      </w:r>
    </w:p>
    <w:p w14:paraId="635DEFA0">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4.11 不利物质条件</w:t>
      </w:r>
    </w:p>
    <w:p w14:paraId="012F2377">
      <w:pPr>
        <w:keepLines w:val="0"/>
        <w:pageBreakBefore w:val="0"/>
        <w:widowControl w:val="0"/>
        <w:shd w:val="clear" w:color="auto" w:fill="auto"/>
        <w:kinsoku/>
        <w:wordWrap/>
        <w:overflowPunct/>
        <w:topLinePunct w:val="0"/>
        <w:autoSpaceDE/>
        <w:autoSpaceDN/>
        <w:bidi w:val="0"/>
        <w:snapToGrid/>
        <w:spacing w:line="400" w:lineRule="exact"/>
        <w:ind w:firstLine="420" w:firstLineChars="200"/>
        <w:jc w:val="left"/>
        <w:rPr>
          <w:rFonts w:hint="eastAsia" w:asciiTheme="majorEastAsia" w:hAnsiTheme="majorEastAsia" w:eastAsiaTheme="majorEastAsia" w:cstheme="majorEastAsia"/>
          <w:color w:val="auto"/>
          <w:sz w:val="21"/>
          <w:szCs w:val="21"/>
          <w:highlight w:val="none"/>
        </w:rPr>
      </w:pPr>
      <w:r>
        <w:rPr>
          <w:color w:val="auto"/>
          <w:szCs w:val="21"/>
          <w:highlight w:val="none"/>
        </w:rPr>
        <w:t>4.11.1</w:t>
      </w:r>
      <w:r>
        <w:rPr>
          <w:rFonts w:hAnsi="宋体"/>
          <w:color w:val="auto"/>
          <w:szCs w:val="21"/>
          <w:highlight w:val="none"/>
        </w:rPr>
        <w:t>不利物质条件的范围：</w:t>
      </w:r>
      <w:r>
        <w:rPr>
          <w:rFonts w:hint="eastAsia" w:asciiTheme="majorEastAsia" w:hAnsiTheme="majorEastAsia" w:eastAsiaTheme="majorEastAsia" w:cstheme="majorEastAsia"/>
          <w:b/>
          <w:bCs/>
          <w:color w:val="auto"/>
          <w:sz w:val="21"/>
          <w:szCs w:val="21"/>
          <w:highlight w:val="none"/>
          <w:u w:val="single"/>
        </w:rPr>
        <w:t>洪水、滑坡、大风、大雪等。</w:t>
      </w:r>
    </w:p>
    <w:p w14:paraId="7490AEB1">
      <w:pPr>
        <w:pageBreakBefore w:val="0"/>
        <w:kinsoku/>
        <w:wordWrap/>
        <w:overflowPunct/>
        <w:topLinePunct w:val="0"/>
        <w:bidi w:val="0"/>
        <w:snapToGrid/>
        <w:spacing w:line="400" w:lineRule="exact"/>
        <w:ind w:firstLine="420" w:firstLineChars="200"/>
        <w:rPr>
          <w:color w:val="auto"/>
          <w:szCs w:val="21"/>
          <w:highlight w:val="none"/>
        </w:rPr>
      </w:pPr>
      <w:r>
        <w:rPr>
          <w:rFonts w:hint="eastAsia" w:asciiTheme="majorEastAsia" w:hAnsiTheme="majorEastAsia" w:eastAsiaTheme="majorEastAsia" w:cstheme="majorEastAsia"/>
          <w:color w:val="auto"/>
          <w:sz w:val="21"/>
          <w:szCs w:val="21"/>
          <w:highlight w:val="none"/>
          <w:u w:val="single"/>
        </w:rPr>
        <w:t>承包人施工前应详细勘察本工程施工的地理情况，在施工过程中如果发生不利物质条件，只相应顺延工期，不增加任何费用。</w:t>
      </w:r>
    </w:p>
    <w:p w14:paraId="5606861E">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 材料和工程设备</w:t>
      </w:r>
    </w:p>
    <w:p w14:paraId="450259C1">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5.1 承包人提供的材料和工程设备</w:t>
      </w:r>
    </w:p>
    <w:p w14:paraId="4343DA26">
      <w:pPr>
        <w:pageBreakBefore w:val="0"/>
        <w:kinsoku/>
        <w:wordWrap/>
        <w:overflowPunct/>
        <w:topLinePunct w:val="0"/>
        <w:bidi w:val="0"/>
        <w:snapToGrid/>
        <w:spacing w:line="400" w:lineRule="exact"/>
        <w:ind w:firstLine="420" w:firstLineChars="200"/>
        <w:rPr>
          <w:color w:val="auto"/>
          <w:szCs w:val="21"/>
          <w:highlight w:val="none"/>
        </w:rPr>
      </w:pPr>
      <w:r>
        <w:rPr>
          <w:color w:val="auto"/>
          <w:szCs w:val="21"/>
          <w:highlight w:val="none"/>
        </w:rPr>
        <w:t>5.1.3</w:t>
      </w:r>
      <w:r>
        <w:rPr>
          <w:rFonts w:hAnsi="宋体"/>
          <w:color w:val="auto"/>
          <w:szCs w:val="21"/>
          <w:highlight w:val="none"/>
        </w:rPr>
        <w:t>对承包人提供的材料和工程设备，承包人除</w:t>
      </w:r>
      <w:r>
        <w:rPr>
          <w:color w:val="auto"/>
          <w:szCs w:val="21"/>
          <w:highlight w:val="none"/>
          <w:u w:val="single"/>
        </w:rPr>
        <w:t xml:space="preserve"> </w:t>
      </w:r>
      <w:r>
        <w:rPr>
          <w:rFonts w:hAnsi="宋体"/>
          <w:color w:val="auto"/>
          <w:szCs w:val="21"/>
          <w:highlight w:val="none"/>
          <w:u w:val="single"/>
        </w:rPr>
        <w:t>执行通用条款</w:t>
      </w:r>
      <w:r>
        <w:rPr>
          <w:color w:val="auto"/>
          <w:szCs w:val="21"/>
          <w:highlight w:val="none"/>
          <w:u w:val="single"/>
        </w:rPr>
        <w:t xml:space="preserve"> </w:t>
      </w:r>
      <w:r>
        <w:rPr>
          <w:rFonts w:hAnsi="宋体"/>
          <w:color w:val="auto"/>
          <w:szCs w:val="21"/>
          <w:highlight w:val="none"/>
        </w:rPr>
        <w:t>的约定外，发包人还可以采取以下措施，加强对材料和工程施工的全面质量进行如下控制：</w:t>
      </w:r>
    </w:p>
    <w:p w14:paraId="375C3F24">
      <w:pPr>
        <w:pageBreakBefore w:val="0"/>
        <w:kinsoku/>
        <w:wordWrap/>
        <w:overflowPunct/>
        <w:topLinePunct w:val="0"/>
        <w:bidi w:val="0"/>
        <w:snapToGrid/>
        <w:spacing w:line="400" w:lineRule="exact"/>
        <w:ind w:firstLine="420" w:firstLineChars="200"/>
        <w:rPr>
          <w:color w:val="auto"/>
          <w:szCs w:val="21"/>
          <w:highlight w:val="none"/>
        </w:rPr>
      </w:pPr>
      <w:r>
        <w:rPr>
          <w:rFonts w:hAnsi="宋体"/>
          <w:color w:val="auto"/>
          <w:szCs w:val="21"/>
          <w:highlight w:val="none"/>
        </w:rPr>
        <w:t>（</w:t>
      </w:r>
      <w:r>
        <w:rPr>
          <w:color w:val="auto"/>
          <w:szCs w:val="21"/>
          <w:highlight w:val="none"/>
        </w:rPr>
        <w:t>1</w:t>
      </w:r>
      <w:r>
        <w:rPr>
          <w:rFonts w:hAnsi="宋体"/>
          <w:color w:val="auto"/>
          <w:szCs w:val="21"/>
          <w:highlight w:val="none"/>
        </w:rPr>
        <w:t>）发包人和监理人监督承包人健全其施工全过程的质量自检制度；承包人按监理人的指示，做好材料和工程质量检查的同期纪录；</w:t>
      </w:r>
    </w:p>
    <w:p w14:paraId="417A7FAD">
      <w:pPr>
        <w:pageBreakBefore w:val="0"/>
        <w:kinsoku/>
        <w:wordWrap/>
        <w:overflowPunct/>
        <w:topLinePunct w:val="0"/>
        <w:bidi w:val="0"/>
        <w:snapToGrid/>
        <w:spacing w:line="400" w:lineRule="exact"/>
        <w:ind w:firstLine="420" w:firstLineChars="200"/>
        <w:rPr>
          <w:color w:val="auto"/>
          <w:szCs w:val="21"/>
          <w:highlight w:val="none"/>
        </w:rPr>
      </w:pPr>
      <w:r>
        <w:rPr>
          <w:rFonts w:hAnsi="宋体"/>
          <w:color w:val="auto"/>
          <w:szCs w:val="21"/>
          <w:highlight w:val="none"/>
        </w:rPr>
        <w:t>（</w:t>
      </w:r>
      <w:r>
        <w:rPr>
          <w:color w:val="auto"/>
          <w:szCs w:val="21"/>
          <w:highlight w:val="none"/>
        </w:rPr>
        <w:t>2</w:t>
      </w:r>
      <w:r>
        <w:rPr>
          <w:rFonts w:hAnsi="宋体"/>
          <w:color w:val="auto"/>
          <w:szCs w:val="21"/>
          <w:highlight w:val="none"/>
        </w:rPr>
        <w:t>）承包人应建立完善的材料和工程质量检查、检验和验收制度，发包人和监理人有权对材料采购进货、运输、存储进行严格检查以及现场施工用材的全过程监控。尤其是工程中所用重要材料：格宾网、水泥、砂子及石块等重要材料在采购前必须通知发包人及监理人，发包人及监理人对其质量及技术要求按照图纸及国家相关规定进行确认，经发包人及监理人确认后方可采购进场；</w:t>
      </w:r>
    </w:p>
    <w:p w14:paraId="1ACB63F8">
      <w:pPr>
        <w:pageBreakBefore w:val="0"/>
        <w:kinsoku/>
        <w:wordWrap/>
        <w:overflowPunct/>
        <w:topLinePunct w:val="0"/>
        <w:bidi w:val="0"/>
        <w:snapToGrid/>
        <w:spacing w:line="400" w:lineRule="exact"/>
        <w:ind w:firstLine="420" w:firstLineChars="200"/>
        <w:rPr>
          <w:color w:val="auto"/>
          <w:szCs w:val="21"/>
          <w:highlight w:val="none"/>
        </w:rPr>
      </w:pPr>
      <w:r>
        <w:rPr>
          <w:rFonts w:hAnsi="宋体"/>
          <w:color w:val="auto"/>
          <w:szCs w:val="21"/>
          <w:highlight w:val="none"/>
        </w:rPr>
        <w:t>（</w:t>
      </w:r>
      <w:r>
        <w:rPr>
          <w:color w:val="auto"/>
          <w:szCs w:val="21"/>
          <w:highlight w:val="none"/>
        </w:rPr>
        <w:t>3</w:t>
      </w:r>
      <w:r>
        <w:rPr>
          <w:rFonts w:hAnsi="宋体"/>
          <w:color w:val="auto"/>
          <w:szCs w:val="21"/>
          <w:highlight w:val="none"/>
        </w:rPr>
        <w:t>）承包人负责采购的材料和工程设备，一经与供货人签订供货协议，应将协议副本提交给发包人及监理人，使发包人及监理人及时了解承包人订货情况是否满足工程需要；</w:t>
      </w:r>
    </w:p>
    <w:p w14:paraId="09B3E85A">
      <w:pPr>
        <w:pageBreakBefore w:val="0"/>
        <w:kinsoku/>
        <w:wordWrap/>
        <w:overflowPunct/>
        <w:topLinePunct w:val="0"/>
        <w:bidi w:val="0"/>
        <w:snapToGrid/>
        <w:spacing w:line="400" w:lineRule="exact"/>
        <w:ind w:firstLine="420" w:firstLineChars="200"/>
        <w:rPr>
          <w:color w:val="auto"/>
          <w:szCs w:val="21"/>
          <w:highlight w:val="none"/>
        </w:rPr>
      </w:pPr>
      <w:r>
        <w:rPr>
          <w:rFonts w:hAnsi="宋体"/>
          <w:color w:val="auto"/>
          <w:szCs w:val="21"/>
          <w:highlight w:val="none"/>
        </w:rPr>
        <w:t>（</w:t>
      </w:r>
      <w:r>
        <w:rPr>
          <w:color w:val="auto"/>
          <w:szCs w:val="21"/>
          <w:highlight w:val="none"/>
        </w:rPr>
        <w:t>4</w:t>
      </w:r>
      <w:r>
        <w:rPr>
          <w:rFonts w:hAnsi="宋体"/>
          <w:color w:val="auto"/>
          <w:szCs w:val="21"/>
          <w:highlight w:val="none"/>
        </w:rPr>
        <w:t>）承包人提供的材料和工程设备只有经检验合格后才能用于工程施工。依据《建设工程质量管理条例》第</w:t>
      </w:r>
      <w:r>
        <w:rPr>
          <w:color w:val="auto"/>
          <w:szCs w:val="21"/>
          <w:highlight w:val="none"/>
        </w:rPr>
        <w:t>37</w:t>
      </w:r>
      <w:r>
        <w:rPr>
          <w:rFonts w:hAnsi="宋体"/>
          <w:color w:val="auto"/>
          <w:szCs w:val="21"/>
          <w:highlight w:val="none"/>
        </w:rPr>
        <w:t>条规定，未经监理工程师签字，建筑材料、建筑构配件和设备不得在工程上使用或者安装，施工单位不得进行下一道工序的施工。</w:t>
      </w:r>
    </w:p>
    <w:p w14:paraId="13DDACA9">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77" w:name="_Toc265408521"/>
      <w:r>
        <w:rPr>
          <w:rFonts w:hint="eastAsia" w:ascii="宋体" w:hAnsi="宋体" w:eastAsia="宋体" w:cs="宋体"/>
          <w:b/>
          <w:bCs/>
          <w:color w:val="auto"/>
          <w:sz w:val="21"/>
          <w:szCs w:val="21"/>
          <w:highlight w:val="none"/>
          <w:lang w:val="en-US" w:eastAsia="zh-CN"/>
        </w:rPr>
        <w:t>7 交通运输</w:t>
      </w:r>
      <w:bookmarkEnd w:id="77"/>
    </w:p>
    <w:p w14:paraId="687BD217">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7.1 道路通行权和场外设施</w:t>
      </w:r>
    </w:p>
    <w:p w14:paraId="72D9C7CB">
      <w:pPr>
        <w:pageBreakBefore w:val="0"/>
        <w:kinsoku/>
        <w:wordWrap/>
        <w:overflowPunct/>
        <w:topLinePunct w:val="0"/>
        <w:bidi w:val="0"/>
        <w:snapToGrid/>
        <w:spacing w:line="400" w:lineRule="exact"/>
        <w:ind w:firstLine="420" w:firstLineChars="200"/>
        <w:rPr>
          <w:color w:val="auto"/>
          <w:szCs w:val="21"/>
          <w:highlight w:val="none"/>
        </w:rPr>
      </w:pPr>
      <w:r>
        <w:rPr>
          <w:rFonts w:hAnsi="宋体"/>
          <w:color w:val="auto"/>
          <w:szCs w:val="21"/>
          <w:highlight w:val="none"/>
        </w:rPr>
        <w:t>道路通行权和场外设施的约定：</w:t>
      </w:r>
      <w:r>
        <w:rPr>
          <w:rFonts w:hAnsi="宋体"/>
          <w:color w:val="auto"/>
          <w:szCs w:val="21"/>
          <w:highlight w:val="none"/>
          <w:u w:val="single"/>
        </w:rPr>
        <w:t>执行通用条款</w:t>
      </w:r>
      <w:r>
        <w:rPr>
          <w:rFonts w:hAnsi="宋体"/>
          <w:color w:val="auto"/>
          <w:szCs w:val="21"/>
          <w:highlight w:val="none"/>
        </w:rPr>
        <w:t>。</w:t>
      </w:r>
    </w:p>
    <w:p w14:paraId="695CF524">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78" w:name="_Toc265408522"/>
      <w:r>
        <w:rPr>
          <w:rFonts w:hint="eastAsia" w:ascii="宋体" w:hAnsi="宋体" w:eastAsia="宋体" w:cs="宋体"/>
          <w:b/>
          <w:bCs/>
          <w:color w:val="auto"/>
          <w:sz w:val="21"/>
          <w:szCs w:val="21"/>
          <w:highlight w:val="none"/>
          <w:lang w:val="en-US" w:eastAsia="zh-CN"/>
        </w:rPr>
        <w:t>8 测量放线</w:t>
      </w:r>
      <w:bookmarkEnd w:id="78"/>
    </w:p>
    <w:p w14:paraId="2BBD8F9C">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8.1 施工控制网</w:t>
      </w:r>
    </w:p>
    <w:p w14:paraId="26CDE660">
      <w:pPr>
        <w:pageBreakBefore w:val="0"/>
        <w:kinsoku/>
        <w:wordWrap/>
        <w:overflowPunct/>
        <w:topLinePunct w:val="0"/>
        <w:bidi w:val="0"/>
        <w:snapToGrid/>
        <w:spacing w:line="400" w:lineRule="exact"/>
        <w:ind w:firstLine="420" w:firstLineChars="200"/>
        <w:rPr>
          <w:color w:val="auto"/>
          <w:szCs w:val="21"/>
          <w:highlight w:val="none"/>
        </w:rPr>
      </w:pPr>
      <w:r>
        <w:rPr>
          <w:color w:val="auto"/>
          <w:szCs w:val="21"/>
          <w:highlight w:val="none"/>
        </w:rPr>
        <w:t xml:space="preserve">8.1.1 </w:t>
      </w:r>
      <w:r>
        <w:rPr>
          <w:rFonts w:hAnsi="宋体"/>
          <w:color w:val="auto"/>
          <w:szCs w:val="21"/>
          <w:highlight w:val="none"/>
        </w:rPr>
        <w:t>施工控制网的约定：</w:t>
      </w:r>
      <w:r>
        <w:rPr>
          <w:rFonts w:hAnsi="宋体"/>
          <w:color w:val="auto"/>
          <w:szCs w:val="21"/>
          <w:highlight w:val="none"/>
          <w:u w:val="single"/>
        </w:rPr>
        <w:t>执行通用条款</w:t>
      </w:r>
      <w:r>
        <w:rPr>
          <w:rFonts w:hAnsi="宋体"/>
          <w:color w:val="auto"/>
          <w:szCs w:val="21"/>
          <w:highlight w:val="none"/>
        </w:rPr>
        <w:t>。</w:t>
      </w:r>
    </w:p>
    <w:p w14:paraId="44B4A0FD">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79" w:name="_Toc265408523"/>
      <w:r>
        <w:rPr>
          <w:rFonts w:hint="eastAsia" w:ascii="宋体" w:hAnsi="宋体" w:eastAsia="宋体" w:cs="宋体"/>
          <w:b/>
          <w:bCs/>
          <w:color w:val="auto"/>
          <w:sz w:val="21"/>
          <w:szCs w:val="21"/>
          <w:highlight w:val="none"/>
          <w:lang w:val="en-US" w:eastAsia="zh-CN"/>
        </w:rPr>
        <w:t>9 施工安全、治安保卫和环境保护</w:t>
      </w:r>
      <w:bookmarkEnd w:id="79"/>
    </w:p>
    <w:p w14:paraId="18D87FEE">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9.1 发包人的施工安全责任</w:t>
      </w:r>
    </w:p>
    <w:p w14:paraId="53CAE73A">
      <w:pPr>
        <w:pageBreakBefore w:val="0"/>
        <w:kinsoku/>
        <w:wordWrap/>
        <w:overflowPunct/>
        <w:topLinePunct w:val="0"/>
        <w:bidi w:val="0"/>
        <w:snapToGrid/>
        <w:spacing w:line="400" w:lineRule="exact"/>
        <w:ind w:firstLine="420" w:firstLineChars="200"/>
        <w:rPr>
          <w:color w:val="auto"/>
          <w:szCs w:val="21"/>
          <w:highlight w:val="none"/>
        </w:rPr>
      </w:pPr>
      <w:r>
        <w:rPr>
          <w:color w:val="auto"/>
          <w:szCs w:val="21"/>
          <w:highlight w:val="none"/>
        </w:rPr>
        <w:t xml:space="preserve">9.1.4 </w:t>
      </w:r>
      <w:r>
        <w:rPr>
          <w:rFonts w:hAnsi="宋体"/>
          <w:color w:val="auto"/>
          <w:szCs w:val="21"/>
          <w:highlight w:val="none"/>
        </w:rPr>
        <w:t>发包人提供</w:t>
      </w:r>
      <w:r>
        <w:rPr>
          <w:rFonts w:hAnsi="宋体"/>
          <w:color w:val="auto"/>
          <w:szCs w:val="21"/>
          <w:highlight w:val="none"/>
          <w:u w:val="single"/>
        </w:rPr>
        <w:t>通用条款约定</w:t>
      </w:r>
      <w:r>
        <w:rPr>
          <w:rFonts w:hAnsi="宋体"/>
          <w:color w:val="auto"/>
          <w:szCs w:val="21"/>
          <w:highlight w:val="none"/>
        </w:rPr>
        <w:t>资料，其余资料由承包人负责收集。</w:t>
      </w:r>
    </w:p>
    <w:p w14:paraId="0C7DE833">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9.2 承包人的施工安全责任</w:t>
      </w:r>
    </w:p>
    <w:p w14:paraId="398E86DA">
      <w:pPr>
        <w:pageBreakBefore w:val="0"/>
        <w:kinsoku/>
        <w:wordWrap/>
        <w:overflowPunct/>
        <w:topLinePunct w:val="0"/>
        <w:bidi w:val="0"/>
        <w:snapToGrid/>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承包人</w:t>
      </w:r>
      <w:r>
        <w:rPr>
          <w:rFonts w:ascii="宋体" w:hAnsi="宋体"/>
          <w:color w:val="auto"/>
          <w:szCs w:val="21"/>
          <w:highlight w:val="none"/>
        </w:rPr>
        <w:t>应按合同约定履行安全职责，</w:t>
      </w:r>
      <w:r>
        <w:rPr>
          <w:rFonts w:hint="eastAsia" w:ascii="宋体" w:hAnsi="宋体"/>
          <w:color w:val="auto"/>
          <w:szCs w:val="21"/>
          <w:highlight w:val="none"/>
        </w:rPr>
        <w:t>严格</w:t>
      </w:r>
      <w:r>
        <w:rPr>
          <w:rFonts w:ascii="宋体" w:hAnsi="宋体"/>
          <w:color w:val="auto"/>
          <w:szCs w:val="21"/>
          <w:highlight w:val="none"/>
        </w:rPr>
        <w:t>执行国家、</w:t>
      </w:r>
      <w:r>
        <w:rPr>
          <w:rFonts w:hint="eastAsia" w:ascii="宋体" w:hAnsi="宋体"/>
          <w:color w:val="auto"/>
          <w:szCs w:val="21"/>
          <w:highlight w:val="none"/>
        </w:rPr>
        <w:t>地方</w:t>
      </w:r>
      <w:r>
        <w:rPr>
          <w:rFonts w:ascii="宋体" w:hAnsi="宋体"/>
          <w:color w:val="auto"/>
          <w:szCs w:val="21"/>
          <w:highlight w:val="none"/>
        </w:rPr>
        <w:t>政府有关施工安全管理方面的法律、</w:t>
      </w:r>
      <w:r>
        <w:rPr>
          <w:rFonts w:hint="eastAsia" w:ascii="宋体" w:hAnsi="宋体"/>
          <w:color w:val="auto"/>
          <w:szCs w:val="21"/>
          <w:highlight w:val="none"/>
        </w:rPr>
        <w:t>法规</w:t>
      </w:r>
      <w:r>
        <w:rPr>
          <w:rFonts w:ascii="宋体" w:hAnsi="宋体"/>
          <w:color w:val="auto"/>
          <w:szCs w:val="21"/>
          <w:highlight w:val="none"/>
        </w:rPr>
        <w:t>及规章制度，</w:t>
      </w:r>
      <w:r>
        <w:rPr>
          <w:rFonts w:hint="eastAsia" w:ascii="宋体" w:hAnsi="宋体"/>
          <w:color w:val="auto"/>
          <w:szCs w:val="21"/>
          <w:highlight w:val="none"/>
        </w:rPr>
        <w:t>同时</w:t>
      </w:r>
      <w:r>
        <w:rPr>
          <w:rFonts w:ascii="宋体" w:hAnsi="宋体"/>
          <w:color w:val="auto"/>
          <w:szCs w:val="21"/>
          <w:highlight w:val="none"/>
        </w:rPr>
        <w:t>严格执行发包人制订的本项目安全生产管理方面的规章制度、</w:t>
      </w:r>
      <w:r>
        <w:rPr>
          <w:rFonts w:hint="eastAsia" w:ascii="宋体" w:hAnsi="宋体"/>
          <w:color w:val="auto"/>
          <w:szCs w:val="21"/>
          <w:highlight w:val="none"/>
        </w:rPr>
        <w:t>安全</w:t>
      </w:r>
      <w:r>
        <w:rPr>
          <w:rFonts w:ascii="宋体" w:hAnsi="宋体"/>
          <w:color w:val="auto"/>
          <w:szCs w:val="21"/>
          <w:highlight w:val="none"/>
        </w:rPr>
        <w:t>检查程序及施工安全管理要求，</w:t>
      </w:r>
      <w:r>
        <w:rPr>
          <w:rFonts w:hint="eastAsia" w:ascii="宋体" w:hAnsi="宋体"/>
          <w:color w:val="auto"/>
          <w:szCs w:val="21"/>
          <w:highlight w:val="none"/>
        </w:rPr>
        <w:t>以及</w:t>
      </w:r>
      <w:r>
        <w:rPr>
          <w:rFonts w:ascii="宋体" w:hAnsi="宋体"/>
          <w:color w:val="auto"/>
          <w:szCs w:val="21"/>
          <w:highlight w:val="none"/>
        </w:rPr>
        <w:t>监理人有关安全工作的指示，</w:t>
      </w:r>
      <w:r>
        <w:rPr>
          <w:rFonts w:hint="eastAsia" w:ascii="宋体" w:hAnsi="宋体"/>
          <w:color w:val="auto"/>
          <w:szCs w:val="21"/>
          <w:highlight w:val="none"/>
        </w:rPr>
        <w:t>并</w:t>
      </w:r>
      <w:r>
        <w:rPr>
          <w:rFonts w:ascii="宋体" w:hAnsi="宋体"/>
          <w:color w:val="auto"/>
          <w:szCs w:val="21"/>
          <w:highlight w:val="none"/>
        </w:rPr>
        <w:t>对在本工程施工中</w:t>
      </w:r>
      <w:r>
        <w:rPr>
          <w:rFonts w:hint="eastAsia" w:ascii="宋体" w:hAnsi="宋体"/>
          <w:color w:val="auto"/>
          <w:szCs w:val="21"/>
          <w:highlight w:val="none"/>
        </w:rPr>
        <w:t>发生</w:t>
      </w:r>
      <w:r>
        <w:rPr>
          <w:rFonts w:ascii="宋体" w:hAnsi="宋体"/>
          <w:color w:val="auto"/>
          <w:szCs w:val="21"/>
          <w:highlight w:val="none"/>
        </w:rPr>
        <w:t>的一切不安全事故负全部责任。</w:t>
      </w:r>
    </w:p>
    <w:p w14:paraId="0C29C88B">
      <w:pPr>
        <w:pageBreakBefore w:val="0"/>
        <w:kinsoku/>
        <w:wordWrap/>
        <w:overflowPunct/>
        <w:topLinePunct w:val="0"/>
        <w:bidi w:val="0"/>
        <w:snapToGrid/>
        <w:spacing w:line="400" w:lineRule="exact"/>
        <w:ind w:firstLine="420" w:firstLineChars="200"/>
        <w:rPr>
          <w:color w:val="auto"/>
          <w:szCs w:val="21"/>
          <w:highlight w:val="none"/>
        </w:rPr>
      </w:pPr>
      <w:r>
        <w:rPr>
          <w:color w:val="auto"/>
          <w:szCs w:val="21"/>
          <w:highlight w:val="none"/>
        </w:rPr>
        <w:t>9.2.12</w:t>
      </w:r>
      <w:r>
        <w:rPr>
          <w:rFonts w:hAnsi="宋体"/>
          <w:color w:val="auto"/>
          <w:szCs w:val="21"/>
          <w:highlight w:val="none"/>
        </w:rPr>
        <w:t>下列工程应编制专项施工方案：</w:t>
      </w:r>
      <w:r>
        <w:rPr>
          <w:rFonts w:hint="eastAsia" w:hAnsi="宋体"/>
          <w:color w:val="auto"/>
          <w:szCs w:val="21"/>
          <w:highlight w:val="none"/>
          <w:u w:val="single"/>
          <w:lang w:val="en-US" w:eastAsia="zh-CN"/>
        </w:rPr>
        <w:t xml:space="preserve">  （合同签订时另行约定）  </w:t>
      </w:r>
      <w:r>
        <w:rPr>
          <w:rFonts w:hAnsi="宋体"/>
          <w:color w:val="auto"/>
          <w:szCs w:val="21"/>
          <w:highlight w:val="none"/>
        </w:rPr>
        <w:t>。其中</w:t>
      </w:r>
      <w:r>
        <w:rPr>
          <w:rFonts w:hAnsi="宋体"/>
          <w:color w:val="auto"/>
          <w:szCs w:val="21"/>
          <w:highlight w:val="none"/>
          <w:u w:val="single"/>
        </w:rPr>
        <w:t>（</w:t>
      </w:r>
      <w:r>
        <w:rPr>
          <w:rFonts w:hint="eastAsia" w:hAnsi="宋体"/>
          <w:color w:val="auto"/>
          <w:szCs w:val="21"/>
          <w:highlight w:val="none"/>
          <w:u w:val="single"/>
        </w:rPr>
        <w:t>招标人根据需要</w:t>
      </w:r>
      <w:r>
        <w:rPr>
          <w:rFonts w:hAnsi="宋体"/>
          <w:color w:val="auto"/>
          <w:szCs w:val="21"/>
          <w:highlight w:val="none"/>
          <w:u w:val="single"/>
        </w:rPr>
        <w:t>）</w:t>
      </w:r>
      <w:r>
        <w:rPr>
          <w:rFonts w:hAnsi="宋体"/>
          <w:color w:val="auto"/>
          <w:szCs w:val="21"/>
          <w:highlight w:val="none"/>
        </w:rPr>
        <w:t>组织专家论证和审查</w:t>
      </w:r>
      <w:r>
        <w:rPr>
          <w:rFonts w:hint="eastAsia" w:hAnsi="宋体"/>
          <w:color w:val="auto"/>
          <w:szCs w:val="21"/>
          <w:highlight w:val="none"/>
        </w:rPr>
        <w:t>，承包人应积极配合</w:t>
      </w:r>
      <w:r>
        <w:rPr>
          <w:rFonts w:hAnsi="宋体"/>
          <w:color w:val="auto"/>
          <w:szCs w:val="21"/>
          <w:highlight w:val="none"/>
        </w:rPr>
        <w:t>。</w:t>
      </w:r>
    </w:p>
    <w:p w14:paraId="19E65BE3">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9.7 文明工地</w:t>
      </w:r>
    </w:p>
    <w:p w14:paraId="3E7A7A4F">
      <w:pPr>
        <w:pageBreakBefore w:val="0"/>
        <w:kinsoku/>
        <w:wordWrap/>
        <w:overflowPunct/>
        <w:topLinePunct w:val="0"/>
        <w:bidi w:val="0"/>
        <w:snapToGrid/>
        <w:spacing w:line="400" w:lineRule="exact"/>
        <w:ind w:firstLine="420" w:firstLineChars="200"/>
        <w:rPr>
          <w:color w:val="auto"/>
          <w:szCs w:val="21"/>
          <w:highlight w:val="none"/>
        </w:rPr>
      </w:pPr>
      <w:r>
        <w:rPr>
          <w:color w:val="auto"/>
          <w:szCs w:val="21"/>
          <w:highlight w:val="none"/>
        </w:rPr>
        <w:t xml:space="preserve">9.7.1 </w:t>
      </w:r>
      <w:r>
        <w:rPr>
          <w:rFonts w:hAnsi="宋体"/>
          <w:color w:val="auto"/>
          <w:szCs w:val="21"/>
          <w:highlight w:val="none"/>
        </w:rPr>
        <w:t>本合同文明工地的约定：</w:t>
      </w:r>
      <w:r>
        <w:rPr>
          <w:rFonts w:hAnsi="宋体"/>
          <w:color w:val="auto"/>
          <w:szCs w:val="21"/>
          <w:highlight w:val="none"/>
          <w:u w:val="single"/>
        </w:rPr>
        <w:t>执行国家或地方标准</w:t>
      </w:r>
      <w:r>
        <w:rPr>
          <w:rFonts w:hAnsi="宋体"/>
          <w:color w:val="auto"/>
          <w:szCs w:val="21"/>
          <w:highlight w:val="none"/>
        </w:rPr>
        <w:t>。</w:t>
      </w:r>
    </w:p>
    <w:p w14:paraId="24C9CE29">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80" w:name="_Toc265408524"/>
      <w:r>
        <w:rPr>
          <w:rFonts w:hint="eastAsia" w:ascii="宋体" w:hAnsi="宋体" w:eastAsia="宋体" w:cs="宋体"/>
          <w:b/>
          <w:bCs/>
          <w:color w:val="auto"/>
          <w:sz w:val="21"/>
          <w:szCs w:val="21"/>
          <w:highlight w:val="none"/>
          <w:lang w:val="en-US" w:eastAsia="zh-CN"/>
        </w:rPr>
        <w:t>11 开工和竣工（完工）</w:t>
      </w:r>
      <w:bookmarkEnd w:id="80"/>
    </w:p>
    <w:p w14:paraId="20AC79D4">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11.4 异常恶劣的气候条件</w:t>
      </w:r>
    </w:p>
    <w:p w14:paraId="40D04C09">
      <w:pPr>
        <w:pageBreakBefore w:val="0"/>
        <w:kinsoku/>
        <w:wordWrap/>
        <w:overflowPunct/>
        <w:topLinePunct w:val="0"/>
        <w:bidi w:val="0"/>
        <w:snapToGrid/>
        <w:spacing w:line="400" w:lineRule="exact"/>
        <w:ind w:firstLine="420" w:firstLineChars="200"/>
        <w:rPr>
          <w:rFonts w:hint="eastAsia" w:hAnsi="宋体"/>
          <w:color w:val="auto"/>
          <w:szCs w:val="21"/>
          <w:highlight w:val="none"/>
        </w:rPr>
      </w:pPr>
      <w:r>
        <w:rPr>
          <w:color w:val="auto"/>
          <w:szCs w:val="21"/>
          <w:highlight w:val="none"/>
        </w:rPr>
        <w:t xml:space="preserve">11.4.3 </w:t>
      </w:r>
      <w:r>
        <w:rPr>
          <w:rFonts w:hAnsi="宋体"/>
          <w:color w:val="auto"/>
          <w:szCs w:val="21"/>
          <w:highlight w:val="none"/>
        </w:rPr>
        <w:t>本合同工程界定异常恶劣气候条件的范围为：</w:t>
      </w:r>
    </w:p>
    <w:p w14:paraId="185690DA">
      <w:pPr>
        <w:pageBreakBefore w:val="0"/>
        <w:kinsoku/>
        <w:wordWrap/>
        <w:overflowPunct/>
        <w:topLinePunct w:val="0"/>
        <w:bidi w:val="0"/>
        <w:snapToGrid/>
        <w:spacing w:line="400" w:lineRule="exact"/>
        <w:ind w:firstLine="420" w:firstLineChars="200"/>
        <w:rPr>
          <w:rFonts w:hint="eastAsia"/>
          <w:color w:val="auto"/>
          <w:szCs w:val="21"/>
          <w:highlight w:val="none"/>
        </w:rPr>
      </w:pPr>
      <w:r>
        <w:rPr>
          <w:rFonts w:hint="eastAsia"/>
          <w:color w:val="auto"/>
          <w:szCs w:val="21"/>
          <w:highlight w:val="none"/>
        </w:rPr>
        <w:t>（1）日降雨量大于</w:t>
      </w:r>
      <w:r>
        <w:rPr>
          <w:rFonts w:hint="eastAsia"/>
          <w:color w:val="auto"/>
          <w:szCs w:val="21"/>
          <w:highlight w:val="none"/>
          <w:u w:val="single"/>
        </w:rPr>
        <w:t>_50_</w:t>
      </w:r>
      <w:r>
        <w:rPr>
          <w:rFonts w:hint="eastAsia"/>
          <w:color w:val="auto"/>
          <w:szCs w:val="21"/>
          <w:highlight w:val="none"/>
        </w:rPr>
        <w:t>mm的雨日超过</w:t>
      </w:r>
      <w:r>
        <w:rPr>
          <w:rFonts w:hint="eastAsia"/>
          <w:color w:val="auto"/>
          <w:szCs w:val="21"/>
          <w:highlight w:val="none"/>
          <w:u w:val="single"/>
          <w:lang w:val="en-US" w:eastAsia="zh-CN"/>
        </w:rPr>
        <w:t xml:space="preserve"> </w:t>
      </w:r>
      <w:r>
        <w:rPr>
          <w:rFonts w:hint="eastAsia"/>
          <w:color w:val="auto"/>
          <w:szCs w:val="21"/>
          <w:highlight w:val="none"/>
          <w:u w:val="single"/>
        </w:rPr>
        <w:t>3</w:t>
      </w:r>
      <w:r>
        <w:rPr>
          <w:rFonts w:hint="eastAsia"/>
          <w:color w:val="auto"/>
          <w:szCs w:val="21"/>
          <w:highlight w:val="none"/>
          <w:u w:val="single"/>
          <w:lang w:val="en-US" w:eastAsia="zh-CN"/>
        </w:rPr>
        <w:t xml:space="preserve"> </w:t>
      </w:r>
      <w:r>
        <w:rPr>
          <w:rFonts w:hint="eastAsia"/>
          <w:color w:val="auto"/>
          <w:szCs w:val="21"/>
          <w:highlight w:val="none"/>
        </w:rPr>
        <w:t>天；</w:t>
      </w:r>
    </w:p>
    <w:p w14:paraId="327C7DAE">
      <w:pPr>
        <w:pageBreakBefore w:val="0"/>
        <w:kinsoku/>
        <w:wordWrap/>
        <w:overflowPunct/>
        <w:topLinePunct w:val="0"/>
        <w:bidi w:val="0"/>
        <w:snapToGrid/>
        <w:spacing w:line="400" w:lineRule="exact"/>
        <w:ind w:firstLine="420" w:firstLineChars="200"/>
        <w:rPr>
          <w:rFonts w:hint="eastAsia"/>
          <w:color w:val="auto"/>
          <w:szCs w:val="21"/>
          <w:highlight w:val="none"/>
        </w:rPr>
      </w:pPr>
      <w:r>
        <w:rPr>
          <w:rFonts w:hint="eastAsia"/>
          <w:color w:val="auto"/>
          <w:szCs w:val="21"/>
          <w:highlight w:val="none"/>
        </w:rPr>
        <w:t>（2）风速大于_</w:t>
      </w:r>
      <w:r>
        <w:rPr>
          <w:rFonts w:hint="eastAsia"/>
          <w:color w:val="auto"/>
          <w:szCs w:val="21"/>
          <w:highlight w:val="none"/>
          <w:u w:val="single"/>
        </w:rPr>
        <w:t>50</w:t>
      </w:r>
      <w:r>
        <w:rPr>
          <w:rFonts w:hint="eastAsia"/>
          <w:color w:val="auto"/>
          <w:szCs w:val="21"/>
          <w:highlight w:val="none"/>
        </w:rPr>
        <w:t>_m/s的 八 级以上台风灾害；</w:t>
      </w:r>
    </w:p>
    <w:p w14:paraId="2400DFC8">
      <w:pPr>
        <w:pageBreakBefore w:val="0"/>
        <w:kinsoku/>
        <w:wordWrap/>
        <w:overflowPunct/>
        <w:topLinePunct w:val="0"/>
        <w:bidi w:val="0"/>
        <w:snapToGrid/>
        <w:spacing w:line="400" w:lineRule="exact"/>
        <w:ind w:firstLine="420" w:firstLineChars="200"/>
        <w:rPr>
          <w:rFonts w:hint="eastAsia"/>
          <w:color w:val="auto"/>
          <w:szCs w:val="21"/>
          <w:highlight w:val="none"/>
        </w:rPr>
      </w:pPr>
      <w:r>
        <w:rPr>
          <w:rFonts w:hint="eastAsia"/>
          <w:color w:val="auto"/>
          <w:szCs w:val="21"/>
          <w:highlight w:val="none"/>
        </w:rPr>
        <w:t>（3）日气温超过</w:t>
      </w:r>
      <w:r>
        <w:rPr>
          <w:rFonts w:hint="eastAsia"/>
          <w:color w:val="auto"/>
          <w:szCs w:val="21"/>
          <w:highlight w:val="none"/>
          <w:u w:val="single"/>
          <w:lang w:val="en-US" w:eastAsia="zh-CN"/>
        </w:rPr>
        <w:t xml:space="preserve"> </w:t>
      </w:r>
      <w:r>
        <w:rPr>
          <w:rFonts w:hint="eastAsia"/>
          <w:color w:val="auto"/>
          <w:szCs w:val="21"/>
          <w:highlight w:val="none"/>
          <w:u w:val="single"/>
        </w:rPr>
        <w:t>39</w:t>
      </w:r>
      <w:r>
        <w:rPr>
          <w:rFonts w:hint="eastAsia"/>
          <w:color w:val="auto"/>
          <w:szCs w:val="21"/>
          <w:highlight w:val="none"/>
          <w:u w:val="single"/>
          <w:lang w:val="en-US" w:eastAsia="zh-CN"/>
        </w:rPr>
        <w:t xml:space="preserve"> </w:t>
      </w:r>
      <w:r>
        <w:rPr>
          <w:rFonts w:hint="eastAsia"/>
          <w:color w:val="auto"/>
          <w:szCs w:val="21"/>
          <w:highlight w:val="none"/>
        </w:rPr>
        <w:t>℃的高温大于</w:t>
      </w:r>
      <w:r>
        <w:rPr>
          <w:rFonts w:hint="eastAsia"/>
          <w:color w:val="auto"/>
          <w:szCs w:val="21"/>
          <w:highlight w:val="none"/>
          <w:u w:val="single"/>
          <w:lang w:val="en-US" w:eastAsia="zh-CN"/>
        </w:rPr>
        <w:t xml:space="preserve"> </w:t>
      </w:r>
      <w:r>
        <w:rPr>
          <w:rFonts w:hint="eastAsia"/>
          <w:color w:val="auto"/>
          <w:szCs w:val="21"/>
          <w:highlight w:val="none"/>
          <w:u w:val="single"/>
        </w:rPr>
        <w:t>3</w:t>
      </w:r>
      <w:r>
        <w:rPr>
          <w:rFonts w:hint="eastAsia"/>
          <w:color w:val="auto"/>
          <w:szCs w:val="21"/>
          <w:highlight w:val="none"/>
          <w:u w:val="single"/>
          <w:lang w:val="en-US" w:eastAsia="zh-CN"/>
        </w:rPr>
        <w:t xml:space="preserve"> </w:t>
      </w:r>
      <w:r>
        <w:rPr>
          <w:rFonts w:hint="eastAsia"/>
          <w:color w:val="auto"/>
          <w:szCs w:val="21"/>
          <w:highlight w:val="none"/>
        </w:rPr>
        <w:t>天；</w:t>
      </w:r>
    </w:p>
    <w:p w14:paraId="02F7F8E2">
      <w:pPr>
        <w:pageBreakBefore w:val="0"/>
        <w:kinsoku/>
        <w:wordWrap/>
        <w:overflowPunct/>
        <w:topLinePunct w:val="0"/>
        <w:bidi w:val="0"/>
        <w:snapToGrid/>
        <w:spacing w:line="400" w:lineRule="exact"/>
        <w:ind w:firstLine="420" w:firstLineChars="200"/>
        <w:rPr>
          <w:rFonts w:hint="eastAsia"/>
          <w:color w:val="auto"/>
          <w:szCs w:val="21"/>
          <w:highlight w:val="none"/>
        </w:rPr>
      </w:pPr>
      <w:r>
        <w:rPr>
          <w:rFonts w:hint="eastAsia"/>
          <w:color w:val="auto"/>
          <w:szCs w:val="21"/>
          <w:highlight w:val="none"/>
        </w:rPr>
        <w:t>（4）日气温低于</w:t>
      </w:r>
      <w:r>
        <w:rPr>
          <w:rFonts w:hint="eastAsia"/>
          <w:color w:val="auto"/>
          <w:szCs w:val="21"/>
          <w:highlight w:val="none"/>
          <w:u w:val="single"/>
          <w:lang w:val="en-US" w:eastAsia="zh-CN"/>
        </w:rPr>
        <w:t xml:space="preserve"> </w:t>
      </w:r>
      <w:r>
        <w:rPr>
          <w:rFonts w:hint="eastAsia"/>
          <w:color w:val="auto"/>
          <w:szCs w:val="21"/>
          <w:highlight w:val="none"/>
          <w:u w:val="single"/>
        </w:rPr>
        <w:t xml:space="preserve">-10 </w:t>
      </w:r>
      <w:r>
        <w:rPr>
          <w:rFonts w:hint="eastAsia"/>
          <w:color w:val="auto"/>
          <w:szCs w:val="21"/>
          <w:highlight w:val="none"/>
          <w:u w:val="single"/>
          <w:lang w:val="en-US" w:eastAsia="zh-CN"/>
        </w:rPr>
        <w:t xml:space="preserve"> </w:t>
      </w:r>
      <w:r>
        <w:rPr>
          <w:rFonts w:hint="eastAsia"/>
          <w:color w:val="auto"/>
          <w:szCs w:val="21"/>
          <w:highlight w:val="none"/>
        </w:rPr>
        <w:t>℃的严寒大于</w:t>
      </w:r>
      <w:r>
        <w:rPr>
          <w:rFonts w:hint="eastAsia"/>
          <w:color w:val="auto"/>
          <w:szCs w:val="21"/>
          <w:highlight w:val="none"/>
          <w:u w:val="single"/>
          <w:lang w:val="en-US" w:eastAsia="zh-CN"/>
        </w:rPr>
        <w:t xml:space="preserve"> </w:t>
      </w:r>
      <w:r>
        <w:rPr>
          <w:rFonts w:hint="eastAsia"/>
          <w:color w:val="auto"/>
          <w:szCs w:val="21"/>
          <w:highlight w:val="none"/>
          <w:u w:val="single"/>
        </w:rPr>
        <w:t>3</w:t>
      </w:r>
      <w:r>
        <w:rPr>
          <w:rFonts w:hint="eastAsia"/>
          <w:color w:val="auto"/>
          <w:szCs w:val="21"/>
          <w:highlight w:val="none"/>
          <w:u w:val="single"/>
          <w:lang w:val="en-US" w:eastAsia="zh-CN"/>
        </w:rPr>
        <w:t xml:space="preserve"> </w:t>
      </w:r>
      <w:r>
        <w:rPr>
          <w:rFonts w:hint="eastAsia"/>
          <w:color w:val="auto"/>
          <w:szCs w:val="21"/>
          <w:highlight w:val="none"/>
        </w:rPr>
        <w:t>天；</w:t>
      </w:r>
    </w:p>
    <w:p w14:paraId="67914609">
      <w:pPr>
        <w:pageBreakBefore w:val="0"/>
        <w:kinsoku/>
        <w:wordWrap/>
        <w:overflowPunct/>
        <w:topLinePunct w:val="0"/>
        <w:bidi w:val="0"/>
        <w:snapToGrid/>
        <w:spacing w:line="400" w:lineRule="exact"/>
        <w:ind w:firstLine="420" w:firstLineChars="200"/>
        <w:rPr>
          <w:rFonts w:hint="eastAsia"/>
          <w:color w:val="auto"/>
          <w:szCs w:val="21"/>
          <w:highlight w:val="none"/>
        </w:rPr>
      </w:pPr>
      <w:r>
        <w:rPr>
          <w:rFonts w:hint="eastAsia"/>
          <w:color w:val="auto"/>
          <w:szCs w:val="21"/>
          <w:highlight w:val="none"/>
        </w:rPr>
        <w:t>（5）造成工程损坏的冰雹和大雪灾害：一周内无法正常施工；</w:t>
      </w:r>
    </w:p>
    <w:p w14:paraId="71894D44">
      <w:pPr>
        <w:pageBreakBefore w:val="0"/>
        <w:kinsoku/>
        <w:wordWrap/>
        <w:overflowPunct/>
        <w:topLinePunct w:val="0"/>
        <w:bidi w:val="0"/>
        <w:snapToGrid/>
        <w:spacing w:line="400" w:lineRule="exact"/>
        <w:ind w:firstLine="420" w:firstLineChars="200"/>
        <w:rPr>
          <w:rFonts w:hint="eastAsia"/>
          <w:color w:val="auto"/>
          <w:szCs w:val="21"/>
          <w:highlight w:val="none"/>
        </w:rPr>
      </w:pPr>
      <w:r>
        <w:rPr>
          <w:rFonts w:hint="eastAsia"/>
          <w:color w:val="auto"/>
          <w:szCs w:val="21"/>
          <w:highlight w:val="none"/>
        </w:rPr>
        <w:t>（6）其它异常恶劣气候灾害。</w:t>
      </w:r>
    </w:p>
    <w:p w14:paraId="1EE28D3F">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11.5承包人工期延误</w:t>
      </w:r>
    </w:p>
    <w:p w14:paraId="5FCA995E">
      <w:pPr>
        <w:pageBreakBefore w:val="0"/>
        <w:kinsoku/>
        <w:wordWrap/>
        <w:overflowPunct/>
        <w:topLinePunct w:val="0"/>
        <w:bidi w:val="0"/>
        <w:snapToGrid/>
        <w:spacing w:line="400" w:lineRule="exact"/>
        <w:ind w:firstLine="420" w:firstLineChars="200"/>
        <w:rPr>
          <w:rFonts w:hAnsi="宋体"/>
          <w:color w:val="auto"/>
          <w:szCs w:val="21"/>
          <w:highlight w:val="none"/>
        </w:rPr>
      </w:pPr>
      <w:r>
        <w:rPr>
          <w:rFonts w:hAnsi="宋体"/>
          <w:color w:val="auto"/>
          <w:szCs w:val="21"/>
          <w:highlight w:val="none"/>
        </w:rPr>
        <w:t>全部逾期完工违约金的总限额为</w:t>
      </w:r>
      <w:r>
        <w:rPr>
          <w:rFonts w:hAnsi="宋体"/>
          <w:color w:val="auto"/>
          <w:szCs w:val="21"/>
          <w:highlight w:val="none"/>
          <w:u w:val="single"/>
        </w:rPr>
        <w:t>（不超过签约合同价的</w:t>
      </w:r>
      <w:r>
        <w:rPr>
          <w:rFonts w:hint="eastAsia" w:hAnsi="宋体"/>
          <w:color w:val="auto"/>
          <w:szCs w:val="21"/>
          <w:highlight w:val="none"/>
          <w:u w:val="single"/>
        </w:rPr>
        <w:t>10</w:t>
      </w:r>
      <w:r>
        <w:rPr>
          <w:rFonts w:hAnsi="宋体"/>
          <w:color w:val="auto"/>
          <w:szCs w:val="21"/>
          <w:highlight w:val="none"/>
          <w:u w:val="single"/>
        </w:rPr>
        <w:t>％）</w:t>
      </w:r>
      <w:r>
        <w:rPr>
          <w:rFonts w:hAnsi="宋体"/>
          <w:color w:val="auto"/>
          <w:szCs w:val="21"/>
          <w:highlight w:val="none"/>
        </w:rPr>
        <w:t>。</w:t>
      </w:r>
    </w:p>
    <w:p w14:paraId="0F4F4CA5">
      <w:pPr>
        <w:keepLines w:val="0"/>
        <w:pageBreakBefore w:val="0"/>
        <w:widowControl w:val="0"/>
        <w:shd w:val="clear" w:color="auto" w:fill="auto"/>
        <w:kinsoku/>
        <w:wordWrap/>
        <w:overflowPunct/>
        <w:topLinePunct w:val="0"/>
        <w:autoSpaceDE/>
        <w:autoSpaceDN/>
        <w:bidi w:val="0"/>
        <w:snapToGrid/>
        <w:spacing w:line="400" w:lineRule="exact"/>
        <w:ind w:firstLine="420" w:firstLineChars="200"/>
        <w:jc w:val="left"/>
        <w:rPr>
          <w:rFonts w:hint="eastAsia" w:asciiTheme="majorEastAsia" w:hAnsiTheme="majorEastAsia" w:eastAsiaTheme="majorEastAsia" w:cstheme="majorEastAsia"/>
          <w:b w:val="0"/>
          <w:bCs w:val="0"/>
          <w:color w:val="auto"/>
          <w:sz w:val="21"/>
          <w:szCs w:val="21"/>
          <w:highlight w:val="none"/>
          <w:u w:val="single"/>
        </w:rPr>
      </w:pPr>
      <w:r>
        <w:rPr>
          <w:rFonts w:hint="eastAsia" w:asciiTheme="majorEastAsia" w:hAnsiTheme="majorEastAsia" w:eastAsiaTheme="majorEastAsia" w:cstheme="majorEastAsia"/>
          <w:b w:val="0"/>
          <w:bCs w:val="0"/>
          <w:color w:val="auto"/>
          <w:sz w:val="21"/>
          <w:szCs w:val="21"/>
          <w:highlight w:val="none"/>
          <w:u w:val="single"/>
        </w:rPr>
        <w:t>其他情况：</w:t>
      </w:r>
    </w:p>
    <w:p w14:paraId="656BBBB0">
      <w:pPr>
        <w:keepLines w:val="0"/>
        <w:pageBreakBefore w:val="0"/>
        <w:widowControl w:val="0"/>
        <w:shd w:val="clear" w:color="auto" w:fill="auto"/>
        <w:kinsoku/>
        <w:wordWrap/>
        <w:overflowPunct/>
        <w:topLinePunct w:val="0"/>
        <w:autoSpaceDE/>
        <w:autoSpaceDN/>
        <w:bidi w:val="0"/>
        <w:snapToGrid/>
        <w:spacing w:line="400" w:lineRule="exact"/>
        <w:ind w:firstLine="420" w:firstLineChars="200"/>
        <w:jc w:val="left"/>
        <w:rPr>
          <w:rFonts w:hint="eastAsia" w:asciiTheme="majorEastAsia" w:hAnsiTheme="majorEastAsia" w:eastAsiaTheme="majorEastAsia" w:cstheme="majorEastAsia"/>
          <w:b w:val="0"/>
          <w:bCs w:val="0"/>
          <w:color w:val="auto"/>
          <w:sz w:val="21"/>
          <w:szCs w:val="21"/>
          <w:highlight w:val="none"/>
          <w:u w:val="single"/>
        </w:rPr>
      </w:pPr>
      <w:r>
        <w:rPr>
          <w:rFonts w:hint="eastAsia" w:asciiTheme="majorEastAsia" w:hAnsiTheme="majorEastAsia" w:eastAsiaTheme="majorEastAsia" w:cstheme="majorEastAsia"/>
          <w:b w:val="0"/>
          <w:bCs w:val="0"/>
          <w:color w:val="auto"/>
          <w:sz w:val="21"/>
          <w:szCs w:val="21"/>
          <w:highlight w:val="none"/>
          <w:u w:val="single"/>
        </w:rPr>
        <w:t>（1）增加额外工程项目、异常恶劣气候条件、非承包人原因造成的任何干扰或阻碍、其它可能发生的任何特殊情况等。发包人、监理人共同确认后顺延工期，但不计取窝工损失费。</w:t>
      </w:r>
    </w:p>
    <w:p w14:paraId="6DAEDD19">
      <w:pPr>
        <w:keepLines w:val="0"/>
        <w:pageBreakBefore w:val="0"/>
        <w:widowControl w:val="0"/>
        <w:shd w:val="clear" w:color="auto" w:fill="auto"/>
        <w:kinsoku/>
        <w:wordWrap/>
        <w:overflowPunct/>
        <w:topLinePunct w:val="0"/>
        <w:autoSpaceDE/>
        <w:autoSpaceDN/>
        <w:bidi w:val="0"/>
        <w:snapToGrid/>
        <w:spacing w:line="400" w:lineRule="exact"/>
        <w:ind w:firstLine="420" w:firstLineChars="200"/>
        <w:jc w:val="left"/>
        <w:rPr>
          <w:rFonts w:hint="eastAsia" w:asciiTheme="majorEastAsia" w:hAnsiTheme="majorEastAsia" w:eastAsiaTheme="majorEastAsia" w:cstheme="majorEastAsia"/>
          <w:b w:val="0"/>
          <w:bCs w:val="0"/>
          <w:color w:val="auto"/>
          <w:sz w:val="21"/>
          <w:szCs w:val="21"/>
          <w:highlight w:val="none"/>
          <w:u w:val="single"/>
        </w:rPr>
      </w:pPr>
      <w:r>
        <w:rPr>
          <w:rFonts w:hint="eastAsia" w:asciiTheme="majorEastAsia" w:hAnsiTheme="majorEastAsia" w:eastAsiaTheme="majorEastAsia" w:cstheme="majorEastAsia"/>
          <w:b w:val="0"/>
          <w:bCs w:val="0"/>
          <w:color w:val="auto"/>
          <w:sz w:val="21"/>
          <w:szCs w:val="21"/>
          <w:highlight w:val="none"/>
          <w:u w:val="single"/>
        </w:rPr>
        <w:t>（2）在施工过程中因设计变更、图纸到位的迟延引起承包人不能正常施工，承包人应随时进行工种调整，不计取误工费，经发包人和监理人确认后工期顺延。</w:t>
      </w:r>
    </w:p>
    <w:p w14:paraId="1D765041">
      <w:pPr>
        <w:keepLines w:val="0"/>
        <w:pageBreakBefore w:val="0"/>
        <w:widowControl w:val="0"/>
        <w:shd w:val="clear" w:color="auto" w:fill="auto"/>
        <w:kinsoku/>
        <w:wordWrap/>
        <w:overflowPunct/>
        <w:topLinePunct w:val="0"/>
        <w:autoSpaceDE/>
        <w:autoSpaceDN/>
        <w:bidi w:val="0"/>
        <w:snapToGrid/>
        <w:spacing w:line="400" w:lineRule="exact"/>
        <w:ind w:firstLine="420" w:firstLineChars="200"/>
        <w:jc w:val="left"/>
        <w:rPr>
          <w:rFonts w:hint="eastAsia" w:asciiTheme="majorEastAsia" w:hAnsiTheme="majorEastAsia" w:eastAsiaTheme="majorEastAsia" w:cstheme="majorEastAsia"/>
          <w:b w:val="0"/>
          <w:bCs w:val="0"/>
          <w:color w:val="auto"/>
          <w:sz w:val="21"/>
          <w:szCs w:val="21"/>
          <w:highlight w:val="none"/>
          <w:u w:val="single"/>
        </w:rPr>
      </w:pPr>
      <w:r>
        <w:rPr>
          <w:rFonts w:hint="eastAsia" w:asciiTheme="majorEastAsia" w:hAnsiTheme="majorEastAsia" w:eastAsiaTheme="majorEastAsia" w:cstheme="majorEastAsia"/>
          <w:b w:val="0"/>
          <w:bCs w:val="0"/>
          <w:color w:val="auto"/>
          <w:sz w:val="21"/>
          <w:szCs w:val="21"/>
          <w:highlight w:val="none"/>
          <w:u w:val="single"/>
        </w:rPr>
        <w:t>（3）因上述以外的原因引起连续停工两天以上，经监理人确认，顺延工期，不计取停工费、窝工费。</w:t>
      </w:r>
    </w:p>
    <w:p w14:paraId="0727A182">
      <w:pPr>
        <w:keepLines w:val="0"/>
        <w:pageBreakBefore w:val="0"/>
        <w:widowControl w:val="0"/>
        <w:shd w:val="clear" w:color="auto" w:fill="auto"/>
        <w:kinsoku/>
        <w:wordWrap/>
        <w:overflowPunct/>
        <w:topLinePunct w:val="0"/>
        <w:autoSpaceDE/>
        <w:autoSpaceDN/>
        <w:bidi w:val="0"/>
        <w:snapToGrid/>
        <w:spacing w:line="400" w:lineRule="exact"/>
        <w:ind w:firstLine="420" w:firstLineChars="200"/>
        <w:jc w:val="left"/>
        <w:rPr>
          <w:b w:val="0"/>
          <w:bCs w:val="0"/>
          <w:color w:val="auto"/>
          <w:highlight w:val="none"/>
        </w:rPr>
      </w:pPr>
      <w:r>
        <w:rPr>
          <w:rFonts w:hint="eastAsia" w:asciiTheme="majorEastAsia" w:hAnsiTheme="majorEastAsia" w:eastAsiaTheme="majorEastAsia" w:cstheme="majorEastAsia"/>
          <w:b w:val="0"/>
          <w:bCs w:val="0"/>
          <w:color w:val="auto"/>
          <w:sz w:val="21"/>
          <w:szCs w:val="21"/>
          <w:highlight w:val="none"/>
          <w:u w:val="single"/>
        </w:rPr>
        <w:t>（4）因承包人原因，本合同工程工期延误影响本工程施工、相关工程施工，责任由承包人承担。</w:t>
      </w:r>
    </w:p>
    <w:p w14:paraId="1EE946F6">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11.6 工期提前</w:t>
      </w:r>
    </w:p>
    <w:p w14:paraId="13FD87A9">
      <w:pPr>
        <w:pageBreakBefore w:val="0"/>
        <w:kinsoku/>
        <w:wordWrap/>
        <w:overflowPunct/>
        <w:topLinePunct w:val="0"/>
        <w:bidi w:val="0"/>
        <w:snapToGrid/>
        <w:spacing w:line="400" w:lineRule="exact"/>
        <w:ind w:firstLine="420" w:firstLineChars="200"/>
        <w:rPr>
          <w:color w:val="auto"/>
          <w:szCs w:val="21"/>
          <w:highlight w:val="none"/>
        </w:rPr>
      </w:pPr>
      <w:r>
        <w:rPr>
          <w:rFonts w:hAnsi="宋体"/>
          <w:color w:val="auto"/>
          <w:szCs w:val="21"/>
          <w:highlight w:val="none"/>
        </w:rPr>
        <w:t>工期提前的奖金约定：</w:t>
      </w:r>
      <w:r>
        <w:rPr>
          <w:rFonts w:hAnsi="宋体"/>
          <w:color w:val="auto"/>
          <w:szCs w:val="21"/>
          <w:highlight w:val="none"/>
          <w:u w:val="single"/>
        </w:rPr>
        <w:t>无</w:t>
      </w:r>
      <w:r>
        <w:rPr>
          <w:rFonts w:hAnsi="宋体"/>
          <w:color w:val="auto"/>
          <w:szCs w:val="21"/>
          <w:highlight w:val="none"/>
        </w:rPr>
        <w:t>。</w:t>
      </w:r>
    </w:p>
    <w:p w14:paraId="39A363A0">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81" w:name="_Toc265408526"/>
      <w:r>
        <w:rPr>
          <w:rFonts w:hint="eastAsia" w:ascii="宋体" w:hAnsi="宋体" w:eastAsia="宋体" w:cs="宋体"/>
          <w:b/>
          <w:bCs/>
          <w:color w:val="auto"/>
          <w:sz w:val="21"/>
          <w:szCs w:val="21"/>
          <w:highlight w:val="none"/>
          <w:lang w:val="en-US" w:eastAsia="zh-CN"/>
        </w:rPr>
        <w:t>13 工程质量</w:t>
      </w:r>
      <w:bookmarkEnd w:id="81"/>
    </w:p>
    <w:p w14:paraId="7EB15766">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13.7 质量评定</w:t>
      </w:r>
    </w:p>
    <w:p w14:paraId="39429276">
      <w:pPr>
        <w:pageBreakBefore w:val="0"/>
        <w:kinsoku/>
        <w:wordWrap/>
        <w:overflowPunct/>
        <w:topLinePunct w:val="0"/>
        <w:bidi w:val="0"/>
        <w:snapToGrid/>
        <w:spacing w:line="400" w:lineRule="exact"/>
        <w:ind w:firstLine="420" w:firstLineChars="200"/>
        <w:rPr>
          <w:color w:val="auto"/>
          <w:szCs w:val="21"/>
          <w:highlight w:val="none"/>
        </w:rPr>
      </w:pPr>
      <w:r>
        <w:rPr>
          <w:color w:val="auto"/>
          <w:szCs w:val="21"/>
          <w:highlight w:val="none"/>
        </w:rPr>
        <w:t xml:space="preserve">13.7.4 </w:t>
      </w:r>
      <w:r>
        <w:rPr>
          <w:rFonts w:hAnsi="宋体"/>
          <w:color w:val="auto"/>
          <w:szCs w:val="21"/>
          <w:highlight w:val="none"/>
        </w:rPr>
        <w:t>重要隐蔽单元工程和关键部位单元工程质量评定的约定：</w:t>
      </w:r>
      <w:r>
        <w:rPr>
          <w:rFonts w:hAnsi="宋体"/>
          <w:color w:val="auto"/>
          <w:szCs w:val="21"/>
          <w:highlight w:val="none"/>
          <w:u w:val="single"/>
        </w:rPr>
        <w:t>执行通用条款</w:t>
      </w:r>
      <w:r>
        <w:rPr>
          <w:rFonts w:hAnsi="宋体"/>
          <w:color w:val="auto"/>
          <w:szCs w:val="21"/>
          <w:highlight w:val="none"/>
        </w:rPr>
        <w:t>。</w:t>
      </w:r>
    </w:p>
    <w:p w14:paraId="65D3CFC8">
      <w:pPr>
        <w:pageBreakBefore w:val="0"/>
        <w:kinsoku/>
        <w:wordWrap/>
        <w:overflowPunct/>
        <w:topLinePunct w:val="0"/>
        <w:bidi w:val="0"/>
        <w:snapToGrid/>
        <w:spacing w:line="400" w:lineRule="exact"/>
        <w:ind w:firstLine="420" w:firstLineChars="200"/>
        <w:rPr>
          <w:color w:val="auto"/>
          <w:szCs w:val="21"/>
          <w:highlight w:val="none"/>
        </w:rPr>
      </w:pPr>
      <w:r>
        <w:rPr>
          <w:color w:val="auto"/>
          <w:szCs w:val="21"/>
          <w:highlight w:val="none"/>
        </w:rPr>
        <w:t xml:space="preserve">13.7.7 </w:t>
      </w:r>
      <w:r>
        <w:rPr>
          <w:rFonts w:hAnsi="宋体"/>
          <w:color w:val="auto"/>
          <w:szCs w:val="21"/>
          <w:highlight w:val="none"/>
        </w:rPr>
        <w:t>工程合格标准为：</w:t>
      </w:r>
      <w:r>
        <w:rPr>
          <w:color w:val="auto"/>
          <w:szCs w:val="21"/>
          <w:highlight w:val="none"/>
          <w:u w:val="single"/>
        </w:rPr>
        <w:t xml:space="preserve"> </w:t>
      </w:r>
      <w:r>
        <w:rPr>
          <w:rFonts w:hAnsi="宋体"/>
          <w:color w:val="auto"/>
          <w:szCs w:val="21"/>
          <w:highlight w:val="none"/>
          <w:u w:val="single"/>
        </w:rPr>
        <w:t>合格</w:t>
      </w:r>
      <w:r>
        <w:rPr>
          <w:color w:val="auto"/>
          <w:szCs w:val="21"/>
          <w:highlight w:val="none"/>
          <w:u w:val="single"/>
        </w:rPr>
        <w:t xml:space="preserve">  </w:t>
      </w:r>
      <w:r>
        <w:rPr>
          <w:rFonts w:hAnsi="宋体"/>
          <w:color w:val="auto"/>
          <w:szCs w:val="21"/>
          <w:highlight w:val="none"/>
        </w:rPr>
        <w:t>；优良标准为：</w:t>
      </w:r>
      <w:r>
        <w:rPr>
          <w:color w:val="auto"/>
          <w:szCs w:val="21"/>
          <w:highlight w:val="none"/>
          <w:u w:val="single"/>
        </w:rPr>
        <w:t xml:space="preserve">  </w:t>
      </w:r>
      <w:r>
        <w:rPr>
          <w:rFonts w:hint="eastAsia"/>
          <w:color w:val="auto"/>
          <w:szCs w:val="21"/>
          <w:highlight w:val="none"/>
          <w:u w:val="single"/>
        </w:rPr>
        <w:t>优良</w:t>
      </w:r>
      <w:r>
        <w:rPr>
          <w:color w:val="auto"/>
          <w:szCs w:val="21"/>
          <w:highlight w:val="none"/>
          <w:u w:val="single"/>
        </w:rPr>
        <w:t xml:space="preserve">  </w:t>
      </w:r>
      <w:r>
        <w:rPr>
          <w:rFonts w:hAnsi="宋体"/>
          <w:color w:val="auto"/>
          <w:szCs w:val="21"/>
          <w:highlight w:val="none"/>
        </w:rPr>
        <w:t>。达到优良的奖金为：</w:t>
      </w:r>
      <w:r>
        <w:rPr>
          <w:color w:val="auto"/>
          <w:szCs w:val="21"/>
          <w:highlight w:val="none"/>
          <w:u w:val="single"/>
        </w:rPr>
        <w:t xml:space="preserve">  </w:t>
      </w:r>
      <w:r>
        <w:rPr>
          <w:rFonts w:hint="eastAsia"/>
          <w:color w:val="auto"/>
          <w:szCs w:val="21"/>
          <w:highlight w:val="none"/>
          <w:u w:val="single"/>
          <w:lang w:eastAsia="zh-CN"/>
        </w:rPr>
        <w:t>无</w:t>
      </w:r>
      <w:r>
        <w:rPr>
          <w:color w:val="auto"/>
          <w:szCs w:val="21"/>
          <w:highlight w:val="none"/>
          <w:u w:val="single"/>
        </w:rPr>
        <w:t xml:space="preserve">  </w:t>
      </w:r>
      <w:r>
        <w:rPr>
          <w:rFonts w:hAnsi="宋体"/>
          <w:color w:val="auto"/>
          <w:szCs w:val="21"/>
          <w:highlight w:val="none"/>
        </w:rPr>
        <w:t>。</w:t>
      </w:r>
    </w:p>
    <w:p w14:paraId="27E4EEC0">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13.8 质量事故处理</w:t>
      </w:r>
    </w:p>
    <w:p w14:paraId="6E2BF80D">
      <w:pPr>
        <w:pageBreakBefore w:val="0"/>
        <w:kinsoku/>
        <w:wordWrap/>
        <w:overflowPunct/>
        <w:topLinePunct w:val="0"/>
        <w:bidi w:val="0"/>
        <w:snapToGrid/>
        <w:spacing w:line="400" w:lineRule="exact"/>
        <w:ind w:firstLine="420" w:firstLineChars="200"/>
        <w:rPr>
          <w:color w:val="auto"/>
          <w:szCs w:val="21"/>
          <w:highlight w:val="none"/>
        </w:rPr>
      </w:pPr>
      <w:r>
        <w:rPr>
          <w:color w:val="auto"/>
          <w:szCs w:val="21"/>
          <w:highlight w:val="none"/>
        </w:rPr>
        <w:t xml:space="preserve">13.8.4 </w:t>
      </w:r>
      <w:r>
        <w:rPr>
          <w:rFonts w:hAnsi="宋体"/>
          <w:color w:val="auto"/>
          <w:szCs w:val="21"/>
          <w:highlight w:val="none"/>
        </w:rPr>
        <w:t>工程竣工验收时，</w:t>
      </w:r>
      <w:r>
        <w:rPr>
          <w:rFonts w:hAnsi="宋体"/>
          <w:color w:val="auto"/>
          <w:szCs w:val="21"/>
          <w:highlight w:val="none"/>
          <w:u w:val="single"/>
        </w:rPr>
        <w:t>承包人协助发包人</w:t>
      </w:r>
      <w:r>
        <w:rPr>
          <w:rFonts w:hAnsi="宋体"/>
          <w:color w:val="auto"/>
          <w:szCs w:val="21"/>
          <w:highlight w:val="none"/>
        </w:rPr>
        <w:t>向竣工验收委员会汇报并提交历次质量缺陷处理的备案资料。</w:t>
      </w:r>
    </w:p>
    <w:p w14:paraId="7C8E9FDD">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82" w:name="_Toc265408527"/>
      <w:r>
        <w:rPr>
          <w:rFonts w:hint="eastAsia" w:ascii="宋体" w:hAnsi="宋体" w:eastAsia="宋体" w:cs="宋体"/>
          <w:b/>
          <w:bCs/>
          <w:color w:val="auto"/>
          <w:sz w:val="21"/>
          <w:szCs w:val="21"/>
          <w:highlight w:val="none"/>
          <w:lang w:val="en-US" w:eastAsia="zh-CN"/>
        </w:rPr>
        <w:t>14 试验和检验</w:t>
      </w:r>
      <w:bookmarkEnd w:id="82"/>
    </w:p>
    <w:p w14:paraId="50600821">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14.1 材料、工程设备和工程的试验和检验</w:t>
      </w:r>
    </w:p>
    <w:p w14:paraId="22A65288">
      <w:pPr>
        <w:pageBreakBefore w:val="0"/>
        <w:kinsoku/>
        <w:wordWrap/>
        <w:overflowPunct/>
        <w:topLinePunct w:val="0"/>
        <w:bidi w:val="0"/>
        <w:snapToGrid/>
        <w:spacing w:line="400" w:lineRule="exact"/>
        <w:ind w:firstLine="420" w:firstLineChars="200"/>
        <w:rPr>
          <w:color w:val="auto"/>
          <w:szCs w:val="21"/>
          <w:highlight w:val="none"/>
        </w:rPr>
      </w:pPr>
      <w:r>
        <w:rPr>
          <w:color w:val="auto"/>
          <w:szCs w:val="21"/>
          <w:highlight w:val="none"/>
        </w:rPr>
        <w:t>14.1.5</w:t>
      </w:r>
      <w:r>
        <w:rPr>
          <w:rFonts w:hAnsi="宋体"/>
          <w:color w:val="auto"/>
          <w:szCs w:val="21"/>
          <w:highlight w:val="none"/>
        </w:rPr>
        <w:t>水工金属结构、启闭机及机电产品进场后的交货检查和验收中，</w:t>
      </w:r>
      <w:r>
        <w:rPr>
          <w:color w:val="auto"/>
          <w:szCs w:val="21"/>
          <w:highlight w:val="none"/>
        </w:rPr>
        <w:t xml:space="preserve"> </w:t>
      </w:r>
      <w:r>
        <w:rPr>
          <w:rFonts w:hAnsi="宋体"/>
          <w:color w:val="auto"/>
          <w:szCs w:val="21"/>
          <w:highlight w:val="none"/>
        </w:rPr>
        <w:t>承包人负责</w:t>
      </w:r>
      <w:r>
        <w:rPr>
          <w:rFonts w:hAnsi="宋体"/>
          <w:color w:val="auto"/>
          <w:szCs w:val="21"/>
          <w:highlight w:val="none"/>
          <w:u w:val="single"/>
        </w:rPr>
        <w:t>执行通用条款</w:t>
      </w:r>
      <w:r>
        <w:rPr>
          <w:rFonts w:hAnsi="宋体"/>
          <w:color w:val="auto"/>
          <w:szCs w:val="21"/>
          <w:highlight w:val="none"/>
        </w:rPr>
        <w:t>。</w:t>
      </w:r>
    </w:p>
    <w:p w14:paraId="695A81E6">
      <w:pPr>
        <w:pageBreakBefore w:val="0"/>
        <w:kinsoku/>
        <w:wordWrap/>
        <w:overflowPunct/>
        <w:topLinePunct w:val="0"/>
        <w:bidi w:val="0"/>
        <w:snapToGrid/>
        <w:spacing w:line="400" w:lineRule="exact"/>
        <w:ind w:firstLine="420" w:firstLineChars="200"/>
        <w:rPr>
          <w:color w:val="auto"/>
          <w:szCs w:val="21"/>
          <w:highlight w:val="none"/>
        </w:rPr>
      </w:pPr>
      <w:r>
        <w:rPr>
          <w:color w:val="auto"/>
          <w:szCs w:val="21"/>
          <w:highlight w:val="none"/>
        </w:rPr>
        <w:t xml:space="preserve">14.1.6 </w:t>
      </w:r>
      <w:r>
        <w:rPr>
          <w:rFonts w:hAnsi="宋体"/>
          <w:color w:val="auto"/>
          <w:szCs w:val="21"/>
          <w:highlight w:val="none"/>
        </w:rPr>
        <w:t>本工程实行见证取样的试块、试件及有关材料：</w:t>
      </w:r>
      <w:r>
        <w:rPr>
          <w:rFonts w:hAnsi="宋体"/>
          <w:color w:val="auto"/>
          <w:szCs w:val="21"/>
          <w:highlight w:val="none"/>
          <w:u w:val="single"/>
        </w:rPr>
        <w:t>执行通用条款</w:t>
      </w:r>
      <w:r>
        <w:rPr>
          <w:rFonts w:hAnsi="宋体"/>
          <w:color w:val="auto"/>
          <w:szCs w:val="21"/>
          <w:highlight w:val="none"/>
        </w:rPr>
        <w:t>。</w:t>
      </w:r>
    </w:p>
    <w:p w14:paraId="1AB3A2D4">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83" w:name="_Toc265408528"/>
      <w:r>
        <w:rPr>
          <w:rFonts w:hint="eastAsia" w:ascii="宋体" w:hAnsi="宋体" w:eastAsia="宋体" w:cs="宋体"/>
          <w:b/>
          <w:bCs/>
          <w:color w:val="auto"/>
          <w:sz w:val="21"/>
          <w:szCs w:val="21"/>
          <w:highlight w:val="none"/>
          <w:lang w:val="en-US" w:eastAsia="zh-CN"/>
        </w:rPr>
        <w:t>15 变更</w:t>
      </w:r>
      <w:bookmarkEnd w:id="83"/>
    </w:p>
    <w:p w14:paraId="6EACBD07">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15.1 变更的范围和内容</w:t>
      </w:r>
    </w:p>
    <w:p w14:paraId="4F6EFA27">
      <w:pPr>
        <w:pageBreakBefore w:val="0"/>
        <w:kinsoku/>
        <w:wordWrap/>
        <w:overflowPunct/>
        <w:topLinePunct w:val="0"/>
        <w:bidi w:val="0"/>
        <w:snapToGrid/>
        <w:spacing w:line="400" w:lineRule="exact"/>
        <w:ind w:firstLine="420" w:firstLineChars="200"/>
        <w:rPr>
          <w:rFonts w:hint="eastAsia"/>
          <w:color w:val="auto"/>
          <w:szCs w:val="21"/>
          <w:highlight w:val="none"/>
        </w:rPr>
      </w:pPr>
      <w:r>
        <w:rPr>
          <w:color w:val="auto"/>
          <w:szCs w:val="21"/>
          <w:highlight w:val="none"/>
        </w:rPr>
        <w:t>（６）</w:t>
      </w:r>
      <w:r>
        <w:rPr>
          <w:rFonts w:hint="eastAsia"/>
          <w:color w:val="auto"/>
          <w:szCs w:val="21"/>
          <w:highlight w:val="none"/>
        </w:rPr>
        <w:t>增加或减少合同中关键项目的工程量超过其工程总量的</w:t>
      </w:r>
      <w:r>
        <w:rPr>
          <w:rFonts w:hint="eastAsia"/>
          <w:color w:val="auto"/>
          <w:szCs w:val="21"/>
          <w:highlight w:val="none"/>
          <w:u w:val="single"/>
        </w:rPr>
        <w:t>（合同签订时另行约定）</w:t>
      </w:r>
      <w:r>
        <w:rPr>
          <w:rFonts w:hint="eastAsia"/>
          <w:color w:val="auto"/>
          <w:szCs w:val="21"/>
          <w:highlight w:val="none"/>
        </w:rPr>
        <w:t>，关键项目</w:t>
      </w:r>
      <w:r>
        <w:rPr>
          <w:rFonts w:hint="eastAsia"/>
          <w:color w:val="auto"/>
          <w:szCs w:val="21"/>
          <w:highlight w:val="none"/>
          <w:u w:val="single"/>
        </w:rPr>
        <w:t>（合同签订时另行约定）</w:t>
      </w:r>
      <w:r>
        <w:rPr>
          <w:rFonts w:hint="eastAsia"/>
          <w:color w:val="auto"/>
          <w:szCs w:val="21"/>
          <w:highlight w:val="none"/>
        </w:rPr>
        <w:t>，单价调整方式：</w:t>
      </w:r>
      <w:r>
        <w:rPr>
          <w:rFonts w:hint="eastAsia"/>
          <w:color w:val="auto"/>
          <w:szCs w:val="21"/>
          <w:highlight w:val="none"/>
          <w:u w:val="single"/>
        </w:rPr>
        <w:t>（1）承包人中标报价中已有适用的综合单价，按合同中已有的综合单价确定；（2）承包人中标报价中有类似工程项目单价的，可参照其中类似的综合单价确定；（3）承包人中标报价中没有类似工程项目单价的，应依据承包人中标价中人工、材料、机械以及各项取费为基础，由承包人提出适当的综合单价，经监理工程师以及发包人审定后执行</w:t>
      </w:r>
      <w:r>
        <w:rPr>
          <w:rFonts w:hint="eastAsia"/>
          <w:color w:val="auto"/>
          <w:szCs w:val="21"/>
          <w:highlight w:val="none"/>
        </w:rPr>
        <w:t>。</w:t>
      </w:r>
    </w:p>
    <w:p w14:paraId="7A3A4EF1">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15.5 承包人的合理化建议</w:t>
      </w:r>
    </w:p>
    <w:p w14:paraId="1DF1B793">
      <w:pPr>
        <w:pageBreakBefore w:val="0"/>
        <w:kinsoku/>
        <w:wordWrap/>
        <w:overflowPunct/>
        <w:topLinePunct w:val="0"/>
        <w:bidi w:val="0"/>
        <w:snapToGrid/>
        <w:spacing w:line="400" w:lineRule="exact"/>
        <w:ind w:firstLine="420" w:firstLineChars="200"/>
        <w:rPr>
          <w:color w:val="auto"/>
          <w:szCs w:val="21"/>
          <w:highlight w:val="none"/>
        </w:rPr>
      </w:pPr>
      <w:r>
        <w:rPr>
          <w:color w:val="auto"/>
          <w:szCs w:val="21"/>
          <w:highlight w:val="none"/>
        </w:rPr>
        <w:t xml:space="preserve">15.5.2 </w:t>
      </w:r>
      <w:r>
        <w:rPr>
          <w:rFonts w:hAnsi="宋体"/>
          <w:color w:val="auto"/>
          <w:szCs w:val="21"/>
          <w:highlight w:val="none"/>
        </w:rPr>
        <w:t>承包人实现合理化建议的奖励金额为：</w:t>
      </w:r>
      <w:r>
        <w:rPr>
          <w:rFonts w:hint="eastAsia" w:hAnsi="宋体"/>
          <w:color w:val="auto"/>
          <w:szCs w:val="21"/>
          <w:highlight w:val="none"/>
          <w:u w:val="single"/>
        </w:rPr>
        <w:t xml:space="preserve">不适用 </w:t>
      </w:r>
      <w:r>
        <w:rPr>
          <w:rFonts w:hAnsi="宋体"/>
          <w:color w:val="auto"/>
          <w:szCs w:val="21"/>
          <w:highlight w:val="none"/>
        </w:rPr>
        <w:t>。</w:t>
      </w:r>
    </w:p>
    <w:p w14:paraId="4AB613CB">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15.8 暂估价</w:t>
      </w:r>
    </w:p>
    <w:p w14:paraId="6ADE237D">
      <w:pPr>
        <w:pageBreakBefore w:val="0"/>
        <w:kinsoku/>
        <w:wordWrap/>
        <w:overflowPunct/>
        <w:topLinePunct w:val="0"/>
        <w:bidi w:val="0"/>
        <w:snapToGrid/>
        <w:spacing w:line="400" w:lineRule="exact"/>
        <w:ind w:firstLine="420" w:firstLineChars="200"/>
        <w:rPr>
          <w:color w:val="auto"/>
          <w:highlight w:val="none"/>
        </w:rPr>
      </w:pPr>
      <w:bookmarkStart w:id="84" w:name="_Toc265408529"/>
      <w:r>
        <w:rPr>
          <w:color w:val="auto"/>
          <w:highlight w:val="none"/>
        </w:rPr>
        <w:t xml:space="preserve">15.8.1 </w:t>
      </w:r>
      <w:r>
        <w:rPr>
          <w:rFonts w:hAnsi="宋体"/>
          <w:color w:val="auto"/>
          <w:highlight w:val="none"/>
        </w:rPr>
        <w:t>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14:paraId="456A39FB">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16 价格调整</w:t>
      </w:r>
      <w:bookmarkEnd w:id="84"/>
    </w:p>
    <w:p w14:paraId="72B8F43F">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16.1 物价波动引起的价格调整</w:t>
      </w:r>
    </w:p>
    <w:p w14:paraId="06C54399">
      <w:pPr>
        <w:pageBreakBefore w:val="0"/>
        <w:kinsoku/>
        <w:wordWrap/>
        <w:overflowPunct/>
        <w:topLinePunct w:val="0"/>
        <w:bidi w:val="0"/>
        <w:snapToGrid/>
        <w:spacing w:line="400" w:lineRule="exact"/>
        <w:ind w:firstLine="420" w:firstLineChars="200"/>
        <w:rPr>
          <w:color w:val="auto"/>
          <w:szCs w:val="21"/>
          <w:highlight w:val="none"/>
        </w:rPr>
      </w:pPr>
      <w:r>
        <w:rPr>
          <w:rFonts w:hAnsi="宋体"/>
          <w:color w:val="auto"/>
          <w:szCs w:val="21"/>
          <w:highlight w:val="none"/>
        </w:rPr>
        <w:t>物价波动引起的价格调整方式：</w:t>
      </w:r>
      <w:r>
        <w:rPr>
          <w:color w:val="auto"/>
          <w:szCs w:val="21"/>
          <w:highlight w:val="none"/>
          <w:u w:val="single"/>
        </w:rPr>
        <w:t xml:space="preserve"> </w:t>
      </w:r>
      <w:r>
        <w:rPr>
          <w:rFonts w:hAnsi="宋体"/>
          <w:color w:val="auto"/>
          <w:szCs w:val="21"/>
          <w:highlight w:val="none"/>
          <w:u w:val="single"/>
        </w:rPr>
        <w:t>不调整</w:t>
      </w:r>
      <w:r>
        <w:rPr>
          <w:color w:val="auto"/>
          <w:szCs w:val="21"/>
          <w:highlight w:val="none"/>
          <w:u w:val="single"/>
        </w:rPr>
        <w:t xml:space="preserve">  </w:t>
      </w:r>
      <w:r>
        <w:rPr>
          <w:rFonts w:hAnsi="宋体"/>
          <w:color w:val="auto"/>
          <w:szCs w:val="21"/>
          <w:highlight w:val="none"/>
        </w:rPr>
        <w:t>。</w:t>
      </w:r>
    </w:p>
    <w:p w14:paraId="5DDE2437">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85" w:name="_Toc265408530"/>
      <w:r>
        <w:rPr>
          <w:rFonts w:hint="eastAsia" w:ascii="宋体" w:hAnsi="宋体" w:eastAsia="宋体" w:cs="宋体"/>
          <w:b/>
          <w:bCs/>
          <w:color w:val="auto"/>
          <w:sz w:val="21"/>
          <w:szCs w:val="21"/>
          <w:highlight w:val="none"/>
          <w:lang w:val="en-US" w:eastAsia="zh-CN"/>
        </w:rPr>
        <w:t>17 计量与支付</w:t>
      </w:r>
      <w:bookmarkEnd w:id="85"/>
    </w:p>
    <w:p w14:paraId="5DFF92F0">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17.2 预付款</w:t>
      </w:r>
    </w:p>
    <w:p w14:paraId="093F20EF">
      <w:pPr>
        <w:pageBreakBefore w:val="0"/>
        <w:kinsoku/>
        <w:wordWrap/>
        <w:overflowPunct/>
        <w:topLinePunct w:val="0"/>
        <w:bidi w:val="0"/>
        <w:snapToGrid/>
        <w:spacing w:line="400" w:lineRule="exact"/>
        <w:ind w:firstLine="420" w:firstLineChars="200"/>
        <w:rPr>
          <w:color w:val="auto"/>
          <w:highlight w:val="none"/>
        </w:rPr>
      </w:pPr>
      <w:r>
        <w:rPr>
          <w:rFonts w:hint="eastAsia"/>
          <w:color w:val="auto"/>
          <w:highlight w:val="none"/>
        </w:rPr>
        <w:t>17.2.1 预付款：</w:t>
      </w:r>
    </w:p>
    <w:p w14:paraId="515D42B4">
      <w:pPr>
        <w:pageBreakBefore w:val="0"/>
        <w:kinsoku/>
        <w:wordWrap/>
        <w:overflowPunct/>
        <w:topLinePunct w:val="0"/>
        <w:bidi w:val="0"/>
        <w:snapToGrid/>
        <w:spacing w:line="400" w:lineRule="exact"/>
        <w:ind w:firstLine="420" w:firstLineChars="200"/>
        <w:rPr>
          <w:rFonts w:hint="eastAsia"/>
          <w:color w:val="auto"/>
          <w:highlight w:val="none"/>
        </w:rPr>
      </w:pPr>
      <w:r>
        <w:rPr>
          <w:rFonts w:hint="eastAsia"/>
          <w:color w:val="auto"/>
          <w:highlight w:val="none"/>
        </w:rPr>
        <w:t>（1）预付款支付比例或金额：</w:t>
      </w:r>
      <w:r>
        <w:rPr>
          <w:rFonts w:hint="eastAsia"/>
          <w:color w:val="auto"/>
          <w:highlight w:val="none"/>
          <w:u w:val="single"/>
          <w:lang w:val="en-US" w:eastAsia="zh-CN"/>
        </w:rPr>
        <w:t xml:space="preserve"> </w:t>
      </w:r>
      <w:r>
        <w:rPr>
          <w:rFonts w:hint="eastAsia" w:asciiTheme="majorEastAsia" w:hAnsiTheme="majorEastAsia" w:eastAsiaTheme="majorEastAsia" w:cstheme="majorEastAsia"/>
          <w:color w:val="auto"/>
          <w:sz w:val="21"/>
          <w:szCs w:val="21"/>
          <w:highlight w:val="none"/>
          <w:u w:val="single"/>
          <w:lang w:val="en-US" w:eastAsia="zh-CN"/>
        </w:rPr>
        <w:t xml:space="preserve">40% </w:t>
      </w:r>
      <w:r>
        <w:rPr>
          <w:rFonts w:hint="eastAsia"/>
          <w:color w:val="auto"/>
          <w:highlight w:val="none"/>
          <w:u w:val="single"/>
          <w:lang w:val="en-US" w:eastAsia="zh-CN"/>
        </w:rPr>
        <w:t xml:space="preserve"> </w:t>
      </w:r>
      <w:r>
        <w:rPr>
          <w:rFonts w:hint="eastAsia"/>
          <w:color w:val="auto"/>
          <w:highlight w:val="none"/>
        </w:rPr>
        <w:t>。</w:t>
      </w:r>
    </w:p>
    <w:p w14:paraId="34875C46">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17.3 进度付款</w:t>
      </w:r>
    </w:p>
    <w:p w14:paraId="57EE1E2E">
      <w:pPr>
        <w:pageBreakBefore w:val="0"/>
        <w:kinsoku/>
        <w:wordWrap/>
        <w:overflowPunct/>
        <w:topLinePunct w:val="0"/>
        <w:bidi w:val="0"/>
        <w:snapToGrid/>
        <w:spacing w:line="400" w:lineRule="exact"/>
        <w:ind w:firstLine="420" w:firstLineChars="200"/>
        <w:rPr>
          <w:color w:val="auto"/>
          <w:highlight w:val="none"/>
        </w:rPr>
      </w:pPr>
      <w:r>
        <w:rPr>
          <w:color w:val="auto"/>
          <w:highlight w:val="none"/>
        </w:rPr>
        <w:t xml:space="preserve">17.3.1 </w:t>
      </w:r>
      <w:r>
        <w:rPr>
          <w:rFonts w:hAnsi="宋体"/>
          <w:color w:val="auto"/>
          <w:highlight w:val="none"/>
        </w:rPr>
        <w:t>付款周期</w:t>
      </w:r>
    </w:p>
    <w:p w14:paraId="7E843DAF">
      <w:pPr>
        <w:pageBreakBefore w:val="0"/>
        <w:kinsoku/>
        <w:wordWrap/>
        <w:overflowPunct/>
        <w:topLinePunct w:val="0"/>
        <w:bidi w:val="0"/>
        <w:snapToGrid/>
        <w:spacing w:line="400" w:lineRule="exact"/>
        <w:ind w:firstLine="420" w:firstLineChars="200"/>
        <w:rPr>
          <w:color w:val="auto"/>
          <w:szCs w:val="21"/>
          <w:highlight w:val="none"/>
        </w:rPr>
      </w:pPr>
      <w:r>
        <w:rPr>
          <w:rFonts w:hAnsi="宋体"/>
          <w:color w:val="auto"/>
          <w:szCs w:val="21"/>
          <w:highlight w:val="none"/>
        </w:rPr>
        <w:t>（</w:t>
      </w:r>
      <w:r>
        <w:rPr>
          <w:color w:val="auto"/>
          <w:szCs w:val="21"/>
          <w:highlight w:val="none"/>
        </w:rPr>
        <w:t>1</w:t>
      </w:r>
      <w:r>
        <w:rPr>
          <w:rFonts w:hAnsi="宋体"/>
          <w:color w:val="auto"/>
          <w:szCs w:val="21"/>
          <w:highlight w:val="none"/>
        </w:rPr>
        <w:t>）本项目工程款按月支付。</w:t>
      </w:r>
    </w:p>
    <w:p w14:paraId="1AA6582B">
      <w:pPr>
        <w:pageBreakBefore w:val="0"/>
        <w:kinsoku/>
        <w:wordWrap/>
        <w:overflowPunct/>
        <w:topLinePunct w:val="0"/>
        <w:bidi w:val="0"/>
        <w:snapToGrid/>
        <w:spacing w:line="400" w:lineRule="exact"/>
        <w:ind w:firstLine="420" w:firstLineChars="200"/>
        <w:rPr>
          <w:rFonts w:hAnsi="宋体"/>
          <w:color w:val="auto"/>
          <w:szCs w:val="21"/>
          <w:highlight w:val="none"/>
        </w:rPr>
      </w:pPr>
      <w:r>
        <w:rPr>
          <w:rFonts w:hAnsi="宋体"/>
          <w:color w:val="auto"/>
          <w:szCs w:val="21"/>
          <w:highlight w:val="none"/>
        </w:rPr>
        <w:t>（</w:t>
      </w:r>
      <w:r>
        <w:rPr>
          <w:color w:val="auto"/>
          <w:szCs w:val="21"/>
          <w:highlight w:val="none"/>
        </w:rPr>
        <w:t>2</w:t>
      </w:r>
      <w:r>
        <w:rPr>
          <w:rFonts w:hAnsi="宋体"/>
          <w:color w:val="auto"/>
          <w:szCs w:val="21"/>
          <w:highlight w:val="none"/>
        </w:rPr>
        <w:t>）每月经监理工程师及发包方代表对所报已完工程的工作量核定后，将质量合格工程的进度款在</w:t>
      </w:r>
      <w:r>
        <w:rPr>
          <w:color w:val="auto"/>
          <w:szCs w:val="21"/>
          <w:highlight w:val="none"/>
        </w:rPr>
        <w:t>15</w:t>
      </w:r>
      <w:r>
        <w:rPr>
          <w:rFonts w:hAnsi="宋体"/>
          <w:color w:val="auto"/>
          <w:szCs w:val="21"/>
          <w:highlight w:val="none"/>
        </w:rPr>
        <w:t>天内支付。</w:t>
      </w:r>
    </w:p>
    <w:p w14:paraId="7C36D624">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17.3.3进度付款证书和支付时间</w:t>
      </w:r>
    </w:p>
    <w:p w14:paraId="542F81F3">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none"/>
        </w:rPr>
        <w:t>监理人在收到工程计量证书和进度支付报表后，经审核确认所报内容及工程量属实，向发包人提出认为应当到期支付给承包人的金额。发包人收到监理人签证的工程计量证书和进度支付报表后，28天内审批并支付给承包人。若发包人资金暂时不到位，可推迟付款，承包人应继续施工，不得拖延工期</w:t>
      </w:r>
      <w:r>
        <w:rPr>
          <w:rFonts w:hint="eastAsia" w:ascii="宋体" w:hAnsi="宋体" w:eastAsia="宋体" w:cs="宋体"/>
          <w:color w:val="auto"/>
          <w:sz w:val="21"/>
          <w:szCs w:val="21"/>
          <w:highlight w:val="none"/>
          <w:u w:val="none"/>
          <w:lang w:eastAsia="zh-CN"/>
        </w:rPr>
        <w:t>。</w:t>
      </w:r>
    </w:p>
    <w:p w14:paraId="1D9FAFF1">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17.3.4工程进度付款</w:t>
      </w:r>
    </w:p>
    <w:p w14:paraId="707446EB">
      <w:pPr>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u w:val="single"/>
          <w:lang w:val="en-US" w:eastAsia="zh-CN"/>
        </w:rPr>
        <w:t>根据工程进度，支付至合同价款的</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lang w:val="en-US" w:eastAsia="zh-CN"/>
        </w:rPr>
        <w:t>0%时暂停支付，项目完工后，承包人提供结算资料，由发包人向审计部门报送竣工决算资料进行决算审计，审计结束后，发包人按照决算审定价，支付剩余款项</w:t>
      </w:r>
      <w:r>
        <w:rPr>
          <w:rFonts w:hint="eastAsia" w:ascii="宋体" w:hAnsi="宋体" w:eastAsia="宋体" w:cs="宋体"/>
          <w:color w:val="auto"/>
          <w:sz w:val="21"/>
          <w:szCs w:val="21"/>
          <w:highlight w:val="none"/>
          <w:lang w:val="en-US" w:eastAsia="zh-CN"/>
        </w:rPr>
        <w:t>；</w:t>
      </w:r>
    </w:p>
    <w:p w14:paraId="62819B7D">
      <w:pPr>
        <w:pageBreakBefore w:val="0"/>
        <w:kinsoku/>
        <w:wordWrap/>
        <w:overflowPunct/>
        <w:topLinePunct w:val="0"/>
        <w:bidi w:val="0"/>
        <w:snapToGrid/>
        <w:spacing w:line="400" w:lineRule="exact"/>
        <w:ind w:firstLine="420" w:firstLineChars="200"/>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（2）</w:t>
      </w:r>
      <w:r>
        <w:rPr>
          <w:rFonts w:hint="eastAsia" w:ascii="Times New Roman" w:hAnsi="宋体" w:eastAsia="宋体" w:cs="Times New Roman"/>
          <w:color w:val="auto"/>
          <w:szCs w:val="21"/>
          <w:highlight w:val="none"/>
          <w:u w:val="single"/>
          <w:lang w:val="en-US" w:eastAsia="zh-CN"/>
        </w:rPr>
        <w:t>每期付款时供应商提供等额发票申请款项</w:t>
      </w:r>
      <w:r>
        <w:rPr>
          <w:rFonts w:hint="eastAsia" w:ascii="Times New Roman" w:hAnsi="宋体" w:eastAsia="宋体" w:cs="Times New Roman"/>
          <w:color w:val="auto"/>
          <w:szCs w:val="21"/>
          <w:highlight w:val="none"/>
          <w:lang w:val="en-US" w:eastAsia="zh-CN"/>
        </w:rPr>
        <w:t>；</w:t>
      </w:r>
    </w:p>
    <w:p w14:paraId="765108DD">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17.4 质量保证金：</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u w:val="single" w:color="auto"/>
          <w:lang w:val="en-US" w:eastAsia="zh-CN"/>
        </w:rPr>
        <w:t xml:space="preserve"> 无 </w:t>
      </w:r>
      <w:r>
        <w:rPr>
          <w:rFonts w:hint="eastAsia" w:ascii="宋体" w:hAnsi="宋体" w:eastAsia="宋体" w:cs="宋体"/>
          <w:b w:val="0"/>
          <w:bCs w:val="0"/>
          <w:color w:val="auto"/>
          <w:sz w:val="21"/>
          <w:szCs w:val="21"/>
          <w:highlight w:val="none"/>
          <w:lang w:val="en-US" w:eastAsia="zh-CN"/>
        </w:rPr>
        <w:t xml:space="preserve"> </w:t>
      </w:r>
    </w:p>
    <w:p w14:paraId="7F34A683">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17.5 竣工（完工）结算</w:t>
      </w:r>
    </w:p>
    <w:p w14:paraId="12F1CC0D">
      <w:pPr>
        <w:pageBreakBefore w:val="0"/>
        <w:kinsoku/>
        <w:wordWrap/>
        <w:overflowPunct/>
        <w:topLinePunct w:val="0"/>
        <w:bidi w:val="0"/>
        <w:snapToGrid/>
        <w:spacing w:line="400" w:lineRule="exact"/>
        <w:ind w:firstLine="420" w:firstLineChars="200"/>
        <w:rPr>
          <w:color w:val="auto"/>
          <w:szCs w:val="21"/>
          <w:highlight w:val="none"/>
        </w:rPr>
      </w:pPr>
      <w:r>
        <w:rPr>
          <w:color w:val="auto"/>
          <w:szCs w:val="21"/>
          <w:highlight w:val="none"/>
        </w:rPr>
        <w:t xml:space="preserve">17.5.1 </w:t>
      </w:r>
      <w:r>
        <w:rPr>
          <w:rFonts w:hAnsi="宋体"/>
          <w:color w:val="auto"/>
          <w:szCs w:val="21"/>
          <w:highlight w:val="none"/>
        </w:rPr>
        <w:t>竣工（完工）付款申请单</w:t>
      </w:r>
    </w:p>
    <w:p w14:paraId="3517A7BF">
      <w:pPr>
        <w:pageBreakBefore w:val="0"/>
        <w:kinsoku/>
        <w:wordWrap/>
        <w:overflowPunct/>
        <w:topLinePunct w:val="0"/>
        <w:bidi w:val="0"/>
        <w:snapToGrid/>
        <w:spacing w:line="400" w:lineRule="exact"/>
        <w:ind w:firstLine="420" w:firstLineChars="200"/>
        <w:rPr>
          <w:color w:val="auto"/>
          <w:szCs w:val="21"/>
          <w:highlight w:val="none"/>
        </w:rPr>
      </w:pPr>
      <w:r>
        <w:rPr>
          <w:rFonts w:hAnsi="宋体"/>
          <w:color w:val="auto"/>
          <w:szCs w:val="21"/>
          <w:highlight w:val="none"/>
        </w:rPr>
        <w:t>（１）承包人应提交完工付款申请单一式</w:t>
      </w:r>
      <w:r>
        <w:rPr>
          <w:rFonts w:hint="eastAsia"/>
          <w:color w:val="auto"/>
          <w:szCs w:val="21"/>
          <w:highlight w:val="none"/>
          <w:u w:val="single"/>
          <w:lang w:val="en-US" w:eastAsia="zh-CN"/>
        </w:rPr>
        <w:t>4</w:t>
      </w:r>
      <w:r>
        <w:rPr>
          <w:rFonts w:hAnsi="宋体"/>
          <w:color w:val="auto"/>
          <w:szCs w:val="21"/>
          <w:highlight w:val="none"/>
        </w:rPr>
        <w:t>份。</w:t>
      </w:r>
    </w:p>
    <w:p w14:paraId="695F7ED3">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17.6 最终结清</w:t>
      </w:r>
    </w:p>
    <w:p w14:paraId="4E88CBF7">
      <w:pPr>
        <w:pageBreakBefore w:val="0"/>
        <w:kinsoku/>
        <w:wordWrap/>
        <w:overflowPunct/>
        <w:topLinePunct w:val="0"/>
        <w:bidi w:val="0"/>
        <w:snapToGrid/>
        <w:spacing w:line="400" w:lineRule="exact"/>
        <w:ind w:firstLine="420" w:firstLineChars="200"/>
        <w:rPr>
          <w:color w:val="auto"/>
          <w:szCs w:val="21"/>
          <w:highlight w:val="none"/>
        </w:rPr>
      </w:pPr>
      <w:r>
        <w:rPr>
          <w:color w:val="auto"/>
          <w:szCs w:val="21"/>
          <w:highlight w:val="none"/>
        </w:rPr>
        <w:t xml:space="preserve">17.6.1 </w:t>
      </w:r>
      <w:r>
        <w:rPr>
          <w:rFonts w:hAnsi="宋体"/>
          <w:color w:val="auto"/>
          <w:szCs w:val="21"/>
          <w:highlight w:val="none"/>
        </w:rPr>
        <w:t>最终结清申请单</w:t>
      </w:r>
    </w:p>
    <w:p w14:paraId="14166167">
      <w:pPr>
        <w:pageBreakBefore w:val="0"/>
        <w:kinsoku/>
        <w:wordWrap/>
        <w:overflowPunct/>
        <w:topLinePunct w:val="0"/>
        <w:bidi w:val="0"/>
        <w:snapToGrid/>
        <w:spacing w:line="400" w:lineRule="exact"/>
        <w:ind w:firstLine="420" w:firstLineChars="200"/>
        <w:rPr>
          <w:color w:val="auto"/>
          <w:szCs w:val="21"/>
          <w:highlight w:val="none"/>
        </w:rPr>
      </w:pPr>
      <w:r>
        <w:rPr>
          <w:rFonts w:hAnsi="宋体"/>
          <w:color w:val="auto"/>
          <w:szCs w:val="21"/>
          <w:highlight w:val="none"/>
        </w:rPr>
        <w:t>（１）承包人应提交最终结清申请单一式</w:t>
      </w:r>
      <w:r>
        <w:rPr>
          <w:rFonts w:hint="eastAsia"/>
          <w:color w:val="auto"/>
          <w:szCs w:val="21"/>
          <w:highlight w:val="none"/>
          <w:u w:val="single"/>
          <w:lang w:val="en-US" w:eastAsia="zh-CN"/>
        </w:rPr>
        <w:t>4</w:t>
      </w:r>
      <w:r>
        <w:rPr>
          <w:rFonts w:hAnsi="宋体"/>
          <w:color w:val="auto"/>
          <w:szCs w:val="21"/>
          <w:highlight w:val="none"/>
        </w:rPr>
        <w:t>份。</w:t>
      </w:r>
    </w:p>
    <w:p w14:paraId="556D20E3">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17.7 竣工财务决算</w:t>
      </w:r>
    </w:p>
    <w:p w14:paraId="55FF5F78">
      <w:pPr>
        <w:pageBreakBefore w:val="0"/>
        <w:kinsoku/>
        <w:wordWrap/>
        <w:overflowPunct/>
        <w:topLinePunct w:val="0"/>
        <w:bidi w:val="0"/>
        <w:snapToGrid/>
        <w:spacing w:line="400" w:lineRule="exact"/>
        <w:ind w:firstLine="420" w:firstLineChars="200"/>
        <w:rPr>
          <w:color w:val="auto"/>
          <w:szCs w:val="21"/>
          <w:highlight w:val="none"/>
        </w:rPr>
      </w:pPr>
      <w:r>
        <w:rPr>
          <w:rFonts w:hAnsi="宋体"/>
          <w:color w:val="auto"/>
          <w:szCs w:val="21"/>
          <w:highlight w:val="none"/>
        </w:rPr>
        <w:t>承包人应为竣工财务决算编制提供的资料：</w:t>
      </w:r>
      <w:r>
        <w:rPr>
          <w:rFonts w:hAnsi="宋体"/>
          <w:color w:val="auto"/>
          <w:highlight w:val="none"/>
          <w:u w:val="single"/>
        </w:rPr>
        <w:t>提供竣工财务决算编制所需的相关材料</w:t>
      </w:r>
      <w:r>
        <w:rPr>
          <w:rFonts w:hint="eastAsia"/>
          <w:color w:val="auto"/>
          <w:szCs w:val="21"/>
          <w:highlight w:val="none"/>
          <w:u w:val="single"/>
        </w:rPr>
        <w:t xml:space="preserve"> </w:t>
      </w:r>
      <w:r>
        <w:rPr>
          <w:rFonts w:hAnsi="宋体"/>
          <w:color w:val="auto"/>
          <w:szCs w:val="21"/>
          <w:highlight w:val="none"/>
        </w:rPr>
        <w:t>。</w:t>
      </w:r>
    </w:p>
    <w:p w14:paraId="6F0FFB03">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86" w:name="_Toc265408531"/>
      <w:r>
        <w:rPr>
          <w:rFonts w:hint="eastAsia" w:ascii="宋体" w:hAnsi="宋体" w:eastAsia="宋体" w:cs="宋体"/>
          <w:b/>
          <w:bCs/>
          <w:color w:val="auto"/>
          <w:sz w:val="21"/>
          <w:szCs w:val="21"/>
          <w:highlight w:val="none"/>
          <w:lang w:val="en-US" w:eastAsia="zh-CN"/>
        </w:rPr>
        <w:t>18 竣工验收（验收）</w:t>
      </w:r>
      <w:bookmarkEnd w:id="86"/>
    </w:p>
    <w:p w14:paraId="56481713">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18.1 验收工作分类</w:t>
      </w:r>
    </w:p>
    <w:p w14:paraId="0AB69716">
      <w:pPr>
        <w:keepLines w:val="0"/>
        <w:pageBreakBefore w:val="0"/>
        <w:widowControl w:val="0"/>
        <w:shd w:val="clear" w:color="auto" w:fill="auto"/>
        <w:kinsoku/>
        <w:wordWrap/>
        <w:overflowPunct/>
        <w:topLinePunct w:val="0"/>
        <w:autoSpaceDE/>
        <w:autoSpaceDN/>
        <w:bidi w:val="0"/>
        <w:snapToGrid/>
        <w:spacing w:line="400" w:lineRule="exact"/>
        <w:ind w:firstLine="420" w:firstLineChars="200"/>
        <w:jc w:val="left"/>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color w:val="auto"/>
          <w:sz w:val="21"/>
          <w:szCs w:val="21"/>
          <w:highlight w:val="none"/>
        </w:rPr>
        <w:t>验收条件为：</w:t>
      </w:r>
      <w:r>
        <w:rPr>
          <w:rFonts w:hint="eastAsia" w:asciiTheme="majorEastAsia" w:hAnsiTheme="majorEastAsia" w:eastAsiaTheme="majorEastAsia" w:cstheme="majorEastAsia"/>
          <w:b w:val="0"/>
          <w:bCs/>
          <w:color w:val="auto"/>
          <w:sz w:val="21"/>
          <w:szCs w:val="21"/>
          <w:highlight w:val="none"/>
          <w:u w:val="single"/>
        </w:rPr>
        <w:t>根据《水利水电建设工程验收规程》SL/T 223-2025执行</w:t>
      </w:r>
      <w:r>
        <w:rPr>
          <w:rFonts w:hint="eastAsia" w:asciiTheme="majorEastAsia" w:hAnsiTheme="majorEastAsia" w:eastAsiaTheme="majorEastAsia" w:cstheme="majorEastAsia"/>
          <w:b w:val="0"/>
          <w:bCs/>
          <w:color w:val="auto"/>
          <w:sz w:val="21"/>
          <w:szCs w:val="21"/>
          <w:highlight w:val="none"/>
        </w:rPr>
        <w:t>；</w:t>
      </w:r>
    </w:p>
    <w:p w14:paraId="01416DC3">
      <w:pPr>
        <w:keepLines w:val="0"/>
        <w:pageBreakBefore w:val="0"/>
        <w:widowControl w:val="0"/>
        <w:shd w:val="clear" w:color="auto" w:fill="auto"/>
        <w:kinsoku/>
        <w:wordWrap/>
        <w:overflowPunct/>
        <w:topLinePunct w:val="0"/>
        <w:autoSpaceDE/>
        <w:autoSpaceDN/>
        <w:bidi w:val="0"/>
        <w:snapToGrid/>
        <w:spacing w:line="400" w:lineRule="exact"/>
        <w:ind w:firstLine="420" w:firstLineChars="20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验收程序为：</w:t>
      </w:r>
      <w:r>
        <w:rPr>
          <w:rFonts w:hint="eastAsia" w:asciiTheme="majorEastAsia" w:hAnsiTheme="majorEastAsia" w:eastAsiaTheme="majorEastAsia" w:cstheme="majorEastAsia"/>
          <w:b w:val="0"/>
          <w:bCs/>
          <w:color w:val="auto"/>
          <w:sz w:val="21"/>
          <w:szCs w:val="21"/>
          <w:highlight w:val="none"/>
          <w:u w:val="single"/>
        </w:rPr>
        <w:t>根据《水利水电建设工程验收规程》SL/T 223-2025执行</w:t>
      </w:r>
      <w:r>
        <w:rPr>
          <w:rFonts w:hint="eastAsia" w:asciiTheme="majorEastAsia" w:hAnsiTheme="majorEastAsia" w:eastAsiaTheme="majorEastAsia" w:cstheme="majorEastAsia"/>
          <w:b w:val="0"/>
          <w:bCs/>
          <w:color w:val="auto"/>
          <w:sz w:val="21"/>
          <w:szCs w:val="21"/>
          <w:highlight w:val="none"/>
        </w:rPr>
        <w:t>。</w:t>
      </w:r>
    </w:p>
    <w:p w14:paraId="01CFC097">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87" w:name="_Toc265408532"/>
      <w:r>
        <w:rPr>
          <w:rFonts w:hint="eastAsia" w:ascii="宋体" w:hAnsi="宋体" w:eastAsia="宋体" w:cs="宋体"/>
          <w:b/>
          <w:bCs/>
          <w:color w:val="auto"/>
          <w:sz w:val="21"/>
          <w:szCs w:val="21"/>
          <w:highlight w:val="none"/>
          <w:lang w:val="en-US" w:eastAsia="zh-CN"/>
        </w:rPr>
        <w:t>19 缺陷责任与保修责任</w:t>
      </w:r>
      <w:bookmarkEnd w:id="87"/>
    </w:p>
    <w:p w14:paraId="24B3BDB2">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19.1 缺陷责任期（工程质量保修期）的起算时间</w:t>
      </w:r>
    </w:p>
    <w:p w14:paraId="62808A51">
      <w:pPr>
        <w:pageBreakBefore w:val="0"/>
        <w:kinsoku/>
        <w:wordWrap/>
        <w:overflowPunct/>
        <w:topLinePunct w:val="0"/>
        <w:bidi w:val="0"/>
        <w:snapToGrid/>
        <w:spacing w:line="400" w:lineRule="exact"/>
        <w:ind w:firstLine="420" w:firstLineChars="200"/>
        <w:rPr>
          <w:color w:val="auto"/>
          <w:szCs w:val="21"/>
          <w:highlight w:val="none"/>
        </w:rPr>
      </w:pPr>
      <w:r>
        <w:rPr>
          <w:rFonts w:hAnsi="宋体"/>
          <w:color w:val="auto"/>
          <w:szCs w:val="21"/>
          <w:highlight w:val="none"/>
        </w:rPr>
        <w:t>本工程缺陷责任期（工程质量保修期）计算如下：</w:t>
      </w:r>
      <w:r>
        <w:rPr>
          <w:color w:val="auto"/>
          <w:szCs w:val="21"/>
          <w:highlight w:val="none"/>
          <w:u w:val="single"/>
        </w:rPr>
        <w:t xml:space="preserve"> </w:t>
      </w:r>
      <w:r>
        <w:rPr>
          <w:rFonts w:hint="eastAsia"/>
          <w:color w:val="auto"/>
          <w:szCs w:val="21"/>
          <w:highlight w:val="none"/>
          <w:u w:val="single"/>
        </w:rPr>
        <w:t>从工程通过合同工程竣工验收后开始结算</w:t>
      </w:r>
      <w:r>
        <w:rPr>
          <w:rFonts w:hAnsi="宋体"/>
          <w:color w:val="auto"/>
          <w:szCs w:val="21"/>
          <w:highlight w:val="none"/>
        </w:rPr>
        <w:t>。</w:t>
      </w:r>
    </w:p>
    <w:p w14:paraId="4E9B27FD">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bookmarkStart w:id="88" w:name="_Toc265408534"/>
      <w:r>
        <w:rPr>
          <w:rFonts w:hint="eastAsia" w:ascii="宋体" w:hAnsi="宋体" w:eastAsia="宋体" w:cs="宋体"/>
          <w:b/>
          <w:bCs/>
          <w:color w:val="auto"/>
          <w:sz w:val="21"/>
          <w:szCs w:val="21"/>
          <w:highlight w:val="none"/>
          <w:lang w:val="en-US" w:eastAsia="zh-CN"/>
        </w:rPr>
        <w:t>24 争议的解决</w:t>
      </w:r>
      <w:bookmarkEnd w:id="88"/>
    </w:p>
    <w:p w14:paraId="29AAE10A">
      <w:pPr>
        <w:pStyle w:val="7"/>
        <w:pageBreakBefore w:val="0"/>
        <w:widowControl w:val="0"/>
        <w:numPr>
          <w:ilvl w:val="3"/>
          <w:numId w:val="0"/>
        </w:numPr>
        <w:kinsoku/>
        <w:wordWrap/>
        <w:overflowPunct/>
        <w:topLinePunct w:val="0"/>
        <w:autoSpaceDE/>
        <w:autoSpaceDN/>
        <w:bidi w:val="0"/>
        <w:adjustRightInd/>
        <w:snapToGrid/>
        <w:spacing w:before="0" w:beforeLines="0" w:after="0" w:afterLines="0" w:line="400" w:lineRule="exact"/>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24.1 争议的解决方式</w:t>
      </w:r>
    </w:p>
    <w:p w14:paraId="692BA77B">
      <w:pPr>
        <w:pageBreakBefore w:val="0"/>
        <w:widowControl w:val="0"/>
        <w:kinsoku/>
        <w:wordWrap/>
        <w:overflowPunct/>
        <w:topLinePunct w:val="0"/>
        <w:bidi w:val="0"/>
        <w:snapToGrid/>
        <w:spacing w:line="400" w:lineRule="exact"/>
        <w:ind w:firstLine="420" w:firstLineChars="200"/>
        <w:textAlignment w:val="auto"/>
        <w:rPr>
          <w:rFonts w:hAnsi="宋体"/>
          <w:color w:val="auto"/>
          <w:szCs w:val="21"/>
          <w:highlight w:val="none"/>
        </w:rPr>
      </w:pPr>
      <w:r>
        <w:rPr>
          <w:rFonts w:hAnsi="宋体"/>
          <w:color w:val="auto"/>
          <w:szCs w:val="21"/>
          <w:highlight w:val="none"/>
        </w:rPr>
        <w:t>合同当事人友好协商解决不成、不愿提请争议评审或不接受争议评审组意见的，约定的合同争议解决方式：</w:t>
      </w:r>
      <w:r>
        <w:rPr>
          <w:rFonts w:hint="eastAsia"/>
          <w:color w:val="auto"/>
          <w:szCs w:val="21"/>
          <w:highlight w:val="none"/>
          <w:u w:val="single"/>
        </w:rPr>
        <w:t>向工程所在地仲裁委员会申请仲裁</w:t>
      </w:r>
      <w:r>
        <w:rPr>
          <w:rFonts w:hint="eastAsia"/>
          <w:color w:val="auto"/>
          <w:szCs w:val="21"/>
          <w:highlight w:val="none"/>
          <w:u w:val="single"/>
          <w:lang w:val="en-US" w:eastAsia="zh-CN"/>
        </w:rPr>
        <w:t>或向</w:t>
      </w:r>
      <w:r>
        <w:rPr>
          <w:rFonts w:hint="eastAsia"/>
          <w:color w:val="auto"/>
          <w:szCs w:val="21"/>
          <w:highlight w:val="none"/>
          <w:u w:val="single"/>
        </w:rPr>
        <w:t>工程所在地</w:t>
      </w:r>
      <w:r>
        <w:rPr>
          <w:rFonts w:hint="eastAsia"/>
          <w:color w:val="auto"/>
          <w:szCs w:val="21"/>
          <w:highlight w:val="none"/>
          <w:u w:val="single"/>
          <w:lang w:val="en-US" w:eastAsia="zh-CN"/>
        </w:rPr>
        <w:t>人民法院提起诉讼</w:t>
      </w:r>
      <w:r>
        <w:rPr>
          <w:rFonts w:hint="eastAsia"/>
          <w:color w:val="auto"/>
          <w:szCs w:val="21"/>
          <w:highlight w:val="none"/>
          <w:u w:val="none"/>
        </w:rPr>
        <w:t>。</w:t>
      </w:r>
    </w:p>
    <w:p w14:paraId="0D27E48F">
      <w:pPr>
        <w:pageBreakBefore w:val="0"/>
        <w:kinsoku/>
        <w:wordWrap/>
        <w:overflowPunct/>
        <w:topLinePunct w:val="0"/>
        <w:bidi w:val="0"/>
        <w:snapToGrid/>
        <w:spacing w:line="400" w:lineRule="exact"/>
        <w:rPr>
          <w:color w:val="auto"/>
          <w:highlight w:val="none"/>
        </w:rPr>
      </w:pPr>
    </w:p>
    <w:p w14:paraId="720D38BF">
      <w:pPr>
        <w:pageBreakBefore w:val="0"/>
        <w:kinsoku/>
        <w:wordWrap/>
        <w:overflowPunct/>
        <w:topLinePunct w:val="0"/>
        <w:bidi w:val="0"/>
        <w:snapToGrid/>
        <w:spacing w:line="400" w:lineRule="exact"/>
        <w:rPr>
          <w:color w:val="auto"/>
          <w:highlight w:val="none"/>
        </w:rPr>
      </w:pPr>
    </w:p>
    <w:p w14:paraId="076BF464">
      <w:pPr>
        <w:pStyle w:val="11"/>
        <w:pageBreakBefore w:val="0"/>
        <w:tabs>
          <w:tab w:val="left" w:pos="567"/>
        </w:tabs>
        <w:kinsoku/>
        <w:wordWrap/>
        <w:overflowPunct/>
        <w:topLinePunct w:val="0"/>
        <w:bidi w:val="0"/>
        <w:snapToGrid/>
        <w:spacing w:line="400" w:lineRule="exact"/>
        <w:rPr>
          <w:color w:val="auto"/>
          <w:highlight w:val="none"/>
        </w:rPr>
      </w:pPr>
    </w:p>
    <w:p w14:paraId="73CBF913">
      <w:pPr>
        <w:pageBreakBefore w:val="0"/>
        <w:kinsoku/>
        <w:wordWrap/>
        <w:overflowPunct/>
        <w:topLinePunct w:val="0"/>
        <w:bidi w:val="0"/>
        <w:snapToGrid/>
        <w:spacing w:line="400" w:lineRule="exact"/>
        <w:rPr>
          <w:color w:val="auto"/>
          <w:highlight w:val="none"/>
        </w:rPr>
      </w:pPr>
    </w:p>
    <w:p w14:paraId="70E4DEEF">
      <w:pPr>
        <w:pStyle w:val="11"/>
        <w:pageBreakBefore w:val="0"/>
        <w:tabs>
          <w:tab w:val="left" w:pos="567"/>
        </w:tabs>
        <w:kinsoku/>
        <w:wordWrap/>
        <w:overflowPunct/>
        <w:topLinePunct w:val="0"/>
        <w:bidi w:val="0"/>
        <w:snapToGrid/>
        <w:spacing w:line="400" w:lineRule="exact"/>
        <w:rPr>
          <w:color w:val="auto"/>
          <w:highlight w:val="none"/>
        </w:rPr>
      </w:pPr>
    </w:p>
    <w:p w14:paraId="6F8C2DC8">
      <w:pPr>
        <w:pageBreakBefore w:val="0"/>
        <w:kinsoku/>
        <w:wordWrap/>
        <w:overflowPunct/>
        <w:topLinePunct w:val="0"/>
        <w:bidi w:val="0"/>
        <w:snapToGrid/>
        <w:spacing w:line="400" w:lineRule="exact"/>
        <w:rPr>
          <w:color w:val="auto"/>
          <w:highlight w:val="none"/>
        </w:rPr>
      </w:pPr>
      <w:r>
        <w:rPr>
          <w:color w:val="auto"/>
          <w:highlight w:val="none"/>
        </w:rPr>
        <w:br w:type="page"/>
      </w:r>
    </w:p>
    <w:p w14:paraId="36A3F35E">
      <w:pPr>
        <w:pageBreakBefore w:val="0"/>
        <w:kinsoku/>
        <w:wordWrap/>
        <w:overflowPunct/>
        <w:topLinePunct w:val="0"/>
        <w:bidi w:val="0"/>
        <w:snapToGrid/>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附件一  廉政合同</w:t>
      </w:r>
    </w:p>
    <w:p w14:paraId="44D622D7">
      <w:pPr>
        <w:pageBreakBefore w:val="0"/>
        <w:kinsoku/>
        <w:wordWrap/>
        <w:overflowPunct/>
        <w:topLinePunct w:val="0"/>
        <w:autoSpaceDE w:val="0"/>
        <w:autoSpaceDN w:val="0"/>
        <w:bidi w:val="0"/>
        <w:snapToGrid/>
        <w:spacing w:line="400" w:lineRule="exact"/>
        <w:jc w:val="center"/>
        <w:outlineLvl w:val="0"/>
        <w:rPr>
          <w:rFonts w:hint="eastAsia" w:ascii="宋体" w:hAnsi="宋体" w:eastAsia="宋体" w:cs="宋体"/>
          <w:b/>
          <w:color w:val="auto"/>
          <w:sz w:val="21"/>
          <w:szCs w:val="21"/>
          <w:highlight w:val="none"/>
        </w:rPr>
      </w:pPr>
      <w:bookmarkStart w:id="89" w:name="_Toc87"/>
      <w:r>
        <w:rPr>
          <w:rFonts w:hint="eastAsia" w:ascii="宋体" w:hAnsi="宋体" w:eastAsia="宋体" w:cs="宋体"/>
          <w:b/>
          <w:color w:val="auto"/>
          <w:sz w:val="21"/>
          <w:szCs w:val="21"/>
          <w:highlight w:val="none"/>
        </w:rPr>
        <w:t>廉 政 合 同</w:t>
      </w:r>
      <w:bookmarkEnd w:id="89"/>
    </w:p>
    <w:p w14:paraId="4F9E54A5">
      <w:pPr>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为做好工程建设中的党风廉政建设，保证工程建设高效优质，保证建设资金的安全和有效使用以及投资效益，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项目名称）项目法人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（项目法人名称，以下简称“发包人”）与该项目的施工单位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（施工单位名称，以下简称“承包人”），特订立如下合同：</w:t>
      </w:r>
    </w:p>
    <w:p w14:paraId="5A008B83">
      <w:pPr>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1．发包人和承包人双方的权利和义务</w:t>
      </w:r>
    </w:p>
    <w:p w14:paraId="7F5FAD59">
      <w:pPr>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（1）严格遵守党的政策规定和国家有关法律法规的有关规定。</w:t>
      </w:r>
    </w:p>
    <w:p w14:paraId="7E355059">
      <w:pPr>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（2）严格执行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（项目名称）施工合同文件，自觉按合同办事。</w:t>
      </w:r>
    </w:p>
    <w:p w14:paraId="34D6D003">
      <w:pPr>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（3）双方的业务活动坚持公开、公正、诚信、透明的原则（法律认定的商业秘密和合同文件另有规定除外），不得损害国家和集体利益，不得违反工程建设管理规章制度。</w:t>
      </w:r>
    </w:p>
    <w:p w14:paraId="0C99F99E">
      <w:pPr>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（4）建立健全廉政制度，开展廉政教育，设立廉政告示牌，公布举报电话，监督并认真查处违法违纪行为。</w:t>
      </w:r>
    </w:p>
    <w:p w14:paraId="1AA6CEDB">
      <w:pPr>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（5）发现对方在业务活动中有违反廉政规定的行为，有及时提醒对方纠正的权利和义务。</w:t>
      </w:r>
    </w:p>
    <w:p w14:paraId="44134198">
      <w:pPr>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（6）发现对方严重违反本合同义务条款的行为，有向其上级有关部门举报、建议给予处理并要求告知处理结果的权利。</w:t>
      </w:r>
    </w:p>
    <w:p w14:paraId="1DCA1BA1">
      <w:pPr>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2．发包人的义务</w:t>
      </w:r>
    </w:p>
    <w:p w14:paraId="48FCBDB2">
      <w:pPr>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（1）发包人及其工作人员不得索要或接受承包人的礼金、有价证券和贵重物品，不得让承包人报销任何应由发包人或发包人工作人员个人支付的费用等。</w:t>
      </w:r>
    </w:p>
    <w:p w14:paraId="50BA0F8F">
      <w:pPr>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（2）发包人工作人员不得参加承包人安排的超标准宴请和娱乐活动；不得接受承包人提供的通讯工具、交通工具和高档办公用品等。</w:t>
      </w:r>
    </w:p>
    <w:p w14:paraId="4A7FFAA3">
      <w:pPr>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（3）发包人及其工作人员不利要求或者接受承包人为其住房装修、婚丧嫁娶活动、配偶子女的工作安排以及出国出境、旅游等提供方便等。</w:t>
      </w:r>
    </w:p>
    <w:p w14:paraId="461451D9">
      <w:pPr>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（4）发包人工作人员及其配偶、子女不得从事与发包人工作有关的材料设备供应、工程分包、劳务等经济活动等。</w:t>
      </w:r>
    </w:p>
    <w:p w14:paraId="0487D0DF">
      <w:pPr>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（5）发包人及期工作人员不得以任何理由向承包人推荐分包单位或推销材料，不得要求承包人购买合同规定外的材料和设备。</w:t>
      </w:r>
    </w:p>
    <w:p w14:paraId="58C54B57">
      <w:pPr>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（6）发包人工作人员要秉公办事，不准营私舞弊，不准利用职权从事各种个人有偿中介活动和安排个人施工队伍。</w:t>
      </w:r>
    </w:p>
    <w:p w14:paraId="3071A985">
      <w:pPr>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3．承包人的义务</w:t>
      </w:r>
    </w:p>
    <w:p w14:paraId="49ED966E">
      <w:pPr>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（1）承包人不得以任何理由向发包人及其工作人员行贿或馈赠礼金、有价证券、贵重礼品。</w:t>
      </w:r>
    </w:p>
    <w:p w14:paraId="07603CB7">
      <w:pPr>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（2）承包人不得以任何名义为发包人及其工作人员报销应由发包人单位或个人支付的</w:t>
      </w:r>
    </w:p>
    <w:p w14:paraId="5B300EA1">
      <w:pPr>
        <w:pageBreakBefore w:val="0"/>
        <w:kinsoku/>
        <w:wordWrap/>
        <w:overflowPunct/>
        <w:topLinePunct w:val="0"/>
        <w:autoSpaceDE w:val="0"/>
        <w:autoSpaceDN w:val="0"/>
        <w:bidi w:val="0"/>
        <w:adjustRightInd w:val="0"/>
        <w:snapToGrid/>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任何费用。</w:t>
      </w:r>
    </w:p>
    <w:p w14:paraId="5E68A16F">
      <w:pPr>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（3）承包人不得以任何理由安排发包人工作人员参加超标准宴请及娱乐活动。</w:t>
      </w:r>
    </w:p>
    <w:p w14:paraId="00F83029">
      <w:pPr>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（4）承包人不得为发包人单位和个人购置或提供通讯工具、交通工具和高档办公用品等。</w:t>
      </w:r>
    </w:p>
    <w:p w14:paraId="0DAC6645">
      <w:pPr>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4．违约责任</w:t>
      </w:r>
    </w:p>
    <w:p w14:paraId="571F3CBC">
      <w:pPr>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（1）发包人及其工作人员违反本合同第1、2条，按管理权限，依据有关规定给予党纪、政纪或组织处理；涉嫌犯罪的，移交司法机关追究刑事责任；给承包人单位造成经济损失的，应予以赔偿。</w:t>
      </w:r>
    </w:p>
    <w:p w14:paraId="0CD858C6">
      <w:pPr>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41B988FC">
      <w:pPr>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44E6AB57">
      <w:pPr>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6.本合同有效期为发包人和承包人签署之日起至该工程项目竣工验收后止。</w:t>
      </w:r>
    </w:p>
    <w:p w14:paraId="287D423A">
      <w:pPr>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7．本合同作为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（项目名称）施工合同的附件，送交甲乙双方的监督单位各一份。与工程施工合同具有同等的法律效力，经合同双方签署后立即生效。</w:t>
      </w:r>
    </w:p>
    <w:tbl>
      <w:tblPr>
        <w:tblStyle w:val="23"/>
        <w:tblW w:w="0" w:type="auto"/>
        <w:tblInd w:w="0" w:type="dxa"/>
        <w:tblLayout w:type="fixed"/>
        <w:tblCellMar>
          <w:top w:w="0" w:type="dxa"/>
          <w:left w:w="108" w:type="dxa"/>
          <w:bottom w:w="0" w:type="dxa"/>
          <w:right w:w="108" w:type="dxa"/>
        </w:tblCellMar>
      </w:tblPr>
      <w:tblGrid>
        <w:gridCol w:w="4421"/>
        <w:gridCol w:w="4463"/>
      </w:tblGrid>
      <w:tr w14:paraId="69D900E2">
        <w:tblPrEx>
          <w:tblCellMar>
            <w:top w:w="0" w:type="dxa"/>
            <w:left w:w="108" w:type="dxa"/>
            <w:bottom w:w="0" w:type="dxa"/>
            <w:right w:w="108" w:type="dxa"/>
          </w:tblCellMar>
        </w:tblPrEx>
        <w:trPr>
          <w:trHeight w:val="573" w:hRule="atLeast"/>
        </w:trPr>
        <w:tc>
          <w:tcPr>
            <w:tcW w:w="4421" w:type="dxa"/>
            <w:noWrap w:val="0"/>
            <w:vAlign w:val="center"/>
          </w:tcPr>
          <w:p w14:paraId="3926A515">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840" w:right="0" w:hanging="735" w:hangingChars="350"/>
              <w:rPr>
                <w:rFonts w:hint="eastAsia" w:ascii="宋体" w:hAnsi="宋体" w:eastAsia="宋体" w:cs="宋体"/>
                <w:color w:val="auto"/>
                <w:kern w:val="2"/>
                <w:sz w:val="21"/>
                <w:szCs w:val="21"/>
                <w:highlight w:val="none"/>
              </w:rPr>
            </w:pPr>
          </w:p>
          <w:p w14:paraId="3E67AF7E">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840" w:right="0" w:hanging="735" w:hangingChars="3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  包  人：</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(盖单位章)</w:t>
            </w:r>
          </w:p>
        </w:tc>
        <w:tc>
          <w:tcPr>
            <w:tcW w:w="4463" w:type="dxa"/>
            <w:noWrap w:val="0"/>
            <w:vAlign w:val="center"/>
          </w:tcPr>
          <w:p w14:paraId="3B4368CE">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840" w:right="0" w:hanging="735" w:hangingChars="350"/>
              <w:rPr>
                <w:rFonts w:hint="eastAsia" w:ascii="宋体" w:hAnsi="宋体" w:eastAsia="宋体" w:cs="宋体"/>
                <w:color w:val="auto"/>
                <w:kern w:val="2"/>
                <w:sz w:val="21"/>
                <w:szCs w:val="21"/>
                <w:highlight w:val="none"/>
              </w:rPr>
            </w:pPr>
          </w:p>
          <w:p w14:paraId="48806BF0">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840" w:right="0" w:hanging="735" w:hangingChars="3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承  包  人：</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(盖单位章)</w:t>
            </w:r>
          </w:p>
        </w:tc>
      </w:tr>
      <w:tr w14:paraId="456C7867">
        <w:tblPrEx>
          <w:tblCellMar>
            <w:top w:w="0" w:type="dxa"/>
            <w:left w:w="108" w:type="dxa"/>
            <w:bottom w:w="0" w:type="dxa"/>
            <w:right w:w="108" w:type="dxa"/>
          </w:tblCellMar>
        </w:tblPrEx>
        <w:trPr>
          <w:trHeight w:val="573" w:hRule="atLeast"/>
        </w:trPr>
        <w:tc>
          <w:tcPr>
            <w:tcW w:w="4421" w:type="dxa"/>
            <w:noWrap w:val="0"/>
            <w:vAlign w:val="center"/>
          </w:tcPr>
          <w:p w14:paraId="46AF0C13">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840" w:right="0" w:hanging="735" w:hangingChars="35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法定代表人或其委托代理人：</w:t>
            </w:r>
            <w:r>
              <w:rPr>
                <w:rFonts w:hint="eastAsia" w:ascii="宋体" w:hAnsi="宋体" w:eastAsia="宋体" w:cs="宋体"/>
                <w:color w:val="auto"/>
                <w:kern w:val="2"/>
                <w:sz w:val="21"/>
                <w:szCs w:val="21"/>
                <w:highlight w:val="none"/>
                <w:u w:val="single"/>
              </w:rPr>
              <w:t xml:space="preserve"> （签字）                            </w:t>
            </w:r>
          </w:p>
        </w:tc>
        <w:tc>
          <w:tcPr>
            <w:tcW w:w="4463" w:type="dxa"/>
            <w:noWrap w:val="0"/>
            <w:vAlign w:val="center"/>
          </w:tcPr>
          <w:p w14:paraId="064648F9">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法定代表人或其委托代理人：</w:t>
            </w:r>
            <w:r>
              <w:rPr>
                <w:rFonts w:hint="eastAsia" w:ascii="宋体" w:hAnsi="宋体" w:eastAsia="宋体" w:cs="宋体"/>
                <w:color w:val="auto"/>
                <w:kern w:val="2"/>
                <w:sz w:val="21"/>
                <w:szCs w:val="21"/>
                <w:highlight w:val="none"/>
                <w:u w:val="single"/>
              </w:rPr>
              <w:t xml:space="preserve"> （签字）</w:t>
            </w:r>
          </w:p>
        </w:tc>
      </w:tr>
      <w:tr w14:paraId="476CF8A2">
        <w:tblPrEx>
          <w:tblCellMar>
            <w:top w:w="0" w:type="dxa"/>
            <w:left w:w="108" w:type="dxa"/>
            <w:bottom w:w="0" w:type="dxa"/>
            <w:right w:w="108" w:type="dxa"/>
          </w:tblCellMar>
        </w:tblPrEx>
        <w:trPr>
          <w:trHeight w:val="319" w:hRule="atLeast"/>
        </w:trPr>
        <w:tc>
          <w:tcPr>
            <w:tcW w:w="4421" w:type="dxa"/>
            <w:noWrap w:val="0"/>
            <w:vAlign w:val="center"/>
          </w:tcPr>
          <w:p w14:paraId="31D44EE9">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840" w:right="0" w:hanging="735" w:hangingChars="350"/>
              <w:rPr>
                <w:rFonts w:hint="eastAsia" w:ascii="宋体" w:hAnsi="宋体" w:eastAsia="宋体" w:cs="宋体"/>
                <w:color w:val="auto"/>
                <w:kern w:val="2"/>
                <w:sz w:val="21"/>
                <w:szCs w:val="21"/>
                <w:highlight w:val="none"/>
              </w:rPr>
            </w:pPr>
          </w:p>
        </w:tc>
        <w:tc>
          <w:tcPr>
            <w:tcW w:w="4463" w:type="dxa"/>
            <w:noWrap w:val="0"/>
            <w:vAlign w:val="center"/>
          </w:tcPr>
          <w:p w14:paraId="1D6AF9C6">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840" w:right="0" w:hanging="735" w:hangingChars="350"/>
              <w:rPr>
                <w:rFonts w:hint="eastAsia" w:ascii="宋体" w:hAnsi="宋体" w:eastAsia="宋体" w:cs="宋体"/>
                <w:color w:val="auto"/>
                <w:kern w:val="2"/>
                <w:sz w:val="21"/>
                <w:szCs w:val="21"/>
                <w:highlight w:val="none"/>
              </w:rPr>
            </w:pPr>
          </w:p>
        </w:tc>
      </w:tr>
      <w:tr w14:paraId="4DB7021D">
        <w:tblPrEx>
          <w:tblCellMar>
            <w:top w:w="0" w:type="dxa"/>
            <w:left w:w="108" w:type="dxa"/>
            <w:bottom w:w="0" w:type="dxa"/>
            <w:right w:w="108" w:type="dxa"/>
          </w:tblCellMar>
        </w:tblPrEx>
        <w:trPr>
          <w:trHeight w:val="573" w:hRule="atLeast"/>
        </w:trPr>
        <w:tc>
          <w:tcPr>
            <w:tcW w:w="4421" w:type="dxa"/>
            <w:noWrap w:val="0"/>
            <w:vAlign w:val="center"/>
          </w:tcPr>
          <w:p w14:paraId="64B360D4">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840" w:right="0" w:hanging="735" w:hangingChars="3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c>
          <w:tcPr>
            <w:tcW w:w="4463" w:type="dxa"/>
            <w:noWrap w:val="0"/>
            <w:vAlign w:val="center"/>
          </w:tcPr>
          <w:p w14:paraId="17DF5547">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840" w:right="0" w:hanging="735" w:hangingChars="3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09011FAF">
        <w:tblPrEx>
          <w:tblCellMar>
            <w:top w:w="0" w:type="dxa"/>
            <w:left w:w="108" w:type="dxa"/>
            <w:bottom w:w="0" w:type="dxa"/>
            <w:right w:w="108" w:type="dxa"/>
          </w:tblCellMar>
        </w:tblPrEx>
        <w:trPr>
          <w:trHeight w:val="297" w:hRule="atLeast"/>
        </w:trPr>
        <w:tc>
          <w:tcPr>
            <w:tcW w:w="4421" w:type="dxa"/>
            <w:noWrap w:val="0"/>
            <w:vAlign w:val="center"/>
          </w:tcPr>
          <w:p w14:paraId="29422792">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0" w:right="0"/>
              <w:rPr>
                <w:rFonts w:hint="eastAsia" w:ascii="宋体" w:hAnsi="宋体" w:eastAsia="宋体" w:cs="宋体"/>
                <w:color w:val="auto"/>
                <w:kern w:val="2"/>
                <w:sz w:val="21"/>
                <w:szCs w:val="21"/>
                <w:highlight w:val="none"/>
                <w:u w:val="single"/>
              </w:rPr>
            </w:pPr>
          </w:p>
        </w:tc>
        <w:tc>
          <w:tcPr>
            <w:tcW w:w="4463" w:type="dxa"/>
            <w:noWrap w:val="0"/>
            <w:vAlign w:val="center"/>
          </w:tcPr>
          <w:p w14:paraId="65406A20">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840" w:right="0" w:hanging="735" w:hangingChars="350"/>
              <w:rPr>
                <w:rFonts w:hint="eastAsia" w:ascii="宋体" w:hAnsi="宋体" w:eastAsia="宋体" w:cs="宋体"/>
                <w:color w:val="auto"/>
                <w:kern w:val="2"/>
                <w:sz w:val="21"/>
                <w:szCs w:val="21"/>
                <w:highlight w:val="none"/>
                <w:u w:val="single"/>
              </w:rPr>
            </w:pPr>
          </w:p>
        </w:tc>
      </w:tr>
      <w:tr w14:paraId="05469104">
        <w:tblPrEx>
          <w:tblCellMar>
            <w:top w:w="0" w:type="dxa"/>
            <w:left w:w="108" w:type="dxa"/>
            <w:bottom w:w="0" w:type="dxa"/>
            <w:right w:w="108" w:type="dxa"/>
          </w:tblCellMar>
        </w:tblPrEx>
        <w:trPr>
          <w:trHeight w:val="573" w:hRule="atLeast"/>
        </w:trPr>
        <w:tc>
          <w:tcPr>
            <w:tcW w:w="4421" w:type="dxa"/>
            <w:noWrap w:val="0"/>
            <w:vAlign w:val="center"/>
          </w:tcPr>
          <w:p w14:paraId="4A1CA4C6">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发包人监督单位：</w:t>
            </w:r>
            <w:r>
              <w:rPr>
                <w:rFonts w:hint="eastAsia" w:ascii="宋体" w:hAnsi="宋体" w:eastAsia="宋体" w:cs="宋体"/>
                <w:color w:val="auto"/>
                <w:kern w:val="2"/>
                <w:sz w:val="21"/>
                <w:szCs w:val="21"/>
                <w:highlight w:val="none"/>
                <w:u w:val="single"/>
              </w:rPr>
              <w:t>（全称） （盖单位章）</w:t>
            </w:r>
          </w:p>
        </w:tc>
        <w:tc>
          <w:tcPr>
            <w:tcW w:w="4463" w:type="dxa"/>
            <w:noWrap w:val="0"/>
            <w:vAlign w:val="center"/>
          </w:tcPr>
          <w:p w14:paraId="290E5B16">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承包人监督单位：</w:t>
            </w:r>
            <w:r>
              <w:rPr>
                <w:rFonts w:hint="eastAsia" w:ascii="宋体" w:hAnsi="宋体" w:eastAsia="宋体" w:cs="宋体"/>
                <w:color w:val="auto"/>
                <w:kern w:val="2"/>
                <w:sz w:val="21"/>
                <w:szCs w:val="21"/>
                <w:highlight w:val="none"/>
                <w:u w:val="single"/>
              </w:rPr>
              <w:t>（全称） （盖单位章）</w:t>
            </w:r>
          </w:p>
        </w:tc>
      </w:tr>
    </w:tbl>
    <w:p w14:paraId="4192311A">
      <w:pPr>
        <w:pageBreakBefore w:val="0"/>
        <w:kinsoku/>
        <w:wordWrap/>
        <w:overflowPunct/>
        <w:topLinePunct w:val="0"/>
        <w:bidi w:val="0"/>
        <w:snapToGrid/>
        <w:spacing w:line="400" w:lineRule="exact"/>
        <w:rPr>
          <w:rFonts w:hint="eastAsia" w:ascii="宋体" w:hAnsi="宋体" w:eastAsia="宋体" w:cs="宋体"/>
          <w:b/>
          <w:color w:val="auto"/>
          <w:sz w:val="21"/>
          <w:szCs w:val="21"/>
          <w:highlight w:val="none"/>
        </w:rPr>
      </w:pPr>
    </w:p>
    <w:p w14:paraId="7E79CB26">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p>
    <w:p w14:paraId="2A6EEA32">
      <w:pPr>
        <w:pageBreakBefore w:val="0"/>
        <w:kinsoku/>
        <w:wordWrap/>
        <w:overflowPunct/>
        <w:topLinePunct w:val="0"/>
        <w:bidi w:val="0"/>
        <w:snapToGrid/>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附件二  安全生产合同</w:t>
      </w:r>
    </w:p>
    <w:p w14:paraId="5AE3D6F6">
      <w:pPr>
        <w:pageBreakBefore w:val="0"/>
        <w:kinsoku/>
        <w:wordWrap/>
        <w:overflowPunct/>
        <w:topLinePunct w:val="0"/>
        <w:autoSpaceDE w:val="0"/>
        <w:autoSpaceDN w:val="0"/>
        <w:bidi w:val="0"/>
        <w:snapToGrid/>
        <w:spacing w:line="400" w:lineRule="exact"/>
        <w:jc w:val="center"/>
        <w:outlineLvl w:val="0"/>
        <w:rPr>
          <w:rFonts w:hint="eastAsia" w:ascii="宋体" w:hAnsi="宋体" w:eastAsia="宋体" w:cs="宋体"/>
          <w:b/>
          <w:color w:val="auto"/>
          <w:sz w:val="21"/>
          <w:szCs w:val="21"/>
          <w:highlight w:val="none"/>
        </w:rPr>
      </w:pPr>
      <w:bookmarkStart w:id="90" w:name="_Toc11911"/>
      <w:r>
        <w:rPr>
          <w:rFonts w:hint="eastAsia" w:ascii="宋体" w:hAnsi="宋体" w:eastAsia="宋体" w:cs="宋体"/>
          <w:b/>
          <w:color w:val="auto"/>
          <w:sz w:val="21"/>
          <w:szCs w:val="21"/>
          <w:highlight w:val="none"/>
        </w:rPr>
        <w:t>安全生产合同</w:t>
      </w:r>
      <w:bookmarkEnd w:id="90"/>
    </w:p>
    <w:p w14:paraId="1ED0EE11">
      <w:pPr>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（项目名称）施工合同的实施过程中创造安全、高效的施工环境，切实搞好本项目的安全管理工作，本项目发包人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（发包人名称，以下简称“发包人”）与承包人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（承包人名称，以下简称“承包人”）特此签订安全生产合同：</w:t>
      </w:r>
    </w:p>
    <w:p w14:paraId="6759B87E">
      <w:pPr>
        <w:pageBreakBefore w:val="0"/>
        <w:kinsoku/>
        <w:wordWrap/>
        <w:overflowPunct/>
        <w:topLinePunct w:val="0"/>
        <w:bidi w:val="0"/>
        <w:snapToGrid/>
        <w:spacing w:line="400" w:lineRule="exact"/>
        <w:ind w:firstLine="420" w:firstLineChars="200"/>
        <w:outlineLvl w:val="0"/>
        <w:rPr>
          <w:rFonts w:hint="eastAsia" w:ascii="宋体" w:hAnsi="宋体" w:eastAsia="宋体" w:cs="宋体"/>
          <w:color w:val="auto"/>
          <w:sz w:val="21"/>
          <w:szCs w:val="21"/>
          <w:highlight w:val="none"/>
        </w:rPr>
      </w:pPr>
      <w:bookmarkStart w:id="91" w:name="_Toc5378"/>
      <w:r>
        <w:rPr>
          <w:rFonts w:hint="eastAsia" w:ascii="宋体" w:hAnsi="宋体" w:eastAsia="宋体" w:cs="宋体"/>
          <w:color w:val="auto"/>
          <w:sz w:val="21"/>
          <w:szCs w:val="21"/>
          <w:highlight w:val="none"/>
        </w:rPr>
        <w:t>1.发包人职责</w:t>
      </w:r>
      <w:bookmarkEnd w:id="91"/>
    </w:p>
    <w:p w14:paraId="07C418F7">
      <w:pPr>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（1）严格遵守国家有关安全生产的法律法规，认真执行工程承包合同中的有关安全要求。</w:t>
      </w:r>
    </w:p>
    <w:p w14:paraId="3A0A744E">
      <w:pPr>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（2）按照“安全第一、预防为主”和坚持“管生产必须管安全”的原则进行安全生产管理，做到生产与安全工作同时计划、布置、检查、总结和评比。</w:t>
      </w:r>
    </w:p>
    <w:p w14:paraId="1F676F3D">
      <w:pPr>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（3）重要的安全设施必须坚持与主体工程“三同时”的原则，即：同时设计、审批，同时施工，同时验收，投入使用。</w:t>
      </w:r>
    </w:p>
    <w:p w14:paraId="4F8FE747">
      <w:pPr>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（4）定期召开安全生产调度会，及时传达中央及地方有关安全生产的精神。</w:t>
      </w:r>
    </w:p>
    <w:p w14:paraId="3CF0A7D7">
      <w:pPr>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（5）组织对承包人施工现场安全生产检查，监督承包人及时处理发现的各种安全隐患。</w:t>
      </w:r>
    </w:p>
    <w:p w14:paraId="03A0524E">
      <w:pPr>
        <w:pageBreakBefore w:val="0"/>
        <w:kinsoku/>
        <w:wordWrap/>
        <w:overflowPunct/>
        <w:topLinePunct w:val="0"/>
        <w:bidi w:val="0"/>
        <w:snapToGrid/>
        <w:spacing w:line="400" w:lineRule="exact"/>
        <w:ind w:firstLine="420" w:firstLineChars="200"/>
        <w:outlineLvl w:val="0"/>
        <w:rPr>
          <w:rFonts w:hint="eastAsia" w:ascii="宋体" w:hAnsi="宋体" w:eastAsia="宋体" w:cs="宋体"/>
          <w:color w:val="auto"/>
          <w:sz w:val="21"/>
          <w:szCs w:val="21"/>
          <w:highlight w:val="none"/>
        </w:rPr>
      </w:pPr>
      <w:bookmarkStart w:id="92" w:name="_Toc30686"/>
      <w:r>
        <w:rPr>
          <w:rFonts w:hint="eastAsia" w:ascii="宋体" w:hAnsi="宋体" w:eastAsia="宋体" w:cs="宋体"/>
          <w:color w:val="auto"/>
          <w:sz w:val="21"/>
          <w:szCs w:val="21"/>
          <w:highlight w:val="none"/>
        </w:rPr>
        <w:t>2.承包人职责</w:t>
      </w:r>
      <w:bookmarkEnd w:id="92"/>
    </w:p>
    <w:p w14:paraId="2CB0C6D8">
      <w:pPr>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（1）严格遵守《中华人民共和国安全生产法》、《建设工程安全生产管理条例》等国家有关安全生产的法律法规等有关安全生产的规定。认真执行工程承包合同中的有关安全要求。</w:t>
      </w:r>
    </w:p>
    <w:p w14:paraId="42F0D939">
      <w:pPr>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120F7A8E">
      <w:pPr>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规定的最低数量和资质条件配备专职安全生产管理人员，专职负责所有员工的安全和治安保卫工作及预防事故的发生。安全机构人员有权按有关规定发布指令，并采取保护性措施防止事故发生。</w:t>
      </w:r>
    </w:p>
    <w:p w14:paraId="33B435A1">
      <w:pPr>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（4）承包人在任何时候都应采取各种合理的预防措施，防止其员工发生任何违法、违禁、暴力或妨碍治安的行为。</w:t>
      </w:r>
    </w:p>
    <w:p w14:paraId="6C178E3C">
      <w:pPr>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A456D6F">
      <w:pPr>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34B5BFE5">
      <w:pPr>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6CA606C0">
      <w:pPr>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432B41BC">
      <w:pPr>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（9）施工中采用新技术、新工艺、新设备、新材料时，必须制定相应的安全技术措施，施工现场必须具有相关的安全标志牌。</w:t>
      </w:r>
    </w:p>
    <w:p w14:paraId="41033F0E">
      <w:pPr>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5D3DE68A">
      <w:pPr>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3.违约责任</w:t>
      </w:r>
    </w:p>
    <w:p w14:paraId="0D494476">
      <w:pPr>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如因发包人或承包人违约造成安全事故，将依法追究责任。</w:t>
      </w:r>
    </w:p>
    <w:p w14:paraId="5CE081A9">
      <w:pPr>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4.本合同由双方法定代表人或其授权的代理人签署并加盖单位章后生效，全部工程竣工验收后失效。</w:t>
      </w:r>
    </w:p>
    <w:p w14:paraId="498ABE3D">
      <w:pPr>
        <w:pageBreakBefore w:val="0"/>
        <w:kinsoku/>
        <w:wordWrap/>
        <w:overflowPunct/>
        <w:topLinePunct w:val="0"/>
        <w:autoSpaceDE w:val="0"/>
        <w:autoSpaceDN w:val="0"/>
        <w:bidi w:val="0"/>
        <w:adjustRightInd w:val="0"/>
        <w:snapToGrid/>
        <w:spacing w:line="400" w:lineRule="exact"/>
        <w:ind w:left="210" w:leftChars="10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5.本合同正本—式二份，副本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份，合同双方各执正本—份，副本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份，当正本与副本的内容不一致时，以正本为准。</w:t>
      </w:r>
    </w:p>
    <w:tbl>
      <w:tblPr>
        <w:tblStyle w:val="23"/>
        <w:tblW w:w="13347" w:type="dxa"/>
        <w:tblInd w:w="0" w:type="dxa"/>
        <w:tblLayout w:type="fixed"/>
        <w:tblCellMar>
          <w:top w:w="0" w:type="dxa"/>
          <w:left w:w="108" w:type="dxa"/>
          <w:bottom w:w="0" w:type="dxa"/>
          <w:right w:w="108" w:type="dxa"/>
        </w:tblCellMar>
      </w:tblPr>
      <w:tblGrid>
        <w:gridCol w:w="4421"/>
        <w:gridCol w:w="4463"/>
        <w:gridCol w:w="4463"/>
      </w:tblGrid>
      <w:tr w14:paraId="041A1A79">
        <w:tblPrEx>
          <w:tblCellMar>
            <w:top w:w="0" w:type="dxa"/>
            <w:left w:w="108" w:type="dxa"/>
            <w:bottom w:w="0" w:type="dxa"/>
            <w:right w:w="108" w:type="dxa"/>
          </w:tblCellMar>
        </w:tblPrEx>
        <w:trPr>
          <w:trHeight w:val="573" w:hRule="atLeast"/>
        </w:trPr>
        <w:tc>
          <w:tcPr>
            <w:tcW w:w="4421" w:type="dxa"/>
            <w:noWrap w:val="0"/>
            <w:vAlign w:val="center"/>
          </w:tcPr>
          <w:p w14:paraId="417BAC1E">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840" w:right="0" w:hanging="735" w:hangingChars="3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  包  人：</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(盖单位章)</w:t>
            </w:r>
          </w:p>
        </w:tc>
        <w:tc>
          <w:tcPr>
            <w:tcW w:w="4463" w:type="dxa"/>
            <w:noWrap w:val="0"/>
            <w:vAlign w:val="center"/>
          </w:tcPr>
          <w:p w14:paraId="273E22F4">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764" w:leftChars="114" w:right="0" w:hanging="525" w:hangingChars="2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承  包  人：</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(盖单位章)</w:t>
            </w:r>
          </w:p>
        </w:tc>
        <w:tc>
          <w:tcPr>
            <w:tcW w:w="4463" w:type="dxa"/>
            <w:noWrap w:val="0"/>
            <w:vAlign w:val="center"/>
          </w:tcPr>
          <w:p w14:paraId="76AEA075">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764" w:leftChars="114" w:right="0" w:hanging="525" w:hangingChars="250"/>
              <w:rPr>
                <w:rFonts w:hint="eastAsia" w:ascii="宋体" w:hAnsi="宋体" w:eastAsia="宋体" w:cs="宋体"/>
                <w:color w:val="auto"/>
                <w:kern w:val="2"/>
                <w:sz w:val="21"/>
                <w:szCs w:val="21"/>
                <w:highlight w:val="none"/>
              </w:rPr>
            </w:pPr>
          </w:p>
        </w:tc>
      </w:tr>
      <w:tr w14:paraId="63791BED">
        <w:tblPrEx>
          <w:tblCellMar>
            <w:top w:w="0" w:type="dxa"/>
            <w:left w:w="108" w:type="dxa"/>
            <w:bottom w:w="0" w:type="dxa"/>
            <w:right w:w="108" w:type="dxa"/>
          </w:tblCellMar>
        </w:tblPrEx>
        <w:trPr>
          <w:trHeight w:val="573" w:hRule="atLeast"/>
        </w:trPr>
        <w:tc>
          <w:tcPr>
            <w:tcW w:w="4421" w:type="dxa"/>
            <w:noWrap w:val="0"/>
            <w:vAlign w:val="center"/>
          </w:tcPr>
          <w:p w14:paraId="7448FFDB">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840" w:right="0" w:hanging="735" w:hangingChars="35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法定代表人或其委托代理人：</w:t>
            </w:r>
            <w:r>
              <w:rPr>
                <w:rFonts w:hint="eastAsia" w:ascii="宋体" w:hAnsi="宋体" w:eastAsia="宋体" w:cs="宋体"/>
                <w:color w:val="auto"/>
                <w:kern w:val="2"/>
                <w:sz w:val="21"/>
                <w:szCs w:val="21"/>
                <w:highlight w:val="none"/>
                <w:u w:val="single"/>
              </w:rPr>
              <w:t xml:space="preserve"> （签字）                            </w:t>
            </w:r>
          </w:p>
        </w:tc>
        <w:tc>
          <w:tcPr>
            <w:tcW w:w="4463" w:type="dxa"/>
            <w:noWrap w:val="0"/>
            <w:vAlign w:val="center"/>
          </w:tcPr>
          <w:p w14:paraId="691905C8">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0" w:right="0" w:firstLine="210" w:firstLineChars="1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法定代表人或其委托代理人：</w:t>
            </w:r>
            <w:r>
              <w:rPr>
                <w:rFonts w:hint="eastAsia" w:ascii="宋体" w:hAnsi="宋体" w:eastAsia="宋体" w:cs="宋体"/>
                <w:color w:val="auto"/>
                <w:kern w:val="2"/>
                <w:sz w:val="21"/>
                <w:szCs w:val="21"/>
                <w:highlight w:val="none"/>
                <w:u w:val="single"/>
              </w:rPr>
              <w:t xml:space="preserve"> （签字）</w:t>
            </w:r>
          </w:p>
        </w:tc>
        <w:tc>
          <w:tcPr>
            <w:tcW w:w="4463" w:type="dxa"/>
            <w:noWrap w:val="0"/>
            <w:vAlign w:val="center"/>
          </w:tcPr>
          <w:p w14:paraId="1DD006BA">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0" w:right="0" w:firstLine="210" w:firstLineChars="100"/>
              <w:rPr>
                <w:rFonts w:hint="eastAsia" w:ascii="宋体" w:hAnsi="宋体" w:eastAsia="宋体" w:cs="宋体"/>
                <w:color w:val="auto"/>
                <w:kern w:val="2"/>
                <w:sz w:val="21"/>
                <w:szCs w:val="21"/>
                <w:highlight w:val="none"/>
              </w:rPr>
            </w:pPr>
          </w:p>
        </w:tc>
      </w:tr>
      <w:tr w14:paraId="3D49B562">
        <w:tblPrEx>
          <w:tblCellMar>
            <w:top w:w="0" w:type="dxa"/>
            <w:left w:w="108" w:type="dxa"/>
            <w:bottom w:w="0" w:type="dxa"/>
            <w:right w:w="108" w:type="dxa"/>
          </w:tblCellMar>
        </w:tblPrEx>
        <w:trPr>
          <w:trHeight w:val="677" w:hRule="atLeast"/>
        </w:trPr>
        <w:tc>
          <w:tcPr>
            <w:tcW w:w="4421" w:type="dxa"/>
            <w:noWrap w:val="0"/>
            <w:vAlign w:val="center"/>
          </w:tcPr>
          <w:p w14:paraId="5579D10E">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840" w:right="0" w:hanging="735" w:hangingChars="3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c>
          <w:tcPr>
            <w:tcW w:w="4463" w:type="dxa"/>
            <w:noWrap w:val="0"/>
            <w:vAlign w:val="center"/>
          </w:tcPr>
          <w:p w14:paraId="4B1F0ADD">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794" w:leftChars="228" w:right="0" w:hanging="315" w:hangingChars="1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c>
          <w:tcPr>
            <w:tcW w:w="4463" w:type="dxa"/>
            <w:noWrap w:val="0"/>
            <w:vAlign w:val="center"/>
          </w:tcPr>
          <w:p w14:paraId="5022AF6E">
            <w:pPr>
              <w:keepNext w:val="0"/>
              <w:keepLines w:val="0"/>
              <w:pageBreakBefore w:val="0"/>
              <w:widowControl/>
              <w:suppressLineNumbers w:val="0"/>
              <w:tabs>
                <w:tab w:val="left" w:pos="5760"/>
              </w:tabs>
              <w:kinsoku/>
              <w:wordWrap/>
              <w:overflowPunct/>
              <w:topLinePunct w:val="0"/>
              <w:bidi w:val="0"/>
              <w:snapToGrid/>
              <w:spacing w:before="0" w:beforeAutospacing="0" w:after="0" w:afterAutospacing="0" w:line="400" w:lineRule="exact"/>
              <w:ind w:left="794" w:leftChars="228" w:right="0" w:hanging="315" w:hangingChars="150"/>
              <w:rPr>
                <w:rFonts w:hint="eastAsia" w:ascii="宋体" w:hAnsi="宋体" w:eastAsia="宋体" w:cs="宋体"/>
                <w:color w:val="auto"/>
                <w:kern w:val="2"/>
                <w:sz w:val="21"/>
                <w:szCs w:val="21"/>
                <w:highlight w:val="none"/>
                <w:u w:val="single"/>
              </w:rPr>
            </w:pPr>
          </w:p>
        </w:tc>
      </w:tr>
    </w:tbl>
    <w:p w14:paraId="63732A62">
      <w:pPr>
        <w:pageBreakBefore w:val="0"/>
        <w:kinsoku/>
        <w:wordWrap/>
        <w:overflowPunct/>
        <w:topLinePunct w:val="0"/>
        <w:bidi w:val="0"/>
        <w:snapToGrid/>
        <w:spacing w:line="400" w:lineRule="exact"/>
        <w:rPr>
          <w:color w:val="auto"/>
          <w:highlight w:val="none"/>
        </w:rPr>
      </w:pPr>
    </w:p>
    <w:p w14:paraId="54AC3FF6">
      <w:pPr>
        <w:pStyle w:val="2"/>
        <w:bidi w:val="0"/>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eastAsia="zh-CN"/>
        </w:rPr>
        <w:br w:type="page"/>
      </w:r>
      <w:bookmarkStart w:id="93" w:name="_Toc3408"/>
      <w:bookmarkStart w:id="94" w:name="_Toc6418"/>
      <w:bookmarkStart w:id="95" w:name="_Toc10754"/>
      <w:bookmarkStart w:id="96" w:name="_Toc11013"/>
      <w:bookmarkStart w:id="97" w:name="_Toc21675"/>
      <w:bookmarkStart w:id="98" w:name="_Toc4456"/>
    </w:p>
    <w:p w14:paraId="794F9355">
      <w:pPr>
        <w:pStyle w:val="2"/>
        <w:bidi w:val="0"/>
        <w:rPr>
          <w:rFonts w:hint="eastAsia" w:ascii="宋体" w:hAnsi="宋体" w:eastAsia="宋体" w:cs="宋体"/>
          <w:color w:val="auto"/>
          <w:highlight w:val="none"/>
          <w:lang w:eastAsia="zh-CN"/>
        </w:rPr>
      </w:pPr>
      <w:bookmarkStart w:id="99" w:name="_Toc4114"/>
      <w:r>
        <w:rPr>
          <w:rFonts w:hint="eastAsia" w:ascii="宋体" w:hAnsi="宋体" w:eastAsia="宋体" w:cs="宋体"/>
          <w:color w:val="auto"/>
          <w:highlight w:val="none"/>
          <w:lang w:val="zh-CN" w:eastAsia="zh-CN"/>
        </w:rPr>
        <w:t>第六部分</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zh-CN" w:eastAsia="zh-CN"/>
        </w:rPr>
        <w:t>竞争性磋商响应文件格式（格式）</w:t>
      </w:r>
      <w:bookmarkEnd w:id="38"/>
      <w:bookmarkEnd w:id="39"/>
      <w:bookmarkEnd w:id="93"/>
      <w:bookmarkEnd w:id="94"/>
      <w:bookmarkEnd w:id="95"/>
      <w:bookmarkEnd w:id="96"/>
      <w:bookmarkEnd w:id="97"/>
      <w:bookmarkEnd w:id="98"/>
      <w:bookmarkEnd w:id="99"/>
    </w:p>
    <w:bookmarkEnd w:id="40"/>
    <w:p w14:paraId="5B1E84BA">
      <w:pPr>
        <w:spacing w:line="360" w:lineRule="exact"/>
        <w:rPr>
          <w:rFonts w:hint="eastAsia" w:ascii="宋体" w:hAnsi="宋体" w:eastAsia="宋体" w:cs="宋体"/>
          <w:b/>
          <w:color w:val="auto"/>
          <w:kern w:val="21"/>
          <w:sz w:val="32"/>
          <w:szCs w:val="32"/>
          <w:highlight w:val="none"/>
        </w:rPr>
      </w:pPr>
    </w:p>
    <w:p w14:paraId="5927A333">
      <w:pPr>
        <w:autoSpaceDE w:val="0"/>
        <w:autoSpaceDN w:val="0"/>
        <w:adjustRightInd w:val="0"/>
        <w:snapToGrid w:val="0"/>
        <w:spacing w:line="360" w:lineRule="auto"/>
        <w:jc w:val="right"/>
        <w:rPr>
          <w:rFonts w:hint="eastAsia" w:ascii="宋体" w:hAnsi="宋体" w:eastAsia="宋体" w:cs="宋体"/>
          <w:b/>
          <w:bCs/>
          <w:color w:val="auto"/>
          <w:kern w:val="21"/>
          <w:sz w:val="32"/>
          <w:szCs w:val="32"/>
          <w:highlight w:val="none"/>
          <w:lang w:val="zh-CN"/>
        </w:rPr>
      </w:pPr>
    </w:p>
    <w:p w14:paraId="2A6253AC">
      <w:pPr>
        <w:autoSpaceDE w:val="0"/>
        <w:autoSpaceDN w:val="0"/>
        <w:adjustRightInd w:val="0"/>
        <w:snapToGrid w:val="0"/>
        <w:spacing w:line="360" w:lineRule="auto"/>
        <w:jc w:val="right"/>
        <w:outlineLvl w:val="0"/>
        <w:rPr>
          <w:rFonts w:hint="eastAsia" w:ascii="宋体" w:hAnsi="宋体" w:eastAsia="宋体" w:cs="宋体"/>
          <w:b/>
          <w:bCs/>
          <w:color w:val="auto"/>
          <w:kern w:val="21"/>
          <w:sz w:val="32"/>
          <w:szCs w:val="32"/>
          <w:highlight w:val="none"/>
          <w:lang w:val="zh-CN"/>
        </w:rPr>
      </w:pPr>
      <w:bookmarkStart w:id="100" w:name="_Toc11629"/>
      <w:bookmarkStart w:id="101" w:name="_Toc14861"/>
      <w:bookmarkStart w:id="102" w:name="_Toc26644"/>
      <w:bookmarkStart w:id="103" w:name="_Toc9870"/>
      <w:bookmarkStart w:id="104" w:name="_Toc16579"/>
      <w:bookmarkStart w:id="105" w:name="_Toc2517"/>
      <w:r>
        <w:rPr>
          <w:rFonts w:hint="eastAsia" w:ascii="宋体" w:hAnsi="宋体" w:eastAsia="宋体" w:cs="宋体"/>
          <w:b/>
          <w:bCs/>
          <w:color w:val="auto"/>
          <w:kern w:val="21"/>
          <w:sz w:val="32"/>
          <w:szCs w:val="32"/>
          <w:highlight w:val="none"/>
          <w:lang w:val="zh-CN"/>
        </w:rPr>
        <w:t>正本/副本</w:t>
      </w:r>
      <w:bookmarkEnd w:id="100"/>
      <w:bookmarkEnd w:id="101"/>
      <w:bookmarkEnd w:id="102"/>
      <w:bookmarkEnd w:id="103"/>
      <w:bookmarkEnd w:id="104"/>
      <w:bookmarkEnd w:id="105"/>
    </w:p>
    <w:p w14:paraId="429DE239">
      <w:pPr>
        <w:spacing w:before="240" w:beforeLines="100" w:after="240" w:afterLines="100"/>
        <w:jc w:val="center"/>
        <w:rPr>
          <w:rFonts w:hint="eastAsia" w:ascii="宋体" w:hAnsi="宋体" w:eastAsia="宋体" w:cs="宋体"/>
          <w:b/>
          <w:bCs/>
          <w:color w:val="auto"/>
          <w:kern w:val="21"/>
          <w:sz w:val="44"/>
          <w:szCs w:val="44"/>
          <w:highlight w:val="none"/>
          <w:lang w:eastAsia="zh-CN"/>
        </w:rPr>
      </w:pPr>
      <w:bookmarkStart w:id="106" w:name="_Toc1935"/>
      <w:bookmarkStart w:id="107" w:name="_Toc642"/>
      <w:bookmarkStart w:id="108" w:name="_Toc9092"/>
      <w:r>
        <w:rPr>
          <w:rFonts w:hint="eastAsia" w:ascii="宋体" w:hAnsi="宋体" w:eastAsia="宋体" w:cs="宋体"/>
          <w:b/>
          <w:bCs/>
          <w:color w:val="auto"/>
          <w:kern w:val="21"/>
          <w:sz w:val="44"/>
          <w:szCs w:val="44"/>
          <w:highlight w:val="none"/>
          <w:lang w:eastAsia="zh-CN"/>
        </w:rPr>
        <w:t>彬州市2025年水肥精准调控展示项目</w:t>
      </w:r>
    </w:p>
    <w:p w14:paraId="12230F5C">
      <w:pPr>
        <w:spacing w:before="240" w:beforeLines="100" w:after="240" w:afterLines="100"/>
        <w:jc w:val="center"/>
        <w:rPr>
          <w:rFonts w:hint="eastAsia" w:ascii="宋体" w:hAnsi="宋体" w:eastAsia="宋体" w:cs="宋体"/>
          <w:b/>
          <w:bCs/>
          <w:color w:val="auto"/>
          <w:kern w:val="21"/>
          <w:sz w:val="44"/>
          <w:szCs w:val="44"/>
          <w:highlight w:val="none"/>
          <w:lang w:eastAsia="zh-CN"/>
        </w:rPr>
      </w:pPr>
    </w:p>
    <w:p w14:paraId="2422588B">
      <w:pPr>
        <w:spacing w:before="240" w:beforeLines="100" w:after="240" w:afterLines="100"/>
        <w:jc w:val="center"/>
        <w:rPr>
          <w:rFonts w:hint="eastAsia" w:ascii="宋体" w:hAnsi="宋体" w:eastAsia="宋体" w:cs="宋体"/>
          <w:b/>
          <w:bCs/>
          <w:color w:val="auto"/>
          <w:kern w:val="21"/>
          <w:sz w:val="44"/>
          <w:szCs w:val="44"/>
          <w:highlight w:val="none"/>
          <w:lang w:eastAsia="zh-CN"/>
        </w:rPr>
      </w:pPr>
    </w:p>
    <w:p w14:paraId="7611A3F2">
      <w:pPr>
        <w:spacing w:before="240" w:beforeLines="100" w:after="240" w:afterLines="100"/>
        <w:jc w:val="center"/>
        <w:rPr>
          <w:rFonts w:hint="eastAsia" w:ascii="宋体" w:hAnsi="宋体" w:eastAsia="宋体" w:cs="宋体"/>
          <w:b/>
          <w:bCs/>
          <w:color w:val="auto"/>
          <w:kern w:val="21"/>
          <w:sz w:val="44"/>
          <w:szCs w:val="44"/>
          <w:highlight w:val="none"/>
          <w:lang w:eastAsia="zh-CN"/>
        </w:rPr>
      </w:pPr>
    </w:p>
    <w:p w14:paraId="216A910E">
      <w:pPr>
        <w:spacing w:before="240" w:beforeLines="100" w:after="240" w:afterLines="100"/>
        <w:jc w:val="center"/>
        <w:rPr>
          <w:rFonts w:hint="eastAsia" w:ascii="宋体" w:hAnsi="宋体" w:eastAsia="宋体" w:cs="宋体"/>
          <w:b/>
          <w:bCs/>
          <w:color w:val="auto"/>
          <w:kern w:val="21"/>
          <w:sz w:val="44"/>
          <w:szCs w:val="44"/>
          <w:highlight w:val="none"/>
          <w:lang w:eastAsia="zh-CN"/>
        </w:rPr>
      </w:pPr>
      <w:r>
        <w:rPr>
          <w:rFonts w:hint="eastAsia" w:ascii="宋体" w:hAnsi="宋体" w:eastAsia="宋体" w:cs="宋体"/>
          <w:b/>
          <w:bCs/>
          <w:color w:val="auto"/>
          <w:kern w:val="21"/>
          <w:sz w:val="44"/>
          <w:szCs w:val="44"/>
          <w:highlight w:val="none"/>
          <w:lang w:eastAsia="zh-CN"/>
        </w:rPr>
        <w:t>响应文件</w:t>
      </w:r>
      <w:bookmarkEnd w:id="106"/>
      <w:bookmarkEnd w:id="107"/>
      <w:bookmarkEnd w:id="108"/>
    </w:p>
    <w:p w14:paraId="4D2EC89F">
      <w:pPr>
        <w:spacing w:before="240" w:beforeLines="100" w:after="240" w:afterLines="100"/>
        <w:jc w:val="center"/>
        <w:rPr>
          <w:rFonts w:hint="default" w:ascii="宋体" w:hAnsi="宋体" w:eastAsia="宋体" w:cs="宋体"/>
          <w:b/>
          <w:bCs/>
          <w:color w:val="auto"/>
          <w:kern w:val="21"/>
          <w:sz w:val="44"/>
          <w:szCs w:val="44"/>
          <w:highlight w:val="none"/>
          <w:lang w:val="en-US" w:eastAsia="zh-CN"/>
        </w:rPr>
      </w:pPr>
      <w:bookmarkStart w:id="109" w:name="_Toc4725"/>
      <w:bookmarkStart w:id="110" w:name="_Toc9519"/>
      <w:bookmarkStart w:id="111" w:name="_Toc17386"/>
      <w:r>
        <w:rPr>
          <w:rFonts w:hint="eastAsia" w:ascii="宋体" w:hAnsi="宋体" w:eastAsia="宋体" w:cs="宋体"/>
          <w:b/>
          <w:bCs/>
          <w:color w:val="auto"/>
          <w:kern w:val="21"/>
          <w:sz w:val="44"/>
          <w:szCs w:val="44"/>
          <w:highlight w:val="none"/>
          <w:lang w:eastAsia="zh-CN"/>
        </w:rPr>
        <w:t>项目编号：</w:t>
      </w:r>
      <w:bookmarkEnd w:id="109"/>
      <w:bookmarkEnd w:id="110"/>
      <w:bookmarkEnd w:id="111"/>
      <w:r>
        <w:rPr>
          <w:rFonts w:hint="eastAsia" w:ascii="宋体" w:hAnsi="宋体" w:cs="宋体"/>
          <w:b/>
          <w:bCs/>
          <w:color w:val="auto"/>
          <w:kern w:val="21"/>
          <w:sz w:val="44"/>
          <w:szCs w:val="44"/>
          <w:highlight w:val="none"/>
          <w:lang w:eastAsia="zh-CN"/>
        </w:rPr>
        <w:t>JXZB2026-004</w:t>
      </w:r>
    </w:p>
    <w:p w14:paraId="236289CF">
      <w:pPr>
        <w:spacing w:before="240" w:beforeLines="100" w:after="240" w:afterLines="100"/>
        <w:rPr>
          <w:rFonts w:hint="eastAsia" w:ascii="宋体" w:hAnsi="宋体" w:eastAsia="宋体" w:cs="宋体"/>
          <w:color w:val="auto"/>
          <w:kern w:val="21"/>
          <w:sz w:val="36"/>
          <w:szCs w:val="36"/>
          <w:highlight w:val="none"/>
        </w:rPr>
      </w:pPr>
    </w:p>
    <w:p w14:paraId="6F35750D">
      <w:pPr>
        <w:pStyle w:val="11"/>
        <w:rPr>
          <w:rFonts w:hint="eastAsia" w:ascii="宋体" w:hAnsi="宋体" w:eastAsia="宋体" w:cs="宋体"/>
          <w:color w:val="auto"/>
          <w:highlight w:val="none"/>
        </w:rPr>
      </w:pPr>
    </w:p>
    <w:p w14:paraId="4CDACC05">
      <w:pPr>
        <w:pStyle w:val="53"/>
        <w:spacing w:line="360" w:lineRule="auto"/>
        <w:rPr>
          <w:rFonts w:hint="eastAsia" w:ascii="宋体" w:hAnsi="宋体" w:eastAsia="宋体" w:cs="宋体"/>
          <w:color w:val="auto"/>
          <w:kern w:val="21"/>
          <w:sz w:val="28"/>
          <w:highlight w:val="none"/>
        </w:rPr>
      </w:pPr>
    </w:p>
    <w:p w14:paraId="0FBC2392">
      <w:pPr>
        <w:pStyle w:val="53"/>
        <w:spacing w:line="360" w:lineRule="auto"/>
        <w:ind w:firstLine="560" w:firstLineChars="200"/>
        <w:outlineLvl w:val="0"/>
        <w:rPr>
          <w:rFonts w:hint="eastAsia" w:ascii="宋体" w:hAnsi="宋体" w:eastAsia="宋体" w:cs="宋体"/>
          <w:color w:val="auto"/>
          <w:kern w:val="21"/>
          <w:sz w:val="28"/>
          <w:szCs w:val="28"/>
          <w:highlight w:val="none"/>
        </w:rPr>
      </w:pPr>
      <w:bookmarkStart w:id="112" w:name="_Toc3209"/>
      <w:bookmarkStart w:id="113" w:name="_Toc13631"/>
      <w:bookmarkStart w:id="114" w:name="_Toc8327"/>
      <w:bookmarkStart w:id="115" w:name="_Toc1416"/>
      <w:bookmarkStart w:id="116" w:name="_Toc18458"/>
      <w:bookmarkStart w:id="117" w:name="_Toc14114"/>
      <w:r>
        <w:rPr>
          <w:rFonts w:hint="eastAsia" w:ascii="宋体" w:hAnsi="宋体" w:eastAsia="宋体" w:cs="宋体"/>
          <w:color w:val="auto"/>
          <w:kern w:val="21"/>
          <w:sz w:val="28"/>
          <w:szCs w:val="28"/>
          <w:highlight w:val="none"/>
          <w:lang w:eastAsia="zh-CN"/>
        </w:rPr>
        <w:t>供</w:t>
      </w:r>
      <w:r>
        <w:rPr>
          <w:rFonts w:hint="eastAsia" w:ascii="宋体" w:hAnsi="宋体" w:eastAsia="宋体" w:cs="宋体"/>
          <w:color w:val="auto"/>
          <w:kern w:val="21"/>
          <w:sz w:val="28"/>
          <w:szCs w:val="28"/>
          <w:highlight w:val="none"/>
          <w:lang w:val="en-US" w:eastAsia="zh-CN"/>
        </w:rPr>
        <w:t xml:space="preserve"> </w:t>
      </w:r>
      <w:r>
        <w:rPr>
          <w:rFonts w:hint="eastAsia" w:ascii="宋体" w:hAnsi="宋体" w:eastAsia="宋体" w:cs="宋体"/>
          <w:color w:val="auto"/>
          <w:kern w:val="21"/>
          <w:sz w:val="28"/>
          <w:szCs w:val="28"/>
          <w:highlight w:val="none"/>
          <w:lang w:eastAsia="zh-CN"/>
        </w:rPr>
        <w:t>应</w:t>
      </w:r>
      <w:r>
        <w:rPr>
          <w:rFonts w:hint="eastAsia" w:ascii="宋体" w:hAnsi="宋体" w:eastAsia="宋体" w:cs="宋体"/>
          <w:color w:val="auto"/>
          <w:kern w:val="21"/>
          <w:sz w:val="28"/>
          <w:szCs w:val="28"/>
          <w:highlight w:val="none"/>
          <w:lang w:val="en-US" w:eastAsia="zh-CN"/>
        </w:rPr>
        <w:t xml:space="preserve"> </w:t>
      </w:r>
      <w:r>
        <w:rPr>
          <w:rFonts w:hint="eastAsia" w:ascii="宋体" w:hAnsi="宋体" w:eastAsia="宋体" w:cs="宋体"/>
          <w:color w:val="auto"/>
          <w:kern w:val="21"/>
          <w:sz w:val="28"/>
          <w:szCs w:val="28"/>
          <w:highlight w:val="none"/>
          <w:lang w:eastAsia="zh-CN"/>
        </w:rPr>
        <w:t>商</w:t>
      </w:r>
      <w:r>
        <w:rPr>
          <w:rFonts w:hint="eastAsia" w:ascii="宋体" w:hAnsi="宋体" w:eastAsia="宋体" w:cs="宋体"/>
          <w:color w:val="auto"/>
          <w:kern w:val="21"/>
          <w:sz w:val="28"/>
          <w:szCs w:val="28"/>
          <w:highlight w:val="none"/>
        </w:rPr>
        <w:t>：</w:t>
      </w:r>
      <w:r>
        <w:rPr>
          <w:rFonts w:hint="eastAsia" w:ascii="宋体" w:hAnsi="宋体" w:eastAsia="宋体" w:cs="宋体"/>
          <w:color w:val="auto"/>
          <w:kern w:val="21"/>
          <w:sz w:val="28"/>
          <w:szCs w:val="28"/>
          <w:highlight w:val="none"/>
          <w:u w:val="single"/>
        </w:rPr>
        <w:t xml:space="preserve">                               （</w:t>
      </w:r>
      <w:r>
        <w:rPr>
          <w:rFonts w:hint="eastAsia" w:ascii="宋体" w:hAnsi="宋体" w:eastAsia="宋体" w:cs="宋体"/>
          <w:color w:val="auto"/>
          <w:kern w:val="21"/>
          <w:sz w:val="28"/>
          <w:szCs w:val="28"/>
          <w:highlight w:val="none"/>
          <w:u w:val="single"/>
          <w:lang w:eastAsia="zh-CN"/>
        </w:rPr>
        <w:t>盖单位</w:t>
      </w:r>
      <w:r>
        <w:rPr>
          <w:rFonts w:hint="eastAsia" w:ascii="宋体" w:hAnsi="宋体" w:eastAsia="宋体" w:cs="宋体"/>
          <w:color w:val="auto"/>
          <w:kern w:val="21"/>
          <w:sz w:val="28"/>
          <w:szCs w:val="28"/>
          <w:highlight w:val="none"/>
          <w:u w:val="single"/>
        </w:rPr>
        <w:t>公章）</w:t>
      </w:r>
      <w:bookmarkEnd w:id="112"/>
      <w:bookmarkEnd w:id="113"/>
      <w:bookmarkEnd w:id="114"/>
      <w:bookmarkEnd w:id="115"/>
      <w:bookmarkEnd w:id="116"/>
      <w:bookmarkEnd w:id="117"/>
    </w:p>
    <w:p w14:paraId="491DA7A1">
      <w:pPr>
        <w:pStyle w:val="53"/>
        <w:spacing w:line="360" w:lineRule="auto"/>
        <w:ind w:firstLine="560" w:firstLineChars="200"/>
        <w:outlineLvl w:val="0"/>
        <w:rPr>
          <w:rFonts w:hint="eastAsia" w:ascii="宋体" w:hAnsi="宋体" w:eastAsia="宋体" w:cs="宋体"/>
          <w:color w:val="auto"/>
          <w:kern w:val="21"/>
          <w:sz w:val="28"/>
          <w:szCs w:val="28"/>
          <w:highlight w:val="none"/>
          <w:u w:val="single"/>
        </w:rPr>
      </w:pPr>
      <w:bookmarkStart w:id="118" w:name="_Toc1290"/>
      <w:bookmarkStart w:id="119" w:name="_Toc28674"/>
      <w:bookmarkStart w:id="120" w:name="_Toc9027"/>
      <w:bookmarkStart w:id="121" w:name="_Toc19093"/>
      <w:bookmarkStart w:id="122" w:name="_Toc18592"/>
      <w:bookmarkStart w:id="123" w:name="_Toc21047"/>
      <w:r>
        <w:rPr>
          <w:rFonts w:hint="eastAsia" w:ascii="宋体" w:hAnsi="宋体" w:eastAsia="宋体" w:cs="宋体"/>
          <w:color w:val="auto"/>
          <w:kern w:val="21"/>
          <w:sz w:val="28"/>
          <w:szCs w:val="28"/>
          <w:highlight w:val="none"/>
        </w:rPr>
        <w:t>法定代表人</w:t>
      </w:r>
      <w:r>
        <w:rPr>
          <w:rFonts w:hint="eastAsia" w:ascii="宋体" w:hAnsi="宋体" w:eastAsia="宋体" w:cs="宋体"/>
          <w:color w:val="auto"/>
          <w:kern w:val="21"/>
          <w:sz w:val="28"/>
          <w:szCs w:val="28"/>
          <w:highlight w:val="none"/>
          <w:lang w:eastAsia="zh-CN"/>
        </w:rPr>
        <w:t>或</w:t>
      </w:r>
      <w:r>
        <w:rPr>
          <w:rFonts w:hint="eastAsia" w:ascii="宋体" w:hAnsi="宋体" w:eastAsia="宋体" w:cs="宋体"/>
          <w:color w:val="auto"/>
          <w:kern w:val="21"/>
          <w:sz w:val="28"/>
          <w:szCs w:val="28"/>
          <w:highlight w:val="none"/>
        </w:rPr>
        <w:t>委托代理人：</w:t>
      </w:r>
      <w:r>
        <w:rPr>
          <w:rFonts w:hint="eastAsia" w:ascii="宋体" w:hAnsi="宋体" w:eastAsia="宋体" w:cs="宋体"/>
          <w:color w:val="auto"/>
          <w:kern w:val="21"/>
          <w:sz w:val="28"/>
          <w:szCs w:val="28"/>
          <w:highlight w:val="none"/>
          <w:u w:val="single"/>
        </w:rPr>
        <w:t xml:space="preserve">                 （签字</w:t>
      </w:r>
      <w:r>
        <w:rPr>
          <w:rFonts w:hint="eastAsia" w:ascii="宋体" w:hAnsi="宋体" w:eastAsia="宋体" w:cs="宋体"/>
          <w:color w:val="auto"/>
          <w:kern w:val="21"/>
          <w:sz w:val="28"/>
          <w:szCs w:val="28"/>
          <w:highlight w:val="none"/>
          <w:u w:val="single"/>
          <w:lang w:eastAsia="zh-CN"/>
        </w:rPr>
        <w:t>或</w:t>
      </w:r>
      <w:r>
        <w:rPr>
          <w:rFonts w:hint="eastAsia" w:ascii="宋体" w:hAnsi="宋体" w:eastAsia="宋体" w:cs="宋体"/>
          <w:color w:val="auto"/>
          <w:kern w:val="21"/>
          <w:sz w:val="28"/>
          <w:szCs w:val="28"/>
          <w:highlight w:val="none"/>
          <w:u w:val="single"/>
        </w:rPr>
        <w:t>盖章）</w:t>
      </w:r>
      <w:bookmarkEnd w:id="118"/>
      <w:bookmarkEnd w:id="119"/>
      <w:bookmarkEnd w:id="120"/>
      <w:bookmarkEnd w:id="121"/>
      <w:bookmarkEnd w:id="122"/>
      <w:bookmarkEnd w:id="123"/>
    </w:p>
    <w:p w14:paraId="59883683">
      <w:pPr>
        <w:pStyle w:val="53"/>
        <w:spacing w:line="360" w:lineRule="auto"/>
        <w:ind w:firstLine="560" w:firstLineChars="200"/>
        <w:outlineLvl w:val="0"/>
        <w:rPr>
          <w:rFonts w:hint="eastAsia" w:ascii="宋体" w:hAnsi="宋体" w:eastAsia="宋体" w:cs="宋体"/>
          <w:color w:val="auto"/>
          <w:kern w:val="21"/>
          <w:sz w:val="28"/>
          <w:szCs w:val="28"/>
          <w:highlight w:val="none"/>
          <w:u w:val="single"/>
        </w:rPr>
      </w:pPr>
      <w:bookmarkStart w:id="124" w:name="_Toc59"/>
      <w:bookmarkStart w:id="125" w:name="_Toc18579"/>
      <w:bookmarkStart w:id="126" w:name="_Toc30640"/>
      <w:bookmarkStart w:id="127" w:name="_Toc29759"/>
      <w:bookmarkStart w:id="128" w:name="_Toc29136"/>
      <w:bookmarkStart w:id="129" w:name="_Toc2231"/>
      <w:r>
        <w:rPr>
          <w:rFonts w:hint="eastAsia" w:ascii="宋体" w:hAnsi="宋体" w:eastAsia="宋体" w:cs="宋体"/>
          <w:color w:val="auto"/>
          <w:kern w:val="21"/>
          <w:sz w:val="28"/>
          <w:szCs w:val="28"/>
          <w:highlight w:val="none"/>
          <w:lang w:eastAsia="zh-CN"/>
        </w:rPr>
        <w:t>供应商</w:t>
      </w:r>
      <w:r>
        <w:rPr>
          <w:rFonts w:hint="eastAsia" w:ascii="宋体" w:hAnsi="宋体" w:eastAsia="宋体" w:cs="宋体"/>
          <w:color w:val="auto"/>
          <w:kern w:val="21"/>
          <w:sz w:val="28"/>
          <w:szCs w:val="28"/>
          <w:highlight w:val="none"/>
        </w:rPr>
        <w:t>地址：</w:t>
      </w:r>
      <w:bookmarkEnd w:id="124"/>
      <w:bookmarkEnd w:id="125"/>
      <w:bookmarkEnd w:id="126"/>
      <w:bookmarkEnd w:id="127"/>
      <w:bookmarkEnd w:id="128"/>
      <w:bookmarkEnd w:id="129"/>
      <w:r>
        <w:rPr>
          <w:rFonts w:hint="eastAsia" w:ascii="宋体" w:hAnsi="宋体" w:eastAsia="宋体" w:cs="宋体"/>
          <w:color w:val="auto"/>
          <w:kern w:val="21"/>
          <w:sz w:val="28"/>
          <w:szCs w:val="28"/>
          <w:highlight w:val="none"/>
          <w:u w:val="single"/>
        </w:rPr>
        <w:t xml:space="preserve">                                           </w:t>
      </w:r>
    </w:p>
    <w:p w14:paraId="0529BE29">
      <w:pPr>
        <w:pStyle w:val="53"/>
        <w:spacing w:line="360" w:lineRule="auto"/>
        <w:ind w:firstLine="560" w:firstLineChars="200"/>
        <w:outlineLvl w:val="0"/>
        <w:rPr>
          <w:rFonts w:hint="eastAsia" w:ascii="宋体" w:hAnsi="宋体" w:eastAsia="宋体" w:cs="宋体"/>
          <w:color w:val="auto"/>
          <w:kern w:val="21"/>
          <w:sz w:val="28"/>
          <w:szCs w:val="28"/>
          <w:highlight w:val="none"/>
          <w:u w:val="single"/>
        </w:rPr>
      </w:pPr>
      <w:bookmarkStart w:id="130" w:name="_Toc20851"/>
      <w:bookmarkStart w:id="131" w:name="_Toc13514"/>
      <w:bookmarkStart w:id="132" w:name="_Toc17071"/>
      <w:bookmarkStart w:id="133" w:name="_Toc10472"/>
      <w:bookmarkStart w:id="134" w:name="_Toc11761"/>
      <w:bookmarkStart w:id="135" w:name="_Toc31495"/>
      <w:r>
        <w:rPr>
          <w:rFonts w:hint="eastAsia" w:ascii="宋体" w:hAnsi="宋体" w:eastAsia="宋体" w:cs="宋体"/>
          <w:color w:val="auto"/>
          <w:kern w:val="21"/>
          <w:sz w:val="28"/>
          <w:szCs w:val="28"/>
          <w:highlight w:val="none"/>
        </w:rPr>
        <w:t xml:space="preserve">邮  </w:t>
      </w:r>
      <w:r>
        <w:rPr>
          <w:rFonts w:hint="eastAsia" w:ascii="宋体" w:hAnsi="宋体" w:cs="宋体"/>
          <w:color w:val="auto"/>
          <w:kern w:val="21"/>
          <w:sz w:val="28"/>
          <w:szCs w:val="28"/>
          <w:highlight w:val="none"/>
          <w:lang w:val="en-US" w:eastAsia="zh-CN"/>
        </w:rPr>
        <w:t xml:space="preserve"> </w:t>
      </w:r>
      <w:r>
        <w:rPr>
          <w:rFonts w:hint="eastAsia" w:ascii="宋体" w:hAnsi="宋体" w:eastAsia="宋体" w:cs="宋体"/>
          <w:color w:val="auto"/>
          <w:kern w:val="21"/>
          <w:sz w:val="28"/>
          <w:szCs w:val="28"/>
          <w:highlight w:val="none"/>
        </w:rPr>
        <w:t xml:space="preserve"> 编：</w:t>
      </w:r>
      <w:bookmarkEnd w:id="130"/>
      <w:bookmarkEnd w:id="131"/>
      <w:bookmarkEnd w:id="132"/>
      <w:bookmarkEnd w:id="133"/>
      <w:bookmarkEnd w:id="134"/>
      <w:bookmarkEnd w:id="135"/>
      <w:r>
        <w:rPr>
          <w:rFonts w:hint="eastAsia" w:ascii="宋体" w:hAnsi="宋体" w:eastAsia="宋体" w:cs="宋体"/>
          <w:color w:val="auto"/>
          <w:kern w:val="21"/>
          <w:sz w:val="28"/>
          <w:szCs w:val="28"/>
          <w:highlight w:val="none"/>
          <w:u w:val="single"/>
        </w:rPr>
        <w:t xml:space="preserve">                                              </w:t>
      </w:r>
    </w:p>
    <w:p w14:paraId="2B23E012">
      <w:pPr>
        <w:pStyle w:val="53"/>
        <w:spacing w:line="360" w:lineRule="auto"/>
        <w:ind w:firstLine="560" w:firstLineChars="200"/>
        <w:outlineLvl w:val="0"/>
        <w:rPr>
          <w:rFonts w:hint="eastAsia" w:ascii="宋体" w:hAnsi="宋体" w:eastAsia="宋体" w:cs="宋体"/>
          <w:color w:val="auto"/>
          <w:kern w:val="21"/>
          <w:sz w:val="28"/>
          <w:szCs w:val="28"/>
          <w:highlight w:val="none"/>
          <w:u w:val="single"/>
        </w:rPr>
      </w:pPr>
      <w:bookmarkStart w:id="136" w:name="_Toc32730"/>
      <w:bookmarkStart w:id="137" w:name="_Toc496"/>
      <w:bookmarkStart w:id="138" w:name="_Toc4968"/>
      <w:bookmarkStart w:id="139" w:name="_Toc13609"/>
      <w:bookmarkStart w:id="140" w:name="_Toc15011"/>
      <w:bookmarkStart w:id="141" w:name="_Toc12529"/>
      <w:r>
        <w:rPr>
          <w:rFonts w:hint="eastAsia" w:ascii="宋体" w:hAnsi="宋体" w:eastAsia="宋体" w:cs="宋体"/>
          <w:color w:val="auto"/>
          <w:kern w:val="21"/>
          <w:sz w:val="28"/>
          <w:szCs w:val="28"/>
          <w:highlight w:val="none"/>
        </w:rPr>
        <w:t>联系电话：</w:t>
      </w:r>
      <w:bookmarkEnd w:id="136"/>
      <w:bookmarkEnd w:id="137"/>
      <w:bookmarkEnd w:id="138"/>
      <w:bookmarkEnd w:id="139"/>
      <w:bookmarkEnd w:id="140"/>
      <w:bookmarkEnd w:id="141"/>
      <w:r>
        <w:rPr>
          <w:rFonts w:hint="eastAsia" w:ascii="宋体" w:hAnsi="宋体" w:eastAsia="宋体" w:cs="宋体"/>
          <w:color w:val="auto"/>
          <w:kern w:val="21"/>
          <w:sz w:val="28"/>
          <w:szCs w:val="28"/>
          <w:highlight w:val="none"/>
          <w:u w:val="single"/>
        </w:rPr>
        <w:t xml:space="preserve">                                             </w:t>
      </w:r>
    </w:p>
    <w:p w14:paraId="36BA5C55">
      <w:pPr>
        <w:pStyle w:val="53"/>
        <w:spacing w:line="360" w:lineRule="auto"/>
        <w:ind w:firstLine="560" w:firstLineChars="200"/>
        <w:outlineLvl w:val="0"/>
        <w:rPr>
          <w:rFonts w:hint="eastAsia" w:ascii="宋体" w:hAnsi="宋体" w:eastAsia="宋体" w:cs="宋体"/>
          <w:color w:val="auto"/>
          <w:kern w:val="21"/>
          <w:sz w:val="28"/>
          <w:szCs w:val="28"/>
          <w:highlight w:val="none"/>
          <w:u w:val="single"/>
          <w:lang w:val="en-US" w:eastAsia="zh-CN"/>
        </w:rPr>
      </w:pPr>
      <w:bookmarkStart w:id="142" w:name="_Toc11408"/>
      <w:bookmarkStart w:id="143" w:name="_Toc14335"/>
      <w:bookmarkStart w:id="144" w:name="_Toc14016"/>
      <w:r>
        <w:rPr>
          <w:rFonts w:hint="eastAsia" w:ascii="宋体" w:hAnsi="宋体" w:eastAsia="宋体" w:cs="宋体"/>
          <w:color w:val="auto"/>
          <w:kern w:val="21"/>
          <w:sz w:val="28"/>
          <w:szCs w:val="28"/>
          <w:highlight w:val="none"/>
          <w:u w:val="none"/>
          <w:lang w:eastAsia="zh-CN"/>
        </w:rPr>
        <w:t>日</w:t>
      </w:r>
      <w:r>
        <w:rPr>
          <w:rFonts w:hint="eastAsia" w:ascii="宋体" w:hAnsi="宋体" w:eastAsia="宋体" w:cs="宋体"/>
          <w:color w:val="auto"/>
          <w:kern w:val="21"/>
          <w:sz w:val="28"/>
          <w:szCs w:val="28"/>
          <w:highlight w:val="none"/>
          <w:u w:val="none"/>
          <w:lang w:val="en-US" w:eastAsia="zh-CN"/>
        </w:rPr>
        <w:t xml:space="preserve">    </w:t>
      </w:r>
      <w:r>
        <w:rPr>
          <w:rFonts w:hint="eastAsia" w:ascii="宋体" w:hAnsi="宋体" w:eastAsia="宋体" w:cs="宋体"/>
          <w:color w:val="auto"/>
          <w:kern w:val="21"/>
          <w:sz w:val="28"/>
          <w:szCs w:val="28"/>
          <w:highlight w:val="none"/>
          <w:u w:val="none"/>
          <w:lang w:eastAsia="zh-CN"/>
        </w:rPr>
        <w:t>期：</w:t>
      </w:r>
      <w:bookmarkEnd w:id="142"/>
      <w:bookmarkEnd w:id="143"/>
      <w:bookmarkEnd w:id="144"/>
      <w:r>
        <w:rPr>
          <w:rFonts w:hint="eastAsia" w:ascii="宋体" w:hAnsi="宋体" w:eastAsia="宋体" w:cs="宋体"/>
          <w:color w:val="auto"/>
          <w:kern w:val="21"/>
          <w:sz w:val="28"/>
          <w:szCs w:val="28"/>
          <w:highlight w:val="none"/>
          <w:u w:val="single"/>
          <w:lang w:val="en-US" w:eastAsia="zh-CN"/>
        </w:rPr>
        <w:t xml:space="preserve">                                            </w:t>
      </w:r>
    </w:p>
    <w:p w14:paraId="263516EA">
      <w:pPr>
        <w:pStyle w:val="11"/>
        <w:jc w:val="center"/>
        <w:outlineLvl w:val="0"/>
        <w:rPr>
          <w:rFonts w:hint="eastAsia" w:ascii="宋体" w:hAnsi="宋体" w:eastAsia="宋体" w:cs="宋体"/>
          <w:color w:val="auto"/>
          <w:kern w:val="21"/>
          <w:sz w:val="44"/>
          <w:szCs w:val="44"/>
          <w:highlight w:val="none"/>
          <w:lang w:eastAsia="zh-CN"/>
        </w:rPr>
      </w:pPr>
      <w:bookmarkStart w:id="145" w:name="_Toc18210"/>
      <w:bookmarkStart w:id="146" w:name="_Toc17082"/>
      <w:bookmarkStart w:id="147" w:name="_Toc19508"/>
    </w:p>
    <w:p w14:paraId="05348D0C">
      <w:pPr>
        <w:rPr>
          <w:rFonts w:hint="eastAsia"/>
          <w:color w:val="auto"/>
          <w:highlight w:val="none"/>
          <w:lang w:eastAsia="zh-CN"/>
        </w:rPr>
      </w:pPr>
    </w:p>
    <w:p w14:paraId="7EC59E6F">
      <w:pPr>
        <w:pStyle w:val="11"/>
        <w:jc w:val="center"/>
        <w:outlineLvl w:val="0"/>
        <w:rPr>
          <w:rFonts w:hint="eastAsia" w:ascii="宋体" w:hAnsi="宋体" w:eastAsia="宋体" w:cs="宋体"/>
          <w:color w:val="auto"/>
          <w:sz w:val="44"/>
          <w:szCs w:val="44"/>
          <w:highlight w:val="none"/>
          <w:lang w:eastAsia="zh-CN"/>
        </w:rPr>
      </w:pPr>
      <w:bookmarkStart w:id="148" w:name="_Toc11324"/>
      <w:bookmarkStart w:id="149" w:name="_Toc16586"/>
      <w:bookmarkStart w:id="150" w:name="_Toc26308"/>
      <w:r>
        <w:rPr>
          <w:rFonts w:hint="eastAsia" w:ascii="宋体" w:hAnsi="宋体" w:eastAsia="宋体" w:cs="宋体"/>
          <w:color w:val="auto"/>
          <w:kern w:val="21"/>
          <w:sz w:val="44"/>
          <w:szCs w:val="44"/>
          <w:highlight w:val="none"/>
          <w:lang w:eastAsia="zh-CN"/>
        </w:rPr>
        <w:t>目</w:t>
      </w:r>
      <w:r>
        <w:rPr>
          <w:rFonts w:hint="eastAsia" w:ascii="宋体" w:hAnsi="宋体" w:eastAsia="宋体" w:cs="宋体"/>
          <w:color w:val="auto"/>
          <w:kern w:val="21"/>
          <w:sz w:val="44"/>
          <w:szCs w:val="44"/>
          <w:highlight w:val="none"/>
          <w:lang w:val="en-US" w:eastAsia="zh-CN"/>
        </w:rPr>
        <w:t xml:space="preserve">  </w:t>
      </w:r>
      <w:r>
        <w:rPr>
          <w:rFonts w:hint="eastAsia" w:ascii="宋体" w:hAnsi="宋体" w:eastAsia="宋体" w:cs="宋体"/>
          <w:color w:val="auto"/>
          <w:kern w:val="21"/>
          <w:sz w:val="44"/>
          <w:szCs w:val="44"/>
          <w:highlight w:val="none"/>
          <w:lang w:eastAsia="zh-CN"/>
        </w:rPr>
        <w:t>录</w:t>
      </w:r>
      <w:bookmarkEnd w:id="145"/>
      <w:bookmarkEnd w:id="146"/>
      <w:bookmarkEnd w:id="147"/>
      <w:bookmarkEnd w:id="148"/>
      <w:bookmarkEnd w:id="149"/>
      <w:bookmarkEnd w:id="150"/>
    </w:p>
    <w:p w14:paraId="07510C5A">
      <w:pPr>
        <w:keepNext w:val="0"/>
        <w:keepLines w:val="0"/>
        <w:pageBreakBefore w:val="0"/>
        <w:widowControl/>
        <w:kinsoku/>
        <w:wordWrap/>
        <w:overflowPunct/>
        <w:topLinePunct w:val="0"/>
        <w:autoSpaceDE/>
        <w:autoSpaceDN/>
        <w:bidi w:val="0"/>
        <w:adjustRightInd/>
        <w:snapToGrid/>
        <w:spacing w:line="360" w:lineRule="auto"/>
        <w:textAlignment w:val="baseline"/>
        <w:outlineLvl w:val="0"/>
        <w:rPr>
          <w:rFonts w:hint="eastAsia" w:ascii="宋体" w:hAnsi="宋体" w:eastAsia="宋体" w:cs="宋体"/>
          <w:color w:val="auto"/>
          <w:sz w:val="21"/>
          <w:szCs w:val="21"/>
          <w:highlight w:val="none"/>
        </w:rPr>
      </w:pPr>
      <w:bookmarkStart w:id="151" w:name="_Toc32749"/>
      <w:bookmarkStart w:id="152" w:name="_Toc29276"/>
      <w:bookmarkStart w:id="153" w:name="_Toc3253"/>
      <w:bookmarkStart w:id="154" w:name="_Toc8182"/>
      <w:bookmarkStart w:id="155" w:name="_Toc24355"/>
      <w:bookmarkStart w:id="156" w:name="_Toc5612"/>
      <w:r>
        <w:rPr>
          <w:rFonts w:hint="eastAsia" w:ascii="宋体" w:hAnsi="宋体" w:eastAsia="宋体" w:cs="宋体"/>
          <w:color w:val="auto"/>
          <w:sz w:val="21"/>
          <w:szCs w:val="21"/>
          <w:highlight w:val="none"/>
        </w:rPr>
        <w:t>一、商务部分</w:t>
      </w:r>
      <w:bookmarkEnd w:id="151"/>
      <w:bookmarkEnd w:id="152"/>
      <w:bookmarkEnd w:id="153"/>
      <w:bookmarkEnd w:id="154"/>
      <w:bookmarkEnd w:id="155"/>
      <w:bookmarkEnd w:id="156"/>
    </w:p>
    <w:p w14:paraId="3E65287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开标一览表</w:t>
      </w:r>
    </w:p>
    <w:p w14:paraId="6A2F536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投标函</w:t>
      </w:r>
    </w:p>
    <w:p w14:paraId="3B65C7B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法定代表人身份证明</w:t>
      </w:r>
    </w:p>
    <w:p w14:paraId="7DD7EF9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4、法定代表人授权委托书</w:t>
      </w:r>
    </w:p>
    <w:p w14:paraId="7205C42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5、中小企业声明函</w:t>
      </w:r>
    </w:p>
    <w:p w14:paraId="3F0CC77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6、残疾人福利性单位声明函</w:t>
      </w:r>
    </w:p>
    <w:p w14:paraId="17D7A53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7、监狱企业证明函</w:t>
      </w:r>
    </w:p>
    <w:p w14:paraId="4BA0AE55">
      <w:pPr>
        <w:keepNext w:val="0"/>
        <w:keepLines w:val="0"/>
        <w:pageBreakBefore w:val="0"/>
        <w:widowControl/>
        <w:kinsoku/>
        <w:wordWrap/>
        <w:overflowPunct/>
        <w:topLinePunct w:val="0"/>
        <w:autoSpaceDE/>
        <w:autoSpaceDN/>
        <w:bidi w:val="0"/>
        <w:adjustRightInd/>
        <w:snapToGrid/>
        <w:spacing w:line="360" w:lineRule="auto"/>
        <w:textAlignment w:val="baseline"/>
        <w:outlineLvl w:val="0"/>
        <w:rPr>
          <w:rFonts w:hint="eastAsia" w:ascii="宋体" w:hAnsi="宋体" w:eastAsia="宋体" w:cs="宋体"/>
          <w:color w:val="auto"/>
          <w:sz w:val="21"/>
          <w:szCs w:val="21"/>
          <w:highlight w:val="none"/>
          <w:lang w:val="en-US" w:eastAsia="zh-CN"/>
        </w:rPr>
      </w:pPr>
      <w:bookmarkStart w:id="157" w:name="_Toc6466"/>
      <w:bookmarkStart w:id="158" w:name="_Toc15894"/>
      <w:bookmarkStart w:id="159" w:name="_Toc12589"/>
      <w:bookmarkStart w:id="160" w:name="_Toc859"/>
      <w:bookmarkStart w:id="161" w:name="_Toc8848"/>
      <w:bookmarkStart w:id="162" w:name="_Toc28767"/>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技术部分</w:t>
      </w:r>
      <w:bookmarkEnd w:id="157"/>
      <w:bookmarkEnd w:id="158"/>
      <w:bookmarkEnd w:id="159"/>
      <w:bookmarkEnd w:id="160"/>
      <w:bookmarkEnd w:id="161"/>
      <w:bookmarkEnd w:id="162"/>
    </w:p>
    <w:p w14:paraId="5FCD15E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1、施工组织设计</w:t>
      </w:r>
    </w:p>
    <w:p w14:paraId="687D0BC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2、近年完成类似项目业绩</w:t>
      </w:r>
    </w:p>
    <w:p w14:paraId="78E75B60">
      <w:pPr>
        <w:keepNext w:val="0"/>
        <w:keepLines w:val="0"/>
        <w:pageBreakBefore w:val="0"/>
        <w:widowControl/>
        <w:kinsoku/>
        <w:wordWrap/>
        <w:overflowPunct/>
        <w:topLinePunct w:val="0"/>
        <w:autoSpaceDE/>
        <w:autoSpaceDN/>
        <w:bidi w:val="0"/>
        <w:adjustRightInd/>
        <w:snapToGrid/>
        <w:spacing w:line="360" w:lineRule="auto"/>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三、资格部分</w:t>
      </w:r>
    </w:p>
    <w:p w14:paraId="52B997A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、资质文件</w:t>
      </w:r>
    </w:p>
    <w:p w14:paraId="4E90D28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、其他证明材料</w:t>
      </w:r>
    </w:p>
    <w:p w14:paraId="54038480">
      <w:pPr>
        <w:pStyle w:val="11"/>
        <w:rPr>
          <w:rFonts w:hint="eastAsia" w:ascii="宋体" w:hAnsi="宋体" w:eastAsia="宋体" w:cs="宋体"/>
          <w:b/>
          <w:color w:val="auto"/>
          <w:kern w:val="21"/>
          <w:sz w:val="32"/>
          <w:szCs w:val="32"/>
          <w:highlight w:val="none"/>
        </w:rPr>
      </w:pPr>
    </w:p>
    <w:p w14:paraId="3D5E05DB">
      <w:pPr>
        <w:rPr>
          <w:rFonts w:hint="eastAsia" w:ascii="宋体" w:hAnsi="宋体" w:eastAsia="宋体" w:cs="宋体"/>
          <w:b/>
          <w:color w:val="auto"/>
          <w:kern w:val="21"/>
          <w:sz w:val="32"/>
          <w:szCs w:val="32"/>
          <w:highlight w:val="none"/>
        </w:rPr>
      </w:pPr>
    </w:p>
    <w:p w14:paraId="4DDE8629">
      <w:pPr>
        <w:pStyle w:val="11"/>
        <w:rPr>
          <w:rFonts w:hint="eastAsia" w:ascii="宋体" w:hAnsi="宋体" w:eastAsia="宋体" w:cs="宋体"/>
          <w:b/>
          <w:color w:val="auto"/>
          <w:kern w:val="21"/>
          <w:sz w:val="32"/>
          <w:szCs w:val="32"/>
          <w:highlight w:val="none"/>
        </w:rPr>
      </w:pPr>
    </w:p>
    <w:p w14:paraId="0550CDA1">
      <w:pPr>
        <w:rPr>
          <w:rFonts w:hint="eastAsia" w:ascii="宋体" w:hAnsi="宋体" w:eastAsia="宋体" w:cs="宋体"/>
          <w:b/>
          <w:color w:val="auto"/>
          <w:kern w:val="21"/>
          <w:sz w:val="32"/>
          <w:szCs w:val="32"/>
          <w:highlight w:val="none"/>
        </w:rPr>
      </w:pPr>
    </w:p>
    <w:p w14:paraId="3E0B6458">
      <w:pPr>
        <w:pStyle w:val="11"/>
        <w:rPr>
          <w:rFonts w:hint="eastAsia" w:ascii="宋体" w:hAnsi="宋体" w:eastAsia="宋体" w:cs="宋体"/>
          <w:b/>
          <w:color w:val="auto"/>
          <w:kern w:val="21"/>
          <w:sz w:val="32"/>
          <w:szCs w:val="32"/>
          <w:highlight w:val="none"/>
        </w:rPr>
      </w:pPr>
    </w:p>
    <w:p w14:paraId="78B52251">
      <w:pPr>
        <w:rPr>
          <w:rFonts w:hint="eastAsia" w:ascii="宋体" w:hAnsi="宋体" w:eastAsia="宋体" w:cs="宋体"/>
          <w:b/>
          <w:color w:val="auto"/>
          <w:kern w:val="21"/>
          <w:sz w:val="32"/>
          <w:szCs w:val="32"/>
          <w:highlight w:val="none"/>
        </w:rPr>
      </w:pPr>
    </w:p>
    <w:p w14:paraId="701CB795">
      <w:pPr>
        <w:pStyle w:val="11"/>
        <w:rPr>
          <w:rFonts w:hint="eastAsia" w:ascii="宋体" w:hAnsi="宋体" w:eastAsia="宋体" w:cs="宋体"/>
          <w:b/>
          <w:color w:val="auto"/>
          <w:kern w:val="21"/>
          <w:sz w:val="32"/>
          <w:szCs w:val="32"/>
          <w:highlight w:val="none"/>
        </w:rPr>
      </w:pPr>
    </w:p>
    <w:p w14:paraId="1ED63BB0">
      <w:pPr>
        <w:pStyle w:val="21"/>
        <w:rPr>
          <w:rFonts w:hint="eastAsia" w:ascii="宋体" w:hAnsi="宋体" w:eastAsia="宋体" w:cs="宋体"/>
          <w:b/>
          <w:color w:val="auto"/>
          <w:kern w:val="21"/>
          <w:sz w:val="32"/>
          <w:szCs w:val="32"/>
          <w:highlight w:val="none"/>
        </w:rPr>
      </w:pPr>
    </w:p>
    <w:p w14:paraId="35AB8C7A">
      <w:pPr>
        <w:pStyle w:val="21"/>
        <w:rPr>
          <w:rFonts w:hint="eastAsia" w:ascii="宋体" w:hAnsi="宋体" w:eastAsia="宋体" w:cs="宋体"/>
          <w:b/>
          <w:color w:val="auto"/>
          <w:kern w:val="21"/>
          <w:sz w:val="32"/>
          <w:szCs w:val="32"/>
          <w:highlight w:val="none"/>
        </w:rPr>
      </w:pPr>
    </w:p>
    <w:p w14:paraId="5C7F9FAD">
      <w:pPr>
        <w:pStyle w:val="21"/>
        <w:rPr>
          <w:rFonts w:hint="eastAsia" w:ascii="宋体" w:hAnsi="宋体" w:eastAsia="宋体" w:cs="宋体"/>
          <w:b/>
          <w:color w:val="auto"/>
          <w:kern w:val="21"/>
          <w:sz w:val="32"/>
          <w:szCs w:val="32"/>
          <w:highlight w:val="none"/>
        </w:rPr>
      </w:pPr>
    </w:p>
    <w:p w14:paraId="0B45C81C">
      <w:pPr>
        <w:pStyle w:val="21"/>
        <w:rPr>
          <w:rFonts w:hint="eastAsia" w:ascii="宋体" w:hAnsi="宋体" w:eastAsia="宋体" w:cs="宋体"/>
          <w:b/>
          <w:color w:val="auto"/>
          <w:kern w:val="21"/>
          <w:sz w:val="32"/>
          <w:szCs w:val="32"/>
          <w:highlight w:val="none"/>
        </w:rPr>
      </w:pPr>
    </w:p>
    <w:p w14:paraId="7681D16C">
      <w:pPr>
        <w:rPr>
          <w:rFonts w:hint="eastAsia" w:ascii="宋体" w:hAnsi="宋体" w:eastAsia="宋体" w:cs="宋体"/>
          <w:b/>
          <w:color w:val="auto"/>
          <w:kern w:val="21"/>
          <w:sz w:val="32"/>
          <w:szCs w:val="32"/>
          <w:highlight w:val="none"/>
        </w:rPr>
      </w:pPr>
    </w:p>
    <w:p w14:paraId="24F05927">
      <w:pPr>
        <w:pStyle w:val="3"/>
        <w:outlineLvl w:val="9"/>
        <w:rPr>
          <w:rFonts w:hint="eastAsia" w:ascii="宋体" w:hAnsi="宋体" w:eastAsia="宋体" w:cs="宋体"/>
          <w:color w:val="auto"/>
          <w:highlight w:val="none"/>
        </w:rPr>
      </w:pPr>
    </w:p>
    <w:p w14:paraId="129C52EE">
      <w:pPr>
        <w:rPr>
          <w:rFonts w:hint="eastAsia" w:ascii="宋体" w:hAnsi="宋体" w:eastAsia="宋体" w:cs="宋体"/>
          <w:color w:val="auto"/>
          <w:highlight w:val="none"/>
        </w:rPr>
      </w:pPr>
    </w:p>
    <w:p w14:paraId="44C96783">
      <w:pPr>
        <w:pStyle w:val="3"/>
        <w:outlineLvl w:val="0"/>
        <w:rPr>
          <w:rFonts w:hint="eastAsia" w:ascii="宋体" w:hAnsi="宋体" w:eastAsia="宋体" w:cs="宋体"/>
          <w:color w:val="auto"/>
          <w:kern w:val="21"/>
          <w:highlight w:val="none"/>
        </w:rPr>
      </w:pPr>
      <w:bookmarkStart w:id="163" w:name="_Toc31606"/>
      <w:bookmarkStart w:id="164" w:name="_Toc2289"/>
      <w:bookmarkStart w:id="165" w:name="_Toc30896"/>
      <w:bookmarkStart w:id="166" w:name="_Toc17217"/>
      <w:bookmarkStart w:id="167" w:name="_Toc6505"/>
      <w:bookmarkStart w:id="168" w:name="_Toc28793"/>
      <w:r>
        <w:rPr>
          <w:rFonts w:hint="eastAsia" w:ascii="宋体" w:hAnsi="宋体" w:eastAsia="宋体" w:cs="宋体"/>
          <w:color w:val="auto"/>
          <w:kern w:val="21"/>
          <w:highlight w:val="none"/>
        </w:rPr>
        <w:t>一、商务部分</w:t>
      </w:r>
      <w:bookmarkEnd w:id="163"/>
      <w:bookmarkEnd w:id="164"/>
      <w:bookmarkEnd w:id="165"/>
      <w:bookmarkEnd w:id="166"/>
      <w:bookmarkEnd w:id="167"/>
      <w:bookmarkEnd w:id="168"/>
    </w:p>
    <w:p w14:paraId="0CC5D29D">
      <w:pPr>
        <w:pStyle w:val="4"/>
        <w:outlineLvl w:val="1"/>
        <w:rPr>
          <w:rFonts w:hint="eastAsia" w:ascii="宋体" w:hAnsi="宋体" w:eastAsia="宋体" w:cs="宋体"/>
          <w:color w:val="auto"/>
          <w:kern w:val="21"/>
          <w:highlight w:val="none"/>
        </w:rPr>
      </w:pPr>
      <w:r>
        <w:rPr>
          <w:rFonts w:hint="eastAsia" w:ascii="宋体" w:hAnsi="宋体" w:eastAsia="宋体" w:cs="宋体"/>
          <w:color w:val="auto"/>
          <w:kern w:val="21"/>
          <w:highlight w:val="none"/>
        </w:rPr>
        <w:t>1</w:t>
      </w:r>
      <w:r>
        <w:rPr>
          <w:rFonts w:hint="eastAsia" w:ascii="宋体" w:hAnsi="宋体" w:eastAsia="宋体" w:cs="宋体"/>
          <w:color w:val="auto"/>
          <w:kern w:val="21"/>
          <w:highlight w:val="none"/>
          <w:lang w:eastAsia="zh-CN"/>
        </w:rPr>
        <w:t>、</w:t>
      </w:r>
      <w:r>
        <w:rPr>
          <w:rFonts w:hint="eastAsia" w:ascii="宋体" w:hAnsi="宋体" w:eastAsia="宋体" w:cs="宋体"/>
          <w:color w:val="auto"/>
          <w:kern w:val="21"/>
          <w:highlight w:val="none"/>
        </w:rPr>
        <w:t>开标一览表</w:t>
      </w:r>
    </w:p>
    <w:tbl>
      <w:tblPr>
        <w:tblStyle w:val="23"/>
        <w:tblW w:w="96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7836"/>
      </w:tblGrid>
      <w:tr w14:paraId="6797D6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8" w:hRule="exact"/>
          <w:jc w:val="center"/>
        </w:trPr>
        <w:tc>
          <w:tcPr>
            <w:tcW w:w="1812" w:type="dxa"/>
            <w:tcBorders>
              <w:top w:val="single" w:color="auto" w:sz="12" w:space="0"/>
              <w:bottom w:val="single" w:color="auto" w:sz="12" w:space="0"/>
              <w:right w:val="single" w:color="auto" w:sz="12" w:space="0"/>
            </w:tcBorders>
            <w:noWrap w:val="0"/>
            <w:vAlign w:val="center"/>
          </w:tcPr>
          <w:p w14:paraId="102B7000">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1"/>
                <w:sz w:val="22"/>
                <w:szCs w:val="22"/>
                <w:highlight w:val="none"/>
              </w:rPr>
            </w:pPr>
            <w:r>
              <w:rPr>
                <w:rFonts w:hint="eastAsia" w:ascii="宋体" w:hAnsi="宋体" w:eastAsia="宋体" w:cs="宋体"/>
                <w:color w:val="auto"/>
                <w:kern w:val="21"/>
                <w:sz w:val="22"/>
                <w:szCs w:val="22"/>
                <w:highlight w:val="none"/>
              </w:rPr>
              <w:t>项目名称</w:t>
            </w:r>
          </w:p>
        </w:tc>
        <w:tc>
          <w:tcPr>
            <w:tcW w:w="7836" w:type="dxa"/>
            <w:tcBorders>
              <w:top w:val="single" w:color="auto" w:sz="12" w:space="0"/>
              <w:left w:val="single" w:color="auto" w:sz="12" w:space="0"/>
              <w:bottom w:val="single" w:color="auto" w:sz="12" w:space="0"/>
            </w:tcBorders>
            <w:noWrap w:val="0"/>
            <w:vAlign w:val="center"/>
          </w:tcPr>
          <w:p w14:paraId="0871857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21"/>
                <w:sz w:val="22"/>
                <w:szCs w:val="22"/>
                <w:highlight w:val="none"/>
              </w:rPr>
            </w:pPr>
          </w:p>
        </w:tc>
      </w:tr>
      <w:tr w14:paraId="56C26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3" w:hRule="exact"/>
          <w:jc w:val="center"/>
        </w:trPr>
        <w:tc>
          <w:tcPr>
            <w:tcW w:w="1812" w:type="dxa"/>
            <w:tcBorders>
              <w:top w:val="single" w:color="auto" w:sz="12" w:space="0"/>
              <w:right w:val="single" w:color="auto" w:sz="12" w:space="0"/>
            </w:tcBorders>
            <w:noWrap w:val="0"/>
            <w:vAlign w:val="center"/>
          </w:tcPr>
          <w:p w14:paraId="3771ABAB">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1"/>
                <w:sz w:val="22"/>
                <w:szCs w:val="22"/>
                <w:highlight w:val="none"/>
              </w:rPr>
            </w:pPr>
            <w:r>
              <w:rPr>
                <w:rFonts w:hint="eastAsia" w:ascii="宋体" w:hAnsi="宋体" w:eastAsia="宋体" w:cs="宋体"/>
                <w:color w:val="auto"/>
                <w:kern w:val="21"/>
                <w:sz w:val="22"/>
                <w:szCs w:val="22"/>
                <w:highlight w:val="none"/>
              </w:rPr>
              <w:t>项目编号</w:t>
            </w:r>
          </w:p>
        </w:tc>
        <w:tc>
          <w:tcPr>
            <w:tcW w:w="7836" w:type="dxa"/>
            <w:tcBorders>
              <w:top w:val="single" w:color="auto" w:sz="12" w:space="0"/>
              <w:left w:val="single" w:color="auto" w:sz="12" w:space="0"/>
            </w:tcBorders>
            <w:noWrap w:val="0"/>
            <w:vAlign w:val="center"/>
          </w:tcPr>
          <w:p w14:paraId="466B2390">
            <w:pPr>
              <w:keepNext w:val="0"/>
              <w:keepLines w:val="0"/>
              <w:widowControl/>
              <w:suppressLineNumbers w:val="0"/>
              <w:spacing w:before="0" w:beforeAutospacing="0" w:after="0" w:afterAutospacing="0"/>
              <w:ind w:left="0" w:right="0"/>
              <w:rPr>
                <w:rFonts w:hint="eastAsia" w:ascii="宋体" w:hAnsi="宋体" w:eastAsia="宋体" w:cs="宋体"/>
                <w:color w:val="auto"/>
                <w:kern w:val="21"/>
                <w:sz w:val="22"/>
                <w:szCs w:val="22"/>
                <w:highlight w:val="none"/>
              </w:rPr>
            </w:pPr>
          </w:p>
        </w:tc>
      </w:tr>
      <w:tr w14:paraId="1F0A3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1812" w:type="dxa"/>
            <w:tcBorders>
              <w:right w:val="single" w:color="auto" w:sz="12" w:space="0"/>
            </w:tcBorders>
            <w:noWrap w:val="0"/>
            <w:vAlign w:val="center"/>
          </w:tcPr>
          <w:p w14:paraId="48BBF63A">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1"/>
                <w:sz w:val="22"/>
                <w:szCs w:val="22"/>
                <w:highlight w:val="none"/>
              </w:rPr>
            </w:pPr>
            <w:r>
              <w:rPr>
                <w:rFonts w:hint="eastAsia" w:ascii="宋体" w:hAnsi="宋体" w:eastAsia="宋体" w:cs="宋体"/>
                <w:color w:val="auto"/>
                <w:kern w:val="21"/>
                <w:sz w:val="22"/>
                <w:szCs w:val="22"/>
                <w:highlight w:val="none"/>
                <w:lang w:eastAsia="zh-CN"/>
              </w:rPr>
              <w:t>供应商</w:t>
            </w:r>
            <w:r>
              <w:rPr>
                <w:rFonts w:hint="eastAsia" w:ascii="宋体" w:hAnsi="宋体" w:eastAsia="宋体" w:cs="宋体"/>
                <w:color w:val="auto"/>
                <w:kern w:val="21"/>
                <w:sz w:val="22"/>
                <w:szCs w:val="22"/>
                <w:highlight w:val="none"/>
              </w:rPr>
              <w:t>名称</w:t>
            </w:r>
          </w:p>
        </w:tc>
        <w:tc>
          <w:tcPr>
            <w:tcW w:w="7836" w:type="dxa"/>
            <w:tcBorders>
              <w:left w:val="single" w:color="auto" w:sz="12" w:space="0"/>
            </w:tcBorders>
            <w:noWrap w:val="0"/>
            <w:vAlign w:val="top"/>
          </w:tcPr>
          <w:p w14:paraId="6438F74F">
            <w:pPr>
              <w:pStyle w:val="14"/>
              <w:keepNext w:val="0"/>
              <w:keepLines w:val="0"/>
              <w:suppressLineNumbers w:val="0"/>
              <w:spacing w:before="0" w:beforeAutospacing="0" w:after="0" w:afterAutospacing="0" w:line="460" w:lineRule="exact"/>
              <w:ind w:left="86" w:leftChars="41" w:right="0"/>
              <w:rPr>
                <w:rFonts w:hint="eastAsia" w:ascii="宋体" w:hAnsi="宋体" w:eastAsia="宋体" w:cs="宋体"/>
                <w:color w:val="auto"/>
                <w:kern w:val="21"/>
                <w:sz w:val="22"/>
                <w:szCs w:val="22"/>
                <w:highlight w:val="none"/>
              </w:rPr>
            </w:pPr>
          </w:p>
        </w:tc>
      </w:tr>
      <w:tr w14:paraId="11CD9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21" w:hRule="exact"/>
          <w:jc w:val="center"/>
        </w:trPr>
        <w:tc>
          <w:tcPr>
            <w:tcW w:w="1812" w:type="dxa"/>
            <w:tcBorders>
              <w:right w:val="single" w:color="auto" w:sz="12" w:space="0"/>
            </w:tcBorders>
            <w:noWrap w:val="0"/>
            <w:vAlign w:val="center"/>
          </w:tcPr>
          <w:p w14:paraId="4F4305F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1"/>
                <w:sz w:val="22"/>
                <w:szCs w:val="22"/>
                <w:highlight w:val="none"/>
                <w:lang w:val="en-US" w:eastAsia="zh-CN"/>
              </w:rPr>
            </w:pPr>
            <w:r>
              <w:rPr>
                <w:rFonts w:hint="eastAsia" w:ascii="宋体" w:hAnsi="宋体" w:eastAsia="宋体" w:cs="宋体"/>
                <w:color w:val="auto"/>
                <w:kern w:val="21"/>
                <w:sz w:val="22"/>
                <w:szCs w:val="22"/>
                <w:highlight w:val="none"/>
              </w:rPr>
              <w:t>总投标价\工期</w:t>
            </w:r>
            <w:r>
              <w:rPr>
                <w:rFonts w:hint="eastAsia" w:ascii="宋体" w:hAnsi="宋体" w:eastAsia="宋体" w:cs="宋体"/>
                <w:color w:val="auto"/>
                <w:kern w:val="21"/>
                <w:sz w:val="22"/>
                <w:szCs w:val="22"/>
                <w:highlight w:val="none"/>
                <w:lang w:val="en-US" w:eastAsia="zh-CN"/>
              </w:rPr>
              <w:t>\质量标准</w:t>
            </w:r>
          </w:p>
        </w:tc>
        <w:tc>
          <w:tcPr>
            <w:tcW w:w="7836" w:type="dxa"/>
            <w:tcBorders>
              <w:left w:val="single" w:color="auto" w:sz="12" w:space="0"/>
            </w:tcBorders>
            <w:noWrap w:val="0"/>
            <w:vAlign w:val="center"/>
          </w:tcPr>
          <w:p w14:paraId="44385BC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1"/>
                <w:sz w:val="22"/>
                <w:szCs w:val="22"/>
                <w:highlight w:val="none"/>
                <w:u w:val="none" w:color="auto"/>
              </w:rPr>
            </w:pPr>
            <w:r>
              <w:rPr>
                <w:rFonts w:hint="eastAsia" w:ascii="宋体" w:hAnsi="宋体" w:eastAsia="宋体" w:cs="宋体"/>
                <w:color w:val="auto"/>
                <w:kern w:val="21"/>
                <w:sz w:val="22"/>
                <w:szCs w:val="22"/>
                <w:highlight w:val="none"/>
              </w:rPr>
              <w:t>总投标价 （大写）：</w:t>
            </w:r>
            <w:r>
              <w:rPr>
                <w:rFonts w:hint="eastAsia" w:ascii="宋体" w:hAnsi="宋体" w:eastAsia="宋体" w:cs="宋体"/>
                <w:color w:val="auto"/>
                <w:kern w:val="21"/>
                <w:sz w:val="22"/>
                <w:szCs w:val="22"/>
                <w:highlight w:val="none"/>
                <w:u w:val="single"/>
              </w:rPr>
              <w:t xml:space="preserve">                    </w:t>
            </w:r>
          </w:p>
          <w:p w14:paraId="274A47BC">
            <w:pPr>
              <w:keepNext w:val="0"/>
              <w:keepLines w:val="0"/>
              <w:widowControl/>
              <w:suppressLineNumbers w:val="0"/>
              <w:spacing w:before="0" w:beforeAutospacing="0" w:after="0" w:afterAutospacing="0" w:line="360" w:lineRule="auto"/>
              <w:ind w:left="0" w:right="0" w:firstLine="1100" w:firstLineChars="500"/>
              <w:rPr>
                <w:rFonts w:hint="eastAsia" w:ascii="宋体" w:hAnsi="宋体" w:eastAsia="宋体" w:cs="宋体"/>
                <w:color w:val="auto"/>
                <w:kern w:val="21"/>
                <w:sz w:val="22"/>
                <w:szCs w:val="22"/>
                <w:highlight w:val="none"/>
              </w:rPr>
            </w:pPr>
            <w:r>
              <w:rPr>
                <w:rFonts w:hint="eastAsia" w:ascii="宋体" w:hAnsi="宋体" w:eastAsia="宋体" w:cs="宋体"/>
                <w:color w:val="auto"/>
                <w:kern w:val="21"/>
                <w:sz w:val="22"/>
                <w:szCs w:val="22"/>
                <w:highlight w:val="none"/>
              </w:rPr>
              <w:t>(小写) ：</w:t>
            </w:r>
            <w:r>
              <w:rPr>
                <w:rFonts w:hint="eastAsia" w:ascii="宋体" w:hAnsi="宋体" w:eastAsia="宋体" w:cs="宋体"/>
                <w:color w:val="auto"/>
                <w:kern w:val="21"/>
                <w:sz w:val="22"/>
                <w:szCs w:val="22"/>
                <w:highlight w:val="none"/>
                <w:u w:val="single"/>
              </w:rPr>
              <w:t xml:space="preserve">                    </w:t>
            </w:r>
            <w:r>
              <w:rPr>
                <w:rFonts w:hint="eastAsia" w:ascii="宋体" w:hAnsi="宋体" w:eastAsia="宋体" w:cs="宋体"/>
                <w:color w:val="auto"/>
                <w:kern w:val="21"/>
                <w:sz w:val="22"/>
                <w:szCs w:val="22"/>
                <w:highlight w:val="none"/>
                <w:u w:val="none" w:color="auto"/>
              </w:rPr>
              <w:t>元</w:t>
            </w:r>
          </w:p>
          <w:p w14:paraId="1BB9A74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 w:val="22"/>
                <w:szCs w:val="22"/>
                <w:highlight w:val="none"/>
                <w:u w:val="single" w:color="auto"/>
                <w:lang w:val="en-US" w:eastAsia="zh-CN"/>
              </w:rPr>
            </w:pPr>
            <w:r>
              <w:rPr>
                <w:rFonts w:hint="eastAsia" w:ascii="宋体" w:hAnsi="宋体" w:eastAsia="宋体" w:cs="宋体"/>
                <w:color w:val="auto"/>
                <w:kern w:val="21"/>
                <w:sz w:val="22"/>
                <w:szCs w:val="22"/>
                <w:highlight w:val="none"/>
              </w:rPr>
              <w:t>工期：</w:t>
            </w:r>
            <w:r>
              <w:rPr>
                <w:rFonts w:hint="eastAsia" w:ascii="宋体" w:hAnsi="宋体" w:eastAsia="宋体" w:cs="宋体"/>
                <w:color w:val="auto"/>
                <w:kern w:val="21"/>
                <w:sz w:val="22"/>
                <w:szCs w:val="22"/>
                <w:highlight w:val="none"/>
                <w:u w:val="single" w:color="auto"/>
              </w:rPr>
              <w:t xml:space="preserve">          </w:t>
            </w:r>
            <w:r>
              <w:rPr>
                <w:rFonts w:hint="eastAsia" w:ascii="宋体" w:hAnsi="宋体" w:eastAsia="宋体" w:cs="宋体"/>
                <w:color w:val="auto"/>
                <w:kern w:val="21"/>
                <w:sz w:val="22"/>
                <w:szCs w:val="22"/>
                <w:highlight w:val="none"/>
              </w:rPr>
              <w:t>日历天</w:t>
            </w:r>
          </w:p>
          <w:p w14:paraId="0456C76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1"/>
                <w:sz w:val="22"/>
                <w:szCs w:val="22"/>
                <w:highlight w:val="none"/>
                <w:lang w:eastAsia="zh-CN"/>
              </w:rPr>
            </w:pPr>
            <w:r>
              <w:rPr>
                <w:rFonts w:hint="eastAsia" w:ascii="宋体" w:hAnsi="宋体" w:eastAsia="宋体" w:cs="宋体"/>
                <w:color w:val="auto"/>
                <w:kern w:val="21"/>
                <w:sz w:val="22"/>
                <w:szCs w:val="22"/>
                <w:highlight w:val="none"/>
                <w:lang w:val="en-US" w:eastAsia="zh-CN"/>
              </w:rPr>
              <w:t>质量标准：</w:t>
            </w:r>
            <w:r>
              <w:rPr>
                <w:rFonts w:hint="eastAsia" w:ascii="宋体" w:hAnsi="宋体" w:eastAsia="宋体" w:cs="宋体"/>
                <w:color w:val="auto"/>
                <w:kern w:val="21"/>
                <w:sz w:val="22"/>
                <w:szCs w:val="22"/>
                <w:highlight w:val="none"/>
                <w:u w:val="single" w:color="auto"/>
              </w:rPr>
              <w:t xml:space="preserve">          </w:t>
            </w:r>
            <w:r>
              <w:rPr>
                <w:rFonts w:hint="eastAsia" w:ascii="宋体" w:hAnsi="宋体" w:eastAsia="宋体" w:cs="宋体"/>
                <w:color w:val="auto"/>
                <w:kern w:val="21"/>
                <w:sz w:val="22"/>
                <w:szCs w:val="22"/>
                <w:highlight w:val="none"/>
                <w:u w:val="none" w:color="auto"/>
                <w:lang w:eastAsia="zh-CN"/>
              </w:rPr>
              <w:t>（合格</w:t>
            </w:r>
            <w:r>
              <w:rPr>
                <w:rFonts w:hint="eastAsia" w:ascii="宋体" w:hAnsi="宋体" w:eastAsia="宋体" w:cs="宋体"/>
                <w:color w:val="auto"/>
                <w:kern w:val="21"/>
                <w:sz w:val="22"/>
                <w:szCs w:val="22"/>
                <w:highlight w:val="none"/>
                <w:u w:val="none" w:color="auto"/>
                <w:lang w:val="en-US" w:eastAsia="zh-CN"/>
              </w:rPr>
              <w:t>/不合格</w:t>
            </w:r>
            <w:r>
              <w:rPr>
                <w:rFonts w:hint="eastAsia" w:ascii="宋体" w:hAnsi="宋体" w:eastAsia="宋体" w:cs="宋体"/>
                <w:color w:val="auto"/>
                <w:kern w:val="21"/>
                <w:sz w:val="22"/>
                <w:szCs w:val="22"/>
                <w:highlight w:val="none"/>
                <w:u w:val="none" w:color="auto"/>
                <w:lang w:eastAsia="zh-CN"/>
              </w:rPr>
              <w:t>）</w:t>
            </w:r>
          </w:p>
        </w:tc>
      </w:tr>
    </w:tbl>
    <w:p w14:paraId="16229B48">
      <w:pPr>
        <w:widowControl w:val="0"/>
        <w:snapToGrid w:val="0"/>
        <w:spacing w:line="460" w:lineRule="exact"/>
        <w:ind w:left="2940" w:leftChars="1400" w:firstLine="632" w:firstLineChars="300"/>
        <w:rPr>
          <w:rFonts w:hint="eastAsia" w:ascii="宋体" w:hAnsi="宋体" w:eastAsia="宋体" w:cs="宋体"/>
          <w:b/>
          <w:color w:val="auto"/>
          <w:kern w:val="21"/>
          <w:sz w:val="21"/>
          <w:szCs w:val="21"/>
          <w:highlight w:val="none"/>
        </w:rPr>
      </w:pPr>
    </w:p>
    <w:p w14:paraId="3EF8B28D">
      <w:pPr>
        <w:widowControl w:val="0"/>
        <w:snapToGrid w:val="0"/>
        <w:spacing w:line="460" w:lineRule="exact"/>
        <w:ind w:left="2940" w:leftChars="1400" w:firstLine="632" w:firstLineChars="300"/>
        <w:rPr>
          <w:rFonts w:hint="eastAsia" w:ascii="宋体" w:hAnsi="宋体" w:eastAsia="宋体" w:cs="宋体"/>
          <w:b/>
          <w:color w:val="auto"/>
          <w:kern w:val="21"/>
          <w:sz w:val="21"/>
          <w:szCs w:val="21"/>
          <w:highlight w:val="none"/>
        </w:rPr>
      </w:pPr>
    </w:p>
    <w:p w14:paraId="04798DC3">
      <w:pPr>
        <w:spacing w:line="480" w:lineRule="auto"/>
        <w:rPr>
          <w:rFonts w:hint="eastAsia" w:ascii="宋体" w:hAnsi="宋体" w:eastAsia="宋体" w:cs="宋体"/>
          <w:color w:val="auto"/>
          <w:kern w:val="21"/>
          <w:sz w:val="22"/>
          <w:szCs w:val="22"/>
          <w:highlight w:val="none"/>
        </w:rPr>
      </w:pPr>
      <w:r>
        <w:rPr>
          <w:rFonts w:hint="eastAsia" w:ascii="宋体" w:hAnsi="宋体" w:eastAsia="宋体" w:cs="宋体"/>
          <w:color w:val="auto"/>
          <w:kern w:val="21"/>
          <w:sz w:val="21"/>
          <w:szCs w:val="21"/>
          <w:highlight w:val="none"/>
        </w:rPr>
        <w:t xml:space="preserve">                        </w:t>
      </w:r>
      <w:r>
        <w:rPr>
          <w:rFonts w:hint="eastAsia" w:ascii="宋体" w:hAnsi="宋体" w:eastAsia="宋体" w:cs="宋体"/>
          <w:color w:val="auto"/>
          <w:kern w:val="21"/>
          <w:sz w:val="22"/>
          <w:szCs w:val="22"/>
          <w:highlight w:val="none"/>
        </w:rPr>
        <w:t xml:space="preserve"> </w:t>
      </w:r>
      <w:r>
        <w:rPr>
          <w:rFonts w:hint="eastAsia" w:ascii="宋体" w:hAnsi="宋体" w:eastAsia="宋体" w:cs="宋体"/>
          <w:color w:val="auto"/>
          <w:kern w:val="21"/>
          <w:sz w:val="22"/>
          <w:szCs w:val="22"/>
          <w:highlight w:val="none"/>
          <w:lang w:val="en-US" w:eastAsia="zh-CN"/>
        </w:rPr>
        <w:t xml:space="preserve">  供 应 商</w:t>
      </w:r>
      <w:r>
        <w:rPr>
          <w:rFonts w:hint="eastAsia" w:ascii="宋体" w:hAnsi="宋体" w:eastAsia="宋体" w:cs="宋体"/>
          <w:color w:val="auto"/>
          <w:kern w:val="21"/>
          <w:sz w:val="22"/>
          <w:szCs w:val="22"/>
          <w:highlight w:val="none"/>
        </w:rPr>
        <w:t>：</w:t>
      </w:r>
      <w:r>
        <w:rPr>
          <w:rFonts w:hint="eastAsia" w:ascii="宋体" w:hAnsi="宋体" w:eastAsia="宋体" w:cs="宋体"/>
          <w:color w:val="auto"/>
          <w:kern w:val="21"/>
          <w:sz w:val="22"/>
          <w:szCs w:val="22"/>
          <w:highlight w:val="none"/>
          <w:u w:val="single" w:color="auto"/>
        </w:rPr>
        <w:t xml:space="preserve">                            </w:t>
      </w:r>
      <w:r>
        <w:rPr>
          <w:rFonts w:hint="eastAsia" w:ascii="宋体" w:hAnsi="宋体" w:eastAsia="宋体" w:cs="宋体"/>
          <w:color w:val="auto"/>
          <w:kern w:val="21"/>
          <w:sz w:val="22"/>
          <w:szCs w:val="22"/>
          <w:highlight w:val="none"/>
        </w:rPr>
        <w:t>(盖</w:t>
      </w:r>
      <w:r>
        <w:rPr>
          <w:rFonts w:hint="eastAsia" w:ascii="宋体" w:hAnsi="宋体" w:eastAsia="宋体" w:cs="宋体"/>
          <w:color w:val="auto"/>
          <w:kern w:val="21"/>
          <w:sz w:val="22"/>
          <w:szCs w:val="22"/>
          <w:highlight w:val="none"/>
          <w:lang w:eastAsia="zh-CN"/>
        </w:rPr>
        <w:t>单位公</w:t>
      </w:r>
      <w:r>
        <w:rPr>
          <w:rFonts w:hint="eastAsia" w:ascii="宋体" w:hAnsi="宋体" w:eastAsia="宋体" w:cs="宋体"/>
          <w:color w:val="auto"/>
          <w:kern w:val="21"/>
          <w:sz w:val="22"/>
          <w:szCs w:val="22"/>
          <w:highlight w:val="none"/>
        </w:rPr>
        <w:t>章)</w:t>
      </w:r>
    </w:p>
    <w:p w14:paraId="0F84096F">
      <w:pPr>
        <w:spacing w:line="480" w:lineRule="auto"/>
        <w:ind w:firstLine="2860" w:firstLineChars="1300"/>
        <w:rPr>
          <w:rFonts w:hint="eastAsia" w:ascii="宋体" w:hAnsi="宋体" w:eastAsia="宋体" w:cs="宋体"/>
          <w:color w:val="auto"/>
          <w:kern w:val="21"/>
          <w:sz w:val="22"/>
          <w:szCs w:val="22"/>
          <w:highlight w:val="none"/>
        </w:rPr>
      </w:pPr>
      <w:r>
        <w:rPr>
          <w:rFonts w:hint="eastAsia" w:ascii="宋体" w:hAnsi="宋体" w:eastAsia="宋体" w:cs="宋体"/>
          <w:color w:val="auto"/>
          <w:kern w:val="21"/>
          <w:sz w:val="22"/>
          <w:szCs w:val="22"/>
          <w:highlight w:val="none"/>
        </w:rPr>
        <w:t>法定代表人或委托代理人：</w:t>
      </w:r>
      <w:r>
        <w:rPr>
          <w:rFonts w:hint="eastAsia" w:ascii="宋体" w:hAnsi="宋体" w:eastAsia="宋体" w:cs="宋体"/>
          <w:color w:val="auto"/>
          <w:kern w:val="21"/>
          <w:sz w:val="22"/>
          <w:szCs w:val="22"/>
          <w:highlight w:val="none"/>
          <w:u w:val="single" w:color="auto"/>
        </w:rPr>
        <w:t xml:space="preserve">              </w:t>
      </w:r>
      <w:r>
        <w:rPr>
          <w:rFonts w:hint="eastAsia" w:ascii="宋体" w:hAnsi="宋体" w:eastAsia="宋体" w:cs="宋体"/>
          <w:color w:val="auto"/>
          <w:kern w:val="21"/>
          <w:sz w:val="22"/>
          <w:szCs w:val="22"/>
          <w:highlight w:val="none"/>
        </w:rPr>
        <w:t>(签字或盖章)</w:t>
      </w:r>
    </w:p>
    <w:p w14:paraId="32E46D98">
      <w:pPr>
        <w:spacing w:line="480" w:lineRule="auto"/>
        <w:ind w:firstLine="1100" w:firstLineChars="500"/>
        <w:rPr>
          <w:rFonts w:hint="eastAsia" w:ascii="宋体" w:hAnsi="宋体" w:eastAsia="宋体" w:cs="宋体"/>
          <w:color w:val="auto"/>
          <w:kern w:val="21"/>
          <w:sz w:val="22"/>
          <w:szCs w:val="22"/>
          <w:highlight w:val="none"/>
        </w:rPr>
      </w:pPr>
      <w:r>
        <w:rPr>
          <w:rFonts w:hint="eastAsia" w:ascii="宋体" w:hAnsi="宋体" w:eastAsia="宋体" w:cs="宋体"/>
          <w:color w:val="auto"/>
          <w:kern w:val="21"/>
          <w:sz w:val="22"/>
          <w:szCs w:val="22"/>
          <w:highlight w:val="none"/>
        </w:rPr>
        <w:t xml:space="preserve">        </w:t>
      </w:r>
      <w:r>
        <w:rPr>
          <w:rFonts w:hint="eastAsia" w:ascii="宋体" w:hAnsi="宋体" w:eastAsia="宋体" w:cs="宋体"/>
          <w:color w:val="auto"/>
          <w:kern w:val="21"/>
          <w:sz w:val="22"/>
          <w:szCs w:val="22"/>
          <w:highlight w:val="none"/>
          <w:lang w:val="en-US" w:eastAsia="zh-CN"/>
        </w:rPr>
        <w:t xml:space="preserve">    </w:t>
      </w:r>
      <w:r>
        <w:rPr>
          <w:rFonts w:hint="eastAsia" w:ascii="宋体" w:hAnsi="宋体" w:eastAsia="宋体" w:cs="宋体"/>
          <w:color w:val="auto"/>
          <w:kern w:val="21"/>
          <w:sz w:val="22"/>
          <w:szCs w:val="22"/>
          <w:highlight w:val="none"/>
        </w:rPr>
        <w:t xml:space="preserve">  </w:t>
      </w:r>
      <w:r>
        <w:rPr>
          <w:rFonts w:hint="eastAsia" w:ascii="宋体" w:hAnsi="宋体" w:eastAsia="宋体" w:cs="宋体"/>
          <w:color w:val="auto"/>
          <w:kern w:val="21"/>
          <w:sz w:val="22"/>
          <w:szCs w:val="22"/>
          <w:highlight w:val="none"/>
          <w:lang w:val="en-US" w:eastAsia="zh-CN"/>
        </w:rPr>
        <w:t xml:space="preserve">  </w:t>
      </w:r>
      <w:r>
        <w:rPr>
          <w:rFonts w:hint="eastAsia" w:ascii="宋体" w:hAnsi="宋体" w:eastAsia="宋体" w:cs="宋体"/>
          <w:color w:val="auto"/>
          <w:kern w:val="21"/>
          <w:sz w:val="22"/>
          <w:szCs w:val="22"/>
          <w:highlight w:val="none"/>
        </w:rPr>
        <w:t xml:space="preserve">日     期：  </w:t>
      </w:r>
      <w:r>
        <w:rPr>
          <w:rFonts w:hint="eastAsia" w:ascii="宋体" w:hAnsi="宋体" w:eastAsia="宋体" w:cs="宋体"/>
          <w:color w:val="auto"/>
          <w:kern w:val="21"/>
          <w:sz w:val="22"/>
          <w:szCs w:val="22"/>
          <w:highlight w:val="none"/>
          <w:u w:val="single" w:color="auto"/>
        </w:rPr>
        <w:t xml:space="preserve">         </w:t>
      </w:r>
      <w:r>
        <w:rPr>
          <w:rFonts w:hint="eastAsia" w:ascii="宋体" w:hAnsi="宋体" w:eastAsia="宋体" w:cs="宋体"/>
          <w:color w:val="auto"/>
          <w:kern w:val="21"/>
          <w:sz w:val="22"/>
          <w:szCs w:val="22"/>
          <w:highlight w:val="none"/>
        </w:rPr>
        <w:t>年</w:t>
      </w:r>
      <w:r>
        <w:rPr>
          <w:rFonts w:hint="eastAsia" w:ascii="宋体" w:hAnsi="宋体" w:eastAsia="宋体" w:cs="宋体"/>
          <w:color w:val="auto"/>
          <w:kern w:val="21"/>
          <w:sz w:val="22"/>
          <w:szCs w:val="22"/>
          <w:highlight w:val="none"/>
          <w:u w:val="single" w:color="auto"/>
        </w:rPr>
        <w:t xml:space="preserve">          </w:t>
      </w:r>
      <w:r>
        <w:rPr>
          <w:rFonts w:hint="eastAsia" w:ascii="宋体" w:hAnsi="宋体" w:eastAsia="宋体" w:cs="宋体"/>
          <w:color w:val="auto"/>
          <w:kern w:val="21"/>
          <w:sz w:val="22"/>
          <w:szCs w:val="22"/>
          <w:highlight w:val="none"/>
        </w:rPr>
        <w:t>月</w:t>
      </w:r>
      <w:r>
        <w:rPr>
          <w:rFonts w:hint="eastAsia" w:ascii="宋体" w:hAnsi="宋体" w:eastAsia="宋体" w:cs="宋体"/>
          <w:color w:val="auto"/>
          <w:kern w:val="21"/>
          <w:sz w:val="22"/>
          <w:szCs w:val="22"/>
          <w:highlight w:val="none"/>
          <w:u w:val="single" w:color="auto"/>
        </w:rPr>
        <w:t xml:space="preserve">            </w:t>
      </w:r>
      <w:r>
        <w:rPr>
          <w:rFonts w:hint="eastAsia" w:ascii="宋体" w:hAnsi="宋体" w:eastAsia="宋体" w:cs="宋体"/>
          <w:color w:val="auto"/>
          <w:kern w:val="21"/>
          <w:sz w:val="22"/>
          <w:szCs w:val="22"/>
          <w:highlight w:val="none"/>
        </w:rPr>
        <w:t xml:space="preserve">日 </w:t>
      </w:r>
    </w:p>
    <w:p w14:paraId="2092BE30">
      <w:pPr>
        <w:widowControl w:val="0"/>
        <w:snapToGrid w:val="0"/>
        <w:spacing w:before="240" w:beforeLines="100" w:after="240" w:afterLines="100" w:line="360" w:lineRule="auto"/>
        <w:jc w:val="center"/>
        <w:rPr>
          <w:rFonts w:hint="eastAsia" w:ascii="宋体" w:hAnsi="宋体" w:eastAsia="宋体" w:cs="宋体"/>
          <w:color w:val="auto"/>
          <w:kern w:val="21"/>
          <w:sz w:val="21"/>
          <w:szCs w:val="21"/>
          <w:highlight w:val="none"/>
        </w:rPr>
      </w:pPr>
    </w:p>
    <w:p w14:paraId="6A861215">
      <w:pPr>
        <w:pStyle w:val="9"/>
        <w:rPr>
          <w:rFonts w:hint="eastAsia" w:ascii="宋体" w:hAnsi="宋体" w:eastAsia="宋体" w:cs="宋体"/>
          <w:color w:val="auto"/>
          <w:kern w:val="21"/>
          <w:sz w:val="21"/>
          <w:szCs w:val="21"/>
          <w:highlight w:val="none"/>
        </w:rPr>
      </w:pPr>
    </w:p>
    <w:p w14:paraId="6FB03FDB">
      <w:pPr>
        <w:rPr>
          <w:rFonts w:hint="eastAsia" w:ascii="宋体" w:hAnsi="宋体" w:eastAsia="宋体" w:cs="宋体"/>
          <w:color w:val="auto"/>
          <w:kern w:val="21"/>
          <w:sz w:val="21"/>
          <w:szCs w:val="21"/>
          <w:highlight w:val="none"/>
        </w:rPr>
      </w:pPr>
    </w:p>
    <w:p w14:paraId="6E6EA914">
      <w:pPr>
        <w:rPr>
          <w:rFonts w:hint="eastAsia" w:ascii="宋体" w:hAnsi="宋体" w:eastAsia="宋体" w:cs="宋体"/>
          <w:color w:val="auto"/>
          <w:kern w:val="21"/>
          <w:highlight w:val="none"/>
        </w:rPr>
      </w:pPr>
      <w:r>
        <w:rPr>
          <w:rFonts w:hint="eastAsia" w:ascii="宋体" w:hAnsi="宋体" w:eastAsia="宋体" w:cs="宋体"/>
          <w:color w:val="auto"/>
          <w:kern w:val="21"/>
          <w:highlight w:val="none"/>
        </w:rPr>
        <w:br w:type="page"/>
      </w:r>
    </w:p>
    <w:p w14:paraId="3CEF9E17">
      <w:pPr>
        <w:pStyle w:val="4"/>
        <w:outlineLvl w:val="1"/>
        <w:rPr>
          <w:rFonts w:hint="eastAsia" w:ascii="宋体" w:hAnsi="宋体" w:eastAsia="宋体" w:cs="宋体"/>
          <w:color w:val="auto"/>
          <w:kern w:val="21"/>
          <w:highlight w:val="none"/>
        </w:rPr>
      </w:pPr>
      <w:r>
        <w:rPr>
          <w:rFonts w:hint="eastAsia" w:ascii="宋体" w:hAnsi="宋体" w:eastAsia="宋体" w:cs="宋体"/>
          <w:color w:val="auto"/>
          <w:kern w:val="21"/>
          <w:highlight w:val="none"/>
        </w:rPr>
        <w:t>磋商报价表格格式</w:t>
      </w:r>
    </w:p>
    <w:p w14:paraId="26511916">
      <w:pPr>
        <w:snapToGrid w:val="0"/>
        <w:spacing w:line="600" w:lineRule="exact"/>
        <w:ind w:firstLine="422" w:firstLineChars="200"/>
        <w:rPr>
          <w:rFonts w:hint="eastAsia" w:ascii="宋体" w:hAnsi="宋体" w:eastAsia="宋体" w:cs="宋体"/>
          <w:color w:val="auto"/>
          <w:szCs w:val="21"/>
          <w:highlight w:val="none"/>
        </w:rPr>
      </w:pPr>
      <w:r>
        <w:rPr>
          <w:rFonts w:hint="eastAsia" w:ascii="宋体" w:hAnsi="宋体" w:cs="宋体"/>
          <w:b/>
          <w:bCs/>
          <w:color w:val="auto"/>
          <w:kern w:val="2"/>
          <w:sz w:val="21"/>
          <w:szCs w:val="21"/>
          <w:highlight w:val="none"/>
          <w:lang w:val="en-US" w:eastAsia="zh-CN"/>
        </w:rPr>
        <w:t>已标价工程量清单报价表以计价软件生成格式为准（提供Excel格式）。</w:t>
      </w:r>
    </w:p>
    <w:p w14:paraId="7889E79E">
      <w:pPr>
        <w:snapToGrid w:val="0"/>
        <w:spacing w:line="600" w:lineRule="exact"/>
        <w:ind w:firstLine="420" w:firstLineChars="200"/>
        <w:rPr>
          <w:rFonts w:hint="eastAsia" w:ascii="宋体" w:hAnsi="宋体" w:eastAsia="宋体" w:cs="宋体"/>
          <w:color w:val="auto"/>
          <w:szCs w:val="21"/>
          <w:highlight w:val="none"/>
        </w:rPr>
      </w:pPr>
    </w:p>
    <w:p w14:paraId="7C6271DE">
      <w:pPr>
        <w:snapToGrid w:val="0"/>
        <w:spacing w:line="600" w:lineRule="exact"/>
        <w:ind w:firstLine="420" w:firstLineChars="200"/>
        <w:rPr>
          <w:rFonts w:hint="eastAsia" w:ascii="宋体" w:hAnsi="宋体" w:eastAsia="宋体" w:cs="宋体"/>
          <w:color w:val="auto"/>
          <w:szCs w:val="21"/>
          <w:highlight w:val="none"/>
        </w:rPr>
      </w:pPr>
    </w:p>
    <w:p w14:paraId="7A020AEF">
      <w:pPr>
        <w:snapToGrid w:val="0"/>
        <w:spacing w:line="600" w:lineRule="exact"/>
        <w:ind w:firstLine="420" w:firstLineChars="200"/>
        <w:rPr>
          <w:rFonts w:hint="eastAsia" w:ascii="宋体" w:hAnsi="宋体" w:eastAsia="宋体" w:cs="宋体"/>
          <w:color w:val="auto"/>
          <w:szCs w:val="21"/>
          <w:highlight w:val="none"/>
        </w:rPr>
      </w:pPr>
    </w:p>
    <w:p w14:paraId="47FC88D6">
      <w:pPr>
        <w:snapToGrid w:val="0"/>
        <w:spacing w:line="600" w:lineRule="exact"/>
        <w:ind w:firstLine="420" w:firstLineChars="200"/>
        <w:rPr>
          <w:rFonts w:hint="eastAsia" w:ascii="宋体" w:hAnsi="宋体" w:eastAsia="宋体" w:cs="宋体"/>
          <w:color w:val="auto"/>
          <w:szCs w:val="21"/>
          <w:highlight w:val="none"/>
        </w:rPr>
      </w:pPr>
    </w:p>
    <w:p w14:paraId="5AC4CA74">
      <w:pPr>
        <w:snapToGrid w:val="0"/>
        <w:spacing w:line="600" w:lineRule="exact"/>
        <w:ind w:firstLine="420" w:firstLineChars="200"/>
        <w:rPr>
          <w:rFonts w:hint="eastAsia" w:ascii="宋体" w:hAnsi="宋体" w:eastAsia="宋体" w:cs="宋体"/>
          <w:color w:val="auto"/>
          <w:szCs w:val="21"/>
          <w:highlight w:val="none"/>
        </w:rPr>
      </w:pPr>
    </w:p>
    <w:p w14:paraId="56129A33">
      <w:pPr>
        <w:pStyle w:val="3"/>
        <w:outlineLvl w:val="9"/>
        <w:rPr>
          <w:rFonts w:hint="eastAsia" w:ascii="宋体" w:hAnsi="宋体" w:eastAsia="宋体" w:cs="宋体"/>
          <w:color w:val="auto"/>
          <w:highlight w:val="none"/>
        </w:rPr>
      </w:pPr>
    </w:p>
    <w:p w14:paraId="52E17816">
      <w:pPr>
        <w:snapToGrid w:val="0"/>
        <w:spacing w:line="600" w:lineRule="exact"/>
        <w:ind w:firstLine="420" w:firstLineChars="200"/>
        <w:rPr>
          <w:rFonts w:hint="eastAsia" w:ascii="宋体" w:hAnsi="宋体" w:eastAsia="宋体" w:cs="宋体"/>
          <w:color w:val="auto"/>
          <w:szCs w:val="21"/>
          <w:highlight w:val="none"/>
        </w:rPr>
      </w:pPr>
    </w:p>
    <w:p w14:paraId="5D4F6D7F">
      <w:pPr>
        <w:snapToGrid w:val="0"/>
        <w:spacing w:line="600" w:lineRule="exact"/>
        <w:ind w:firstLine="420" w:firstLineChars="200"/>
        <w:rPr>
          <w:rFonts w:hint="eastAsia" w:ascii="宋体" w:hAnsi="宋体" w:eastAsia="宋体" w:cs="宋体"/>
          <w:color w:val="auto"/>
          <w:szCs w:val="21"/>
          <w:highlight w:val="none"/>
        </w:rPr>
      </w:pPr>
    </w:p>
    <w:p w14:paraId="6BF624C8">
      <w:pPr>
        <w:rPr>
          <w:rFonts w:hint="eastAsia" w:ascii="宋体" w:hAnsi="宋体" w:eastAsia="宋体" w:cs="宋体"/>
          <w:color w:val="auto"/>
          <w:kern w:val="21"/>
          <w:highlight w:val="none"/>
          <w:lang w:val="en-US" w:eastAsia="zh-CN"/>
        </w:rPr>
      </w:pPr>
      <w:r>
        <w:rPr>
          <w:rFonts w:hint="eastAsia" w:ascii="宋体" w:hAnsi="宋体" w:eastAsia="宋体" w:cs="宋体"/>
          <w:color w:val="auto"/>
          <w:kern w:val="21"/>
          <w:highlight w:val="none"/>
          <w:lang w:val="en-US" w:eastAsia="zh-CN"/>
        </w:rPr>
        <w:br w:type="page"/>
      </w:r>
    </w:p>
    <w:p w14:paraId="38141C09">
      <w:pPr>
        <w:pStyle w:val="4"/>
        <w:outlineLvl w:val="1"/>
        <w:rPr>
          <w:rFonts w:hint="eastAsia" w:ascii="宋体" w:hAnsi="宋体" w:eastAsia="宋体" w:cs="宋体"/>
          <w:color w:val="auto"/>
          <w:kern w:val="21"/>
          <w:highlight w:val="none"/>
        </w:rPr>
      </w:pPr>
      <w:r>
        <w:rPr>
          <w:rFonts w:hint="eastAsia" w:ascii="宋体" w:hAnsi="宋体" w:eastAsia="宋体" w:cs="宋体"/>
          <w:color w:val="auto"/>
          <w:kern w:val="21"/>
          <w:highlight w:val="none"/>
          <w:lang w:val="en-US" w:eastAsia="zh-CN"/>
        </w:rPr>
        <w:t>2</w:t>
      </w:r>
      <w:r>
        <w:rPr>
          <w:rFonts w:hint="eastAsia" w:ascii="宋体" w:hAnsi="宋体" w:eastAsia="宋体" w:cs="宋体"/>
          <w:color w:val="auto"/>
          <w:kern w:val="21"/>
          <w:highlight w:val="none"/>
          <w:lang w:eastAsia="zh-CN"/>
        </w:rPr>
        <w:t>、</w:t>
      </w:r>
      <w:r>
        <w:rPr>
          <w:rFonts w:hint="eastAsia" w:ascii="宋体" w:hAnsi="宋体" w:eastAsia="宋体" w:cs="宋体"/>
          <w:color w:val="auto"/>
          <w:kern w:val="21"/>
          <w:highlight w:val="none"/>
        </w:rPr>
        <w:t>投标函</w:t>
      </w:r>
    </w:p>
    <w:p w14:paraId="5EEBBB28">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（采购人名称）：</w:t>
      </w:r>
    </w:p>
    <w:p w14:paraId="3B3CE7A9">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根据贵方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（项目名称、项目编号）竞争性磋商文件的要求，经详细审阅和研究</w:t>
      </w:r>
      <w:r>
        <w:rPr>
          <w:rFonts w:hint="eastAsia" w:ascii="宋体" w:hAnsi="宋体" w:cs="宋体"/>
          <w:color w:val="auto"/>
          <w:szCs w:val="21"/>
          <w:highlight w:val="none"/>
          <w:lang w:eastAsia="zh-CN"/>
        </w:rPr>
        <w:t>：</w:t>
      </w:r>
    </w:p>
    <w:p w14:paraId="3EF2B437">
      <w:pPr>
        <w:keepNext w:val="0"/>
        <w:keepLines w:val="0"/>
        <w:pageBreakBefore w:val="0"/>
        <w:numPr>
          <w:ilvl w:val="0"/>
          <w:numId w:val="0"/>
        </w:numPr>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u w:color="000000"/>
          <w:lang w:val="en-US" w:eastAsia="zh-CN" w:bidi="ar-SA"/>
        </w:rPr>
        <w:t>1、</w:t>
      </w:r>
      <w:r>
        <w:rPr>
          <w:rFonts w:hint="eastAsia" w:ascii="宋体" w:hAnsi="宋体" w:eastAsia="宋体" w:cs="宋体"/>
          <w:color w:val="auto"/>
          <w:szCs w:val="21"/>
          <w:highlight w:val="none"/>
        </w:rPr>
        <w:t>我方愿按照竞争性磋商文件中的要求进行磋商，提供所需一切其它相关服务。</w:t>
      </w:r>
    </w:p>
    <w:p w14:paraId="244B066D">
      <w:pPr>
        <w:keepNext w:val="0"/>
        <w:keepLines w:val="0"/>
        <w:pageBreakBefore w:val="0"/>
        <w:numPr>
          <w:ilvl w:val="0"/>
          <w:numId w:val="0"/>
        </w:numPr>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2、我方的磋商报价为人民币（大写）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（小写：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元）。工程质量达到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，项目经理为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，证书编号：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DD4C5A1">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3、本项目工期为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8D76C45">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4、我方如果中标，保证做到以下承诺：</w:t>
      </w:r>
    </w:p>
    <w:p w14:paraId="39A56292">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(1)承诺如果我们的投标被接受，我们保证按规定时间与采购单位签订合同。</w:t>
      </w:r>
    </w:p>
    <w:p w14:paraId="4695BA2B">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(2)同意遵照竞争性磋商文件的全部内容，承担竞争性磋商文件中规定的全部责任和义务。</w:t>
      </w:r>
    </w:p>
    <w:p w14:paraId="366A8722">
      <w:pPr>
        <w:pStyle w:val="11"/>
        <w:keepNext w:val="0"/>
        <w:keepLines w:val="0"/>
        <w:pageBreakBefore w:val="0"/>
        <w:kinsoku/>
        <w:wordWrap/>
        <w:overflowPunct/>
        <w:topLinePunct w:val="0"/>
        <w:autoSpaceDE/>
        <w:autoSpaceDN/>
        <w:bidi w:val="0"/>
        <w:adjustRightInd/>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(3)愿意承担直至合同签订时止为此项投标所开支的一切费用。</w:t>
      </w:r>
    </w:p>
    <w:p w14:paraId="1F129E04">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(4)我方理解，采购人无义务必须接受报价最低的磋商报价，并有权拒绝所有的磋商。</w:t>
      </w:r>
    </w:p>
    <w:p w14:paraId="2D42595A">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(5)保证在领取成交通知书之前向代理机构一次性支付代理服务费。</w:t>
      </w:r>
    </w:p>
    <w:p w14:paraId="40A0F6C0">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(6)同意供应商须知前附表规定的磋商有效期，在此期间，本竞争性磋商响应文件始终对我们具有约束力，并可随时被接受。</w:t>
      </w:r>
    </w:p>
    <w:p w14:paraId="153AC027">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(7)采购人如需考察我方或用户，我方给予积极配合。</w:t>
      </w:r>
    </w:p>
    <w:p w14:paraId="00BB711A">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(8)我方本次磋商所提供的资料都是真实的，并同意可以进一步提供与本次磋商有关的资质证书及其他资料。</w:t>
      </w:r>
    </w:p>
    <w:p w14:paraId="25B57A14">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(9)本竞争性磋商响应文件磋商有效期：磋商截止之日起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天内保持有效（日历天数）。</w:t>
      </w:r>
    </w:p>
    <w:p w14:paraId="6A074775">
      <w:pPr>
        <w:spacing w:line="48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(11)我方提供以下开户行、账号，供结算合同款（如果中标）： </w:t>
      </w:r>
    </w:p>
    <w:p w14:paraId="611D9B8F">
      <w:pPr>
        <w:spacing w:line="48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户名（全称）：</w:t>
      </w:r>
      <w:r>
        <w:rPr>
          <w:rFonts w:hint="eastAsia" w:ascii="宋体" w:hAnsi="宋体" w:eastAsia="宋体" w:cs="宋体"/>
          <w:color w:val="auto"/>
          <w:sz w:val="21"/>
          <w:szCs w:val="21"/>
          <w:highlight w:val="none"/>
          <w:u w:val="single"/>
        </w:rPr>
        <w:t xml:space="preserve">                                 </w:t>
      </w:r>
    </w:p>
    <w:p w14:paraId="71EE4D68">
      <w:pPr>
        <w:spacing w:line="48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r>
        <w:rPr>
          <w:rFonts w:hint="eastAsia" w:ascii="宋体" w:hAnsi="宋体" w:eastAsia="宋体" w:cs="宋体"/>
          <w:color w:val="auto"/>
          <w:sz w:val="21"/>
          <w:szCs w:val="21"/>
          <w:highlight w:val="none"/>
          <w:u w:val="single"/>
        </w:rPr>
        <w:t xml:space="preserve">                                       </w:t>
      </w:r>
    </w:p>
    <w:p w14:paraId="653BC206">
      <w:pPr>
        <w:spacing w:line="48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账号（请填完整）：</w:t>
      </w:r>
      <w:r>
        <w:rPr>
          <w:rFonts w:hint="eastAsia" w:ascii="宋体" w:hAnsi="宋体" w:eastAsia="宋体" w:cs="宋体"/>
          <w:color w:val="auto"/>
          <w:sz w:val="21"/>
          <w:szCs w:val="21"/>
          <w:highlight w:val="none"/>
          <w:u w:val="single"/>
        </w:rPr>
        <w:t xml:space="preserve">                             </w:t>
      </w:r>
    </w:p>
    <w:p w14:paraId="3263F0E2">
      <w:pPr>
        <w:pStyle w:val="14"/>
        <w:spacing w:line="48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none" w:color="000000"/>
          <w:lang w:val="en-US" w:eastAsia="zh-CN" w:bidi="ar-SA"/>
        </w:rPr>
        <w:t>投标单位：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（盖单位公章） </w:t>
      </w:r>
    </w:p>
    <w:p w14:paraId="392A93E2">
      <w:pPr>
        <w:pStyle w:val="14"/>
        <w:spacing w:line="480" w:lineRule="auto"/>
        <w:ind w:firstLine="40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法定代表人</w:t>
      </w:r>
      <w:r>
        <w:rPr>
          <w:rFonts w:hint="eastAsia" w:ascii="宋体" w:hAnsi="宋体" w:eastAsia="宋体" w:cs="宋体"/>
          <w:color w:val="auto"/>
          <w:spacing w:val="-4"/>
          <w:sz w:val="21"/>
          <w:szCs w:val="21"/>
          <w:highlight w:val="none"/>
          <w:lang w:eastAsia="zh-CN"/>
        </w:rPr>
        <w:t>或</w:t>
      </w:r>
      <w:r>
        <w:rPr>
          <w:rFonts w:hint="eastAsia" w:ascii="宋体" w:hAnsi="宋体" w:eastAsia="宋体" w:cs="宋体"/>
          <w:color w:val="auto"/>
          <w:spacing w:val="-4"/>
          <w:sz w:val="21"/>
          <w:szCs w:val="21"/>
          <w:highlight w:val="none"/>
        </w:rPr>
        <w:t>委托代理人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 xml:space="preserve">盖章）  </w:t>
      </w:r>
    </w:p>
    <w:p w14:paraId="68D5A181">
      <w:pPr>
        <w:spacing w:line="48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固定联系电话：</w:t>
      </w:r>
      <w:r>
        <w:rPr>
          <w:rFonts w:hint="eastAsia" w:ascii="宋体" w:hAnsi="宋体" w:eastAsia="宋体" w:cs="宋体"/>
          <w:color w:val="auto"/>
          <w:sz w:val="21"/>
          <w:szCs w:val="21"/>
          <w:highlight w:val="none"/>
          <w:u w:val="single"/>
        </w:rPr>
        <w:t xml:space="preserve">                                 </w:t>
      </w:r>
    </w:p>
    <w:p w14:paraId="4497B04F">
      <w:pPr>
        <w:spacing w:line="48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手机：</w:t>
      </w:r>
      <w:r>
        <w:rPr>
          <w:rFonts w:hint="eastAsia" w:ascii="宋体" w:hAnsi="宋体" w:eastAsia="宋体" w:cs="宋体"/>
          <w:color w:val="auto"/>
          <w:sz w:val="21"/>
          <w:szCs w:val="21"/>
          <w:highlight w:val="none"/>
          <w:u w:val="single"/>
        </w:rPr>
        <w:t xml:space="preserve">                                         </w:t>
      </w:r>
    </w:p>
    <w:p w14:paraId="0B80CA1E">
      <w:pPr>
        <w:spacing w:line="48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8CC0DFE">
      <w:pPr>
        <w:pStyle w:val="14"/>
        <w:spacing w:line="480" w:lineRule="auto"/>
        <w:ind w:firstLine="404" w:firstLineChars="20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日期：</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p>
    <w:p w14:paraId="46455746">
      <w:pPr>
        <w:pStyle w:val="14"/>
        <w:spacing w:line="480" w:lineRule="auto"/>
        <w:ind w:firstLine="404" w:firstLineChars="20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邮政编码：</w:t>
      </w:r>
      <w:r>
        <w:rPr>
          <w:rFonts w:hint="eastAsia" w:ascii="宋体" w:hAnsi="宋体" w:eastAsia="宋体" w:cs="宋体"/>
          <w:color w:val="auto"/>
          <w:spacing w:val="-4"/>
          <w:sz w:val="21"/>
          <w:szCs w:val="21"/>
          <w:highlight w:val="none"/>
          <w:u w:val="single"/>
        </w:rPr>
        <w:t xml:space="preserve">                                        </w:t>
      </w:r>
    </w:p>
    <w:p w14:paraId="1AC97484">
      <w:pPr>
        <w:pStyle w:val="14"/>
        <w:spacing w:line="480" w:lineRule="auto"/>
        <w:ind w:firstLine="404" w:firstLineChars="20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详细地址：</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p>
    <w:p w14:paraId="28EE77E5">
      <w:pPr>
        <w:pStyle w:val="14"/>
        <w:spacing w:line="480" w:lineRule="auto"/>
        <w:ind w:firstLine="404" w:firstLineChars="20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电子信箱：</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p>
    <w:p w14:paraId="7AD87852">
      <w:pPr>
        <w:rPr>
          <w:rFonts w:hint="eastAsia" w:ascii="宋体" w:hAnsi="宋体" w:eastAsia="宋体" w:cs="宋体"/>
          <w:color w:val="auto"/>
          <w:spacing w:val="-4"/>
          <w:sz w:val="21"/>
          <w:szCs w:val="21"/>
          <w:highlight w:val="none"/>
        </w:rPr>
      </w:pPr>
    </w:p>
    <w:p w14:paraId="07A1A377">
      <w:pPr>
        <w:pStyle w:val="14"/>
        <w:keepNext w:val="0"/>
        <w:keepLines w:val="0"/>
        <w:pageBreakBefore w:val="0"/>
        <w:kinsoku/>
        <w:wordWrap/>
        <w:overflowPunct/>
        <w:topLinePunct w:val="0"/>
        <w:autoSpaceDE/>
        <w:autoSpaceDN/>
        <w:bidi w:val="0"/>
        <w:adjustRightInd/>
        <w:spacing w:line="480" w:lineRule="exact"/>
        <w:ind w:firstLine="404" w:firstLineChars="200"/>
        <w:rPr>
          <w:rFonts w:hint="eastAsia" w:ascii="宋体" w:hAnsi="宋体" w:eastAsia="宋体" w:cs="宋体"/>
          <w:color w:val="auto"/>
          <w:spacing w:val="-4"/>
          <w:sz w:val="21"/>
          <w:szCs w:val="21"/>
          <w:highlight w:val="none"/>
        </w:rPr>
      </w:pPr>
    </w:p>
    <w:p w14:paraId="7835D66B">
      <w:pPr>
        <w:pStyle w:val="14"/>
        <w:keepNext w:val="0"/>
        <w:keepLines w:val="0"/>
        <w:pageBreakBefore w:val="0"/>
        <w:kinsoku/>
        <w:wordWrap/>
        <w:overflowPunct/>
        <w:topLinePunct w:val="0"/>
        <w:autoSpaceDE/>
        <w:autoSpaceDN/>
        <w:bidi w:val="0"/>
        <w:adjustRightInd/>
        <w:spacing w:line="480" w:lineRule="exact"/>
        <w:ind w:firstLine="404" w:firstLineChars="200"/>
        <w:rPr>
          <w:rFonts w:hint="eastAsia" w:ascii="宋体" w:hAnsi="宋体" w:eastAsia="宋体" w:cs="宋体"/>
          <w:color w:val="auto"/>
          <w:spacing w:val="-4"/>
          <w:sz w:val="21"/>
          <w:szCs w:val="21"/>
          <w:highlight w:val="none"/>
        </w:rPr>
      </w:pPr>
    </w:p>
    <w:p w14:paraId="7811D560">
      <w:pPr>
        <w:pStyle w:val="14"/>
        <w:spacing w:line="560" w:lineRule="exact"/>
        <w:ind w:firstLine="404" w:firstLineChars="200"/>
        <w:rPr>
          <w:rFonts w:hint="eastAsia" w:ascii="宋体" w:hAnsi="宋体" w:eastAsia="宋体" w:cs="宋体"/>
          <w:color w:val="auto"/>
          <w:spacing w:val="-4"/>
          <w:sz w:val="21"/>
          <w:szCs w:val="21"/>
          <w:highlight w:val="none"/>
        </w:rPr>
      </w:pPr>
    </w:p>
    <w:p w14:paraId="38FC303C">
      <w:pPr>
        <w:pStyle w:val="14"/>
        <w:spacing w:line="560" w:lineRule="exact"/>
        <w:ind w:firstLine="404" w:firstLineChars="200"/>
        <w:rPr>
          <w:rFonts w:hint="eastAsia" w:ascii="宋体" w:hAnsi="宋体" w:eastAsia="宋体" w:cs="宋体"/>
          <w:color w:val="auto"/>
          <w:spacing w:val="-4"/>
          <w:sz w:val="21"/>
          <w:szCs w:val="21"/>
          <w:highlight w:val="none"/>
        </w:rPr>
      </w:pPr>
    </w:p>
    <w:p w14:paraId="73076B76">
      <w:pPr>
        <w:pStyle w:val="14"/>
        <w:spacing w:line="560" w:lineRule="exact"/>
        <w:ind w:firstLine="404" w:firstLineChars="200"/>
        <w:rPr>
          <w:rFonts w:hint="eastAsia" w:ascii="宋体" w:hAnsi="宋体" w:eastAsia="宋体" w:cs="宋体"/>
          <w:color w:val="auto"/>
          <w:spacing w:val="-4"/>
          <w:sz w:val="21"/>
          <w:szCs w:val="21"/>
          <w:highlight w:val="none"/>
        </w:rPr>
      </w:pPr>
    </w:p>
    <w:p w14:paraId="40C491BF">
      <w:pPr>
        <w:pStyle w:val="14"/>
        <w:spacing w:line="560" w:lineRule="exact"/>
        <w:ind w:firstLine="404" w:firstLineChars="200"/>
        <w:rPr>
          <w:rFonts w:hint="eastAsia" w:ascii="宋体" w:hAnsi="宋体" w:eastAsia="宋体" w:cs="宋体"/>
          <w:color w:val="auto"/>
          <w:spacing w:val="-4"/>
          <w:sz w:val="21"/>
          <w:szCs w:val="21"/>
          <w:highlight w:val="none"/>
        </w:rPr>
      </w:pPr>
    </w:p>
    <w:p w14:paraId="0053EEE6">
      <w:pPr>
        <w:rPr>
          <w:rFonts w:hint="eastAsia" w:ascii="宋体" w:hAnsi="宋体" w:eastAsia="宋体" w:cs="宋体"/>
          <w:b/>
          <w:bCs/>
          <w:color w:val="auto"/>
          <w:kern w:val="21"/>
          <w:sz w:val="28"/>
          <w:szCs w:val="32"/>
          <w:highlight w:val="none"/>
          <w:u w:val="none" w:color="000000"/>
          <w:lang w:val="en-US" w:eastAsia="zh-CN" w:bidi="ar-SA"/>
        </w:rPr>
      </w:pPr>
      <w:r>
        <w:rPr>
          <w:rFonts w:hint="eastAsia" w:ascii="宋体" w:hAnsi="宋体" w:eastAsia="宋体" w:cs="宋体"/>
          <w:b/>
          <w:bCs/>
          <w:color w:val="auto"/>
          <w:kern w:val="21"/>
          <w:sz w:val="28"/>
          <w:szCs w:val="32"/>
          <w:highlight w:val="none"/>
          <w:u w:val="none" w:color="000000"/>
          <w:lang w:val="en-US" w:eastAsia="zh-CN" w:bidi="ar-SA"/>
        </w:rPr>
        <w:br w:type="page"/>
      </w:r>
    </w:p>
    <w:p w14:paraId="3F53AD3E">
      <w:pPr>
        <w:pStyle w:val="14"/>
        <w:keepNext w:val="0"/>
        <w:keepLines w:val="0"/>
        <w:pageBreakBefore w:val="0"/>
        <w:kinsoku/>
        <w:wordWrap/>
        <w:overflowPunct/>
        <w:topLinePunct w:val="0"/>
        <w:bidi w:val="0"/>
        <w:spacing w:line="480" w:lineRule="exact"/>
        <w:jc w:val="center"/>
        <w:rPr>
          <w:rFonts w:hint="eastAsia" w:ascii="宋体" w:hAnsi="宋体" w:eastAsia="宋体" w:cs="宋体"/>
          <w:b/>
          <w:bCs/>
          <w:color w:val="auto"/>
          <w:kern w:val="21"/>
          <w:sz w:val="28"/>
          <w:szCs w:val="32"/>
          <w:highlight w:val="none"/>
          <w:u w:val="none" w:color="000000"/>
          <w:lang w:val="en-US" w:eastAsia="zh-CN" w:bidi="ar-SA"/>
        </w:rPr>
      </w:pPr>
      <w:r>
        <w:rPr>
          <w:rFonts w:hint="eastAsia" w:ascii="宋体" w:hAnsi="宋体" w:eastAsia="宋体" w:cs="宋体"/>
          <w:b/>
          <w:bCs/>
          <w:color w:val="auto"/>
          <w:kern w:val="21"/>
          <w:sz w:val="28"/>
          <w:szCs w:val="32"/>
          <w:highlight w:val="none"/>
          <w:u w:val="none" w:color="000000"/>
          <w:lang w:val="en-US" w:eastAsia="zh-CN" w:bidi="ar-SA"/>
        </w:rPr>
        <w:t>3、法定代表人身份证明</w:t>
      </w:r>
    </w:p>
    <w:p w14:paraId="0DF9DCCB">
      <w:pPr>
        <w:keepNext w:val="0"/>
        <w:keepLines w:val="0"/>
        <w:pageBreakBefore w:val="0"/>
        <w:kinsoku/>
        <w:wordWrap/>
        <w:overflowPunct/>
        <w:topLinePunct w:val="0"/>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726FB2E">
      <w:pPr>
        <w:keepNext w:val="0"/>
        <w:keepLines w:val="0"/>
        <w:pageBreakBefore w:val="0"/>
        <w:kinsoku/>
        <w:wordWrap/>
        <w:overflowPunct/>
        <w:topLinePunct w:val="0"/>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单位性质：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93798CA">
      <w:pPr>
        <w:keepNext w:val="0"/>
        <w:keepLines w:val="0"/>
        <w:pageBreakBefore w:val="0"/>
        <w:kinsoku/>
        <w:wordWrap/>
        <w:overflowPunct/>
        <w:topLinePunct w:val="0"/>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B6DA938">
      <w:pPr>
        <w:keepNext w:val="0"/>
        <w:keepLines w:val="0"/>
        <w:pageBreakBefore w:val="0"/>
        <w:kinsoku/>
        <w:wordWrap/>
        <w:overflowPunct/>
        <w:topLinePunct w:val="0"/>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2E2BB28">
      <w:pPr>
        <w:keepNext w:val="0"/>
        <w:keepLines w:val="0"/>
        <w:pageBreakBefore w:val="0"/>
        <w:kinsoku/>
        <w:wordWrap/>
        <w:overflowPunct/>
        <w:topLinePunct w:val="0"/>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23F601B">
      <w:pPr>
        <w:keepNext w:val="0"/>
        <w:keepLines w:val="0"/>
        <w:pageBreakBefore w:val="0"/>
        <w:kinsoku/>
        <w:wordWrap/>
        <w:overflowPunct/>
        <w:topLinePunct w:val="0"/>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35110FC2">
      <w:pPr>
        <w:keepNext w:val="0"/>
        <w:keepLines w:val="0"/>
        <w:pageBreakBefore w:val="0"/>
        <w:kinsoku/>
        <w:wordWrap/>
        <w:overflowPunct/>
        <w:topLinePunct w:val="0"/>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（供应商名称）的法定代表人。</w:t>
      </w:r>
    </w:p>
    <w:p w14:paraId="37155C04">
      <w:pPr>
        <w:keepNext w:val="0"/>
        <w:keepLines w:val="0"/>
        <w:pageBreakBefore w:val="0"/>
        <w:kinsoku/>
        <w:wordWrap/>
        <w:overflowPunct/>
        <w:topLinePunct w:val="0"/>
        <w:bidi w:val="0"/>
        <w:spacing w:line="48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43E93A34">
      <w:pPr>
        <w:keepNext w:val="0"/>
        <w:keepLines w:val="0"/>
        <w:pageBreakBefore w:val="0"/>
        <w:kinsoku/>
        <w:wordWrap/>
        <w:overflowPunct/>
        <w:topLinePunct w:val="0"/>
        <w:bidi w:val="0"/>
        <w:spacing w:line="480" w:lineRule="exact"/>
        <w:rPr>
          <w:rFonts w:hint="eastAsia" w:ascii="宋体" w:hAnsi="宋体" w:eastAsia="宋体" w:cs="宋体"/>
          <w:color w:val="auto"/>
          <w:szCs w:val="21"/>
          <w:highlight w:val="none"/>
        </w:rPr>
      </w:pPr>
    </w:p>
    <w:p w14:paraId="1AA0CE13">
      <w:pPr>
        <w:keepNext w:val="0"/>
        <w:keepLines w:val="0"/>
        <w:pageBreakBefore w:val="0"/>
        <w:kinsoku/>
        <w:wordWrap/>
        <w:overflowPunct/>
        <w:topLinePunct w:val="0"/>
        <w:autoSpaceDE w:val="0"/>
        <w:autoSpaceDN w:val="0"/>
        <w:bidi w:val="0"/>
        <w:adjustRightInd w:val="0"/>
        <w:snapToGrid w:val="0"/>
        <w:spacing w:before="120" w:beforeLines="50" w:line="4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附：法定代表人身份证复印件</w:t>
      </w:r>
    </w:p>
    <w:p w14:paraId="3EC4C512">
      <w:pPr>
        <w:keepNext w:val="0"/>
        <w:keepLines w:val="0"/>
        <w:pageBreakBefore w:val="0"/>
        <w:kinsoku/>
        <w:wordWrap/>
        <w:overflowPunct/>
        <w:topLinePunct w:val="0"/>
        <w:bidi w:val="0"/>
        <w:snapToGrid w:val="0"/>
        <w:spacing w:line="480" w:lineRule="exact"/>
        <w:rPr>
          <w:rFonts w:hint="eastAsia" w:ascii="宋体" w:hAnsi="宋体" w:eastAsia="宋体" w:cs="宋体"/>
          <w:color w:val="auto"/>
          <w:szCs w:val="21"/>
          <w:highlight w:val="none"/>
        </w:rPr>
      </w:pPr>
    </w:p>
    <w:p w14:paraId="13E88C86">
      <w:pPr>
        <w:keepNext w:val="0"/>
        <w:keepLines w:val="0"/>
        <w:pageBreakBefore w:val="0"/>
        <w:kinsoku/>
        <w:wordWrap/>
        <w:overflowPunct/>
        <w:topLinePunct w:val="0"/>
        <w:bidi w:val="0"/>
        <w:adjustRightInd w:val="0"/>
        <w:snapToGrid w:val="0"/>
        <w:spacing w:line="480" w:lineRule="exact"/>
        <w:ind w:right="420"/>
        <w:rPr>
          <w:rFonts w:hint="eastAsia" w:ascii="宋体" w:hAnsi="宋体" w:eastAsia="宋体" w:cs="宋体"/>
          <w:color w:val="auto"/>
          <w:szCs w:val="21"/>
          <w:highlight w:val="none"/>
        </w:rPr>
      </w:pPr>
    </w:p>
    <w:p w14:paraId="7AB7025C">
      <w:pPr>
        <w:keepNext w:val="0"/>
        <w:keepLines w:val="0"/>
        <w:pageBreakBefore w:val="0"/>
        <w:kinsoku/>
        <w:wordWrap/>
        <w:overflowPunct/>
        <w:topLinePunct w:val="0"/>
        <w:bidi w:val="0"/>
        <w:adjustRightInd w:val="0"/>
        <w:snapToGrid w:val="0"/>
        <w:spacing w:line="480" w:lineRule="exact"/>
        <w:ind w:right="420"/>
        <w:rPr>
          <w:rFonts w:hint="eastAsia" w:ascii="宋体" w:hAnsi="宋体" w:eastAsia="宋体" w:cs="宋体"/>
          <w:color w:val="auto"/>
          <w:szCs w:val="21"/>
          <w:highlight w:val="none"/>
        </w:rPr>
      </w:pPr>
    </w:p>
    <w:p w14:paraId="18D4C2AB">
      <w:pPr>
        <w:keepNext w:val="0"/>
        <w:keepLines w:val="0"/>
        <w:pageBreakBefore w:val="0"/>
        <w:kinsoku/>
        <w:wordWrap/>
        <w:overflowPunct/>
        <w:topLinePunct w:val="0"/>
        <w:bidi w:val="0"/>
        <w:spacing w:line="480" w:lineRule="exact"/>
        <w:outlineLvl w:val="9"/>
        <w:rPr>
          <w:rFonts w:hint="eastAsia" w:ascii="宋体" w:hAnsi="宋体" w:eastAsia="宋体" w:cs="宋体"/>
          <w:b/>
          <w:color w:val="auto"/>
          <w:szCs w:val="21"/>
          <w:highlight w:val="none"/>
        </w:rPr>
      </w:pPr>
    </w:p>
    <w:p w14:paraId="3DB49739">
      <w:pPr>
        <w:keepNext w:val="0"/>
        <w:keepLines w:val="0"/>
        <w:pageBreakBefore w:val="0"/>
        <w:kinsoku/>
        <w:wordWrap/>
        <w:overflowPunct/>
        <w:topLinePunct w:val="0"/>
        <w:bidi w:val="0"/>
        <w:spacing w:line="480" w:lineRule="exact"/>
        <w:ind w:firstLine="3150" w:firstLineChars="1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（盖单位公章）</w:t>
      </w:r>
    </w:p>
    <w:p w14:paraId="61C9DDD1">
      <w:pPr>
        <w:keepNext w:val="0"/>
        <w:keepLines w:val="0"/>
        <w:pageBreakBefore w:val="0"/>
        <w:kinsoku/>
        <w:wordWrap/>
        <w:overflowPunct/>
        <w:topLinePunct w:val="0"/>
        <w:bidi w:val="0"/>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055C5D4">
      <w:pPr>
        <w:keepNext w:val="0"/>
        <w:keepLines w:val="0"/>
        <w:pageBreakBefore w:val="0"/>
        <w:kinsoku/>
        <w:wordWrap/>
        <w:overflowPunct/>
        <w:topLinePunct w:val="0"/>
        <w:bidi w:val="0"/>
        <w:spacing w:line="480" w:lineRule="exact"/>
        <w:ind w:firstLine="3150" w:firstLineChars="1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CD60D97">
      <w:pPr>
        <w:keepNext w:val="0"/>
        <w:keepLines w:val="0"/>
        <w:pageBreakBefore w:val="0"/>
        <w:kinsoku/>
        <w:wordWrap/>
        <w:overflowPunct/>
        <w:topLinePunct w:val="0"/>
        <w:bidi w:val="0"/>
        <w:spacing w:line="480" w:lineRule="exact"/>
        <w:rPr>
          <w:rFonts w:hint="eastAsia" w:ascii="宋体" w:hAnsi="宋体" w:eastAsia="宋体" w:cs="宋体"/>
          <w:color w:val="auto"/>
          <w:kern w:val="21"/>
          <w:sz w:val="21"/>
          <w:szCs w:val="21"/>
          <w:highlight w:val="none"/>
        </w:rPr>
      </w:pPr>
    </w:p>
    <w:p w14:paraId="1D51855D">
      <w:pPr>
        <w:keepNext w:val="0"/>
        <w:keepLines w:val="0"/>
        <w:pageBreakBefore w:val="0"/>
        <w:kinsoku/>
        <w:wordWrap/>
        <w:overflowPunct/>
        <w:topLinePunct w:val="0"/>
        <w:bidi w:val="0"/>
        <w:spacing w:line="48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bidi="ar"/>
        </w:rPr>
        <w:t xml:space="preserve"> </w:t>
      </w:r>
    </w:p>
    <w:p w14:paraId="6DA4DF9E">
      <w:pPr>
        <w:spacing w:line="240" w:lineRule="auto"/>
        <w:rPr>
          <w:rFonts w:hint="eastAsia" w:ascii="宋体" w:hAnsi="宋体" w:eastAsia="宋体" w:cs="宋体"/>
          <w:color w:val="auto"/>
          <w:kern w:val="21"/>
          <w:szCs w:val="21"/>
          <w:highlight w:val="none"/>
        </w:rPr>
      </w:pPr>
    </w:p>
    <w:p w14:paraId="75B77351">
      <w:pPr>
        <w:spacing w:line="240" w:lineRule="auto"/>
        <w:rPr>
          <w:rFonts w:hint="eastAsia" w:ascii="宋体" w:hAnsi="宋体" w:eastAsia="宋体" w:cs="宋体"/>
          <w:color w:val="auto"/>
          <w:kern w:val="21"/>
          <w:sz w:val="24"/>
          <w:szCs w:val="24"/>
          <w:highlight w:val="none"/>
        </w:rPr>
      </w:pPr>
    </w:p>
    <w:p w14:paraId="5F853879">
      <w:pPr>
        <w:spacing w:line="240" w:lineRule="auto"/>
        <w:rPr>
          <w:rFonts w:hint="eastAsia" w:ascii="宋体" w:hAnsi="宋体" w:eastAsia="宋体" w:cs="宋体"/>
          <w:color w:val="auto"/>
          <w:kern w:val="21"/>
          <w:sz w:val="24"/>
          <w:szCs w:val="24"/>
          <w:highlight w:val="none"/>
        </w:rPr>
      </w:pPr>
    </w:p>
    <w:p w14:paraId="40DF07D3">
      <w:pPr>
        <w:spacing w:line="240" w:lineRule="auto"/>
        <w:rPr>
          <w:rFonts w:hint="eastAsia" w:ascii="宋体" w:hAnsi="宋体" w:eastAsia="宋体" w:cs="宋体"/>
          <w:color w:val="auto"/>
          <w:kern w:val="21"/>
          <w:highlight w:val="none"/>
        </w:rPr>
      </w:pPr>
    </w:p>
    <w:p w14:paraId="1178A1FF">
      <w:pPr>
        <w:pStyle w:val="4"/>
        <w:outlineLvl w:val="1"/>
        <w:rPr>
          <w:rFonts w:hint="eastAsia" w:ascii="宋体" w:hAnsi="宋体" w:eastAsia="宋体" w:cs="宋体"/>
          <w:color w:val="auto"/>
          <w:kern w:val="21"/>
          <w:highlight w:val="none"/>
          <w:lang w:val="en-US" w:eastAsia="zh-CN"/>
        </w:rPr>
      </w:pPr>
    </w:p>
    <w:p w14:paraId="109CA212">
      <w:pPr>
        <w:rPr>
          <w:rFonts w:hint="eastAsia" w:ascii="宋体" w:hAnsi="宋体" w:eastAsia="宋体" w:cs="宋体"/>
          <w:color w:val="auto"/>
          <w:kern w:val="21"/>
          <w:highlight w:val="none"/>
          <w:lang w:val="en-US" w:eastAsia="zh-CN"/>
        </w:rPr>
      </w:pPr>
      <w:r>
        <w:rPr>
          <w:rFonts w:hint="eastAsia" w:ascii="宋体" w:hAnsi="宋体" w:eastAsia="宋体" w:cs="宋体"/>
          <w:color w:val="auto"/>
          <w:kern w:val="21"/>
          <w:highlight w:val="none"/>
          <w:lang w:val="en-US" w:eastAsia="zh-CN"/>
        </w:rPr>
        <w:br w:type="page"/>
      </w:r>
    </w:p>
    <w:p w14:paraId="3281FCA9">
      <w:pPr>
        <w:pStyle w:val="4"/>
        <w:outlineLvl w:val="1"/>
        <w:rPr>
          <w:rFonts w:hint="eastAsia" w:ascii="宋体" w:hAnsi="宋体" w:eastAsia="宋体" w:cs="宋体"/>
          <w:color w:val="auto"/>
          <w:kern w:val="21"/>
          <w:highlight w:val="none"/>
        </w:rPr>
      </w:pPr>
      <w:r>
        <w:rPr>
          <w:rFonts w:hint="eastAsia" w:ascii="宋体" w:hAnsi="宋体" w:eastAsia="宋体" w:cs="宋体"/>
          <w:color w:val="auto"/>
          <w:kern w:val="21"/>
          <w:highlight w:val="none"/>
          <w:lang w:val="en-US" w:eastAsia="zh-CN"/>
        </w:rPr>
        <w:t>4</w:t>
      </w:r>
      <w:r>
        <w:rPr>
          <w:rFonts w:hint="eastAsia" w:ascii="宋体" w:hAnsi="宋体" w:eastAsia="宋体" w:cs="宋体"/>
          <w:color w:val="auto"/>
          <w:kern w:val="21"/>
          <w:highlight w:val="none"/>
        </w:rPr>
        <w:t>、法定代表人授权委托书</w:t>
      </w:r>
    </w:p>
    <w:p w14:paraId="72B9ECF3">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（姓名）为我方代理人。代理人根据授权，以我方名义签署、澄清、说明、补正、递交、撤回、修改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”(项目名称、项目编号)全权处理与该项目磋商、评审答疑、签订合同以及与合同执行有关的一切事务，其法律后果由我方承担。</w:t>
      </w:r>
    </w:p>
    <w:p w14:paraId="6412E45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磋商截止之日起(     )天内保持有效  </w:t>
      </w:r>
    </w:p>
    <w:p w14:paraId="093D588E">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14:paraId="034E4980">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附：（1）法定代表人身份证复印件</w:t>
      </w:r>
    </w:p>
    <w:p w14:paraId="4AFE7179">
      <w:pPr>
        <w:keepNext w:val="0"/>
        <w:keepLines w:val="0"/>
        <w:pageBreakBefore w:val="0"/>
        <w:widowControl/>
        <w:kinsoku/>
        <w:wordWrap/>
        <w:overflowPunct/>
        <w:topLinePunct w:val="0"/>
        <w:autoSpaceDE/>
        <w:autoSpaceDN/>
        <w:bidi w:val="0"/>
        <w:adjustRightInd/>
        <w:snapToGrid/>
        <w:spacing w:line="480" w:lineRule="exact"/>
        <w:textAlignment w:val="baseline"/>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169" w:name="_Toc450138948"/>
      <w:bookmarkStart w:id="170" w:name="_Toc449368383"/>
      <w:r>
        <w:rPr>
          <w:rFonts w:hint="eastAsia" w:ascii="宋体" w:hAnsi="宋体" w:eastAsia="宋体" w:cs="宋体"/>
          <w:color w:val="auto"/>
          <w:szCs w:val="21"/>
          <w:highlight w:val="none"/>
        </w:rPr>
        <w:t xml:space="preserve">    </w:t>
      </w:r>
      <w:bookmarkStart w:id="171" w:name="_Toc1381"/>
      <w:bookmarkStart w:id="172" w:name="_Toc12251"/>
      <w:bookmarkStart w:id="173" w:name="_Toc15918"/>
      <w:bookmarkStart w:id="174" w:name="_Toc22105"/>
      <w:bookmarkStart w:id="175" w:name="_Toc17978"/>
      <w:bookmarkStart w:id="176" w:name="_Toc24356"/>
      <w:bookmarkStart w:id="177" w:name="_Toc23309"/>
      <w:bookmarkStart w:id="178" w:name="_Toc7631"/>
      <w:bookmarkStart w:id="179" w:name="_Toc16137"/>
      <w:bookmarkStart w:id="180" w:name="_Toc31409"/>
      <w:bookmarkStart w:id="181" w:name="_Toc213"/>
      <w:bookmarkStart w:id="182" w:name="_Toc22139"/>
      <w:bookmarkStart w:id="183" w:name="_Toc24833"/>
      <w:r>
        <w:rPr>
          <w:rFonts w:hint="eastAsia" w:ascii="宋体" w:hAnsi="宋体" w:eastAsia="宋体" w:cs="宋体"/>
          <w:color w:val="auto"/>
          <w:szCs w:val="21"/>
          <w:highlight w:val="none"/>
        </w:rPr>
        <w:t>（2）委托代理人身份证</w:t>
      </w:r>
      <w:bookmarkEnd w:id="169"/>
      <w:bookmarkEnd w:id="170"/>
      <w:r>
        <w:rPr>
          <w:rFonts w:hint="eastAsia" w:ascii="宋体" w:hAnsi="宋体" w:eastAsia="宋体" w:cs="宋体"/>
          <w:color w:val="auto"/>
          <w:szCs w:val="21"/>
          <w:highlight w:val="none"/>
        </w:rPr>
        <w:t>复印件</w:t>
      </w:r>
      <w:bookmarkEnd w:id="171"/>
      <w:bookmarkEnd w:id="172"/>
      <w:bookmarkEnd w:id="173"/>
      <w:bookmarkEnd w:id="174"/>
      <w:bookmarkEnd w:id="175"/>
      <w:bookmarkEnd w:id="176"/>
      <w:bookmarkEnd w:id="177"/>
      <w:bookmarkEnd w:id="178"/>
      <w:bookmarkEnd w:id="179"/>
      <w:bookmarkEnd w:id="180"/>
      <w:bookmarkEnd w:id="181"/>
      <w:bookmarkEnd w:id="182"/>
      <w:bookmarkEnd w:id="183"/>
    </w:p>
    <w:p w14:paraId="4EB2DA68">
      <w:pPr>
        <w:keepNext w:val="0"/>
        <w:keepLines w:val="0"/>
        <w:pageBreakBefore w:val="0"/>
        <w:widowControl/>
        <w:kinsoku/>
        <w:wordWrap/>
        <w:overflowPunct/>
        <w:topLinePunct w:val="0"/>
        <w:autoSpaceDE/>
        <w:autoSpaceDN/>
        <w:bidi w:val="0"/>
        <w:adjustRightInd/>
        <w:snapToGrid/>
        <w:spacing w:line="480" w:lineRule="exact"/>
        <w:ind w:firstLine="1102" w:firstLineChars="525"/>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（加盖单位公章）</w:t>
      </w:r>
    </w:p>
    <w:p w14:paraId="6EBE0A8E">
      <w:pPr>
        <w:keepNext w:val="0"/>
        <w:keepLines w:val="0"/>
        <w:pageBreakBefore w:val="0"/>
        <w:widowControl/>
        <w:kinsoku/>
        <w:wordWrap/>
        <w:overflowPunct/>
        <w:topLinePunct w:val="0"/>
        <w:autoSpaceDE/>
        <w:autoSpaceDN/>
        <w:bidi w:val="0"/>
        <w:adjustRightInd/>
        <w:snapToGrid/>
        <w:spacing w:line="480" w:lineRule="exact"/>
        <w:ind w:firstLine="1102" w:firstLineChars="525"/>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14:paraId="29AABBBF">
      <w:pPr>
        <w:keepNext w:val="0"/>
        <w:keepLines w:val="0"/>
        <w:pageBreakBefore w:val="0"/>
        <w:widowControl/>
        <w:kinsoku/>
        <w:wordWrap/>
        <w:overflowPunct/>
        <w:topLinePunct w:val="0"/>
        <w:autoSpaceDE/>
        <w:autoSpaceDN/>
        <w:bidi w:val="0"/>
        <w:adjustRightInd/>
        <w:snapToGrid/>
        <w:spacing w:line="480" w:lineRule="exact"/>
        <w:ind w:firstLine="1102" w:firstLineChars="525"/>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29C2C871">
      <w:pPr>
        <w:keepNext w:val="0"/>
        <w:keepLines w:val="0"/>
        <w:pageBreakBefore w:val="0"/>
        <w:widowControl/>
        <w:kinsoku/>
        <w:wordWrap/>
        <w:overflowPunct/>
        <w:topLinePunct w:val="0"/>
        <w:autoSpaceDE/>
        <w:autoSpaceDN/>
        <w:bidi w:val="0"/>
        <w:adjustRightInd/>
        <w:snapToGrid/>
        <w:spacing w:line="480" w:lineRule="exact"/>
        <w:ind w:firstLine="1102" w:firstLineChars="525"/>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14:paraId="03486D45">
      <w:pPr>
        <w:keepNext w:val="0"/>
        <w:keepLines w:val="0"/>
        <w:pageBreakBefore w:val="0"/>
        <w:widowControl/>
        <w:kinsoku/>
        <w:wordWrap/>
        <w:overflowPunct/>
        <w:topLinePunct w:val="0"/>
        <w:autoSpaceDE/>
        <w:autoSpaceDN/>
        <w:bidi w:val="0"/>
        <w:adjustRightInd/>
        <w:snapToGrid/>
        <w:spacing w:line="480" w:lineRule="exact"/>
        <w:ind w:firstLine="1102" w:firstLineChars="525"/>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11118182">
      <w:pPr>
        <w:keepNext w:val="0"/>
        <w:keepLines w:val="0"/>
        <w:pageBreakBefore w:val="0"/>
        <w:widowControl/>
        <w:kinsoku/>
        <w:wordWrap/>
        <w:overflowPunct/>
        <w:topLinePunct w:val="0"/>
        <w:autoSpaceDE/>
        <w:autoSpaceDN/>
        <w:bidi w:val="0"/>
        <w:adjustRightInd/>
        <w:snapToGrid/>
        <w:spacing w:line="480" w:lineRule="exact"/>
        <w:ind w:firstLine="1102" w:firstLineChars="525"/>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D69E0AB">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b/>
          <w:color w:val="auto"/>
          <w:kern w:val="21"/>
          <w:sz w:val="21"/>
          <w:szCs w:val="21"/>
          <w:highlight w:val="none"/>
        </w:rPr>
      </w:pPr>
    </w:p>
    <w:p w14:paraId="00C1BF80">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b/>
          <w:color w:val="auto"/>
          <w:kern w:val="21"/>
          <w:sz w:val="21"/>
          <w:szCs w:val="21"/>
          <w:highlight w:val="none"/>
        </w:rPr>
      </w:pPr>
    </w:p>
    <w:p w14:paraId="3624D19E">
      <w:pPr>
        <w:jc w:val="center"/>
        <w:rPr>
          <w:rFonts w:hint="eastAsia" w:ascii="宋体" w:hAnsi="宋体" w:eastAsia="宋体" w:cs="宋体"/>
          <w:b/>
          <w:color w:val="auto"/>
          <w:kern w:val="21"/>
          <w:sz w:val="21"/>
          <w:szCs w:val="21"/>
          <w:highlight w:val="none"/>
        </w:rPr>
      </w:pPr>
    </w:p>
    <w:p w14:paraId="76411B8F">
      <w:pPr>
        <w:jc w:val="center"/>
        <w:rPr>
          <w:rFonts w:hint="eastAsia" w:ascii="宋体" w:hAnsi="宋体" w:eastAsia="宋体" w:cs="宋体"/>
          <w:b/>
          <w:color w:val="auto"/>
          <w:kern w:val="21"/>
          <w:szCs w:val="21"/>
          <w:highlight w:val="none"/>
        </w:rPr>
      </w:pPr>
      <w:r>
        <w:rPr>
          <w:rFonts w:hint="eastAsia" w:ascii="宋体" w:hAnsi="宋体" w:eastAsia="宋体" w:cs="宋体"/>
          <w:color w:val="auto"/>
          <w:kern w:val="21"/>
          <w:szCs w:val="21"/>
          <w:highlight w:val="none"/>
          <w:lang w:bidi="ar"/>
        </w:rPr>
        <w:t xml:space="preserve"> </w:t>
      </w:r>
    </w:p>
    <w:p w14:paraId="57A132B2">
      <w:pPr>
        <w:spacing w:line="240" w:lineRule="auto"/>
        <w:rPr>
          <w:rFonts w:hint="eastAsia" w:ascii="宋体" w:hAnsi="宋体" w:eastAsia="宋体" w:cs="宋体"/>
          <w:b/>
          <w:color w:val="auto"/>
          <w:kern w:val="21"/>
          <w:szCs w:val="21"/>
          <w:highlight w:val="none"/>
          <w:lang w:bidi="ar"/>
        </w:rPr>
      </w:pPr>
    </w:p>
    <w:p w14:paraId="461B98EA">
      <w:pPr>
        <w:spacing w:line="240" w:lineRule="auto"/>
        <w:rPr>
          <w:rFonts w:hint="eastAsia" w:ascii="宋体" w:hAnsi="宋体" w:eastAsia="宋体" w:cs="宋体"/>
          <w:b/>
          <w:color w:val="auto"/>
          <w:kern w:val="21"/>
          <w:szCs w:val="21"/>
          <w:highlight w:val="none"/>
          <w:lang w:bidi="ar"/>
        </w:rPr>
      </w:pPr>
    </w:p>
    <w:p w14:paraId="1FAEE36E">
      <w:pPr>
        <w:spacing w:line="240" w:lineRule="auto"/>
        <w:rPr>
          <w:rFonts w:hint="eastAsia" w:ascii="宋体" w:hAnsi="宋体" w:eastAsia="宋体" w:cs="宋体"/>
          <w:b/>
          <w:color w:val="auto"/>
          <w:kern w:val="21"/>
          <w:sz w:val="32"/>
          <w:szCs w:val="32"/>
          <w:highlight w:val="none"/>
          <w:lang w:bidi="ar"/>
        </w:rPr>
      </w:pPr>
    </w:p>
    <w:p w14:paraId="1C2E64DC">
      <w:pPr>
        <w:pStyle w:val="3"/>
        <w:outlineLvl w:val="9"/>
        <w:rPr>
          <w:rFonts w:hint="eastAsia" w:ascii="宋体" w:hAnsi="宋体" w:eastAsia="宋体" w:cs="宋体"/>
          <w:b/>
          <w:color w:val="auto"/>
          <w:kern w:val="21"/>
          <w:sz w:val="32"/>
          <w:szCs w:val="32"/>
          <w:highlight w:val="none"/>
          <w:lang w:bidi="ar"/>
        </w:rPr>
      </w:pPr>
    </w:p>
    <w:p w14:paraId="458F50E6">
      <w:pPr>
        <w:rPr>
          <w:rFonts w:hint="eastAsia" w:ascii="宋体" w:hAnsi="宋体" w:eastAsia="宋体" w:cs="宋体"/>
          <w:b/>
          <w:color w:val="auto"/>
          <w:kern w:val="21"/>
          <w:sz w:val="32"/>
          <w:szCs w:val="32"/>
          <w:highlight w:val="none"/>
          <w:lang w:bidi="ar"/>
        </w:rPr>
      </w:pPr>
    </w:p>
    <w:p w14:paraId="6E754D7E">
      <w:pPr>
        <w:pStyle w:val="3"/>
        <w:outlineLvl w:val="9"/>
        <w:rPr>
          <w:rFonts w:hint="eastAsia" w:ascii="宋体" w:hAnsi="宋体" w:eastAsia="宋体" w:cs="宋体"/>
          <w:color w:val="auto"/>
          <w:highlight w:val="none"/>
        </w:rPr>
      </w:pPr>
    </w:p>
    <w:p w14:paraId="169919F8">
      <w:pPr>
        <w:jc w:val="center"/>
        <w:rPr>
          <w:rFonts w:hint="eastAsia" w:ascii="宋体" w:hAnsi="宋体" w:eastAsia="宋体" w:cs="宋体"/>
          <w:b/>
          <w:color w:val="auto"/>
          <w:kern w:val="21"/>
          <w:sz w:val="28"/>
          <w:szCs w:val="28"/>
          <w:highlight w:val="none"/>
        </w:rPr>
      </w:pPr>
    </w:p>
    <w:p w14:paraId="3D1F35E2">
      <w:pPr>
        <w:ind w:left="720"/>
        <w:jc w:val="center"/>
        <w:rPr>
          <w:rFonts w:hint="eastAsia" w:ascii="宋体" w:hAnsi="宋体" w:eastAsia="宋体" w:cs="宋体"/>
          <w:b/>
          <w:color w:val="auto"/>
          <w:kern w:val="21"/>
          <w:sz w:val="28"/>
          <w:szCs w:val="28"/>
          <w:highlight w:val="none"/>
        </w:rPr>
      </w:pPr>
    </w:p>
    <w:p w14:paraId="482390C7">
      <w:pPr>
        <w:pStyle w:val="11"/>
        <w:rPr>
          <w:rFonts w:hint="eastAsia" w:ascii="宋体" w:hAnsi="宋体" w:eastAsia="宋体" w:cs="宋体"/>
          <w:color w:val="auto"/>
          <w:highlight w:val="none"/>
        </w:rPr>
        <w:sectPr>
          <w:footerReference r:id="rId12" w:type="default"/>
          <w:pgSz w:w="11906" w:h="16838"/>
          <w:pgMar w:top="1440" w:right="1800" w:bottom="1440" w:left="1800" w:header="851" w:footer="992" w:gutter="0"/>
          <w:pgNumType w:fmt="decimal"/>
          <w:cols w:space="720" w:num="1"/>
          <w:docGrid w:linePitch="312" w:charSpace="0"/>
        </w:sectPr>
      </w:pPr>
    </w:p>
    <w:p w14:paraId="18019778">
      <w:pPr>
        <w:pStyle w:val="4"/>
        <w:spacing w:line="560" w:lineRule="exact"/>
        <w:jc w:val="center"/>
        <w:rPr>
          <w:rFonts w:hint="eastAsia" w:ascii="宋体" w:hAnsi="宋体" w:eastAsia="宋体" w:cs="宋体"/>
          <w:color w:val="auto"/>
          <w:highlight w:val="none"/>
        </w:rPr>
      </w:pPr>
      <w:bookmarkStart w:id="184" w:name="_Toc13853"/>
      <w:bookmarkStart w:id="185" w:name="_Toc13973"/>
      <w:bookmarkStart w:id="186" w:name="_Toc11164"/>
      <w:bookmarkStart w:id="187" w:name="_Toc22056"/>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.1中小企业声明函（货物）（若是）</w:t>
      </w:r>
      <w:bookmarkEnd w:id="184"/>
    </w:p>
    <w:p w14:paraId="29F72DC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本公司郑重声明，根据《政府采购促进中小企业发展管理办法》（财库[2020]46号）的规定，本公司参加</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 xml:space="preserve">采购活动，提供的货物全部由符合政策要求的中小企业制造。相关企业（含联合体中的中小企业、签订分包意向协议的中小企业）的具体情况如下：          </w:t>
      </w:r>
    </w:p>
    <w:p w14:paraId="510FD1D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（标的名称），属于（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 xml:space="preserve">     （中型企业、小型企业、微型企业）</w:t>
      </w:r>
      <w:r>
        <w:rPr>
          <w:rFonts w:hint="eastAsia" w:ascii="宋体" w:hAnsi="宋体" w:eastAsia="宋体" w:cs="宋体"/>
          <w:color w:val="auto"/>
          <w:szCs w:val="21"/>
          <w:highlight w:val="none"/>
        </w:rPr>
        <w:t>；</w:t>
      </w:r>
    </w:p>
    <w:p w14:paraId="18871C4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（标的名称），属于（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 xml:space="preserve">     （中型企业、小型企业、微型企业）</w:t>
      </w:r>
      <w:r>
        <w:rPr>
          <w:rFonts w:hint="eastAsia" w:ascii="宋体" w:hAnsi="宋体" w:eastAsia="宋体" w:cs="宋体"/>
          <w:color w:val="auto"/>
          <w:szCs w:val="21"/>
          <w:highlight w:val="none"/>
        </w:rPr>
        <w:t>；</w:t>
      </w:r>
    </w:p>
    <w:p w14:paraId="74893FA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5FADCF63">
      <w:pPr>
        <w:pStyle w:val="56"/>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以上企业，不属于大企业的分支机构，不存在控股股东为大企业的情形，也不存在与大企业的负责人为同一人的情形。</w:t>
      </w:r>
    </w:p>
    <w:p w14:paraId="44884C28">
      <w:pPr>
        <w:pStyle w:val="57"/>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2FB06052">
      <w:pPr>
        <w:keepNext w:val="0"/>
        <w:keepLines w:val="0"/>
        <w:pageBreakBefore w:val="0"/>
        <w:widowControl/>
        <w:kinsoku/>
        <w:wordWrap/>
        <w:overflowPunct/>
        <w:topLinePunct w:val="0"/>
        <w:autoSpaceDE/>
        <w:autoSpaceDN/>
        <w:bidi w:val="0"/>
        <w:adjustRightInd/>
        <w:snapToGrid/>
        <w:spacing w:line="480" w:lineRule="exact"/>
        <w:ind w:firstLine="2310" w:firstLineChars="1100"/>
        <w:jc w:val="righ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（加盖单位公章）</w:t>
      </w:r>
    </w:p>
    <w:p w14:paraId="1CB26DFE">
      <w:pPr>
        <w:keepNext w:val="0"/>
        <w:keepLines w:val="0"/>
        <w:pageBreakBefore w:val="0"/>
        <w:widowControl/>
        <w:kinsoku/>
        <w:wordWrap/>
        <w:overflowPunct/>
        <w:topLinePunct w:val="0"/>
        <w:autoSpaceDE/>
        <w:autoSpaceDN/>
        <w:bidi w:val="0"/>
        <w:adjustRightInd/>
        <w:snapToGrid/>
        <w:spacing w:line="480" w:lineRule="exact"/>
        <w:ind w:firstLine="2310" w:firstLineChars="110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D67DADF">
      <w:pPr>
        <w:pStyle w:val="56"/>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szCs w:val="21"/>
          <w:highlight w:val="none"/>
        </w:rPr>
      </w:pPr>
    </w:p>
    <w:p w14:paraId="3A5BFD30">
      <w:pPr>
        <w:pStyle w:val="57"/>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szCs w:val="21"/>
          <w:highlight w:val="none"/>
        </w:rPr>
      </w:pPr>
    </w:p>
    <w:p w14:paraId="1C5643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szCs w:val="21"/>
          <w:highlight w:val="none"/>
        </w:rPr>
      </w:pPr>
    </w:p>
    <w:p w14:paraId="3FA160DD">
      <w:pPr>
        <w:pStyle w:val="56"/>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szCs w:val="21"/>
          <w:highlight w:val="none"/>
        </w:rPr>
      </w:pPr>
    </w:p>
    <w:p w14:paraId="2A583BA5">
      <w:pPr>
        <w:pStyle w:val="57"/>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highlight w:val="none"/>
        </w:rPr>
      </w:pPr>
    </w:p>
    <w:p w14:paraId="3462ED7E">
      <w:pPr>
        <w:pStyle w:val="56"/>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注：从业人员、营业收入、资产总额填报上一年度数据，无上一年度数据的新成立企业可不填报。</w:t>
      </w:r>
    </w:p>
    <w:p w14:paraId="54906E13">
      <w:pPr>
        <w:pStyle w:val="56"/>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highlight w:val="none"/>
        </w:rPr>
        <w:sectPr>
          <w:footerReference r:id="rId13" w:type="default"/>
          <w:pgSz w:w="11906" w:h="16838"/>
          <w:pgMar w:top="1440" w:right="1800" w:bottom="1440" w:left="1800" w:header="851" w:footer="992" w:gutter="0"/>
          <w:pgNumType w:fmt="decimal"/>
          <w:cols w:space="0" w:num="1"/>
          <w:rtlGutter w:val="0"/>
          <w:docGrid w:linePitch="312" w:charSpace="0"/>
        </w:sectPr>
      </w:pPr>
    </w:p>
    <w:p w14:paraId="15EF4406">
      <w:pPr>
        <w:pStyle w:val="4"/>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color w:val="auto"/>
          <w:highlight w:val="none"/>
        </w:rPr>
      </w:pPr>
      <w:bookmarkStart w:id="188" w:name="_Toc6758"/>
      <w:bookmarkStart w:id="189" w:name="_Toc10634"/>
      <w:bookmarkStart w:id="190" w:name="_Toc14796"/>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.2中小企业声明函（工程、服务）</w:t>
      </w:r>
      <w:bookmarkEnd w:id="188"/>
      <w:bookmarkEnd w:id="189"/>
      <w:r>
        <w:rPr>
          <w:rFonts w:hint="eastAsia" w:ascii="宋体" w:hAnsi="宋体" w:eastAsia="宋体" w:cs="宋体"/>
          <w:color w:val="auto"/>
          <w:highlight w:val="none"/>
        </w:rPr>
        <w:t>（若是）</w:t>
      </w:r>
      <w:bookmarkEnd w:id="190"/>
    </w:p>
    <w:p w14:paraId="029F62FC">
      <w:pPr>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本公司郑重声明，根据《政府采购促进中小企业发展管理办法》（财库[2020]46号）的规定，本公司参加</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 xml:space="preserve">的（项目名称）采购活动，工程的施工单位全部为符合政策要求的中小企业（或者：服务全部由符合政策要求的中小企业承接）。相关企业（含联合体中的中小企业、签订分包意向协议的中小企业）的具体情况如下：          </w:t>
      </w:r>
    </w:p>
    <w:p w14:paraId="41E62E9C">
      <w:pPr>
        <w:pageBreakBefore w:val="0"/>
        <w:widowControl/>
        <w:numPr>
          <w:ilvl w:val="0"/>
          <w:numId w:val="0"/>
        </w:numPr>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（标的名称），属于（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）；承建（承接）企业为（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 xml:space="preserve">     （中型企业、小型企业、微型企业）</w:t>
      </w:r>
      <w:r>
        <w:rPr>
          <w:rFonts w:hint="eastAsia" w:ascii="宋体" w:hAnsi="宋体" w:eastAsia="宋体" w:cs="宋体"/>
          <w:color w:val="auto"/>
          <w:szCs w:val="21"/>
          <w:highlight w:val="none"/>
        </w:rPr>
        <w:t>；</w:t>
      </w:r>
    </w:p>
    <w:p w14:paraId="1D3548F3">
      <w:pPr>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（标的名称），属于（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）；承建（承接）企业为（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 xml:space="preserve">     （中型企业、小型企业、微型企业）</w:t>
      </w:r>
      <w:r>
        <w:rPr>
          <w:rFonts w:hint="eastAsia" w:ascii="宋体" w:hAnsi="宋体" w:eastAsia="宋体" w:cs="宋体"/>
          <w:color w:val="auto"/>
          <w:szCs w:val="21"/>
          <w:highlight w:val="none"/>
        </w:rPr>
        <w:t>；</w:t>
      </w:r>
    </w:p>
    <w:p w14:paraId="575B41CC">
      <w:pPr>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6E2D35CA">
      <w:pPr>
        <w:pStyle w:val="56"/>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以上企业，不属于大企业的分支机构，不存在控股股东为大企业的情形，也不存在与大企业的负责人为同一人的情形。</w:t>
      </w:r>
    </w:p>
    <w:p w14:paraId="313C4051">
      <w:pPr>
        <w:pStyle w:val="57"/>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319679C1">
      <w:pPr>
        <w:pageBreakBefore w:val="0"/>
        <w:widowControl/>
        <w:kinsoku/>
        <w:wordWrap/>
        <w:overflowPunct/>
        <w:topLinePunct w:val="0"/>
        <w:autoSpaceDE/>
        <w:autoSpaceDN/>
        <w:bidi w:val="0"/>
        <w:adjustRightInd/>
        <w:snapToGrid/>
        <w:spacing w:line="480" w:lineRule="exact"/>
        <w:ind w:firstLine="2310" w:firstLineChars="1100"/>
        <w:jc w:val="righ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（加盖单位公章）</w:t>
      </w:r>
    </w:p>
    <w:p w14:paraId="1F4C2981">
      <w:pPr>
        <w:pageBreakBefore w:val="0"/>
        <w:widowControl/>
        <w:kinsoku/>
        <w:wordWrap/>
        <w:overflowPunct/>
        <w:topLinePunct w:val="0"/>
        <w:autoSpaceDE/>
        <w:autoSpaceDN/>
        <w:bidi w:val="0"/>
        <w:adjustRightInd/>
        <w:snapToGrid/>
        <w:spacing w:line="480" w:lineRule="exact"/>
        <w:ind w:firstLine="2310" w:firstLineChars="110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949463B">
      <w:pPr>
        <w:pStyle w:val="56"/>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szCs w:val="21"/>
          <w:highlight w:val="none"/>
        </w:rPr>
      </w:pPr>
    </w:p>
    <w:p w14:paraId="353EF0C6">
      <w:pPr>
        <w:pStyle w:val="57"/>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szCs w:val="21"/>
          <w:highlight w:val="none"/>
        </w:rPr>
      </w:pPr>
    </w:p>
    <w:p w14:paraId="4CC43460">
      <w:pPr>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szCs w:val="21"/>
          <w:highlight w:val="none"/>
        </w:rPr>
      </w:pPr>
    </w:p>
    <w:p w14:paraId="5B13B9E8">
      <w:pPr>
        <w:pStyle w:val="56"/>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highlight w:val="none"/>
        </w:rPr>
      </w:pPr>
    </w:p>
    <w:p w14:paraId="536213EA">
      <w:pPr>
        <w:pStyle w:val="56"/>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highlight w:val="none"/>
          <w:lang w:eastAsia="zh-CN"/>
        </w:rPr>
        <w:sectPr>
          <w:pgSz w:w="11906" w:h="16838"/>
          <w:pgMar w:top="1440" w:right="1800" w:bottom="1440" w:left="1800" w:header="851" w:footer="992" w:gutter="0"/>
          <w:pgNumType w:fmt="decimal"/>
          <w:cols w:space="0" w:num="1"/>
          <w:rtlGutter w:val="0"/>
          <w:docGrid w:linePitch="312" w:charSpace="0"/>
        </w:sectPr>
      </w:pPr>
      <w:r>
        <w:rPr>
          <w:rFonts w:hint="eastAsia" w:ascii="宋体" w:hAnsi="宋体" w:eastAsia="宋体" w:cs="宋体"/>
          <w:b w:val="0"/>
          <w:bCs/>
          <w:color w:val="auto"/>
          <w:szCs w:val="21"/>
          <w:highlight w:val="none"/>
        </w:rPr>
        <w:t>注：从业人员、营业收入、资产总额填报上一年度数据，无上一年度数据的新成立企业可不填报</w:t>
      </w:r>
    </w:p>
    <w:p w14:paraId="5772B871">
      <w:pPr>
        <w:pStyle w:val="4"/>
        <w:pageBreakBefore w:val="0"/>
        <w:kinsoku/>
        <w:wordWrap/>
        <w:overflowPunct/>
        <w:topLinePunct w:val="0"/>
        <w:autoSpaceDE/>
        <w:autoSpaceDN/>
        <w:bidi w:val="0"/>
        <w:adjustRightInd/>
        <w:spacing w:line="480" w:lineRule="exact"/>
        <w:jc w:val="center"/>
        <w:textAlignment w:val="baseline"/>
        <w:rPr>
          <w:rFonts w:hint="eastAsia" w:ascii="宋体" w:hAnsi="宋体" w:eastAsia="宋体" w:cs="宋体"/>
          <w:color w:val="auto"/>
          <w:highlight w:val="none"/>
        </w:rPr>
      </w:pPr>
      <w:bookmarkStart w:id="191" w:name="_Toc7760"/>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、残疾人福利性单位声明函（若是）</w:t>
      </w:r>
      <w:bookmarkEnd w:id="191"/>
    </w:p>
    <w:p w14:paraId="03F90D0B">
      <w:pPr>
        <w:pageBreakBefore w:val="0"/>
        <w:kinsoku/>
        <w:wordWrap/>
        <w:overflowPunct/>
        <w:topLinePunct w:val="0"/>
        <w:autoSpaceDE/>
        <w:autoSpaceDN/>
        <w:bidi w:val="0"/>
        <w:adjustRightIn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项目名称（项目编号：____）的采购活动提供本单位制造的货物（由本单位承担工程/提供服务），或者提供其他残疾人福利性单位制造的货物（不包括使用非残疾人福利性单位注册商标的货物）。</w:t>
      </w:r>
    </w:p>
    <w:p w14:paraId="5BB44AF5">
      <w:pPr>
        <w:pageBreakBefore w:val="0"/>
        <w:kinsoku/>
        <w:wordWrap/>
        <w:overflowPunct/>
        <w:topLinePunct w:val="0"/>
        <w:autoSpaceDE/>
        <w:autoSpaceDN/>
        <w:bidi w:val="0"/>
        <w:adjustRightIn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1D0F6C4B">
      <w:pPr>
        <w:pStyle w:val="11"/>
        <w:pageBreakBefore w:val="0"/>
        <w:kinsoku/>
        <w:wordWrap/>
        <w:overflowPunct/>
        <w:topLinePunct w:val="0"/>
        <w:autoSpaceDE/>
        <w:autoSpaceDN/>
        <w:bidi w:val="0"/>
        <w:adjustRightInd/>
        <w:spacing w:line="480" w:lineRule="exact"/>
        <w:textAlignment w:val="baseline"/>
        <w:rPr>
          <w:rFonts w:hint="eastAsia" w:ascii="宋体" w:hAnsi="宋体" w:eastAsia="宋体" w:cs="宋体"/>
          <w:color w:val="auto"/>
          <w:highlight w:val="none"/>
        </w:rPr>
      </w:pPr>
    </w:p>
    <w:p w14:paraId="740EE9FB">
      <w:pPr>
        <w:pageBreakBefore w:val="0"/>
        <w:kinsoku/>
        <w:wordWrap/>
        <w:overflowPunct/>
        <w:topLinePunct w:val="0"/>
        <w:autoSpaceDE/>
        <w:autoSpaceDN/>
        <w:bidi w:val="0"/>
        <w:adjustRightInd/>
        <w:spacing w:line="480" w:lineRule="exact"/>
        <w:ind w:firstLine="2310" w:firstLineChars="1100"/>
        <w:jc w:val="righ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（加盖单位公章）</w:t>
      </w:r>
    </w:p>
    <w:p w14:paraId="1925BB81">
      <w:pPr>
        <w:pageBreakBefore w:val="0"/>
        <w:kinsoku/>
        <w:wordWrap/>
        <w:overflowPunct/>
        <w:topLinePunct w:val="0"/>
        <w:autoSpaceDE/>
        <w:autoSpaceDN/>
        <w:bidi w:val="0"/>
        <w:adjustRightInd/>
        <w:spacing w:line="480" w:lineRule="exact"/>
        <w:ind w:firstLine="2310" w:firstLineChars="1100"/>
        <w:jc w:val="center"/>
        <w:textAlignment w:val="baseline"/>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B687502">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备注：根据《财政部 民政部 中国残疾人联合会关于促进残疾人就业政府采购政策的通知》（财库〔2017〕141号）的规定：</w:t>
      </w:r>
    </w:p>
    <w:p w14:paraId="5304589D">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一、享受政府采购支持政策的残疾人福利性单位应当同时满足以下条件：</w:t>
      </w:r>
    </w:p>
    <w:p w14:paraId="6F8CF42F">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（一）安置的残疾人占本单位在职职工人数的比例不低于25%（含25%），并且安置的残疾人人数不少于10人（含10人）；</w:t>
      </w:r>
    </w:p>
    <w:p w14:paraId="6F762FC5">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（二）依法与安置的每位残疾人签订了一年以上（含一年）的劳动合同或服务协议；</w:t>
      </w:r>
    </w:p>
    <w:p w14:paraId="0BE25E31">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szCs w:val="22"/>
          <w:highlight w:val="none"/>
        </w:rPr>
      </w:pPr>
      <w:r>
        <w:rPr>
          <w:rFonts w:hint="eastAsia" w:ascii="宋体" w:hAnsi="宋体" w:eastAsia="宋体" w:cs="宋体"/>
          <w:color w:val="auto"/>
          <w:szCs w:val="22"/>
          <w:highlight w:val="none"/>
        </w:rPr>
        <w:t>（三）为安置的每位残疾人按月足额缴纳了基本养老保险、基本医疗保险、失业保险、工伤保险和生育保险等社会保险费；</w:t>
      </w:r>
    </w:p>
    <w:p w14:paraId="5AB002CA">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szCs w:val="22"/>
          <w:highlight w:val="none"/>
        </w:rPr>
      </w:pPr>
      <w:r>
        <w:rPr>
          <w:rFonts w:hint="eastAsia" w:ascii="宋体" w:hAnsi="宋体" w:eastAsia="宋体" w:cs="宋体"/>
          <w:color w:val="auto"/>
          <w:szCs w:val="22"/>
          <w:highlight w:val="none"/>
        </w:rPr>
        <w:t>（四）通过银行等金融机构向安置的每位残疾人，按月支付了不低于单位所在区县适用的经省级人民政府批准的月最低工资标准的工资；</w:t>
      </w:r>
    </w:p>
    <w:p w14:paraId="5340A20B">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szCs w:val="22"/>
          <w:highlight w:val="none"/>
        </w:rPr>
      </w:pPr>
      <w:r>
        <w:rPr>
          <w:rFonts w:hint="eastAsia" w:ascii="宋体" w:hAnsi="宋体" w:eastAsia="宋体" w:cs="宋体"/>
          <w:color w:val="auto"/>
          <w:szCs w:val="22"/>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066EE33">
      <w:pPr>
        <w:keepNext w:val="0"/>
        <w:keepLines w:val="0"/>
        <w:pageBreakBefore w:val="0"/>
        <w:widowControl/>
        <w:kinsoku/>
        <w:wordWrap/>
        <w:overflowPunct/>
        <w:topLinePunct w:val="0"/>
        <w:autoSpaceDE/>
        <w:autoSpaceDN/>
        <w:bidi w:val="0"/>
        <w:adjustRightInd/>
        <w:snapToGrid/>
        <w:spacing w:line="480" w:lineRule="exact"/>
        <w:ind w:firstLine="420" w:firstLineChars="20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color w:val="auto"/>
          <w:szCs w:val="22"/>
          <w:highlight w:val="none"/>
        </w:rPr>
        <w:t>二、成交、成交供应商为残疾人福利性单位的，采购人或者其委托的采购代理机构应当随成交、成交结果同时公告其《残疾人福利性单位声明函》，接受社会监督。</w:t>
      </w:r>
      <w:r>
        <w:rPr>
          <w:rFonts w:hint="eastAsia" w:ascii="宋体" w:hAnsi="宋体" w:eastAsia="宋体" w:cs="宋体"/>
          <w:color w:val="auto"/>
          <w:szCs w:val="22"/>
          <w:highlight w:val="none"/>
        </w:rPr>
        <w:br w:type="page"/>
      </w:r>
      <w:r>
        <w:rPr>
          <w:rFonts w:hint="eastAsia" w:ascii="宋体" w:hAnsi="宋体" w:eastAsia="宋体" w:cs="宋体"/>
          <w:b/>
          <w:bCs/>
          <w:color w:val="auto"/>
          <w:sz w:val="28"/>
          <w:szCs w:val="32"/>
          <w:highlight w:val="none"/>
          <w:u w:val="none" w:color="000000"/>
          <w:lang w:val="en-US" w:eastAsia="zh-CN" w:bidi="ar-SA"/>
        </w:rPr>
        <w:t>7、监狱企业证明函（若是）</w:t>
      </w:r>
    </w:p>
    <w:p w14:paraId="6FB2C524">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C035E7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监狱企业参加政府采购活动时，应当提供由省级以上监狱管理局、戒毒管理局（含新疆生产建设兵团）出具的属于监狱企业的证明文件</w:t>
      </w:r>
    </w:p>
    <w:p w14:paraId="3326DDDD">
      <w:pPr>
        <w:keepNext w:val="0"/>
        <w:keepLines w:val="0"/>
        <w:pageBreakBefore w:val="0"/>
        <w:widowControl/>
        <w:kinsoku/>
        <w:wordWrap/>
        <w:overflowPunct/>
        <w:topLinePunct w:val="0"/>
        <w:autoSpaceDE/>
        <w:autoSpaceDN/>
        <w:bidi w:val="0"/>
        <w:adjustRightInd/>
        <w:snapToGrid/>
        <w:spacing w:beforeLines="50" w:afterLines="50" w:line="480" w:lineRule="exact"/>
        <w:textAlignment w:val="baseline"/>
        <w:rPr>
          <w:rFonts w:hint="eastAsia" w:ascii="宋体" w:hAnsi="宋体" w:eastAsia="宋体" w:cs="宋体"/>
          <w:b/>
          <w:color w:val="auto"/>
          <w:sz w:val="32"/>
          <w:szCs w:val="32"/>
          <w:highlight w:val="none"/>
        </w:rPr>
      </w:pPr>
    </w:p>
    <w:p w14:paraId="65B93544">
      <w:pPr>
        <w:spacing w:beforeLines="50" w:afterLines="50" w:line="460" w:lineRule="exact"/>
        <w:rPr>
          <w:rFonts w:hint="eastAsia" w:ascii="宋体" w:hAnsi="宋体" w:eastAsia="宋体" w:cs="宋体"/>
          <w:b/>
          <w:color w:val="auto"/>
          <w:sz w:val="32"/>
          <w:szCs w:val="32"/>
          <w:highlight w:val="none"/>
        </w:rPr>
      </w:pPr>
    </w:p>
    <w:p w14:paraId="3B5AEAFF">
      <w:pPr>
        <w:spacing w:beforeLines="50" w:afterLines="50" w:line="460" w:lineRule="exact"/>
        <w:rPr>
          <w:rFonts w:hint="eastAsia" w:ascii="宋体" w:hAnsi="宋体" w:eastAsia="宋体" w:cs="宋体"/>
          <w:b/>
          <w:color w:val="auto"/>
          <w:sz w:val="32"/>
          <w:szCs w:val="32"/>
          <w:highlight w:val="none"/>
        </w:rPr>
      </w:pPr>
    </w:p>
    <w:p w14:paraId="76813281">
      <w:pPr>
        <w:spacing w:beforeLines="50" w:afterLines="50" w:line="460" w:lineRule="exact"/>
        <w:rPr>
          <w:rFonts w:hint="eastAsia" w:ascii="宋体" w:hAnsi="宋体" w:eastAsia="宋体" w:cs="宋体"/>
          <w:b/>
          <w:color w:val="auto"/>
          <w:sz w:val="32"/>
          <w:szCs w:val="32"/>
          <w:highlight w:val="none"/>
        </w:rPr>
      </w:pPr>
    </w:p>
    <w:p w14:paraId="0928C1F3">
      <w:pPr>
        <w:pStyle w:val="11"/>
        <w:rPr>
          <w:rFonts w:hint="eastAsia" w:ascii="宋体" w:hAnsi="宋体" w:eastAsia="宋体" w:cs="宋体"/>
          <w:b/>
          <w:color w:val="auto"/>
          <w:sz w:val="32"/>
          <w:szCs w:val="32"/>
          <w:highlight w:val="none"/>
        </w:rPr>
      </w:pPr>
    </w:p>
    <w:p w14:paraId="4EEC7E05">
      <w:pPr>
        <w:rPr>
          <w:rFonts w:hint="eastAsia" w:ascii="宋体" w:hAnsi="宋体" w:eastAsia="宋体" w:cs="宋体"/>
          <w:b/>
          <w:color w:val="auto"/>
          <w:sz w:val="32"/>
          <w:szCs w:val="32"/>
          <w:highlight w:val="none"/>
        </w:rPr>
      </w:pPr>
    </w:p>
    <w:p w14:paraId="2B46F3E0">
      <w:pPr>
        <w:pStyle w:val="11"/>
        <w:rPr>
          <w:rFonts w:hint="eastAsia" w:ascii="宋体" w:hAnsi="宋体" w:eastAsia="宋体" w:cs="宋体"/>
          <w:b/>
          <w:color w:val="auto"/>
          <w:sz w:val="32"/>
          <w:szCs w:val="32"/>
          <w:highlight w:val="none"/>
        </w:rPr>
      </w:pPr>
    </w:p>
    <w:p w14:paraId="57AA0B43">
      <w:pPr>
        <w:rPr>
          <w:rFonts w:hint="eastAsia" w:ascii="宋体" w:hAnsi="宋体" w:eastAsia="宋体" w:cs="宋体"/>
          <w:b/>
          <w:color w:val="auto"/>
          <w:sz w:val="32"/>
          <w:szCs w:val="32"/>
          <w:highlight w:val="none"/>
        </w:rPr>
      </w:pPr>
    </w:p>
    <w:p w14:paraId="3CF0CCD4">
      <w:pPr>
        <w:pStyle w:val="11"/>
        <w:rPr>
          <w:rFonts w:hint="eastAsia" w:ascii="宋体" w:hAnsi="宋体" w:eastAsia="宋体" w:cs="宋体"/>
          <w:b/>
          <w:color w:val="auto"/>
          <w:sz w:val="32"/>
          <w:szCs w:val="32"/>
          <w:highlight w:val="none"/>
        </w:rPr>
      </w:pPr>
    </w:p>
    <w:p w14:paraId="3130C8CA">
      <w:pPr>
        <w:rPr>
          <w:rFonts w:hint="eastAsia" w:ascii="宋体" w:hAnsi="宋体" w:eastAsia="宋体" w:cs="宋体"/>
          <w:b/>
          <w:color w:val="auto"/>
          <w:sz w:val="32"/>
          <w:szCs w:val="32"/>
          <w:highlight w:val="none"/>
        </w:rPr>
      </w:pPr>
    </w:p>
    <w:p w14:paraId="2A66768C">
      <w:pPr>
        <w:pStyle w:val="11"/>
        <w:rPr>
          <w:rFonts w:hint="eastAsia" w:ascii="宋体" w:hAnsi="宋体" w:eastAsia="宋体" w:cs="宋体"/>
          <w:b/>
          <w:color w:val="auto"/>
          <w:sz w:val="32"/>
          <w:szCs w:val="32"/>
          <w:highlight w:val="none"/>
        </w:rPr>
      </w:pPr>
    </w:p>
    <w:p w14:paraId="5751E60B">
      <w:pPr>
        <w:rPr>
          <w:rFonts w:hint="eastAsia" w:ascii="宋体" w:hAnsi="宋体" w:eastAsia="宋体" w:cs="宋体"/>
          <w:b/>
          <w:color w:val="auto"/>
          <w:sz w:val="32"/>
          <w:szCs w:val="32"/>
          <w:highlight w:val="none"/>
        </w:rPr>
      </w:pPr>
    </w:p>
    <w:p w14:paraId="2FD26B1D">
      <w:pPr>
        <w:pStyle w:val="11"/>
        <w:rPr>
          <w:rFonts w:hint="eastAsia" w:ascii="宋体" w:hAnsi="宋体" w:eastAsia="宋体" w:cs="宋体"/>
          <w:b/>
          <w:color w:val="auto"/>
          <w:sz w:val="32"/>
          <w:szCs w:val="32"/>
          <w:highlight w:val="none"/>
        </w:rPr>
      </w:pPr>
    </w:p>
    <w:p w14:paraId="76BCC7BD">
      <w:pPr>
        <w:rPr>
          <w:rFonts w:hint="eastAsia" w:ascii="宋体" w:hAnsi="宋体" w:eastAsia="宋体" w:cs="宋体"/>
          <w:b/>
          <w:color w:val="auto"/>
          <w:sz w:val="32"/>
          <w:szCs w:val="32"/>
          <w:highlight w:val="none"/>
        </w:rPr>
      </w:pPr>
    </w:p>
    <w:p w14:paraId="5D5DE81E">
      <w:pPr>
        <w:pStyle w:val="11"/>
        <w:rPr>
          <w:rFonts w:hint="eastAsia" w:ascii="宋体" w:hAnsi="宋体" w:eastAsia="宋体" w:cs="宋体"/>
          <w:b/>
          <w:color w:val="auto"/>
          <w:sz w:val="32"/>
          <w:szCs w:val="32"/>
          <w:highlight w:val="none"/>
        </w:rPr>
      </w:pPr>
    </w:p>
    <w:p w14:paraId="440FB164">
      <w:pPr>
        <w:rPr>
          <w:rFonts w:hint="eastAsia" w:ascii="宋体" w:hAnsi="宋体" w:eastAsia="宋体" w:cs="宋体"/>
          <w:b/>
          <w:color w:val="auto"/>
          <w:sz w:val="32"/>
          <w:szCs w:val="32"/>
          <w:highlight w:val="none"/>
        </w:rPr>
      </w:pPr>
    </w:p>
    <w:p w14:paraId="68843A3B">
      <w:pPr>
        <w:pStyle w:val="11"/>
        <w:rPr>
          <w:rFonts w:hint="eastAsia" w:ascii="宋体" w:hAnsi="宋体" w:eastAsia="宋体" w:cs="宋体"/>
          <w:b/>
          <w:color w:val="auto"/>
          <w:sz w:val="32"/>
          <w:szCs w:val="32"/>
          <w:highlight w:val="none"/>
        </w:rPr>
      </w:pPr>
    </w:p>
    <w:p w14:paraId="24BE329E">
      <w:pPr>
        <w:rPr>
          <w:rFonts w:hint="eastAsia" w:ascii="宋体" w:hAnsi="宋体" w:eastAsia="宋体" w:cs="宋体"/>
          <w:b/>
          <w:color w:val="auto"/>
          <w:sz w:val="32"/>
          <w:szCs w:val="32"/>
          <w:highlight w:val="none"/>
        </w:rPr>
      </w:pPr>
    </w:p>
    <w:p w14:paraId="717999DE">
      <w:pPr>
        <w:pStyle w:val="3"/>
        <w:adjustRightInd w:val="0"/>
        <w:spacing w:line="416" w:lineRule="atLeast"/>
        <w:jc w:val="left"/>
        <w:textAlignment w:val="baseline"/>
        <w:rPr>
          <w:rFonts w:hint="eastAsia" w:ascii="宋体" w:hAnsi="宋体" w:eastAsia="宋体" w:cs="宋体"/>
          <w:b/>
          <w:color w:val="auto"/>
          <w:sz w:val="24"/>
          <w:szCs w:val="24"/>
          <w:highlight w:val="none"/>
          <w:u w:val="none" w:color="000000"/>
          <w:lang w:val="en-US" w:eastAsia="zh-CN" w:bidi="ar"/>
        </w:rPr>
      </w:pPr>
      <w:bookmarkStart w:id="192" w:name="_Toc18536"/>
      <w:bookmarkStart w:id="193" w:name="_Toc13245"/>
      <w:bookmarkStart w:id="194" w:name="_Toc8642"/>
      <w:r>
        <w:rPr>
          <w:rFonts w:hint="eastAsia" w:ascii="宋体" w:hAnsi="宋体" w:eastAsia="宋体" w:cs="宋体"/>
          <w:b/>
          <w:color w:val="auto"/>
          <w:sz w:val="24"/>
          <w:szCs w:val="24"/>
          <w:highlight w:val="none"/>
          <w:u w:val="none" w:color="000000"/>
          <w:lang w:val="en-US" w:eastAsia="zh-CN" w:bidi="ar"/>
        </w:rPr>
        <w:t>附件1</w:t>
      </w:r>
      <w:bookmarkEnd w:id="192"/>
    </w:p>
    <w:bookmarkEnd w:id="193"/>
    <w:bookmarkEnd w:id="194"/>
    <w:p w14:paraId="0D23C98D">
      <w:pPr>
        <w:spacing w:line="588" w:lineRule="exact"/>
        <w:ind w:firstLine="562" w:firstLineChars="200"/>
        <w:jc w:val="center"/>
        <w:rPr>
          <w:rFonts w:hint="eastAsia" w:ascii="宋体" w:hAnsi="宋体" w:eastAsia="宋体" w:cs="宋体"/>
          <w:b/>
          <w:bCs/>
          <w:color w:val="auto"/>
          <w:sz w:val="28"/>
          <w:szCs w:val="32"/>
          <w:highlight w:val="none"/>
          <w:u w:val="none" w:color="000000"/>
          <w:lang w:val="en-US" w:eastAsia="zh-CN" w:bidi="ar-SA"/>
        </w:rPr>
      </w:pPr>
      <w:r>
        <w:rPr>
          <w:rFonts w:hint="eastAsia" w:ascii="宋体" w:hAnsi="宋体" w:eastAsia="宋体" w:cs="宋体"/>
          <w:b/>
          <w:bCs/>
          <w:color w:val="auto"/>
          <w:sz w:val="28"/>
          <w:szCs w:val="32"/>
          <w:highlight w:val="none"/>
          <w:u w:val="none" w:color="000000"/>
          <w:lang w:val="zh-CN" w:eastAsia="zh-CN" w:bidi="ar-SA"/>
        </w:rPr>
        <w:t>技术、服务、商务及其他要求</w:t>
      </w:r>
      <w:r>
        <w:rPr>
          <w:rFonts w:hint="eastAsia" w:ascii="宋体" w:hAnsi="宋体" w:eastAsia="宋体" w:cs="宋体"/>
          <w:b/>
          <w:bCs/>
          <w:color w:val="auto"/>
          <w:sz w:val="28"/>
          <w:szCs w:val="32"/>
          <w:highlight w:val="none"/>
          <w:u w:val="none" w:color="000000"/>
          <w:lang w:val="en-US" w:eastAsia="zh-CN" w:bidi="ar-SA"/>
        </w:rPr>
        <w:t>应答表</w:t>
      </w:r>
    </w:p>
    <w:p w14:paraId="30F7D13C">
      <w:pPr>
        <w:spacing w:line="588" w:lineRule="exact"/>
        <w:ind w:firstLine="562" w:firstLineChars="200"/>
        <w:jc w:val="center"/>
        <w:rPr>
          <w:rFonts w:hint="eastAsia" w:ascii="宋体" w:hAnsi="宋体" w:cs="宋体"/>
          <w:b/>
          <w:color w:val="auto"/>
          <w:sz w:val="28"/>
          <w:szCs w:val="28"/>
          <w:highlight w:val="none"/>
        </w:rPr>
      </w:pPr>
    </w:p>
    <w:tbl>
      <w:tblPr>
        <w:tblStyle w:val="23"/>
        <w:tblW w:w="8610" w:type="dxa"/>
        <w:jc w:val="center"/>
        <w:tblLayout w:type="fixed"/>
        <w:tblCellMar>
          <w:top w:w="0" w:type="dxa"/>
          <w:left w:w="108" w:type="dxa"/>
          <w:bottom w:w="0" w:type="dxa"/>
          <w:right w:w="108" w:type="dxa"/>
        </w:tblCellMar>
      </w:tblPr>
      <w:tblGrid>
        <w:gridCol w:w="876"/>
        <w:gridCol w:w="2989"/>
        <w:gridCol w:w="3451"/>
        <w:gridCol w:w="1294"/>
      </w:tblGrid>
      <w:tr w14:paraId="2C36824C">
        <w:tblPrEx>
          <w:tblCellMar>
            <w:top w:w="0" w:type="dxa"/>
            <w:left w:w="108" w:type="dxa"/>
            <w:bottom w:w="0" w:type="dxa"/>
            <w:right w:w="108" w:type="dxa"/>
          </w:tblCellMar>
        </w:tblPrEx>
        <w:trPr>
          <w:trHeight w:val="737"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2E22A850">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r>
              <w:rPr>
                <w:rFonts w:hint="eastAsia" w:asciiTheme="majorEastAsia" w:hAnsiTheme="majorEastAsia" w:eastAsiaTheme="majorEastAsia" w:cstheme="majorEastAsia"/>
                <w:color w:val="auto"/>
                <w:kern w:val="2"/>
                <w:szCs w:val="22"/>
                <w:highlight w:val="none"/>
              </w:rPr>
              <w:t>序号</w:t>
            </w:r>
          </w:p>
        </w:tc>
        <w:tc>
          <w:tcPr>
            <w:tcW w:w="2989" w:type="dxa"/>
            <w:tcBorders>
              <w:top w:val="single" w:color="auto" w:sz="4" w:space="0"/>
              <w:left w:val="nil"/>
              <w:bottom w:val="single" w:color="auto" w:sz="4" w:space="0"/>
              <w:right w:val="single" w:color="auto" w:sz="4" w:space="0"/>
            </w:tcBorders>
            <w:vAlign w:val="center"/>
          </w:tcPr>
          <w:p w14:paraId="029FE3C7">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lang w:val="en-US" w:eastAsia="zh-CN"/>
              </w:rPr>
            </w:pPr>
            <w:r>
              <w:rPr>
                <w:rFonts w:hint="eastAsia" w:asciiTheme="majorEastAsia" w:hAnsiTheme="majorEastAsia" w:eastAsiaTheme="majorEastAsia" w:cstheme="majorEastAsia"/>
                <w:color w:val="auto"/>
                <w:kern w:val="2"/>
                <w:szCs w:val="22"/>
                <w:highlight w:val="none"/>
                <w:lang w:val="en-US" w:eastAsia="zh-CN"/>
              </w:rPr>
              <w:t>采购文件要求内容</w:t>
            </w:r>
          </w:p>
        </w:tc>
        <w:tc>
          <w:tcPr>
            <w:tcW w:w="3451" w:type="dxa"/>
            <w:tcBorders>
              <w:top w:val="single" w:color="auto" w:sz="4" w:space="0"/>
              <w:left w:val="nil"/>
              <w:bottom w:val="single" w:color="auto" w:sz="4" w:space="0"/>
              <w:right w:val="single" w:color="auto" w:sz="4" w:space="0"/>
            </w:tcBorders>
            <w:vAlign w:val="center"/>
          </w:tcPr>
          <w:p w14:paraId="4AF1ED2F">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r>
              <w:rPr>
                <w:rFonts w:hint="eastAsia" w:asciiTheme="majorEastAsia" w:hAnsiTheme="majorEastAsia" w:eastAsiaTheme="majorEastAsia" w:cstheme="majorEastAsia"/>
                <w:color w:val="auto"/>
                <w:kern w:val="2"/>
                <w:szCs w:val="22"/>
                <w:highlight w:val="none"/>
              </w:rPr>
              <w:t>响应</w:t>
            </w:r>
            <w:r>
              <w:rPr>
                <w:rFonts w:hint="eastAsia" w:asciiTheme="majorEastAsia" w:hAnsiTheme="majorEastAsia" w:eastAsiaTheme="majorEastAsia" w:cstheme="majorEastAsia"/>
                <w:color w:val="auto"/>
                <w:kern w:val="2"/>
                <w:szCs w:val="22"/>
                <w:highlight w:val="none"/>
                <w:lang w:val="en-US" w:eastAsia="zh-CN"/>
              </w:rPr>
              <w:t>文件响应</w:t>
            </w:r>
            <w:r>
              <w:rPr>
                <w:rFonts w:hint="eastAsia" w:asciiTheme="majorEastAsia" w:hAnsiTheme="majorEastAsia" w:eastAsiaTheme="majorEastAsia" w:cstheme="majorEastAsia"/>
                <w:color w:val="auto"/>
                <w:kern w:val="2"/>
                <w:szCs w:val="22"/>
                <w:highlight w:val="none"/>
              </w:rPr>
              <w:t>内容</w:t>
            </w:r>
          </w:p>
        </w:tc>
        <w:tc>
          <w:tcPr>
            <w:tcW w:w="1294" w:type="dxa"/>
            <w:tcBorders>
              <w:top w:val="single" w:color="auto" w:sz="4" w:space="0"/>
              <w:left w:val="nil"/>
              <w:bottom w:val="single" w:color="auto" w:sz="4" w:space="0"/>
              <w:right w:val="single" w:color="auto" w:sz="4" w:space="0"/>
            </w:tcBorders>
            <w:vAlign w:val="center"/>
          </w:tcPr>
          <w:p w14:paraId="3E24FE24">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r>
              <w:rPr>
                <w:rFonts w:hint="eastAsia" w:asciiTheme="majorEastAsia" w:hAnsiTheme="majorEastAsia" w:eastAsiaTheme="majorEastAsia" w:cstheme="majorEastAsia"/>
                <w:color w:val="auto"/>
                <w:kern w:val="2"/>
                <w:szCs w:val="22"/>
                <w:highlight w:val="none"/>
              </w:rPr>
              <w:t>备注</w:t>
            </w:r>
          </w:p>
        </w:tc>
      </w:tr>
      <w:tr w14:paraId="723350B5">
        <w:tblPrEx>
          <w:tblCellMar>
            <w:top w:w="0" w:type="dxa"/>
            <w:left w:w="108" w:type="dxa"/>
            <w:bottom w:w="0" w:type="dxa"/>
            <w:right w:w="108" w:type="dxa"/>
          </w:tblCellMar>
        </w:tblPrEx>
        <w:trPr>
          <w:trHeight w:val="737"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42316192">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r>
              <w:rPr>
                <w:rFonts w:hint="eastAsia" w:asciiTheme="majorEastAsia" w:hAnsiTheme="majorEastAsia" w:eastAsiaTheme="majorEastAsia" w:cstheme="majorEastAsia"/>
                <w:color w:val="auto"/>
                <w:kern w:val="2"/>
                <w:szCs w:val="22"/>
                <w:highlight w:val="none"/>
              </w:rPr>
              <w:t>1</w:t>
            </w:r>
          </w:p>
        </w:tc>
        <w:tc>
          <w:tcPr>
            <w:tcW w:w="2989" w:type="dxa"/>
            <w:tcBorders>
              <w:top w:val="single" w:color="auto" w:sz="4" w:space="0"/>
              <w:left w:val="nil"/>
              <w:bottom w:val="single" w:color="auto" w:sz="4" w:space="0"/>
              <w:right w:val="single" w:color="auto" w:sz="4" w:space="0"/>
            </w:tcBorders>
            <w:vAlign w:val="center"/>
          </w:tcPr>
          <w:p w14:paraId="7B78EE36">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p>
        </w:tc>
        <w:tc>
          <w:tcPr>
            <w:tcW w:w="3451" w:type="dxa"/>
            <w:tcBorders>
              <w:top w:val="single" w:color="auto" w:sz="4" w:space="0"/>
              <w:left w:val="nil"/>
              <w:bottom w:val="single" w:color="auto" w:sz="4" w:space="0"/>
              <w:right w:val="single" w:color="auto" w:sz="4" w:space="0"/>
            </w:tcBorders>
            <w:vAlign w:val="center"/>
          </w:tcPr>
          <w:p w14:paraId="69577517">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p>
        </w:tc>
        <w:tc>
          <w:tcPr>
            <w:tcW w:w="1294" w:type="dxa"/>
            <w:tcBorders>
              <w:top w:val="single" w:color="auto" w:sz="4" w:space="0"/>
              <w:left w:val="nil"/>
              <w:bottom w:val="single" w:color="auto" w:sz="4" w:space="0"/>
              <w:right w:val="single" w:color="auto" w:sz="4" w:space="0"/>
            </w:tcBorders>
            <w:vAlign w:val="center"/>
          </w:tcPr>
          <w:p w14:paraId="5B33EDB6">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p>
        </w:tc>
      </w:tr>
      <w:tr w14:paraId="4A0EC55D">
        <w:tblPrEx>
          <w:tblCellMar>
            <w:top w:w="0" w:type="dxa"/>
            <w:left w:w="108" w:type="dxa"/>
            <w:bottom w:w="0" w:type="dxa"/>
            <w:right w:w="108" w:type="dxa"/>
          </w:tblCellMar>
        </w:tblPrEx>
        <w:trPr>
          <w:trHeight w:val="737"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35AC17AE">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r>
              <w:rPr>
                <w:rFonts w:hint="eastAsia" w:asciiTheme="majorEastAsia" w:hAnsiTheme="majorEastAsia" w:eastAsiaTheme="majorEastAsia" w:cstheme="majorEastAsia"/>
                <w:color w:val="auto"/>
                <w:kern w:val="2"/>
                <w:szCs w:val="22"/>
                <w:highlight w:val="none"/>
              </w:rPr>
              <w:t>2</w:t>
            </w:r>
          </w:p>
        </w:tc>
        <w:tc>
          <w:tcPr>
            <w:tcW w:w="2989" w:type="dxa"/>
            <w:tcBorders>
              <w:top w:val="single" w:color="auto" w:sz="4" w:space="0"/>
              <w:left w:val="nil"/>
              <w:bottom w:val="single" w:color="auto" w:sz="4" w:space="0"/>
              <w:right w:val="single" w:color="auto" w:sz="4" w:space="0"/>
            </w:tcBorders>
            <w:vAlign w:val="center"/>
          </w:tcPr>
          <w:p w14:paraId="261545A7">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p>
        </w:tc>
        <w:tc>
          <w:tcPr>
            <w:tcW w:w="3451" w:type="dxa"/>
            <w:tcBorders>
              <w:top w:val="single" w:color="auto" w:sz="4" w:space="0"/>
              <w:left w:val="nil"/>
              <w:bottom w:val="single" w:color="auto" w:sz="4" w:space="0"/>
              <w:right w:val="single" w:color="auto" w:sz="4" w:space="0"/>
            </w:tcBorders>
            <w:vAlign w:val="center"/>
          </w:tcPr>
          <w:p w14:paraId="191DF089">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p>
        </w:tc>
        <w:tc>
          <w:tcPr>
            <w:tcW w:w="1294" w:type="dxa"/>
            <w:tcBorders>
              <w:top w:val="single" w:color="auto" w:sz="4" w:space="0"/>
              <w:left w:val="nil"/>
              <w:bottom w:val="single" w:color="auto" w:sz="4" w:space="0"/>
              <w:right w:val="single" w:color="auto" w:sz="4" w:space="0"/>
            </w:tcBorders>
            <w:vAlign w:val="center"/>
          </w:tcPr>
          <w:p w14:paraId="2CA17B95">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p>
        </w:tc>
      </w:tr>
      <w:tr w14:paraId="6A2332F0">
        <w:tblPrEx>
          <w:tblCellMar>
            <w:top w:w="0" w:type="dxa"/>
            <w:left w:w="108" w:type="dxa"/>
            <w:bottom w:w="0" w:type="dxa"/>
            <w:right w:w="108" w:type="dxa"/>
          </w:tblCellMar>
        </w:tblPrEx>
        <w:trPr>
          <w:trHeight w:val="737"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33B67081">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r>
              <w:rPr>
                <w:rFonts w:hint="eastAsia" w:asciiTheme="majorEastAsia" w:hAnsiTheme="majorEastAsia" w:eastAsiaTheme="majorEastAsia" w:cstheme="majorEastAsia"/>
                <w:color w:val="auto"/>
                <w:kern w:val="2"/>
                <w:szCs w:val="22"/>
                <w:highlight w:val="none"/>
              </w:rPr>
              <w:t>…</w:t>
            </w:r>
          </w:p>
        </w:tc>
        <w:tc>
          <w:tcPr>
            <w:tcW w:w="2989" w:type="dxa"/>
            <w:tcBorders>
              <w:top w:val="single" w:color="auto" w:sz="4" w:space="0"/>
              <w:left w:val="nil"/>
              <w:bottom w:val="single" w:color="auto" w:sz="4" w:space="0"/>
              <w:right w:val="single" w:color="auto" w:sz="4" w:space="0"/>
            </w:tcBorders>
            <w:vAlign w:val="center"/>
          </w:tcPr>
          <w:p w14:paraId="7906D808">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r>
              <w:rPr>
                <w:rFonts w:hint="eastAsia" w:asciiTheme="majorEastAsia" w:hAnsiTheme="majorEastAsia" w:eastAsiaTheme="majorEastAsia" w:cstheme="majorEastAsia"/>
                <w:color w:val="auto"/>
                <w:kern w:val="2"/>
                <w:szCs w:val="22"/>
                <w:highlight w:val="none"/>
              </w:rPr>
              <w:t>…</w:t>
            </w:r>
          </w:p>
        </w:tc>
        <w:tc>
          <w:tcPr>
            <w:tcW w:w="3451" w:type="dxa"/>
            <w:tcBorders>
              <w:top w:val="single" w:color="auto" w:sz="4" w:space="0"/>
              <w:left w:val="nil"/>
              <w:bottom w:val="single" w:color="auto" w:sz="4" w:space="0"/>
              <w:right w:val="single" w:color="auto" w:sz="4" w:space="0"/>
            </w:tcBorders>
            <w:vAlign w:val="center"/>
          </w:tcPr>
          <w:p w14:paraId="169A9C93">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r>
              <w:rPr>
                <w:rFonts w:hint="eastAsia" w:asciiTheme="majorEastAsia" w:hAnsiTheme="majorEastAsia" w:eastAsiaTheme="majorEastAsia" w:cstheme="majorEastAsia"/>
                <w:color w:val="auto"/>
                <w:kern w:val="2"/>
                <w:szCs w:val="22"/>
                <w:highlight w:val="none"/>
              </w:rPr>
              <w:t>…</w:t>
            </w:r>
          </w:p>
        </w:tc>
        <w:tc>
          <w:tcPr>
            <w:tcW w:w="1294" w:type="dxa"/>
            <w:tcBorders>
              <w:top w:val="single" w:color="auto" w:sz="4" w:space="0"/>
              <w:left w:val="nil"/>
              <w:bottom w:val="single" w:color="auto" w:sz="4" w:space="0"/>
              <w:right w:val="single" w:color="auto" w:sz="4" w:space="0"/>
            </w:tcBorders>
            <w:vAlign w:val="center"/>
          </w:tcPr>
          <w:p w14:paraId="44757C02">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r>
              <w:rPr>
                <w:rFonts w:hint="eastAsia" w:asciiTheme="majorEastAsia" w:hAnsiTheme="majorEastAsia" w:eastAsiaTheme="majorEastAsia" w:cstheme="majorEastAsia"/>
                <w:color w:val="auto"/>
                <w:kern w:val="2"/>
                <w:szCs w:val="22"/>
                <w:highlight w:val="none"/>
              </w:rPr>
              <w:t>…</w:t>
            </w:r>
          </w:p>
        </w:tc>
      </w:tr>
    </w:tbl>
    <w:p w14:paraId="636615B3">
      <w:pPr>
        <w:rPr>
          <w:rFonts w:hint="eastAsia" w:ascii="宋体" w:hAnsi="宋体" w:cs="宋体"/>
          <w:color w:val="auto"/>
          <w:sz w:val="21"/>
          <w:szCs w:val="21"/>
          <w:highlight w:val="none"/>
        </w:rPr>
      </w:pPr>
    </w:p>
    <w:p w14:paraId="5E5B5F2C">
      <w:pPr>
        <w:rPr>
          <w:rFonts w:hint="eastAsia" w:ascii="宋体" w:hAnsi="宋体" w:cs="宋体"/>
          <w:color w:val="auto"/>
          <w:spacing w:val="6"/>
          <w:sz w:val="21"/>
          <w:szCs w:val="21"/>
          <w:highlight w:val="none"/>
          <w:lang w:val="zh-CN"/>
        </w:rPr>
      </w:pPr>
    </w:p>
    <w:p w14:paraId="725F1171">
      <w:pPr>
        <w:rPr>
          <w:rFonts w:hint="eastAsia" w:ascii="宋体" w:hAnsi="宋体" w:cs="宋体"/>
          <w:color w:val="auto"/>
          <w:spacing w:val="6"/>
          <w:sz w:val="21"/>
          <w:szCs w:val="21"/>
          <w:highlight w:val="none"/>
          <w:lang w:val="zh-CN"/>
        </w:rPr>
      </w:pPr>
      <w:r>
        <w:rPr>
          <w:rFonts w:hint="eastAsia" w:ascii="宋体" w:hAnsi="宋体" w:cs="宋体"/>
          <w:color w:val="auto"/>
          <w:spacing w:val="6"/>
          <w:sz w:val="21"/>
          <w:szCs w:val="21"/>
          <w:highlight w:val="none"/>
          <w:lang w:val="zh-CN"/>
        </w:rPr>
        <w:t>注：供应商必须根据磋商文件“第三部分 磋商项目技术、服务、商务及其他要求”据实逐条填写，不得虚假陈述。</w:t>
      </w:r>
    </w:p>
    <w:p w14:paraId="442D22EC">
      <w:pPr>
        <w:rPr>
          <w:rFonts w:hint="eastAsia" w:ascii="宋体" w:hAnsi="宋体" w:cs="宋体"/>
          <w:color w:val="auto"/>
          <w:spacing w:val="6"/>
          <w:sz w:val="21"/>
          <w:szCs w:val="21"/>
          <w:highlight w:val="none"/>
          <w:lang w:val="zh-CN"/>
        </w:rPr>
      </w:pPr>
    </w:p>
    <w:p w14:paraId="12A18FC7">
      <w:pPr>
        <w:rPr>
          <w:rFonts w:hint="eastAsia" w:ascii="宋体" w:hAnsi="宋体" w:cs="宋体"/>
          <w:color w:val="auto"/>
          <w:spacing w:val="6"/>
          <w:sz w:val="21"/>
          <w:szCs w:val="21"/>
          <w:highlight w:val="none"/>
          <w:lang w:val="zh-CN"/>
        </w:rPr>
      </w:pPr>
    </w:p>
    <w:p w14:paraId="5B15892D">
      <w:pPr>
        <w:rPr>
          <w:rFonts w:hint="eastAsia" w:ascii="宋体" w:hAnsi="宋体" w:cs="宋体"/>
          <w:color w:val="auto"/>
          <w:spacing w:val="6"/>
          <w:sz w:val="21"/>
          <w:szCs w:val="21"/>
          <w:highlight w:val="none"/>
          <w:lang w:val="zh-CN"/>
        </w:rPr>
      </w:pPr>
    </w:p>
    <w:p w14:paraId="71E7D28D">
      <w:pPr>
        <w:pageBreakBefore w:val="0"/>
        <w:widowControl/>
        <w:kinsoku/>
        <w:wordWrap/>
        <w:overflowPunct/>
        <w:topLinePunct w:val="0"/>
        <w:autoSpaceDE/>
        <w:autoSpaceDN/>
        <w:bidi w:val="0"/>
        <w:adjustRightInd/>
        <w:snapToGrid/>
        <w:spacing w:line="480" w:lineRule="exact"/>
        <w:ind w:firstLine="2310" w:firstLineChars="1100"/>
        <w:jc w:val="right"/>
        <w:textAlignment w:val="baseline"/>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（加盖单位公章）</w:t>
      </w:r>
    </w:p>
    <w:p w14:paraId="14E94DFA">
      <w:pPr>
        <w:pageBreakBefore w:val="0"/>
        <w:widowControl/>
        <w:kinsoku/>
        <w:wordWrap/>
        <w:overflowPunct/>
        <w:topLinePunct w:val="0"/>
        <w:autoSpaceDE/>
        <w:autoSpaceDN/>
        <w:bidi w:val="0"/>
        <w:adjustRightInd/>
        <w:snapToGrid/>
        <w:spacing w:line="480" w:lineRule="exact"/>
        <w:ind w:firstLine="2310" w:firstLineChars="11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DEE2781">
      <w:pPr>
        <w:adjustRightInd w:val="0"/>
        <w:snapToGrid w:val="0"/>
        <w:spacing w:line="360" w:lineRule="auto"/>
        <w:rPr>
          <w:rFonts w:hint="eastAsia" w:ascii="宋体" w:hAnsi="宋体" w:eastAsia="宋体" w:cs="宋体"/>
          <w:color w:val="auto"/>
          <w:sz w:val="24"/>
          <w:highlight w:val="none"/>
        </w:rPr>
      </w:pPr>
    </w:p>
    <w:p w14:paraId="1491DC84">
      <w:pPr>
        <w:adjustRightInd w:val="0"/>
        <w:snapToGrid w:val="0"/>
        <w:spacing w:line="360" w:lineRule="auto"/>
        <w:rPr>
          <w:rFonts w:hint="eastAsia" w:ascii="宋体" w:hAnsi="宋体" w:eastAsia="宋体" w:cs="宋体"/>
          <w:color w:val="auto"/>
          <w:sz w:val="24"/>
          <w:highlight w:val="none"/>
        </w:rPr>
      </w:pPr>
    </w:p>
    <w:p w14:paraId="5CD58A6A">
      <w:pPr>
        <w:adjustRightInd w:val="0"/>
        <w:snapToGrid w:val="0"/>
        <w:spacing w:line="360" w:lineRule="auto"/>
        <w:rPr>
          <w:rFonts w:hint="eastAsia" w:ascii="宋体" w:hAnsi="宋体" w:eastAsia="宋体" w:cs="宋体"/>
          <w:color w:val="auto"/>
          <w:sz w:val="24"/>
          <w:highlight w:val="none"/>
        </w:rPr>
      </w:pPr>
    </w:p>
    <w:p w14:paraId="07F3D3EA">
      <w:pPr>
        <w:rPr>
          <w:rFonts w:hint="eastAsia" w:ascii="宋体" w:hAnsi="宋体" w:eastAsia="宋体" w:cs="宋体"/>
          <w:color w:val="auto"/>
          <w:kern w:val="21"/>
          <w:szCs w:val="22"/>
          <w:highlight w:val="none"/>
          <w:lang w:eastAsia="zh-CN"/>
        </w:rPr>
      </w:pPr>
      <w:r>
        <w:rPr>
          <w:rFonts w:hint="eastAsia" w:ascii="宋体" w:hAnsi="宋体" w:eastAsia="宋体" w:cs="宋体"/>
          <w:color w:val="auto"/>
          <w:kern w:val="21"/>
          <w:szCs w:val="22"/>
          <w:highlight w:val="none"/>
          <w:lang w:eastAsia="zh-CN"/>
        </w:rPr>
        <w:br w:type="page"/>
      </w:r>
    </w:p>
    <w:p w14:paraId="409A8177">
      <w:pPr>
        <w:pStyle w:val="3"/>
        <w:outlineLvl w:val="0"/>
        <w:rPr>
          <w:rFonts w:hint="eastAsia" w:ascii="宋体" w:hAnsi="宋体" w:eastAsia="宋体" w:cs="宋体"/>
          <w:color w:val="auto"/>
          <w:kern w:val="21"/>
          <w:szCs w:val="22"/>
          <w:highlight w:val="none"/>
        </w:rPr>
      </w:pPr>
      <w:bookmarkStart w:id="195" w:name="_Toc30178"/>
      <w:bookmarkStart w:id="196" w:name="_Toc8723"/>
      <w:bookmarkStart w:id="197" w:name="_Toc9890"/>
      <w:r>
        <w:rPr>
          <w:rFonts w:hint="eastAsia" w:ascii="宋体" w:hAnsi="宋体" w:eastAsia="宋体" w:cs="宋体"/>
          <w:color w:val="auto"/>
          <w:kern w:val="21"/>
          <w:szCs w:val="22"/>
          <w:highlight w:val="none"/>
          <w:lang w:eastAsia="zh-CN"/>
        </w:rPr>
        <w:t>二、</w:t>
      </w:r>
      <w:r>
        <w:rPr>
          <w:rFonts w:hint="eastAsia" w:ascii="宋体" w:hAnsi="宋体" w:eastAsia="宋体" w:cs="宋体"/>
          <w:color w:val="auto"/>
          <w:kern w:val="21"/>
          <w:szCs w:val="22"/>
          <w:highlight w:val="none"/>
        </w:rPr>
        <w:t>技术部分</w:t>
      </w:r>
      <w:bookmarkEnd w:id="185"/>
      <w:bookmarkEnd w:id="186"/>
      <w:bookmarkEnd w:id="187"/>
      <w:bookmarkEnd w:id="195"/>
      <w:bookmarkEnd w:id="196"/>
      <w:bookmarkEnd w:id="197"/>
    </w:p>
    <w:p w14:paraId="39D0A98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b/>
          <w:bCs/>
          <w:color w:val="auto"/>
          <w:sz w:val="22"/>
          <w:szCs w:val="22"/>
          <w:highlight w:val="none"/>
        </w:rPr>
      </w:pPr>
      <w:bookmarkStart w:id="198" w:name="_Toc27544"/>
      <w:bookmarkStart w:id="199" w:name="_Toc5654"/>
      <w:r>
        <w:rPr>
          <w:rFonts w:hint="eastAsia" w:ascii="宋体" w:hAnsi="宋体" w:eastAsia="宋体" w:cs="宋体"/>
          <w:b/>
          <w:bCs/>
          <w:color w:val="auto"/>
          <w:sz w:val="22"/>
          <w:szCs w:val="22"/>
          <w:highlight w:val="none"/>
        </w:rPr>
        <w:t>1、施工组织设计</w:t>
      </w:r>
      <w:bookmarkEnd w:id="198"/>
    </w:p>
    <w:p w14:paraId="679F15F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kern w:val="2"/>
          <w:szCs w:val="22"/>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2"/>
          <w:szCs w:val="22"/>
          <w:highlight w:val="none"/>
        </w:rPr>
        <w:t>施工方案及相关技术措施</w:t>
      </w:r>
    </w:p>
    <w:p w14:paraId="61ECCCF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kern w:val="2"/>
          <w:szCs w:val="22"/>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kern w:val="2"/>
          <w:szCs w:val="22"/>
          <w:highlight w:val="none"/>
        </w:rPr>
        <w:t>确保工程质量的技术组织措施</w:t>
      </w:r>
    </w:p>
    <w:p w14:paraId="33B04824">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kern w:val="2"/>
          <w:szCs w:val="22"/>
          <w:highlight w:val="none"/>
        </w:rPr>
        <w:t>确保安全施工保证措施</w:t>
      </w:r>
    </w:p>
    <w:p w14:paraId="28103AF4">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kern w:val="2"/>
          <w:szCs w:val="22"/>
          <w:highlight w:val="none"/>
        </w:rPr>
        <w:t>确保文明施工及环境保护的技术组织措施</w:t>
      </w:r>
    </w:p>
    <w:p w14:paraId="293BE99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kern w:val="2"/>
          <w:szCs w:val="22"/>
          <w:highlight w:val="none"/>
        </w:rPr>
        <w:t>确保工期的技术组织措施</w:t>
      </w:r>
    </w:p>
    <w:p w14:paraId="7AAD4983">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kern w:val="2"/>
          <w:szCs w:val="22"/>
          <w:highlight w:val="none"/>
        </w:rPr>
        <w:t>施工机械配备及材料投入计划</w:t>
      </w:r>
    </w:p>
    <w:p w14:paraId="6EB75EC1">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kern w:val="2"/>
          <w:szCs w:val="22"/>
          <w:highlight w:val="none"/>
        </w:rPr>
        <w:t>项目部组成人员</w:t>
      </w:r>
    </w:p>
    <w:p w14:paraId="09E5075B">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kern w:val="2"/>
          <w:szCs w:val="22"/>
          <w:highlight w:val="none"/>
        </w:rPr>
        <w:t>施工进度表或施工网络图</w:t>
      </w:r>
    </w:p>
    <w:p w14:paraId="5EDDCF16">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kern w:val="2"/>
          <w:szCs w:val="22"/>
          <w:highlight w:val="none"/>
        </w:rPr>
        <w:t>劳动力安排计划及劳务分包情况表</w:t>
      </w:r>
    </w:p>
    <w:p w14:paraId="058481C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施工组织设计除采用文字表述外可附下列图表，图表及格式要求附后。</w:t>
      </w:r>
    </w:p>
    <w:p w14:paraId="30350884">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附表一  拟投入本招标项目的主要施工设备表</w:t>
      </w:r>
    </w:p>
    <w:p w14:paraId="0EAE2D3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附表二  劳动力计划表</w:t>
      </w:r>
    </w:p>
    <w:p w14:paraId="4557D2B1">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附表三  计划开、竣工日期和施工进度网络图</w:t>
      </w:r>
    </w:p>
    <w:p w14:paraId="263E1EA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附表四  施工总平面图</w:t>
      </w:r>
    </w:p>
    <w:p w14:paraId="134D94D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附表五  项目经理简历表</w:t>
      </w:r>
    </w:p>
    <w:p w14:paraId="0742A740">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附表六  拟派往人员组成情况表</w:t>
      </w:r>
    </w:p>
    <w:p w14:paraId="6BD0FB64">
      <w:pPr>
        <w:keepNext w:val="0"/>
        <w:keepLines w:val="0"/>
        <w:pageBreakBefore w:val="0"/>
        <w:widowControl/>
        <w:kinsoku/>
        <w:wordWrap/>
        <w:overflowPunct/>
        <w:topLinePunct w:val="0"/>
        <w:autoSpaceDE/>
        <w:autoSpaceDN/>
        <w:bidi w:val="0"/>
        <w:adjustRightInd/>
        <w:snapToGrid/>
        <w:spacing w:line="480" w:lineRule="exact"/>
        <w:ind w:firstLine="440" w:firstLineChars="200"/>
        <w:jc w:val="left"/>
        <w:textAlignment w:val="baseline"/>
        <w:outlineLvl w:val="0"/>
        <w:rPr>
          <w:rFonts w:hint="eastAsia" w:ascii="宋体" w:hAnsi="宋体" w:eastAsia="宋体" w:cs="宋体"/>
          <w:color w:val="auto"/>
          <w:kern w:val="21"/>
          <w:sz w:val="22"/>
          <w:szCs w:val="22"/>
          <w:highlight w:val="none"/>
        </w:rPr>
      </w:pPr>
    </w:p>
    <w:p w14:paraId="75D3F1CF">
      <w:pPr>
        <w:pStyle w:val="9"/>
        <w:rPr>
          <w:rFonts w:hint="eastAsia" w:ascii="宋体" w:hAnsi="宋体" w:eastAsia="宋体" w:cs="宋体"/>
          <w:color w:val="auto"/>
          <w:kern w:val="21"/>
          <w:sz w:val="22"/>
          <w:szCs w:val="22"/>
          <w:highlight w:val="none"/>
        </w:rPr>
      </w:pPr>
    </w:p>
    <w:p w14:paraId="2DE3D0A5">
      <w:pPr>
        <w:rPr>
          <w:rFonts w:hint="eastAsia" w:ascii="宋体" w:hAnsi="宋体" w:eastAsia="宋体" w:cs="宋体"/>
          <w:color w:val="auto"/>
          <w:kern w:val="21"/>
          <w:sz w:val="22"/>
          <w:szCs w:val="22"/>
          <w:highlight w:val="none"/>
        </w:rPr>
      </w:pPr>
    </w:p>
    <w:p w14:paraId="3E20BD6F">
      <w:pPr>
        <w:pStyle w:val="9"/>
        <w:rPr>
          <w:rFonts w:hint="eastAsia" w:ascii="宋体" w:hAnsi="宋体" w:eastAsia="宋体" w:cs="宋体"/>
          <w:color w:val="auto"/>
          <w:kern w:val="21"/>
          <w:sz w:val="22"/>
          <w:szCs w:val="22"/>
          <w:highlight w:val="none"/>
        </w:rPr>
      </w:pPr>
    </w:p>
    <w:p w14:paraId="5311252A">
      <w:pPr>
        <w:rPr>
          <w:rFonts w:hint="eastAsia" w:ascii="宋体" w:hAnsi="宋体" w:eastAsia="宋体" w:cs="宋体"/>
          <w:color w:val="auto"/>
          <w:kern w:val="21"/>
          <w:sz w:val="22"/>
          <w:szCs w:val="22"/>
          <w:highlight w:val="none"/>
        </w:rPr>
      </w:pPr>
    </w:p>
    <w:p w14:paraId="3441338A">
      <w:pPr>
        <w:pStyle w:val="9"/>
        <w:rPr>
          <w:rFonts w:hint="eastAsia" w:ascii="宋体" w:hAnsi="宋体" w:eastAsia="宋体" w:cs="宋体"/>
          <w:color w:val="auto"/>
          <w:kern w:val="21"/>
          <w:sz w:val="22"/>
          <w:szCs w:val="22"/>
          <w:highlight w:val="none"/>
        </w:rPr>
      </w:pPr>
    </w:p>
    <w:p w14:paraId="51F49A8B">
      <w:pPr>
        <w:rPr>
          <w:rFonts w:hint="eastAsia" w:ascii="宋体" w:hAnsi="宋体" w:eastAsia="宋体" w:cs="宋体"/>
          <w:color w:val="auto"/>
          <w:kern w:val="21"/>
          <w:sz w:val="22"/>
          <w:szCs w:val="22"/>
          <w:highlight w:val="none"/>
        </w:rPr>
      </w:pPr>
    </w:p>
    <w:bookmarkEnd w:id="199"/>
    <w:p w14:paraId="4C2FBDA8">
      <w:pPr>
        <w:rPr>
          <w:rFonts w:hint="eastAsia" w:ascii="宋体" w:hAnsi="宋体" w:eastAsia="宋体" w:cs="宋体"/>
          <w:b/>
          <w:bCs/>
          <w:color w:val="auto"/>
          <w:kern w:val="21"/>
          <w:sz w:val="22"/>
          <w:szCs w:val="22"/>
          <w:highlight w:val="none"/>
          <w:u w:val="none" w:color="000000"/>
          <w:lang w:val="zh-CN" w:eastAsia="zh-CN" w:bidi="ar-SA"/>
        </w:rPr>
      </w:pPr>
      <w:r>
        <w:rPr>
          <w:rFonts w:hint="eastAsia" w:ascii="宋体" w:hAnsi="宋体" w:eastAsia="宋体" w:cs="宋体"/>
          <w:b/>
          <w:bCs/>
          <w:color w:val="auto"/>
          <w:kern w:val="21"/>
          <w:sz w:val="22"/>
          <w:szCs w:val="22"/>
          <w:highlight w:val="none"/>
          <w:u w:val="none" w:color="000000"/>
          <w:lang w:val="zh-CN" w:eastAsia="zh-CN" w:bidi="ar-SA"/>
        </w:rPr>
        <w:br w:type="page"/>
      </w:r>
    </w:p>
    <w:p w14:paraId="36BCF396">
      <w:pPr>
        <w:rPr>
          <w:rFonts w:hint="eastAsia"/>
          <w:b/>
          <w:bCs/>
          <w:color w:val="auto"/>
          <w:highlight w:val="none"/>
        </w:rPr>
      </w:pPr>
      <w:bookmarkStart w:id="200" w:name="_Toc26865"/>
      <w:bookmarkStart w:id="201" w:name="_Toc14090"/>
      <w:bookmarkStart w:id="202" w:name="_Toc2592"/>
      <w:bookmarkStart w:id="203" w:name="_Toc17288"/>
      <w:r>
        <w:rPr>
          <w:rFonts w:hint="eastAsia"/>
          <w:b/>
          <w:bCs/>
          <w:color w:val="auto"/>
          <w:highlight w:val="none"/>
        </w:rPr>
        <w:t>附表一  拟投入本招标项目的主要施工设备表</w:t>
      </w:r>
      <w:bookmarkEnd w:id="200"/>
      <w:bookmarkEnd w:id="201"/>
      <w:bookmarkEnd w:id="202"/>
      <w:bookmarkEnd w:id="203"/>
    </w:p>
    <w:tbl>
      <w:tblPr>
        <w:tblStyle w:val="23"/>
        <w:tblW w:w="86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95"/>
        <w:gridCol w:w="806"/>
        <w:gridCol w:w="895"/>
        <w:gridCol w:w="816"/>
        <w:gridCol w:w="854"/>
        <w:gridCol w:w="1209"/>
        <w:gridCol w:w="855"/>
        <w:gridCol w:w="1420"/>
      </w:tblGrid>
      <w:tr w14:paraId="6CD7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20" w:type="dxa"/>
            <w:vAlign w:val="center"/>
          </w:tcPr>
          <w:p w14:paraId="217DC13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序号</w:t>
            </w:r>
          </w:p>
        </w:tc>
        <w:tc>
          <w:tcPr>
            <w:tcW w:w="1095" w:type="dxa"/>
            <w:vAlign w:val="center"/>
          </w:tcPr>
          <w:p w14:paraId="53F7A79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设备名称</w:t>
            </w:r>
          </w:p>
        </w:tc>
        <w:tc>
          <w:tcPr>
            <w:tcW w:w="806" w:type="dxa"/>
            <w:vAlign w:val="center"/>
          </w:tcPr>
          <w:p w14:paraId="7A14298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型号</w:t>
            </w:r>
          </w:p>
          <w:p w14:paraId="4503057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规格</w:t>
            </w:r>
          </w:p>
        </w:tc>
        <w:tc>
          <w:tcPr>
            <w:tcW w:w="895" w:type="dxa"/>
            <w:vAlign w:val="center"/>
          </w:tcPr>
          <w:p w14:paraId="5746549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数量</w:t>
            </w:r>
          </w:p>
        </w:tc>
        <w:tc>
          <w:tcPr>
            <w:tcW w:w="816" w:type="dxa"/>
            <w:vAlign w:val="center"/>
          </w:tcPr>
          <w:p w14:paraId="3E8A5C7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国别</w:t>
            </w:r>
          </w:p>
          <w:p w14:paraId="3E5D2FE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产地</w:t>
            </w:r>
          </w:p>
        </w:tc>
        <w:tc>
          <w:tcPr>
            <w:tcW w:w="854" w:type="dxa"/>
            <w:vAlign w:val="center"/>
          </w:tcPr>
          <w:p w14:paraId="4C0E0B7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制造</w:t>
            </w:r>
          </w:p>
          <w:p w14:paraId="657DA22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年份</w:t>
            </w:r>
          </w:p>
        </w:tc>
        <w:tc>
          <w:tcPr>
            <w:tcW w:w="1209" w:type="dxa"/>
            <w:vAlign w:val="center"/>
          </w:tcPr>
          <w:p w14:paraId="7682E19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额定功率</w:t>
            </w:r>
          </w:p>
          <w:p w14:paraId="0B7F0EC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 KW )</w:t>
            </w:r>
          </w:p>
        </w:tc>
        <w:tc>
          <w:tcPr>
            <w:tcW w:w="855" w:type="dxa"/>
            <w:vAlign w:val="center"/>
          </w:tcPr>
          <w:p w14:paraId="75E5714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生产</w:t>
            </w:r>
          </w:p>
          <w:p w14:paraId="38A954F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能力</w:t>
            </w:r>
          </w:p>
        </w:tc>
        <w:tc>
          <w:tcPr>
            <w:tcW w:w="1420" w:type="dxa"/>
            <w:vAlign w:val="center"/>
          </w:tcPr>
          <w:p w14:paraId="4A6CC6C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备注</w:t>
            </w:r>
          </w:p>
        </w:tc>
      </w:tr>
      <w:tr w14:paraId="7350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2837EAB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3F6DC87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806" w:type="dxa"/>
          </w:tcPr>
          <w:p w14:paraId="0842D6D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2EF48C7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0785D93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7B8F278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16E4CE1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02CB2A8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1F867CA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159B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142B6D4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44AE418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5C7DD12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5ACC119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5117A70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6077E8A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176AFBE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47BE575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1CF2EBC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4465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620711D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03E45C3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57B25A5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79C4663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54CE2C9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34FF1E9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50DF098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0198379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13801A3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4F26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Pr>
          <w:p w14:paraId="2FC72D0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2A96CC6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5327742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5D4E301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23F28F2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7505B43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7C55D20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02CC28E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0C7894A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3805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3FB2513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5556F54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0E5678F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33248E7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306D309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51A7053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4481DF3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702A577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020A79F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16F4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1541619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614B672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1FFBDD8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09EA7FE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19ADFD3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28517D1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52E7700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094069A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5FE35C1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2DCF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2CF0E88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51D11AA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1005D75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5DC7836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0EAA557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7A6FB3C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5285CCC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36637A4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30C110D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738B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Pr>
          <w:p w14:paraId="7C2F995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4349656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2D0B5A4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5745591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0F994E0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3BD82BB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3CDC0E8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4BCAD3D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58EE86A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563A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2E02ACA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04DFF53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460C0EC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2E3A4FA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325416C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17AEB7B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155C8FC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0FBB817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3D6BD64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76ED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1373454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4755A0A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7B93E0C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55D3BD3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0D4AE6D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4CD588C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371EC04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58B18A2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2136C0A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16FA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3DC89E2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6403B2C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2B99BC4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44E4998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660B8D9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7B20CF7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0F5D928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5FC6463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4C01946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1E1E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Pr>
          <w:p w14:paraId="370AB85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5AF96E8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1BC6034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3866A6E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40D3934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11F62B6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0DAFD9D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49A9113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0BE6E57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4842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7194B4C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010EAED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0942141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5B53D4F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538EB3A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2DB45E6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5AADEF5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4B352DC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7B3130E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1A5E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4C5B16B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4FF9FDD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1A0248E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21F0269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1A9799F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6B85EC7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4345DFC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748AFFF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2FB2F85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bl>
    <w:p w14:paraId="695A664A">
      <w:pPr>
        <w:spacing w:line="360" w:lineRule="auto"/>
        <w:ind w:firstLine="420" w:firstLineChars="200"/>
        <w:rPr>
          <w:rFonts w:hint="eastAsia" w:ascii="宋体" w:hAnsi="宋体" w:eastAsia="宋体" w:cs="宋体"/>
          <w:color w:val="auto"/>
          <w:szCs w:val="21"/>
          <w:highlight w:val="none"/>
        </w:rPr>
        <w:sectPr>
          <w:pgSz w:w="11906" w:h="16838"/>
          <w:pgMar w:top="1440" w:right="1800" w:bottom="1440" w:left="1800" w:header="851" w:footer="992" w:gutter="0"/>
          <w:pgNumType w:fmt="decimal"/>
          <w:cols w:space="720" w:num="1"/>
          <w:docGrid w:linePitch="312" w:charSpace="0"/>
        </w:sectPr>
      </w:pPr>
    </w:p>
    <w:p w14:paraId="3B7FFEAC">
      <w:pPr>
        <w:rPr>
          <w:rFonts w:hint="eastAsia"/>
          <w:b/>
          <w:bCs/>
          <w:color w:val="auto"/>
          <w:highlight w:val="none"/>
        </w:rPr>
      </w:pPr>
      <w:bookmarkStart w:id="204" w:name="_Toc3657"/>
      <w:bookmarkStart w:id="205" w:name="_Toc18955"/>
      <w:bookmarkStart w:id="206" w:name="_Toc23592"/>
      <w:bookmarkStart w:id="207" w:name="_Toc31926"/>
      <w:bookmarkStart w:id="208" w:name="_Toc15056"/>
      <w:bookmarkStart w:id="209" w:name="_Toc21380"/>
      <w:r>
        <w:rPr>
          <w:rFonts w:hint="eastAsia"/>
          <w:b/>
          <w:bCs/>
          <w:color w:val="auto"/>
          <w:highlight w:val="none"/>
        </w:rPr>
        <w:t>附表二  劳动力计划表</w:t>
      </w:r>
      <w:bookmarkEnd w:id="204"/>
      <w:bookmarkEnd w:id="205"/>
      <w:bookmarkEnd w:id="206"/>
      <w:bookmarkEnd w:id="207"/>
      <w:bookmarkEnd w:id="208"/>
      <w:bookmarkEnd w:id="209"/>
    </w:p>
    <w:p w14:paraId="0C9026B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单位：人</w:t>
      </w:r>
    </w:p>
    <w:tbl>
      <w:tblPr>
        <w:tblStyle w:val="23"/>
        <w:tblW w:w="8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28"/>
        <w:gridCol w:w="1097"/>
        <w:gridCol w:w="1177"/>
        <w:gridCol w:w="1194"/>
        <w:gridCol w:w="1097"/>
        <w:gridCol w:w="1258"/>
        <w:gridCol w:w="1097"/>
      </w:tblGrid>
      <w:tr w14:paraId="4DB4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3C34C6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工种</w:t>
            </w:r>
          </w:p>
        </w:tc>
        <w:tc>
          <w:tcPr>
            <w:tcW w:w="7948" w:type="dxa"/>
            <w:gridSpan w:val="7"/>
            <w:tcBorders>
              <w:top w:val="outset" w:color="auto" w:sz="6" w:space="0"/>
              <w:left w:val="outset" w:color="auto" w:sz="6" w:space="0"/>
              <w:bottom w:val="outset" w:color="auto" w:sz="6" w:space="0"/>
              <w:right w:val="outset" w:color="auto" w:sz="6" w:space="0"/>
            </w:tcBorders>
            <w:vAlign w:val="center"/>
          </w:tcPr>
          <w:p w14:paraId="0ED08A1B">
            <w:pPr>
              <w:keepNext w:val="0"/>
              <w:keepLines w:val="0"/>
              <w:widowControl/>
              <w:suppressLineNumbers w:val="0"/>
              <w:spacing w:before="0" w:beforeAutospacing="0" w:after="0" w:afterAutospacing="0" w:line="360" w:lineRule="auto"/>
              <w:ind w:left="0" w:right="0" w:firstLine="420" w:firstLineChars="20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按工程施工阶段投入劳动力情况</w:t>
            </w:r>
          </w:p>
        </w:tc>
      </w:tr>
      <w:tr w14:paraId="4948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0C1D6C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075C509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463EB41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365758D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6C43C8C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FCF5F8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567ABFD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6615E8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0904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6973BF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00B582B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2A5E3F1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414428D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681738A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25D5297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59F7366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F854A2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631E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3B4E4DE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5D09E47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1A1B68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4E02069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554026D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1D9678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F5283E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393E33A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42CE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E9EB76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0C0C03D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0A248B1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268FAA7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7A840EE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34A6F49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47A8ED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959A2B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7FB3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381EA3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6EF9940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4B1A99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77ED699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420BB42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F3BAB5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19C5AD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676938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55C4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3672BF2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46DB9FE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206FE49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05D92AD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760BCEC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270FF97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4CF3EF4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3DB1C57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3FB3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4A92E2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0245082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73DFD8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5945F3A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75E6952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3E6A043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44E30FE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41A5C5F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0414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3F177E0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45BD688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B20EDA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0412103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5B02022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95D5CA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0F4A443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15583E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7288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7C78DF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1269C28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B3082D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3B64F08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1CBA542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2CA0AAC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5830EE4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464A5DD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2ABA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F064DB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66B66D2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02729E6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0015740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1CC20AB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3C85F25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4059F4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A7AFC4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7B9E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5D137E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7D2647A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1175118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66A4ABF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669400D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B9E4F6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E47441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2A64A93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2A4D4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323C9A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4EDD297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2B4EA3A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7829728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6558B9C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3EC83BF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1D11247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F6FA48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37CA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848B73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46A9278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3F2AFCA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51B9DC9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2EFBD2F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22984FF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0762CF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255D60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1E2D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993D07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5156147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535186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3238CD0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48351D1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2A5B719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10A1DA0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2093722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69DE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492FD6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0C49336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133EB97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18BC25B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5E39DBC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0CC9061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38999B1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4E01867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7A03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CB47F3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712A771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18DDECC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145B2D8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1DF0CBD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033C67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2A493C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172214F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66C7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23CE3A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577A7A3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46DCB32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62D7DB3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084B9F4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4B17D44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D56617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01EB56D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639A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0556E0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07D3B22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CF5412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48B84AB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194F38B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6D45D6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121ABE7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EA6F92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0558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B5A298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4B72300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0AA6EA6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606661D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63171ED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76016D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4D0B11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FAE52E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7EBD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CE3B1F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0502382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E0087F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5CECAC5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2D430A8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D05C2A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0A167D4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01BC01D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380C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9A88A6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2FBFC9E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3F7A21D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62B621D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41D77B3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15E5911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10E761C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86FECF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2C18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FC5D2F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1F63B3D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57A7E9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3168A48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2012CB4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FC6B57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5235A5E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4AEA4BD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bl>
    <w:p w14:paraId="07899902">
      <w:pPr>
        <w:spacing w:line="360" w:lineRule="auto"/>
        <w:rPr>
          <w:rFonts w:hint="eastAsia" w:ascii="宋体" w:hAnsi="宋体" w:eastAsia="宋体" w:cs="宋体"/>
          <w:color w:val="auto"/>
          <w:szCs w:val="21"/>
          <w:highlight w:val="none"/>
        </w:rPr>
        <w:sectPr>
          <w:pgSz w:w="11906" w:h="16838"/>
          <w:pgMar w:top="1440" w:right="1800" w:bottom="1440" w:left="1800" w:header="851" w:footer="992" w:gutter="0"/>
          <w:pgNumType w:fmt="decimal"/>
          <w:cols w:space="720" w:num="1"/>
          <w:docGrid w:linePitch="312" w:charSpace="0"/>
        </w:sectPr>
      </w:pPr>
    </w:p>
    <w:p w14:paraId="28A172E9">
      <w:pPr>
        <w:rPr>
          <w:rFonts w:hint="eastAsia"/>
          <w:b/>
          <w:bCs/>
          <w:color w:val="auto"/>
          <w:highlight w:val="none"/>
        </w:rPr>
      </w:pPr>
      <w:bookmarkStart w:id="210" w:name="_Toc10901"/>
      <w:bookmarkStart w:id="211" w:name="_Toc20281"/>
      <w:bookmarkStart w:id="212" w:name="_Toc16878"/>
      <w:bookmarkStart w:id="213" w:name="_Toc32140"/>
      <w:bookmarkStart w:id="214" w:name="_Toc11934"/>
      <w:bookmarkStart w:id="215" w:name="_Toc6676"/>
      <w:r>
        <w:rPr>
          <w:rFonts w:hint="eastAsia"/>
          <w:b/>
          <w:bCs/>
          <w:color w:val="auto"/>
          <w:highlight w:val="none"/>
        </w:rPr>
        <w:t>附表三  计划开、竣工日期和施工进度网络图</w:t>
      </w:r>
      <w:bookmarkEnd w:id="210"/>
      <w:bookmarkEnd w:id="211"/>
      <w:bookmarkEnd w:id="212"/>
      <w:bookmarkEnd w:id="213"/>
      <w:bookmarkEnd w:id="214"/>
      <w:bookmarkEnd w:id="215"/>
    </w:p>
    <w:p w14:paraId="102A10B0">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应递交施工进度网络图或施工进度表，说明按竞争性磋商文件要求的计划工期进行施工的各个关键日期。</w:t>
      </w:r>
    </w:p>
    <w:p w14:paraId="486E4FD1">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2．施工进度表可采用网络图（或横道图）表示。</w:t>
      </w:r>
    </w:p>
    <w:p w14:paraId="04D9AC6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sectPr>
          <w:pgSz w:w="11906" w:h="16838"/>
          <w:pgMar w:top="1440" w:right="1800" w:bottom="1440" w:left="1800" w:header="851" w:footer="992" w:gutter="0"/>
          <w:pgNumType w:fmt="decimal"/>
          <w:cols w:space="720" w:num="1"/>
          <w:docGrid w:linePitch="312" w:charSpace="0"/>
        </w:sectPr>
      </w:pPr>
    </w:p>
    <w:p w14:paraId="66A22897">
      <w:pPr>
        <w:rPr>
          <w:rFonts w:hint="eastAsia"/>
          <w:b/>
          <w:bCs/>
          <w:color w:val="auto"/>
          <w:highlight w:val="none"/>
        </w:rPr>
      </w:pPr>
      <w:bookmarkStart w:id="216" w:name="_Toc7119"/>
      <w:bookmarkStart w:id="217" w:name="_Toc21517"/>
      <w:bookmarkStart w:id="218" w:name="_Toc4599"/>
      <w:bookmarkStart w:id="219" w:name="_Toc99"/>
      <w:bookmarkStart w:id="220" w:name="_Toc16603"/>
      <w:bookmarkStart w:id="221" w:name="_Toc416"/>
      <w:r>
        <w:rPr>
          <w:rFonts w:hint="eastAsia"/>
          <w:b/>
          <w:bCs/>
          <w:color w:val="auto"/>
          <w:highlight w:val="none"/>
        </w:rPr>
        <w:t>附表四  施工总平面图</w:t>
      </w:r>
      <w:bookmarkEnd w:id="216"/>
      <w:bookmarkEnd w:id="217"/>
      <w:bookmarkEnd w:id="218"/>
      <w:bookmarkEnd w:id="219"/>
      <w:bookmarkEnd w:id="220"/>
      <w:bookmarkEnd w:id="221"/>
    </w:p>
    <w:p w14:paraId="595BDB4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sectPr>
          <w:pgSz w:w="11906" w:h="16838"/>
          <w:pgMar w:top="1440" w:right="1800" w:bottom="1440" w:left="1800" w:header="851" w:footer="992" w:gutter="0"/>
          <w:cols w:space="720" w:num="1"/>
          <w:docGrid w:linePitch="312" w:charSpace="0"/>
        </w:sectPr>
      </w:pPr>
      <w:bookmarkStart w:id="222" w:name="_Toc22146"/>
      <w:r>
        <w:rPr>
          <w:rFonts w:hint="eastAsia" w:ascii="宋体" w:hAnsi="宋体" w:eastAsia="宋体" w:cs="宋体"/>
          <w:color w:val="auto"/>
          <w:szCs w:val="21"/>
          <w:highlight w:val="none"/>
        </w:rPr>
        <w:t>供应商应递交一份施工总平面图，绘出现场临时设施布置图表并附文字说明，说明临时设施、加工车间、现场办公、设备及仓储等设施的情况和布置</w:t>
      </w:r>
    </w:p>
    <w:p w14:paraId="4FB7BF13">
      <w:pPr>
        <w:rPr>
          <w:rFonts w:hint="eastAsia"/>
          <w:b/>
          <w:bCs/>
          <w:color w:val="auto"/>
          <w:highlight w:val="none"/>
          <w:lang w:val="en-US" w:eastAsia="zh-CN"/>
        </w:rPr>
      </w:pPr>
      <w:bookmarkStart w:id="223" w:name="_Toc7968"/>
      <w:bookmarkStart w:id="224" w:name="_Toc12178"/>
      <w:bookmarkStart w:id="225" w:name="_Toc12926"/>
      <w:r>
        <w:rPr>
          <w:rFonts w:hint="eastAsia"/>
          <w:b/>
          <w:bCs/>
          <w:color w:val="auto"/>
          <w:highlight w:val="none"/>
          <w:lang w:val="en-US" w:eastAsia="zh-CN"/>
        </w:rPr>
        <w:t>附表五  项目经理简历表</w:t>
      </w:r>
      <w:bookmarkEnd w:id="222"/>
      <w:bookmarkEnd w:id="223"/>
      <w:bookmarkEnd w:id="224"/>
      <w:bookmarkEnd w:id="225"/>
    </w:p>
    <w:tbl>
      <w:tblPr>
        <w:tblStyle w:val="23"/>
        <w:tblW w:w="87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8"/>
        <w:gridCol w:w="1662"/>
        <w:gridCol w:w="1117"/>
        <w:gridCol w:w="1125"/>
        <w:gridCol w:w="2170"/>
        <w:gridCol w:w="1491"/>
      </w:tblGrid>
      <w:tr w14:paraId="2ADBB1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23" w:type="dxa"/>
            <w:gridSpan w:val="2"/>
            <w:tcBorders>
              <w:top w:val="single" w:color="auto" w:sz="12" w:space="0"/>
            </w:tcBorders>
            <w:noWrap w:val="0"/>
            <w:vAlign w:val="center"/>
          </w:tcPr>
          <w:p w14:paraId="355FF20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姓名</w:t>
            </w:r>
          </w:p>
        </w:tc>
        <w:tc>
          <w:tcPr>
            <w:tcW w:w="1662" w:type="dxa"/>
            <w:tcBorders>
              <w:top w:val="single" w:color="auto" w:sz="12" w:space="0"/>
            </w:tcBorders>
            <w:noWrap w:val="0"/>
            <w:vAlign w:val="center"/>
          </w:tcPr>
          <w:p w14:paraId="2435C95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7" w:type="dxa"/>
            <w:tcBorders>
              <w:top w:val="single" w:color="auto" w:sz="12" w:space="0"/>
            </w:tcBorders>
            <w:noWrap w:val="0"/>
            <w:vAlign w:val="center"/>
          </w:tcPr>
          <w:p w14:paraId="32FAF28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年龄</w:t>
            </w:r>
          </w:p>
        </w:tc>
        <w:tc>
          <w:tcPr>
            <w:tcW w:w="1125" w:type="dxa"/>
            <w:tcBorders>
              <w:top w:val="single" w:color="auto" w:sz="12" w:space="0"/>
            </w:tcBorders>
            <w:noWrap w:val="0"/>
            <w:vAlign w:val="center"/>
          </w:tcPr>
          <w:p w14:paraId="301AC81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170" w:type="dxa"/>
            <w:tcBorders>
              <w:top w:val="single" w:color="auto" w:sz="12" w:space="0"/>
            </w:tcBorders>
            <w:noWrap w:val="0"/>
            <w:vAlign w:val="center"/>
          </w:tcPr>
          <w:p w14:paraId="0DEEA81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学历</w:t>
            </w:r>
          </w:p>
        </w:tc>
        <w:tc>
          <w:tcPr>
            <w:tcW w:w="1491" w:type="dxa"/>
            <w:tcBorders>
              <w:top w:val="single" w:color="auto" w:sz="12" w:space="0"/>
            </w:tcBorders>
            <w:noWrap w:val="0"/>
            <w:vAlign w:val="center"/>
          </w:tcPr>
          <w:p w14:paraId="6B2C6BB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13D80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23" w:type="dxa"/>
            <w:gridSpan w:val="2"/>
            <w:noWrap w:val="0"/>
            <w:vAlign w:val="center"/>
          </w:tcPr>
          <w:p w14:paraId="7B5E219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职称</w:t>
            </w:r>
          </w:p>
        </w:tc>
        <w:tc>
          <w:tcPr>
            <w:tcW w:w="1662" w:type="dxa"/>
            <w:noWrap w:val="0"/>
            <w:vAlign w:val="center"/>
          </w:tcPr>
          <w:p w14:paraId="73E746F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7" w:type="dxa"/>
            <w:noWrap w:val="0"/>
            <w:vAlign w:val="center"/>
          </w:tcPr>
          <w:p w14:paraId="432E3D1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职务</w:t>
            </w:r>
          </w:p>
        </w:tc>
        <w:tc>
          <w:tcPr>
            <w:tcW w:w="1125" w:type="dxa"/>
            <w:noWrap w:val="0"/>
            <w:vAlign w:val="center"/>
          </w:tcPr>
          <w:p w14:paraId="7953224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170" w:type="dxa"/>
            <w:noWrap w:val="0"/>
            <w:vAlign w:val="center"/>
          </w:tcPr>
          <w:p w14:paraId="077639E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拟在本合同任职</w:t>
            </w:r>
          </w:p>
        </w:tc>
        <w:tc>
          <w:tcPr>
            <w:tcW w:w="1491" w:type="dxa"/>
            <w:noWrap w:val="0"/>
            <w:vAlign w:val="center"/>
          </w:tcPr>
          <w:p w14:paraId="4942B33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7DC36A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23" w:type="dxa"/>
            <w:gridSpan w:val="2"/>
            <w:noWrap w:val="0"/>
            <w:vAlign w:val="center"/>
          </w:tcPr>
          <w:p w14:paraId="02F5900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毕业学校</w:t>
            </w:r>
          </w:p>
        </w:tc>
        <w:tc>
          <w:tcPr>
            <w:tcW w:w="7565" w:type="dxa"/>
            <w:gridSpan w:val="5"/>
            <w:noWrap w:val="0"/>
            <w:vAlign w:val="center"/>
          </w:tcPr>
          <w:p w14:paraId="593B1505">
            <w:pPr>
              <w:keepNext w:val="0"/>
              <w:keepLines w:val="0"/>
              <w:widowControl/>
              <w:suppressLineNumbers w:val="0"/>
              <w:spacing w:before="0" w:beforeAutospacing="0" w:after="0" w:afterAutospacing="0"/>
              <w:ind w:left="0" w:right="0" w:firstLine="840" w:firstLineChars="40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年毕业于         学校           专业</w:t>
            </w:r>
          </w:p>
        </w:tc>
      </w:tr>
      <w:tr w14:paraId="51717D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88" w:type="dxa"/>
            <w:gridSpan w:val="7"/>
            <w:noWrap w:val="0"/>
            <w:vAlign w:val="center"/>
          </w:tcPr>
          <w:p w14:paraId="36D11C54">
            <w:pPr>
              <w:keepNext w:val="0"/>
              <w:keepLines w:val="0"/>
              <w:widowControl/>
              <w:suppressLineNumbers w:val="0"/>
              <w:spacing w:before="0" w:beforeAutospacing="0" w:after="0" w:afterAutospacing="0"/>
              <w:ind w:left="0" w:right="0" w:firstLine="420" w:firstLineChars="20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主要工作经历</w:t>
            </w:r>
          </w:p>
        </w:tc>
      </w:tr>
      <w:tr w14:paraId="41B28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15" w:type="dxa"/>
            <w:noWrap w:val="0"/>
            <w:vAlign w:val="center"/>
          </w:tcPr>
          <w:p w14:paraId="5BC1B50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时间</w:t>
            </w:r>
          </w:p>
        </w:tc>
        <w:tc>
          <w:tcPr>
            <w:tcW w:w="1670" w:type="dxa"/>
            <w:gridSpan w:val="2"/>
            <w:noWrap w:val="0"/>
            <w:vAlign w:val="center"/>
          </w:tcPr>
          <w:p w14:paraId="13BCC5B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参加过</w:t>
            </w:r>
            <w:r>
              <w:rPr>
                <w:rFonts w:hint="eastAsia" w:ascii="宋体" w:hAnsi="宋体" w:eastAsia="宋体" w:cs="宋体"/>
                <w:color w:val="auto"/>
                <w:kern w:val="21"/>
                <w:sz w:val="21"/>
                <w:szCs w:val="21"/>
                <w:highlight w:val="none"/>
                <w:lang w:eastAsia="zh-CN"/>
              </w:rPr>
              <w:t>的</w:t>
            </w:r>
            <w:r>
              <w:rPr>
                <w:rFonts w:hint="eastAsia" w:ascii="宋体" w:hAnsi="宋体" w:eastAsia="宋体" w:cs="宋体"/>
                <w:color w:val="auto"/>
                <w:kern w:val="21"/>
                <w:sz w:val="21"/>
                <w:szCs w:val="21"/>
                <w:highlight w:val="none"/>
              </w:rPr>
              <w:t>项目</w:t>
            </w:r>
          </w:p>
        </w:tc>
        <w:tc>
          <w:tcPr>
            <w:tcW w:w="2242" w:type="dxa"/>
            <w:gridSpan w:val="2"/>
            <w:noWrap w:val="0"/>
            <w:vAlign w:val="center"/>
          </w:tcPr>
          <w:p w14:paraId="3F6FE7D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担任职务</w:t>
            </w:r>
          </w:p>
        </w:tc>
        <w:tc>
          <w:tcPr>
            <w:tcW w:w="3661" w:type="dxa"/>
            <w:gridSpan w:val="2"/>
            <w:noWrap w:val="0"/>
            <w:vAlign w:val="center"/>
          </w:tcPr>
          <w:p w14:paraId="0E10814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发包人及联系电话</w:t>
            </w:r>
          </w:p>
        </w:tc>
      </w:tr>
      <w:tr w14:paraId="3AC46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15" w:type="dxa"/>
            <w:noWrap w:val="0"/>
            <w:vAlign w:val="center"/>
          </w:tcPr>
          <w:p w14:paraId="2E201E6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670" w:type="dxa"/>
            <w:gridSpan w:val="2"/>
            <w:noWrap w:val="0"/>
            <w:vAlign w:val="center"/>
          </w:tcPr>
          <w:p w14:paraId="5F0D0CC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242" w:type="dxa"/>
            <w:gridSpan w:val="2"/>
            <w:noWrap w:val="0"/>
            <w:vAlign w:val="center"/>
          </w:tcPr>
          <w:p w14:paraId="44A11C4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3661" w:type="dxa"/>
            <w:gridSpan w:val="2"/>
            <w:noWrap w:val="0"/>
            <w:vAlign w:val="center"/>
          </w:tcPr>
          <w:p w14:paraId="545FD70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096CAD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15" w:type="dxa"/>
            <w:noWrap w:val="0"/>
            <w:vAlign w:val="center"/>
          </w:tcPr>
          <w:p w14:paraId="48D4921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670" w:type="dxa"/>
            <w:gridSpan w:val="2"/>
            <w:noWrap w:val="0"/>
            <w:vAlign w:val="center"/>
          </w:tcPr>
          <w:p w14:paraId="270EF2C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242" w:type="dxa"/>
            <w:gridSpan w:val="2"/>
            <w:noWrap w:val="0"/>
            <w:vAlign w:val="center"/>
          </w:tcPr>
          <w:p w14:paraId="139297F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3661" w:type="dxa"/>
            <w:gridSpan w:val="2"/>
            <w:noWrap w:val="0"/>
            <w:vAlign w:val="center"/>
          </w:tcPr>
          <w:p w14:paraId="325B71C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0BD14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15" w:type="dxa"/>
            <w:noWrap w:val="0"/>
            <w:vAlign w:val="center"/>
          </w:tcPr>
          <w:p w14:paraId="5305F53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670" w:type="dxa"/>
            <w:gridSpan w:val="2"/>
            <w:noWrap w:val="0"/>
            <w:vAlign w:val="center"/>
          </w:tcPr>
          <w:p w14:paraId="360B401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242" w:type="dxa"/>
            <w:gridSpan w:val="2"/>
            <w:noWrap w:val="0"/>
            <w:vAlign w:val="center"/>
          </w:tcPr>
          <w:p w14:paraId="0D74480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3661" w:type="dxa"/>
            <w:gridSpan w:val="2"/>
            <w:noWrap w:val="0"/>
            <w:vAlign w:val="center"/>
          </w:tcPr>
          <w:p w14:paraId="083AA01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711D9C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15" w:type="dxa"/>
            <w:noWrap w:val="0"/>
            <w:vAlign w:val="center"/>
          </w:tcPr>
          <w:p w14:paraId="6B7D188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670" w:type="dxa"/>
            <w:gridSpan w:val="2"/>
            <w:noWrap w:val="0"/>
            <w:vAlign w:val="center"/>
          </w:tcPr>
          <w:p w14:paraId="623A7D6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242" w:type="dxa"/>
            <w:gridSpan w:val="2"/>
            <w:noWrap w:val="0"/>
            <w:vAlign w:val="center"/>
          </w:tcPr>
          <w:p w14:paraId="2CE45A5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3661" w:type="dxa"/>
            <w:gridSpan w:val="2"/>
            <w:noWrap w:val="0"/>
            <w:vAlign w:val="center"/>
          </w:tcPr>
          <w:p w14:paraId="703A70A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381B1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15" w:type="dxa"/>
            <w:noWrap w:val="0"/>
            <w:vAlign w:val="center"/>
          </w:tcPr>
          <w:p w14:paraId="07B72EB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670" w:type="dxa"/>
            <w:gridSpan w:val="2"/>
            <w:noWrap w:val="0"/>
            <w:vAlign w:val="center"/>
          </w:tcPr>
          <w:p w14:paraId="55FACEA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242" w:type="dxa"/>
            <w:gridSpan w:val="2"/>
            <w:noWrap w:val="0"/>
            <w:vAlign w:val="center"/>
          </w:tcPr>
          <w:p w14:paraId="65D3F14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3661" w:type="dxa"/>
            <w:gridSpan w:val="2"/>
            <w:noWrap w:val="0"/>
            <w:vAlign w:val="center"/>
          </w:tcPr>
          <w:p w14:paraId="5CFFB6C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070BE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15" w:type="dxa"/>
            <w:noWrap w:val="0"/>
            <w:vAlign w:val="center"/>
          </w:tcPr>
          <w:p w14:paraId="5BB4FED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670" w:type="dxa"/>
            <w:gridSpan w:val="2"/>
            <w:noWrap w:val="0"/>
            <w:vAlign w:val="center"/>
          </w:tcPr>
          <w:p w14:paraId="195604D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242" w:type="dxa"/>
            <w:gridSpan w:val="2"/>
            <w:noWrap w:val="0"/>
            <w:vAlign w:val="center"/>
          </w:tcPr>
          <w:p w14:paraId="62C38D3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3661" w:type="dxa"/>
            <w:gridSpan w:val="2"/>
            <w:noWrap w:val="0"/>
            <w:vAlign w:val="center"/>
          </w:tcPr>
          <w:p w14:paraId="1D094BA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1AAC0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15" w:type="dxa"/>
            <w:noWrap w:val="0"/>
            <w:vAlign w:val="center"/>
          </w:tcPr>
          <w:p w14:paraId="26FCC0B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670" w:type="dxa"/>
            <w:gridSpan w:val="2"/>
            <w:noWrap w:val="0"/>
            <w:vAlign w:val="center"/>
          </w:tcPr>
          <w:p w14:paraId="3BAD9B2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242" w:type="dxa"/>
            <w:gridSpan w:val="2"/>
            <w:noWrap w:val="0"/>
            <w:vAlign w:val="center"/>
          </w:tcPr>
          <w:p w14:paraId="1BE156C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3661" w:type="dxa"/>
            <w:gridSpan w:val="2"/>
            <w:noWrap w:val="0"/>
            <w:vAlign w:val="center"/>
          </w:tcPr>
          <w:p w14:paraId="5042BD0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0A47A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15" w:type="dxa"/>
            <w:noWrap w:val="0"/>
            <w:vAlign w:val="center"/>
          </w:tcPr>
          <w:p w14:paraId="5F428EB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670" w:type="dxa"/>
            <w:gridSpan w:val="2"/>
            <w:noWrap w:val="0"/>
            <w:vAlign w:val="center"/>
          </w:tcPr>
          <w:p w14:paraId="20F8C85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242" w:type="dxa"/>
            <w:gridSpan w:val="2"/>
            <w:noWrap w:val="0"/>
            <w:vAlign w:val="center"/>
          </w:tcPr>
          <w:p w14:paraId="75B5530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3661" w:type="dxa"/>
            <w:gridSpan w:val="2"/>
            <w:noWrap w:val="0"/>
            <w:vAlign w:val="center"/>
          </w:tcPr>
          <w:p w14:paraId="6AEC289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4EDB4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15" w:type="dxa"/>
            <w:noWrap w:val="0"/>
            <w:vAlign w:val="center"/>
          </w:tcPr>
          <w:p w14:paraId="4442FAC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670" w:type="dxa"/>
            <w:gridSpan w:val="2"/>
            <w:noWrap w:val="0"/>
            <w:vAlign w:val="center"/>
          </w:tcPr>
          <w:p w14:paraId="53F83C0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242" w:type="dxa"/>
            <w:gridSpan w:val="2"/>
            <w:noWrap w:val="0"/>
            <w:vAlign w:val="center"/>
          </w:tcPr>
          <w:p w14:paraId="7AFD650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3661" w:type="dxa"/>
            <w:gridSpan w:val="2"/>
            <w:noWrap w:val="0"/>
            <w:vAlign w:val="center"/>
          </w:tcPr>
          <w:p w14:paraId="19A477E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38E23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15" w:type="dxa"/>
            <w:noWrap w:val="0"/>
            <w:vAlign w:val="center"/>
          </w:tcPr>
          <w:p w14:paraId="00D19B0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670" w:type="dxa"/>
            <w:gridSpan w:val="2"/>
            <w:noWrap w:val="0"/>
            <w:vAlign w:val="center"/>
          </w:tcPr>
          <w:p w14:paraId="6A211DE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242" w:type="dxa"/>
            <w:gridSpan w:val="2"/>
            <w:noWrap w:val="0"/>
            <w:vAlign w:val="center"/>
          </w:tcPr>
          <w:p w14:paraId="7521112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3661" w:type="dxa"/>
            <w:gridSpan w:val="2"/>
            <w:noWrap w:val="0"/>
            <w:vAlign w:val="center"/>
          </w:tcPr>
          <w:p w14:paraId="3883E39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26296A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15" w:type="dxa"/>
            <w:tcBorders>
              <w:bottom w:val="single" w:color="auto" w:sz="12" w:space="0"/>
            </w:tcBorders>
            <w:noWrap w:val="0"/>
            <w:vAlign w:val="center"/>
          </w:tcPr>
          <w:p w14:paraId="0FBA262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670" w:type="dxa"/>
            <w:gridSpan w:val="2"/>
            <w:tcBorders>
              <w:bottom w:val="single" w:color="auto" w:sz="12" w:space="0"/>
            </w:tcBorders>
            <w:noWrap w:val="0"/>
            <w:vAlign w:val="center"/>
          </w:tcPr>
          <w:p w14:paraId="24BB955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242" w:type="dxa"/>
            <w:gridSpan w:val="2"/>
            <w:tcBorders>
              <w:bottom w:val="single" w:color="auto" w:sz="12" w:space="0"/>
            </w:tcBorders>
            <w:noWrap w:val="0"/>
            <w:vAlign w:val="center"/>
          </w:tcPr>
          <w:p w14:paraId="207AF59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3661" w:type="dxa"/>
            <w:gridSpan w:val="2"/>
            <w:tcBorders>
              <w:bottom w:val="single" w:color="auto" w:sz="12" w:space="0"/>
            </w:tcBorders>
            <w:noWrap w:val="0"/>
            <w:vAlign w:val="center"/>
          </w:tcPr>
          <w:p w14:paraId="65D84B6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bl>
    <w:p w14:paraId="363B8CE1">
      <w:pPr>
        <w:spacing w:line="360" w:lineRule="auto"/>
        <w:ind w:firstLine="420" w:firstLineChars="20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注：项目经理须附身份证、毕业证、注册证、安全生产考核合格B证等复印件或扫描件以及未担任其它在建项目的承诺。所有复印件加盖单位公章。</w:t>
      </w:r>
    </w:p>
    <w:p w14:paraId="134D4136">
      <w:pPr>
        <w:spacing w:line="360" w:lineRule="auto"/>
        <w:ind w:firstLine="420" w:firstLineChars="200"/>
        <w:rPr>
          <w:rFonts w:hint="eastAsia" w:ascii="宋体" w:hAnsi="宋体" w:eastAsia="宋体" w:cs="宋体"/>
          <w:color w:val="auto"/>
          <w:kern w:val="21"/>
          <w:sz w:val="21"/>
          <w:szCs w:val="21"/>
          <w:highlight w:val="none"/>
        </w:rPr>
      </w:pPr>
    </w:p>
    <w:p w14:paraId="7030498E">
      <w:pPr>
        <w:jc w:val="center"/>
        <w:rPr>
          <w:rFonts w:hint="eastAsia" w:ascii="宋体" w:hAnsi="宋体" w:eastAsia="宋体" w:cs="宋体"/>
          <w:b/>
          <w:color w:val="auto"/>
          <w:kern w:val="21"/>
          <w:sz w:val="21"/>
          <w:szCs w:val="21"/>
          <w:highlight w:val="none"/>
        </w:rPr>
      </w:pPr>
    </w:p>
    <w:p w14:paraId="375555B4">
      <w:pPr>
        <w:jc w:val="center"/>
        <w:rPr>
          <w:rFonts w:hint="eastAsia" w:ascii="宋体" w:hAnsi="宋体" w:eastAsia="宋体" w:cs="宋体"/>
          <w:b/>
          <w:color w:val="auto"/>
          <w:kern w:val="21"/>
          <w:sz w:val="21"/>
          <w:szCs w:val="21"/>
          <w:highlight w:val="none"/>
        </w:rPr>
      </w:pPr>
    </w:p>
    <w:p w14:paraId="44300062">
      <w:pPr>
        <w:rPr>
          <w:rFonts w:hint="eastAsia" w:ascii="宋体" w:hAnsi="宋体" w:eastAsia="宋体" w:cs="宋体"/>
          <w:color w:val="auto"/>
          <w:kern w:val="21"/>
          <w:sz w:val="21"/>
          <w:szCs w:val="21"/>
          <w:highlight w:val="none"/>
        </w:rPr>
      </w:pPr>
      <w:r>
        <w:rPr>
          <w:rFonts w:hint="eastAsia" w:ascii="宋体" w:hAnsi="宋体" w:eastAsia="宋体" w:cs="宋体"/>
          <w:b/>
          <w:color w:val="auto"/>
          <w:kern w:val="21"/>
          <w:sz w:val="21"/>
          <w:szCs w:val="21"/>
          <w:highlight w:val="none"/>
        </w:rPr>
        <w:br w:type="page"/>
      </w:r>
    </w:p>
    <w:p w14:paraId="627E744A">
      <w:pPr>
        <w:rPr>
          <w:rFonts w:hint="eastAsia" w:ascii="宋体" w:hAnsi="宋体" w:eastAsia="宋体" w:cs="宋体"/>
          <w:b/>
          <w:color w:val="auto"/>
          <w:kern w:val="21"/>
          <w:sz w:val="21"/>
          <w:szCs w:val="21"/>
          <w:highlight w:val="none"/>
        </w:rPr>
      </w:pPr>
      <w:bookmarkStart w:id="226" w:name="_Toc4665"/>
      <w:bookmarkStart w:id="227" w:name="_Toc23060"/>
      <w:bookmarkStart w:id="228" w:name="_Toc17615"/>
      <w:bookmarkStart w:id="229" w:name="_Toc8592"/>
      <w:r>
        <w:rPr>
          <w:rFonts w:hint="eastAsia"/>
          <w:b/>
          <w:bCs/>
          <w:color w:val="auto"/>
          <w:highlight w:val="none"/>
          <w:lang w:val="en-US" w:eastAsia="zh-CN"/>
        </w:rPr>
        <w:t>附表六  拟派往人员组成情况表</w:t>
      </w:r>
      <w:bookmarkEnd w:id="226"/>
      <w:bookmarkEnd w:id="227"/>
      <w:bookmarkEnd w:id="228"/>
      <w:bookmarkEnd w:id="229"/>
    </w:p>
    <w:tbl>
      <w:tblPr>
        <w:tblStyle w:val="23"/>
        <w:tblW w:w="8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984"/>
        <w:gridCol w:w="1129"/>
        <w:gridCol w:w="1016"/>
        <w:gridCol w:w="984"/>
        <w:gridCol w:w="1113"/>
        <w:gridCol w:w="2725"/>
      </w:tblGrid>
      <w:tr w14:paraId="7468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0" w:type="dxa"/>
            <w:noWrap w:val="0"/>
            <w:vAlign w:val="center"/>
          </w:tcPr>
          <w:p w14:paraId="6F48A6B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姓名</w:t>
            </w:r>
          </w:p>
        </w:tc>
        <w:tc>
          <w:tcPr>
            <w:tcW w:w="984" w:type="dxa"/>
            <w:noWrap w:val="0"/>
            <w:vAlign w:val="center"/>
          </w:tcPr>
          <w:p w14:paraId="10F5E23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性别</w:t>
            </w:r>
          </w:p>
        </w:tc>
        <w:tc>
          <w:tcPr>
            <w:tcW w:w="1129" w:type="dxa"/>
            <w:noWrap w:val="0"/>
            <w:vAlign w:val="center"/>
          </w:tcPr>
          <w:p w14:paraId="3968397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年龄</w:t>
            </w:r>
          </w:p>
        </w:tc>
        <w:tc>
          <w:tcPr>
            <w:tcW w:w="1016" w:type="dxa"/>
            <w:noWrap w:val="0"/>
            <w:vAlign w:val="center"/>
          </w:tcPr>
          <w:p w14:paraId="2020DBA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职称</w:t>
            </w:r>
          </w:p>
        </w:tc>
        <w:tc>
          <w:tcPr>
            <w:tcW w:w="984" w:type="dxa"/>
            <w:noWrap w:val="0"/>
            <w:vAlign w:val="center"/>
          </w:tcPr>
          <w:p w14:paraId="3882FC5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专业</w:t>
            </w:r>
          </w:p>
        </w:tc>
        <w:tc>
          <w:tcPr>
            <w:tcW w:w="1113" w:type="dxa"/>
            <w:noWrap w:val="0"/>
            <w:vAlign w:val="center"/>
          </w:tcPr>
          <w:p w14:paraId="31D193E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证书编号</w:t>
            </w:r>
          </w:p>
        </w:tc>
        <w:tc>
          <w:tcPr>
            <w:tcW w:w="2725" w:type="dxa"/>
            <w:noWrap w:val="0"/>
            <w:vAlign w:val="center"/>
          </w:tcPr>
          <w:p w14:paraId="7AADDAF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拟在本项目中担任的工作或岗位</w:t>
            </w:r>
          </w:p>
        </w:tc>
      </w:tr>
      <w:tr w14:paraId="2021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0" w:type="dxa"/>
            <w:noWrap w:val="0"/>
            <w:vAlign w:val="center"/>
          </w:tcPr>
          <w:p w14:paraId="35583EE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59EC97D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29" w:type="dxa"/>
            <w:noWrap w:val="0"/>
            <w:vAlign w:val="center"/>
          </w:tcPr>
          <w:p w14:paraId="158D2F4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016" w:type="dxa"/>
            <w:noWrap w:val="0"/>
            <w:vAlign w:val="center"/>
          </w:tcPr>
          <w:p w14:paraId="336DEE9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69FD116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3" w:type="dxa"/>
            <w:noWrap w:val="0"/>
            <w:vAlign w:val="center"/>
          </w:tcPr>
          <w:p w14:paraId="4414F43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725" w:type="dxa"/>
            <w:noWrap w:val="0"/>
            <w:vAlign w:val="center"/>
          </w:tcPr>
          <w:p w14:paraId="63EE83F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4407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0" w:type="dxa"/>
            <w:noWrap w:val="0"/>
            <w:vAlign w:val="center"/>
          </w:tcPr>
          <w:p w14:paraId="436B1F0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217786F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29" w:type="dxa"/>
            <w:noWrap w:val="0"/>
            <w:vAlign w:val="center"/>
          </w:tcPr>
          <w:p w14:paraId="5B5F0AA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016" w:type="dxa"/>
            <w:noWrap w:val="0"/>
            <w:vAlign w:val="center"/>
          </w:tcPr>
          <w:p w14:paraId="3DE05ED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079F6C7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3" w:type="dxa"/>
            <w:noWrap w:val="0"/>
            <w:vAlign w:val="center"/>
          </w:tcPr>
          <w:p w14:paraId="621C516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725" w:type="dxa"/>
            <w:noWrap w:val="0"/>
            <w:vAlign w:val="center"/>
          </w:tcPr>
          <w:p w14:paraId="1348138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4292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0" w:type="dxa"/>
            <w:noWrap w:val="0"/>
            <w:vAlign w:val="center"/>
          </w:tcPr>
          <w:p w14:paraId="283D12C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08C1AFE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29" w:type="dxa"/>
            <w:noWrap w:val="0"/>
            <w:vAlign w:val="center"/>
          </w:tcPr>
          <w:p w14:paraId="1FBF77F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016" w:type="dxa"/>
            <w:noWrap w:val="0"/>
            <w:vAlign w:val="center"/>
          </w:tcPr>
          <w:p w14:paraId="273F10B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0BDD8F3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3" w:type="dxa"/>
            <w:noWrap w:val="0"/>
            <w:vAlign w:val="center"/>
          </w:tcPr>
          <w:p w14:paraId="3B6C135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725" w:type="dxa"/>
            <w:noWrap w:val="0"/>
            <w:vAlign w:val="center"/>
          </w:tcPr>
          <w:p w14:paraId="042B02D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542E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0" w:type="dxa"/>
            <w:noWrap w:val="0"/>
            <w:vAlign w:val="center"/>
          </w:tcPr>
          <w:p w14:paraId="1146C0B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35A16E0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29" w:type="dxa"/>
            <w:noWrap w:val="0"/>
            <w:vAlign w:val="center"/>
          </w:tcPr>
          <w:p w14:paraId="636AA67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016" w:type="dxa"/>
            <w:noWrap w:val="0"/>
            <w:vAlign w:val="center"/>
          </w:tcPr>
          <w:p w14:paraId="2041AB9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6B5F25F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3" w:type="dxa"/>
            <w:noWrap w:val="0"/>
            <w:vAlign w:val="center"/>
          </w:tcPr>
          <w:p w14:paraId="3DE0445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725" w:type="dxa"/>
            <w:noWrap w:val="0"/>
            <w:vAlign w:val="center"/>
          </w:tcPr>
          <w:p w14:paraId="105619C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0F87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0" w:type="dxa"/>
            <w:noWrap w:val="0"/>
            <w:vAlign w:val="center"/>
          </w:tcPr>
          <w:p w14:paraId="4FB2C8A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3304EEC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29" w:type="dxa"/>
            <w:noWrap w:val="0"/>
            <w:vAlign w:val="center"/>
          </w:tcPr>
          <w:p w14:paraId="4F73260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016" w:type="dxa"/>
            <w:noWrap w:val="0"/>
            <w:vAlign w:val="center"/>
          </w:tcPr>
          <w:p w14:paraId="34D6F3D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6240612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3" w:type="dxa"/>
            <w:noWrap w:val="0"/>
            <w:vAlign w:val="center"/>
          </w:tcPr>
          <w:p w14:paraId="2BB714F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725" w:type="dxa"/>
            <w:noWrap w:val="0"/>
            <w:vAlign w:val="center"/>
          </w:tcPr>
          <w:p w14:paraId="17C12A6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0A2C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0" w:type="dxa"/>
            <w:noWrap w:val="0"/>
            <w:vAlign w:val="center"/>
          </w:tcPr>
          <w:p w14:paraId="10761BB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71AB713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29" w:type="dxa"/>
            <w:noWrap w:val="0"/>
            <w:vAlign w:val="center"/>
          </w:tcPr>
          <w:p w14:paraId="2712DEA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016" w:type="dxa"/>
            <w:noWrap w:val="0"/>
            <w:vAlign w:val="center"/>
          </w:tcPr>
          <w:p w14:paraId="5A1B1C9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4EAD90A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3" w:type="dxa"/>
            <w:noWrap w:val="0"/>
            <w:vAlign w:val="center"/>
          </w:tcPr>
          <w:p w14:paraId="0B68F09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725" w:type="dxa"/>
            <w:noWrap w:val="0"/>
            <w:vAlign w:val="center"/>
          </w:tcPr>
          <w:p w14:paraId="726D327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2CE1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0" w:type="dxa"/>
            <w:noWrap w:val="0"/>
            <w:vAlign w:val="center"/>
          </w:tcPr>
          <w:p w14:paraId="27B360A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12D29B7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29" w:type="dxa"/>
            <w:noWrap w:val="0"/>
            <w:vAlign w:val="center"/>
          </w:tcPr>
          <w:p w14:paraId="2443945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016" w:type="dxa"/>
            <w:noWrap w:val="0"/>
            <w:vAlign w:val="center"/>
          </w:tcPr>
          <w:p w14:paraId="0EC9F43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45DCE72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3" w:type="dxa"/>
            <w:noWrap w:val="0"/>
            <w:vAlign w:val="center"/>
          </w:tcPr>
          <w:p w14:paraId="5531E23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725" w:type="dxa"/>
            <w:noWrap w:val="0"/>
            <w:vAlign w:val="center"/>
          </w:tcPr>
          <w:p w14:paraId="0AB72F3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2C41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0" w:type="dxa"/>
            <w:noWrap w:val="0"/>
            <w:vAlign w:val="center"/>
          </w:tcPr>
          <w:p w14:paraId="1CC4899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2732990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29" w:type="dxa"/>
            <w:noWrap w:val="0"/>
            <w:vAlign w:val="center"/>
          </w:tcPr>
          <w:p w14:paraId="2E2FBD6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016" w:type="dxa"/>
            <w:noWrap w:val="0"/>
            <w:vAlign w:val="center"/>
          </w:tcPr>
          <w:p w14:paraId="61A9A8D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71CC288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3" w:type="dxa"/>
            <w:noWrap w:val="0"/>
            <w:vAlign w:val="center"/>
          </w:tcPr>
          <w:p w14:paraId="0D11337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725" w:type="dxa"/>
            <w:noWrap w:val="0"/>
            <w:vAlign w:val="center"/>
          </w:tcPr>
          <w:p w14:paraId="3D55B80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2FF3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0" w:type="dxa"/>
            <w:noWrap w:val="0"/>
            <w:vAlign w:val="center"/>
          </w:tcPr>
          <w:p w14:paraId="15FF96F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50CC727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29" w:type="dxa"/>
            <w:noWrap w:val="0"/>
            <w:vAlign w:val="center"/>
          </w:tcPr>
          <w:p w14:paraId="6F688B0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016" w:type="dxa"/>
            <w:noWrap w:val="0"/>
            <w:vAlign w:val="center"/>
          </w:tcPr>
          <w:p w14:paraId="398F220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025CC9B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3" w:type="dxa"/>
            <w:noWrap w:val="0"/>
            <w:vAlign w:val="center"/>
          </w:tcPr>
          <w:p w14:paraId="2C3CF33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725" w:type="dxa"/>
            <w:noWrap w:val="0"/>
            <w:vAlign w:val="center"/>
          </w:tcPr>
          <w:p w14:paraId="1E62147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0BF2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0" w:type="dxa"/>
            <w:noWrap w:val="0"/>
            <w:vAlign w:val="center"/>
          </w:tcPr>
          <w:p w14:paraId="1592469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6D54DC4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29" w:type="dxa"/>
            <w:noWrap w:val="0"/>
            <w:vAlign w:val="center"/>
          </w:tcPr>
          <w:p w14:paraId="0162966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016" w:type="dxa"/>
            <w:noWrap w:val="0"/>
            <w:vAlign w:val="center"/>
          </w:tcPr>
          <w:p w14:paraId="69B8693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4CA8C20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3" w:type="dxa"/>
            <w:noWrap w:val="0"/>
            <w:vAlign w:val="center"/>
          </w:tcPr>
          <w:p w14:paraId="02688D3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725" w:type="dxa"/>
            <w:noWrap w:val="0"/>
            <w:vAlign w:val="center"/>
          </w:tcPr>
          <w:p w14:paraId="59B3D07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775D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0" w:type="dxa"/>
            <w:noWrap w:val="0"/>
            <w:vAlign w:val="center"/>
          </w:tcPr>
          <w:p w14:paraId="63DE3B9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2FA35C8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29" w:type="dxa"/>
            <w:noWrap w:val="0"/>
            <w:vAlign w:val="center"/>
          </w:tcPr>
          <w:p w14:paraId="2C8B983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016" w:type="dxa"/>
            <w:noWrap w:val="0"/>
            <w:vAlign w:val="center"/>
          </w:tcPr>
          <w:p w14:paraId="6D4EC97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44F5563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3" w:type="dxa"/>
            <w:noWrap w:val="0"/>
            <w:vAlign w:val="center"/>
          </w:tcPr>
          <w:p w14:paraId="4FF9ACF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725" w:type="dxa"/>
            <w:noWrap w:val="0"/>
            <w:vAlign w:val="center"/>
          </w:tcPr>
          <w:p w14:paraId="5EBB4C3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r w14:paraId="4FF9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0" w:type="dxa"/>
            <w:noWrap w:val="0"/>
            <w:vAlign w:val="center"/>
          </w:tcPr>
          <w:p w14:paraId="0391FFE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218F108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29" w:type="dxa"/>
            <w:noWrap w:val="0"/>
            <w:vAlign w:val="center"/>
          </w:tcPr>
          <w:p w14:paraId="7B9C203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016" w:type="dxa"/>
            <w:noWrap w:val="0"/>
            <w:vAlign w:val="center"/>
          </w:tcPr>
          <w:p w14:paraId="43F4818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984" w:type="dxa"/>
            <w:noWrap w:val="0"/>
            <w:vAlign w:val="center"/>
          </w:tcPr>
          <w:p w14:paraId="3307833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1113" w:type="dxa"/>
            <w:noWrap w:val="0"/>
            <w:vAlign w:val="center"/>
          </w:tcPr>
          <w:p w14:paraId="5830A38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c>
          <w:tcPr>
            <w:tcW w:w="2725" w:type="dxa"/>
            <w:noWrap w:val="0"/>
            <w:vAlign w:val="center"/>
          </w:tcPr>
          <w:p w14:paraId="334930F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1"/>
                <w:sz w:val="21"/>
                <w:szCs w:val="21"/>
                <w:highlight w:val="none"/>
              </w:rPr>
            </w:pPr>
          </w:p>
        </w:tc>
      </w:tr>
    </w:tbl>
    <w:p w14:paraId="068B1D22">
      <w:pPr>
        <w:rPr>
          <w:rFonts w:hint="eastAsia" w:ascii="宋体" w:hAnsi="宋体" w:eastAsia="宋体" w:cs="宋体"/>
          <w:color w:val="auto"/>
          <w:highlight w:val="none"/>
        </w:rPr>
      </w:pPr>
    </w:p>
    <w:p w14:paraId="50988A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8E84187">
      <w:pPr>
        <w:spacing w:line="560" w:lineRule="exact"/>
        <w:rPr>
          <w:rFonts w:hint="eastAsia" w:ascii="宋体" w:hAnsi="宋体" w:eastAsia="宋体" w:cs="宋体"/>
          <w:b/>
          <w:bCs/>
          <w:color w:val="auto"/>
          <w:kern w:val="21"/>
          <w:sz w:val="22"/>
          <w:szCs w:val="22"/>
          <w:highlight w:val="none"/>
          <w:u w:val="none" w:color="000000"/>
          <w:lang w:val="zh-CN" w:eastAsia="zh-CN" w:bidi="ar-SA"/>
        </w:rPr>
      </w:pPr>
      <w:r>
        <w:rPr>
          <w:rFonts w:hint="eastAsia" w:ascii="宋体" w:hAnsi="宋体" w:eastAsia="宋体" w:cs="宋体"/>
          <w:b/>
          <w:bCs/>
          <w:color w:val="auto"/>
          <w:kern w:val="21"/>
          <w:sz w:val="22"/>
          <w:szCs w:val="22"/>
          <w:highlight w:val="none"/>
          <w:u w:val="none" w:color="000000"/>
          <w:lang w:val="zh-CN" w:eastAsia="zh-CN" w:bidi="ar-SA"/>
        </w:rPr>
        <w:t>2、近年完成</w:t>
      </w:r>
      <w:r>
        <w:rPr>
          <w:rFonts w:hint="eastAsia" w:ascii="宋体" w:hAnsi="宋体" w:cs="宋体"/>
          <w:b/>
          <w:bCs/>
          <w:color w:val="auto"/>
          <w:kern w:val="21"/>
          <w:sz w:val="22"/>
          <w:szCs w:val="22"/>
          <w:highlight w:val="none"/>
          <w:u w:val="none" w:color="000000"/>
          <w:lang w:val="en-US" w:eastAsia="zh-CN" w:bidi="ar-SA"/>
        </w:rPr>
        <w:t>类似</w:t>
      </w:r>
      <w:r>
        <w:rPr>
          <w:rFonts w:hint="eastAsia" w:ascii="宋体" w:hAnsi="宋体" w:eastAsia="宋体" w:cs="宋体"/>
          <w:b/>
          <w:bCs/>
          <w:color w:val="auto"/>
          <w:kern w:val="21"/>
          <w:sz w:val="22"/>
          <w:szCs w:val="22"/>
          <w:highlight w:val="none"/>
          <w:u w:val="none" w:color="000000"/>
          <w:lang w:val="zh-CN" w:eastAsia="zh-CN" w:bidi="ar-SA"/>
        </w:rPr>
        <w:t>项目业绩（根据评标办法要求，格式自拟）</w:t>
      </w:r>
    </w:p>
    <w:p w14:paraId="2B2DC022">
      <w:pPr>
        <w:pStyle w:val="4"/>
        <w:pageBreakBefore w:val="0"/>
        <w:widowControl/>
        <w:kinsoku/>
        <w:wordWrap/>
        <w:overflowPunct/>
        <w:topLinePunct w:val="0"/>
        <w:autoSpaceDE/>
        <w:autoSpaceDN/>
        <w:bidi w:val="0"/>
        <w:adjustRightInd/>
        <w:snapToGrid/>
        <w:spacing w:line="360" w:lineRule="auto"/>
        <w:ind w:firstLine="442" w:firstLineChars="200"/>
        <w:jc w:val="left"/>
        <w:textAlignment w:val="baseline"/>
        <w:outlineLvl w:val="1"/>
        <w:rPr>
          <w:rFonts w:hint="eastAsia" w:ascii="宋体" w:hAnsi="宋体" w:eastAsia="宋体" w:cs="宋体"/>
          <w:color w:val="auto"/>
          <w:kern w:val="21"/>
          <w:sz w:val="22"/>
          <w:szCs w:val="22"/>
          <w:highlight w:val="none"/>
          <w:lang w:val="en-US" w:eastAsia="zh-CN"/>
        </w:rPr>
      </w:pPr>
    </w:p>
    <w:p w14:paraId="7BB75A85">
      <w:pPr>
        <w:pStyle w:val="4"/>
        <w:pageBreakBefore w:val="0"/>
        <w:widowControl/>
        <w:kinsoku/>
        <w:wordWrap/>
        <w:overflowPunct/>
        <w:topLinePunct w:val="0"/>
        <w:autoSpaceDE/>
        <w:autoSpaceDN/>
        <w:bidi w:val="0"/>
        <w:adjustRightInd/>
        <w:snapToGrid/>
        <w:spacing w:line="360" w:lineRule="auto"/>
        <w:ind w:firstLine="442" w:firstLineChars="200"/>
        <w:jc w:val="left"/>
        <w:textAlignment w:val="baseline"/>
        <w:outlineLvl w:val="1"/>
        <w:rPr>
          <w:rFonts w:hint="eastAsia" w:ascii="宋体" w:hAnsi="宋体" w:eastAsia="宋体" w:cs="宋体"/>
          <w:color w:val="auto"/>
          <w:kern w:val="21"/>
          <w:sz w:val="22"/>
          <w:szCs w:val="22"/>
          <w:highlight w:val="none"/>
          <w:lang w:val="en-US" w:eastAsia="zh-CN"/>
        </w:rPr>
      </w:pPr>
    </w:p>
    <w:p w14:paraId="43867FF7">
      <w:pPr>
        <w:pStyle w:val="4"/>
        <w:pageBreakBefore w:val="0"/>
        <w:widowControl/>
        <w:kinsoku/>
        <w:wordWrap/>
        <w:overflowPunct/>
        <w:topLinePunct w:val="0"/>
        <w:autoSpaceDE/>
        <w:autoSpaceDN/>
        <w:bidi w:val="0"/>
        <w:adjustRightInd/>
        <w:snapToGrid/>
        <w:spacing w:line="360" w:lineRule="auto"/>
        <w:ind w:firstLine="442" w:firstLineChars="200"/>
        <w:jc w:val="left"/>
        <w:textAlignment w:val="baseline"/>
        <w:outlineLvl w:val="1"/>
        <w:rPr>
          <w:rFonts w:hint="eastAsia" w:ascii="宋体" w:hAnsi="宋体" w:eastAsia="宋体" w:cs="宋体"/>
          <w:color w:val="auto"/>
          <w:kern w:val="21"/>
          <w:sz w:val="22"/>
          <w:szCs w:val="22"/>
          <w:highlight w:val="none"/>
          <w:lang w:val="en-US" w:eastAsia="zh-CN"/>
        </w:rPr>
      </w:pPr>
    </w:p>
    <w:p w14:paraId="471EB727">
      <w:pPr>
        <w:rPr>
          <w:rFonts w:hint="eastAsia" w:ascii="宋体" w:hAnsi="宋体" w:eastAsia="宋体" w:cs="宋体"/>
          <w:color w:val="auto"/>
          <w:kern w:val="21"/>
          <w:sz w:val="22"/>
          <w:szCs w:val="22"/>
          <w:highlight w:val="none"/>
          <w:lang w:val="en-US" w:eastAsia="zh-CN"/>
        </w:rPr>
      </w:pPr>
    </w:p>
    <w:p w14:paraId="53398991">
      <w:pPr>
        <w:pStyle w:val="9"/>
        <w:rPr>
          <w:rFonts w:hint="eastAsia" w:ascii="宋体" w:hAnsi="宋体" w:eastAsia="宋体" w:cs="宋体"/>
          <w:color w:val="auto"/>
          <w:kern w:val="21"/>
          <w:sz w:val="22"/>
          <w:szCs w:val="22"/>
          <w:highlight w:val="none"/>
          <w:lang w:val="en-US" w:eastAsia="zh-CN"/>
        </w:rPr>
      </w:pPr>
    </w:p>
    <w:p w14:paraId="7393187E">
      <w:pPr>
        <w:rPr>
          <w:rFonts w:hint="eastAsia" w:ascii="宋体" w:hAnsi="宋体" w:eastAsia="宋体" w:cs="宋体"/>
          <w:color w:val="auto"/>
          <w:kern w:val="21"/>
          <w:sz w:val="22"/>
          <w:szCs w:val="22"/>
          <w:highlight w:val="none"/>
          <w:lang w:val="en-US" w:eastAsia="zh-CN"/>
        </w:rPr>
      </w:pPr>
    </w:p>
    <w:p w14:paraId="174DD53C">
      <w:pPr>
        <w:pStyle w:val="9"/>
        <w:rPr>
          <w:rFonts w:hint="eastAsia" w:ascii="宋体" w:hAnsi="宋体" w:eastAsia="宋体" w:cs="宋体"/>
          <w:color w:val="auto"/>
          <w:kern w:val="21"/>
          <w:sz w:val="22"/>
          <w:szCs w:val="22"/>
          <w:highlight w:val="none"/>
          <w:lang w:val="en-US" w:eastAsia="zh-CN"/>
        </w:rPr>
      </w:pPr>
    </w:p>
    <w:p w14:paraId="042C8E05">
      <w:pPr>
        <w:rPr>
          <w:rFonts w:hint="eastAsia" w:ascii="宋体" w:hAnsi="宋体" w:eastAsia="宋体" w:cs="宋体"/>
          <w:color w:val="auto"/>
          <w:kern w:val="21"/>
          <w:sz w:val="22"/>
          <w:szCs w:val="22"/>
          <w:highlight w:val="none"/>
          <w:lang w:val="en-US" w:eastAsia="zh-CN"/>
        </w:rPr>
      </w:pPr>
    </w:p>
    <w:p w14:paraId="47161EEA">
      <w:pPr>
        <w:pStyle w:val="9"/>
        <w:rPr>
          <w:rFonts w:hint="eastAsia" w:ascii="宋体" w:hAnsi="宋体" w:eastAsia="宋体" w:cs="宋体"/>
          <w:color w:val="auto"/>
          <w:kern w:val="21"/>
          <w:sz w:val="22"/>
          <w:szCs w:val="22"/>
          <w:highlight w:val="none"/>
          <w:lang w:val="en-US" w:eastAsia="zh-CN"/>
        </w:rPr>
      </w:pPr>
    </w:p>
    <w:p w14:paraId="7202CDBF">
      <w:pPr>
        <w:rPr>
          <w:rFonts w:hint="eastAsia"/>
          <w:color w:val="auto"/>
          <w:highlight w:val="none"/>
          <w:lang w:val="en-US" w:eastAsia="zh-CN"/>
        </w:rPr>
      </w:pPr>
      <w:r>
        <w:rPr>
          <w:rFonts w:hint="eastAsia" w:ascii="宋体" w:hAnsi="宋体" w:eastAsia="宋体" w:cs="宋体"/>
          <w:color w:val="auto"/>
          <w:kern w:val="21"/>
          <w:sz w:val="22"/>
          <w:szCs w:val="22"/>
          <w:highlight w:val="none"/>
          <w:lang w:val="en-US" w:eastAsia="zh-CN"/>
        </w:rPr>
        <w:br w:type="page"/>
      </w:r>
    </w:p>
    <w:p w14:paraId="6D6F44EC">
      <w:pPr>
        <w:pStyle w:val="3"/>
        <w:outlineLvl w:val="0"/>
        <w:rPr>
          <w:rFonts w:hint="default" w:ascii="宋体" w:hAnsi="宋体" w:eastAsia="宋体" w:cs="宋体"/>
          <w:color w:val="auto"/>
          <w:kern w:val="21"/>
          <w:szCs w:val="22"/>
          <w:highlight w:val="none"/>
          <w:lang w:val="en-US" w:eastAsia="zh-CN"/>
        </w:rPr>
      </w:pPr>
      <w:r>
        <w:rPr>
          <w:rFonts w:hint="eastAsia" w:ascii="宋体" w:hAnsi="宋体" w:eastAsia="宋体" w:cs="宋体"/>
          <w:color w:val="auto"/>
          <w:kern w:val="21"/>
          <w:szCs w:val="22"/>
          <w:highlight w:val="none"/>
          <w:lang w:val="en-US" w:eastAsia="zh-CN"/>
        </w:rPr>
        <w:t>三、资格部分</w:t>
      </w:r>
    </w:p>
    <w:p w14:paraId="7915318F">
      <w:pPr>
        <w:pageBreakBefore w:val="0"/>
        <w:widowControl/>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u w:color="000000"/>
          <w:lang w:val="en-US" w:eastAsia="zh-CN" w:bidi="ar-SA"/>
        </w:rPr>
        <w:t>1</w:t>
      </w:r>
      <w:r>
        <w:rPr>
          <w:rFonts w:hint="eastAsia" w:ascii="宋体" w:hAnsi="宋体" w:eastAsia="宋体" w:cs="宋体"/>
          <w:b/>
          <w:bCs/>
          <w:color w:val="auto"/>
          <w:sz w:val="22"/>
          <w:szCs w:val="22"/>
          <w:highlight w:val="none"/>
          <w:u w:color="000000"/>
          <w:lang w:val="en-US" w:eastAsia="zh-CN" w:bidi="ar-SA"/>
        </w:rPr>
        <w:t>、</w:t>
      </w:r>
      <w:r>
        <w:rPr>
          <w:rFonts w:hint="eastAsia" w:ascii="宋体" w:hAnsi="宋体" w:eastAsia="宋体" w:cs="宋体"/>
          <w:b/>
          <w:bCs/>
          <w:color w:val="auto"/>
          <w:sz w:val="22"/>
          <w:szCs w:val="22"/>
          <w:highlight w:val="none"/>
          <w:lang w:val="en-US" w:eastAsia="zh-CN"/>
        </w:rPr>
        <w:t>资质文件</w:t>
      </w:r>
    </w:p>
    <w:p w14:paraId="6D8369A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lang w:val="en-US" w:eastAsia="zh-CN"/>
        </w:rPr>
        <w:t>1.</w:t>
      </w:r>
      <w:r>
        <w:rPr>
          <w:rFonts w:hint="eastAsia"/>
          <w:color w:val="auto"/>
          <w:highlight w:val="none"/>
        </w:rPr>
        <w:t>1.满足《中华人民共和国政府采购法》第二十二条规定;</w:t>
      </w:r>
    </w:p>
    <w:p w14:paraId="35CEDE6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lang w:val="en-US" w:eastAsia="zh-CN"/>
        </w:rPr>
        <w:t>1.</w:t>
      </w:r>
      <w:r>
        <w:rPr>
          <w:rFonts w:hint="eastAsia"/>
          <w:color w:val="auto"/>
          <w:highlight w:val="none"/>
        </w:rPr>
        <w:t>2.落实政府采购政策需满足的资格要求：</w:t>
      </w:r>
    </w:p>
    <w:p w14:paraId="52D9074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合同包1(彬州市2025年水肥精准调控展示项目)落实政府采购政策需满足的资格要求如下:</w:t>
      </w:r>
    </w:p>
    <w:p w14:paraId="08ABE2F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本项目专门面向中小企业采购。</w:t>
      </w:r>
    </w:p>
    <w:p w14:paraId="775219E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lang w:val="en-US" w:eastAsia="zh-CN"/>
        </w:rPr>
        <w:t>1.</w:t>
      </w:r>
      <w:r>
        <w:rPr>
          <w:rFonts w:hint="eastAsia"/>
          <w:color w:val="auto"/>
          <w:highlight w:val="none"/>
        </w:rPr>
        <w:t>3.本项目的特定资格要求：</w:t>
      </w:r>
    </w:p>
    <w:p w14:paraId="6A99992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合同包1(彬州市2025年水肥精准调控展示项目)特定资格要求如下:</w:t>
      </w:r>
    </w:p>
    <w:p w14:paraId="2D59D17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1）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r>
        <w:rPr>
          <w:rFonts w:hint="eastAsia"/>
          <w:color w:val="auto"/>
          <w:highlight w:val="none"/>
        </w:rPr>
        <w:br w:type="textWrapping"/>
      </w:r>
      <w:r>
        <w:rPr>
          <w:rFonts w:hint="eastAsia"/>
          <w:color w:val="auto"/>
          <w:highlight w:val="none"/>
          <w:lang w:val="en-US" w:eastAsia="zh-CN"/>
        </w:rPr>
        <w:t xml:space="preserve">    </w:t>
      </w:r>
      <w:r>
        <w:rPr>
          <w:rFonts w:hint="eastAsia"/>
          <w:color w:val="auto"/>
          <w:highlight w:val="none"/>
        </w:rPr>
        <w:t>（2）供应商须具备水利水电工程施工总承包三级(含三级)及以上资质，具有有效的安全生产许可证；</w:t>
      </w:r>
      <w:r>
        <w:rPr>
          <w:rFonts w:hint="eastAsia"/>
          <w:color w:val="auto"/>
          <w:highlight w:val="none"/>
        </w:rPr>
        <w:br w:type="textWrapping"/>
      </w:r>
      <w:r>
        <w:rPr>
          <w:rFonts w:hint="eastAsia"/>
          <w:color w:val="auto"/>
          <w:highlight w:val="none"/>
          <w:lang w:val="en-US" w:eastAsia="zh-CN"/>
        </w:rPr>
        <w:t xml:space="preserve">    </w:t>
      </w:r>
      <w:r>
        <w:rPr>
          <w:rFonts w:hint="eastAsia"/>
          <w:color w:val="auto"/>
          <w:highlight w:val="none"/>
        </w:rPr>
        <w:t>（3）拟派项目经理须具备水利水电工程专业二级及以上注册建造师资格，并具备有效的安全生产考核合格证书，在本单位注册，无在建项目；</w:t>
      </w:r>
      <w:r>
        <w:rPr>
          <w:rFonts w:hint="eastAsia"/>
          <w:color w:val="auto"/>
          <w:highlight w:val="none"/>
        </w:rPr>
        <w:br w:type="textWrapping"/>
      </w:r>
      <w:r>
        <w:rPr>
          <w:rFonts w:hint="eastAsia"/>
          <w:color w:val="auto"/>
          <w:highlight w:val="none"/>
          <w:lang w:val="en-US" w:eastAsia="zh-CN"/>
        </w:rPr>
        <w:t xml:space="preserve">    </w:t>
      </w:r>
      <w:r>
        <w:rPr>
          <w:rFonts w:hint="eastAsia"/>
          <w:color w:val="auto"/>
          <w:highlight w:val="none"/>
        </w:rPr>
        <w:t>（4）供应商基本信息要求：供应商资质基本信息及项目经理（注册建造师）执业基本信息应在“陕西省住房和城乡建设厅（http://js.shaanxi.gov.cn/）”相关平台可查询；</w:t>
      </w:r>
      <w:r>
        <w:rPr>
          <w:rFonts w:hint="eastAsia"/>
          <w:color w:val="auto"/>
          <w:highlight w:val="none"/>
        </w:rPr>
        <w:br w:type="textWrapping"/>
      </w:r>
      <w:r>
        <w:rPr>
          <w:rFonts w:hint="eastAsia"/>
          <w:color w:val="auto"/>
          <w:highlight w:val="none"/>
          <w:lang w:val="en-US" w:eastAsia="zh-CN"/>
        </w:rPr>
        <w:t xml:space="preserve">    </w:t>
      </w:r>
      <w:r>
        <w:rPr>
          <w:rFonts w:hint="eastAsia"/>
          <w:color w:val="auto"/>
          <w:highlight w:val="none"/>
        </w:rPr>
        <w:t>（5）提供2024年度经审计的财务报告，或提交自2025年06月01日以来其基本开户银行出具的资信证明，或信用担保机构出具的投标担保函（以上三种形式的资料提供任何一种即可）；其他组织和自然人提供银行出具的资信证明或财务报表；</w:t>
      </w:r>
      <w:r>
        <w:rPr>
          <w:rFonts w:hint="eastAsia"/>
          <w:color w:val="auto"/>
          <w:highlight w:val="none"/>
        </w:rPr>
        <w:br w:type="textWrapping"/>
      </w:r>
      <w:r>
        <w:rPr>
          <w:rFonts w:hint="eastAsia"/>
          <w:color w:val="auto"/>
          <w:highlight w:val="none"/>
          <w:lang w:val="en-US" w:eastAsia="zh-CN"/>
        </w:rPr>
        <w:t xml:space="preserve">    </w:t>
      </w:r>
      <w:r>
        <w:rPr>
          <w:rFonts w:hint="eastAsia"/>
          <w:color w:val="auto"/>
          <w:highlight w:val="none"/>
        </w:rPr>
        <w:t>（6）提供供应商2025年至今任意一个月已缴纳的完税凭证或税务机关开具的完税证明（任意税种），依法免税的单位应提供相关证明材料；</w:t>
      </w:r>
      <w:r>
        <w:rPr>
          <w:rFonts w:hint="eastAsia"/>
          <w:color w:val="auto"/>
          <w:highlight w:val="none"/>
        </w:rPr>
        <w:br w:type="textWrapping"/>
      </w:r>
      <w:r>
        <w:rPr>
          <w:rFonts w:hint="eastAsia"/>
          <w:color w:val="auto"/>
          <w:highlight w:val="none"/>
          <w:lang w:val="en-US" w:eastAsia="zh-CN"/>
        </w:rPr>
        <w:t xml:space="preserve">    </w:t>
      </w:r>
      <w:r>
        <w:rPr>
          <w:rFonts w:hint="eastAsia"/>
          <w:color w:val="auto"/>
          <w:highlight w:val="none"/>
        </w:rPr>
        <w:t>（7）提供供应商2025年至今任意一个月的社会保障资金缴存单据或社保机构开具的社会保险参保缴费情况证明。依法不需要缴纳社会保障资金的供应商应提供相关证明文件；</w:t>
      </w:r>
      <w:r>
        <w:rPr>
          <w:rFonts w:hint="eastAsia"/>
          <w:color w:val="auto"/>
          <w:highlight w:val="none"/>
        </w:rPr>
        <w:br w:type="textWrapping"/>
      </w:r>
      <w:r>
        <w:rPr>
          <w:rFonts w:hint="eastAsia"/>
          <w:color w:val="auto"/>
          <w:highlight w:val="none"/>
          <w:lang w:val="en-US" w:eastAsia="zh-CN"/>
        </w:rPr>
        <w:t xml:space="preserve">    </w:t>
      </w:r>
      <w:r>
        <w:rPr>
          <w:rFonts w:hint="eastAsia"/>
          <w:color w:val="auto"/>
          <w:highlight w:val="none"/>
        </w:rPr>
        <w:t>（8）提供具有履行本合同所必需的设备和专业技术能力的声明；</w:t>
      </w:r>
      <w:r>
        <w:rPr>
          <w:rFonts w:hint="eastAsia"/>
          <w:color w:val="auto"/>
          <w:highlight w:val="none"/>
        </w:rPr>
        <w:br w:type="textWrapping"/>
      </w:r>
      <w:r>
        <w:rPr>
          <w:rFonts w:hint="eastAsia"/>
          <w:color w:val="auto"/>
          <w:highlight w:val="none"/>
          <w:lang w:val="en-US" w:eastAsia="zh-CN"/>
        </w:rPr>
        <w:t xml:space="preserve">    </w:t>
      </w:r>
      <w:r>
        <w:rPr>
          <w:rFonts w:hint="eastAsia"/>
          <w:color w:val="auto"/>
          <w:highlight w:val="none"/>
        </w:rPr>
        <w:t>（9）出具参加政府采购活动前3年内在经营活动中没有重大违法记录的书面声明；</w:t>
      </w:r>
      <w:r>
        <w:rPr>
          <w:rFonts w:hint="eastAsia"/>
          <w:color w:val="auto"/>
          <w:highlight w:val="none"/>
        </w:rPr>
        <w:br w:type="textWrapping"/>
      </w:r>
      <w:r>
        <w:rPr>
          <w:rFonts w:hint="eastAsia"/>
          <w:color w:val="auto"/>
          <w:highlight w:val="none"/>
          <w:lang w:val="en-US" w:eastAsia="zh-CN"/>
        </w:rPr>
        <w:t xml:space="preserve">   </w:t>
      </w:r>
      <w:r>
        <w:rPr>
          <w:rFonts w:hint="eastAsia"/>
          <w:color w:val="auto"/>
          <w:highlight w:val="none"/>
        </w:rPr>
        <w:t>（10）法定代表人授权书及被授权人身份证(法定代表人直接参加投标，须提交其身份证复印件及法定代表人身份证明)；</w:t>
      </w:r>
      <w:r>
        <w:rPr>
          <w:rFonts w:hint="eastAsia"/>
          <w:color w:val="auto"/>
          <w:highlight w:val="none"/>
        </w:rPr>
        <w:br w:type="textWrapping"/>
      </w:r>
      <w:r>
        <w:rPr>
          <w:rFonts w:hint="eastAsia"/>
          <w:color w:val="auto"/>
          <w:highlight w:val="none"/>
          <w:lang w:val="en-US" w:eastAsia="zh-CN"/>
        </w:rPr>
        <w:t xml:space="preserve">   </w:t>
      </w:r>
      <w:r>
        <w:rPr>
          <w:rFonts w:hint="eastAsia"/>
          <w:color w:val="auto"/>
          <w:highlight w:val="none"/>
        </w:rPr>
        <w:t>（11）供应商不得为“信用中国”网站(www.creditchina.gov.cn) 中列入重大税收违法失信主体、供应商不得为中国执行信息公开网（http://zxgk.court.gov.cn/shixin/）中列入失信被执行人名单、不得为“中国政府采购网”（www.ccgp.gov.cn）政府采购严重违法失信行为记录名单中被财政部门禁止参加政府采购活动的供应商（处罚期限届满的除外，如相关失信记录已失效，供应商需提供相关证明资料）；</w:t>
      </w:r>
      <w:r>
        <w:rPr>
          <w:rFonts w:hint="eastAsia"/>
          <w:color w:val="auto"/>
          <w:highlight w:val="none"/>
        </w:rPr>
        <w:br w:type="textWrapping"/>
      </w:r>
      <w:r>
        <w:rPr>
          <w:rFonts w:hint="eastAsia"/>
          <w:color w:val="auto"/>
          <w:highlight w:val="none"/>
          <w:lang w:val="en-US" w:eastAsia="zh-CN"/>
        </w:rPr>
        <w:t xml:space="preserve">   </w:t>
      </w:r>
      <w:r>
        <w:rPr>
          <w:rFonts w:hint="eastAsia"/>
          <w:color w:val="auto"/>
          <w:highlight w:val="none"/>
        </w:rPr>
        <w:t>（12）本项目不接受联合体投标。</w:t>
      </w:r>
    </w:p>
    <w:p w14:paraId="780547A7">
      <w:pPr>
        <w:pageBreakBefore w:val="0"/>
        <w:widowControl/>
        <w:numPr>
          <w:ilvl w:val="0"/>
          <w:numId w:val="0"/>
        </w:numPr>
        <w:kinsoku/>
        <w:wordWrap/>
        <w:overflowPunct/>
        <w:topLinePunct w:val="0"/>
        <w:autoSpaceDE/>
        <w:autoSpaceDN/>
        <w:bidi w:val="0"/>
        <w:adjustRightInd/>
        <w:snapToGrid/>
        <w:spacing w:line="360" w:lineRule="exact"/>
        <w:textAlignment w:val="baseline"/>
        <w:rPr>
          <w:rFonts w:hint="eastAsia" w:ascii="宋体" w:hAnsi="宋体" w:cs="宋体"/>
          <w:b/>
          <w:bCs/>
          <w:color w:val="auto"/>
          <w:sz w:val="22"/>
          <w:szCs w:val="22"/>
          <w:highlight w:val="none"/>
          <w:u w:color="000000"/>
          <w:lang w:val="en-US" w:eastAsia="zh-CN" w:bidi="ar-SA"/>
        </w:rPr>
      </w:pPr>
      <w:r>
        <w:rPr>
          <w:rFonts w:hint="eastAsia" w:ascii="宋体" w:hAnsi="宋体" w:cs="宋体"/>
          <w:b/>
          <w:bCs/>
          <w:color w:val="auto"/>
          <w:sz w:val="22"/>
          <w:szCs w:val="22"/>
          <w:highlight w:val="none"/>
          <w:u w:color="000000"/>
          <w:lang w:val="en-US" w:eastAsia="zh-CN" w:bidi="ar-SA"/>
        </w:rPr>
        <w:t>2、其他证明材料</w:t>
      </w:r>
    </w:p>
    <w:p w14:paraId="7D20E344">
      <w:pPr>
        <w:keepNext w:val="0"/>
        <w:keepLines w:val="0"/>
        <w:pageBreakBefore w:val="0"/>
        <w:widowControl/>
        <w:kinsoku/>
        <w:wordWrap/>
        <w:overflowPunct/>
        <w:topLinePunct w:val="0"/>
        <w:autoSpaceDE/>
        <w:autoSpaceDN/>
        <w:bidi w:val="0"/>
        <w:adjustRightInd/>
        <w:snapToGrid/>
        <w:spacing w:line="400" w:lineRule="exact"/>
        <w:textAlignment w:val="baseline"/>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注：格式由</w:t>
      </w:r>
      <w:r>
        <w:rPr>
          <w:rFonts w:hint="eastAsia" w:ascii="宋体" w:hAnsi="宋体" w:eastAsia="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自行拟定</w:t>
      </w:r>
      <w:bookmarkStart w:id="230" w:name="_Toc30526"/>
      <w:bookmarkStart w:id="231" w:name="_Toc11070"/>
      <w:bookmarkStart w:id="232" w:name="_Toc5997"/>
      <w:r>
        <w:rPr>
          <w:rFonts w:hint="eastAsia" w:ascii="宋体" w:hAnsi="宋体" w:cs="宋体"/>
          <w:b/>
          <w:bCs/>
          <w:color w:val="auto"/>
          <w:sz w:val="22"/>
          <w:szCs w:val="22"/>
          <w:highlight w:val="none"/>
          <w:lang w:eastAsia="zh-CN"/>
        </w:rPr>
        <w:t>。</w:t>
      </w:r>
    </w:p>
    <w:p w14:paraId="13B4E1BF">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1401CCBA">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6509B0F5">
      <w:pP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br w:type="page"/>
      </w:r>
    </w:p>
    <w:p w14:paraId="5FCB7F88">
      <w:pPr>
        <w:autoSpaceDE w:val="0"/>
        <w:autoSpaceDN w:val="0"/>
        <w:adjustRightIn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zh-CN"/>
        </w:rPr>
        <w:t>供应商承诺书</w:t>
      </w:r>
    </w:p>
    <w:p w14:paraId="14F0409D">
      <w:pPr>
        <w:keepNext w:val="0"/>
        <w:keepLines w:val="0"/>
        <w:pageBreakBefore w:val="0"/>
        <w:widowControl/>
        <w:kinsoku/>
        <w:wordWrap/>
        <w:overflowPunct/>
        <w:topLinePunct w:val="0"/>
        <w:autoSpaceDE/>
        <w:autoSpaceDN/>
        <w:bidi w:val="0"/>
        <w:snapToGrid/>
        <w:spacing w:line="480" w:lineRule="exact"/>
        <w:textAlignment w:val="baseline"/>
        <w:rPr>
          <w:rFonts w:hint="eastAsia" w:ascii="宋体" w:hAnsi="宋体" w:eastAsia="宋体" w:cs="宋体"/>
          <w:color w:val="auto"/>
          <w:kern w:val="21"/>
          <w:szCs w:val="21"/>
          <w:highlight w:val="none"/>
          <w:lang w:val="zh-CN"/>
        </w:rPr>
      </w:pPr>
      <w:r>
        <w:rPr>
          <w:rFonts w:hint="eastAsia" w:ascii="宋体" w:hAnsi="宋体" w:eastAsia="宋体" w:cs="宋体"/>
          <w:color w:val="auto"/>
          <w:kern w:val="21"/>
          <w:szCs w:val="21"/>
          <w:highlight w:val="none"/>
          <w:u w:val="single" w:color="auto"/>
          <w:lang w:val="zh-CN"/>
        </w:rPr>
        <w:t xml:space="preserve">  </w:t>
      </w:r>
      <w:r>
        <w:rPr>
          <w:rFonts w:hint="eastAsia" w:ascii="宋体" w:hAnsi="宋体" w:cs="宋体"/>
          <w:color w:val="auto"/>
          <w:kern w:val="21"/>
          <w:szCs w:val="21"/>
          <w:highlight w:val="none"/>
          <w:u w:val="single" w:color="auto"/>
          <w:lang w:val="en-US" w:eastAsia="zh-CN"/>
        </w:rPr>
        <w:t xml:space="preserve">       </w:t>
      </w:r>
      <w:r>
        <w:rPr>
          <w:rFonts w:hint="eastAsia" w:ascii="宋体" w:hAnsi="宋体" w:eastAsia="宋体" w:cs="宋体"/>
          <w:color w:val="auto"/>
          <w:kern w:val="21"/>
          <w:szCs w:val="21"/>
          <w:highlight w:val="none"/>
          <w:u w:val="single" w:color="auto"/>
          <w:lang w:val="zh-CN"/>
        </w:rPr>
        <w:t>（采购人名称）</w:t>
      </w:r>
      <w:r>
        <w:rPr>
          <w:rFonts w:hint="eastAsia" w:ascii="宋体" w:hAnsi="宋体" w:eastAsia="宋体" w:cs="宋体"/>
          <w:color w:val="auto"/>
          <w:kern w:val="21"/>
          <w:szCs w:val="21"/>
          <w:highlight w:val="none"/>
          <w:lang w:val="zh-CN"/>
        </w:rPr>
        <w:t>：</w:t>
      </w:r>
    </w:p>
    <w:p w14:paraId="0A3C137D">
      <w:pPr>
        <w:keepNext w:val="0"/>
        <w:keepLines w:val="0"/>
        <w:pageBreakBefore w:val="0"/>
        <w:widowControl/>
        <w:kinsoku/>
        <w:wordWrap/>
        <w:overflowPunct/>
        <w:topLinePunct w:val="0"/>
        <w:autoSpaceDE/>
        <w:autoSpaceDN/>
        <w:bidi w:val="0"/>
        <w:snapToGrid/>
        <w:spacing w:line="480" w:lineRule="exact"/>
        <w:ind w:firstLine="403" w:firstLineChars="192"/>
        <w:textAlignment w:val="baseline"/>
        <w:rPr>
          <w:rFonts w:hint="eastAsia" w:ascii="宋体" w:hAnsi="宋体" w:eastAsia="宋体" w:cs="宋体"/>
          <w:color w:val="auto"/>
          <w:kern w:val="21"/>
          <w:szCs w:val="21"/>
          <w:highlight w:val="none"/>
          <w:lang w:val="zh-CN"/>
        </w:rPr>
      </w:pPr>
      <w:r>
        <w:rPr>
          <w:rFonts w:hint="eastAsia" w:ascii="宋体" w:hAnsi="宋体" w:eastAsia="宋体" w:cs="宋体"/>
          <w:color w:val="auto"/>
          <w:kern w:val="21"/>
          <w:szCs w:val="21"/>
          <w:highlight w:val="none"/>
          <w:lang w:val="zh-CN"/>
        </w:rPr>
        <w:t>作为参加</w:t>
      </w:r>
      <w:r>
        <w:rPr>
          <w:rFonts w:hint="eastAsia" w:ascii="宋体" w:hAnsi="宋体" w:cs="宋体"/>
          <w:color w:val="auto"/>
          <w:highlight w:val="none"/>
          <w:lang w:val="en-US" w:eastAsia="zh-CN"/>
        </w:rPr>
        <w:t xml:space="preserve"> </w:t>
      </w:r>
      <w:r>
        <w:rPr>
          <w:rFonts w:hint="eastAsia" w:ascii="宋体" w:hAnsi="宋体" w:cs="宋体"/>
          <w:color w:val="auto"/>
          <w:highlight w:val="none"/>
          <w:u w:val="single" w:color="auto"/>
          <w:lang w:val="en-US" w:eastAsia="zh-CN"/>
        </w:rPr>
        <w:t xml:space="preserve">               (项目名称) </w:t>
      </w:r>
      <w:r>
        <w:rPr>
          <w:rFonts w:hint="eastAsia" w:ascii="宋体" w:hAnsi="宋体" w:eastAsia="宋体" w:cs="宋体"/>
          <w:color w:val="auto"/>
          <w:kern w:val="21"/>
          <w:szCs w:val="21"/>
          <w:highlight w:val="none"/>
          <w:lang w:val="zh-CN"/>
        </w:rPr>
        <w:t>的供应商，本公司郑重承诺：</w:t>
      </w:r>
    </w:p>
    <w:p w14:paraId="27E7C666">
      <w:pPr>
        <w:keepNext w:val="0"/>
        <w:keepLines w:val="0"/>
        <w:pageBreakBefore w:val="0"/>
        <w:widowControl/>
        <w:kinsoku/>
        <w:wordWrap/>
        <w:overflowPunct/>
        <w:topLinePunct w:val="0"/>
        <w:autoSpaceDE/>
        <w:autoSpaceDN/>
        <w:bidi w:val="0"/>
        <w:snapToGrid/>
        <w:spacing w:line="480" w:lineRule="exact"/>
        <w:ind w:firstLine="403" w:firstLineChars="192"/>
        <w:textAlignment w:val="baseline"/>
        <w:rPr>
          <w:rFonts w:hint="eastAsia" w:ascii="宋体" w:hAnsi="宋体" w:eastAsia="宋体" w:cs="宋体"/>
          <w:color w:val="auto"/>
          <w:kern w:val="21"/>
          <w:szCs w:val="21"/>
          <w:highlight w:val="none"/>
          <w:lang w:val="zh-CN"/>
        </w:rPr>
      </w:pPr>
      <w:r>
        <w:rPr>
          <w:rFonts w:hint="eastAsia" w:ascii="宋体" w:hAnsi="宋体" w:eastAsia="宋体" w:cs="宋体"/>
          <w:color w:val="auto"/>
          <w:kern w:val="21"/>
          <w:szCs w:val="21"/>
          <w:highlight w:val="none"/>
          <w:lang w:val="zh-CN"/>
        </w:rPr>
        <w:t>一、在参加本项目</w:t>
      </w:r>
      <w:r>
        <w:rPr>
          <w:rFonts w:hint="eastAsia" w:ascii="宋体" w:hAnsi="宋体" w:eastAsia="宋体" w:cs="宋体"/>
          <w:color w:val="auto"/>
          <w:kern w:val="21"/>
          <w:szCs w:val="21"/>
          <w:highlight w:val="none"/>
          <w:lang w:val="zh-CN" w:eastAsia="zh-CN"/>
        </w:rPr>
        <w:t>投标</w:t>
      </w:r>
      <w:r>
        <w:rPr>
          <w:rFonts w:hint="eastAsia" w:ascii="宋体" w:hAnsi="宋体" w:eastAsia="宋体" w:cs="宋体"/>
          <w:color w:val="auto"/>
          <w:kern w:val="21"/>
          <w:szCs w:val="21"/>
          <w:highlight w:val="none"/>
          <w:lang w:val="zh-CN"/>
        </w:rPr>
        <w:t>之前不存在被依法禁止经营行为、财产被接管或冻结的情况，如有隐瞒实情，愿承担一切责任及后果。</w:t>
      </w:r>
    </w:p>
    <w:p w14:paraId="7B4300F1">
      <w:pPr>
        <w:keepNext w:val="0"/>
        <w:keepLines w:val="0"/>
        <w:pageBreakBefore w:val="0"/>
        <w:widowControl/>
        <w:kinsoku/>
        <w:wordWrap/>
        <w:overflowPunct/>
        <w:topLinePunct w:val="0"/>
        <w:autoSpaceDE/>
        <w:autoSpaceDN/>
        <w:bidi w:val="0"/>
        <w:snapToGrid/>
        <w:spacing w:line="480" w:lineRule="exact"/>
        <w:ind w:firstLine="403" w:firstLineChars="192"/>
        <w:textAlignment w:val="baseline"/>
        <w:rPr>
          <w:rFonts w:hint="eastAsia" w:ascii="宋体" w:hAnsi="宋体" w:eastAsia="宋体" w:cs="宋体"/>
          <w:color w:val="auto"/>
          <w:kern w:val="21"/>
          <w:szCs w:val="21"/>
          <w:highlight w:val="none"/>
          <w:lang w:val="zh-CN"/>
        </w:rPr>
      </w:pPr>
      <w:r>
        <w:rPr>
          <w:rFonts w:hint="eastAsia" w:ascii="宋体" w:hAnsi="宋体" w:eastAsia="宋体" w:cs="宋体"/>
          <w:color w:val="auto"/>
          <w:kern w:val="21"/>
          <w:szCs w:val="21"/>
          <w:highlight w:val="none"/>
          <w:lang w:val="zh-CN"/>
        </w:rPr>
        <w:t>二、近三年受到有关行政主管部门的行政处理、不良行为记录为</w:t>
      </w:r>
      <w:r>
        <w:rPr>
          <w:rFonts w:hint="eastAsia" w:ascii="宋体" w:hAnsi="宋体" w:eastAsia="宋体" w:cs="宋体"/>
          <w:color w:val="auto"/>
          <w:kern w:val="21"/>
          <w:szCs w:val="21"/>
          <w:highlight w:val="none"/>
          <w:u w:val="single" w:color="auto"/>
          <w:lang w:val="zh-CN"/>
        </w:rPr>
        <w:t xml:space="preserve">    </w:t>
      </w:r>
      <w:r>
        <w:rPr>
          <w:rFonts w:hint="eastAsia" w:ascii="宋体" w:hAnsi="宋体" w:eastAsia="宋体" w:cs="宋体"/>
          <w:color w:val="auto"/>
          <w:kern w:val="21"/>
          <w:szCs w:val="21"/>
          <w:highlight w:val="none"/>
          <w:lang w:val="zh-CN"/>
        </w:rPr>
        <w:t>次（没有填零），如有隐瞒实情，愿承担一切责任及后果。</w:t>
      </w:r>
    </w:p>
    <w:p w14:paraId="59BEAC7B">
      <w:pPr>
        <w:keepNext w:val="0"/>
        <w:keepLines w:val="0"/>
        <w:pageBreakBefore w:val="0"/>
        <w:widowControl/>
        <w:kinsoku/>
        <w:wordWrap/>
        <w:overflowPunct/>
        <w:topLinePunct w:val="0"/>
        <w:autoSpaceDE/>
        <w:autoSpaceDN/>
        <w:bidi w:val="0"/>
        <w:snapToGrid/>
        <w:spacing w:line="480" w:lineRule="exact"/>
        <w:ind w:firstLine="403" w:firstLineChars="192"/>
        <w:textAlignment w:val="baseline"/>
        <w:rPr>
          <w:rFonts w:hint="eastAsia" w:ascii="宋体" w:hAnsi="宋体" w:eastAsia="宋体" w:cs="宋体"/>
          <w:color w:val="auto"/>
          <w:kern w:val="21"/>
          <w:szCs w:val="21"/>
          <w:highlight w:val="none"/>
          <w:lang w:val="zh-CN"/>
        </w:rPr>
      </w:pPr>
      <w:r>
        <w:rPr>
          <w:rFonts w:hint="eastAsia" w:ascii="宋体" w:hAnsi="宋体" w:eastAsia="宋体" w:cs="宋体"/>
          <w:color w:val="auto"/>
          <w:kern w:val="21"/>
          <w:szCs w:val="21"/>
          <w:highlight w:val="none"/>
          <w:lang w:val="zh-CN"/>
        </w:rPr>
        <w:t>三、参加本次投标提交的所有资质证明文件及业绩证明文件是真实的、有效的，如有隐瞒实情，愿承担一切责任及后果。</w:t>
      </w:r>
    </w:p>
    <w:p w14:paraId="006CAB7E">
      <w:pPr>
        <w:keepNext w:val="0"/>
        <w:keepLines w:val="0"/>
        <w:pageBreakBefore w:val="0"/>
        <w:widowControl/>
        <w:kinsoku/>
        <w:wordWrap/>
        <w:overflowPunct/>
        <w:topLinePunct w:val="0"/>
        <w:autoSpaceDE/>
        <w:autoSpaceDN/>
        <w:bidi w:val="0"/>
        <w:snapToGrid/>
        <w:spacing w:line="480" w:lineRule="exact"/>
        <w:ind w:firstLine="403" w:firstLineChars="192"/>
        <w:textAlignment w:val="baseline"/>
        <w:rPr>
          <w:rFonts w:hint="eastAsia" w:ascii="宋体" w:hAnsi="宋体" w:eastAsia="宋体" w:cs="宋体"/>
          <w:color w:val="auto"/>
          <w:kern w:val="21"/>
          <w:szCs w:val="21"/>
          <w:highlight w:val="none"/>
          <w:lang w:val="zh-CN"/>
        </w:rPr>
      </w:pPr>
      <w:r>
        <w:rPr>
          <w:rFonts w:hint="eastAsia" w:ascii="宋体" w:hAnsi="宋体" w:eastAsia="宋体" w:cs="宋体"/>
          <w:color w:val="auto"/>
          <w:kern w:val="21"/>
          <w:szCs w:val="21"/>
          <w:highlight w:val="none"/>
          <w:lang w:val="zh-CN"/>
        </w:rPr>
        <w:t>四、近三年因产品问题（水货、替代品、次品、翻新品等）的不法行为记录为</w:t>
      </w:r>
      <w:r>
        <w:rPr>
          <w:rFonts w:hint="eastAsia" w:ascii="宋体" w:hAnsi="宋体" w:eastAsia="宋体" w:cs="宋体"/>
          <w:color w:val="auto"/>
          <w:kern w:val="21"/>
          <w:szCs w:val="21"/>
          <w:highlight w:val="none"/>
          <w:u w:val="single" w:color="auto"/>
          <w:lang w:val="zh-CN"/>
        </w:rPr>
        <w:t xml:space="preserve">     </w:t>
      </w:r>
      <w:r>
        <w:rPr>
          <w:rFonts w:hint="eastAsia" w:ascii="宋体" w:hAnsi="宋体" w:eastAsia="宋体" w:cs="宋体"/>
          <w:color w:val="auto"/>
          <w:kern w:val="21"/>
          <w:szCs w:val="21"/>
          <w:highlight w:val="none"/>
          <w:lang w:val="zh-CN"/>
        </w:rPr>
        <w:t>次（没有填零），如有隐瞒实情，愿承担一切责任及后果。</w:t>
      </w:r>
    </w:p>
    <w:p w14:paraId="5E8EB1A7">
      <w:pPr>
        <w:keepNext w:val="0"/>
        <w:keepLines w:val="0"/>
        <w:pageBreakBefore w:val="0"/>
        <w:widowControl/>
        <w:kinsoku/>
        <w:wordWrap/>
        <w:overflowPunct/>
        <w:topLinePunct w:val="0"/>
        <w:autoSpaceDE/>
        <w:autoSpaceDN/>
        <w:bidi w:val="0"/>
        <w:snapToGrid/>
        <w:spacing w:line="480" w:lineRule="exact"/>
        <w:ind w:firstLine="403" w:firstLineChars="192"/>
        <w:textAlignment w:val="baseline"/>
        <w:rPr>
          <w:rFonts w:hint="eastAsia" w:ascii="宋体" w:hAnsi="宋体" w:eastAsia="宋体" w:cs="宋体"/>
          <w:color w:val="auto"/>
          <w:kern w:val="21"/>
          <w:szCs w:val="21"/>
          <w:highlight w:val="none"/>
          <w:lang w:val="zh-CN"/>
        </w:rPr>
      </w:pPr>
      <w:r>
        <w:rPr>
          <w:rFonts w:hint="eastAsia" w:ascii="宋体" w:hAnsi="宋体" w:eastAsia="宋体" w:cs="宋体"/>
          <w:color w:val="auto"/>
          <w:kern w:val="21"/>
          <w:szCs w:val="21"/>
          <w:highlight w:val="none"/>
          <w:lang w:val="zh-CN"/>
        </w:rPr>
        <w:t>五、成交后，在工程施工、结算、保修等各个环节上，不拖欠农民工工资。</w:t>
      </w:r>
    </w:p>
    <w:p w14:paraId="251E8D0F">
      <w:pPr>
        <w:keepNext w:val="0"/>
        <w:keepLines w:val="0"/>
        <w:pageBreakBefore w:val="0"/>
        <w:widowControl/>
        <w:kinsoku/>
        <w:wordWrap/>
        <w:overflowPunct/>
        <w:topLinePunct w:val="0"/>
        <w:autoSpaceDE/>
        <w:autoSpaceDN/>
        <w:bidi w:val="0"/>
        <w:snapToGrid/>
        <w:spacing w:line="480" w:lineRule="exact"/>
        <w:ind w:firstLine="403" w:firstLineChars="192"/>
        <w:textAlignment w:val="baseline"/>
        <w:rPr>
          <w:rFonts w:hint="eastAsia" w:ascii="宋体" w:hAnsi="宋体" w:eastAsia="宋体" w:cs="宋体"/>
          <w:color w:val="auto"/>
          <w:kern w:val="21"/>
          <w:szCs w:val="21"/>
          <w:highlight w:val="none"/>
          <w:lang w:val="zh-CN"/>
        </w:rPr>
      </w:pPr>
    </w:p>
    <w:p w14:paraId="11C25F85">
      <w:pPr>
        <w:keepNext w:val="0"/>
        <w:keepLines w:val="0"/>
        <w:pageBreakBefore w:val="0"/>
        <w:widowControl/>
        <w:kinsoku/>
        <w:wordWrap/>
        <w:overflowPunct/>
        <w:topLinePunct w:val="0"/>
        <w:bidi w:val="0"/>
        <w:snapToGrid/>
        <w:spacing w:line="480" w:lineRule="exact"/>
        <w:ind w:firstLine="1680" w:firstLineChars="800"/>
        <w:textAlignment w:val="baseline"/>
        <w:rPr>
          <w:rFonts w:hint="eastAsia" w:ascii="宋体" w:hAnsi="宋体" w:eastAsia="宋体" w:cs="宋体"/>
          <w:color w:val="auto"/>
          <w:szCs w:val="21"/>
          <w:highlight w:val="none"/>
        </w:rPr>
      </w:pPr>
    </w:p>
    <w:p w14:paraId="488D5667">
      <w:pPr>
        <w:keepNext w:val="0"/>
        <w:keepLines w:val="0"/>
        <w:pageBreakBefore w:val="0"/>
        <w:widowControl/>
        <w:kinsoku/>
        <w:wordWrap/>
        <w:overflowPunct/>
        <w:topLinePunct w:val="0"/>
        <w:bidi w:val="0"/>
        <w:snapToGrid/>
        <w:spacing w:line="480" w:lineRule="exact"/>
        <w:ind w:firstLine="1680" w:firstLineChars="800"/>
        <w:textAlignment w:val="baseline"/>
        <w:rPr>
          <w:rFonts w:hint="eastAsia" w:ascii="宋体" w:hAnsi="宋体" w:eastAsia="宋体" w:cs="宋体"/>
          <w:color w:val="auto"/>
          <w:szCs w:val="21"/>
          <w:highlight w:val="none"/>
        </w:rPr>
      </w:pPr>
    </w:p>
    <w:p w14:paraId="2761E552">
      <w:pPr>
        <w:keepNext w:val="0"/>
        <w:keepLines w:val="0"/>
        <w:pageBreakBefore w:val="0"/>
        <w:widowControl/>
        <w:kinsoku/>
        <w:wordWrap/>
        <w:overflowPunct/>
        <w:topLinePunct w:val="0"/>
        <w:bidi w:val="0"/>
        <w:snapToGrid/>
        <w:spacing w:line="480" w:lineRule="exact"/>
        <w:ind w:firstLine="1680" w:firstLineChars="800"/>
        <w:textAlignment w:val="baseline"/>
        <w:rPr>
          <w:rFonts w:hint="eastAsia" w:ascii="宋体" w:hAnsi="宋体" w:eastAsia="宋体" w:cs="宋体"/>
          <w:color w:val="auto"/>
          <w:szCs w:val="21"/>
          <w:highlight w:val="none"/>
        </w:rPr>
      </w:pPr>
    </w:p>
    <w:p w14:paraId="17C9264C">
      <w:pPr>
        <w:keepNext w:val="0"/>
        <w:keepLines w:val="0"/>
        <w:pageBreakBefore w:val="0"/>
        <w:widowControl/>
        <w:kinsoku/>
        <w:wordWrap/>
        <w:overflowPunct/>
        <w:topLinePunct w:val="0"/>
        <w:bidi w:val="0"/>
        <w:snapToGrid/>
        <w:spacing w:line="480" w:lineRule="exact"/>
        <w:ind w:firstLine="5040" w:firstLineChars="24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供应商（公章）：</w:t>
      </w:r>
      <w:r>
        <w:rPr>
          <w:rFonts w:hint="eastAsia" w:ascii="宋体" w:hAnsi="宋体" w:eastAsia="宋体" w:cs="宋体"/>
          <w:color w:val="auto"/>
          <w:szCs w:val="21"/>
          <w:highlight w:val="none"/>
          <w:u w:val="single"/>
        </w:rPr>
        <w:t xml:space="preserve">                         </w:t>
      </w:r>
    </w:p>
    <w:p w14:paraId="6292BB89">
      <w:pPr>
        <w:keepNext w:val="0"/>
        <w:keepLines w:val="0"/>
        <w:pageBreakBefore w:val="0"/>
        <w:widowControl/>
        <w:kinsoku/>
        <w:wordWrap/>
        <w:overflowPunct/>
        <w:topLinePunct w:val="0"/>
        <w:bidi w:val="0"/>
        <w:snapToGrid/>
        <w:spacing w:line="480" w:lineRule="exact"/>
        <w:ind w:firstLine="5040" w:firstLineChars="24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法定代表人（签字或盖章）：</w:t>
      </w:r>
      <w:r>
        <w:rPr>
          <w:rFonts w:hint="eastAsia" w:ascii="宋体" w:hAnsi="宋体" w:eastAsia="宋体" w:cs="宋体"/>
          <w:color w:val="auto"/>
          <w:szCs w:val="21"/>
          <w:highlight w:val="none"/>
          <w:u w:val="single"/>
        </w:rPr>
        <w:t xml:space="preserve">               </w:t>
      </w:r>
    </w:p>
    <w:p w14:paraId="50CC0FD6">
      <w:pPr>
        <w:keepNext w:val="0"/>
        <w:keepLines w:val="0"/>
        <w:pageBreakBefore w:val="0"/>
        <w:widowControl/>
        <w:kinsoku/>
        <w:wordWrap/>
        <w:overflowPunct/>
        <w:topLinePunct w:val="0"/>
        <w:autoSpaceDE w:val="0"/>
        <w:autoSpaceDN w:val="0"/>
        <w:bidi w:val="0"/>
        <w:adjustRightInd w:val="0"/>
        <w:snapToGrid/>
        <w:spacing w:line="480" w:lineRule="exact"/>
        <w:ind w:firstLine="5040" w:firstLineChars="24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p w14:paraId="03186CA1">
      <w:pPr>
        <w:pStyle w:val="22"/>
        <w:keepNext w:val="0"/>
        <w:keepLines w:val="0"/>
        <w:pageBreakBefore w:val="0"/>
        <w:widowControl/>
        <w:kinsoku/>
        <w:wordWrap/>
        <w:overflowPunct/>
        <w:topLinePunct w:val="0"/>
        <w:bidi w:val="0"/>
        <w:snapToGrid/>
        <w:spacing w:line="480" w:lineRule="exact"/>
        <w:textAlignment w:val="baseline"/>
        <w:rPr>
          <w:rFonts w:hint="eastAsia" w:ascii="宋体" w:hAnsi="宋体" w:eastAsia="宋体" w:cs="宋体"/>
          <w:color w:val="auto"/>
          <w:highlight w:val="none"/>
          <w:lang w:eastAsia="zh-CN"/>
        </w:rPr>
      </w:pPr>
    </w:p>
    <w:p w14:paraId="61584AB9">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67E07986">
      <w:pPr>
        <w:autoSpaceDE w:val="0"/>
        <w:autoSpaceDN w:val="0"/>
        <w:adjustRightInd w:val="0"/>
        <w:snapToGrid w:val="0"/>
        <w:spacing w:line="360" w:lineRule="auto"/>
        <w:jc w:val="center"/>
        <w:rPr>
          <w:rFonts w:hint="eastAsia" w:ascii="宋体" w:hAnsi="宋体" w:eastAsia="宋体" w:cs="宋体"/>
          <w:b/>
          <w:bCs/>
          <w:color w:val="auto"/>
          <w:szCs w:val="21"/>
          <w:highlight w:val="none"/>
        </w:rPr>
      </w:pPr>
      <w:bookmarkStart w:id="233" w:name="_Toc482775582"/>
      <w:r>
        <w:rPr>
          <w:rFonts w:hint="eastAsia" w:ascii="宋体" w:hAnsi="宋体" w:eastAsia="宋体" w:cs="宋体"/>
          <w:b/>
          <w:bCs/>
          <w:color w:val="auto"/>
          <w:sz w:val="28"/>
          <w:szCs w:val="28"/>
          <w:highlight w:val="none"/>
        </w:rPr>
        <w:t>供应商企业关系关联承诺书</w:t>
      </w:r>
      <w:bookmarkEnd w:id="233"/>
    </w:p>
    <w:p w14:paraId="7F0AFE3B">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一、供应商在本项目</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中，不存在与其它供应商负责人为同一人，有控股、管理等关联关系承诺。</w:t>
      </w:r>
    </w:p>
    <w:p w14:paraId="4489592E">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1.管理关系说明：</w:t>
      </w:r>
    </w:p>
    <w:p w14:paraId="2CB7FA38">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我单位管理的具有独立法人的下属单位：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(没有填无)。</w:t>
      </w:r>
    </w:p>
    <w:p w14:paraId="564F8FE4">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我单位的上级管理单位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(没有填无)。</w:t>
      </w:r>
    </w:p>
    <w:p w14:paraId="50C0238A">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2.股权关系说明：</w:t>
      </w:r>
    </w:p>
    <w:p w14:paraId="30C081BA">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我单位控股的单位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(没有填无) 。</w:t>
      </w:r>
    </w:p>
    <w:p w14:paraId="1BF9ABAC">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(没有填无)被</w:t>
      </w:r>
      <w:r>
        <w:rPr>
          <w:rFonts w:hint="eastAsia" w:ascii="宋体" w:hAnsi="宋体" w:eastAsia="宋体" w:cs="宋体"/>
          <w:color w:val="auto"/>
          <w:szCs w:val="21"/>
          <w:highlight w:val="none"/>
          <w:u w:val="single"/>
        </w:rPr>
        <w:t xml:space="preserve">   （控股单位全称）  </w:t>
      </w:r>
      <w:r>
        <w:rPr>
          <w:rFonts w:hint="eastAsia" w:ascii="宋体" w:hAnsi="宋体" w:eastAsia="宋体" w:cs="宋体"/>
          <w:color w:val="auto"/>
          <w:szCs w:val="21"/>
          <w:highlight w:val="none"/>
        </w:rPr>
        <w:t>单位控股。</w:t>
      </w:r>
    </w:p>
    <w:p w14:paraId="40A22CE5">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3.单位负责人：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(没有填无)。</w:t>
      </w:r>
    </w:p>
    <w:p w14:paraId="4D5BE757">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（是或否） 为本采购项目提供过整体设计、规范编制或者项目管理、监理、检测等服务的供应商。</w:t>
      </w:r>
    </w:p>
    <w:p w14:paraId="44EC3FF6">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三、其他与本项目有关的利害关系说明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(没有填无)。</w:t>
      </w:r>
    </w:p>
    <w:p w14:paraId="76BBB847">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我单位承诺以上说明真实有效，无虚假内容或隐瞒。</w:t>
      </w:r>
    </w:p>
    <w:p w14:paraId="436B7A92">
      <w:pPr>
        <w:keepNext w:val="0"/>
        <w:keepLines w:val="0"/>
        <w:pageBreakBefore w:val="0"/>
        <w:widowControl/>
        <w:kinsoku/>
        <w:wordWrap/>
        <w:overflowPunct/>
        <w:topLinePunct w:val="0"/>
        <w:autoSpaceDE w:val="0"/>
        <w:autoSpaceDN w:val="0"/>
        <w:bidi w:val="0"/>
        <w:adjustRightInd w:val="0"/>
        <w:spacing w:line="480" w:lineRule="exact"/>
        <w:textAlignment w:val="baseline"/>
        <w:rPr>
          <w:rFonts w:hint="eastAsia" w:ascii="宋体" w:hAnsi="宋体" w:eastAsia="宋体" w:cs="宋体"/>
          <w:color w:val="auto"/>
          <w:szCs w:val="21"/>
          <w:highlight w:val="none"/>
        </w:rPr>
      </w:pPr>
    </w:p>
    <w:p w14:paraId="6E3DE5B8">
      <w:pPr>
        <w:keepNext w:val="0"/>
        <w:keepLines w:val="0"/>
        <w:pageBreakBefore w:val="0"/>
        <w:widowControl/>
        <w:kinsoku/>
        <w:wordWrap/>
        <w:overflowPunct/>
        <w:topLinePunct w:val="0"/>
        <w:autoSpaceDE w:val="0"/>
        <w:autoSpaceDN w:val="0"/>
        <w:bidi w:val="0"/>
        <w:adjustRightInd w:val="0"/>
        <w:spacing w:line="480" w:lineRule="exact"/>
        <w:jc w:val="center"/>
        <w:textAlignment w:val="baseline"/>
        <w:rPr>
          <w:rFonts w:hint="eastAsia" w:ascii="宋体" w:hAnsi="宋体" w:eastAsia="宋体" w:cs="宋体"/>
          <w:b/>
          <w:bCs/>
          <w:color w:val="auto"/>
          <w:szCs w:val="21"/>
          <w:highlight w:val="none"/>
        </w:rPr>
      </w:pPr>
    </w:p>
    <w:p w14:paraId="3F82CED4">
      <w:pPr>
        <w:keepNext w:val="0"/>
        <w:keepLines w:val="0"/>
        <w:pageBreakBefore w:val="0"/>
        <w:widowControl/>
        <w:kinsoku/>
        <w:wordWrap/>
        <w:overflowPunct/>
        <w:topLinePunct w:val="0"/>
        <w:autoSpaceDE w:val="0"/>
        <w:autoSpaceDN w:val="0"/>
        <w:bidi w:val="0"/>
        <w:adjustRightInd w:val="0"/>
        <w:spacing w:line="480" w:lineRule="exact"/>
        <w:jc w:val="center"/>
        <w:textAlignment w:val="baseline"/>
        <w:rPr>
          <w:rFonts w:hint="eastAsia" w:ascii="宋体" w:hAnsi="宋体" w:eastAsia="宋体" w:cs="宋体"/>
          <w:b/>
          <w:bCs/>
          <w:color w:val="auto"/>
          <w:szCs w:val="21"/>
          <w:highlight w:val="none"/>
        </w:rPr>
      </w:pPr>
    </w:p>
    <w:p w14:paraId="3A49DBB0">
      <w:pPr>
        <w:keepNext w:val="0"/>
        <w:keepLines w:val="0"/>
        <w:pageBreakBefore w:val="0"/>
        <w:widowControl/>
        <w:kinsoku/>
        <w:wordWrap/>
        <w:overflowPunct/>
        <w:topLinePunct w:val="0"/>
        <w:bidi w:val="0"/>
        <w:spacing w:line="480" w:lineRule="exact"/>
        <w:ind w:firstLine="4410" w:firstLineChars="21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供应商（公章）：</w:t>
      </w:r>
      <w:r>
        <w:rPr>
          <w:rFonts w:hint="eastAsia" w:ascii="宋体" w:hAnsi="宋体" w:eastAsia="宋体" w:cs="宋体"/>
          <w:color w:val="auto"/>
          <w:szCs w:val="21"/>
          <w:highlight w:val="none"/>
          <w:u w:val="single"/>
        </w:rPr>
        <w:t xml:space="preserve">                         </w:t>
      </w:r>
    </w:p>
    <w:p w14:paraId="08CCE37B">
      <w:pPr>
        <w:keepNext w:val="0"/>
        <w:keepLines w:val="0"/>
        <w:pageBreakBefore w:val="0"/>
        <w:widowControl/>
        <w:kinsoku/>
        <w:wordWrap/>
        <w:overflowPunct/>
        <w:topLinePunct w:val="0"/>
        <w:bidi w:val="0"/>
        <w:spacing w:line="480" w:lineRule="exact"/>
        <w:ind w:firstLine="4410" w:firstLineChars="21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法定代表（签字或盖章）：</w:t>
      </w:r>
      <w:r>
        <w:rPr>
          <w:rFonts w:hint="eastAsia" w:ascii="宋体" w:hAnsi="宋体" w:eastAsia="宋体" w:cs="宋体"/>
          <w:color w:val="auto"/>
          <w:szCs w:val="21"/>
          <w:highlight w:val="none"/>
          <w:u w:val="single"/>
        </w:rPr>
        <w:t xml:space="preserve">                 </w:t>
      </w:r>
    </w:p>
    <w:p w14:paraId="00BD5A54">
      <w:pPr>
        <w:keepNext w:val="0"/>
        <w:keepLines w:val="0"/>
        <w:pageBreakBefore w:val="0"/>
        <w:widowControl/>
        <w:kinsoku/>
        <w:wordWrap/>
        <w:overflowPunct/>
        <w:topLinePunct w:val="0"/>
        <w:bidi w:val="0"/>
        <w:spacing w:line="480" w:lineRule="exact"/>
        <w:ind w:firstLine="4410" w:firstLineChars="21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p w14:paraId="660C5B5A">
      <w:pPr>
        <w:keepNext w:val="0"/>
        <w:keepLines w:val="0"/>
        <w:pageBreakBefore w:val="0"/>
        <w:widowControl/>
        <w:kinsoku/>
        <w:wordWrap/>
        <w:overflowPunct/>
        <w:topLinePunct w:val="0"/>
        <w:bidi w:val="0"/>
        <w:adjustRightInd w:val="0"/>
        <w:snapToGrid w:val="0"/>
        <w:spacing w:line="480" w:lineRule="exact"/>
        <w:jc w:val="center"/>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br w:type="page"/>
      </w:r>
      <w:bookmarkStart w:id="234" w:name="_Toc482775583"/>
    </w:p>
    <w:p w14:paraId="3FDCF055">
      <w:pPr>
        <w:keepNext w:val="0"/>
        <w:keepLines w:val="0"/>
        <w:pageBreakBefore w:val="0"/>
        <w:widowControl/>
        <w:kinsoku/>
        <w:wordWrap/>
        <w:overflowPunct/>
        <w:topLinePunct w:val="0"/>
        <w:bidi w:val="0"/>
        <w:adjustRightInd w:val="0"/>
        <w:snapToGrid w:val="0"/>
        <w:spacing w:line="480" w:lineRule="exact"/>
        <w:jc w:val="center"/>
        <w:textAlignment w:val="baseline"/>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陕西省政府采购供应商</w:t>
      </w:r>
    </w:p>
    <w:p w14:paraId="50C1B630">
      <w:pPr>
        <w:keepNext w:val="0"/>
        <w:keepLines w:val="0"/>
        <w:pageBreakBefore w:val="0"/>
        <w:widowControl/>
        <w:kinsoku/>
        <w:wordWrap/>
        <w:overflowPunct/>
        <w:topLinePunct w:val="0"/>
        <w:bidi w:val="0"/>
        <w:adjustRightInd w:val="0"/>
        <w:snapToGrid w:val="0"/>
        <w:spacing w:line="480" w:lineRule="exact"/>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 w:val="28"/>
          <w:szCs w:val="28"/>
          <w:highlight w:val="none"/>
        </w:rPr>
        <w:t>拒绝政府采购领域商业贿赂承诺书</w:t>
      </w:r>
      <w:bookmarkEnd w:id="234"/>
    </w:p>
    <w:p w14:paraId="0C1D4A77">
      <w:pPr>
        <w:keepNext w:val="0"/>
        <w:keepLines w:val="0"/>
        <w:pageBreakBefore w:val="0"/>
        <w:widowControl/>
        <w:kinsoku/>
        <w:wordWrap/>
        <w:overflowPunct/>
        <w:topLinePunct w:val="0"/>
        <w:autoSpaceDE w:val="0"/>
        <w:autoSpaceDN w:val="0"/>
        <w:bidi w:val="0"/>
        <w:adjustRightInd w:val="0"/>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为响应党中央、国务院关于治理政府采购领域商业贿赂行为的号召，我公司在此庄严承诺：</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一、在参与政府采购活动中遵纪守法、诚信经营、公平竞标。</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二、不向政府采购人、采购代理机构和政府采购评审专家进行任何形式的商业贿赂以谋取交易机会。</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三、不向政府采购代理机构和采购人提供虚假资质证明文件或采用虚假应标方式参与政府采购市场竞争并谋取中标、成交。</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四、不采取“围标、陪标”等商业欺诈手段获得政府采购订单。</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五、不采取不正当手段诋毁、排挤其他供应商。</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六、不在提供货物和服务时“偷梁换柱、以次充好”损害采购人的合法权益。</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七、不与采购人、采购代理机构、政府采购评审专家或其它供应商恶意串通，进行质疑和投诉，维护政府采购市场秩序。</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八、尊重和接受政府采购监督管理部门的监督和政府采购代理机构招标采购要求，承担因违约行为给采购人造成的损失。</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九、不发生其他有悖于政府采购公开、公平、公正和诚信原则的行为</w:t>
      </w:r>
    </w:p>
    <w:p w14:paraId="5CE34B8C">
      <w:pPr>
        <w:keepNext w:val="0"/>
        <w:keepLines w:val="0"/>
        <w:pageBreakBefore w:val="0"/>
        <w:widowControl/>
        <w:kinsoku/>
        <w:wordWrap/>
        <w:overflowPunct/>
        <w:topLinePunct w:val="0"/>
        <w:bidi w:val="0"/>
        <w:snapToGrid/>
        <w:spacing w:line="480" w:lineRule="exact"/>
        <w:ind w:firstLine="1680" w:firstLineChars="800"/>
        <w:textAlignment w:val="baseline"/>
        <w:rPr>
          <w:rFonts w:hint="eastAsia" w:ascii="宋体" w:hAnsi="宋体" w:eastAsia="宋体" w:cs="宋体"/>
          <w:color w:val="auto"/>
          <w:szCs w:val="21"/>
          <w:highlight w:val="none"/>
        </w:rPr>
      </w:pPr>
    </w:p>
    <w:p w14:paraId="0DF9B06C">
      <w:pPr>
        <w:keepNext w:val="0"/>
        <w:keepLines w:val="0"/>
        <w:pageBreakBefore w:val="0"/>
        <w:widowControl/>
        <w:kinsoku/>
        <w:wordWrap/>
        <w:overflowPunct/>
        <w:topLinePunct w:val="0"/>
        <w:bidi w:val="0"/>
        <w:snapToGrid/>
        <w:spacing w:line="480" w:lineRule="exact"/>
        <w:ind w:firstLine="5250" w:firstLineChars="25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供应商（公章）：</w:t>
      </w:r>
      <w:r>
        <w:rPr>
          <w:rFonts w:hint="eastAsia" w:ascii="宋体" w:hAnsi="宋体" w:eastAsia="宋体" w:cs="宋体"/>
          <w:color w:val="auto"/>
          <w:szCs w:val="21"/>
          <w:highlight w:val="none"/>
          <w:u w:val="single"/>
        </w:rPr>
        <w:t xml:space="preserve">                         </w:t>
      </w:r>
    </w:p>
    <w:p w14:paraId="77BF316E">
      <w:pPr>
        <w:keepNext w:val="0"/>
        <w:keepLines w:val="0"/>
        <w:pageBreakBefore w:val="0"/>
        <w:widowControl/>
        <w:kinsoku/>
        <w:wordWrap/>
        <w:overflowPunct/>
        <w:topLinePunct w:val="0"/>
        <w:bidi w:val="0"/>
        <w:snapToGrid/>
        <w:spacing w:line="480" w:lineRule="exact"/>
        <w:ind w:firstLine="5250" w:firstLineChars="25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法定代表人（签字或盖章）：</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7A8D5D35">
      <w:pPr>
        <w:keepNext w:val="0"/>
        <w:keepLines w:val="0"/>
        <w:pageBreakBefore w:val="0"/>
        <w:widowControl/>
        <w:kinsoku/>
        <w:wordWrap/>
        <w:overflowPunct/>
        <w:topLinePunct w:val="0"/>
        <w:bidi w:val="0"/>
        <w:snapToGrid/>
        <w:spacing w:line="480" w:lineRule="exact"/>
        <w:ind w:firstLine="5250" w:firstLineChars="2500"/>
        <w:textAlignment w:val="baseline"/>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p w14:paraId="21762140">
      <w:pPr>
        <w:pStyle w:val="21"/>
        <w:ind w:firstLine="211"/>
        <w:rPr>
          <w:rFonts w:hint="eastAsia" w:ascii="宋体" w:hAnsi="宋体" w:eastAsia="宋体" w:cs="宋体"/>
          <w:b/>
          <w:bCs/>
          <w:color w:val="auto"/>
          <w:sz w:val="21"/>
          <w:szCs w:val="21"/>
          <w:highlight w:val="none"/>
        </w:rPr>
      </w:pPr>
    </w:p>
    <w:p w14:paraId="1328F6AD">
      <w:pPr>
        <w:pStyle w:val="21"/>
        <w:ind w:firstLine="211"/>
        <w:rPr>
          <w:rFonts w:hint="eastAsia" w:ascii="宋体" w:hAnsi="宋体" w:eastAsia="宋体" w:cs="宋体"/>
          <w:b/>
          <w:bCs/>
          <w:color w:val="auto"/>
          <w:sz w:val="21"/>
          <w:szCs w:val="21"/>
          <w:highlight w:val="none"/>
        </w:rPr>
      </w:pPr>
    </w:p>
    <w:p w14:paraId="1AFD299B">
      <w:pPr>
        <w:pStyle w:val="21"/>
        <w:ind w:firstLine="211"/>
        <w:rPr>
          <w:rFonts w:hint="eastAsia" w:ascii="宋体" w:hAnsi="宋体" w:eastAsia="宋体" w:cs="宋体"/>
          <w:b/>
          <w:bCs/>
          <w:color w:val="auto"/>
          <w:sz w:val="21"/>
          <w:szCs w:val="21"/>
          <w:highlight w:val="none"/>
        </w:rPr>
      </w:pPr>
    </w:p>
    <w:p w14:paraId="64162424">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1DF233C3">
      <w:pPr>
        <w:adjustRightInd w:val="0"/>
        <w:snapToGrid w:val="0"/>
        <w:spacing w:line="360" w:lineRule="auto"/>
        <w:jc w:val="center"/>
        <w:outlineLvl w:val="0"/>
        <w:rPr>
          <w:rFonts w:hint="eastAsia" w:ascii="宋体" w:hAnsi="宋体" w:eastAsia="宋体" w:cs="宋体"/>
          <w:b/>
          <w:bCs/>
          <w:color w:val="auto"/>
          <w:sz w:val="28"/>
          <w:szCs w:val="28"/>
          <w:highlight w:val="none"/>
        </w:rPr>
      </w:pPr>
      <w:bookmarkStart w:id="235" w:name="_Toc10806"/>
      <w:bookmarkStart w:id="236" w:name="_Toc9614"/>
      <w:bookmarkStart w:id="237" w:name="_Toc1185"/>
      <w:bookmarkStart w:id="238" w:name="_Toc6548"/>
      <w:bookmarkStart w:id="239" w:name="_Toc4764"/>
      <w:bookmarkStart w:id="240" w:name="_Toc21497"/>
      <w:bookmarkStart w:id="241" w:name="_Toc24062"/>
      <w:bookmarkStart w:id="242" w:name="_Toc1397"/>
      <w:r>
        <w:rPr>
          <w:rFonts w:hint="eastAsia" w:ascii="宋体" w:hAnsi="宋体" w:eastAsia="宋体" w:cs="宋体"/>
          <w:b/>
          <w:bCs/>
          <w:color w:val="auto"/>
          <w:sz w:val="28"/>
          <w:szCs w:val="28"/>
          <w:highlight w:val="none"/>
        </w:rPr>
        <w:t>具有履行本合同所必需的设备和专业技术能力的承诺函</w:t>
      </w:r>
      <w:bookmarkEnd w:id="235"/>
      <w:bookmarkEnd w:id="236"/>
      <w:bookmarkEnd w:id="237"/>
      <w:bookmarkEnd w:id="238"/>
      <w:bookmarkEnd w:id="239"/>
      <w:bookmarkEnd w:id="240"/>
      <w:bookmarkEnd w:id="241"/>
      <w:bookmarkEnd w:id="242"/>
    </w:p>
    <w:p w14:paraId="49B7A371">
      <w:pPr>
        <w:spacing w:line="4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4826A9F">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3E6CEB03">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71A5346">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p>
    <w:p w14:paraId="01755167">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（供应商）</w:t>
      </w:r>
      <w:r>
        <w:rPr>
          <w:rFonts w:hint="eastAsia" w:ascii="宋体" w:hAnsi="宋体" w:eastAsia="宋体" w:cs="宋体"/>
          <w:color w:val="auto"/>
          <w:sz w:val="21"/>
          <w:szCs w:val="21"/>
          <w:highlight w:val="none"/>
        </w:rPr>
        <w:t>郑重声明，我公司具有履行合同所必需的设备和专业技术能力，在合同签订前后随时愿意提供相关证明材料，符合法律法规规定的资格条件。我方对以上声明负全部法律责任。</w:t>
      </w:r>
    </w:p>
    <w:p w14:paraId="35289CCB">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4B161045">
      <w:pPr>
        <w:keepNext w:val="0"/>
        <w:keepLines w:val="0"/>
        <w:pageBreakBefore w:val="0"/>
        <w:widowControl/>
        <w:kinsoku/>
        <w:wordWrap/>
        <w:overflowPunct/>
        <w:topLinePunct w:val="0"/>
        <w:autoSpaceDE/>
        <w:autoSpaceDN/>
        <w:bidi w:val="0"/>
        <w:adjustRightInd/>
        <w:snapToGrid/>
        <w:spacing w:line="480" w:lineRule="exact"/>
        <w:ind w:firstLine="2730" w:firstLineChars="13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（盖单位公章）</w:t>
      </w:r>
    </w:p>
    <w:p w14:paraId="63859874">
      <w:pPr>
        <w:keepNext w:val="0"/>
        <w:keepLines w:val="0"/>
        <w:pageBreakBefore w:val="0"/>
        <w:widowControl/>
        <w:kinsoku/>
        <w:wordWrap/>
        <w:overflowPunct/>
        <w:topLinePunct w:val="0"/>
        <w:autoSpaceDE/>
        <w:autoSpaceDN/>
        <w:bidi w:val="0"/>
        <w:adjustRightInd/>
        <w:snapToGrid/>
        <w:spacing w:before="240" w:beforeLines="100" w:after="240" w:afterLines="100" w:line="480" w:lineRule="exact"/>
        <w:ind w:firstLine="2730" w:firstLineChars="1300"/>
        <w:textAlignment w:val="baseline"/>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（签字或盖章）</w:t>
      </w:r>
    </w:p>
    <w:p w14:paraId="60C423C4">
      <w:pPr>
        <w:keepNext w:val="0"/>
        <w:keepLines w:val="0"/>
        <w:pageBreakBefore w:val="0"/>
        <w:widowControl/>
        <w:kinsoku/>
        <w:wordWrap/>
        <w:overflowPunct/>
        <w:topLinePunct w:val="0"/>
        <w:autoSpaceDE/>
        <w:autoSpaceDN/>
        <w:bidi w:val="0"/>
        <w:adjustRightInd/>
        <w:snapToGrid/>
        <w:spacing w:line="480" w:lineRule="exact"/>
        <w:ind w:right="504" w:firstLine="2730" w:firstLineChars="13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EFEB645">
      <w:pPr>
        <w:pStyle w:val="21"/>
        <w:ind w:firstLine="211"/>
        <w:rPr>
          <w:rFonts w:hint="eastAsia" w:ascii="宋体" w:hAnsi="宋体" w:eastAsia="宋体" w:cs="宋体"/>
          <w:b/>
          <w:bCs/>
          <w:color w:val="auto"/>
          <w:sz w:val="21"/>
          <w:szCs w:val="21"/>
          <w:highlight w:val="none"/>
        </w:rPr>
      </w:pPr>
    </w:p>
    <w:p w14:paraId="02296760">
      <w:pPr>
        <w:pStyle w:val="21"/>
        <w:ind w:firstLine="211"/>
        <w:rPr>
          <w:rFonts w:hint="eastAsia" w:ascii="宋体" w:hAnsi="宋体" w:eastAsia="宋体" w:cs="宋体"/>
          <w:b/>
          <w:bCs/>
          <w:color w:val="auto"/>
          <w:sz w:val="21"/>
          <w:szCs w:val="21"/>
          <w:highlight w:val="none"/>
        </w:rPr>
      </w:pPr>
    </w:p>
    <w:p w14:paraId="631272B6">
      <w:pPr>
        <w:pStyle w:val="21"/>
        <w:ind w:firstLine="211"/>
        <w:rPr>
          <w:rFonts w:hint="eastAsia" w:ascii="宋体" w:hAnsi="宋体" w:eastAsia="宋体" w:cs="宋体"/>
          <w:b/>
          <w:bCs/>
          <w:color w:val="auto"/>
          <w:sz w:val="21"/>
          <w:szCs w:val="21"/>
          <w:highlight w:val="none"/>
        </w:rPr>
      </w:pPr>
    </w:p>
    <w:p w14:paraId="4632907B">
      <w:pPr>
        <w:pStyle w:val="21"/>
        <w:ind w:firstLine="211"/>
        <w:rPr>
          <w:rFonts w:hint="eastAsia" w:ascii="宋体" w:hAnsi="宋体" w:eastAsia="宋体" w:cs="宋体"/>
          <w:b/>
          <w:bCs/>
          <w:color w:val="auto"/>
          <w:sz w:val="21"/>
          <w:szCs w:val="21"/>
          <w:highlight w:val="none"/>
        </w:rPr>
      </w:pPr>
    </w:p>
    <w:p w14:paraId="117D1A20">
      <w:pPr>
        <w:rPr>
          <w:rFonts w:hint="eastAsia" w:ascii="宋体" w:hAnsi="宋体" w:eastAsia="宋体" w:cs="宋体"/>
          <w:b/>
          <w:bCs/>
          <w:color w:val="auto"/>
          <w:sz w:val="21"/>
          <w:szCs w:val="21"/>
          <w:highlight w:val="none"/>
        </w:rPr>
      </w:pPr>
    </w:p>
    <w:p w14:paraId="728F2706">
      <w:pPr>
        <w:pStyle w:val="9"/>
        <w:rPr>
          <w:rFonts w:hint="eastAsia" w:ascii="宋体" w:hAnsi="宋体" w:eastAsia="宋体" w:cs="宋体"/>
          <w:b/>
          <w:bCs/>
          <w:color w:val="auto"/>
          <w:sz w:val="21"/>
          <w:szCs w:val="21"/>
          <w:highlight w:val="none"/>
        </w:rPr>
      </w:pPr>
    </w:p>
    <w:p w14:paraId="432543F2">
      <w:pPr>
        <w:rPr>
          <w:rFonts w:hint="eastAsia" w:ascii="宋体" w:hAnsi="宋体" w:eastAsia="宋体" w:cs="宋体"/>
          <w:b/>
          <w:bCs/>
          <w:color w:val="auto"/>
          <w:sz w:val="21"/>
          <w:szCs w:val="21"/>
          <w:highlight w:val="none"/>
        </w:rPr>
      </w:pPr>
    </w:p>
    <w:bookmarkEnd w:id="230"/>
    <w:bookmarkEnd w:id="231"/>
    <w:bookmarkEnd w:id="232"/>
    <w:p w14:paraId="4490D5A5">
      <w:pPr>
        <w:rPr>
          <w:rFonts w:hint="eastAsia" w:ascii="宋体" w:hAnsi="宋体" w:eastAsia="宋体" w:cs="宋体"/>
          <w:color w:val="auto"/>
          <w:highlight w:val="none"/>
        </w:rPr>
      </w:pPr>
    </w:p>
    <w:p w14:paraId="7B661938">
      <w:pPr>
        <w:rPr>
          <w:rFonts w:hint="eastAsia" w:ascii="宋体" w:hAnsi="宋体" w:eastAsia="宋体" w:cs="宋体"/>
          <w:color w:val="auto"/>
          <w:highlight w:val="none"/>
        </w:rPr>
      </w:pPr>
    </w:p>
    <w:sectPr>
      <w:headerReference r:id="rId14" w:type="default"/>
      <w:footerReference r:id="rId15" w:type="default"/>
      <w:pgSz w:w="11906" w:h="16838"/>
      <w:pgMar w:top="1440" w:right="1800" w:bottom="1440" w:left="1800" w:header="851" w:footer="992" w:gutter="0"/>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长城仿宋">
    <w:altName w:val="宋体"/>
    <w:panose1 w:val="0201060900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1E85A">
    <w:pPr>
      <w:pStyle w:val="15"/>
      <w:tabs>
        <w:tab w:val="right" w:pos="8820"/>
        <w:tab w:val="clear" w:pos="8306"/>
      </w:tabs>
      <w:ind w:right="77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9D13D">
    <w:pPr>
      <w:pStyle w:val="15"/>
      <w:ind w:right="360"/>
      <w:rPr>
        <w:rStyle w:val="27"/>
      </w:rPr>
    </w:pPr>
  </w:p>
  <w:p w14:paraId="231D953E">
    <w:pPr>
      <w:rPr>
        <w:rFonts w:hint="eastAsia"/>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99C39">
    <w:pPr>
      <w:pStyle w:val="15"/>
      <w:rPr>
        <w:rStyle w:val="27"/>
        <w:rFonts w:hint="eastAsia"/>
      </w:rPr>
    </w:pPr>
  </w:p>
  <w:p w14:paraId="7FAD7E3E">
    <w:pPr>
      <w:pStyle w:val="15"/>
      <w:rPr>
        <w:rFonts w:hint="eastAsia"/>
        <w:szCs w:val="21"/>
      </w:rPr>
    </w:pPr>
  </w:p>
  <w:p w14:paraId="15F3F82E">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0A3D7">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4</w:t>
    </w:r>
    <w:r>
      <w:fldChar w:fldCharType="end"/>
    </w:r>
  </w:p>
  <w:p w14:paraId="1F197797">
    <w:pPr>
      <w:pStyle w:val="15"/>
      <w:framePr w:wrap="around" w:vAnchor="text" w:hAnchor="page" w:x="1260" w:y="3"/>
      <w:ind w:right="360"/>
      <w:rPr>
        <w:rStyle w:val="27"/>
      </w:rPr>
    </w:pPr>
  </w:p>
  <w:p w14:paraId="18C062EA">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D2998">
    <w:pPr>
      <w:pStyle w:val="15"/>
      <w:framePr w:wrap="around" w:vAnchor="text" w:hAnchor="margin" w:xAlign="center" w:y="1"/>
      <w:rPr>
        <w:rStyle w:val="27"/>
      </w:rPr>
    </w:pPr>
  </w:p>
  <w:p w14:paraId="4AE905E9">
    <w:pPr>
      <w:pStyle w:val="15"/>
      <w:rPr>
        <w:szCs w:val="21"/>
      </w:rPr>
    </w:pPr>
  </w:p>
  <w:p w14:paraId="50B9858B">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12B56">
    <w:pPr>
      <w:pStyle w:val="15"/>
      <w:tabs>
        <w:tab w:val="left" w:pos="9000"/>
        <w:tab w:val="left" w:pos="9050"/>
        <w:tab w:val="clear" w:pos="8306"/>
      </w:tabs>
      <w:ind w:right="22"/>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53D04">
                          <w:pPr>
                            <w:pStyle w:val="1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153D04">
                    <w:pPr>
                      <w:pStyle w:val="15"/>
                    </w:pPr>
                    <w:r>
                      <w:fldChar w:fldCharType="begin"/>
                    </w:r>
                    <w:r>
                      <w:instrText xml:space="preserve"> PAGE  \* MERGEFORMAT </w:instrText>
                    </w:r>
                    <w:r>
                      <w:fldChar w:fldCharType="separate"/>
                    </w:r>
                    <w:r>
                      <w:t>10</w:t>
                    </w:r>
                    <w:r>
                      <w:fldChar w:fldCharType="end"/>
                    </w:r>
                  </w:p>
                </w:txbxContent>
              </v:textbox>
            </v:shape>
          </w:pict>
        </mc:Fallback>
      </mc:AlternateContent>
    </w:r>
  </w:p>
  <w:p w14:paraId="0437EB3C">
    <w:pPr>
      <w:pStyle w:val="15"/>
      <w:jc w:val="cente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39A30">
    <w:pPr>
      <w:pStyle w:val="15"/>
      <w:rPr>
        <w:rFonts w:eastAsia="FangSong_GB2312"/>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D3C417F">
                          <w:pPr>
                            <w:pStyle w:val="15"/>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c7b1vXAQAAsQ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qmZJGXYcJJnMbekxWH3TAR&#10;3bn2hDx7XIiGWtx/SvSjRb3T7sxGmI3dbBx8UPsuL1eqBf7dIWJzuedUYYRFrsnBSWbW09alVfnb&#10;z1nPf9rm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nO29b1wEAALEDAAAOAAAAAAAAAAEA&#10;IAAAACIBAABkcnMvZTJvRG9jLnhtbFBLBQYAAAAABgAGAFkBAABrBQAAAAA=&#10;">
              <v:fill on="f" focussize="0,0"/>
              <v:stroke on="f" weight="1.25pt"/>
              <v:imagedata o:title=""/>
              <o:lock v:ext="edit" aspectratio="f"/>
              <v:textbox inset="0mm,0mm,0mm,0mm" style="mso-fit-shape-to-text:t;">
                <w:txbxContent>
                  <w:p w14:paraId="6D3C417F">
                    <w:pPr>
                      <w:pStyle w:val="15"/>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93CE0">
    <w:pPr>
      <w:pStyle w:val="15"/>
      <w:tabs>
        <w:tab w:val="right" w:pos="8820"/>
        <w:tab w:val="clear" w:pos="8306"/>
      </w:tabs>
      <w:ind w:right="775"/>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A0BD2">
                          <w:pPr>
                            <w:pStyle w:val="1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3A0BD2">
                    <w:pPr>
                      <w:pStyle w:val="1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51136">
    <w:pPr>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1A946">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F056F">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BA273"/>
    <w:multiLevelType w:val="singleLevel"/>
    <w:tmpl w:val="D05BA273"/>
    <w:lvl w:ilvl="0" w:tentative="0">
      <w:start w:val="1"/>
      <w:numFmt w:val="decimal"/>
      <w:suff w:val="nothing"/>
      <w:lvlText w:val="（%1）"/>
      <w:lvlJc w:val="left"/>
    </w:lvl>
  </w:abstractNum>
  <w:abstractNum w:abstractNumId="1">
    <w:nsid w:val="0000000A"/>
    <w:multiLevelType w:val="multilevel"/>
    <w:tmpl w:val="0000000A"/>
    <w:lvl w:ilvl="0" w:tentative="0">
      <w:start w:val="16"/>
      <w:numFmt w:val="bullet"/>
      <w:lvlText w:val="△"/>
      <w:lvlJc w:val="left"/>
      <w:pPr>
        <w:tabs>
          <w:tab w:val="left" w:pos="780"/>
        </w:tabs>
        <w:ind w:left="780" w:hanging="360"/>
      </w:pPr>
      <w:rPr>
        <w:rFonts w:hint="eastAsia" w:ascii="宋体" w:hAnsi="宋体" w:eastAsia="宋体"/>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1B3425E4"/>
    <w:multiLevelType w:val="singleLevel"/>
    <w:tmpl w:val="1B3425E4"/>
    <w:lvl w:ilvl="0" w:tentative="0">
      <w:start w:val="1"/>
      <w:numFmt w:val="decimal"/>
      <w:suff w:val="nothing"/>
      <w:lvlText w:val="（%1）"/>
      <w:lvlJc w:val="left"/>
    </w:lvl>
  </w:abstractNum>
  <w:abstractNum w:abstractNumId="3">
    <w:nsid w:val="1ED8F667"/>
    <w:multiLevelType w:val="singleLevel"/>
    <w:tmpl w:val="1ED8F667"/>
    <w:lvl w:ilvl="0" w:tentative="0">
      <w:start w:val="5"/>
      <w:numFmt w:val="chineseCounting"/>
      <w:suff w:val="nothing"/>
      <w:lvlText w:val="（%1）"/>
      <w:lvlJc w:val="left"/>
      <w:rPr>
        <w:rFonts w:hint="eastAsia"/>
      </w:rPr>
    </w:lvl>
  </w:abstractNum>
  <w:abstractNum w:abstractNumId="4">
    <w:nsid w:val="66E16DAA"/>
    <w:multiLevelType w:val="singleLevel"/>
    <w:tmpl w:val="66E16DAA"/>
    <w:lvl w:ilvl="0" w:tentative="0">
      <w:start w:val="1"/>
      <w:numFmt w:val="decimal"/>
      <w:suff w:val="nothing"/>
      <w:lvlText w:val="（%1）"/>
      <w:lvlJc w:val="left"/>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E4AC0"/>
    <w:rsid w:val="002F7EC7"/>
    <w:rsid w:val="00671A64"/>
    <w:rsid w:val="007421DD"/>
    <w:rsid w:val="007A3406"/>
    <w:rsid w:val="009163F2"/>
    <w:rsid w:val="00B13F06"/>
    <w:rsid w:val="00B243B9"/>
    <w:rsid w:val="00D5688F"/>
    <w:rsid w:val="00DC6142"/>
    <w:rsid w:val="011B55F2"/>
    <w:rsid w:val="012C3708"/>
    <w:rsid w:val="01543C57"/>
    <w:rsid w:val="01675739"/>
    <w:rsid w:val="017D6AE6"/>
    <w:rsid w:val="01C559C0"/>
    <w:rsid w:val="01C6785A"/>
    <w:rsid w:val="01C761D7"/>
    <w:rsid w:val="01D136A9"/>
    <w:rsid w:val="01D66A1A"/>
    <w:rsid w:val="02000968"/>
    <w:rsid w:val="02034395"/>
    <w:rsid w:val="02225B04"/>
    <w:rsid w:val="02353F41"/>
    <w:rsid w:val="02417C27"/>
    <w:rsid w:val="02562012"/>
    <w:rsid w:val="027019ED"/>
    <w:rsid w:val="028A70E9"/>
    <w:rsid w:val="029307AF"/>
    <w:rsid w:val="02B46532"/>
    <w:rsid w:val="02B547A5"/>
    <w:rsid w:val="02C17A48"/>
    <w:rsid w:val="02E5725D"/>
    <w:rsid w:val="02EC1DA2"/>
    <w:rsid w:val="02F254D6"/>
    <w:rsid w:val="03407FBB"/>
    <w:rsid w:val="034A626D"/>
    <w:rsid w:val="034C5AE8"/>
    <w:rsid w:val="03643B6F"/>
    <w:rsid w:val="03675EC4"/>
    <w:rsid w:val="036A1A6D"/>
    <w:rsid w:val="03802AE2"/>
    <w:rsid w:val="03A0037C"/>
    <w:rsid w:val="03A13BCD"/>
    <w:rsid w:val="03AF1540"/>
    <w:rsid w:val="03B16EB0"/>
    <w:rsid w:val="03B81BD9"/>
    <w:rsid w:val="03C33E70"/>
    <w:rsid w:val="03D60954"/>
    <w:rsid w:val="03DB41BC"/>
    <w:rsid w:val="03F839AF"/>
    <w:rsid w:val="03F93688"/>
    <w:rsid w:val="040B1075"/>
    <w:rsid w:val="040E74D0"/>
    <w:rsid w:val="041176BA"/>
    <w:rsid w:val="04463D2B"/>
    <w:rsid w:val="044B720F"/>
    <w:rsid w:val="04547A68"/>
    <w:rsid w:val="047D4C8E"/>
    <w:rsid w:val="04A53840"/>
    <w:rsid w:val="04B110E7"/>
    <w:rsid w:val="04B62533"/>
    <w:rsid w:val="04C10BC4"/>
    <w:rsid w:val="04C8770D"/>
    <w:rsid w:val="04E138B8"/>
    <w:rsid w:val="04FC2316"/>
    <w:rsid w:val="051C4A8C"/>
    <w:rsid w:val="052906AF"/>
    <w:rsid w:val="055A59DE"/>
    <w:rsid w:val="055D61A5"/>
    <w:rsid w:val="05647877"/>
    <w:rsid w:val="056B6ADA"/>
    <w:rsid w:val="057F1218"/>
    <w:rsid w:val="05956370"/>
    <w:rsid w:val="05962A91"/>
    <w:rsid w:val="059B6FEC"/>
    <w:rsid w:val="059F58B6"/>
    <w:rsid w:val="05A96FBC"/>
    <w:rsid w:val="05AF7D1E"/>
    <w:rsid w:val="05CC6071"/>
    <w:rsid w:val="05F31BA0"/>
    <w:rsid w:val="060A6FDB"/>
    <w:rsid w:val="060E377D"/>
    <w:rsid w:val="0640793F"/>
    <w:rsid w:val="06515C5A"/>
    <w:rsid w:val="0654586A"/>
    <w:rsid w:val="06683D7A"/>
    <w:rsid w:val="067D4732"/>
    <w:rsid w:val="06D575E9"/>
    <w:rsid w:val="06FA0995"/>
    <w:rsid w:val="07162946"/>
    <w:rsid w:val="07300EC4"/>
    <w:rsid w:val="07314D0B"/>
    <w:rsid w:val="07320E81"/>
    <w:rsid w:val="07554AD4"/>
    <w:rsid w:val="0759548F"/>
    <w:rsid w:val="078643D5"/>
    <w:rsid w:val="079B2337"/>
    <w:rsid w:val="07B543C9"/>
    <w:rsid w:val="07B7184A"/>
    <w:rsid w:val="07F82A44"/>
    <w:rsid w:val="07FB2FF6"/>
    <w:rsid w:val="080473FE"/>
    <w:rsid w:val="08120742"/>
    <w:rsid w:val="081713E1"/>
    <w:rsid w:val="08397703"/>
    <w:rsid w:val="08442093"/>
    <w:rsid w:val="08485DA6"/>
    <w:rsid w:val="084C5688"/>
    <w:rsid w:val="085E716A"/>
    <w:rsid w:val="08B14B87"/>
    <w:rsid w:val="08BA4D63"/>
    <w:rsid w:val="08D574C3"/>
    <w:rsid w:val="08F27EAD"/>
    <w:rsid w:val="090E0B90"/>
    <w:rsid w:val="090F4C98"/>
    <w:rsid w:val="09223525"/>
    <w:rsid w:val="092E5BF3"/>
    <w:rsid w:val="093D2A5F"/>
    <w:rsid w:val="094E5847"/>
    <w:rsid w:val="095C18FB"/>
    <w:rsid w:val="095E3EFF"/>
    <w:rsid w:val="096E24AC"/>
    <w:rsid w:val="098218E6"/>
    <w:rsid w:val="09A17C56"/>
    <w:rsid w:val="09BF1E8A"/>
    <w:rsid w:val="09D24117"/>
    <w:rsid w:val="0A0761FC"/>
    <w:rsid w:val="0A10651D"/>
    <w:rsid w:val="0A1B5312"/>
    <w:rsid w:val="0A2B6B7B"/>
    <w:rsid w:val="0A2C5A24"/>
    <w:rsid w:val="0A3E27B5"/>
    <w:rsid w:val="0A811508"/>
    <w:rsid w:val="0A946BF9"/>
    <w:rsid w:val="0AA86A41"/>
    <w:rsid w:val="0AFE6063"/>
    <w:rsid w:val="0B290567"/>
    <w:rsid w:val="0B5C3CD6"/>
    <w:rsid w:val="0B5D5A18"/>
    <w:rsid w:val="0B793EE9"/>
    <w:rsid w:val="0B7E1BB4"/>
    <w:rsid w:val="0B8465CF"/>
    <w:rsid w:val="0B953188"/>
    <w:rsid w:val="0B9C2EAF"/>
    <w:rsid w:val="0BA94BA0"/>
    <w:rsid w:val="0BD0642B"/>
    <w:rsid w:val="0BEC0E0F"/>
    <w:rsid w:val="0C0F4A94"/>
    <w:rsid w:val="0C111C75"/>
    <w:rsid w:val="0C306044"/>
    <w:rsid w:val="0C3E79DE"/>
    <w:rsid w:val="0C3F2A33"/>
    <w:rsid w:val="0C58361A"/>
    <w:rsid w:val="0C704015"/>
    <w:rsid w:val="0C827009"/>
    <w:rsid w:val="0C8D1C5C"/>
    <w:rsid w:val="0CA83E4B"/>
    <w:rsid w:val="0CB437FC"/>
    <w:rsid w:val="0CC006F7"/>
    <w:rsid w:val="0CD25BE7"/>
    <w:rsid w:val="0CDD3ECA"/>
    <w:rsid w:val="0CF81022"/>
    <w:rsid w:val="0D2E33A0"/>
    <w:rsid w:val="0D4032E2"/>
    <w:rsid w:val="0D42705A"/>
    <w:rsid w:val="0D435DA2"/>
    <w:rsid w:val="0D556FCE"/>
    <w:rsid w:val="0D5879AA"/>
    <w:rsid w:val="0D5B5ABA"/>
    <w:rsid w:val="0D615155"/>
    <w:rsid w:val="0D705975"/>
    <w:rsid w:val="0D7336B7"/>
    <w:rsid w:val="0D8F2ABC"/>
    <w:rsid w:val="0DA57830"/>
    <w:rsid w:val="0DBC2CAB"/>
    <w:rsid w:val="0DC00F28"/>
    <w:rsid w:val="0DC67178"/>
    <w:rsid w:val="0DD764BA"/>
    <w:rsid w:val="0DEA5235"/>
    <w:rsid w:val="0E1300C5"/>
    <w:rsid w:val="0E1C6A88"/>
    <w:rsid w:val="0E3B29A3"/>
    <w:rsid w:val="0E3C48E0"/>
    <w:rsid w:val="0E6612BA"/>
    <w:rsid w:val="0EB7326D"/>
    <w:rsid w:val="0EC04E6D"/>
    <w:rsid w:val="0ED510EE"/>
    <w:rsid w:val="0EDD1225"/>
    <w:rsid w:val="0EE721D9"/>
    <w:rsid w:val="0EFC4D9C"/>
    <w:rsid w:val="0F080982"/>
    <w:rsid w:val="0F2503F9"/>
    <w:rsid w:val="0F2E5AE8"/>
    <w:rsid w:val="0F317730"/>
    <w:rsid w:val="0F5D461F"/>
    <w:rsid w:val="0F6D5E94"/>
    <w:rsid w:val="0F824086"/>
    <w:rsid w:val="0F8A3C3C"/>
    <w:rsid w:val="0F941D09"/>
    <w:rsid w:val="0FD65166"/>
    <w:rsid w:val="0FFF7484"/>
    <w:rsid w:val="100746DE"/>
    <w:rsid w:val="103233B6"/>
    <w:rsid w:val="103613D9"/>
    <w:rsid w:val="105A6829"/>
    <w:rsid w:val="107F48F2"/>
    <w:rsid w:val="109D1177"/>
    <w:rsid w:val="10B72E01"/>
    <w:rsid w:val="10DF4B83"/>
    <w:rsid w:val="1111121D"/>
    <w:rsid w:val="114F1D45"/>
    <w:rsid w:val="115756E5"/>
    <w:rsid w:val="116337FD"/>
    <w:rsid w:val="116B21E2"/>
    <w:rsid w:val="11705810"/>
    <w:rsid w:val="11897971"/>
    <w:rsid w:val="11971687"/>
    <w:rsid w:val="119C2521"/>
    <w:rsid w:val="11AD3BB7"/>
    <w:rsid w:val="11BA7B07"/>
    <w:rsid w:val="11BD145B"/>
    <w:rsid w:val="11BE0CF5"/>
    <w:rsid w:val="11C02894"/>
    <w:rsid w:val="11EA26C2"/>
    <w:rsid w:val="11FF0622"/>
    <w:rsid w:val="121556C0"/>
    <w:rsid w:val="123D6042"/>
    <w:rsid w:val="12415B32"/>
    <w:rsid w:val="12432FBD"/>
    <w:rsid w:val="1267507C"/>
    <w:rsid w:val="128C4E74"/>
    <w:rsid w:val="12AB1623"/>
    <w:rsid w:val="12B208C4"/>
    <w:rsid w:val="12B35980"/>
    <w:rsid w:val="12BA5B92"/>
    <w:rsid w:val="12D03524"/>
    <w:rsid w:val="12F901BB"/>
    <w:rsid w:val="12F97C12"/>
    <w:rsid w:val="12FD1AED"/>
    <w:rsid w:val="131C4B3A"/>
    <w:rsid w:val="132561D0"/>
    <w:rsid w:val="133B659F"/>
    <w:rsid w:val="133E6515"/>
    <w:rsid w:val="1348405A"/>
    <w:rsid w:val="136C3083"/>
    <w:rsid w:val="136C7612"/>
    <w:rsid w:val="136D0F53"/>
    <w:rsid w:val="13764CEB"/>
    <w:rsid w:val="13947E11"/>
    <w:rsid w:val="139F0476"/>
    <w:rsid w:val="13A5375D"/>
    <w:rsid w:val="13AC596E"/>
    <w:rsid w:val="13AF2F6F"/>
    <w:rsid w:val="13C71A85"/>
    <w:rsid w:val="13D71686"/>
    <w:rsid w:val="14013980"/>
    <w:rsid w:val="140B464A"/>
    <w:rsid w:val="141F037E"/>
    <w:rsid w:val="14326690"/>
    <w:rsid w:val="1444190A"/>
    <w:rsid w:val="14471661"/>
    <w:rsid w:val="14967335"/>
    <w:rsid w:val="14A52F85"/>
    <w:rsid w:val="14AD606C"/>
    <w:rsid w:val="14B7032D"/>
    <w:rsid w:val="14B82AD5"/>
    <w:rsid w:val="14CF1B1B"/>
    <w:rsid w:val="14DE6AC0"/>
    <w:rsid w:val="14E63322"/>
    <w:rsid w:val="14F83BD2"/>
    <w:rsid w:val="15066599"/>
    <w:rsid w:val="150D6867"/>
    <w:rsid w:val="151D132E"/>
    <w:rsid w:val="151F20D9"/>
    <w:rsid w:val="15396B46"/>
    <w:rsid w:val="153E050C"/>
    <w:rsid w:val="15496E67"/>
    <w:rsid w:val="154C6CC8"/>
    <w:rsid w:val="156813DB"/>
    <w:rsid w:val="157C2A5C"/>
    <w:rsid w:val="158038D7"/>
    <w:rsid w:val="158F0B91"/>
    <w:rsid w:val="15A31844"/>
    <w:rsid w:val="15B13B43"/>
    <w:rsid w:val="15B44446"/>
    <w:rsid w:val="15BD5D67"/>
    <w:rsid w:val="15C4436A"/>
    <w:rsid w:val="15C8538E"/>
    <w:rsid w:val="15CB5ECB"/>
    <w:rsid w:val="15E4268D"/>
    <w:rsid w:val="15F2369F"/>
    <w:rsid w:val="15FA4F7E"/>
    <w:rsid w:val="15FD668F"/>
    <w:rsid w:val="16186B5E"/>
    <w:rsid w:val="162639BD"/>
    <w:rsid w:val="165E3157"/>
    <w:rsid w:val="165E6AFD"/>
    <w:rsid w:val="167F5EDD"/>
    <w:rsid w:val="168244D4"/>
    <w:rsid w:val="16A144F9"/>
    <w:rsid w:val="16BE0EFB"/>
    <w:rsid w:val="16E31AFE"/>
    <w:rsid w:val="16E7126F"/>
    <w:rsid w:val="16F458D9"/>
    <w:rsid w:val="171C091C"/>
    <w:rsid w:val="17A854CC"/>
    <w:rsid w:val="17C25986"/>
    <w:rsid w:val="17CD727F"/>
    <w:rsid w:val="17E546E7"/>
    <w:rsid w:val="17EC7210"/>
    <w:rsid w:val="17F04B2D"/>
    <w:rsid w:val="180727BA"/>
    <w:rsid w:val="18244971"/>
    <w:rsid w:val="183471BC"/>
    <w:rsid w:val="18365141"/>
    <w:rsid w:val="18467247"/>
    <w:rsid w:val="185C186D"/>
    <w:rsid w:val="18622CA6"/>
    <w:rsid w:val="186A656B"/>
    <w:rsid w:val="187F3B68"/>
    <w:rsid w:val="18822A00"/>
    <w:rsid w:val="18842C1C"/>
    <w:rsid w:val="18A139F5"/>
    <w:rsid w:val="18AB01A9"/>
    <w:rsid w:val="18AD3F21"/>
    <w:rsid w:val="18C32FA2"/>
    <w:rsid w:val="18CA66F3"/>
    <w:rsid w:val="18E25735"/>
    <w:rsid w:val="18E36BE4"/>
    <w:rsid w:val="19090035"/>
    <w:rsid w:val="194A6A92"/>
    <w:rsid w:val="195E521C"/>
    <w:rsid w:val="196A0064"/>
    <w:rsid w:val="196F7429"/>
    <w:rsid w:val="19701B1C"/>
    <w:rsid w:val="19772818"/>
    <w:rsid w:val="198C6568"/>
    <w:rsid w:val="198E600E"/>
    <w:rsid w:val="19AC0FB5"/>
    <w:rsid w:val="19DE3C17"/>
    <w:rsid w:val="19F94F44"/>
    <w:rsid w:val="1A0F29BA"/>
    <w:rsid w:val="1A114F95"/>
    <w:rsid w:val="1A582DF3"/>
    <w:rsid w:val="1A5B6633"/>
    <w:rsid w:val="1A7D09B1"/>
    <w:rsid w:val="1A821253"/>
    <w:rsid w:val="1AA66879"/>
    <w:rsid w:val="1ABC574E"/>
    <w:rsid w:val="1AD20F0D"/>
    <w:rsid w:val="1AF422B6"/>
    <w:rsid w:val="1B082A6C"/>
    <w:rsid w:val="1B3163AE"/>
    <w:rsid w:val="1B326960"/>
    <w:rsid w:val="1B4D5548"/>
    <w:rsid w:val="1B5D3663"/>
    <w:rsid w:val="1B765497"/>
    <w:rsid w:val="1B8151F1"/>
    <w:rsid w:val="1B873964"/>
    <w:rsid w:val="1BB777A1"/>
    <w:rsid w:val="1BBE6445"/>
    <w:rsid w:val="1C0D4CD7"/>
    <w:rsid w:val="1C0E7A4B"/>
    <w:rsid w:val="1C10135B"/>
    <w:rsid w:val="1C10543C"/>
    <w:rsid w:val="1C2F10F1"/>
    <w:rsid w:val="1C856F63"/>
    <w:rsid w:val="1CB62F79"/>
    <w:rsid w:val="1CBD13D9"/>
    <w:rsid w:val="1CC34A3E"/>
    <w:rsid w:val="1CCE090A"/>
    <w:rsid w:val="1CDE75D3"/>
    <w:rsid w:val="1CE21097"/>
    <w:rsid w:val="1CF245F9"/>
    <w:rsid w:val="1CFA5E0A"/>
    <w:rsid w:val="1D197E73"/>
    <w:rsid w:val="1D323766"/>
    <w:rsid w:val="1D433D7B"/>
    <w:rsid w:val="1D622B8B"/>
    <w:rsid w:val="1D641F4E"/>
    <w:rsid w:val="1D6A7BA9"/>
    <w:rsid w:val="1D84266D"/>
    <w:rsid w:val="1DA66699"/>
    <w:rsid w:val="1DD43CFE"/>
    <w:rsid w:val="1DD737EE"/>
    <w:rsid w:val="1DD91315"/>
    <w:rsid w:val="1DE94214"/>
    <w:rsid w:val="1DEF380A"/>
    <w:rsid w:val="1DF230A1"/>
    <w:rsid w:val="1E2667B5"/>
    <w:rsid w:val="1E3A308A"/>
    <w:rsid w:val="1E3E1E7A"/>
    <w:rsid w:val="1E3E386E"/>
    <w:rsid w:val="1E4851C2"/>
    <w:rsid w:val="1E4E7264"/>
    <w:rsid w:val="1E5866DD"/>
    <w:rsid w:val="1E595CE5"/>
    <w:rsid w:val="1E646ACD"/>
    <w:rsid w:val="1E680E2D"/>
    <w:rsid w:val="1E71779F"/>
    <w:rsid w:val="1EBD0C36"/>
    <w:rsid w:val="1EE06326"/>
    <w:rsid w:val="1EEB57BD"/>
    <w:rsid w:val="1EEF3F03"/>
    <w:rsid w:val="1F2E4AC0"/>
    <w:rsid w:val="1F3031B6"/>
    <w:rsid w:val="1F437DD1"/>
    <w:rsid w:val="1F5C51C5"/>
    <w:rsid w:val="1F7E146A"/>
    <w:rsid w:val="1F847565"/>
    <w:rsid w:val="1F9024DE"/>
    <w:rsid w:val="1F921041"/>
    <w:rsid w:val="1FBB6BE7"/>
    <w:rsid w:val="1FC21ED8"/>
    <w:rsid w:val="1FCD68DA"/>
    <w:rsid w:val="1FE45BDB"/>
    <w:rsid w:val="1FE45FBA"/>
    <w:rsid w:val="20151D94"/>
    <w:rsid w:val="205C6BED"/>
    <w:rsid w:val="205D447F"/>
    <w:rsid w:val="206B7208"/>
    <w:rsid w:val="206C0A03"/>
    <w:rsid w:val="208F215E"/>
    <w:rsid w:val="20A721A6"/>
    <w:rsid w:val="20B80137"/>
    <w:rsid w:val="20E95D13"/>
    <w:rsid w:val="20ED0ABA"/>
    <w:rsid w:val="20ED12E1"/>
    <w:rsid w:val="20F92BBF"/>
    <w:rsid w:val="20FE4382"/>
    <w:rsid w:val="21117017"/>
    <w:rsid w:val="21167F40"/>
    <w:rsid w:val="21505687"/>
    <w:rsid w:val="215727E2"/>
    <w:rsid w:val="215D04AF"/>
    <w:rsid w:val="21635AC5"/>
    <w:rsid w:val="21701F90"/>
    <w:rsid w:val="21747CD2"/>
    <w:rsid w:val="217D430E"/>
    <w:rsid w:val="219A700D"/>
    <w:rsid w:val="21AB121A"/>
    <w:rsid w:val="21AD6DAB"/>
    <w:rsid w:val="21C4501B"/>
    <w:rsid w:val="21CE1671"/>
    <w:rsid w:val="21CE4E0C"/>
    <w:rsid w:val="21D502F8"/>
    <w:rsid w:val="21F108E7"/>
    <w:rsid w:val="2214715E"/>
    <w:rsid w:val="221A3D87"/>
    <w:rsid w:val="221E2D77"/>
    <w:rsid w:val="22230DB0"/>
    <w:rsid w:val="22246BA6"/>
    <w:rsid w:val="2268710B"/>
    <w:rsid w:val="226E1D61"/>
    <w:rsid w:val="229302F4"/>
    <w:rsid w:val="22CA1DF6"/>
    <w:rsid w:val="22D4156C"/>
    <w:rsid w:val="23003125"/>
    <w:rsid w:val="230E6FDA"/>
    <w:rsid w:val="231161D0"/>
    <w:rsid w:val="2312061A"/>
    <w:rsid w:val="2344287E"/>
    <w:rsid w:val="23517B9F"/>
    <w:rsid w:val="23523319"/>
    <w:rsid w:val="235459F2"/>
    <w:rsid w:val="23557DF1"/>
    <w:rsid w:val="23812740"/>
    <w:rsid w:val="23C47E63"/>
    <w:rsid w:val="23F93169"/>
    <w:rsid w:val="2406098A"/>
    <w:rsid w:val="24184E8C"/>
    <w:rsid w:val="24334AE4"/>
    <w:rsid w:val="245C2F92"/>
    <w:rsid w:val="246D2675"/>
    <w:rsid w:val="24AB6B7B"/>
    <w:rsid w:val="24B63617"/>
    <w:rsid w:val="24DD69D2"/>
    <w:rsid w:val="24E54A43"/>
    <w:rsid w:val="24F217B7"/>
    <w:rsid w:val="24F8761A"/>
    <w:rsid w:val="24FC2B11"/>
    <w:rsid w:val="25042602"/>
    <w:rsid w:val="25137054"/>
    <w:rsid w:val="252C1C2D"/>
    <w:rsid w:val="25386F46"/>
    <w:rsid w:val="2551058C"/>
    <w:rsid w:val="2556149D"/>
    <w:rsid w:val="256971CC"/>
    <w:rsid w:val="258B0F11"/>
    <w:rsid w:val="2590250E"/>
    <w:rsid w:val="25B332A0"/>
    <w:rsid w:val="25BE2AF2"/>
    <w:rsid w:val="25BE7313"/>
    <w:rsid w:val="25CD4C9B"/>
    <w:rsid w:val="25DF5864"/>
    <w:rsid w:val="25E226BD"/>
    <w:rsid w:val="25E4599F"/>
    <w:rsid w:val="25E7553B"/>
    <w:rsid w:val="26084E8D"/>
    <w:rsid w:val="26330831"/>
    <w:rsid w:val="26400AE7"/>
    <w:rsid w:val="26466DEE"/>
    <w:rsid w:val="26965D3C"/>
    <w:rsid w:val="26A47BF2"/>
    <w:rsid w:val="26AC69B4"/>
    <w:rsid w:val="26BD63FA"/>
    <w:rsid w:val="26DE47BB"/>
    <w:rsid w:val="26EC1DF7"/>
    <w:rsid w:val="270A46E9"/>
    <w:rsid w:val="270C78F4"/>
    <w:rsid w:val="27314069"/>
    <w:rsid w:val="273F5A42"/>
    <w:rsid w:val="27440EB9"/>
    <w:rsid w:val="274E2D73"/>
    <w:rsid w:val="27535681"/>
    <w:rsid w:val="27597BB0"/>
    <w:rsid w:val="27666525"/>
    <w:rsid w:val="27743DF2"/>
    <w:rsid w:val="277F4CDB"/>
    <w:rsid w:val="27870868"/>
    <w:rsid w:val="27A07C24"/>
    <w:rsid w:val="27A14D81"/>
    <w:rsid w:val="27A9738A"/>
    <w:rsid w:val="27EA261F"/>
    <w:rsid w:val="27FF5E1C"/>
    <w:rsid w:val="28233C38"/>
    <w:rsid w:val="28233E61"/>
    <w:rsid w:val="2833236A"/>
    <w:rsid w:val="2863040D"/>
    <w:rsid w:val="28636B47"/>
    <w:rsid w:val="28664417"/>
    <w:rsid w:val="286E6A21"/>
    <w:rsid w:val="286F604B"/>
    <w:rsid w:val="28836A4D"/>
    <w:rsid w:val="28846833"/>
    <w:rsid w:val="289335A2"/>
    <w:rsid w:val="2895052E"/>
    <w:rsid w:val="28984A85"/>
    <w:rsid w:val="2929045A"/>
    <w:rsid w:val="29614756"/>
    <w:rsid w:val="2966058C"/>
    <w:rsid w:val="297168A5"/>
    <w:rsid w:val="29742F00"/>
    <w:rsid w:val="297A755E"/>
    <w:rsid w:val="2987142F"/>
    <w:rsid w:val="29AA469D"/>
    <w:rsid w:val="29C934D3"/>
    <w:rsid w:val="29D737D0"/>
    <w:rsid w:val="29DA3F46"/>
    <w:rsid w:val="2A03314C"/>
    <w:rsid w:val="2A075FEE"/>
    <w:rsid w:val="2A1907A0"/>
    <w:rsid w:val="2A2937D5"/>
    <w:rsid w:val="2A2B2CBE"/>
    <w:rsid w:val="2A346FA0"/>
    <w:rsid w:val="2A410B7C"/>
    <w:rsid w:val="2A510CF8"/>
    <w:rsid w:val="2A8326F6"/>
    <w:rsid w:val="2AE640C2"/>
    <w:rsid w:val="2AF56F1C"/>
    <w:rsid w:val="2AFC6642"/>
    <w:rsid w:val="2B02208F"/>
    <w:rsid w:val="2B0972E6"/>
    <w:rsid w:val="2B147608"/>
    <w:rsid w:val="2B1F2F83"/>
    <w:rsid w:val="2B2420BC"/>
    <w:rsid w:val="2B28072A"/>
    <w:rsid w:val="2B41130C"/>
    <w:rsid w:val="2B5A5B08"/>
    <w:rsid w:val="2B6434E4"/>
    <w:rsid w:val="2B9513EC"/>
    <w:rsid w:val="2BCA0BCC"/>
    <w:rsid w:val="2BEA13BE"/>
    <w:rsid w:val="2BED51A3"/>
    <w:rsid w:val="2BFE49A3"/>
    <w:rsid w:val="2C0F3CA4"/>
    <w:rsid w:val="2C2C11A9"/>
    <w:rsid w:val="2C4B4CCF"/>
    <w:rsid w:val="2C6930DD"/>
    <w:rsid w:val="2C6D4D17"/>
    <w:rsid w:val="2C996544"/>
    <w:rsid w:val="2CA3690E"/>
    <w:rsid w:val="2CBB237B"/>
    <w:rsid w:val="2CBD0053"/>
    <w:rsid w:val="2CC633AC"/>
    <w:rsid w:val="2CEE7CEF"/>
    <w:rsid w:val="2CF8759C"/>
    <w:rsid w:val="2D1266C9"/>
    <w:rsid w:val="2D173E09"/>
    <w:rsid w:val="2D6751F4"/>
    <w:rsid w:val="2D676020"/>
    <w:rsid w:val="2D743BD9"/>
    <w:rsid w:val="2D76092E"/>
    <w:rsid w:val="2DA83FD2"/>
    <w:rsid w:val="2DBD47AF"/>
    <w:rsid w:val="2DE40993"/>
    <w:rsid w:val="2DE81100"/>
    <w:rsid w:val="2DF1578C"/>
    <w:rsid w:val="2DF555E1"/>
    <w:rsid w:val="2DF92606"/>
    <w:rsid w:val="2E0E3631"/>
    <w:rsid w:val="2E0F564D"/>
    <w:rsid w:val="2E3C5171"/>
    <w:rsid w:val="2E41364D"/>
    <w:rsid w:val="2E5B52D6"/>
    <w:rsid w:val="2E6115DE"/>
    <w:rsid w:val="2E864BA1"/>
    <w:rsid w:val="2E8E380F"/>
    <w:rsid w:val="2E9A462F"/>
    <w:rsid w:val="2EA534CE"/>
    <w:rsid w:val="2EBD75FD"/>
    <w:rsid w:val="2EBF54AF"/>
    <w:rsid w:val="2ECB7FF1"/>
    <w:rsid w:val="2EEB38EC"/>
    <w:rsid w:val="2EEF1918"/>
    <w:rsid w:val="2EF578A6"/>
    <w:rsid w:val="2EFA00BF"/>
    <w:rsid w:val="2F6E68A2"/>
    <w:rsid w:val="2F6F5DAC"/>
    <w:rsid w:val="2F8F3879"/>
    <w:rsid w:val="2F9000EB"/>
    <w:rsid w:val="2FA927AD"/>
    <w:rsid w:val="2FB05ED3"/>
    <w:rsid w:val="2FB80152"/>
    <w:rsid w:val="2FD936E5"/>
    <w:rsid w:val="2FDD6B0C"/>
    <w:rsid w:val="2FE16FEA"/>
    <w:rsid w:val="2FEB7780"/>
    <w:rsid w:val="30336653"/>
    <w:rsid w:val="30473F4E"/>
    <w:rsid w:val="304903AA"/>
    <w:rsid w:val="30490EDC"/>
    <w:rsid w:val="30614A91"/>
    <w:rsid w:val="30665AC7"/>
    <w:rsid w:val="306673B8"/>
    <w:rsid w:val="30805FE7"/>
    <w:rsid w:val="308275EA"/>
    <w:rsid w:val="30895E7E"/>
    <w:rsid w:val="30AC314B"/>
    <w:rsid w:val="30E56588"/>
    <w:rsid w:val="30F14041"/>
    <w:rsid w:val="30F661D6"/>
    <w:rsid w:val="311051A4"/>
    <w:rsid w:val="311D2805"/>
    <w:rsid w:val="3139239E"/>
    <w:rsid w:val="313F130E"/>
    <w:rsid w:val="315C6B92"/>
    <w:rsid w:val="31771518"/>
    <w:rsid w:val="31BC754E"/>
    <w:rsid w:val="32112895"/>
    <w:rsid w:val="32254C59"/>
    <w:rsid w:val="32295C44"/>
    <w:rsid w:val="323279CF"/>
    <w:rsid w:val="323F377F"/>
    <w:rsid w:val="32620D8D"/>
    <w:rsid w:val="32676A97"/>
    <w:rsid w:val="327725A3"/>
    <w:rsid w:val="328B2623"/>
    <w:rsid w:val="32AC094E"/>
    <w:rsid w:val="32BF4174"/>
    <w:rsid w:val="32EE28BB"/>
    <w:rsid w:val="333C6423"/>
    <w:rsid w:val="333D1265"/>
    <w:rsid w:val="336A2CE3"/>
    <w:rsid w:val="337A5EEB"/>
    <w:rsid w:val="339A4C4A"/>
    <w:rsid w:val="339D2C7D"/>
    <w:rsid w:val="33A50DD2"/>
    <w:rsid w:val="33CE20BA"/>
    <w:rsid w:val="33CF3C5D"/>
    <w:rsid w:val="33D2587C"/>
    <w:rsid w:val="33E3578E"/>
    <w:rsid w:val="33E5703B"/>
    <w:rsid w:val="33E7082A"/>
    <w:rsid w:val="33F613C9"/>
    <w:rsid w:val="33FB1B8D"/>
    <w:rsid w:val="34040F91"/>
    <w:rsid w:val="3407616B"/>
    <w:rsid w:val="340C3D9A"/>
    <w:rsid w:val="341E074D"/>
    <w:rsid w:val="343C3F54"/>
    <w:rsid w:val="34512925"/>
    <w:rsid w:val="34910BC0"/>
    <w:rsid w:val="349A7D00"/>
    <w:rsid w:val="34AF248B"/>
    <w:rsid w:val="34CD251C"/>
    <w:rsid w:val="34FD1D29"/>
    <w:rsid w:val="351B10AF"/>
    <w:rsid w:val="3538263C"/>
    <w:rsid w:val="35547361"/>
    <w:rsid w:val="35817307"/>
    <w:rsid w:val="35891744"/>
    <w:rsid w:val="359A6E11"/>
    <w:rsid w:val="35AC259C"/>
    <w:rsid w:val="35B04BF9"/>
    <w:rsid w:val="35B76736"/>
    <w:rsid w:val="35BB3B8D"/>
    <w:rsid w:val="35DF728F"/>
    <w:rsid w:val="36007485"/>
    <w:rsid w:val="360D1EAD"/>
    <w:rsid w:val="3666767F"/>
    <w:rsid w:val="366B6766"/>
    <w:rsid w:val="36963C6F"/>
    <w:rsid w:val="369B31B3"/>
    <w:rsid w:val="36B13AD8"/>
    <w:rsid w:val="36BD160B"/>
    <w:rsid w:val="36D21D41"/>
    <w:rsid w:val="36E32754"/>
    <w:rsid w:val="36ED28F0"/>
    <w:rsid w:val="36F6413B"/>
    <w:rsid w:val="36F91852"/>
    <w:rsid w:val="36FD7CCE"/>
    <w:rsid w:val="36FF6789"/>
    <w:rsid w:val="371A630A"/>
    <w:rsid w:val="371F7879"/>
    <w:rsid w:val="37220DD3"/>
    <w:rsid w:val="372A2912"/>
    <w:rsid w:val="373D0355"/>
    <w:rsid w:val="375705B0"/>
    <w:rsid w:val="37624CB3"/>
    <w:rsid w:val="378679C0"/>
    <w:rsid w:val="378B56CD"/>
    <w:rsid w:val="379237B0"/>
    <w:rsid w:val="37A07E18"/>
    <w:rsid w:val="37A56BB4"/>
    <w:rsid w:val="37BF69D6"/>
    <w:rsid w:val="38000C61"/>
    <w:rsid w:val="38027C90"/>
    <w:rsid w:val="3811084F"/>
    <w:rsid w:val="38133004"/>
    <w:rsid w:val="382B0740"/>
    <w:rsid w:val="385E0EFF"/>
    <w:rsid w:val="3866028B"/>
    <w:rsid w:val="387D5266"/>
    <w:rsid w:val="388E78F0"/>
    <w:rsid w:val="389E7C9B"/>
    <w:rsid w:val="38C43F71"/>
    <w:rsid w:val="38CE64F0"/>
    <w:rsid w:val="38DE1A7D"/>
    <w:rsid w:val="38E776A9"/>
    <w:rsid w:val="38F3087D"/>
    <w:rsid w:val="38FD4815"/>
    <w:rsid w:val="390037A2"/>
    <w:rsid w:val="39067C66"/>
    <w:rsid w:val="391C48DA"/>
    <w:rsid w:val="392B5DBF"/>
    <w:rsid w:val="39565AB7"/>
    <w:rsid w:val="39693D5E"/>
    <w:rsid w:val="398F215C"/>
    <w:rsid w:val="399860D0"/>
    <w:rsid w:val="399E22C2"/>
    <w:rsid w:val="39B051C8"/>
    <w:rsid w:val="39B12CEE"/>
    <w:rsid w:val="39B6187B"/>
    <w:rsid w:val="39CA1E66"/>
    <w:rsid w:val="39D565D4"/>
    <w:rsid w:val="39D76BF8"/>
    <w:rsid w:val="39E705D2"/>
    <w:rsid w:val="39EA4755"/>
    <w:rsid w:val="3A0F338B"/>
    <w:rsid w:val="3A0F5ADA"/>
    <w:rsid w:val="3A14083B"/>
    <w:rsid w:val="3A2F07E2"/>
    <w:rsid w:val="3A313E27"/>
    <w:rsid w:val="3A3A77D2"/>
    <w:rsid w:val="3A3C2EF6"/>
    <w:rsid w:val="3A445910"/>
    <w:rsid w:val="3A5C0E3B"/>
    <w:rsid w:val="3A646FD3"/>
    <w:rsid w:val="3A6970DD"/>
    <w:rsid w:val="3A7D666B"/>
    <w:rsid w:val="3A9339CD"/>
    <w:rsid w:val="3AB638B8"/>
    <w:rsid w:val="3AC102DA"/>
    <w:rsid w:val="3AF62CD2"/>
    <w:rsid w:val="3B474624"/>
    <w:rsid w:val="3B5D3A9B"/>
    <w:rsid w:val="3B651BF6"/>
    <w:rsid w:val="3B902ED6"/>
    <w:rsid w:val="3B984165"/>
    <w:rsid w:val="3B9B2D49"/>
    <w:rsid w:val="3BA71740"/>
    <w:rsid w:val="3BC41CAC"/>
    <w:rsid w:val="3BD864D4"/>
    <w:rsid w:val="3C1164F6"/>
    <w:rsid w:val="3C13131B"/>
    <w:rsid w:val="3C1367CF"/>
    <w:rsid w:val="3C143B6C"/>
    <w:rsid w:val="3C167740"/>
    <w:rsid w:val="3C184EE8"/>
    <w:rsid w:val="3C210ED6"/>
    <w:rsid w:val="3C303B69"/>
    <w:rsid w:val="3C5432D2"/>
    <w:rsid w:val="3C581EA1"/>
    <w:rsid w:val="3C597D99"/>
    <w:rsid w:val="3C6329C5"/>
    <w:rsid w:val="3C700FD4"/>
    <w:rsid w:val="3C72480B"/>
    <w:rsid w:val="3C8D31B6"/>
    <w:rsid w:val="3C972959"/>
    <w:rsid w:val="3CC412A7"/>
    <w:rsid w:val="3CE05DC4"/>
    <w:rsid w:val="3CE22339"/>
    <w:rsid w:val="3D184815"/>
    <w:rsid w:val="3D184AEC"/>
    <w:rsid w:val="3D5B18EE"/>
    <w:rsid w:val="3D6F2108"/>
    <w:rsid w:val="3D8971A5"/>
    <w:rsid w:val="3D8A5B81"/>
    <w:rsid w:val="3D8A5FDD"/>
    <w:rsid w:val="3D9A764B"/>
    <w:rsid w:val="3DB84074"/>
    <w:rsid w:val="3DBC05DF"/>
    <w:rsid w:val="3DCE2E4F"/>
    <w:rsid w:val="3DE64F3B"/>
    <w:rsid w:val="3DF90186"/>
    <w:rsid w:val="3E1321C9"/>
    <w:rsid w:val="3E1B553A"/>
    <w:rsid w:val="3E354A86"/>
    <w:rsid w:val="3E444A97"/>
    <w:rsid w:val="3E5F71BC"/>
    <w:rsid w:val="3E7A7470"/>
    <w:rsid w:val="3E826D96"/>
    <w:rsid w:val="3E8D67E6"/>
    <w:rsid w:val="3E9C55D3"/>
    <w:rsid w:val="3E9D7C3F"/>
    <w:rsid w:val="3EB92DEC"/>
    <w:rsid w:val="3EBE72F5"/>
    <w:rsid w:val="3EC06CE0"/>
    <w:rsid w:val="3ECD4490"/>
    <w:rsid w:val="3ECE1218"/>
    <w:rsid w:val="3ED70A6F"/>
    <w:rsid w:val="3EEC03B1"/>
    <w:rsid w:val="3F051A8D"/>
    <w:rsid w:val="3F1412E1"/>
    <w:rsid w:val="3F191E2A"/>
    <w:rsid w:val="3F285F39"/>
    <w:rsid w:val="3F364F42"/>
    <w:rsid w:val="3F3858D7"/>
    <w:rsid w:val="3F4343E8"/>
    <w:rsid w:val="3F5569D0"/>
    <w:rsid w:val="3F716A09"/>
    <w:rsid w:val="3F823162"/>
    <w:rsid w:val="3F9245C0"/>
    <w:rsid w:val="3F991AA5"/>
    <w:rsid w:val="3FA4132B"/>
    <w:rsid w:val="3FDB6C19"/>
    <w:rsid w:val="3FEC58F6"/>
    <w:rsid w:val="3FF62E62"/>
    <w:rsid w:val="3FFB252B"/>
    <w:rsid w:val="40146CC3"/>
    <w:rsid w:val="402F6A80"/>
    <w:rsid w:val="407377EE"/>
    <w:rsid w:val="407C1C7F"/>
    <w:rsid w:val="408D2EC0"/>
    <w:rsid w:val="40D75730"/>
    <w:rsid w:val="40E25413"/>
    <w:rsid w:val="40E463C9"/>
    <w:rsid w:val="410140EC"/>
    <w:rsid w:val="410F7C03"/>
    <w:rsid w:val="413310B3"/>
    <w:rsid w:val="416E0755"/>
    <w:rsid w:val="41741B51"/>
    <w:rsid w:val="41841C43"/>
    <w:rsid w:val="41B63C5E"/>
    <w:rsid w:val="41DB0B6E"/>
    <w:rsid w:val="420F464D"/>
    <w:rsid w:val="4212045B"/>
    <w:rsid w:val="421D7172"/>
    <w:rsid w:val="42220C2D"/>
    <w:rsid w:val="422451D8"/>
    <w:rsid w:val="423D7815"/>
    <w:rsid w:val="424D4AC1"/>
    <w:rsid w:val="4274366B"/>
    <w:rsid w:val="42884F34"/>
    <w:rsid w:val="429C4159"/>
    <w:rsid w:val="42B91E22"/>
    <w:rsid w:val="42B9655E"/>
    <w:rsid w:val="42D11BFD"/>
    <w:rsid w:val="42DF6B1E"/>
    <w:rsid w:val="42E37153"/>
    <w:rsid w:val="431025E0"/>
    <w:rsid w:val="43175BF0"/>
    <w:rsid w:val="432012D2"/>
    <w:rsid w:val="432861E4"/>
    <w:rsid w:val="433847D2"/>
    <w:rsid w:val="43421586"/>
    <w:rsid w:val="435349DB"/>
    <w:rsid w:val="435C4CE6"/>
    <w:rsid w:val="43602D2E"/>
    <w:rsid w:val="436F6AA0"/>
    <w:rsid w:val="438571B6"/>
    <w:rsid w:val="438D1152"/>
    <w:rsid w:val="438F5E4E"/>
    <w:rsid w:val="43AE6AE4"/>
    <w:rsid w:val="43B4418E"/>
    <w:rsid w:val="43C04259"/>
    <w:rsid w:val="43CC1A15"/>
    <w:rsid w:val="43D020BB"/>
    <w:rsid w:val="43EC6C6D"/>
    <w:rsid w:val="43EF535A"/>
    <w:rsid w:val="43F254D7"/>
    <w:rsid w:val="443609BF"/>
    <w:rsid w:val="444E6DA3"/>
    <w:rsid w:val="44507CD3"/>
    <w:rsid w:val="44705FBD"/>
    <w:rsid w:val="447B35BD"/>
    <w:rsid w:val="4486244A"/>
    <w:rsid w:val="44992946"/>
    <w:rsid w:val="44B964E9"/>
    <w:rsid w:val="44C92715"/>
    <w:rsid w:val="44CC1960"/>
    <w:rsid w:val="44E84400"/>
    <w:rsid w:val="44EA1C70"/>
    <w:rsid w:val="45435752"/>
    <w:rsid w:val="45442C68"/>
    <w:rsid w:val="455117FB"/>
    <w:rsid w:val="455E6639"/>
    <w:rsid w:val="45641E50"/>
    <w:rsid w:val="456D21BF"/>
    <w:rsid w:val="458614D2"/>
    <w:rsid w:val="45AE67DB"/>
    <w:rsid w:val="45B811DC"/>
    <w:rsid w:val="45BD5A9E"/>
    <w:rsid w:val="45DB181E"/>
    <w:rsid w:val="45DC069F"/>
    <w:rsid w:val="45EC5154"/>
    <w:rsid w:val="45F428E0"/>
    <w:rsid w:val="45FC062D"/>
    <w:rsid w:val="46346923"/>
    <w:rsid w:val="464218F3"/>
    <w:rsid w:val="465A0995"/>
    <w:rsid w:val="466B6F18"/>
    <w:rsid w:val="466E0785"/>
    <w:rsid w:val="467670BE"/>
    <w:rsid w:val="46827353"/>
    <w:rsid w:val="469A53C9"/>
    <w:rsid w:val="46B6028B"/>
    <w:rsid w:val="46BD0F24"/>
    <w:rsid w:val="46DF61DB"/>
    <w:rsid w:val="46EC503A"/>
    <w:rsid w:val="470A7C6A"/>
    <w:rsid w:val="471843AC"/>
    <w:rsid w:val="47217705"/>
    <w:rsid w:val="472C30C1"/>
    <w:rsid w:val="473C1D67"/>
    <w:rsid w:val="474B0596"/>
    <w:rsid w:val="474E6961"/>
    <w:rsid w:val="47573126"/>
    <w:rsid w:val="4762782D"/>
    <w:rsid w:val="47907F6E"/>
    <w:rsid w:val="4791181E"/>
    <w:rsid w:val="47BD27EE"/>
    <w:rsid w:val="47C01871"/>
    <w:rsid w:val="47C91538"/>
    <w:rsid w:val="47D166C1"/>
    <w:rsid w:val="47EC5BBF"/>
    <w:rsid w:val="480F085D"/>
    <w:rsid w:val="482F19AD"/>
    <w:rsid w:val="48623B31"/>
    <w:rsid w:val="486539B5"/>
    <w:rsid w:val="486C506D"/>
    <w:rsid w:val="487B4BF3"/>
    <w:rsid w:val="487C680E"/>
    <w:rsid w:val="488B38A9"/>
    <w:rsid w:val="488C32A4"/>
    <w:rsid w:val="48902749"/>
    <w:rsid w:val="489857A5"/>
    <w:rsid w:val="489D64D8"/>
    <w:rsid w:val="48B00D40"/>
    <w:rsid w:val="48C805AA"/>
    <w:rsid w:val="4902105C"/>
    <w:rsid w:val="49295A86"/>
    <w:rsid w:val="4931045D"/>
    <w:rsid w:val="494D658F"/>
    <w:rsid w:val="494F491F"/>
    <w:rsid w:val="49725C4F"/>
    <w:rsid w:val="497A75A0"/>
    <w:rsid w:val="49813C89"/>
    <w:rsid w:val="49C644D1"/>
    <w:rsid w:val="4A192915"/>
    <w:rsid w:val="4A286FFC"/>
    <w:rsid w:val="4A2E5689"/>
    <w:rsid w:val="4A3E1F00"/>
    <w:rsid w:val="4A9C6DD6"/>
    <w:rsid w:val="4AA33392"/>
    <w:rsid w:val="4AA9036C"/>
    <w:rsid w:val="4AAE6A89"/>
    <w:rsid w:val="4AB73613"/>
    <w:rsid w:val="4AB94F06"/>
    <w:rsid w:val="4ABA048A"/>
    <w:rsid w:val="4ACB0258"/>
    <w:rsid w:val="4AD23285"/>
    <w:rsid w:val="4AD36430"/>
    <w:rsid w:val="4AD420FD"/>
    <w:rsid w:val="4AD53A7E"/>
    <w:rsid w:val="4AEC7166"/>
    <w:rsid w:val="4B01664B"/>
    <w:rsid w:val="4B06328F"/>
    <w:rsid w:val="4B137C8F"/>
    <w:rsid w:val="4B1A27DA"/>
    <w:rsid w:val="4B294DDA"/>
    <w:rsid w:val="4B3573A5"/>
    <w:rsid w:val="4B40055C"/>
    <w:rsid w:val="4B553E21"/>
    <w:rsid w:val="4B626377"/>
    <w:rsid w:val="4B813CBA"/>
    <w:rsid w:val="4B9A3D03"/>
    <w:rsid w:val="4BA2391A"/>
    <w:rsid w:val="4BD96800"/>
    <w:rsid w:val="4BE62CCB"/>
    <w:rsid w:val="4C0849EF"/>
    <w:rsid w:val="4C1A43BD"/>
    <w:rsid w:val="4C215AB1"/>
    <w:rsid w:val="4C3750C2"/>
    <w:rsid w:val="4C505548"/>
    <w:rsid w:val="4C6360CA"/>
    <w:rsid w:val="4C6B4F7E"/>
    <w:rsid w:val="4C8F0EFA"/>
    <w:rsid w:val="4C956863"/>
    <w:rsid w:val="4CC67180"/>
    <w:rsid w:val="4CC73ADC"/>
    <w:rsid w:val="4CE04D3A"/>
    <w:rsid w:val="4CFB09F8"/>
    <w:rsid w:val="4D1E35C1"/>
    <w:rsid w:val="4D416F5E"/>
    <w:rsid w:val="4D48314C"/>
    <w:rsid w:val="4D4B557E"/>
    <w:rsid w:val="4D565DFE"/>
    <w:rsid w:val="4D5B3AEE"/>
    <w:rsid w:val="4D5D7938"/>
    <w:rsid w:val="4D64034B"/>
    <w:rsid w:val="4D761E2D"/>
    <w:rsid w:val="4D8245E8"/>
    <w:rsid w:val="4D8A76E6"/>
    <w:rsid w:val="4DA566AA"/>
    <w:rsid w:val="4DD34BEA"/>
    <w:rsid w:val="4DD45889"/>
    <w:rsid w:val="4E46289E"/>
    <w:rsid w:val="4E4920E8"/>
    <w:rsid w:val="4E4A2DC1"/>
    <w:rsid w:val="4E5C4F0A"/>
    <w:rsid w:val="4E6013D5"/>
    <w:rsid w:val="4E6525CD"/>
    <w:rsid w:val="4E8F5182"/>
    <w:rsid w:val="4E933315"/>
    <w:rsid w:val="4E937CBC"/>
    <w:rsid w:val="4E977900"/>
    <w:rsid w:val="4EAD5495"/>
    <w:rsid w:val="4EB25722"/>
    <w:rsid w:val="4EBD0DE3"/>
    <w:rsid w:val="4ED721D1"/>
    <w:rsid w:val="4EE554BC"/>
    <w:rsid w:val="4EE81B28"/>
    <w:rsid w:val="4EEF0F22"/>
    <w:rsid w:val="4EF53F7D"/>
    <w:rsid w:val="4F003A2F"/>
    <w:rsid w:val="4F11005F"/>
    <w:rsid w:val="4F285443"/>
    <w:rsid w:val="4F2A2003"/>
    <w:rsid w:val="4F2A7373"/>
    <w:rsid w:val="4F337FD5"/>
    <w:rsid w:val="4F3D7149"/>
    <w:rsid w:val="4F597318"/>
    <w:rsid w:val="4F656A87"/>
    <w:rsid w:val="4F85421A"/>
    <w:rsid w:val="4F8F1473"/>
    <w:rsid w:val="4F952A3E"/>
    <w:rsid w:val="4F9B49DB"/>
    <w:rsid w:val="4FA24285"/>
    <w:rsid w:val="4FA67278"/>
    <w:rsid w:val="4FF9121F"/>
    <w:rsid w:val="4FFB3145"/>
    <w:rsid w:val="5014657E"/>
    <w:rsid w:val="501E2A33"/>
    <w:rsid w:val="50352779"/>
    <w:rsid w:val="50804029"/>
    <w:rsid w:val="508A631B"/>
    <w:rsid w:val="50A21B2E"/>
    <w:rsid w:val="50BE4216"/>
    <w:rsid w:val="50C16EC1"/>
    <w:rsid w:val="50D1789D"/>
    <w:rsid w:val="50D47995"/>
    <w:rsid w:val="50D84D11"/>
    <w:rsid w:val="50FD69AC"/>
    <w:rsid w:val="511261A9"/>
    <w:rsid w:val="51226632"/>
    <w:rsid w:val="513C373D"/>
    <w:rsid w:val="513E5136"/>
    <w:rsid w:val="515C5D8C"/>
    <w:rsid w:val="51621046"/>
    <w:rsid w:val="51AC3A54"/>
    <w:rsid w:val="51B82A14"/>
    <w:rsid w:val="51D8204C"/>
    <w:rsid w:val="51EC1699"/>
    <w:rsid w:val="52037C16"/>
    <w:rsid w:val="523F7213"/>
    <w:rsid w:val="525C33E1"/>
    <w:rsid w:val="52640092"/>
    <w:rsid w:val="52662470"/>
    <w:rsid w:val="5288025B"/>
    <w:rsid w:val="52AF15F9"/>
    <w:rsid w:val="52DA766C"/>
    <w:rsid w:val="52E96B41"/>
    <w:rsid w:val="53081779"/>
    <w:rsid w:val="53292B17"/>
    <w:rsid w:val="536D03A2"/>
    <w:rsid w:val="53907D1C"/>
    <w:rsid w:val="53996FA0"/>
    <w:rsid w:val="53A54B68"/>
    <w:rsid w:val="53A6711D"/>
    <w:rsid w:val="53B83125"/>
    <w:rsid w:val="53BE0B04"/>
    <w:rsid w:val="53C77F2D"/>
    <w:rsid w:val="53D10891"/>
    <w:rsid w:val="540C5C47"/>
    <w:rsid w:val="54183C3E"/>
    <w:rsid w:val="541A0587"/>
    <w:rsid w:val="543B5E3E"/>
    <w:rsid w:val="54403D75"/>
    <w:rsid w:val="54501629"/>
    <w:rsid w:val="546E414E"/>
    <w:rsid w:val="548933B0"/>
    <w:rsid w:val="54A21ACB"/>
    <w:rsid w:val="54A84FC1"/>
    <w:rsid w:val="54C03FD1"/>
    <w:rsid w:val="54C56595"/>
    <w:rsid w:val="54D94C6F"/>
    <w:rsid w:val="54DC4367"/>
    <w:rsid w:val="54FE4BE1"/>
    <w:rsid w:val="551744F0"/>
    <w:rsid w:val="55407C55"/>
    <w:rsid w:val="555E27DC"/>
    <w:rsid w:val="55680F44"/>
    <w:rsid w:val="556A6814"/>
    <w:rsid w:val="556F1F83"/>
    <w:rsid w:val="55762F1A"/>
    <w:rsid w:val="55841010"/>
    <w:rsid w:val="55B16224"/>
    <w:rsid w:val="55B736B1"/>
    <w:rsid w:val="55DC02EF"/>
    <w:rsid w:val="55E01242"/>
    <w:rsid w:val="55E464CD"/>
    <w:rsid w:val="55EB07D7"/>
    <w:rsid w:val="55EF199C"/>
    <w:rsid w:val="560D6215"/>
    <w:rsid w:val="564B3E56"/>
    <w:rsid w:val="5651297A"/>
    <w:rsid w:val="565D5A4C"/>
    <w:rsid w:val="566413BC"/>
    <w:rsid w:val="56707D61"/>
    <w:rsid w:val="568A35C8"/>
    <w:rsid w:val="56A9174F"/>
    <w:rsid w:val="56BF52DD"/>
    <w:rsid w:val="56CB2698"/>
    <w:rsid w:val="56DF7C0B"/>
    <w:rsid w:val="571F0E7F"/>
    <w:rsid w:val="574F702D"/>
    <w:rsid w:val="5753646D"/>
    <w:rsid w:val="57566F57"/>
    <w:rsid w:val="576A7F0B"/>
    <w:rsid w:val="578D68C8"/>
    <w:rsid w:val="57995095"/>
    <w:rsid w:val="57A525D0"/>
    <w:rsid w:val="57BA19C8"/>
    <w:rsid w:val="57C754E6"/>
    <w:rsid w:val="57F723C6"/>
    <w:rsid w:val="58000703"/>
    <w:rsid w:val="58044C05"/>
    <w:rsid w:val="580B026E"/>
    <w:rsid w:val="580E408B"/>
    <w:rsid w:val="582B0E20"/>
    <w:rsid w:val="583549DB"/>
    <w:rsid w:val="584762B3"/>
    <w:rsid w:val="585316E8"/>
    <w:rsid w:val="587924FF"/>
    <w:rsid w:val="58802F53"/>
    <w:rsid w:val="5893639F"/>
    <w:rsid w:val="58B3048A"/>
    <w:rsid w:val="58B43073"/>
    <w:rsid w:val="58B8154B"/>
    <w:rsid w:val="59007316"/>
    <w:rsid w:val="590C4A6A"/>
    <w:rsid w:val="590E5A84"/>
    <w:rsid w:val="591C5F7E"/>
    <w:rsid w:val="592878DD"/>
    <w:rsid w:val="59366C69"/>
    <w:rsid w:val="593E17CC"/>
    <w:rsid w:val="597917A2"/>
    <w:rsid w:val="598A0A6A"/>
    <w:rsid w:val="59910946"/>
    <w:rsid w:val="59AA781E"/>
    <w:rsid w:val="59C01C8A"/>
    <w:rsid w:val="59D931AB"/>
    <w:rsid w:val="59E24AD2"/>
    <w:rsid w:val="59E327B1"/>
    <w:rsid w:val="5A1D1FAE"/>
    <w:rsid w:val="5A571AB7"/>
    <w:rsid w:val="5A6951F3"/>
    <w:rsid w:val="5A9157CC"/>
    <w:rsid w:val="5A926F02"/>
    <w:rsid w:val="5AD72CED"/>
    <w:rsid w:val="5AE37FE6"/>
    <w:rsid w:val="5AEA28CD"/>
    <w:rsid w:val="5AEB1AA9"/>
    <w:rsid w:val="5AF12803"/>
    <w:rsid w:val="5B0A41C5"/>
    <w:rsid w:val="5B0F3878"/>
    <w:rsid w:val="5B296E39"/>
    <w:rsid w:val="5B307ABF"/>
    <w:rsid w:val="5B316B4F"/>
    <w:rsid w:val="5B51259F"/>
    <w:rsid w:val="5B565143"/>
    <w:rsid w:val="5B7B4AD5"/>
    <w:rsid w:val="5B7E082A"/>
    <w:rsid w:val="5B897E87"/>
    <w:rsid w:val="5B94572C"/>
    <w:rsid w:val="5B973B8E"/>
    <w:rsid w:val="5BAA2EAE"/>
    <w:rsid w:val="5BBA599C"/>
    <w:rsid w:val="5C030606"/>
    <w:rsid w:val="5C0534C7"/>
    <w:rsid w:val="5C0F3B78"/>
    <w:rsid w:val="5C1D62DE"/>
    <w:rsid w:val="5C5115CF"/>
    <w:rsid w:val="5C711048"/>
    <w:rsid w:val="5C7C4B56"/>
    <w:rsid w:val="5C8F2E27"/>
    <w:rsid w:val="5CB10365"/>
    <w:rsid w:val="5CC96E7F"/>
    <w:rsid w:val="5CDA686C"/>
    <w:rsid w:val="5CEB3F44"/>
    <w:rsid w:val="5D36380A"/>
    <w:rsid w:val="5D4F5E22"/>
    <w:rsid w:val="5D5B5446"/>
    <w:rsid w:val="5D5F0F42"/>
    <w:rsid w:val="5D600B2F"/>
    <w:rsid w:val="5D6810EA"/>
    <w:rsid w:val="5D7214DA"/>
    <w:rsid w:val="5D8C6099"/>
    <w:rsid w:val="5D9702C9"/>
    <w:rsid w:val="5D9713C1"/>
    <w:rsid w:val="5D9C693A"/>
    <w:rsid w:val="5DA2527F"/>
    <w:rsid w:val="5DBE390D"/>
    <w:rsid w:val="5DC06A62"/>
    <w:rsid w:val="5DCA108D"/>
    <w:rsid w:val="5DCC7252"/>
    <w:rsid w:val="5DD24E5D"/>
    <w:rsid w:val="5DD744A6"/>
    <w:rsid w:val="5DE84681"/>
    <w:rsid w:val="5E10212E"/>
    <w:rsid w:val="5E3A5549"/>
    <w:rsid w:val="5E6957C1"/>
    <w:rsid w:val="5E8625FE"/>
    <w:rsid w:val="5E916AC6"/>
    <w:rsid w:val="5ECC0612"/>
    <w:rsid w:val="5ED20829"/>
    <w:rsid w:val="5ED37121"/>
    <w:rsid w:val="5EE13787"/>
    <w:rsid w:val="5EE6742F"/>
    <w:rsid w:val="5EEA2F02"/>
    <w:rsid w:val="5F044FFD"/>
    <w:rsid w:val="5F0B0627"/>
    <w:rsid w:val="5F186DEA"/>
    <w:rsid w:val="5F3C325F"/>
    <w:rsid w:val="5F4E49B7"/>
    <w:rsid w:val="5F5A5258"/>
    <w:rsid w:val="5F62445C"/>
    <w:rsid w:val="5F655C9C"/>
    <w:rsid w:val="5F6C5D9B"/>
    <w:rsid w:val="5FAB511D"/>
    <w:rsid w:val="5FC36609"/>
    <w:rsid w:val="600633D2"/>
    <w:rsid w:val="60337E9D"/>
    <w:rsid w:val="603B7889"/>
    <w:rsid w:val="604766FB"/>
    <w:rsid w:val="60665B03"/>
    <w:rsid w:val="60A14486"/>
    <w:rsid w:val="60B01C41"/>
    <w:rsid w:val="60B07F3A"/>
    <w:rsid w:val="60B35F62"/>
    <w:rsid w:val="60D757D3"/>
    <w:rsid w:val="60F8356A"/>
    <w:rsid w:val="60FF21FB"/>
    <w:rsid w:val="612F73B7"/>
    <w:rsid w:val="613628F1"/>
    <w:rsid w:val="6142304C"/>
    <w:rsid w:val="617D6860"/>
    <w:rsid w:val="619B4C80"/>
    <w:rsid w:val="61A539F3"/>
    <w:rsid w:val="61B56F70"/>
    <w:rsid w:val="61BC6FF1"/>
    <w:rsid w:val="61BE2D72"/>
    <w:rsid w:val="61D2367E"/>
    <w:rsid w:val="61F257C1"/>
    <w:rsid w:val="61F83918"/>
    <w:rsid w:val="62024051"/>
    <w:rsid w:val="620F699E"/>
    <w:rsid w:val="62146890"/>
    <w:rsid w:val="6235503B"/>
    <w:rsid w:val="6244424A"/>
    <w:rsid w:val="62475E42"/>
    <w:rsid w:val="624B3312"/>
    <w:rsid w:val="626D391A"/>
    <w:rsid w:val="62833DE1"/>
    <w:rsid w:val="62CC79B4"/>
    <w:rsid w:val="62D13D62"/>
    <w:rsid w:val="62FE6DA5"/>
    <w:rsid w:val="630448E5"/>
    <w:rsid w:val="631844E8"/>
    <w:rsid w:val="637678C3"/>
    <w:rsid w:val="638429EF"/>
    <w:rsid w:val="63855C20"/>
    <w:rsid w:val="63C22DEB"/>
    <w:rsid w:val="63C30B97"/>
    <w:rsid w:val="63CA5E25"/>
    <w:rsid w:val="63DA740E"/>
    <w:rsid w:val="63E246DF"/>
    <w:rsid w:val="63F53005"/>
    <w:rsid w:val="64370594"/>
    <w:rsid w:val="6445282D"/>
    <w:rsid w:val="644C5A2C"/>
    <w:rsid w:val="645F3839"/>
    <w:rsid w:val="64671C62"/>
    <w:rsid w:val="649524E9"/>
    <w:rsid w:val="6498136A"/>
    <w:rsid w:val="64CB67BA"/>
    <w:rsid w:val="64ED10BA"/>
    <w:rsid w:val="64FC1A4D"/>
    <w:rsid w:val="653B6239"/>
    <w:rsid w:val="656C3570"/>
    <w:rsid w:val="658C2ADB"/>
    <w:rsid w:val="659266F7"/>
    <w:rsid w:val="659B1711"/>
    <w:rsid w:val="65A87AF1"/>
    <w:rsid w:val="65BD2897"/>
    <w:rsid w:val="65CA0282"/>
    <w:rsid w:val="65D940F6"/>
    <w:rsid w:val="65E859DC"/>
    <w:rsid w:val="65EF7470"/>
    <w:rsid w:val="65F163FF"/>
    <w:rsid w:val="65FF10B8"/>
    <w:rsid w:val="66013A43"/>
    <w:rsid w:val="66067D9A"/>
    <w:rsid w:val="661275CF"/>
    <w:rsid w:val="66272EDA"/>
    <w:rsid w:val="66350AC9"/>
    <w:rsid w:val="663D29F8"/>
    <w:rsid w:val="6647506C"/>
    <w:rsid w:val="664B0114"/>
    <w:rsid w:val="664F4C45"/>
    <w:rsid w:val="66503027"/>
    <w:rsid w:val="66744292"/>
    <w:rsid w:val="667747F4"/>
    <w:rsid w:val="667B52B4"/>
    <w:rsid w:val="66B75538"/>
    <w:rsid w:val="66C95AD7"/>
    <w:rsid w:val="66CA47FA"/>
    <w:rsid w:val="66CF118E"/>
    <w:rsid w:val="66FC1415"/>
    <w:rsid w:val="670628EA"/>
    <w:rsid w:val="670A0B07"/>
    <w:rsid w:val="672776BF"/>
    <w:rsid w:val="674F5127"/>
    <w:rsid w:val="6779687A"/>
    <w:rsid w:val="677A68E6"/>
    <w:rsid w:val="679100CF"/>
    <w:rsid w:val="6795276A"/>
    <w:rsid w:val="67A07443"/>
    <w:rsid w:val="680E4979"/>
    <w:rsid w:val="681678A8"/>
    <w:rsid w:val="68183DB4"/>
    <w:rsid w:val="68277F50"/>
    <w:rsid w:val="683067D7"/>
    <w:rsid w:val="684455AA"/>
    <w:rsid w:val="68456F16"/>
    <w:rsid w:val="68672AC1"/>
    <w:rsid w:val="6881195A"/>
    <w:rsid w:val="68CC61C8"/>
    <w:rsid w:val="68FE61F7"/>
    <w:rsid w:val="69320917"/>
    <w:rsid w:val="69944E80"/>
    <w:rsid w:val="69A057DD"/>
    <w:rsid w:val="69A920BB"/>
    <w:rsid w:val="69C25028"/>
    <w:rsid w:val="69D92FB1"/>
    <w:rsid w:val="69DF6662"/>
    <w:rsid w:val="69E51665"/>
    <w:rsid w:val="69F47B11"/>
    <w:rsid w:val="6A054924"/>
    <w:rsid w:val="6A726C6D"/>
    <w:rsid w:val="6A8D4A67"/>
    <w:rsid w:val="6A8E0F51"/>
    <w:rsid w:val="6A9E4A45"/>
    <w:rsid w:val="6AA12402"/>
    <w:rsid w:val="6ABB1B97"/>
    <w:rsid w:val="6AC41FD2"/>
    <w:rsid w:val="6AEC2E18"/>
    <w:rsid w:val="6AFE2AEB"/>
    <w:rsid w:val="6B0620D9"/>
    <w:rsid w:val="6B0D5D80"/>
    <w:rsid w:val="6B4F0C2A"/>
    <w:rsid w:val="6B731362"/>
    <w:rsid w:val="6B9877CF"/>
    <w:rsid w:val="6BD11A4F"/>
    <w:rsid w:val="6BE24E05"/>
    <w:rsid w:val="6BE4292B"/>
    <w:rsid w:val="6BE84D8E"/>
    <w:rsid w:val="6BE95D2D"/>
    <w:rsid w:val="6BEA5819"/>
    <w:rsid w:val="6BFB286F"/>
    <w:rsid w:val="6C0C703D"/>
    <w:rsid w:val="6C1D5E3D"/>
    <w:rsid w:val="6C2C437A"/>
    <w:rsid w:val="6C332E73"/>
    <w:rsid w:val="6C787517"/>
    <w:rsid w:val="6C8C45F0"/>
    <w:rsid w:val="6CC64B60"/>
    <w:rsid w:val="6CDF2E4F"/>
    <w:rsid w:val="6CE8644B"/>
    <w:rsid w:val="6CE93F71"/>
    <w:rsid w:val="6CF319E8"/>
    <w:rsid w:val="6D17288C"/>
    <w:rsid w:val="6D287D1D"/>
    <w:rsid w:val="6D5E03A1"/>
    <w:rsid w:val="6D673814"/>
    <w:rsid w:val="6D6A747F"/>
    <w:rsid w:val="6D6D1597"/>
    <w:rsid w:val="6D7209CF"/>
    <w:rsid w:val="6DB92513"/>
    <w:rsid w:val="6DF62ED2"/>
    <w:rsid w:val="6E001339"/>
    <w:rsid w:val="6E08440D"/>
    <w:rsid w:val="6E101D53"/>
    <w:rsid w:val="6E162EDE"/>
    <w:rsid w:val="6E2C42DC"/>
    <w:rsid w:val="6E3A4A84"/>
    <w:rsid w:val="6E7A2E88"/>
    <w:rsid w:val="6E8568AB"/>
    <w:rsid w:val="6EA43F6F"/>
    <w:rsid w:val="6EAE5472"/>
    <w:rsid w:val="6ECF6225"/>
    <w:rsid w:val="6ED529FF"/>
    <w:rsid w:val="6EEE1441"/>
    <w:rsid w:val="6EF307C1"/>
    <w:rsid w:val="6F102CAF"/>
    <w:rsid w:val="6F1067FE"/>
    <w:rsid w:val="6F341910"/>
    <w:rsid w:val="6F516C51"/>
    <w:rsid w:val="6F5174CC"/>
    <w:rsid w:val="6F67681A"/>
    <w:rsid w:val="6F6A49F3"/>
    <w:rsid w:val="6FBB7E47"/>
    <w:rsid w:val="700134AA"/>
    <w:rsid w:val="70147557"/>
    <w:rsid w:val="701B53AF"/>
    <w:rsid w:val="702D6C3C"/>
    <w:rsid w:val="704801D6"/>
    <w:rsid w:val="705C7751"/>
    <w:rsid w:val="706B0ACF"/>
    <w:rsid w:val="706C25D6"/>
    <w:rsid w:val="707906B1"/>
    <w:rsid w:val="708517D6"/>
    <w:rsid w:val="70876D48"/>
    <w:rsid w:val="709A056B"/>
    <w:rsid w:val="70B825D8"/>
    <w:rsid w:val="70D552A1"/>
    <w:rsid w:val="70DC035A"/>
    <w:rsid w:val="70E94540"/>
    <w:rsid w:val="70E96C2A"/>
    <w:rsid w:val="7104137A"/>
    <w:rsid w:val="710B095A"/>
    <w:rsid w:val="711E68DF"/>
    <w:rsid w:val="711F512E"/>
    <w:rsid w:val="7152069A"/>
    <w:rsid w:val="71562852"/>
    <w:rsid w:val="71685468"/>
    <w:rsid w:val="71922F9E"/>
    <w:rsid w:val="719763D9"/>
    <w:rsid w:val="71A5490B"/>
    <w:rsid w:val="71A6602D"/>
    <w:rsid w:val="71BF3E7E"/>
    <w:rsid w:val="71CB6351"/>
    <w:rsid w:val="71E04E40"/>
    <w:rsid w:val="71EB37B0"/>
    <w:rsid w:val="72186962"/>
    <w:rsid w:val="723956BD"/>
    <w:rsid w:val="723F5C6D"/>
    <w:rsid w:val="72433BDD"/>
    <w:rsid w:val="7247257E"/>
    <w:rsid w:val="725938CA"/>
    <w:rsid w:val="72745468"/>
    <w:rsid w:val="728A7D65"/>
    <w:rsid w:val="72976792"/>
    <w:rsid w:val="72A46321"/>
    <w:rsid w:val="72A6447B"/>
    <w:rsid w:val="72A96E9E"/>
    <w:rsid w:val="72AA291A"/>
    <w:rsid w:val="72B32773"/>
    <w:rsid w:val="72C178CB"/>
    <w:rsid w:val="72D36440"/>
    <w:rsid w:val="72E6191B"/>
    <w:rsid w:val="72EA50DF"/>
    <w:rsid w:val="730C2FA9"/>
    <w:rsid w:val="732670AB"/>
    <w:rsid w:val="733C7952"/>
    <w:rsid w:val="73437635"/>
    <w:rsid w:val="73513C29"/>
    <w:rsid w:val="737B5752"/>
    <w:rsid w:val="737F2F3A"/>
    <w:rsid w:val="738B037D"/>
    <w:rsid w:val="73994DA9"/>
    <w:rsid w:val="73A656BF"/>
    <w:rsid w:val="73B03841"/>
    <w:rsid w:val="73B324A4"/>
    <w:rsid w:val="73BF36DF"/>
    <w:rsid w:val="73E31B37"/>
    <w:rsid w:val="73ED4DF2"/>
    <w:rsid w:val="73FE02EA"/>
    <w:rsid w:val="742F670E"/>
    <w:rsid w:val="743028A8"/>
    <w:rsid w:val="743E65E9"/>
    <w:rsid w:val="74605B9B"/>
    <w:rsid w:val="74634609"/>
    <w:rsid w:val="74643FF8"/>
    <w:rsid w:val="746F3196"/>
    <w:rsid w:val="748051BB"/>
    <w:rsid w:val="74A23A31"/>
    <w:rsid w:val="74AA2238"/>
    <w:rsid w:val="74C35FEF"/>
    <w:rsid w:val="74C41122"/>
    <w:rsid w:val="74C7180D"/>
    <w:rsid w:val="74D44144"/>
    <w:rsid w:val="75070AFC"/>
    <w:rsid w:val="75087C24"/>
    <w:rsid w:val="75392CB5"/>
    <w:rsid w:val="756218A5"/>
    <w:rsid w:val="757247FD"/>
    <w:rsid w:val="758A16C2"/>
    <w:rsid w:val="75A66C33"/>
    <w:rsid w:val="75A9457A"/>
    <w:rsid w:val="75C81C2C"/>
    <w:rsid w:val="75CB674E"/>
    <w:rsid w:val="75E22E27"/>
    <w:rsid w:val="75E750AC"/>
    <w:rsid w:val="75FE0072"/>
    <w:rsid w:val="7600462E"/>
    <w:rsid w:val="76090510"/>
    <w:rsid w:val="76373F9F"/>
    <w:rsid w:val="76381FDA"/>
    <w:rsid w:val="76635E5A"/>
    <w:rsid w:val="76716D0F"/>
    <w:rsid w:val="769526DA"/>
    <w:rsid w:val="76B455F0"/>
    <w:rsid w:val="76BB237A"/>
    <w:rsid w:val="76CE66B2"/>
    <w:rsid w:val="76E1351E"/>
    <w:rsid w:val="76E57E24"/>
    <w:rsid w:val="76F45846"/>
    <w:rsid w:val="77045514"/>
    <w:rsid w:val="77047FC4"/>
    <w:rsid w:val="77481E0C"/>
    <w:rsid w:val="77755B32"/>
    <w:rsid w:val="77767DE2"/>
    <w:rsid w:val="77862FDF"/>
    <w:rsid w:val="779675C9"/>
    <w:rsid w:val="779E21F0"/>
    <w:rsid w:val="77E9146F"/>
    <w:rsid w:val="781F5BCD"/>
    <w:rsid w:val="783748DC"/>
    <w:rsid w:val="78484242"/>
    <w:rsid w:val="78677873"/>
    <w:rsid w:val="786848E4"/>
    <w:rsid w:val="787A17EC"/>
    <w:rsid w:val="7884159D"/>
    <w:rsid w:val="78A376CA"/>
    <w:rsid w:val="78B14DD3"/>
    <w:rsid w:val="78D54797"/>
    <w:rsid w:val="78EF07FC"/>
    <w:rsid w:val="78EF290F"/>
    <w:rsid w:val="790E0C60"/>
    <w:rsid w:val="791C3736"/>
    <w:rsid w:val="792176E2"/>
    <w:rsid w:val="792B7DEB"/>
    <w:rsid w:val="79441429"/>
    <w:rsid w:val="79505A03"/>
    <w:rsid w:val="795A568C"/>
    <w:rsid w:val="79653A09"/>
    <w:rsid w:val="79763232"/>
    <w:rsid w:val="79B30BFC"/>
    <w:rsid w:val="79BB6943"/>
    <w:rsid w:val="79C81F48"/>
    <w:rsid w:val="7A0600DA"/>
    <w:rsid w:val="7A0E19B5"/>
    <w:rsid w:val="7A363500"/>
    <w:rsid w:val="7A4A1A7D"/>
    <w:rsid w:val="7A545120"/>
    <w:rsid w:val="7A6335B5"/>
    <w:rsid w:val="7A7B1B56"/>
    <w:rsid w:val="7A8E0B76"/>
    <w:rsid w:val="7AA716F4"/>
    <w:rsid w:val="7ABE12FF"/>
    <w:rsid w:val="7AC03043"/>
    <w:rsid w:val="7AD70929"/>
    <w:rsid w:val="7ADB75EF"/>
    <w:rsid w:val="7AE5221C"/>
    <w:rsid w:val="7AEA7B7F"/>
    <w:rsid w:val="7AEC5358"/>
    <w:rsid w:val="7B0D3021"/>
    <w:rsid w:val="7B1D597F"/>
    <w:rsid w:val="7B2014A6"/>
    <w:rsid w:val="7B27130D"/>
    <w:rsid w:val="7B4B3360"/>
    <w:rsid w:val="7B5178B1"/>
    <w:rsid w:val="7B5D3FDE"/>
    <w:rsid w:val="7B6A6679"/>
    <w:rsid w:val="7B8041AC"/>
    <w:rsid w:val="7B810272"/>
    <w:rsid w:val="7B882B37"/>
    <w:rsid w:val="7B8907DF"/>
    <w:rsid w:val="7B9F3A8C"/>
    <w:rsid w:val="7BCD518A"/>
    <w:rsid w:val="7BDF0E1A"/>
    <w:rsid w:val="7BF312DF"/>
    <w:rsid w:val="7C134B67"/>
    <w:rsid w:val="7C395948"/>
    <w:rsid w:val="7C567F28"/>
    <w:rsid w:val="7C5E0D25"/>
    <w:rsid w:val="7C5E5B42"/>
    <w:rsid w:val="7C635976"/>
    <w:rsid w:val="7C8C67EE"/>
    <w:rsid w:val="7CB82628"/>
    <w:rsid w:val="7CC540B3"/>
    <w:rsid w:val="7CD04FB1"/>
    <w:rsid w:val="7CD97B53"/>
    <w:rsid w:val="7CE97DA3"/>
    <w:rsid w:val="7CFD3174"/>
    <w:rsid w:val="7D22206F"/>
    <w:rsid w:val="7D272678"/>
    <w:rsid w:val="7D3768B7"/>
    <w:rsid w:val="7D3B50F4"/>
    <w:rsid w:val="7D41503F"/>
    <w:rsid w:val="7D5947FB"/>
    <w:rsid w:val="7D6A48EC"/>
    <w:rsid w:val="7D6A4C5A"/>
    <w:rsid w:val="7D99109C"/>
    <w:rsid w:val="7D9D62A5"/>
    <w:rsid w:val="7DA4016C"/>
    <w:rsid w:val="7DA94B99"/>
    <w:rsid w:val="7DBC40C6"/>
    <w:rsid w:val="7DC26844"/>
    <w:rsid w:val="7DC62B6A"/>
    <w:rsid w:val="7DCF3BB3"/>
    <w:rsid w:val="7DDE0A88"/>
    <w:rsid w:val="7DE705F3"/>
    <w:rsid w:val="7DF2516B"/>
    <w:rsid w:val="7E002EC9"/>
    <w:rsid w:val="7E0B471E"/>
    <w:rsid w:val="7E1F041D"/>
    <w:rsid w:val="7E447259"/>
    <w:rsid w:val="7E4E5CBF"/>
    <w:rsid w:val="7E4F0751"/>
    <w:rsid w:val="7E9C7AF6"/>
    <w:rsid w:val="7EA81ABF"/>
    <w:rsid w:val="7EC95594"/>
    <w:rsid w:val="7F074323"/>
    <w:rsid w:val="7F225747"/>
    <w:rsid w:val="7F3D43D5"/>
    <w:rsid w:val="7F460DAF"/>
    <w:rsid w:val="7F5F2FD2"/>
    <w:rsid w:val="7F672754"/>
    <w:rsid w:val="7F82050D"/>
    <w:rsid w:val="7F8556D6"/>
    <w:rsid w:val="7F9558A6"/>
    <w:rsid w:val="7FA501CC"/>
    <w:rsid w:val="7FAE1CBA"/>
    <w:rsid w:val="7FBF128D"/>
    <w:rsid w:val="7FE20E03"/>
    <w:rsid w:val="7FE4182F"/>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val="none" w:color="000000"/>
      <w:lang w:val="en-US" w:eastAsia="zh-CN" w:bidi="ar-SA"/>
    </w:rPr>
  </w:style>
  <w:style w:type="paragraph" w:styleId="2">
    <w:name w:val="heading 1"/>
    <w:basedOn w:val="1"/>
    <w:next w:val="1"/>
    <w:link w:val="40"/>
    <w:qFormat/>
    <w:uiPriority w:val="0"/>
    <w:pPr>
      <w:keepNext/>
      <w:keepLines/>
      <w:spacing w:before="240" w:beforeLines="0" w:beforeAutospacing="0" w:after="240" w:afterLines="0" w:afterAutospacing="0" w:line="240" w:lineRule="auto"/>
      <w:jc w:val="center"/>
      <w:outlineLvl w:val="0"/>
    </w:pPr>
    <w:rPr>
      <w:rFonts w:ascii="Calibri" w:hAnsi="Calibri" w:eastAsia="宋体" w:cs="Times New Roman"/>
      <w:b/>
      <w:kern w:val="44"/>
      <w:sz w:val="36"/>
      <w:szCs w:val="22"/>
    </w:rPr>
  </w:style>
  <w:style w:type="paragraph" w:styleId="3">
    <w:name w:val="heading 2"/>
    <w:basedOn w:val="1"/>
    <w:next w:val="1"/>
    <w:qFormat/>
    <w:uiPriority w:val="0"/>
    <w:pPr>
      <w:keepNext/>
      <w:keepLines/>
      <w:widowControl w:val="0"/>
      <w:numPr>
        <w:ilvl w:val="1"/>
        <w:numId w:val="0"/>
      </w:numPr>
      <w:adjustRightInd w:val="0"/>
      <w:spacing w:line="360" w:lineRule="auto"/>
      <w:jc w:val="center"/>
      <w:outlineLvl w:val="1"/>
    </w:pPr>
    <w:rPr>
      <w:rFonts w:ascii="Times New Roman" w:hAnsi="Times New Roman" w:eastAsia="宋体"/>
      <w:b/>
      <w:color w:val="auto"/>
      <w:sz w:val="30"/>
    </w:rPr>
  </w:style>
  <w:style w:type="paragraph" w:styleId="4">
    <w:name w:val="heading 3"/>
    <w:basedOn w:val="1"/>
    <w:next w:val="5"/>
    <w:link w:val="41"/>
    <w:qFormat/>
    <w:uiPriority w:val="0"/>
    <w:pPr>
      <w:keepNext/>
      <w:keepLines/>
      <w:spacing w:before="20" w:after="20" w:line="240" w:lineRule="auto"/>
      <w:jc w:val="center"/>
      <w:outlineLvl w:val="2"/>
    </w:pPr>
    <w:rPr>
      <w:rFonts w:ascii="Times New Roman" w:hAnsi="Times New Roman" w:eastAsia="宋体"/>
      <w:b/>
      <w:bCs/>
      <w:sz w:val="28"/>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5">
    <w:name w:val="Default Paragraph Font"/>
    <w:semiHidden/>
    <w:qFormat/>
    <w:uiPriority w:val="0"/>
  </w:style>
  <w:style w:type="table" w:default="1" w:styleId="2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5">
    <w:name w:val="Normal Indent"/>
    <w:basedOn w:val="1"/>
    <w:next w:val="6"/>
    <w:qFormat/>
    <w:uiPriority w:val="0"/>
    <w:pPr>
      <w:widowControl w:val="0"/>
      <w:adjustRightInd w:val="0"/>
      <w:spacing w:line="360" w:lineRule="atLeast"/>
      <w:ind w:firstLine="482"/>
    </w:pPr>
    <w:rPr>
      <w:color w:val="auto"/>
      <w:sz w:val="24"/>
      <w:u w:val="none" w:color="auto"/>
    </w:rPr>
  </w:style>
  <w:style w:type="paragraph" w:styleId="6">
    <w:name w:val="toc 4"/>
    <w:basedOn w:val="1"/>
    <w:next w:val="1"/>
    <w:qFormat/>
    <w:uiPriority w:val="0"/>
    <w:pPr>
      <w:ind w:left="630"/>
      <w:jc w:val="left"/>
    </w:pPr>
    <w:rPr>
      <w:rFonts w:ascii="Calibri" w:hAnsi="Calibri" w:cs="Calibri"/>
      <w:sz w:val="18"/>
      <w:szCs w:val="18"/>
    </w:rPr>
  </w:style>
  <w:style w:type="paragraph" w:styleId="9">
    <w:name w:val="table of authorities"/>
    <w:basedOn w:val="1"/>
    <w:next w:val="1"/>
    <w:unhideWhenUsed/>
    <w:qFormat/>
    <w:uiPriority w:val="99"/>
    <w:pPr>
      <w:ind w:left="420" w:leftChars="200"/>
    </w:pPr>
  </w:style>
  <w:style w:type="paragraph" w:styleId="10">
    <w:name w:val="toa heading"/>
    <w:basedOn w:val="1"/>
    <w:next w:val="1"/>
    <w:qFormat/>
    <w:uiPriority w:val="0"/>
    <w:pPr>
      <w:spacing w:before="120"/>
    </w:pPr>
    <w:rPr>
      <w:rFonts w:ascii="Arial" w:hAnsi="Arial"/>
      <w:sz w:val="24"/>
    </w:rPr>
  </w:style>
  <w:style w:type="paragraph" w:styleId="11">
    <w:name w:val="Body Text"/>
    <w:basedOn w:val="1"/>
    <w:link w:val="54"/>
    <w:qFormat/>
    <w:uiPriority w:val="0"/>
    <w:pPr>
      <w:widowControl w:val="0"/>
      <w:snapToGrid w:val="0"/>
      <w:spacing w:line="360" w:lineRule="auto"/>
    </w:pPr>
    <w:rPr>
      <w:rFonts w:ascii="Arial" w:hAnsi="Arial" w:eastAsia="FangSong_GB2312"/>
      <w:sz w:val="31"/>
    </w:rPr>
  </w:style>
  <w:style w:type="paragraph" w:styleId="12">
    <w:name w:val="Body Text Indent"/>
    <w:basedOn w:val="1"/>
    <w:qFormat/>
    <w:uiPriority w:val="0"/>
    <w:pPr>
      <w:spacing w:after="120" w:afterLines="0" w:afterAutospacing="0"/>
      <w:ind w:left="420" w:leftChars="200"/>
    </w:pPr>
  </w:style>
  <w:style w:type="paragraph" w:styleId="13">
    <w:name w:val="Plain Text"/>
    <w:basedOn w:val="1"/>
    <w:next w:val="1"/>
    <w:qFormat/>
    <w:uiPriority w:val="0"/>
    <w:pPr>
      <w:widowControl w:val="0"/>
      <w:spacing w:line="240" w:lineRule="auto"/>
      <w:textAlignment w:val="auto"/>
    </w:pPr>
    <w:rPr>
      <w:rFonts w:ascii="宋体" w:hAnsi="Courier New"/>
      <w:color w:val="auto"/>
      <w:kern w:val="2"/>
      <w:u w:val="none" w:color="auto"/>
    </w:rPr>
  </w:style>
  <w:style w:type="paragraph" w:styleId="14">
    <w:name w:val="Date"/>
    <w:basedOn w:val="1"/>
    <w:next w:val="1"/>
    <w:qFormat/>
    <w:uiPriority w:val="0"/>
    <w:pPr>
      <w:widowControl w:val="0"/>
      <w:spacing w:line="240" w:lineRule="auto"/>
      <w:textAlignment w:val="auto"/>
    </w:pPr>
    <w:rPr>
      <w:rFonts w:ascii="Arial" w:hAnsi="Arial" w:eastAsia="FangSong_GB2312"/>
      <w:color w:val="auto"/>
      <w:kern w:val="2"/>
      <w:sz w:val="32"/>
      <w:u w:val="none" w:color="auto"/>
    </w:rPr>
  </w:style>
  <w:style w:type="paragraph" w:styleId="15">
    <w:name w:val="footer"/>
    <w:basedOn w:val="1"/>
    <w:qFormat/>
    <w:uiPriority w:val="99"/>
    <w:pPr>
      <w:tabs>
        <w:tab w:val="center" w:pos="4153"/>
        <w:tab w:val="right" w:pos="8306"/>
      </w:tabs>
      <w:snapToGrid w:val="0"/>
      <w:spacing w:line="240" w:lineRule="atLeast"/>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7">
    <w:name w:val="toc 1"/>
    <w:basedOn w:val="1"/>
    <w:next w:val="1"/>
    <w:qFormat/>
    <w:uiPriority w:val="39"/>
  </w:style>
  <w:style w:type="paragraph" w:styleId="18">
    <w:name w:val="Body Text 2"/>
    <w:basedOn w:val="1"/>
    <w:unhideWhenUsed/>
    <w:qFormat/>
    <w:uiPriority w:val="99"/>
    <w:rPr>
      <w:sz w:val="28"/>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0">
    <w:name w:val="Normal (Web)"/>
    <w:basedOn w:val="1"/>
    <w:qFormat/>
    <w:uiPriority w:val="0"/>
    <w:pPr>
      <w:spacing w:before="100" w:beforeAutospacing="1" w:after="100" w:afterAutospacing="1" w:line="240" w:lineRule="auto"/>
      <w:jc w:val="left"/>
      <w:textAlignment w:val="auto"/>
    </w:pPr>
    <w:rPr>
      <w:rFonts w:ascii="宋体" w:hAnsi="宋体" w:cs="宋体"/>
      <w:color w:val="auto"/>
      <w:sz w:val="24"/>
      <w:szCs w:val="24"/>
      <w:u w:val="none" w:color="auto"/>
    </w:rPr>
  </w:style>
  <w:style w:type="paragraph" w:styleId="21">
    <w:name w:val="Body Text First Indent"/>
    <w:basedOn w:val="11"/>
    <w:next w:val="1"/>
    <w:qFormat/>
    <w:uiPriority w:val="0"/>
    <w:pPr>
      <w:spacing w:after="120" w:afterLines="0" w:line="240" w:lineRule="auto"/>
      <w:ind w:firstLine="420" w:firstLineChars="100"/>
    </w:pPr>
    <w:rPr>
      <w:rFonts w:ascii="Calibri" w:hAnsi="Calibri"/>
      <w:color w:val="auto"/>
      <w:sz w:val="18"/>
      <w:szCs w:val="18"/>
    </w:rPr>
  </w:style>
  <w:style w:type="paragraph" w:styleId="22">
    <w:name w:val="Body Text First Indent 2"/>
    <w:basedOn w:val="12"/>
    <w:qFormat/>
    <w:uiPriority w:val="0"/>
    <w:pPr>
      <w:ind w:firstLine="420" w:firstLineChars="200"/>
    </w:pPr>
    <w:rPr>
      <w:szCs w:val="24"/>
    </w:rPr>
  </w:style>
  <w:style w:type="table" w:styleId="24">
    <w:name w:val="Table Grid"/>
    <w:basedOn w:val="23"/>
    <w:qFormat/>
    <w:uiPriority w:val="59"/>
    <w:pPr>
      <w:spacing w:line="357"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basedOn w:val="25"/>
    <w:qFormat/>
    <w:uiPriority w:val="0"/>
  </w:style>
  <w:style w:type="character" w:styleId="28">
    <w:name w:val="FollowedHyperlink"/>
    <w:basedOn w:val="25"/>
    <w:qFormat/>
    <w:uiPriority w:val="0"/>
    <w:rPr>
      <w:color w:val="800080"/>
      <w:u w:val="none"/>
    </w:rPr>
  </w:style>
  <w:style w:type="character" w:styleId="29">
    <w:name w:val="Emphasis"/>
    <w:basedOn w:val="25"/>
    <w:qFormat/>
    <w:uiPriority w:val="0"/>
  </w:style>
  <w:style w:type="character" w:styleId="30">
    <w:name w:val="HTML Definition"/>
    <w:basedOn w:val="25"/>
    <w:qFormat/>
    <w:uiPriority w:val="0"/>
  </w:style>
  <w:style w:type="character" w:styleId="31">
    <w:name w:val="HTML Variable"/>
    <w:basedOn w:val="25"/>
    <w:qFormat/>
    <w:uiPriority w:val="0"/>
  </w:style>
  <w:style w:type="character" w:styleId="32">
    <w:name w:val="Hyperlink"/>
    <w:basedOn w:val="25"/>
    <w:qFormat/>
    <w:uiPriority w:val="0"/>
    <w:rPr>
      <w:rFonts w:ascii="等线" w:hAnsi="等线" w:eastAsia="华文宋体"/>
      <w:color w:val="0000FF"/>
      <w:u w:val="single"/>
    </w:rPr>
  </w:style>
  <w:style w:type="character" w:styleId="33">
    <w:name w:val="HTML Code"/>
    <w:basedOn w:val="25"/>
    <w:qFormat/>
    <w:uiPriority w:val="0"/>
    <w:rPr>
      <w:rFonts w:hint="default" w:ascii="Courier New" w:hAnsi="Courier New" w:eastAsia="Courier New" w:cs="Courier New"/>
      <w:sz w:val="20"/>
    </w:rPr>
  </w:style>
  <w:style w:type="character" w:styleId="34">
    <w:name w:val="HTML Cite"/>
    <w:basedOn w:val="25"/>
    <w:qFormat/>
    <w:uiPriority w:val="0"/>
  </w:style>
  <w:style w:type="character" w:styleId="35">
    <w:name w:val="HTML Keyboard"/>
    <w:basedOn w:val="25"/>
    <w:qFormat/>
    <w:uiPriority w:val="0"/>
    <w:rPr>
      <w:rFonts w:hint="default" w:ascii="Courier New" w:hAnsi="Courier New" w:eastAsia="Courier New" w:cs="Courier New"/>
      <w:sz w:val="20"/>
    </w:rPr>
  </w:style>
  <w:style w:type="character" w:styleId="36">
    <w:name w:val="HTML Sample"/>
    <w:basedOn w:val="25"/>
    <w:qFormat/>
    <w:uiPriority w:val="0"/>
    <w:rPr>
      <w:rFonts w:ascii="Courier New" w:hAnsi="Courier New" w:eastAsia="Courier New" w:cs="Courier New"/>
    </w:rPr>
  </w:style>
  <w:style w:type="paragraph" w:customStyle="1" w:styleId="37">
    <w:name w:val="无间隔1"/>
    <w:qFormat/>
    <w:uiPriority w:val="1"/>
    <w:pPr>
      <w:widowControl w:val="0"/>
    </w:pPr>
    <w:rPr>
      <w:rFonts w:ascii="Calibri" w:hAnsi="Calibri" w:eastAsia="宋体" w:cs="Times New Roman"/>
      <w:kern w:val="2"/>
      <w:sz w:val="21"/>
      <w:szCs w:val="22"/>
      <w:lang w:val="en-US" w:eastAsia="zh-CN" w:bidi="ar-SA"/>
    </w:rPr>
  </w:style>
  <w:style w:type="paragraph" w:customStyle="1" w:styleId="38">
    <w:name w:val="Char"/>
    <w:basedOn w:val="1"/>
    <w:autoRedefine/>
    <w:qFormat/>
    <w:uiPriority w:val="99"/>
    <w:pPr>
      <w:ind w:left="840" w:hanging="420"/>
    </w:pPr>
    <w:rPr>
      <w:rFonts w:hAnsi="Calibri"/>
    </w:rPr>
  </w:style>
  <w:style w:type="paragraph" w:customStyle="1" w:styleId="3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0">
    <w:name w:val="标题 1 Char"/>
    <w:link w:val="2"/>
    <w:qFormat/>
    <w:uiPriority w:val="0"/>
    <w:rPr>
      <w:rFonts w:ascii="Calibri" w:hAnsi="Calibri" w:eastAsia="宋体" w:cs="Times New Roman"/>
      <w:b/>
      <w:kern w:val="44"/>
      <w:sz w:val="36"/>
      <w:szCs w:val="22"/>
    </w:rPr>
  </w:style>
  <w:style w:type="character" w:customStyle="1" w:styleId="41">
    <w:name w:val="标题 3 Char"/>
    <w:link w:val="4"/>
    <w:qFormat/>
    <w:uiPriority w:val="0"/>
    <w:rPr>
      <w:rFonts w:ascii="Times New Roman" w:hAnsi="Times New Roman" w:eastAsia="宋体"/>
      <w:b/>
      <w:bCs/>
      <w:sz w:val="28"/>
      <w:szCs w:val="32"/>
    </w:rPr>
  </w:style>
  <w:style w:type="paragraph" w:customStyle="1" w:styleId="42">
    <w:name w:val="正文1"/>
    <w:qFormat/>
    <w:uiPriority w:val="0"/>
    <w:pPr>
      <w:widowControl w:val="0"/>
      <w:adjustRightInd w:val="0"/>
      <w:spacing w:line="315" w:lineRule="atLeast"/>
      <w:textAlignment w:val="baseline"/>
    </w:pPr>
    <w:rPr>
      <w:rFonts w:ascii="宋体" w:hAnsi="Calibri" w:eastAsia="宋体" w:cs="Times New Roman"/>
      <w:sz w:val="24"/>
      <w:lang w:val="en-US" w:eastAsia="zh-CN" w:bidi="ar-SA"/>
    </w:rPr>
  </w:style>
  <w:style w:type="paragraph" w:customStyle="1" w:styleId="43">
    <w:name w:val="_Style 7"/>
    <w:basedOn w:val="2"/>
    <w:next w:val="1"/>
    <w:qFormat/>
    <w:uiPriority w:val="39"/>
    <w:pPr>
      <w:spacing w:before="480" w:after="0" w:line="276" w:lineRule="auto"/>
      <w:jc w:val="left"/>
      <w:textAlignment w:val="auto"/>
      <w:outlineLvl w:val="9"/>
    </w:pPr>
    <w:rPr>
      <w:rFonts w:ascii="Cambria" w:hAnsi="Cambria" w:eastAsia="宋体" w:cs="Times New Roman"/>
      <w:color w:val="365F91"/>
      <w:kern w:val="0"/>
      <w:sz w:val="28"/>
      <w:szCs w:val="28"/>
      <w:u w:val="none" w:color="auto"/>
    </w:rPr>
  </w:style>
  <w:style w:type="paragraph" w:customStyle="1" w:styleId="44">
    <w:name w:val="正文文字2"/>
    <w:basedOn w:val="11"/>
    <w:qFormat/>
    <w:uiPriority w:val="0"/>
    <w:pPr>
      <w:adjustRightInd w:val="0"/>
      <w:spacing w:after="60" w:line="360" w:lineRule="atLeast"/>
      <w:ind w:left="72" w:leftChars="30" w:right="72" w:rightChars="30"/>
      <w:jc w:val="center"/>
    </w:pPr>
    <w:rPr>
      <w:rFonts w:eastAsia="黑体"/>
      <w:sz w:val="21"/>
    </w:rPr>
  </w:style>
  <w:style w:type="paragraph" w:customStyle="1" w:styleId="45">
    <w:name w:val="reader-word-layer reader-word-s36-69 reader-word-s36-96"/>
    <w:basedOn w:val="1"/>
    <w:qFormat/>
    <w:uiPriority w:val="0"/>
    <w:pPr>
      <w:spacing w:before="100" w:beforeAutospacing="1" w:after="100" w:afterAutospacing="1" w:line="240" w:lineRule="auto"/>
      <w:jc w:val="left"/>
    </w:pPr>
    <w:rPr>
      <w:rFonts w:ascii="宋体" w:hAnsi="宋体" w:cs="宋体"/>
      <w:sz w:val="24"/>
      <w:szCs w:val="24"/>
    </w:rPr>
  </w:style>
  <w:style w:type="paragraph" w:customStyle="1" w:styleId="46">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styleId="47">
    <w:name w:val="List Paragraph"/>
    <w:basedOn w:val="1"/>
    <w:qFormat/>
    <w:uiPriority w:val="0"/>
    <w:pPr>
      <w:ind w:firstLine="420" w:firstLineChars="200"/>
    </w:pPr>
    <w:rPr>
      <w:rFonts w:ascii="Calibri" w:hAnsi="Calibri"/>
      <w:szCs w:val="22"/>
    </w:rPr>
  </w:style>
  <w:style w:type="paragraph" w:customStyle="1" w:styleId="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49">
    <w:name w:val="font91"/>
    <w:basedOn w:val="25"/>
    <w:qFormat/>
    <w:uiPriority w:val="0"/>
    <w:rPr>
      <w:rFonts w:ascii="仿宋_GB2312" w:eastAsia="仿宋_GB2312" w:cs="仿宋_GB2312"/>
      <w:color w:val="000000"/>
      <w:sz w:val="18"/>
      <w:szCs w:val="18"/>
      <w:u w:val="none"/>
    </w:rPr>
  </w:style>
  <w:style w:type="character" w:customStyle="1" w:styleId="50">
    <w:name w:val="font71"/>
    <w:basedOn w:val="25"/>
    <w:qFormat/>
    <w:uiPriority w:val="0"/>
    <w:rPr>
      <w:rFonts w:hint="default" w:ascii="Times New Roman" w:hAnsi="Times New Roman" w:cs="Times New Roman"/>
      <w:color w:val="000000"/>
      <w:sz w:val="20"/>
      <w:szCs w:val="20"/>
      <w:u w:val="none"/>
      <w:vertAlign w:val="superscript"/>
    </w:rPr>
  </w:style>
  <w:style w:type="character" w:customStyle="1" w:styleId="51">
    <w:name w:val="font81"/>
    <w:basedOn w:val="25"/>
    <w:qFormat/>
    <w:uiPriority w:val="0"/>
    <w:rPr>
      <w:rFonts w:hint="default" w:ascii="仿宋_GB2312" w:eastAsia="仿宋_GB2312" w:cs="仿宋_GB2312"/>
      <w:color w:val="000000"/>
      <w:sz w:val="20"/>
      <w:szCs w:val="20"/>
      <w:u w:val="none"/>
    </w:rPr>
  </w:style>
  <w:style w:type="character" w:customStyle="1" w:styleId="52">
    <w:name w:val="font11"/>
    <w:basedOn w:val="25"/>
    <w:qFormat/>
    <w:uiPriority w:val="0"/>
    <w:rPr>
      <w:rFonts w:hint="default" w:ascii="Times New Roman" w:hAnsi="Times New Roman" w:cs="Times New Roman"/>
      <w:color w:val="000000"/>
      <w:sz w:val="20"/>
      <w:szCs w:val="20"/>
      <w:u w:val="none"/>
    </w:rPr>
  </w:style>
  <w:style w:type="paragraph" w:customStyle="1" w:styleId="53">
    <w:name w:val="缺省文本"/>
    <w:basedOn w:val="1"/>
    <w:qFormat/>
    <w:uiPriority w:val="0"/>
    <w:pPr>
      <w:widowControl w:val="0"/>
      <w:autoSpaceDE w:val="0"/>
      <w:autoSpaceDN w:val="0"/>
      <w:adjustRightInd w:val="0"/>
      <w:spacing w:line="240" w:lineRule="auto"/>
      <w:jc w:val="left"/>
      <w:textAlignment w:val="auto"/>
    </w:pPr>
    <w:rPr>
      <w:color w:val="auto"/>
      <w:sz w:val="24"/>
      <w:u w:val="none" w:color="auto"/>
    </w:rPr>
  </w:style>
  <w:style w:type="character" w:customStyle="1" w:styleId="54">
    <w:name w:val="正文文本 Char"/>
    <w:basedOn w:val="25"/>
    <w:link w:val="11"/>
    <w:qFormat/>
    <w:uiPriority w:val="0"/>
    <w:rPr>
      <w:rFonts w:hint="default" w:ascii="Times New Roman" w:hAnsi="Times New Roman" w:cs="Times New Roman"/>
      <w:color w:val="000000"/>
      <w:sz w:val="21"/>
      <w:u w:color="000000"/>
    </w:rPr>
  </w:style>
  <w:style w:type="paragraph" w:customStyle="1" w:styleId="55">
    <w:name w:val="_Style 2"/>
    <w:basedOn w:val="2"/>
    <w:next w:val="1"/>
    <w:qFormat/>
    <w:uiPriority w:val="0"/>
    <w:pPr>
      <w:outlineLvl w:val="9"/>
    </w:pPr>
  </w:style>
  <w:style w:type="paragraph" w:customStyle="1" w:styleId="56">
    <w:name w:val="BodyText"/>
    <w:basedOn w:val="1"/>
    <w:next w:val="57"/>
    <w:qFormat/>
    <w:uiPriority w:val="0"/>
    <w:pPr>
      <w:spacing w:line="240" w:lineRule="auto"/>
      <w:jc w:val="left"/>
      <w:textAlignment w:val="baseline"/>
    </w:pPr>
    <w:rPr>
      <w:rFonts w:ascii="Calibri" w:hAnsi="Calibri" w:eastAsia="宋体"/>
      <w:b/>
      <w:kern w:val="2"/>
      <w:sz w:val="21"/>
      <w:szCs w:val="24"/>
      <w:lang w:val="en-US" w:eastAsia="zh-CN" w:bidi="ar-SA"/>
    </w:rPr>
  </w:style>
  <w:style w:type="paragraph" w:customStyle="1" w:styleId="57">
    <w:name w:val="UserStyle_1"/>
    <w:basedOn w:val="1"/>
    <w:next w:val="1"/>
    <w:qFormat/>
    <w:uiPriority w:val="0"/>
    <w:pPr>
      <w:spacing w:line="240" w:lineRule="auto"/>
      <w:ind w:left="0" w:leftChars="0"/>
      <w:jc w:val="left"/>
      <w:textAlignment w:val="baseline"/>
    </w:pPr>
  </w:style>
  <w:style w:type="paragraph" w:customStyle="1" w:styleId="58">
    <w:name w:val="WPSOffice手动目录 1"/>
    <w:qFormat/>
    <w:uiPriority w:val="0"/>
    <w:pPr>
      <w:ind w:leftChars="0"/>
    </w:pPr>
    <w:rPr>
      <w:rFonts w:ascii="Times New Roman" w:hAnsi="Times New Roman" w:eastAsia="宋体" w:cs="Times New Roman"/>
      <w:sz w:val="20"/>
      <w:szCs w:val="20"/>
    </w:rPr>
  </w:style>
  <w:style w:type="paragraph" w:customStyle="1" w:styleId="59">
    <w:name w:val="列出段落1"/>
    <w:basedOn w:val="1"/>
    <w:qFormat/>
    <w:uiPriority w:val="99"/>
    <w:pPr>
      <w:ind w:firstLine="420" w:firstLineChars="200"/>
    </w:pPr>
    <w:rPr>
      <w:szCs w:val="20"/>
    </w:rPr>
  </w:style>
  <w:style w:type="paragraph" w:customStyle="1" w:styleId="60">
    <w:name w:val="目录"/>
    <w:basedOn w:val="1"/>
    <w:qFormat/>
    <w:uiPriority w:val="0"/>
    <w:pPr>
      <w:widowControl/>
      <w:spacing w:line="240" w:lineRule="auto"/>
      <w:jc w:val="center"/>
    </w:pPr>
    <w:rPr>
      <w:rFonts w:ascii="宋体"/>
      <w:b/>
      <w:kern w:val="0"/>
      <w:sz w:val="36"/>
      <w:szCs w:val="20"/>
    </w:rPr>
  </w:style>
  <w:style w:type="paragraph" w:customStyle="1" w:styleId="61">
    <w:name w:val="正文缩进1"/>
    <w:basedOn w:val="1"/>
    <w:qFormat/>
    <w:uiPriority w:val="99"/>
    <w:pPr>
      <w:ind w:firstLine="420" w:firstLineChars="200"/>
    </w:pPr>
  </w:style>
  <w:style w:type="character" w:customStyle="1" w:styleId="62">
    <w:name w:val="button"/>
    <w:basedOn w:val="25"/>
    <w:qFormat/>
    <w:uiPriority w:val="0"/>
  </w:style>
  <w:style w:type="character" w:customStyle="1" w:styleId="63">
    <w:name w:val="hour_am"/>
    <w:basedOn w:val="25"/>
    <w:qFormat/>
    <w:uiPriority w:val="0"/>
  </w:style>
  <w:style w:type="character" w:customStyle="1" w:styleId="64">
    <w:name w:val="hover3"/>
    <w:basedOn w:val="25"/>
    <w:qFormat/>
    <w:uiPriority w:val="0"/>
    <w:rPr>
      <w:shd w:val="clear" w:fill="EEEEEE"/>
    </w:rPr>
  </w:style>
  <w:style w:type="character" w:customStyle="1" w:styleId="65">
    <w:name w:val="old"/>
    <w:basedOn w:val="25"/>
    <w:qFormat/>
    <w:uiPriority w:val="0"/>
    <w:rPr>
      <w:color w:val="999999"/>
    </w:rPr>
  </w:style>
  <w:style w:type="character" w:customStyle="1" w:styleId="66">
    <w:name w:val="glyphicon4"/>
    <w:basedOn w:val="25"/>
    <w:qFormat/>
    <w:uiPriority w:val="0"/>
  </w:style>
  <w:style w:type="character" w:customStyle="1" w:styleId="67">
    <w:name w:val="hour_pm"/>
    <w:basedOn w:val="25"/>
    <w:qFormat/>
    <w:uiPriority w:val="0"/>
  </w:style>
  <w:style w:type="character" w:customStyle="1" w:styleId="68">
    <w:name w:val="indent"/>
    <w:basedOn w:val="25"/>
    <w:qFormat/>
    <w:uiPriority w:val="0"/>
  </w:style>
  <w:style w:type="character" w:customStyle="1" w:styleId="69">
    <w:name w:val="tmpztreemove_arrow"/>
    <w:basedOn w:val="25"/>
    <w:qFormat/>
    <w:uiPriority w:val="0"/>
    <w:rPr>
      <w:shd w:val="clear" w:fill="FFFFFF"/>
    </w:rPr>
  </w:style>
  <w:style w:type="paragraph" w:customStyle="1" w:styleId="70">
    <w:name w:val="title12"/>
    <w:basedOn w:val="1"/>
    <w:qFormat/>
    <w:uiPriority w:val="0"/>
    <w:pPr>
      <w:spacing w:before="120" w:beforeAutospacing="0" w:after="0" w:afterAutospacing="0"/>
      <w:ind w:left="0" w:right="0" w:firstLine="0"/>
      <w:jc w:val="left"/>
    </w:pPr>
    <w:rPr>
      <w:b/>
      <w:bCs/>
      <w:kern w:val="0"/>
      <w:sz w:val="18"/>
      <w:szCs w:val="18"/>
      <w:lang w:val="en-US" w:eastAsia="zh-CN" w:bidi="ar"/>
    </w:rPr>
  </w:style>
  <w:style w:type="paragraph" w:customStyle="1" w:styleId="71">
    <w:name w:val="null3"/>
    <w:hidden/>
    <w:qFormat/>
    <w:uiPriority w:val="0"/>
    <w:rPr>
      <w:rFonts w:hint="eastAsia" w:asciiTheme="minorHAnsi" w:hAnsiTheme="minorHAnsi" w:eastAsiaTheme="minorEastAsia" w:cstheme="minorBidi"/>
      <w:lang w:val="en-US" w:eastAsia="zh-Hans"/>
    </w:rPr>
  </w:style>
  <w:style w:type="paragraph" w:customStyle="1" w:styleId="72">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73">
    <w:name w:val="标书正文"/>
    <w:basedOn w:val="1"/>
    <w:qFormat/>
    <w:uiPriority w:val="0"/>
    <w:pPr>
      <w:tabs>
        <w:tab w:val="left" w:pos="600"/>
      </w:tabs>
      <w:snapToGrid w:val="0"/>
      <w:spacing w:line="480" w:lineRule="atLeast"/>
      <w:jc w:val="center"/>
    </w:pPr>
    <w:rPr>
      <w:rFonts w:eastAsia="黑体"/>
      <w:b/>
      <w:sz w:val="30"/>
      <w:szCs w:val="20"/>
    </w:rPr>
  </w:style>
  <w:style w:type="paragraph" w:customStyle="1" w:styleId="74">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jpeg"/><Relationship Id="rId21" Type="http://schemas.openxmlformats.org/officeDocument/2006/relationships/image" Target="media/image5.jpeg"/><Relationship Id="rId20" Type="http://schemas.openxmlformats.org/officeDocument/2006/relationships/image" Target="media/image4.jpeg"/><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19317</Words>
  <Characters>20551</Characters>
  <Lines>0</Lines>
  <Paragraphs>0</Paragraphs>
  <TotalTime>0</TotalTime>
  <ScaleCrop>false</ScaleCrop>
  <LinksUpToDate>false</LinksUpToDate>
  <CharactersWithSpaces>20947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2019-08-30T06:02:00Z</dcterms:created>
  <dc:creator>Administrator</dc:creator>
  <cp:lastModifiedBy>Hanson 汉森</cp:lastModifiedBy>
  <dcterms:modified xsi:type="dcterms:W3CDTF">2026-02-04T01:46:04Z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3B15B5391A994A74A816701628137E9D_13</vt:lpwstr>
  </property>
  <property fmtid="{D5CDD505-2E9C-101B-9397-08002B2CF9AE}" pid="4" name="KSOTemplateDocerSaveRecord">
    <vt:lpwstr>eyJoZGlkIjoiMDk3Y2Y1MjYwZDg0YjIxNDdiNGQwOWUxMDA2MzhjNGUiLCJ1c2VySWQiOiI1MTAwOTgyNjgifQ==</vt:lpwstr>
  </property>
</Properties>
</file>