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3272C8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6592C7B">
            <w:pPr>
              <w:pStyle w:val="4"/>
            </w:pPr>
            <w:r>
              <w:rPr>
                <w:rFonts w:ascii="仿宋_GB2312" w:hAnsi="仿宋_GB2312" w:eastAsia="仿宋_GB2312" w:cs="仿宋_GB2312"/>
              </w:rPr>
              <w:t xml:space="preserve"> 序号</w:t>
            </w:r>
          </w:p>
        </w:tc>
        <w:tc>
          <w:tcPr>
            <w:tcW w:w="2769" w:type="dxa"/>
          </w:tcPr>
          <w:p w14:paraId="4413AB9C">
            <w:pPr>
              <w:pStyle w:val="4"/>
            </w:pPr>
            <w:r>
              <w:rPr>
                <w:rFonts w:ascii="仿宋_GB2312" w:hAnsi="仿宋_GB2312" w:eastAsia="仿宋_GB2312" w:cs="仿宋_GB2312"/>
              </w:rPr>
              <w:t xml:space="preserve"> 参数性质</w:t>
            </w:r>
          </w:p>
        </w:tc>
        <w:tc>
          <w:tcPr>
            <w:tcW w:w="2769" w:type="dxa"/>
          </w:tcPr>
          <w:p w14:paraId="70425C9C">
            <w:pPr>
              <w:pStyle w:val="4"/>
            </w:pPr>
            <w:r>
              <w:rPr>
                <w:rFonts w:ascii="仿宋_GB2312" w:hAnsi="仿宋_GB2312" w:eastAsia="仿宋_GB2312" w:cs="仿宋_GB2312"/>
              </w:rPr>
              <w:t xml:space="preserve"> 技术参数与性能指标</w:t>
            </w:r>
          </w:p>
        </w:tc>
      </w:tr>
      <w:tr w14:paraId="26457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862EFBA">
            <w:pPr>
              <w:pStyle w:val="4"/>
            </w:pPr>
            <w:r>
              <w:rPr>
                <w:rFonts w:ascii="仿宋_GB2312" w:hAnsi="仿宋_GB2312" w:eastAsia="仿宋_GB2312" w:cs="仿宋_GB2312"/>
              </w:rPr>
              <w:t>1</w:t>
            </w:r>
          </w:p>
        </w:tc>
        <w:tc>
          <w:tcPr>
            <w:tcW w:w="2769" w:type="dxa"/>
          </w:tcPr>
          <w:p w14:paraId="745CC0E5"/>
        </w:tc>
        <w:tc>
          <w:tcPr>
            <w:tcW w:w="2769" w:type="dxa"/>
          </w:tcPr>
          <w:p w14:paraId="06C88A33">
            <w:pPr>
              <w:pStyle w:val="4"/>
              <w:jc w:val="left"/>
            </w:pPr>
            <w:r>
              <w:rPr>
                <w:rFonts w:ascii="仿宋_GB2312" w:hAnsi="仿宋_GB2312" w:eastAsia="仿宋_GB2312" w:cs="仿宋_GB2312"/>
                <w:b/>
                <w:sz w:val="20"/>
              </w:rPr>
              <w:t>一、采购标的需实现的功能或者目标</w:t>
            </w:r>
          </w:p>
          <w:p w14:paraId="7D0C13AF">
            <w:pPr>
              <w:pStyle w:val="4"/>
              <w:jc w:val="left"/>
            </w:pPr>
            <w:r>
              <w:rPr>
                <w:rFonts w:ascii="仿宋_GB2312" w:hAnsi="仿宋_GB2312" w:eastAsia="仿宋_GB2312" w:cs="仿宋_GB2312"/>
                <w:sz w:val="20"/>
              </w:rPr>
              <w:t>1.根据《中华人民共和国固体废物污染环境防治法》以及其他环境保护法律法规有关要求，对学校实验室在运行过程中产生的危险废弃物（成分主要是《国家危险废物名录》中类别为“其他废物”中的2类：900-041-49、900-047-49）进行转移、处置，做到去向合规、资质齐全，确保来源可查、去向可追、责任可究。</w:t>
            </w:r>
          </w:p>
          <w:p w14:paraId="26C0128C">
            <w:pPr>
              <w:pStyle w:val="4"/>
              <w:jc w:val="left"/>
            </w:pPr>
            <w:r>
              <w:rPr>
                <w:rFonts w:ascii="仿宋_GB2312" w:hAnsi="仿宋_GB2312" w:eastAsia="仿宋_GB2312" w:cs="仿宋_GB2312"/>
                <w:sz w:val="20"/>
              </w:rPr>
              <w:t>2.按国家与地方标准实施焚烧、物化、固化等处置，尾气、渗滤液、残渣等达标排放；具备条件的按规范开展资源化利用，降低环境影响。</w:t>
            </w:r>
          </w:p>
          <w:p w14:paraId="32150CFB">
            <w:pPr>
              <w:pStyle w:val="4"/>
              <w:jc w:val="left"/>
            </w:pPr>
            <w:r>
              <w:rPr>
                <w:rFonts w:ascii="仿宋_GB2312" w:hAnsi="仿宋_GB2312" w:eastAsia="仿宋_GB2312" w:cs="仿宋_GB2312"/>
                <w:sz w:val="20"/>
              </w:rPr>
              <w:t>3.保障实验室危废“即产即清”或按期清零，消除校园存量风险；配合学校暂存、分类、台账管理，为教学科研提供稳定支撑。</w:t>
            </w:r>
          </w:p>
          <w:p w14:paraId="4CB916EA">
            <w:pPr>
              <w:pStyle w:val="4"/>
              <w:jc w:val="both"/>
            </w:pPr>
            <w:r>
              <w:rPr>
                <w:rFonts w:ascii="仿宋_GB2312" w:hAnsi="仿宋_GB2312" w:eastAsia="仿宋_GB2312" w:cs="仿宋_GB2312"/>
                <w:sz w:val="20"/>
              </w:rPr>
              <w:t>4.按期完成年度处置量（约150余吨），响应及时、台账清晰、验收合格；具备突发泄漏、火灾等应急处置能力，配合学校进行安全应急演练等。</w:t>
            </w:r>
          </w:p>
        </w:tc>
      </w:tr>
      <w:tr w14:paraId="111614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CAA2BD8">
            <w:pPr>
              <w:pStyle w:val="4"/>
            </w:pPr>
            <w:r>
              <w:rPr>
                <w:rFonts w:ascii="仿宋_GB2312" w:hAnsi="仿宋_GB2312" w:eastAsia="仿宋_GB2312" w:cs="仿宋_GB2312"/>
              </w:rPr>
              <w:t>2</w:t>
            </w:r>
          </w:p>
        </w:tc>
        <w:tc>
          <w:tcPr>
            <w:tcW w:w="2769" w:type="dxa"/>
          </w:tcPr>
          <w:p w14:paraId="794D7CE3"/>
        </w:tc>
        <w:tc>
          <w:tcPr>
            <w:tcW w:w="2769" w:type="dxa"/>
          </w:tcPr>
          <w:p w14:paraId="3692DCE5">
            <w:pPr>
              <w:pStyle w:val="4"/>
              <w:jc w:val="left"/>
            </w:pPr>
            <w:r>
              <w:rPr>
                <w:rFonts w:ascii="仿宋_GB2312" w:hAnsi="仿宋_GB2312" w:eastAsia="仿宋_GB2312" w:cs="仿宋_GB2312"/>
                <w:b/>
                <w:sz w:val="20"/>
              </w:rPr>
              <w:t>二、服务要求：</w:t>
            </w:r>
          </w:p>
          <w:p w14:paraId="205CEA4B">
            <w:pPr>
              <w:pStyle w:val="4"/>
              <w:jc w:val="left"/>
            </w:pPr>
            <w:r>
              <w:rPr>
                <w:rFonts w:ascii="仿宋_GB2312" w:hAnsi="仿宋_GB2312" w:eastAsia="仿宋_GB2312" w:cs="仿宋_GB2312"/>
                <w:sz w:val="20"/>
              </w:rPr>
              <w:t>1.供应商须持有环保部门颁发的《危险废物经营许可证》，核准经营范围包含HW49类危险废物中的900-041-49、900-047-49这2类，并且许可证书在有效期内。</w:t>
            </w:r>
          </w:p>
          <w:p w14:paraId="1F703B4E">
            <w:pPr>
              <w:pStyle w:val="4"/>
              <w:jc w:val="both"/>
            </w:pPr>
            <w:r>
              <w:rPr>
                <w:rFonts w:ascii="仿宋_GB2312" w:hAnsi="仿宋_GB2312" w:eastAsia="仿宋_GB2312" w:cs="仿宋_GB2312"/>
                <w:sz w:val="20"/>
              </w:rPr>
              <w:t>2.供应商保证各项处理处置条件和设施符合国家法律法规对处理处置危险废物的技术要求。危险废物的转移必须严格按照《危险废物转移联单》相关要求进行。由供应商自备车辆负责危险废物的运输，运输方具有《中华人民共和国道路运输经营许可证》，核准经营范围包含危险废物，且许可证书在有效期内。提供危险废液暂存桶以及固废的包装袋/箱，保证派来接收危险废物的人员具备法律法规和相应资质，并在运输和处理处置过程中，不产生对环境的污染，否则承担因此产生的法律责任。</w:t>
            </w:r>
          </w:p>
        </w:tc>
      </w:tr>
      <w:tr w14:paraId="06AC75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75B3B7F">
            <w:pPr>
              <w:pStyle w:val="4"/>
            </w:pPr>
            <w:r>
              <w:rPr>
                <w:rFonts w:ascii="仿宋_GB2312" w:hAnsi="仿宋_GB2312" w:eastAsia="仿宋_GB2312" w:cs="仿宋_GB2312"/>
              </w:rPr>
              <w:t>3</w:t>
            </w:r>
          </w:p>
        </w:tc>
        <w:tc>
          <w:tcPr>
            <w:tcW w:w="2769" w:type="dxa"/>
          </w:tcPr>
          <w:p w14:paraId="584A87DC"/>
        </w:tc>
        <w:tc>
          <w:tcPr>
            <w:tcW w:w="2769" w:type="dxa"/>
          </w:tcPr>
          <w:p w14:paraId="11FEE9B3">
            <w:pPr>
              <w:pStyle w:val="4"/>
              <w:jc w:val="left"/>
            </w:pPr>
            <w:r>
              <w:rPr>
                <w:rFonts w:ascii="仿宋_GB2312" w:hAnsi="仿宋_GB2312" w:eastAsia="仿宋_GB2312" w:cs="仿宋_GB2312"/>
                <w:b/>
                <w:sz w:val="20"/>
              </w:rPr>
              <w:t>三、服务标准：</w:t>
            </w:r>
          </w:p>
          <w:p w14:paraId="0871B5EB">
            <w:pPr>
              <w:pStyle w:val="4"/>
              <w:jc w:val="left"/>
            </w:pPr>
            <w:r>
              <w:rPr>
                <w:rFonts w:ascii="仿宋_GB2312" w:hAnsi="仿宋_GB2312" w:eastAsia="仿宋_GB2312" w:cs="仿宋_GB2312"/>
                <w:sz w:val="20"/>
              </w:rPr>
              <w:t>1.供应商收运车辆以及工作人员，应在招标单位内文明作业，作业完毕后将其作业范围清理干净，并遵守相关环境以及安全管理规定。供应商工作人员在校区内作业过程中因自身原因产生的安全事故由供应商负责。</w:t>
            </w:r>
          </w:p>
          <w:p w14:paraId="4063CD97">
            <w:pPr>
              <w:pStyle w:val="4"/>
              <w:jc w:val="both"/>
            </w:pPr>
            <w:r>
              <w:rPr>
                <w:rFonts w:ascii="仿宋_GB2312" w:hAnsi="仿宋_GB2312" w:eastAsia="仿宋_GB2312" w:cs="仿宋_GB2312"/>
                <w:sz w:val="20"/>
              </w:rPr>
              <w:t>2.供应商每月至少2次对采购人实验室危险废物进行转移处置，如采购人因特殊原因需临时增加转移处置次数，供应商也必须及时响应。每次转移处置，供应商不得无故拒收、超期分拣转运，由此造成的损失由供应商承担；合同有效期内因供应商原因导致无法及时响应危险废物转移处置要求或无法继续履行合同，采购人可解除合同，因此产生的责任或造成的损失由供应商承担。</w:t>
            </w:r>
          </w:p>
        </w:tc>
      </w:tr>
      <w:tr w14:paraId="6833F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55963C5">
            <w:pPr>
              <w:pStyle w:val="4"/>
            </w:pPr>
            <w:r>
              <w:rPr>
                <w:rFonts w:ascii="仿宋_GB2312" w:hAnsi="仿宋_GB2312" w:eastAsia="仿宋_GB2312" w:cs="仿宋_GB2312"/>
              </w:rPr>
              <w:t>4</w:t>
            </w:r>
          </w:p>
        </w:tc>
        <w:tc>
          <w:tcPr>
            <w:tcW w:w="2769" w:type="dxa"/>
          </w:tcPr>
          <w:p w14:paraId="523266D0"/>
        </w:tc>
        <w:tc>
          <w:tcPr>
            <w:tcW w:w="2769" w:type="dxa"/>
          </w:tcPr>
          <w:p w14:paraId="08DF4B12">
            <w:pPr>
              <w:pStyle w:val="4"/>
              <w:jc w:val="left"/>
            </w:pPr>
            <w:r>
              <w:rPr>
                <w:rFonts w:ascii="仿宋_GB2312" w:hAnsi="仿宋_GB2312" w:eastAsia="仿宋_GB2312" w:cs="仿宋_GB2312"/>
                <w:b/>
                <w:sz w:val="20"/>
              </w:rPr>
              <w:t>四、服务期限：</w:t>
            </w:r>
          </w:p>
          <w:p w14:paraId="35BCC3F8">
            <w:pPr>
              <w:pStyle w:val="4"/>
              <w:jc w:val="both"/>
            </w:pPr>
            <w:r>
              <w:rPr>
                <w:rFonts w:ascii="仿宋_GB2312" w:hAnsi="仿宋_GB2312" w:eastAsia="仿宋_GB2312" w:cs="仿宋_GB2312"/>
                <w:sz w:val="20"/>
              </w:rPr>
              <w:t>自合同签订之日起365日，时间地点由采购人指定。合同期满前，采购人对供应商进行考核，根据服务满意程度决定是否续签，累计合同履行期限不超过3年。</w:t>
            </w:r>
          </w:p>
        </w:tc>
      </w:tr>
      <w:tr w14:paraId="7B279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A2C7F96">
            <w:pPr>
              <w:pStyle w:val="4"/>
            </w:pPr>
            <w:r>
              <w:rPr>
                <w:rFonts w:ascii="仿宋_GB2312" w:hAnsi="仿宋_GB2312" w:eastAsia="仿宋_GB2312" w:cs="仿宋_GB2312"/>
              </w:rPr>
              <w:t>5</w:t>
            </w:r>
          </w:p>
        </w:tc>
        <w:tc>
          <w:tcPr>
            <w:tcW w:w="2769" w:type="dxa"/>
          </w:tcPr>
          <w:p w14:paraId="7297C29D"/>
        </w:tc>
        <w:tc>
          <w:tcPr>
            <w:tcW w:w="2769" w:type="dxa"/>
          </w:tcPr>
          <w:p w14:paraId="1E33D0FD">
            <w:pPr>
              <w:pStyle w:val="4"/>
              <w:jc w:val="left"/>
            </w:pPr>
            <w:r>
              <w:rPr>
                <w:rFonts w:ascii="仿宋_GB2312" w:hAnsi="仿宋_GB2312" w:eastAsia="仿宋_GB2312" w:cs="仿宋_GB2312"/>
                <w:b/>
                <w:sz w:val="20"/>
              </w:rPr>
              <w:t>五、服务人员数量及组成：</w:t>
            </w:r>
          </w:p>
          <w:p w14:paraId="080CA4DE">
            <w:pPr>
              <w:pStyle w:val="4"/>
              <w:jc w:val="both"/>
            </w:pPr>
            <w:r>
              <w:rPr>
                <w:rFonts w:ascii="仿宋_GB2312" w:hAnsi="仿宋_GB2312" w:eastAsia="仿宋_GB2312" w:cs="仿宋_GB2312"/>
                <w:sz w:val="20"/>
              </w:rPr>
              <w:t>供应商每次转移需至少派收运车辆司机1名以及装卸工作人员1-2名。</w:t>
            </w:r>
          </w:p>
        </w:tc>
      </w:tr>
      <w:tr w14:paraId="39445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7451B34">
            <w:pPr>
              <w:pStyle w:val="4"/>
            </w:pPr>
            <w:r>
              <w:rPr>
                <w:rFonts w:ascii="仿宋_GB2312" w:hAnsi="仿宋_GB2312" w:eastAsia="仿宋_GB2312" w:cs="仿宋_GB2312"/>
              </w:rPr>
              <w:t>6</w:t>
            </w:r>
          </w:p>
        </w:tc>
        <w:tc>
          <w:tcPr>
            <w:tcW w:w="2769" w:type="dxa"/>
          </w:tcPr>
          <w:p w14:paraId="175FF179">
            <w:pPr>
              <w:pStyle w:val="4"/>
            </w:pPr>
            <w:r>
              <w:rPr>
                <w:rFonts w:ascii="仿宋_GB2312" w:hAnsi="仿宋_GB2312" w:eastAsia="仿宋_GB2312" w:cs="仿宋_GB2312"/>
              </w:rPr>
              <w:t>★</w:t>
            </w:r>
          </w:p>
        </w:tc>
        <w:tc>
          <w:tcPr>
            <w:tcW w:w="2769" w:type="dxa"/>
          </w:tcPr>
          <w:p w14:paraId="3236C31D">
            <w:pPr>
              <w:pStyle w:val="4"/>
              <w:jc w:val="left"/>
            </w:pPr>
            <w:r>
              <w:rPr>
                <w:rFonts w:ascii="仿宋_GB2312" w:hAnsi="仿宋_GB2312" w:eastAsia="仿宋_GB2312" w:cs="仿宋_GB2312"/>
                <w:b/>
                <w:sz w:val="20"/>
              </w:rPr>
              <w:t>六、最高限价（单价）及响应报价：</w:t>
            </w:r>
          </w:p>
          <w:p w14:paraId="0909837A">
            <w:pPr>
              <w:pStyle w:val="4"/>
              <w:jc w:val="left"/>
            </w:pPr>
            <w:r>
              <w:rPr>
                <w:rFonts w:ascii="仿宋_GB2312" w:hAnsi="仿宋_GB2312" w:eastAsia="仿宋_GB2312" w:cs="仿宋_GB2312"/>
                <w:sz w:val="20"/>
              </w:rPr>
              <w:t>1.单价最高限价：900-041-49类6元/kg；900-047-49类8元/kg</w:t>
            </w:r>
          </w:p>
          <w:p w14:paraId="378D8DCD">
            <w:pPr>
              <w:pStyle w:val="4"/>
              <w:jc w:val="left"/>
            </w:pPr>
            <w:r>
              <w:rPr>
                <w:rFonts w:ascii="仿宋_GB2312" w:hAnsi="仿宋_GB2312" w:eastAsia="仿宋_GB2312" w:cs="仿宋_GB2312"/>
                <w:sz w:val="20"/>
              </w:rPr>
              <w:t>2.计价方式：本项目固定综合单价，磋商投报综合单价应包括危险废物收集费、装运费、处理处置费、管理费、服务费、税金等一切费用。供应商根据采购文件所提供的资料自行测算自主报价。成交后，磋商单价作为供应商与采购人签定的合同单价，合同期限内不做调整，且总价不得超过项目预算金额。处置数量以服务期内实验室危险废物转移处置实际核算量为准。</w:t>
            </w:r>
          </w:p>
          <w:p w14:paraId="74489263">
            <w:pPr>
              <w:pStyle w:val="4"/>
              <w:jc w:val="both"/>
            </w:pPr>
            <w:r>
              <w:rPr>
                <w:rFonts w:ascii="仿宋_GB2312" w:hAnsi="仿宋_GB2312" w:eastAsia="仿宋_GB2312" w:cs="仿宋_GB2312"/>
                <w:sz w:val="20"/>
              </w:rPr>
              <w:t>3.报价要求：本项目以上述两个品类各自的最高限价（单价）为基准价，供应商投报统一综合折扣，两个品类各自的成交综合单价=综合折扣*基准价。</w:t>
            </w:r>
          </w:p>
        </w:tc>
      </w:tr>
    </w:tbl>
    <w:p w14:paraId="088E65E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5F6F8B"/>
    <w:rsid w:val="435F6F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2026-03-06T07:06:00Z</dcterms:created>
  <dc:creator>好好的</dc:creator>
  <cp:lastModifiedBy>好好的</cp:lastModifiedBy>
  <dcterms:modified xsi:type="dcterms:W3CDTF">2026-03-06T07:06:46Z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C4DEF54CD2B44E63B5EDEDAC329A9926_11</vt:lpwstr>
  </property>
  <property fmtid="{D5CDD505-2E9C-101B-9397-08002B2CF9AE}" pid="4" name="KSOTemplateDocerSaveRecord">
    <vt:lpwstr>eyJoZGlkIjoiNGI5OTM1M2UwMTUxOGI1ZjZmZGRiNjY2YjkzZTljYmIiLCJ1c2VySWQiOiIzMzEzMzk0MDUifQ==</vt:lpwstr>
  </property>
</Properties>
</file>