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7187A">
      <w:pPr>
        <w:spacing w:line="240" w:lineRule="auto"/>
        <w:jc w:val="center"/>
        <w:rPr>
          <w:rFonts w:ascii="仿宋" w:hAnsi="仿宋" w:eastAsia="仿宋" w:cs="仿宋"/>
          <w:color w:val="000000" w:themeColor="text1"/>
          <w:sz w:val="52"/>
          <w:szCs w:val="52"/>
          <w:highlight w:val="none"/>
          <w14:textFill>
            <w14:solidFill>
              <w14:schemeClr w14:val="tx1"/>
            </w14:solidFill>
          </w14:textFill>
        </w:rPr>
      </w:pPr>
    </w:p>
    <w:p w14:paraId="603A7C0B">
      <w:pPr>
        <w:spacing w:line="240" w:lineRule="auto"/>
        <w:jc w:val="center"/>
        <w:rPr>
          <w:rFonts w:ascii="仿宋" w:hAnsi="仿宋" w:eastAsia="仿宋" w:cs="仿宋"/>
          <w:color w:val="000000" w:themeColor="text1"/>
          <w:sz w:val="52"/>
          <w:szCs w:val="52"/>
          <w:highlight w:val="none"/>
          <w14:textFill>
            <w14:solidFill>
              <w14:schemeClr w14:val="tx1"/>
            </w14:solidFill>
          </w14:textFill>
        </w:rPr>
      </w:pPr>
    </w:p>
    <w:p w14:paraId="6A894B81">
      <w:pPr>
        <w:spacing w:line="240" w:lineRule="auto"/>
        <w:jc w:val="center"/>
        <w:rPr>
          <w:rFonts w:ascii="仿宋" w:hAnsi="仿宋" w:eastAsia="仿宋" w:cs="仿宋"/>
          <w:b/>
          <w:bCs/>
          <w:color w:val="000000" w:themeColor="text1"/>
          <w:kern w:val="0"/>
          <w:sz w:val="96"/>
          <w:szCs w:val="96"/>
          <w:highlight w:val="none"/>
          <w14:textFill>
            <w14:solidFill>
              <w14:schemeClr w14:val="tx1"/>
            </w14:solidFill>
          </w14:textFill>
        </w:rPr>
      </w:pPr>
      <w:r>
        <w:rPr>
          <w:rFonts w:hint="eastAsia" w:ascii="仿宋" w:hAnsi="仿宋" w:eastAsia="仿宋" w:cs="仿宋"/>
          <w:color w:val="000000" w:themeColor="text1"/>
          <w:sz w:val="52"/>
          <w:szCs w:val="52"/>
          <w:highlight w:val="none"/>
          <w14:textFill>
            <w14:solidFill>
              <w14:schemeClr w14:val="tx1"/>
            </w14:solidFill>
          </w14:textFill>
        </w:rPr>
        <w:t>陕西省省级单位政府采购中心</w:t>
      </w:r>
    </w:p>
    <w:p w14:paraId="2D3980A3">
      <w:pPr>
        <w:spacing w:line="240" w:lineRule="auto"/>
        <w:jc w:val="center"/>
        <w:rPr>
          <w:rFonts w:ascii="仿宋" w:hAnsi="仿宋" w:eastAsia="仿宋" w:cs="仿宋"/>
          <w:b/>
          <w:bCs/>
          <w:color w:val="000000" w:themeColor="text1"/>
          <w:sz w:val="96"/>
          <w:szCs w:val="96"/>
          <w:highlight w:val="none"/>
          <w:shd w:val="clear" w:color="FFFFFF" w:fill="D9D9D9"/>
          <w14:textFill>
            <w14:solidFill>
              <w14:schemeClr w14:val="tx1"/>
            </w14:solidFill>
          </w14:textFill>
        </w:rPr>
      </w:pPr>
      <w:r>
        <w:rPr>
          <w:rFonts w:hint="eastAsia" w:ascii="华文中宋" w:hAnsi="华文中宋" w:eastAsia="华文中宋" w:cs="华文中宋"/>
          <w:color w:val="000000" w:themeColor="text1"/>
          <w:kern w:val="0"/>
          <w:sz w:val="96"/>
          <w:szCs w:val="96"/>
          <w:highlight w:val="none"/>
          <w14:textFill>
            <w14:solidFill>
              <w14:schemeClr w14:val="tx1"/>
            </w14:solidFill>
          </w14:textFill>
        </w:rPr>
        <w:t>公开招标文件</w:t>
      </w:r>
    </w:p>
    <w:p w14:paraId="23097A1A">
      <w:pPr>
        <w:spacing w:line="900" w:lineRule="exact"/>
        <w:ind w:left="2805" w:leftChars="350" w:right="707" w:rightChars="250" w:hanging="1815" w:hangingChars="500"/>
        <w:jc w:val="center"/>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（非专门面向中小企业项目）</w:t>
      </w:r>
    </w:p>
    <w:p w14:paraId="652FC05F">
      <w:pPr>
        <w:spacing w:line="900" w:lineRule="exact"/>
        <w:ind w:left="2805" w:leftChars="350" w:right="707" w:rightChars="250" w:hanging="1815" w:hangingChars="500"/>
        <w:jc w:val="center"/>
        <w:rPr>
          <w:rFonts w:ascii="仿宋" w:hAnsi="仿宋" w:eastAsia="仿宋" w:cs="仿宋"/>
          <w:color w:val="000000" w:themeColor="text1"/>
          <w:sz w:val="36"/>
          <w:szCs w:val="36"/>
          <w:highlight w:val="none"/>
          <w14:textFill>
            <w14:solidFill>
              <w14:schemeClr w14:val="tx1"/>
            </w14:solidFill>
          </w14:textFill>
        </w:rPr>
      </w:pPr>
    </w:p>
    <w:p w14:paraId="3CF29ADA">
      <w:pPr>
        <w:pStyle w:val="2"/>
        <w:spacing w:after="190"/>
        <w:rPr>
          <w:rFonts w:ascii="仿宋" w:hAnsi="仿宋" w:eastAsia="仿宋" w:cs="仿宋"/>
          <w:color w:val="000000" w:themeColor="text1"/>
          <w:highlight w:val="none"/>
          <w14:textFill>
            <w14:solidFill>
              <w14:schemeClr w14:val="tx1"/>
            </w14:solidFill>
          </w14:textFill>
        </w:rPr>
      </w:pPr>
    </w:p>
    <w:p w14:paraId="69EF2D60">
      <w:pPr>
        <w:pStyle w:val="15"/>
        <w:ind w:firstLine="0" w:firstLineChars="0"/>
        <w:rPr>
          <w:rFonts w:ascii="仿宋" w:hAnsi="仿宋" w:eastAsia="仿宋" w:cs="仿宋"/>
          <w:color w:val="000000" w:themeColor="text1"/>
          <w:sz w:val="36"/>
          <w:szCs w:val="36"/>
          <w:highlight w:val="none"/>
          <w14:textFill>
            <w14:solidFill>
              <w14:schemeClr w14:val="tx1"/>
            </w14:solidFill>
          </w14:textFill>
        </w:rPr>
      </w:pPr>
    </w:p>
    <w:p w14:paraId="44C4778A">
      <w:pPr>
        <w:spacing w:line="240" w:lineRule="auto"/>
        <w:ind w:left="2539" w:leftChars="256" w:right="707" w:rightChars="250" w:hanging="1815" w:hangingChars="500"/>
        <w:jc w:val="left"/>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项目名称：杨凌职业技术学院2026年物业服务项目</w:t>
      </w:r>
    </w:p>
    <w:p w14:paraId="3F4728CD">
      <w:pPr>
        <w:spacing w:line="240" w:lineRule="auto"/>
        <w:ind w:left="2539" w:leftChars="256" w:right="707" w:rightChars="250" w:hanging="1815" w:hangingChars="500"/>
        <w:jc w:val="left"/>
        <w:rPr>
          <w:rFonts w:hint="default" w:ascii="仿宋" w:hAnsi="仿宋" w:eastAsia="仿宋" w:cs="仿宋"/>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项目编号：SNCG-FM-202</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6006</w:t>
      </w:r>
    </w:p>
    <w:p w14:paraId="0F37D5A8">
      <w:pPr>
        <w:spacing w:line="240" w:lineRule="auto"/>
        <w:ind w:left="2539" w:leftChars="256" w:right="707" w:rightChars="250" w:hanging="1815" w:hangingChars="500"/>
        <w:jc w:val="left"/>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采 购 人：</w:t>
      </w:r>
      <w:r>
        <w:rPr>
          <w:rFonts w:hint="eastAsia" w:ascii="仿宋" w:hAnsi="仿宋" w:eastAsia="仿宋" w:cs="仿宋"/>
          <w:b/>
          <w:bCs/>
          <w:color w:val="000000" w:themeColor="text1"/>
          <w:sz w:val="36"/>
          <w:szCs w:val="36"/>
          <w:highlight w:val="none"/>
          <w:lang w:eastAsia="zh-CN"/>
          <w14:textFill>
            <w14:solidFill>
              <w14:schemeClr w14:val="tx1"/>
            </w14:solidFill>
          </w14:textFill>
        </w:rPr>
        <w:t>杨凌职业技术学院</w:t>
      </w:r>
    </w:p>
    <w:p w14:paraId="2B6F0CF7">
      <w:pPr>
        <w:spacing w:line="240" w:lineRule="auto"/>
        <w:ind w:left="2539" w:leftChars="256" w:right="707" w:rightChars="250" w:hanging="1815" w:hangingChars="500"/>
        <w:jc w:val="left"/>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采购代理机构：陕西省省级单位政府采购中心</w:t>
      </w:r>
    </w:p>
    <w:p w14:paraId="39938B94">
      <w:pPr>
        <w:pStyle w:val="2"/>
        <w:spacing w:after="190"/>
        <w:rPr>
          <w:rFonts w:ascii="仿宋" w:hAnsi="仿宋" w:eastAsia="仿宋" w:cs="仿宋"/>
          <w:color w:val="000000" w:themeColor="text1"/>
          <w:highlight w:val="none"/>
          <w14:textFill>
            <w14:solidFill>
              <w14:schemeClr w14:val="tx1"/>
            </w14:solidFill>
          </w14:textFill>
        </w:rPr>
      </w:pPr>
    </w:p>
    <w:p w14:paraId="3C64BCE4">
      <w:pPr>
        <w:pStyle w:val="15"/>
        <w:ind w:firstLine="0" w:firstLineChars="0"/>
        <w:rPr>
          <w:rFonts w:ascii="仿宋" w:hAnsi="仿宋" w:eastAsia="仿宋" w:cs="仿宋"/>
          <w:color w:val="000000" w:themeColor="text1"/>
          <w:highlight w:val="none"/>
          <w14:textFill>
            <w14:solidFill>
              <w14:schemeClr w14:val="tx1"/>
            </w14:solidFill>
          </w14:textFill>
        </w:rPr>
      </w:pPr>
    </w:p>
    <w:p w14:paraId="76B499D1">
      <w:pPr>
        <w:rPr>
          <w:rFonts w:ascii="仿宋" w:hAnsi="仿宋" w:eastAsia="仿宋" w:cs="仿宋"/>
          <w:color w:val="000000" w:themeColor="text1"/>
          <w:highlight w:val="none"/>
          <w14:textFill>
            <w14:solidFill>
              <w14:schemeClr w14:val="tx1"/>
            </w14:solidFill>
          </w14:textFill>
        </w:rPr>
      </w:pPr>
    </w:p>
    <w:p w14:paraId="0CABFBE2">
      <w:pPr>
        <w:tabs>
          <w:tab w:val="right" w:leader="hyphen" w:pos="8504"/>
        </w:tabs>
        <w:spacing w:after="381" w:afterLines="100" w:line="440" w:lineRule="exact"/>
        <w:ind w:right="566" w:rightChars="200" w:firstLine="2904" w:firstLineChars="800"/>
        <w:rPr>
          <w:rFonts w:ascii="仿宋" w:hAnsi="仿宋" w:eastAsia="仿宋" w:cs="仿宋"/>
          <w:b/>
          <w:bCs/>
          <w:color w:val="000000" w:themeColor="text1"/>
          <w:sz w:val="36"/>
          <w:szCs w:val="36"/>
          <w:highlight w:val="none"/>
          <w14:textFill>
            <w14:solidFill>
              <w14:schemeClr w14:val="tx1"/>
            </w14:solidFill>
          </w14:textFill>
        </w:rPr>
        <w:sectPr>
          <w:footerReference r:id="rId5" w:type="default"/>
          <w:pgSz w:w="11906" w:h="16838"/>
          <w:pgMar w:top="1417" w:right="1417" w:bottom="1417" w:left="1417" w:header="850" w:footer="992" w:gutter="0"/>
          <w:pgNumType w:start="1"/>
          <w:cols w:space="720" w:num="1"/>
          <w:docGrid w:type="linesAndChars" w:linePitch="381" w:charSpace="704"/>
        </w:sectPr>
      </w:pPr>
      <w:r>
        <w:rPr>
          <w:rFonts w:hint="eastAsia" w:ascii="仿宋" w:hAnsi="仿宋" w:eastAsia="仿宋" w:cs="仿宋"/>
          <w:b/>
          <w:bCs/>
          <w:color w:val="000000" w:themeColor="text1"/>
          <w:sz w:val="36"/>
          <w:szCs w:val="36"/>
          <w:highlight w:val="none"/>
          <w14:textFill>
            <w14:solidFill>
              <w14:schemeClr w14:val="tx1"/>
            </w14:solidFill>
          </w14:textFill>
        </w:rPr>
        <w:t>202</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6</w:t>
      </w:r>
      <w:r>
        <w:rPr>
          <w:rFonts w:hint="eastAsia" w:ascii="仿宋" w:hAnsi="仿宋" w:eastAsia="仿宋" w:cs="仿宋"/>
          <w:b/>
          <w:bCs/>
          <w:color w:val="000000" w:themeColor="text1"/>
          <w:sz w:val="36"/>
          <w:szCs w:val="36"/>
          <w:highlight w:val="none"/>
          <w14:textFill>
            <w14:solidFill>
              <w14:schemeClr w14:val="tx1"/>
            </w14:solidFill>
          </w14:textFill>
        </w:rPr>
        <w:t>年</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02</w:t>
      </w:r>
      <w:r>
        <w:rPr>
          <w:rFonts w:hint="eastAsia" w:ascii="仿宋" w:hAnsi="仿宋" w:eastAsia="仿宋" w:cs="仿宋"/>
          <w:b/>
          <w:bCs/>
          <w:color w:val="000000" w:themeColor="text1"/>
          <w:sz w:val="36"/>
          <w:szCs w:val="36"/>
          <w:highlight w:val="none"/>
          <w14:textFill>
            <w14:solidFill>
              <w14:schemeClr w14:val="tx1"/>
            </w14:solidFill>
          </w14:textFill>
        </w:rPr>
        <w:t>月</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05</w:t>
      </w:r>
      <w:r>
        <w:rPr>
          <w:rFonts w:hint="eastAsia" w:ascii="仿宋" w:hAnsi="仿宋" w:eastAsia="仿宋" w:cs="仿宋"/>
          <w:b/>
          <w:bCs/>
          <w:color w:val="000000" w:themeColor="text1"/>
          <w:sz w:val="36"/>
          <w:szCs w:val="36"/>
          <w:highlight w:val="none"/>
          <w14:textFill>
            <w14:solidFill>
              <w14:schemeClr w14:val="tx1"/>
            </w14:solidFill>
          </w14:textFill>
        </w:rPr>
        <w:t>日</w:t>
      </w:r>
    </w:p>
    <w:p w14:paraId="03824BAB">
      <w:pPr>
        <w:pStyle w:val="13"/>
        <w:tabs>
          <w:tab w:val="right" w:leader="dot" w:pos="9072"/>
        </w:tabs>
        <w:ind w:left="0" w:leftChars="0"/>
        <w:rPr>
          <w:rFonts w:ascii="仿宋" w:hAnsi="仿宋" w:eastAsia="仿宋" w:cs="仿宋"/>
          <w:b/>
          <w:bCs/>
          <w:color w:val="000000" w:themeColor="text1"/>
          <w:sz w:val="44"/>
          <w:szCs w:val="44"/>
          <w:highlight w:val="none"/>
          <w14:textFill>
            <w14:solidFill>
              <w14:schemeClr w14:val="tx1"/>
            </w14:solidFill>
          </w14:textFill>
        </w:rPr>
      </w:pPr>
      <w:bookmarkStart w:id="0" w:name="_Toc447"/>
      <w:bookmarkStart w:id="1" w:name="_Toc29675"/>
      <w:bookmarkStart w:id="2" w:name="_Toc29970"/>
    </w:p>
    <w:p w14:paraId="7AF3A922">
      <w:pPr>
        <w:pStyle w:val="13"/>
        <w:tabs>
          <w:tab w:val="right" w:leader="dot" w:pos="9072"/>
        </w:tabs>
        <w:spacing w:line="440" w:lineRule="exact"/>
        <w:ind w:left="567" w:right="566" w:rightChars="20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目录</w:t>
      </w:r>
      <w:bookmarkEnd w:id="0"/>
      <w:bookmarkEnd w:id="1"/>
      <w:bookmarkEnd w:id="2"/>
      <w:bookmarkStart w:id="3" w:name="_Toc26289"/>
      <w:bookmarkStart w:id="4" w:name="_Toc445306491"/>
      <w:bookmarkStart w:id="5" w:name="_Toc495012769"/>
      <w:bookmarkStart w:id="6" w:name="_Toc495012819"/>
      <w:bookmarkStart w:id="7" w:name="_Toc495014609"/>
      <w:bookmarkStart w:id="8" w:name="_Toc495014918"/>
      <w:bookmarkStart w:id="9" w:name="_Toc495014647"/>
      <w:bookmarkStart w:id="10" w:name="_Toc495014583"/>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"1-3" \u </w:instrText>
      </w:r>
      <w:r>
        <w:rPr>
          <w:rFonts w:hint="eastAsia" w:ascii="仿宋" w:hAnsi="仿宋" w:eastAsia="仿宋" w:cs="仿宋"/>
          <w:color w:val="000000" w:themeColor="text1"/>
          <w:highlight w:val="none"/>
          <w14:textFill>
            <w14:solidFill>
              <w14:schemeClr w14:val="tx1"/>
            </w14:solidFill>
          </w14:textFill>
        </w:rPr>
        <w:fldChar w:fldCharType="separate"/>
      </w:r>
    </w:p>
    <w:p w14:paraId="1A756D09">
      <w:pPr>
        <w:pStyle w:val="12"/>
        <w:tabs>
          <w:tab w:val="right" w:leader="dot" w:pos="9072"/>
        </w:tabs>
        <w:spacing w:line="50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t>第一章  投标邀请函</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14:textFill>
            <w14:solidFill>
              <w14:schemeClr w14:val="tx1"/>
            </w14:solidFill>
          </w14:textFill>
        </w:rPr>
        <w:fldChar w:fldCharType="begin"/>
      </w:r>
      <w:r>
        <w:rPr>
          <w:rFonts w:hint="eastAsia" w:ascii="仿宋" w:hAnsi="仿宋" w:eastAsia="仿宋" w:cs="仿宋"/>
          <w:b/>
          <w:bCs/>
          <w:color w:val="000000" w:themeColor="text1"/>
          <w:highlight w:val="none"/>
          <w14:textFill>
            <w14:solidFill>
              <w14:schemeClr w14:val="tx1"/>
            </w14:solidFill>
          </w14:textFill>
        </w:rPr>
        <w:instrText xml:space="preserve"> PAGEREF _Toc31315 \h </w:instrText>
      </w:r>
      <w:r>
        <w:rPr>
          <w:rFonts w:hint="eastAsia" w:ascii="仿宋" w:hAnsi="仿宋" w:eastAsia="仿宋" w:cs="仿宋"/>
          <w:b/>
          <w:bCs/>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highlight w:val="none"/>
          <w14:textFill>
            <w14:solidFill>
              <w14:schemeClr w14:val="tx1"/>
            </w14:solidFill>
          </w14:textFill>
        </w:rPr>
        <w:t>1</w:t>
      </w:r>
      <w:r>
        <w:rPr>
          <w:rFonts w:hint="eastAsia" w:ascii="仿宋" w:hAnsi="仿宋" w:eastAsia="仿宋" w:cs="仿宋"/>
          <w:b/>
          <w:bCs/>
          <w:color w:val="000000" w:themeColor="text1"/>
          <w:highlight w:val="none"/>
          <w14:textFill>
            <w14:solidFill>
              <w14:schemeClr w14:val="tx1"/>
            </w14:solidFill>
          </w14:textFill>
        </w:rPr>
        <w:fldChar w:fldCharType="end"/>
      </w:r>
    </w:p>
    <w:p w14:paraId="7FC58ABB">
      <w:pPr>
        <w:pStyle w:val="12"/>
        <w:tabs>
          <w:tab w:val="right" w:leader="dot" w:pos="9072"/>
        </w:tabs>
        <w:spacing w:line="500" w:lineRule="exact"/>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t>第二章  投标人须知</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lang w:val="en-US" w:eastAsia="zh-CN"/>
          <w14:textFill>
            <w14:solidFill>
              <w14:schemeClr w14:val="tx1"/>
            </w14:solidFill>
          </w14:textFill>
        </w:rPr>
        <w:t>7</w:t>
      </w:r>
    </w:p>
    <w:p w14:paraId="738EBC61">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一、定义</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lang w:val="en-US" w:eastAsia="zh-CN"/>
          <w14:textFill>
            <w14:solidFill>
              <w14:schemeClr w14:val="tx1"/>
            </w14:solidFill>
          </w14:textFill>
        </w:rPr>
        <w:t>7</w:t>
      </w:r>
    </w:p>
    <w:p w14:paraId="63A42108">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二、投标人注意事项</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lang w:val="en-US" w:eastAsia="zh-CN"/>
          <w14:textFill>
            <w14:solidFill>
              <w14:schemeClr w14:val="tx1"/>
            </w14:solidFill>
          </w14:textFill>
        </w:rPr>
        <w:t>7</w:t>
      </w:r>
    </w:p>
    <w:p w14:paraId="50AE3DEB">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三、招标文件</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PAGEREF _Toc24468 \h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lang w:val="en-US" w:eastAsia="zh-CN"/>
          <w14:textFill>
            <w14:solidFill>
              <w14:schemeClr w14:val="tx1"/>
            </w14:solidFill>
          </w14:textFill>
        </w:rPr>
        <w:t>6</w:t>
      </w:r>
    </w:p>
    <w:p w14:paraId="35E10699">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四、投标报价</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PAGEREF _Toc14376 \h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lang w:val="en-US" w:eastAsia="zh-CN"/>
          <w14:textFill>
            <w14:solidFill>
              <w14:schemeClr w14:val="tx1"/>
            </w14:solidFill>
          </w14:textFill>
        </w:rPr>
        <w:t>7</w:t>
      </w:r>
    </w:p>
    <w:p w14:paraId="6BF38845">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五、投标文件</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PAGEREF _Toc31692 \h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lang w:val="en-US" w:eastAsia="zh-CN"/>
          <w14:textFill>
            <w14:solidFill>
              <w14:schemeClr w14:val="tx1"/>
            </w14:solidFill>
          </w14:textFill>
        </w:rPr>
        <w:t>8</w:t>
      </w:r>
    </w:p>
    <w:p w14:paraId="43C48438">
      <w:pPr>
        <w:pStyle w:val="13"/>
        <w:tabs>
          <w:tab w:val="right" w:leader="dot" w:pos="9072"/>
        </w:tabs>
        <w:spacing w:line="500" w:lineRule="exact"/>
        <w:ind w:left="567"/>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六、组织开标</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lang w:val="en-US" w:eastAsia="zh-CN"/>
          <w14:textFill>
            <w14:solidFill>
              <w14:schemeClr w14:val="tx1"/>
            </w14:solidFill>
          </w14:textFill>
        </w:rPr>
        <w:t>20</w:t>
      </w:r>
    </w:p>
    <w:p w14:paraId="1C85F2AD">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七、资格审查</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PAGEREF _Toc6763 \h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lang w:val="en-US" w:eastAsia="zh-CN"/>
          <w14:textFill>
            <w14:solidFill>
              <w14:schemeClr w14:val="tx1"/>
            </w14:solidFill>
          </w14:textFill>
        </w:rPr>
        <w:t>1</w:t>
      </w:r>
    </w:p>
    <w:p w14:paraId="5FF902C1">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八、组织评标</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PAGEREF _Toc1863 \h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lang w:val="en-US" w:eastAsia="zh-CN"/>
          <w14:textFill>
            <w14:solidFill>
              <w14:schemeClr w14:val="tx1"/>
            </w14:solidFill>
          </w14:textFill>
        </w:rPr>
        <w:t>1</w:t>
      </w:r>
    </w:p>
    <w:p w14:paraId="77B9E4CC">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九、中标</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PAGEREF _Toc8200 \h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lang w:val="en-US" w:eastAsia="zh-CN"/>
          <w14:textFill>
            <w14:solidFill>
              <w14:schemeClr w14:val="tx1"/>
            </w14:solidFill>
          </w14:textFill>
        </w:rPr>
        <w:t>7</w:t>
      </w:r>
    </w:p>
    <w:p w14:paraId="20E0BECC">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十、签订政府采购合同</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PAGEREF _Toc25819 \h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lang w:val="en-US" w:eastAsia="zh-CN"/>
          <w14:textFill>
            <w14:solidFill>
              <w14:schemeClr w14:val="tx1"/>
            </w14:solidFill>
          </w14:textFill>
        </w:rPr>
        <w:t>7</w:t>
      </w:r>
    </w:p>
    <w:p w14:paraId="333847D6">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十一、其他</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PAGEREF _Toc10223 \h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lang w:val="en-US" w:eastAsia="zh-CN"/>
          <w14:textFill>
            <w14:solidFill>
              <w14:schemeClr w14:val="tx1"/>
            </w14:solidFill>
          </w14:textFill>
        </w:rPr>
        <w:t>8</w:t>
      </w:r>
    </w:p>
    <w:p w14:paraId="52C2659A">
      <w:pPr>
        <w:pStyle w:val="13"/>
        <w:tabs>
          <w:tab w:val="right" w:leader="dot" w:pos="9072"/>
        </w:tabs>
        <w:spacing w:line="500" w:lineRule="exact"/>
        <w:ind w:left="567"/>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十二、采购代理服务费</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PAGEREF _Toc15093 \h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lang w:val="en-US" w:eastAsia="zh-CN"/>
          <w14:textFill>
            <w14:solidFill>
              <w14:schemeClr w14:val="tx1"/>
            </w14:solidFill>
          </w14:textFill>
        </w:rPr>
        <w:t>9</w:t>
      </w:r>
    </w:p>
    <w:p w14:paraId="46471777">
      <w:pPr>
        <w:pStyle w:val="12"/>
        <w:tabs>
          <w:tab w:val="right" w:leader="dot" w:pos="9072"/>
        </w:tabs>
        <w:spacing w:line="500" w:lineRule="exact"/>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t>第三章  评审办法及标准</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lang w:val="en-US" w:eastAsia="zh-CN"/>
          <w14:textFill>
            <w14:solidFill>
              <w14:schemeClr w14:val="tx1"/>
            </w14:solidFill>
          </w14:textFill>
        </w:rPr>
        <w:t>30</w:t>
      </w:r>
    </w:p>
    <w:p w14:paraId="5F9AC593">
      <w:pPr>
        <w:pStyle w:val="12"/>
        <w:tabs>
          <w:tab w:val="right" w:leader="dot" w:pos="9072"/>
        </w:tabs>
        <w:spacing w:line="50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t>第四章  招标内容及采购要求</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14:textFill>
            <w14:solidFill>
              <w14:schemeClr w14:val="tx1"/>
            </w14:solidFill>
          </w14:textFill>
        </w:rPr>
        <w:fldChar w:fldCharType="begin"/>
      </w:r>
      <w:r>
        <w:rPr>
          <w:rFonts w:hint="eastAsia" w:ascii="仿宋" w:hAnsi="仿宋" w:eastAsia="仿宋" w:cs="仿宋"/>
          <w:b/>
          <w:bCs/>
          <w:color w:val="000000" w:themeColor="text1"/>
          <w:highlight w:val="none"/>
          <w14:textFill>
            <w14:solidFill>
              <w14:schemeClr w14:val="tx1"/>
            </w14:solidFill>
          </w14:textFill>
        </w:rPr>
        <w:instrText xml:space="preserve"> PAGEREF _Toc3617 \h </w:instrText>
      </w:r>
      <w:r>
        <w:rPr>
          <w:rFonts w:hint="eastAsia" w:ascii="仿宋" w:hAnsi="仿宋" w:eastAsia="仿宋" w:cs="仿宋"/>
          <w:b/>
          <w:bCs/>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highlight w:val="none"/>
          <w14:textFill>
            <w14:solidFill>
              <w14:schemeClr w14:val="tx1"/>
            </w14:solidFill>
          </w14:textFill>
        </w:rPr>
        <w:t>39</w:t>
      </w:r>
      <w:r>
        <w:rPr>
          <w:rFonts w:hint="eastAsia" w:ascii="仿宋" w:hAnsi="仿宋" w:eastAsia="仿宋" w:cs="仿宋"/>
          <w:b/>
          <w:bCs/>
          <w:color w:val="000000" w:themeColor="text1"/>
          <w:highlight w:val="none"/>
          <w14:textFill>
            <w14:solidFill>
              <w14:schemeClr w14:val="tx1"/>
            </w14:solidFill>
          </w14:textFill>
        </w:rPr>
        <w:fldChar w:fldCharType="end"/>
      </w:r>
    </w:p>
    <w:p w14:paraId="1AE092AF">
      <w:pPr>
        <w:pStyle w:val="12"/>
        <w:tabs>
          <w:tab w:val="right" w:leader="dot" w:pos="9072"/>
        </w:tabs>
        <w:spacing w:line="500" w:lineRule="exact"/>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t>第五章  合同基本条款</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lang w:val="en-US" w:eastAsia="zh-CN"/>
          <w14:textFill>
            <w14:solidFill>
              <w14:schemeClr w14:val="tx1"/>
            </w14:solidFill>
          </w14:textFill>
        </w:rPr>
        <w:t>56</w:t>
      </w:r>
    </w:p>
    <w:p w14:paraId="28564137">
      <w:pPr>
        <w:pStyle w:val="12"/>
        <w:tabs>
          <w:tab w:val="right" w:leader="dot" w:pos="9072"/>
        </w:tabs>
        <w:spacing w:line="500" w:lineRule="exact"/>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t>第六章  投标文件构成及格式</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lang w:val="en-US" w:eastAsia="zh-CN"/>
          <w14:textFill>
            <w14:solidFill>
              <w14:schemeClr w14:val="tx1"/>
            </w14:solidFill>
          </w14:textFill>
        </w:rPr>
        <w:t>62</w:t>
      </w:r>
    </w:p>
    <w:p w14:paraId="3505D339">
      <w:pPr>
        <w:pStyle w:val="13"/>
        <w:tabs>
          <w:tab w:val="right" w:leader="dot" w:pos="9072"/>
        </w:tabs>
        <w:spacing w:line="500" w:lineRule="exact"/>
        <w:ind w:left="567"/>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第一部分  资格证明文件</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lang w:val="en-US" w:eastAsia="zh-CN"/>
          <w14:textFill>
            <w14:solidFill>
              <w14:schemeClr w14:val="tx1"/>
            </w14:solidFill>
          </w14:textFill>
        </w:rPr>
        <w:t>65</w:t>
      </w:r>
    </w:p>
    <w:p w14:paraId="576AED2D">
      <w:pPr>
        <w:pStyle w:val="13"/>
        <w:tabs>
          <w:tab w:val="right" w:leader="dot" w:pos="9072"/>
        </w:tabs>
        <w:spacing w:line="500" w:lineRule="exact"/>
        <w:ind w:left="567"/>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第二部分  符合性证明文件</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lang w:val="en-US" w:eastAsia="zh-CN"/>
          <w14:textFill>
            <w14:solidFill>
              <w14:schemeClr w14:val="tx1"/>
            </w14:solidFill>
          </w14:textFill>
        </w:rPr>
        <w:t>71</w:t>
      </w:r>
    </w:p>
    <w:p w14:paraId="0058B21E">
      <w:pPr>
        <w:pStyle w:val="13"/>
        <w:tabs>
          <w:tab w:val="right" w:leader="dot" w:pos="9072"/>
        </w:tabs>
        <w:spacing w:line="500" w:lineRule="exact"/>
        <w:ind w:left="567"/>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第三部分  投标方案</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lang w:val="en-US" w:eastAsia="zh-CN"/>
          <w14:textFill>
            <w14:solidFill>
              <w14:schemeClr w14:val="tx1"/>
            </w14:solidFill>
          </w14:textFill>
        </w:rPr>
        <w:t>79</w:t>
      </w:r>
    </w:p>
    <w:p w14:paraId="7255D9FB">
      <w:pPr>
        <w:tabs>
          <w:tab w:val="right" w:leader="hyphen" w:pos="8504"/>
        </w:tabs>
        <w:spacing w:after="381" w:afterLines="100" w:line="440" w:lineRule="exact"/>
        <w:ind w:left="567" w:right="566" w:rightChars="20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end"/>
      </w:r>
    </w:p>
    <w:p w14:paraId="19F0515B">
      <w:pPr>
        <w:rPr>
          <w:rFonts w:ascii="Calibri Light" w:hAnsi="Calibri Light" w:eastAsia="华文仿宋" w:cs="Calibri Light"/>
          <w:kern w:val="2"/>
          <w:sz w:val="28"/>
          <w:szCs w:val="28"/>
          <w:highlight w:val="none"/>
          <w:lang w:val="en-US" w:eastAsia="zh-CN" w:bidi="ar-SA"/>
        </w:rPr>
      </w:pPr>
    </w:p>
    <w:p w14:paraId="01B3C5D0">
      <w:pPr>
        <w:tabs>
          <w:tab w:val="left" w:pos="6014"/>
        </w:tabs>
        <w:jc w:val="left"/>
        <w:rPr>
          <w:highlight w:val="none"/>
          <w:lang w:val="en-US" w:eastAsia="zh-CN"/>
        </w:rPr>
        <w:sectPr>
          <w:footerReference r:id="rId6" w:type="default"/>
          <w:pgSz w:w="11906" w:h="16838"/>
          <w:pgMar w:top="1417" w:right="1417" w:bottom="1417" w:left="1417" w:header="0" w:footer="964" w:gutter="0"/>
          <w:pgNumType w:start="1"/>
          <w:cols w:space="720" w:num="1"/>
          <w:docGrid w:type="linesAndChars" w:linePitch="381" w:charSpace="704"/>
        </w:sectPr>
      </w:pPr>
      <w:r>
        <w:rPr>
          <w:rFonts w:hint="eastAsia"/>
          <w:highlight w:val="none"/>
          <w:lang w:val="en-US" w:eastAsia="zh-CN"/>
        </w:rPr>
        <w:tab/>
      </w:r>
    </w:p>
    <w:p w14:paraId="43D224FD">
      <w:pPr>
        <w:spacing w:after="120" w:afterLines="50" w:line="500" w:lineRule="exact"/>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1" w:name="_Toc21838"/>
      <w:bookmarkStart w:id="12" w:name="_Toc31315"/>
      <w:r>
        <w:rPr>
          <w:rFonts w:hint="eastAsia" w:ascii="黑体" w:hAnsi="黑体" w:eastAsia="黑体" w:cs="黑体"/>
          <w:color w:val="000000" w:themeColor="text1"/>
          <w:sz w:val="32"/>
          <w:szCs w:val="32"/>
          <w:highlight w:val="none"/>
          <w14:textFill>
            <w14:solidFill>
              <w14:schemeClr w14:val="tx1"/>
            </w14:solidFill>
          </w14:textFill>
        </w:rPr>
        <w:t>第一章  投标邀请函</w:t>
      </w:r>
      <w:bookmarkEnd w:id="3"/>
      <w:bookmarkEnd w:id="4"/>
      <w:bookmarkEnd w:id="5"/>
      <w:bookmarkEnd w:id="6"/>
      <w:bookmarkEnd w:id="7"/>
      <w:bookmarkEnd w:id="8"/>
      <w:bookmarkEnd w:id="9"/>
      <w:bookmarkEnd w:id="10"/>
      <w:bookmarkEnd w:id="11"/>
      <w:bookmarkEnd w:id="12"/>
    </w:p>
    <w:p w14:paraId="1B5A71A9">
      <w:pPr>
        <w:pStyle w:val="2"/>
        <w:spacing w:afterLines="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杨凌职业技术学院2026年物业服务项目</w:t>
      </w:r>
      <w:r>
        <w:rPr>
          <w:rFonts w:hint="eastAsia" w:ascii="仿宋" w:hAnsi="仿宋" w:eastAsia="仿宋" w:cs="仿宋"/>
          <w:color w:val="000000" w:themeColor="text1"/>
          <w:sz w:val="28"/>
          <w:szCs w:val="28"/>
          <w:highlight w:val="none"/>
          <w14:textFill>
            <w14:solidFill>
              <w14:schemeClr w14:val="tx1"/>
            </w14:solidFill>
          </w14:textFill>
        </w:rPr>
        <w:t>潜在的投标人可在全国公共资源交易平台（陕西省）政府采购交易系统获取招标文件，并于202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03</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04</w:t>
      </w:r>
      <w:r>
        <w:rPr>
          <w:rFonts w:hint="eastAsia" w:ascii="仿宋" w:hAnsi="仿宋" w:eastAsia="仿宋" w:cs="仿宋"/>
          <w:color w:val="000000" w:themeColor="text1"/>
          <w:sz w:val="28"/>
          <w:szCs w:val="28"/>
          <w:highlight w:val="none"/>
          <w14:textFill>
            <w14:solidFill>
              <w14:schemeClr w14:val="tx1"/>
            </w14:solidFill>
          </w14:textFill>
        </w:rPr>
        <w:t xml:space="preserve"> 09:30:00前递交投标文件。</w:t>
      </w:r>
    </w:p>
    <w:p w14:paraId="79C2D759">
      <w:pPr>
        <w:pStyle w:val="2"/>
        <w:spacing w:afterLines="0" w:line="500" w:lineRule="exact"/>
        <w:ind w:firstLine="566"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一、项目名称：</w:t>
      </w:r>
      <w:r>
        <w:rPr>
          <w:rFonts w:hint="eastAsia" w:ascii="仿宋" w:hAnsi="仿宋" w:eastAsia="仿宋" w:cs="仿宋"/>
          <w:color w:val="000000" w:themeColor="text1"/>
          <w:sz w:val="28"/>
          <w:szCs w:val="28"/>
          <w:highlight w:val="none"/>
          <w:lang w:eastAsia="zh-CN"/>
          <w14:textFill>
            <w14:solidFill>
              <w14:schemeClr w14:val="tx1"/>
            </w14:solidFill>
          </w14:textFill>
        </w:rPr>
        <w:t>杨凌职业技术学院2026年物业服务项目</w:t>
      </w:r>
    </w:p>
    <w:p w14:paraId="72B8E27F">
      <w:pPr>
        <w:spacing w:afterLines="0" w:line="500" w:lineRule="exact"/>
        <w:ind w:firstLine="566" w:firstLineChars="200"/>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二、项目编号</w:t>
      </w: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SNCG-FM-202</w:t>
      </w:r>
      <w:r>
        <w:rPr>
          <w:rFonts w:hint="eastAsia" w:ascii="仿宋" w:hAnsi="仿宋" w:eastAsia="仿宋" w:cs="仿宋"/>
          <w:color w:val="000000" w:themeColor="text1"/>
          <w:highlight w:val="none"/>
          <w:lang w:val="en-US" w:eastAsia="zh-CN"/>
          <w14:textFill>
            <w14:solidFill>
              <w14:schemeClr w14:val="tx1"/>
            </w14:solidFill>
          </w14:textFill>
        </w:rPr>
        <w:t>6006</w:t>
      </w:r>
    </w:p>
    <w:p w14:paraId="405A1CB5">
      <w:pPr>
        <w:pStyle w:val="21"/>
        <w:spacing w:afterLines="0" w:line="500" w:lineRule="exact"/>
        <w:ind w:firstLine="566" w:firstLineChars="2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三、采购人：</w:t>
      </w:r>
      <w:r>
        <w:rPr>
          <w:rFonts w:hint="eastAsia" w:ascii="仿宋" w:hAnsi="仿宋" w:eastAsia="仿宋" w:cs="仿宋"/>
          <w:color w:val="000000" w:themeColor="text1"/>
          <w:highlight w:val="none"/>
          <w:lang w:eastAsia="zh-CN"/>
          <w14:textFill>
            <w14:solidFill>
              <w14:schemeClr w14:val="tx1"/>
            </w14:solidFill>
          </w14:textFill>
        </w:rPr>
        <w:t>杨凌职业技术学院</w:t>
      </w:r>
    </w:p>
    <w:p w14:paraId="791E1205">
      <w:pPr>
        <w:spacing w:afterLines="0" w:line="500" w:lineRule="exact"/>
        <w:ind w:firstLine="566"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地址：陕西省杨凌示范区渭惠路 24 号</w:t>
      </w:r>
    </w:p>
    <w:p w14:paraId="1AA46E3F">
      <w:pPr>
        <w:spacing w:afterLines="0" w:line="500" w:lineRule="exact"/>
        <w:ind w:firstLine="566"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联系人：崔老师</w:t>
      </w:r>
    </w:p>
    <w:p w14:paraId="27A059F6">
      <w:pPr>
        <w:spacing w:afterLines="0" w:line="500" w:lineRule="exact"/>
        <w:ind w:firstLine="566"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联系方式：029-87085980</w:t>
      </w:r>
    </w:p>
    <w:p w14:paraId="51BD3FF2">
      <w:pPr>
        <w:spacing w:afterLines="0"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四、采购代理机构</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zh-CN"/>
          <w14:textFill>
            <w14:solidFill>
              <w14:schemeClr w14:val="tx1"/>
            </w14:solidFill>
          </w14:textFill>
        </w:rPr>
        <w:t>陕西省省级单位政府采购中心</w:t>
      </w:r>
    </w:p>
    <w:p w14:paraId="6EC7E39A">
      <w:pPr>
        <w:pStyle w:val="21"/>
        <w:spacing w:afterLines="0"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地址：西安市碑林区长安北路14号</w:t>
      </w:r>
    </w:p>
    <w:p w14:paraId="23078E85">
      <w:pPr>
        <w:pStyle w:val="21"/>
        <w:spacing w:afterLines="0"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w:t>
      </w:r>
      <w:r>
        <w:rPr>
          <w:rFonts w:hint="eastAsia" w:ascii="仿宋" w:hAnsi="仿宋" w:eastAsia="仿宋" w:cs="仿宋"/>
          <w:color w:val="000000" w:themeColor="text1"/>
          <w:highlight w:val="none"/>
          <w:lang w:val="en-US" w:eastAsia="zh-CN"/>
          <w14:textFill>
            <w14:solidFill>
              <w14:schemeClr w14:val="tx1"/>
            </w14:solidFill>
          </w14:textFill>
        </w:rPr>
        <w:t>马</w:t>
      </w:r>
      <w:r>
        <w:rPr>
          <w:rFonts w:hint="eastAsia" w:ascii="仿宋" w:hAnsi="仿宋" w:eastAsia="仿宋" w:cs="仿宋"/>
          <w:color w:val="000000" w:themeColor="text1"/>
          <w:highlight w:val="none"/>
          <w14:textFill>
            <w14:solidFill>
              <w14:schemeClr w14:val="tx1"/>
            </w14:solidFill>
          </w14:textFill>
        </w:rPr>
        <w:t>老师</w:t>
      </w:r>
    </w:p>
    <w:p w14:paraId="28A43F11">
      <w:pPr>
        <w:pStyle w:val="21"/>
        <w:spacing w:afterLines="0" w:line="500" w:lineRule="exact"/>
        <w:ind w:firstLine="566" w:firstLineChars="200"/>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联系方式：029-886612</w:t>
      </w:r>
      <w:r>
        <w:rPr>
          <w:rFonts w:hint="eastAsia" w:ascii="仿宋" w:hAnsi="仿宋" w:eastAsia="仿宋" w:cs="仿宋"/>
          <w:color w:val="000000" w:themeColor="text1"/>
          <w:highlight w:val="none"/>
          <w:lang w:val="en-US" w:eastAsia="zh-CN"/>
          <w14:textFill>
            <w14:solidFill>
              <w14:schemeClr w14:val="tx1"/>
            </w14:solidFill>
          </w14:textFill>
        </w:rPr>
        <w:t>46</w:t>
      </w:r>
    </w:p>
    <w:p w14:paraId="2A75E6C1">
      <w:pPr>
        <w:spacing w:afterLines="0"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五、招标内容和要求</w:t>
      </w:r>
    </w:p>
    <w:p w14:paraId="4C8B8ACC">
      <w:pPr>
        <w:pStyle w:val="2"/>
        <w:spacing w:afterLines="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本项目为</w:t>
      </w:r>
      <w:r>
        <w:rPr>
          <w:rFonts w:hint="eastAsia" w:ascii="仿宋" w:hAnsi="仿宋" w:eastAsia="仿宋" w:cs="仿宋"/>
          <w:color w:val="000000" w:themeColor="text1"/>
          <w:sz w:val="28"/>
          <w:szCs w:val="28"/>
          <w:highlight w:val="none"/>
          <w:lang w:eastAsia="zh-CN"/>
          <w14:textFill>
            <w14:solidFill>
              <w14:schemeClr w14:val="tx1"/>
            </w14:solidFill>
          </w14:textFill>
        </w:rPr>
        <w:t>杨凌职业技术学院2026年物业服务项目</w:t>
      </w:r>
      <w:r>
        <w:rPr>
          <w:rFonts w:hint="eastAsia" w:ascii="仿宋" w:hAnsi="仿宋" w:eastAsia="仿宋" w:cs="仿宋"/>
          <w:color w:val="000000" w:themeColor="text1"/>
          <w:sz w:val="28"/>
          <w:szCs w:val="28"/>
          <w:highlight w:val="none"/>
          <w14:textFill>
            <w14:solidFill>
              <w14:schemeClr w14:val="tx1"/>
            </w14:solidFill>
          </w14:textFill>
        </w:rPr>
        <w:t>。（详见招标文件第四章〈招标内容及采购要求〉）。</w:t>
      </w:r>
    </w:p>
    <w:p w14:paraId="4BACF840">
      <w:pPr>
        <w:spacing w:afterLines="0"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六、资金来源</w:t>
      </w:r>
      <w:r>
        <w:rPr>
          <w:rFonts w:hint="eastAsia" w:ascii="仿宋" w:hAnsi="仿宋" w:eastAsia="仿宋" w:cs="仿宋"/>
          <w:color w:val="000000" w:themeColor="text1"/>
          <w:highlight w:val="none"/>
          <w14:textFill>
            <w14:solidFill>
              <w14:schemeClr w14:val="tx1"/>
            </w14:solidFill>
          </w14:textFill>
        </w:rPr>
        <w:t>：预算内</w:t>
      </w:r>
    </w:p>
    <w:p w14:paraId="7DD20078">
      <w:pPr>
        <w:spacing w:afterLines="0"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七、采购预算：</w:t>
      </w:r>
      <w:r>
        <w:rPr>
          <w:rFonts w:hint="eastAsia" w:ascii="仿宋" w:hAnsi="仿宋" w:eastAsia="仿宋" w:cs="仿宋"/>
          <w:b w:val="0"/>
          <w:bCs w:val="0"/>
          <w:color w:val="000000" w:themeColor="text1"/>
          <w:highlight w:val="none"/>
          <w:lang w:val="en-US" w:eastAsia="zh-CN"/>
          <w14:textFill>
            <w14:solidFill>
              <w14:schemeClr w14:val="tx1"/>
            </w14:solidFill>
          </w14:textFill>
        </w:rPr>
        <w:t>290万</w:t>
      </w:r>
      <w:r>
        <w:rPr>
          <w:rFonts w:hint="eastAsia" w:ascii="仿宋" w:hAnsi="仿宋" w:eastAsia="仿宋" w:cs="仿宋"/>
          <w:color w:val="000000" w:themeColor="text1"/>
          <w:highlight w:val="none"/>
          <w14:textFill>
            <w14:solidFill>
              <w14:schemeClr w14:val="tx1"/>
            </w14:solidFill>
          </w14:textFill>
        </w:rPr>
        <w:t>元</w:t>
      </w:r>
    </w:p>
    <w:p w14:paraId="1BCCF388">
      <w:pPr>
        <w:spacing w:afterLines="0"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八、所属行业：</w:t>
      </w:r>
      <w:r>
        <w:rPr>
          <w:rFonts w:hint="eastAsia" w:ascii="仿宋" w:hAnsi="仿宋" w:eastAsia="仿宋" w:cs="仿宋"/>
          <w:color w:val="000000" w:themeColor="text1"/>
          <w:highlight w:val="none"/>
          <w14:textFill>
            <w14:solidFill>
              <w14:schemeClr w14:val="tx1"/>
            </w14:solidFill>
          </w14:textFill>
        </w:rPr>
        <w:t>物业管理</w:t>
      </w:r>
    </w:p>
    <w:p w14:paraId="485515C1">
      <w:pPr>
        <w:spacing w:afterLines="0"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九、项目属性：</w:t>
      </w:r>
      <w:r>
        <w:rPr>
          <w:rFonts w:hint="eastAsia" w:ascii="仿宋" w:hAnsi="仿宋" w:eastAsia="仿宋" w:cs="仿宋"/>
          <w:color w:val="000000" w:themeColor="text1"/>
          <w:highlight w:val="none"/>
          <w14:textFill>
            <w14:solidFill>
              <w14:schemeClr w14:val="tx1"/>
            </w14:solidFill>
          </w14:textFill>
        </w:rPr>
        <w:t>服务类</w:t>
      </w:r>
    </w:p>
    <w:p w14:paraId="5A83DE79">
      <w:pPr>
        <w:spacing w:afterLines="0"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十、投标人资格要求</w:t>
      </w:r>
    </w:p>
    <w:p w14:paraId="52B42A9C">
      <w:pPr>
        <w:widowControl w:val="0"/>
        <w:spacing w:afterLines="0" w:line="500" w:lineRule="exact"/>
        <w:ind w:firstLine="566" w:firstLineChars="200"/>
        <w:rPr>
          <w:rFonts w:ascii="仿宋" w:hAnsi="仿宋" w:eastAsia="仿宋" w:cs="仿宋"/>
          <w:color w:val="000000" w:themeColor="text1"/>
          <w:kern w:val="0"/>
          <w:highlight w:val="none"/>
          <w:lang w:val="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符合《中华人民共和国政府采购法》第二十二条的规定，</w:t>
      </w:r>
      <w:r>
        <w:rPr>
          <w:rFonts w:hint="eastAsia" w:ascii="仿宋" w:hAnsi="仿宋" w:eastAsia="仿宋" w:cs="仿宋"/>
          <w:color w:val="000000" w:themeColor="text1"/>
          <w:kern w:val="0"/>
          <w:highlight w:val="none"/>
          <w:lang w:val="zh-CN"/>
          <w14:textFill>
            <w14:solidFill>
              <w14:schemeClr w14:val="tx1"/>
            </w14:solidFill>
          </w14:textFill>
        </w:rPr>
        <w:t>并提供下列材料：</w:t>
      </w:r>
    </w:p>
    <w:p w14:paraId="40652B25">
      <w:pPr>
        <w:widowControl w:val="0"/>
        <w:spacing w:afterLines="0"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1、营业执照等主体资格证明文件：</w:t>
      </w:r>
      <w:r>
        <w:rPr>
          <w:rFonts w:hint="eastAsia" w:ascii="仿宋" w:hAnsi="仿宋" w:eastAsia="仿宋" w:cs="仿宋"/>
          <w:color w:val="000000" w:themeColor="text1"/>
          <w:highlight w:val="none"/>
          <w14:textFill>
            <w14:solidFill>
              <w14:schemeClr w14:val="tx1"/>
            </w14:solidFill>
          </w14:textFill>
        </w:rPr>
        <w:t xml:space="preserve">提供有效存续的企业营业执照（副本）/事业单位法人证书/专业服务机构执业许可证/民办非企业单位登记证书。 </w:t>
      </w:r>
    </w:p>
    <w:p w14:paraId="508FF1B1">
      <w:pPr>
        <w:widowControl w:val="0"/>
        <w:spacing w:line="500" w:lineRule="exact"/>
        <w:ind w:firstLine="566" w:firstLineChars="200"/>
        <w:rPr>
          <w:rFonts w:ascii="华文仿宋" w:hAnsi="华文仿宋" w:cs="华文仿宋"/>
          <w:b/>
          <w:bCs/>
          <w:highlight w:val="none"/>
        </w:rPr>
      </w:pPr>
      <w:r>
        <w:rPr>
          <w:rFonts w:hint="eastAsia" w:ascii="仿宋" w:hAnsi="仿宋" w:eastAsia="仿宋" w:cs="仿宋"/>
          <w:b/>
          <w:bCs/>
          <w:color w:val="000000" w:themeColor="text1"/>
          <w:highlight w:val="none"/>
          <w14:textFill>
            <w14:solidFill>
              <w14:schemeClr w14:val="tx1"/>
            </w14:solidFill>
          </w14:textFill>
        </w:rPr>
        <w:t>2、</w:t>
      </w:r>
      <w:r>
        <w:rPr>
          <w:rFonts w:hint="eastAsia" w:ascii="仿宋" w:hAnsi="仿宋" w:eastAsia="仿宋" w:cs="仿宋"/>
          <w:b/>
          <w:bCs/>
          <w:highlight w:val="none"/>
        </w:rPr>
        <w:t>财务状况报告</w:t>
      </w:r>
      <w:r>
        <w:rPr>
          <w:rFonts w:hint="eastAsia" w:ascii="华文仿宋" w:hAnsi="华文仿宋" w:cs="华文仿宋"/>
          <w:b/>
          <w:bCs/>
          <w:highlight w:val="none"/>
        </w:rPr>
        <w:t>（以下</w:t>
      </w:r>
      <w:r>
        <w:rPr>
          <w:rFonts w:hint="eastAsia" w:ascii="华文仿宋" w:hAnsi="华文仿宋" w:cs="华文仿宋"/>
          <w:b/>
          <w:bCs/>
          <w:highlight w:val="none"/>
          <w:lang w:val="en-US" w:eastAsia="zh-CN"/>
        </w:rPr>
        <w:t>两</w:t>
      </w:r>
      <w:r>
        <w:rPr>
          <w:rFonts w:hint="eastAsia" w:ascii="华文仿宋" w:hAnsi="华文仿宋" w:cs="华文仿宋"/>
          <w:b/>
          <w:bCs/>
          <w:highlight w:val="none"/>
        </w:rPr>
        <w:t>种资料提供任意一种即可）：</w:t>
      </w:r>
    </w:p>
    <w:p w14:paraId="5ECE36EE">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color w:val="auto"/>
          <w:highlight w:val="none"/>
        </w:rPr>
        <w:t>（1）提供递交投标文件截止之日前两年内任意一个年度经审计的财务报告（包括“四表一注”，即资产负债表、利润表、现金流量表、所有者权益变动表及其附注，符合《</w:t>
      </w:r>
      <w:r>
        <w:rPr>
          <w:rFonts w:hint="eastAsia" w:ascii="华文仿宋" w:hAnsi="华文仿宋" w:cs="华文仿宋"/>
          <w:color w:val="auto"/>
          <w:highlight w:val="none"/>
        </w:rPr>
        <w:fldChar w:fldCharType="begin"/>
      </w:r>
      <w:r>
        <w:rPr>
          <w:rFonts w:hint="eastAsia" w:ascii="华文仿宋" w:hAnsi="华文仿宋" w:cs="华文仿宋"/>
          <w:color w:val="auto"/>
          <w:highlight w:val="none"/>
        </w:rPr>
        <w:instrText xml:space="preserve"> HYPERLINK "https://baike.baidu.com/item/%E4%B8%AD%E5%B0%8F%E4%BC%81%E4%B8%9A%E5%88%92%E5%9E%8B%E6%A0%87%E5%87%86%E8%A7%84%E5%AE%9A/0?fromModule=lemma_inlink" \t "https://baike.baidu.com/item/%E5%B0%8F%E4%BC%81%E4%B8%9A%E4%BC%9A%E8%AE%A1%E5%87%86%E5%88%99/_blank" </w:instrText>
      </w:r>
      <w:r>
        <w:rPr>
          <w:rFonts w:hint="eastAsia" w:ascii="华文仿宋" w:hAnsi="华文仿宋" w:cs="华文仿宋"/>
          <w:color w:val="auto"/>
          <w:highlight w:val="none"/>
        </w:rPr>
        <w:fldChar w:fldCharType="separate"/>
      </w:r>
      <w:r>
        <w:rPr>
          <w:rFonts w:hint="eastAsia" w:ascii="华文仿宋" w:hAnsi="华文仿宋" w:cs="华文仿宋"/>
          <w:color w:val="auto"/>
          <w:highlight w:val="none"/>
        </w:rPr>
        <w:t>中小企业划型标准规定</w:t>
      </w:r>
      <w:r>
        <w:rPr>
          <w:rFonts w:hint="eastAsia" w:ascii="华文仿宋" w:hAnsi="华文仿宋" w:cs="华文仿宋"/>
          <w:color w:val="auto"/>
          <w:highlight w:val="none"/>
        </w:rPr>
        <w:fldChar w:fldCharType="end"/>
      </w:r>
      <w:r>
        <w:rPr>
          <w:rFonts w:hint="eastAsia" w:ascii="华文仿宋" w:hAnsi="华文仿宋" w:cs="华文仿宋"/>
          <w:color w:val="auto"/>
          <w:highlight w:val="none"/>
        </w:rPr>
        <w:t>》的小型企业按照《小企业会计准则》执行。成立时间至提交投标文件截止时间不足一年的可提供成立后任意时段的资产负债表）</w:t>
      </w:r>
      <w:r>
        <w:rPr>
          <w:rFonts w:hint="eastAsia" w:ascii="华文仿宋" w:hAnsi="华文仿宋" w:cs="华文仿宋"/>
          <w:highlight w:val="none"/>
          <w:lang w:eastAsia="zh-CN"/>
        </w:rPr>
        <w:t>，审计报告需具有注册会计师行业统一监管平台赋予的验证码</w:t>
      </w:r>
      <w:r>
        <w:rPr>
          <w:rFonts w:hint="eastAsia" w:ascii="华文仿宋" w:hAnsi="华文仿宋" w:cs="华文仿宋"/>
          <w:highlight w:val="none"/>
        </w:rPr>
        <w:t>；</w:t>
      </w:r>
    </w:p>
    <w:p w14:paraId="3F49904D">
      <w:pPr>
        <w:widowControl w:val="0"/>
        <w:spacing w:line="500" w:lineRule="exact"/>
        <w:ind w:firstLine="566" w:firstLineChars="200"/>
        <w:rPr>
          <w:rFonts w:ascii="华文仿宋" w:hAnsi="华文仿宋" w:cs="华文仿宋"/>
          <w:highlight w:val="none"/>
        </w:rPr>
      </w:pPr>
      <w:r>
        <w:rPr>
          <w:rFonts w:hint="eastAsia" w:ascii="华文仿宋" w:hAnsi="华文仿宋" w:cs="华文仿宋"/>
          <w:color w:val="auto"/>
          <w:highlight w:val="none"/>
        </w:rPr>
        <w:t>（2）其开标前三个月内基本开户银行出具的资信证明</w:t>
      </w:r>
      <w:r>
        <w:rPr>
          <w:rFonts w:hint="eastAsia" w:ascii="华文仿宋" w:hAnsi="华文仿宋" w:cs="华文仿宋"/>
          <w:highlight w:val="none"/>
        </w:rPr>
        <w:t>。</w:t>
      </w:r>
    </w:p>
    <w:p w14:paraId="32EA6AD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3、社保缴纳证明：</w:t>
      </w:r>
      <w:r>
        <w:rPr>
          <w:rFonts w:hint="eastAsia" w:ascii="仿宋" w:hAnsi="仿宋" w:eastAsia="仿宋" w:cs="仿宋"/>
          <w:color w:val="000000" w:themeColor="text1"/>
          <w:highlight w:val="none"/>
          <w14:textFill>
            <w14:solidFill>
              <w14:schemeClr w14:val="tx1"/>
            </w14:solidFill>
          </w14:textFill>
        </w:rPr>
        <w:t>提供递交投标文件截止之日前一年内任意一个月的社会保障资金缴存单据或社保机构开具的社会保险参保缴费情况证明。依法不需要缴纳社会保障资金的投标人应提供相关文件证明。</w:t>
      </w:r>
    </w:p>
    <w:p w14:paraId="6F66C3D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4、税收缴纳证明：</w:t>
      </w:r>
      <w:r>
        <w:rPr>
          <w:rFonts w:hint="eastAsia" w:ascii="仿宋" w:hAnsi="仿宋" w:eastAsia="仿宋" w:cs="仿宋"/>
          <w:color w:val="000000" w:themeColor="text1"/>
          <w:highlight w:val="none"/>
          <w14:textFill>
            <w14:solidFill>
              <w14:schemeClr w14:val="tx1"/>
            </w14:solidFill>
          </w14:textFill>
        </w:rPr>
        <w:t>提供递交投标文件截止之日前一年内任意一个月的依法缴纳税收的完税证明，完税证明应有税务机关或代收机关的公章或业务章。依法免税或无须缴纳税收的投标人，应提供相应证明文件。</w:t>
      </w:r>
    </w:p>
    <w:p w14:paraId="4E9AAC6E">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5、信用记录：</w:t>
      </w:r>
      <w:r>
        <w:rPr>
          <w:rFonts w:hint="eastAsia" w:ascii="仿宋" w:hAnsi="仿宋" w:eastAsia="仿宋" w:cs="仿宋"/>
          <w:color w:val="000000" w:themeColor="text1"/>
          <w:highlight w:val="none"/>
          <w14:textFill>
            <w14:solidFill>
              <w14:schemeClr w14:val="tx1"/>
            </w14:solidFill>
          </w14:textFill>
        </w:rPr>
        <w:t>提供《投标人信用记录书面声明函》。经查，投标人未被列入“信用中国”网站记录的“失信被执行人”或“重大税收违法案件当事人”名单；不处于“中国政府采购网”记录的“政府采购严重违法失信行为记录名单”中的禁止参加政府采购活动期间。</w:t>
      </w:r>
    </w:p>
    <w:p w14:paraId="3D2FC260">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6、控股管理关系：</w:t>
      </w:r>
      <w:r>
        <w:rPr>
          <w:rFonts w:hint="eastAsia" w:ascii="仿宋" w:hAnsi="仿宋" w:eastAsia="仿宋" w:cs="仿宋"/>
          <w:color w:val="000000" w:themeColor="text1"/>
          <w:highlight w:val="none"/>
          <w14:textFill>
            <w14:solidFill>
              <w14:schemeClr w14:val="tx1"/>
            </w14:solidFill>
          </w14:textFill>
        </w:rPr>
        <w:t>提供直接控股和管理关系清单。若与其他投标人存在单位负责人为同一人或者存在直接控股、管理关系的，则投标无效。</w:t>
      </w:r>
    </w:p>
    <w:p w14:paraId="2D9CF1C5">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7、书面声明：</w:t>
      </w:r>
      <w:r>
        <w:rPr>
          <w:rFonts w:hint="eastAsia" w:ascii="仿宋" w:hAnsi="仿宋" w:eastAsia="仿宋" w:cs="仿宋"/>
          <w:color w:val="000000" w:themeColor="text1"/>
          <w:highlight w:val="none"/>
          <w14:textFill>
            <w14:solidFill>
              <w14:schemeClr w14:val="tx1"/>
            </w14:solidFill>
          </w14:textFill>
        </w:rPr>
        <w:t>提供书面声明，包括声明具有履行合同所必需的设备和专业技术能力；未为本项目提供整体设计、规范编制或者项目管理、监理、检测等服务。</w:t>
      </w:r>
    </w:p>
    <w:p w14:paraId="17703D55">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8、法定代表人授权委托书：</w:t>
      </w:r>
      <w:r>
        <w:rPr>
          <w:rFonts w:hint="eastAsia" w:ascii="仿宋" w:hAnsi="仿宋" w:eastAsia="仿宋" w:cs="仿宋"/>
          <w:color w:val="000000" w:themeColor="text1"/>
          <w:highlight w:val="none"/>
          <w14:textFill>
            <w14:solidFill>
              <w14:schemeClr w14:val="tx1"/>
            </w14:solidFill>
          </w14:textFill>
        </w:rPr>
        <w:t>法定代表人参加投标的，须提供本人身份证复印件（附在资格证明文件中）；法定代表人授权他人参加投标的，须提供法定代表人授权委托书。招标文件中凡是需要法定代表人盖章之处，非法人单位的负责人均参照执行。</w:t>
      </w:r>
    </w:p>
    <w:p w14:paraId="67D72459">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法人的分支机构参与投标时，除提供《法定代表人授权委托书》外，还须同时提供法人给分支机构出具的授权书。</w:t>
      </w:r>
    </w:p>
    <w:p w14:paraId="506EBF9A">
      <w:pPr>
        <w:numPr>
          <w:ilvl w:val="255"/>
          <w:numId w:val="0"/>
        </w:num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9</w:t>
      </w:r>
      <w:r>
        <w:rPr>
          <w:rFonts w:hint="eastAsia" w:ascii="仿宋" w:hAnsi="仿宋" w:eastAsia="仿宋" w:cs="仿宋"/>
          <w:b/>
          <w:bCs/>
          <w:color w:val="000000" w:themeColor="text1"/>
          <w:highlight w:val="none"/>
          <w14:textFill>
            <w14:solidFill>
              <w14:schemeClr w14:val="tx1"/>
            </w14:solidFill>
          </w14:textFill>
        </w:rPr>
        <w:t>、本项目</w:t>
      </w:r>
      <w:r>
        <w:rPr>
          <w:rFonts w:hint="eastAsia" w:ascii="仿宋" w:hAnsi="仿宋" w:eastAsia="仿宋" w:cs="仿宋"/>
          <w:b/>
          <w:bCs/>
          <w:color w:val="000000" w:themeColor="text1"/>
          <w:kern w:val="0"/>
          <w:highlight w:val="none"/>
          <w14:textFill>
            <w14:solidFill>
              <w14:schemeClr w14:val="tx1"/>
            </w14:solidFill>
          </w14:textFill>
        </w:rPr>
        <w:t>不接受</w:t>
      </w:r>
      <w:r>
        <w:rPr>
          <w:rFonts w:hint="eastAsia" w:ascii="仿宋" w:hAnsi="仿宋" w:eastAsia="仿宋" w:cs="仿宋"/>
          <w:b/>
          <w:bCs/>
          <w:color w:val="000000" w:themeColor="text1"/>
          <w:highlight w:val="none"/>
          <w14:textFill>
            <w14:solidFill>
              <w14:schemeClr w14:val="tx1"/>
            </w14:solidFill>
          </w14:textFill>
        </w:rPr>
        <w:t>联合体投标，不允许分包。</w:t>
      </w:r>
      <w:r>
        <w:rPr>
          <w:rFonts w:hint="eastAsia" w:ascii="仿宋" w:hAnsi="仿宋" w:eastAsia="仿宋" w:cs="仿宋"/>
          <w:color w:val="000000" w:themeColor="text1"/>
          <w:highlight w:val="none"/>
          <w14:textFill>
            <w14:solidFill>
              <w14:schemeClr w14:val="tx1"/>
            </w14:solidFill>
          </w14:textFill>
        </w:rPr>
        <w:t>投标人应提供《非联合体不分包投标声明》，视为独立投标，不分包。</w:t>
      </w:r>
    </w:p>
    <w:p w14:paraId="4FA12698">
      <w:pPr>
        <w:spacing w:line="300" w:lineRule="exact"/>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38A3893F">
      <w:pPr>
        <w:spacing w:line="300" w:lineRule="exact"/>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1、以上资格要求均为必备资格，需提供相关证明文件并加盖投标人公章（如相关证明材料由第三方出具，应有第三方公章），缺少其中任何一项，其投标文件视为无效文件。</w:t>
      </w:r>
    </w:p>
    <w:p w14:paraId="0B4C61B9">
      <w:pPr>
        <w:spacing w:line="300" w:lineRule="exact"/>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2、《投标人信用记录书面声明函》《法定代表人授权委托书》《书面声明》《非联合体不分包投标声明》应按招标文件第六章第一部分给定的格式填写。</w:t>
      </w:r>
    </w:p>
    <w:p w14:paraId="5C392092">
      <w:pPr>
        <w:spacing w:line="300" w:lineRule="exact"/>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法人的分支机构参与投标时，投标文件中应附法人给分支机构出具的授权书。授权书附在《法定代表人授权委托书》后，如无授权，将被视为无效文件。法人只能授权一家分支机构参与投标，且不能与分支机构同时参与投标。</w:t>
      </w:r>
    </w:p>
    <w:p w14:paraId="53CF6BF0">
      <w:pPr>
        <w:spacing w:line="300" w:lineRule="exact"/>
        <w:ind w:firstLine="426"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4、事业单位法人参与投标可不提供财务状况报告和社会保障资金缴纳证明及税收缴纳证明。</w:t>
      </w:r>
    </w:p>
    <w:p w14:paraId="2A2E0DFC">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十一、执行的政府采购政策</w:t>
      </w:r>
    </w:p>
    <w:p w14:paraId="45BB2D44">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1、《关于在政府采购活动中查询及使用信用记录有关问题的通知》（财库〔2016〕125号）。</w:t>
      </w:r>
    </w:p>
    <w:p w14:paraId="79F52879">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政府采购促进中小企业发展管理办法》（财库〔2020〕46号）、《关于政府采购支持监狱企业发展有关问题的通知》（财库〔2014〕68号）以及《关于促进残疾人就业政府采购政策的通知》（财库〔2017〕141号）。</w:t>
      </w:r>
    </w:p>
    <w:p w14:paraId="21CBCAA6">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03D990D6">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5BC25F81">
      <w:pPr>
        <w:pStyle w:val="2"/>
        <w:widowControl w:val="0"/>
        <w:spacing w:afterLines="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5、《陕西省财政厅关于加快推进我省中小企业政府采购信用融资工作的通知》（陕财办采〔2020〕15号）、陕西省财政厅关于印发《陕西省中小企业政府采购信用融资办法》（陕财办采〔2018〕23号）。</w:t>
      </w:r>
    </w:p>
    <w:p w14:paraId="05998940">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6、详见《投标人须知》中“落实的政府采购政策”有关内容。</w:t>
      </w:r>
    </w:p>
    <w:p w14:paraId="07A785AC">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十二、获取招标文件的时间及方式</w:t>
      </w:r>
    </w:p>
    <w:p w14:paraId="02495EB2">
      <w:pPr>
        <w:widowControl w:val="0"/>
        <w:wordWrap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１、获取方式：投标人可登录全国公共资源交易平台（陕西省）（http://www.sxggzyjy.cn/），选择“电子交易平台—陕西政府采购交易系统—企业端”进行登录，登录后选择“交易乙方”身份进入投标人界面后，选择有意向的项目点击“我要投标”，参与投标活动。然后即可在〖我的项目〗中点击“项目流程&gt;交易文件下载”免费下载电子招标文件。</w:t>
      </w:r>
    </w:p>
    <w:p w14:paraId="15BA574F">
      <w:pPr>
        <w:widowControl w:val="0"/>
        <w:wordWrap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投标人初次使用交易平台，须先完成诚信入库登记、数字认证证书（CA锁）认证及企业信息绑定。相关操作流程详见全国公共资源交易平台（陕西省）网站〖首页·〉服务指南·〉下载专区〗中的《陕西省省级单位电子化政府采购项目投标指南》。</w:t>
      </w:r>
    </w:p>
    <w:p w14:paraId="17549D52">
      <w:pPr>
        <w:widowControl w:val="0"/>
        <w:wordWrap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highlight w:val="none"/>
        </w:rPr>
        <w:t>数字认证证书（CA锁）办理详见全国公共资源交易平台（陕西省）网站〖首页·〉服务指南·〉常见问题解答〉CA证书办理〗中的《CA办理常见问题解答》，网址：http://www.sxggzyjy.cn/fwzn/004002/004002007/20250108/efdc53a2-c250-44b1-876c-c44ab6c5e66d.html。现场办理地址：西安市长安北路14号省公共资源交易中心一楼办理大厅3、4号窗口，咨询电话：029-88661241</w:t>
      </w:r>
      <w:r>
        <w:rPr>
          <w:rFonts w:hint="eastAsia" w:ascii="仿宋" w:hAnsi="仿宋" w:eastAsia="仿宋" w:cs="仿宋"/>
          <w:color w:val="000000" w:themeColor="text1"/>
          <w:highlight w:val="none"/>
          <w14:textFill>
            <w14:solidFill>
              <w14:schemeClr w14:val="tx1"/>
            </w14:solidFill>
          </w14:textFill>
        </w:rPr>
        <w:t>。</w:t>
      </w:r>
    </w:p>
    <w:p w14:paraId="790F84B5">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bookmarkStart w:id="13" w:name="_Hlk511229508"/>
      <w:r>
        <w:rPr>
          <w:rFonts w:hint="eastAsia" w:ascii="仿宋" w:hAnsi="仿宋" w:eastAsia="仿宋" w:cs="仿宋"/>
          <w:b/>
          <w:bCs/>
          <w:color w:val="000000" w:themeColor="text1"/>
          <w:highlight w:val="none"/>
          <w14:textFill>
            <w14:solidFill>
              <w14:schemeClr w14:val="tx1"/>
            </w14:solidFill>
          </w14:textFill>
        </w:rPr>
        <w:t>4、获取时间：202</w:t>
      </w:r>
      <w:r>
        <w:rPr>
          <w:rFonts w:hint="eastAsia" w:ascii="仿宋" w:hAnsi="仿宋" w:eastAsia="仿宋" w:cs="仿宋"/>
          <w:b/>
          <w:bCs/>
          <w:color w:val="000000" w:themeColor="text1"/>
          <w:highlight w:val="none"/>
          <w:lang w:val="en-US" w:eastAsia="zh-CN"/>
          <w14:textFill>
            <w14:solidFill>
              <w14:schemeClr w14:val="tx1"/>
            </w14:solidFill>
          </w14:textFill>
        </w:rPr>
        <w:t>6</w:t>
      </w:r>
      <w:r>
        <w:rPr>
          <w:rFonts w:hint="eastAsia" w:ascii="仿宋" w:hAnsi="仿宋" w:eastAsia="仿宋" w:cs="仿宋"/>
          <w:b/>
          <w:bCs/>
          <w:color w:val="000000" w:themeColor="text1"/>
          <w:highlight w:val="none"/>
          <w14:textFill>
            <w14:solidFill>
              <w14:schemeClr w14:val="tx1"/>
            </w14:solidFill>
          </w14:textFill>
        </w:rPr>
        <w:t>年</w:t>
      </w:r>
      <w:r>
        <w:rPr>
          <w:rFonts w:hint="eastAsia" w:ascii="仿宋" w:hAnsi="仿宋" w:eastAsia="仿宋" w:cs="仿宋"/>
          <w:b/>
          <w:bCs/>
          <w:color w:val="000000" w:themeColor="text1"/>
          <w:highlight w:val="none"/>
          <w:lang w:val="en-US" w:eastAsia="zh-CN"/>
          <w14:textFill>
            <w14:solidFill>
              <w14:schemeClr w14:val="tx1"/>
            </w14:solidFill>
          </w14:textFill>
        </w:rPr>
        <w:t>02</w:t>
      </w:r>
      <w:r>
        <w:rPr>
          <w:rFonts w:hint="eastAsia" w:ascii="仿宋" w:hAnsi="仿宋" w:eastAsia="仿宋" w:cs="仿宋"/>
          <w:b/>
          <w:bCs/>
          <w:color w:val="000000" w:themeColor="text1"/>
          <w:highlight w:val="none"/>
          <w14:textFill>
            <w14:solidFill>
              <w14:schemeClr w14:val="tx1"/>
            </w14:solidFill>
          </w14:textFill>
        </w:rPr>
        <w:t>月</w:t>
      </w:r>
      <w:r>
        <w:rPr>
          <w:rFonts w:hint="eastAsia" w:ascii="仿宋" w:hAnsi="仿宋" w:eastAsia="仿宋" w:cs="仿宋"/>
          <w:b/>
          <w:bCs/>
          <w:color w:val="000000" w:themeColor="text1"/>
          <w:highlight w:val="none"/>
          <w:lang w:val="en-US" w:eastAsia="zh-CN"/>
          <w14:textFill>
            <w14:solidFill>
              <w14:schemeClr w14:val="tx1"/>
            </w14:solidFill>
          </w14:textFill>
        </w:rPr>
        <w:t>06</w:t>
      </w:r>
      <w:r>
        <w:rPr>
          <w:rFonts w:hint="eastAsia" w:ascii="仿宋" w:hAnsi="仿宋" w:eastAsia="仿宋" w:cs="仿宋"/>
          <w:b/>
          <w:bCs/>
          <w:color w:val="000000" w:themeColor="text1"/>
          <w:highlight w:val="none"/>
          <w14:textFill>
            <w14:solidFill>
              <w14:schemeClr w14:val="tx1"/>
            </w14:solidFill>
          </w14:textFill>
        </w:rPr>
        <w:t>日至202</w:t>
      </w:r>
      <w:r>
        <w:rPr>
          <w:rFonts w:hint="eastAsia" w:ascii="仿宋" w:hAnsi="仿宋" w:eastAsia="仿宋" w:cs="仿宋"/>
          <w:b/>
          <w:bCs/>
          <w:color w:val="000000" w:themeColor="text1"/>
          <w:highlight w:val="none"/>
          <w:lang w:val="en-US" w:eastAsia="zh-CN"/>
          <w14:textFill>
            <w14:solidFill>
              <w14:schemeClr w14:val="tx1"/>
            </w14:solidFill>
          </w14:textFill>
        </w:rPr>
        <w:t>6</w:t>
      </w:r>
      <w:r>
        <w:rPr>
          <w:rFonts w:hint="eastAsia" w:ascii="仿宋" w:hAnsi="仿宋" w:eastAsia="仿宋" w:cs="仿宋"/>
          <w:b/>
          <w:bCs/>
          <w:color w:val="000000" w:themeColor="text1"/>
          <w:highlight w:val="none"/>
          <w14:textFill>
            <w14:solidFill>
              <w14:schemeClr w14:val="tx1"/>
            </w14:solidFill>
          </w14:textFill>
        </w:rPr>
        <w:t>年</w:t>
      </w:r>
      <w:r>
        <w:rPr>
          <w:rFonts w:hint="eastAsia" w:ascii="仿宋" w:hAnsi="仿宋" w:eastAsia="仿宋" w:cs="仿宋"/>
          <w:b/>
          <w:bCs/>
          <w:color w:val="000000" w:themeColor="text1"/>
          <w:highlight w:val="none"/>
          <w:lang w:val="en-US" w:eastAsia="zh-CN"/>
          <w14:textFill>
            <w14:solidFill>
              <w14:schemeClr w14:val="tx1"/>
            </w14:solidFill>
          </w14:textFill>
        </w:rPr>
        <w:t>03</w:t>
      </w:r>
      <w:r>
        <w:rPr>
          <w:rFonts w:hint="eastAsia" w:ascii="仿宋" w:hAnsi="仿宋" w:eastAsia="仿宋" w:cs="仿宋"/>
          <w:b/>
          <w:bCs/>
          <w:color w:val="000000" w:themeColor="text1"/>
          <w:highlight w:val="none"/>
          <w14:textFill>
            <w14:solidFill>
              <w14:schemeClr w14:val="tx1"/>
            </w14:solidFill>
          </w14:textFill>
        </w:rPr>
        <w:t>月</w:t>
      </w:r>
      <w:r>
        <w:rPr>
          <w:rFonts w:hint="eastAsia" w:ascii="仿宋" w:hAnsi="仿宋" w:eastAsia="仿宋" w:cs="仿宋"/>
          <w:b/>
          <w:bCs/>
          <w:color w:val="000000" w:themeColor="text1"/>
          <w:highlight w:val="none"/>
          <w:lang w:val="en-US" w:eastAsia="zh-CN"/>
          <w14:textFill>
            <w14:solidFill>
              <w14:schemeClr w14:val="tx1"/>
            </w14:solidFill>
          </w14:textFill>
        </w:rPr>
        <w:t>03</w:t>
      </w:r>
      <w:r>
        <w:rPr>
          <w:rFonts w:hint="eastAsia" w:ascii="仿宋" w:hAnsi="仿宋" w:eastAsia="仿宋" w:cs="仿宋"/>
          <w:b/>
          <w:bCs/>
          <w:color w:val="000000" w:themeColor="text1"/>
          <w:highlight w:val="none"/>
          <w14:textFill>
            <w14:solidFill>
              <w14:schemeClr w14:val="tx1"/>
            </w14:solidFill>
          </w14:textFill>
        </w:rPr>
        <w:t>日，每天上午08:00:00至12:00:00，下午12:00:00至18:00:00（北京时间,法定节假日除外）</w:t>
      </w:r>
    </w:p>
    <w:p w14:paraId="7AEAC1F1">
      <w:pPr>
        <w:widowControl w:val="0"/>
        <w:spacing w:line="500" w:lineRule="exact"/>
        <w:ind w:firstLine="566" w:firstLineChars="200"/>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十三、投标保证金的</w:t>
      </w:r>
      <w:r>
        <w:rPr>
          <w:rFonts w:hint="eastAsia" w:ascii="仿宋" w:hAnsi="仿宋" w:eastAsia="仿宋" w:cs="仿宋"/>
          <w:b/>
          <w:bCs/>
          <w:color w:val="000000" w:themeColor="text1"/>
          <w:highlight w:val="none"/>
          <w:lang w:eastAsia="zh-CN"/>
          <w14:textFill>
            <w14:solidFill>
              <w14:schemeClr w14:val="tx1"/>
            </w14:solidFill>
          </w14:textFill>
        </w:rPr>
        <w:t>缴</w:t>
      </w:r>
      <w:r>
        <w:rPr>
          <w:rFonts w:hint="eastAsia" w:ascii="仿宋" w:hAnsi="仿宋" w:eastAsia="仿宋" w:cs="仿宋"/>
          <w:b/>
          <w:bCs/>
          <w:color w:val="000000" w:themeColor="text1"/>
          <w:highlight w:val="none"/>
          <w14:textFill>
            <w14:solidFill>
              <w14:schemeClr w14:val="tx1"/>
            </w14:solidFill>
          </w14:textFill>
        </w:rPr>
        <w:t>纳</w:t>
      </w:r>
    </w:p>
    <w:p w14:paraId="2872A5DF">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本项目不收取投标保证金。</w:t>
      </w:r>
    </w:p>
    <w:p w14:paraId="5159740E">
      <w:pPr>
        <w:widowControl w:val="0"/>
        <w:spacing w:line="500" w:lineRule="exact"/>
        <w:ind w:firstLine="566"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十四、提交投标文件截止时间及开标时间和地点</w:t>
      </w:r>
    </w:p>
    <w:p w14:paraId="3A9E2A55">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1、提交投标文件：电子投标文件一份</w:t>
      </w:r>
      <w:r>
        <w:rPr>
          <w:rFonts w:hint="eastAsia" w:ascii="仿宋" w:hAnsi="仿宋" w:eastAsia="仿宋" w:cs="仿宋"/>
          <w:color w:val="000000" w:themeColor="text1"/>
          <w:highlight w:val="none"/>
          <w14:textFill>
            <w14:solidFill>
              <w14:schemeClr w14:val="tx1"/>
            </w14:solidFill>
          </w14:textFill>
        </w:rPr>
        <w:t>。</w:t>
      </w:r>
    </w:p>
    <w:p w14:paraId="023B62BD">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电子投标文件（*.SXSTF）可于提交投标文件截止时间前任意时段登录全国公共资源交易平台（陕西省）网站进行提交，逾期系统将拒绝接收。</w:t>
      </w:r>
    </w:p>
    <w:p w14:paraId="014421BE">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2、提交投标文件截止时间：202</w:t>
      </w:r>
      <w:r>
        <w:rPr>
          <w:rFonts w:hint="eastAsia" w:ascii="仿宋" w:hAnsi="仿宋" w:eastAsia="仿宋" w:cs="仿宋"/>
          <w:b/>
          <w:bCs/>
          <w:color w:val="000000" w:themeColor="text1"/>
          <w:highlight w:val="none"/>
          <w:lang w:val="en-US" w:eastAsia="zh-CN"/>
          <w14:textFill>
            <w14:solidFill>
              <w14:schemeClr w14:val="tx1"/>
            </w14:solidFill>
          </w14:textFill>
        </w:rPr>
        <w:t>6</w:t>
      </w:r>
      <w:r>
        <w:rPr>
          <w:rFonts w:hint="eastAsia" w:ascii="仿宋" w:hAnsi="仿宋" w:eastAsia="仿宋" w:cs="仿宋"/>
          <w:b/>
          <w:bCs/>
          <w:color w:val="000000" w:themeColor="text1"/>
          <w:highlight w:val="none"/>
          <w14:textFill>
            <w14:solidFill>
              <w14:schemeClr w14:val="tx1"/>
            </w14:solidFill>
          </w14:textFill>
        </w:rPr>
        <w:t>年</w:t>
      </w:r>
      <w:r>
        <w:rPr>
          <w:rFonts w:hint="eastAsia" w:ascii="仿宋" w:hAnsi="仿宋" w:eastAsia="仿宋" w:cs="仿宋"/>
          <w:b/>
          <w:bCs/>
          <w:color w:val="000000" w:themeColor="text1"/>
          <w:highlight w:val="none"/>
          <w:lang w:val="en-US" w:eastAsia="zh-CN"/>
          <w14:textFill>
            <w14:solidFill>
              <w14:schemeClr w14:val="tx1"/>
            </w14:solidFill>
          </w14:textFill>
        </w:rPr>
        <w:t>03</w:t>
      </w:r>
      <w:r>
        <w:rPr>
          <w:rFonts w:hint="eastAsia" w:ascii="仿宋" w:hAnsi="仿宋" w:eastAsia="仿宋" w:cs="仿宋"/>
          <w:b/>
          <w:bCs/>
          <w:color w:val="000000" w:themeColor="text1"/>
          <w:highlight w:val="none"/>
          <w14:textFill>
            <w14:solidFill>
              <w14:schemeClr w14:val="tx1"/>
            </w14:solidFill>
          </w14:textFill>
        </w:rPr>
        <w:t>月</w:t>
      </w:r>
      <w:r>
        <w:rPr>
          <w:rFonts w:hint="eastAsia" w:ascii="仿宋" w:hAnsi="仿宋" w:eastAsia="仿宋" w:cs="仿宋"/>
          <w:b/>
          <w:bCs/>
          <w:color w:val="000000" w:themeColor="text1"/>
          <w:highlight w:val="none"/>
          <w:lang w:val="en-US" w:eastAsia="zh-CN"/>
          <w14:textFill>
            <w14:solidFill>
              <w14:schemeClr w14:val="tx1"/>
            </w14:solidFill>
          </w14:textFill>
        </w:rPr>
        <w:t>04</w:t>
      </w:r>
      <w:r>
        <w:rPr>
          <w:rFonts w:hint="eastAsia" w:ascii="仿宋" w:hAnsi="仿宋" w:eastAsia="仿宋" w:cs="仿宋"/>
          <w:b/>
          <w:bCs/>
          <w:color w:val="000000" w:themeColor="text1"/>
          <w:highlight w:val="none"/>
          <w14:textFill>
            <w14:solidFill>
              <w14:schemeClr w14:val="tx1"/>
            </w14:solidFill>
          </w14:textFill>
        </w:rPr>
        <w:t>日09:30</w:t>
      </w:r>
    </w:p>
    <w:p w14:paraId="35B05701">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3、开标时间：同提交投标文件截止时间</w:t>
      </w:r>
    </w:p>
    <w:p w14:paraId="4C29CF46">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4、开标地点：西安市碑林区长安北路14号陕西省公共资源交易中心</w:t>
      </w:r>
      <w:r>
        <w:rPr>
          <w:rFonts w:hint="eastAsia" w:ascii="仿宋" w:hAnsi="仿宋" w:eastAsia="仿宋" w:cs="仿宋"/>
          <w:b/>
          <w:bCs/>
          <w:color w:val="000000" w:themeColor="text1"/>
          <w:highlight w:val="none"/>
          <w:u w:val="single"/>
          <w:lang w:val="en-US" w:eastAsia="zh-CN"/>
          <w14:textFill>
            <w14:solidFill>
              <w14:schemeClr w14:val="tx1"/>
            </w14:solidFill>
          </w14:textFill>
        </w:rPr>
        <w:t>308</w:t>
      </w:r>
      <w:r>
        <w:rPr>
          <w:rFonts w:hint="eastAsia" w:ascii="仿宋" w:hAnsi="仿宋" w:eastAsia="仿宋" w:cs="仿宋"/>
          <w:b/>
          <w:bCs/>
          <w:color w:val="000000" w:themeColor="text1"/>
          <w:highlight w:val="none"/>
          <w14:textFill>
            <w14:solidFill>
              <w14:schemeClr w14:val="tx1"/>
            </w14:solidFill>
          </w14:textFill>
        </w:rPr>
        <w:t>室（不见面开标）。</w:t>
      </w:r>
    </w:p>
    <w:p w14:paraId="7E9801DC">
      <w:pPr>
        <w:pStyle w:val="15"/>
        <w:widowControl w:val="0"/>
        <w:wordWrap w:val="0"/>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5、开标形式：本项目采用不见面开标方式。</w:t>
      </w:r>
      <w:r>
        <w:rPr>
          <w:rFonts w:hint="eastAsia" w:ascii="仿宋" w:hAnsi="仿宋" w:eastAsia="仿宋" w:cs="仿宋"/>
          <w:color w:val="000000" w:themeColor="text1"/>
          <w:sz w:val="28"/>
          <w:szCs w:val="28"/>
          <w:highlight w:val="none"/>
          <w14:textFill>
            <w14:solidFill>
              <w14:schemeClr w14:val="tx1"/>
            </w14:solidFill>
          </w14:textFill>
        </w:rPr>
        <w:t>投标人需在开启前最少一个小时登录全国公共资源交易平台（陕西省）首页选择“不见面开标-陕西省本级”自行调试，并按照工作人员要求进行投标文件解密，远程观看开标直播。及时加入网络开标大厅公布的腾讯QQ号，以便澄清等情况处理。如遇困难，请拨打系统平台技术支持电话：</w:t>
      </w:r>
      <w:r>
        <w:rPr>
          <w:rFonts w:hint="eastAsia" w:ascii="仿宋" w:hAnsi="仿宋" w:eastAsia="仿宋" w:cs="仿宋"/>
          <w:b/>
          <w:bCs/>
          <w:color w:val="000000" w:themeColor="text1"/>
          <w:sz w:val="28"/>
          <w:szCs w:val="28"/>
          <w:highlight w:val="none"/>
          <w14:textFill>
            <w14:solidFill>
              <w14:schemeClr w14:val="tx1"/>
            </w14:solidFill>
          </w14:textFill>
        </w:rPr>
        <w:t>0512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58188039</w:t>
      </w:r>
      <w:r>
        <w:rPr>
          <w:rFonts w:hint="eastAsia" w:ascii="仿宋" w:hAnsi="仿宋" w:eastAsia="仿宋" w:cs="仿宋"/>
          <w:color w:val="000000" w:themeColor="text1"/>
          <w:sz w:val="28"/>
          <w:szCs w:val="28"/>
          <w:highlight w:val="none"/>
          <w14:textFill>
            <w14:solidFill>
              <w14:schemeClr w14:val="tx1"/>
            </w14:solidFill>
          </w14:textFill>
        </w:rPr>
        <w:t>。</w:t>
      </w:r>
    </w:p>
    <w:p w14:paraId="559C95F2">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开标时，投标人应按照工作人员要求进行远程解密，如因投标人自身原因，在规定时间内未完成投标文件解密，按无效投标对待。</w:t>
      </w:r>
    </w:p>
    <w:p w14:paraId="09039C96">
      <w:pPr>
        <w:pStyle w:val="15"/>
        <w:widowControl w:val="0"/>
        <w:wordWrap w:val="0"/>
        <w:spacing w:line="400" w:lineRule="exact"/>
        <w:ind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2E6BB39E">
      <w:pPr>
        <w:pStyle w:val="15"/>
        <w:widowControl w:val="0"/>
        <w:wordWrap w:val="0"/>
        <w:spacing w:line="400" w:lineRule="exact"/>
        <w:ind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1、相关操作流程详见全国公共资源交易平台（陕西省）网站〖首页·〉服务指南·〉下载专区〗中的《陕西省公共资源交易中心政府采购项目远程不见面开标操作手册（</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版）》。</w:t>
      </w:r>
    </w:p>
    <w:p w14:paraId="12FDB859">
      <w:pPr>
        <w:pStyle w:val="15"/>
        <w:widowControl w:val="0"/>
        <w:wordWrap w:val="0"/>
        <w:spacing w:line="400" w:lineRule="exact"/>
        <w:ind w:firstLine="426"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2、“规定时间”由现场工作人员具体确定。</w:t>
      </w:r>
    </w:p>
    <w:p w14:paraId="76DC545A">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十五、采购代理机构收费标准：免费</w:t>
      </w:r>
    </w:p>
    <w:p w14:paraId="2C233EEB">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bookmarkStart w:id="14" w:name="_Toc10758_WPSOffice_Level2"/>
      <w:bookmarkStart w:id="15" w:name="_Toc14110_WPSOffice_Level2"/>
      <w:bookmarkStart w:id="16" w:name="_Toc22849_WPSOffice_Level2"/>
      <w:bookmarkStart w:id="17" w:name="_Toc20005"/>
      <w:bookmarkStart w:id="18" w:name="_Toc17917"/>
      <w:r>
        <w:rPr>
          <w:rFonts w:hint="eastAsia" w:ascii="仿宋" w:hAnsi="仿宋" w:eastAsia="仿宋" w:cs="仿宋"/>
          <w:b/>
          <w:bCs/>
          <w:color w:val="000000" w:themeColor="text1"/>
          <w:highlight w:val="none"/>
          <w14:textFill>
            <w14:solidFill>
              <w14:schemeClr w14:val="tx1"/>
            </w14:solidFill>
          </w14:textFill>
        </w:rPr>
        <w:t>十六、公告期自发布之日起5个工作日。</w:t>
      </w:r>
      <w:bookmarkEnd w:id="14"/>
      <w:bookmarkEnd w:id="15"/>
      <w:bookmarkEnd w:id="16"/>
      <w:bookmarkEnd w:id="17"/>
      <w:bookmarkEnd w:id="18"/>
    </w:p>
    <w:p w14:paraId="522C15A6">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十七、陕西省省级单位政府采购中心联系电话：029-88661294</w:t>
      </w:r>
    </w:p>
    <w:p w14:paraId="05A83B59">
      <w:pPr>
        <w:spacing w:line="500" w:lineRule="exact"/>
        <w:ind w:firstLine="566" w:firstLineChars="200"/>
        <w:rPr>
          <w:rFonts w:hint="eastAsia" w:ascii="宋体" w:hAnsi="宋体" w:eastAsia="宋体" w:cs="宋体"/>
          <w:b/>
          <w:bCs/>
          <w:color w:val="000000" w:themeColor="text1"/>
          <w:highlight w:val="none"/>
          <w14:textFill>
            <w14:solidFill>
              <w14:schemeClr w14:val="tx1"/>
            </w14:solidFill>
          </w14:textFill>
        </w:rPr>
      </w:pPr>
    </w:p>
    <w:p w14:paraId="1EB284C3">
      <w:pPr>
        <w:spacing w:afterLines="0" w:line="240" w:lineRule="auto"/>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特别提醒：</w:t>
      </w:r>
    </w:p>
    <w:bookmarkEnd w:id="13"/>
    <w:p w14:paraId="42EB44A2">
      <w:pPr>
        <w:wordWrap w:val="0"/>
        <w:spacing w:afterLines="0" w:line="240" w:lineRule="auto"/>
        <w:ind w:firstLine="426" w:firstLineChars="200"/>
        <w:rPr>
          <w:rFonts w:ascii="宋体" w:hAnsi="宋体" w:eastAsia="宋体" w:cs="宋体"/>
          <w:b/>
          <w:bCs/>
          <w:color w:val="000000" w:themeColor="text1"/>
          <w:sz w:val="21"/>
          <w:szCs w:val="21"/>
          <w:highlight w:val="none"/>
          <w14:textFill>
            <w14:solidFill>
              <w14:schemeClr w14:val="tx1"/>
            </w14:solidFill>
          </w14:textFill>
        </w:rPr>
      </w:pPr>
      <w:bookmarkStart w:id="19" w:name="_Toc495012770"/>
      <w:bookmarkStart w:id="20" w:name="_Toc16643"/>
      <w:bookmarkStart w:id="21" w:name="_Toc495014648"/>
      <w:bookmarkStart w:id="22" w:name="_Toc26954"/>
      <w:bookmarkStart w:id="23" w:name="_Toc8753"/>
      <w:bookmarkStart w:id="24" w:name="_Toc445306492"/>
      <w:bookmarkStart w:id="25" w:name="_Toc495012820"/>
      <w:bookmarkStart w:id="26" w:name="_Toc495014610"/>
      <w:bookmarkStart w:id="27" w:name="_Toc495014919"/>
      <w:bookmarkStart w:id="28" w:name="_Toc495014953"/>
      <w:bookmarkStart w:id="29" w:name="_Toc495014584"/>
      <w:r>
        <w:rPr>
          <w:rFonts w:hint="eastAsia" w:ascii="宋体" w:hAnsi="宋体" w:eastAsia="宋体" w:cs="宋体"/>
          <w:b/>
          <w:bCs/>
          <w:color w:val="000000" w:themeColor="text1"/>
          <w:sz w:val="21"/>
          <w:szCs w:val="21"/>
          <w:highlight w:val="none"/>
          <w14:textFill>
            <w14:solidFill>
              <w14:schemeClr w14:val="tx1"/>
            </w14:solidFill>
          </w14:textFill>
        </w:rPr>
        <w:t>1、本项目采用电子化投标及远程不见面开标方式。投标人须使用数字认证证书（CA锁）对电子投标文件进行签章、加密、递交及开标时解密等相关招投标事宜。开标前，投标人需登录网络开标大厅。开标时，按照工作人员要求进行远程解密，如因投标人自身原因造成无法解密投标文件，按无效投标对待。</w:t>
      </w:r>
    </w:p>
    <w:p w14:paraId="65585046">
      <w:pPr>
        <w:widowControl w:val="0"/>
        <w:wordWrap w:val="0"/>
        <w:spacing w:afterLines="0" w:line="240" w:lineRule="auto"/>
        <w:ind w:firstLine="426" w:firstLineChars="200"/>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制作电子投标文件。投标人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11711C0A">
      <w:pPr>
        <w:widowControl w:val="0"/>
        <w:wordWrap w:val="0"/>
        <w:spacing w:afterLines="0" w:line="240" w:lineRule="auto"/>
        <w:ind w:firstLine="426" w:firstLineChars="200"/>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递交电子投标文件。登录全国公共资源交易中心平台（陕西省）（http://www.sxggzyjy.cn/），选择“电子交易平台—陕西政府采购交易系统—企业端”进行登录，登录后选择“交易中标人”身份进入，进入菜单“采购业务—我的项目—项目流程—上传投标文件”，上传加密的电子投标文件。上传成功后，电子化平台将予以记录。</w:t>
      </w:r>
    </w:p>
    <w:p w14:paraId="789B616D">
      <w:pPr>
        <w:wordWrap w:val="0"/>
        <w:spacing w:afterLines="0" w:line="240" w:lineRule="auto"/>
        <w:ind w:firstLine="426" w:firstLineChars="200"/>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4、为了保证远程不见面开标顺利进行，投标人需使用配备音响和拾音设备的电脑提前1小时登录网络开标大厅（相关操作流程见本章第十四条第5款备注（1））。</w:t>
      </w:r>
    </w:p>
    <w:p w14:paraId="510E5A5F">
      <w:pPr>
        <w:pStyle w:val="2"/>
        <w:spacing w:afterLines="0" w:line="240" w:lineRule="auto"/>
        <w:ind w:firstLine="426" w:firstLineChars="200"/>
        <w:rPr>
          <w:rFonts w:eastAsia="宋体"/>
          <w:b/>
          <w:bCs/>
          <w:color w:val="000000" w:themeColor="text1"/>
          <w:sz w:val="21"/>
          <w:szCs w:val="21"/>
          <w:highlight w:val="none"/>
          <w:shd w:val="clear" w:color="FFFFFF" w:fill="D9D9D9"/>
          <w14:textFill>
            <w14:solidFill>
              <w14:schemeClr w14:val="tx1"/>
            </w14:solidFill>
          </w14:textFill>
        </w:rPr>
      </w:pPr>
      <w:r>
        <w:rPr>
          <w:rFonts w:hint="eastAsia" w:eastAsia="宋体"/>
          <w:b/>
          <w:bCs/>
          <w:color w:val="000000" w:themeColor="text1"/>
          <w:sz w:val="21"/>
          <w:szCs w:val="21"/>
          <w:highlight w:val="none"/>
          <w14:textFill>
            <w14:solidFill>
              <w14:schemeClr w14:val="tx1"/>
            </w14:solidFill>
          </w14:textFill>
        </w:rPr>
        <w:t>5、投标人需安装新点播放器，以便观看远程不见面开标直播画面（播放器下载链接为：https://download.bqpoint.com/download/downloaddetail.html?SourceFrom=Down&amp;SoftGuid=55aa4e06-c384-4005-bcb9-48932d410fd4）。</w:t>
      </w:r>
    </w:p>
    <w:p w14:paraId="46A6922F">
      <w:pPr>
        <w:pStyle w:val="3"/>
        <w:spacing w:after="120" w:afterLines="50"/>
        <w:rPr>
          <w:rFonts w:ascii="仿宋" w:hAnsi="仿宋" w:cs="仿宋"/>
          <w:color w:val="000000" w:themeColor="text1"/>
          <w:highlight w:val="none"/>
          <w14:textFill>
            <w14:solidFill>
              <w14:schemeClr w14:val="tx1"/>
            </w14:solidFill>
          </w14:textFill>
        </w:rPr>
      </w:pPr>
      <w:r>
        <w:rPr>
          <w:rFonts w:hint="eastAsia" w:ascii="仿宋" w:hAnsi="仿宋" w:cs="仿宋"/>
          <w:b w:val="0"/>
          <w:bCs w:val="0"/>
          <w:color w:val="000000" w:themeColor="text1"/>
          <w:sz w:val="32"/>
          <w:szCs w:val="32"/>
          <w:highlight w:val="none"/>
          <w14:textFill>
            <w14:solidFill>
              <w14:schemeClr w14:val="tx1"/>
            </w14:solidFill>
          </w14:textFill>
        </w:rPr>
        <w:br w:type="page"/>
      </w:r>
      <w:bookmarkStart w:id="30" w:name="_Toc20960"/>
      <w:r>
        <w:rPr>
          <w:rFonts w:hint="eastAsia" w:ascii="黑体" w:hAnsi="黑体" w:eastAsia="黑体" w:cs="黑体"/>
          <w:b w:val="0"/>
          <w:bCs w:val="0"/>
          <w:color w:val="000000" w:themeColor="text1"/>
          <w:sz w:val="32"/>
          <w:szCs w:val="32"/>
          <w:highlight w:val="none"/>
          <w14:textFill>
            <w14:solidFill>
              <w14:schemeClr w14:val="tx1"/>
            </w14:solidFill>
          </w14:textFill>
        </w:rPr>
        <w:t>第二章  投标人须知</w:t>
      </w:r>
      <w:bookmarkEnd w:id="19"/>
      <w:bookmarkEnd w:id="20"/>
      <w:bookmarkEnd w:id="21"/>
      <w:bookmarkEnd w:id="22"/>
      <w:bookmarkEnd w:id="23"/>
      <w:bookmarkEnd w:id="24"/>
      <w:bookmarkEnd w:id="25"/>
      <w:bookmarkEnd w:id="26"/>
      <w:bookmarkEnd w:id="27"/>
      <w:bookmarkEnd w:id="28"/>
      <w:bookmarkEnd w:id="29"/>
      <w:bookmarkEnd w:id="30"/>
    </w:p>
    <w:p w14:paraId="14E79535">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31" w:name="_Toc9277"/>
      <w:bookmarkStart w:id="32" w:name="_Toc2084"/>
      <w:bookmarkStart w:id="33" w:name="_Toc16074"/>
      <w:r>
        <w:rPr>
          <w:rFonts w:hint="eastAsia" w:ascii="仿宋" w:hAnsi="仿宋" w:eastAsia="仿宋" w:cs="仿宋"/>
          <w:color w:val="000000" w:themeColor="text1"/>
          <w:sz w:val="28"/>
          <w:szCs w:val="28"/>
          <w:highlight w:val="none"/>
          <w14:textFill>
            <w14:solidFill>
              <w14:schemeClr w14:val="tx1"/>
            </w14:solidFill>
          </w14:textFill>
        </w:rPr>
        <w:t>一、定义</w:t>
      </w:r>
      <w:bookmarkEnd w:id="31"/>
      <w:bookmarkEnd w:id="32"/>
      <w:bookmarkEnd w:id="33"/>
    </w:p>
    <w:p w14:paraId="06A998A4">
      <w:pPr>
        <w:spacing w:line="500" w:lineRule="exact"/>
        <w:ind w:firstLine="566" w:firstLineChars="200"/>
        <w:rPr>
          <w:rFonts w:hint="eastAsia" w:ascii="仿宋" w:hAnsi="仿宋" w:eastAsia="仿宋" w:cs="仿宋"/>
          <w:color w:val="000000" w:themeColor="text1"/>
          <w:highlight w:val="none"/>
          <w:u w:color="FFFFFF" w:themeColor="background1"/>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（一）采购人：</w:t>
      </w:r>
      <w:r>
        <w:rPr>
          <w:rFonts w:hint="eastAsia" w:ascii="仿宋" w:hAnsi="仿宋" w:eastAsia="仿宋" w:cs="仿宋"/>
          <w:color w:val="000000" w:themeColor="text1"/>
          <w:highlight w:val="none"/>
          <w:u w:color="FFFFFF" w:themeColor="background1"/>
          <w:lang w:eastAsia="zh-CN"/>
          <w14:textFill>
            <w14:solidFill>
              <w14:schemeClr w14:val="tx1"/>
            </w14:solidFill>
          </w14:textFill>
        </w:rPr>
        <w:t>杨凌职业技术学院</w:t>
      </w:r>
    </w:p>
    <w:p w14:paraId="41E6CB25">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（二）监督机构：陕西省财政厅</w:t>
      </w:r>
    </w:p>
    <w:p w14:paraId="00460F54">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（三）采购代理机构：陕西省省级单位政府采购中心</w:t>
      </w:r>
    </w:p>
    <w:p w14:paraId="5CE9F69D">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（四）投标人：拟向采购人提供货物、工程或者服务的法人、其他组织或者自然人</w:t>
      </w:r>
    </w:p>
    <w:p w14:paraId="0AF1AD4B">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34" w:name="_Toc4889"/>
      <w:bookmarkStart w:id="35" w:name="_Toc26572"/>
      <w:bookmarkStart w:id="36" w:name="_Toc17842"/>
      <w:r>
        <w:rPr>
          <w:rFonts w:hint="eastAsia" w:ascii="仿宋" w:hAnsi="仿宋" w:eastAsia="仿宋" w:cs="仿宋"/>
          <w:color w:val="000000" w:themeColor="text1"/>
          <w:sz w:val="28"/>
          <w:szCs w:val="28"/>
          <w:highlight w:val="none"/>
          <w14:textFill>
            <w14:solidFill>
              <w14:schemeClr w14:val="tx1"/>
            </w14:solidFill>
          </w14:textFill>
        </w:rPr>
        <w:t>二、投标人注意事项</w:t>
      </w:r>
      <w:bookmarkEnd w:id="34"/>
      <w:bookmarkEnd w:id="35"/>
      <w:bookmarkEnd w:id="36"/>
    </w:p>
    <w:p w14:paraId="4513B1CA">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37" w:name="_Toc28589"/>
      <w:bookmarkStart w:id="38" w:name="_Toc28214"/>
      <w:bookmarkStart w:id="39" w:name="_Toc17374"/>
      <w:bookmarkStart w:id="40" w:name="_Toc23045"/>
      <w:bookmarkStart w:id="41" w:name="_Toc16764"/>
      <w:bookmarkStart w:id="42" w:name="_Toc32309"/>
      <w:bookmarkStart w:id="43" w:name="_Toc1370"/>
      <w:bookmarkStart w:id="44" w:name="_Toc734"/>
      <w:bookmarkStart w:id="45" w:name="_Toc1795"/>
      <w:bookmarkStart w:id="46" w:name="_Toc30161"/>
      <w:bookmarkStart w:id="47" w:name="_Toc10905"/>
      <w:bookmarkStart w:id="48" w:name="_Toc21886"/>
      <w:bookmarkStart w:id="49" w:name="_Toc30368"/>
      <w:bookmarkStart w:id="50" w:name="_Toc11734"/>
      <w:bookmarkStart w:id="51" w:name="_Toc28058"/>
      <w:bookmarkStart w:id="52" w:name="_Toc11128"/>
      <w:bookmarkStart w:id="53" w:name="_Toc24852"/>
      <w:r>
        <w:rPr>
          <w:rFonts w:hint="eastAsia" w:ascii="仿宋" w:hAnsi="仿宋" w:eastAsia="仿宋" w:cs="仿宋"/>
          <w:color w:val="000000" w:themeColor="text1"/>
          <w:sz w:val="28"/>
          <w:szCs w:val="28"/>
          <w:highlight w:val="none"/>
          <w14:textFill>
            <w14:solidFill>
              <w14:schemeClr w14:val="tx1"/>
            </w14:solidFill>
          </w14:textFill>
        </w:rPr>
        <w:t>（一）询问</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FB5794B">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投标人针对投标文件（包括采购需求、投标人资格条件、商务条款等）</w:t>
      </w:r>
      <w:r>
        <w:rPr>
          <w:rFonts w:hint="eastAsia" w:ascii="仿宋" w:hAnsi="仿宋" w:eastAsia="仿宋" w:cs="仿宋"/>
          <w:bCs/>
          <w:color w:val="000000" w:themeColor="text1"/>
          <w:highlight w:val="none"/>
          <w14:textFill>
            <w14:solidFill>
              <w14:schemeClr w14:val="tx1"/>
            </w14:solidFill>
          </w14:textFill>
        </w:rPr>
        <w:t>和公开/邀请招标资格审查结果</w:t>
      </w:r>
      <w:r>
        <w:rPr>
          <w:rFonts w:hint="eastAsia" w:ascii="仿宋" w:hAnsi="仿宋" w:eastAsia="仿宋" w:cs="仿宋"/>
          <w:color w:val="000000" w:themeColor="text1"/>
          <w:highlight w:val="none"/>
          <w14:textFill>
            <w14:solidFill>
              <w14:schemeClr w14:val="tx1"/>
            </w14:solidFill>
          </w14:textFill>
        </w:rPr>
        <w:t>依法提出书面询问的，采购人应在三个工作日内书面答复；投标人向陕西省省级单位政府采购中心提出书面询问的，陕西省省级单位政府采购中心应告知采购人并协助采购人做出答复。</w:t>
      </w:r>
    </w:p>
    <w:p w14:paraId="73BD7A7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投标人对采购过程</w:t>
      </w:r>
      <w:r>
        <w:rPr>
          <w:rFonts w:hint="eastAsia" w:ascii="仿宋" w:hAnsi="仿宋" w:eastAsia="仿宋" w:cs="仿宋"/>
          <w:bCs/>
          <w:color w:val="000000" w:themeColor="text1"/>
          <w:highlight w:val="none"/>
          <w14:textFill>
            <w14:solidFill>
              <w14:schemeClr w14:val="tx1"/>
            </w14:solidFill>
          </w14:textFill>
        </w:rPr>
        <w:t>（不含公开/邀请招标资格审查结果）</w:t>
      </w:r>
      <w:r>
        <w:rPr>
          <w:rFonts w:hint="eastAsia" w:ascii="仿宋" w:hAnsi="仿宋" w:eastAsia="仿宋" w:cs="仿宋"/>
          <w:color w:val="000000" w:themeColor="text1"/>
          <w:highlight w:val="none"/>
          <w14:textFill>
            <w14:solidFill>
              <w14:schemeClr w14:val="tx1"/>
            </w14:solidFill>
          </w14:textFill>
        </w:rPr>
        <w:t>、中标（成交）结果，向陕西省省级单位政府采购中心提出书面询问的，陕西省省级单位政府采购中心应在三个工作日内书面答复。</w:t>
      </w:r>
    </w:p>
    <w:p w14:paraId="3D037CFF">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54" w:name="_Toc7423"/>
      <w:bookmarkStart w:id="55" w:name="_Toc26397"/>
      <w:bookmarkStart w:id="56" w:name="_Toc18061"/>
      <w:bookmarkStart w:id="57" w:name="_Toc17968"/>
      <w:bookmarkStart w:id="58" w:name="_Toc5585"/>
      <w:bookmarkStart w:id="59" w:name="_Toc10749"/>
      <w:bookmarkStart w:id="60" w:name="_Toc2552"/>
      <w:bookmarkStart w:id="61" w:name="_Toc16663"/>
      <w:bookmarkStart w:id="62" w:name="_Toc12755"/>
      <w:bookmarkStart w:id="63" w:name="_Toc25620"/>
      <w:bookmarkStart w:id="64" w:name="_Toc10767"/>
      <w:bookmarkStart w:id="65" w:name="_Toc9295"/>
      <w:bookmarkStart w:id="66" w:name="_Toc29525"/>
      <w:bookmarkStart w:id="67" w:name="_Toc23676"/>
      <w:bookmarkStart w:id="68" w:name="_Toc9372"/>
      <w:bookmarkStart w:id="69" w:name="_Toc2542"/>
      <w:bookmarkStart w:id="70" w:name="_Toc11418"/>
      <w:r>
        <w:rPr>
          <w:rFonts w:hint="eastAsia" w:ascii="仿宋" w:hAnsi="仿宋" w:eastAsia="仿宋" w:cs="仿宋"/>
          <w:color w:val="000000" w:themeColor="text1"/>
          <w:sz w:val="28"/>
          <w:szCs w:val="28"/>
          <w:highlight w:val="none"/>
          <w14:textFill>
            <w14:solidFill>
              <w14:schemeClr w14:val="tx1"/>
            </w14:solidFill>
          </w14:textFill>
        </w:rPr>
        <w:t>（二）现场踏勘及标前答疑会</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DBD349E">
      <w:pPr>
        <w:spacing w:line="500" w:lineRule="exact"/>
        <w:ind w:firstLine="566"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采购项目安排现场考察和标前答疑的，采购人应尽量在现场予以解答（口头提问可口头答复），现场不能做出解答的，应在三个工作日内书面答复，并交由陕西省省级单位政府采购中心在财政部门指定的媒体上发布。</w:t>
      </w:r>
    </w:p>
    <w:p w14:paraId="1DD120C0">
      <w:pPr>
        <w:spacing w:line="500" w:lineRule="exact"/>
        <w:ind w:firstLine="566"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答复内容可能影响投标文件编制的，应当顺延开标时间。凡未参加现场踏勘和标前答疑的投标人，由此造成的偏差由各投标人自行负责。</w:t>
      </w:r>
    </w:p>
    <w:p w14:paraId="70ED1C16">
      <w:pPr>
        <w:pStyle w:val="21"/>
        <w:spacing w:line="500" w:lineRule="exact"/>
        <w:ind w:firstLine="566" w:firstLineChars="200"/>
        <w:rPr>
          <w:rFonts w:ascii="华文仿宋" w:hAnsi="华文仿宋" w:cs="华文仿宋"/>
          <w:b/>
          <w:highlight w:val="none"/>
        </w:rPr>
      </w:pPr>
      <w:bookmarkStart w:id="71" w:name="_Toc19340"/>
      <w:bookmarkStart w:id="72" w:name="_Toc23122"/>
      <w:bookmarkStart w:id="73" w:name="_Toc13487"/>
      <w:bookmarkStart w:id="74" w:name="_Toc17393"/>
      <w:bookmarkStart w:id="75" w:name="_Toc7492"/>
      <w:bookmarkStart w:id="76" w:name="_Toc23212"/>
      <w:bookmarkStart w:id="77" w:name="_Toc30373"/>
      <w:bookmarkStart w:id="78" w:name="_Toc25161"/>
      <w:bookmarkStart w:id="79" w:name="_Toc11479"/>
      <w:bookmarkStart w:id="80" w:name="_Toc32452"/>
      <w:bookmarkStart w:id="81" w:name="_Toc13711"/>
      <w:bookmarkStart w:id="82" w:name="_Toc29658"/>
      <w:bookmarkStart w:id="83" w:name="_Toc32440"/>
      <w:bookmarkStart w:id="84" w:name="_Toc21760"/>
      <w:bookmarkStart w:id="85" w:name="_Toc7114"/>
      <w:bookmarkStart w:id="86" w:name="_Toc12086"/>
      <w:bookmarkStart w:id="87" w:name="_Toc19048"/>
      <w:r>
        <w:rPr>
          <w:rFonts w:hint="eastAsia" w:ascii="华文仿宋" w:hAnsi="华文仿宋" w:cs="华文仿宋"/>
          <w:b/>
          <w:highlight w:val="none"/>
        </w:rPr>
        <w:t>本项目</w:t>
      </w:r>
      <w:r>
        <w:rPr>
          <w:rFonts w:hint="eastAsia" w:ascii="华文仿宋" w:hAnsi="华文仿宋" w:cs="华文仿宋"/>
          <w:b/>
          <w:highlight w:val="none"/>
          <w:lang w:eastAsia="zh-CN"/>
        </w:rPr>
        <w:t>不组织集中踏勘和</w:t>
      </w:r>
      <w:r>
        <w:rPr>
          <w:rFonts w:hint="eastAsia" w:ascii="华文仿宋" w:hAnsi="华文仿宋" w:cs="华文仿宋"/>
          <w:b/>
          <w:highlight w:val="none"/>
        </w:rPr>
        <w:t>标前答疑。</w:t>
      </w:r>
    </w:p>
    <w:p w14:paraId="5CF27CED">
      <w:pPr>
        <w:pStyle w:val="21"/>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（三）质疑和投诉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21D378C">
      <w:pPr>
        <w:spacing w:line="500" w:lineRule="exact"/>
        <w:ind w:firstLine="566" w:firstLineChars="2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投标人如果认为招标文件（包括采购需求、投标人资格条件、商务条款等）使自身的合法权益受到损害，可以在获取招标文件之日起７个工作日内，以书面形式向采购人提出质疑；投标人如果认为采购过程</w:t>
      </w:r>
      <w:r>
        <w:rPr>
          <w:rFonts w:hint="eastAsia" w:ascii="仿宋" w:hAnsi="仿宋" w:eastAsia="仿宋" w:cs="仿宋"/>
          <w:bCs/>
          <w:color w:val="000000" w:themeColor="text1"/>
          <w:highlight w:val="none"/>
          <w14:textFill>
            <w14:solidFill>
              <w14:schemeClr w14:val="tx1"/>
            </w14:solidFill>
          </w14:textFill>
        </w:rPr>
        <w:t>（不含公开/邀请招标资格审查结果）</w:t>
      </w:r>
      <w:r>
        <w:rPr>
          <w:rFonts w:hint="eastAsia" w:ascii="仿宋" w:hAnsi="仿宋" w:eastAsia="仿宋" w:cs="仿宋"/>
          <w:color w:val="000000" w:themeColor="text1"/>
          <w:highlight w:val="none"/>
          <w14:textFill>
            <w14:solidFill>
              <w14:schemeClr w14:val="tx1"/>
            </w14:solidFill>
          </w14:textFill>
        </w:rPr>
        <w:t>或中标结果使自身的合法权益受到损害，可以在知道或应知其权益受到损害之日起7个工作日内，以书面形式向陕西省省级单位政府采购中心提出质疑。</w:t>
      </w:r>
    </w:p>
    <w:p w14:paraId="464790F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1、投标人提出质疑应当提交质疑函和必要的证明材料，并按财政部《质疑函范本》给定的格式进行填写，范本下载详见【财政部国库司（gks.mof.gov.cn）】网站〖首页•〉政府采购管理〗栏目中的《政府采购</w:t>
      </w:r>
      <w:r>
        <w:rPr>
          <w:rFonts w:hint="eastAsia" w:ascii="仿宋" w:hAnsi="仿宋" w:eastAsia="仿宋" w:cs="仿宋"/>
          <w:color w:val="000000" w:themeColor="text1"/>
          <w:highlight w:val="none"/>
          <w:lang w:val="en-US"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质疑函范本》。</w:t>
      </w:r>
    </w:p>
    <w:p w14:paraId="68A45D3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《政府采购</w:t>
      </w:r>
      <w:r>
        <w:rPr>
          <w:rFonts w:hint="eastAsia" w:ascii="仿宋" w:hAnsi="仿宋" w:eastAsia="仿宋" w:cs="仿宋"/>
          <w:color w:val="000000" w:themeColor="text1"/>
          <w:highlight w:val="none"/>
          <w:lang w:val="en-US" w:eastAsia="zh-CN"/>
          <w14:textFill>
            <w14:solidFill>
              <w14:schemeClr w14:val="tx1"/>
            </w14:solidFill>
          </w14:textFill>
        </w:rPr>
        <w:t>供应商</w:t>
      </w:r>
      <w:r>
        <w:rPr>
          <w:rFonts w:hint="eastAsia" w:ascii="仿宋" w:hAnsi="仿宋" w:eastAsia="仿宋" w:cs="仿宋"/>
          <w:color w:val="000000" w:themeColor="text1"/>
          <w:highlight w:val="none"/>
          <w14:textFill>
            <w14:solidFill>
              <w14:schemeClr w14:val="tx1"/>
            </w14:solidFill>
          </w14:textFill>
        </w:rPr>
        <w:t>质疑函范本》链接地址：</w:t>
      </w:r>
    </w:p>
    <w:p w14:paraId="6C934B81">
      <w:pPr>
        <w:spacing w:line="500" w:lineRule="exact"/>
        <w:ind w:firstLine="566" w:firstLineChars="2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http://gks.mof.gov.cn/ztztz/zhengfucaigouguanli/201802/t20180201_2804589.htm</w:t>
      </w:r>
    </w:p>
    <w:p w14:paraId="12FD84CF">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12A6323B">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3、在法定质疑期内，针对同一采购程序环节的质疑应当一次性提出。陕西省省级单位政府采购中心或采购人将在收到书面质疑后7个工作日内做出答复，并以书面形式通知质疑人和其他有关投标人。</w:t>
      </w:r>
    </w:p>
    <w:p w14:paraId="703BD4B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4、有下列情形之一的，属于无效质疑，陕西省省级单位政府采购中心和采购人不予受理：</w:t>
      </w:r>
    </w:p>
    <w:p w14:paraId="1B4118C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（1）质疑人不是参与本次政府采购项目的投标人或潜在投标人；</w:t>
      </w:r>
    </w:p>
    <w:p w14:paraId="62C8298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（2）质疑人与质疑事项不存在利害关系的；</w:t>
      </w:r>
    </w:p>
    <w:p w14:paraId="6AE46B8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（3）未在法定期限内提出质疑的；</w:t>
      </w:r>
    </w:p>
    <w:p w14:paraId="55067B88">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（4）质疑未以书面形式提出，或质疑函主要内容构成不完整的，或缺乏必要的证明材料及证明材料不完整的；</w:t>
      </w:r>
    </w:p>
    <w:p w14:paraId="4B9A6F1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（5）质疑函没有合法有效的签字、盖章或授权的；</w:t>
      </w:r>
    </w:p>
    <w:p w14:paraId="02379041">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（6）以非法手段取得证据、材料的；</w:t>
      </w:r>
    </w:p>
    <w:p w14:paraId="33BFBB0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（7）不符合法律、法规、规章和政府采购监管机构规定的其他条件的。</w:t>
      </w:r>
    </w:p>
    <w:p w14:paraId="69AF0B6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5、质疑人对陕西省省级单位政府采购中心或采购人的答复不满意，以及陕西省省级单位政府采购中心或采购人未在规定时间内做出答复的，可以在答复期满后15个工作日内向政府采购监管机构提出投诉。</w:t>
      </w:r>
    </w:p>
    <w:p w14:paraId="5E7C1EAB">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6、投标人投诉的事项不得超出已质疑事项的范围。</w:t>
      </w:r>
    </w:p>
    <w:p w14:paraId="7504B7D6">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w:t>
      </w:r>
      <w:r>
        <w:rPr>
          <w:rFonts w:hint="eastAsia" w:ascii="仿宋" w:hAnsi="仿宋" w:eastAsia="仿宋" w:cs="仿宋"/>
          <w:b/>
          <w:bCs/>
          <w:color w:val="000000" w:themeColor="text1"/>
          <w:highlight w:val="none"/>
          <w14:textFill>
            <w14:solidFill>
              <w14:schemeClr w14:val="tx1"/>
            </w14:solidFill>
          </w14:textFill>
        </w:rPr>
        <w:t>对捏造事实、提供虚假材料进行质疑、投诉的行为予以严肃处理：</w:t>
      </w:r>
    </w:p>
    <w:p w14:paraId="2EF945DD">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依据《中华人民共和国政府采购法》及其实施条例、《政府采购货物和服务招标投标管理办法》（财政部令第87号）、《政府采购质疑和投诉办法》等法律法规的规定，投标人质疑、投诉应当有明确的请求和必要的证明材料。</w:t>
      </w:r>
      <w:r>
        <w:rPr>
          <w:rFonts w:hint="eastAsia" w:ascii="仿宋" w:hAnsi="仿宋" w:eastAsia="仿宋" w:cs="仿宋"/>
          <w:b/>
          <w:bCs/>
          <w:color w:val="000000" w:themeColor="text1"/>
          <w:highlight w:val="none"/>
          <w14:textFill>
            <w14:solidFill>
              <w14:schemeClr w14:val="tx1"/>
            </w14:solidFill>
          </w14:textFill>
        </w:rPr>
        <w:t>投诉人在全国范围内十二个月内三次以上投诉查无实据的，由财政部门列入不良行为记录名单。</w:t>
      </w:r>
      <w:r>
        <w:rPr>
          <w:rFonts w:hint="eastAsia" w:ascii="仿宋" w:hAnsi="仿宋" w:eastAsia="仿宋" w:cs="仿宋"/>
          <w:color w:val="000000" w:themeColor="text1"/>
          <w:highlight w:val="none"/>
          <w14:textFill>
            <w14:solidFill>
              <w14:schemeClr w14:val="tx1"/>
            </w14:solidFill>
          </w14:textFill>
        </w:rPr>
        <w:t>对于捏造事实、提供虚假材料或者以非法手段取得证明材料进行投诉的，财政部门应当予以驳回，并将其列入不良行为记录名单，禁止其一至三年内参加政府采购活动。</w:t>
      </w:r>
    </w:p>
    <w:p w14:paraId="0F81CB83">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w:t>
      </w:r>
      <w:r>
        <w:rPr>
          <w:rFonts w:hint="eastAsia" w:ascii="仿宋" w:hAnsi="仿宋" w:eastAsia="仿宋" w:cs="仿宋"/>
          <w:b/>
          <w:bCs/>
          <w:color w:val="000000" w:themeColor="text1"/>
          <w:highlight w:val="none"/>
          <w14:textFill>
            <w14:solidFill>
              <w14:schemeClr w14:val="tx1"/>
            </w14:solidFill>
          </w14:textFill>
        </w:rPr>
        <w:t>对捏造事实诬告陷害他人、诽谤他人的法律适用：</w:t>
      </w:r>
    </w:p>
    <w:p w14:paraId="5D2ADC54">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14:paraId="3584157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14:paraId="3BB45A9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9、质疑函递交地址：陕西省公共资源交易中心交易受理处</w:t>
      </w:r>
    </w:p>
    <w:p w14:paraId="436A000B">
      <w:pPr>
        <w:spacing w:line="500" w:lineRule="exact"/>
        <w:ind w:firstLine="566" w:firstLineChars="2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联系电话：029-886612</w:t>
      </w:r>
      <w:r>
        <w:rPr>
          <w:rFonts w:hint="eastAsia" w:ascii="仿宋" w:hAnsi="仿宋" w:eastAsia="仿宋" w:cs="仿宋"/>
          <w:color w:val="000000" w:themeColor="text1"/>
          <w:highlight w:val="none"/>
          <w:lang w:val="en-US" w:eastAsia="zh-CN"/>
          <w14:textFill>
            <w14:solidFill>
              <w14:schemeClr w14:val="tx1"/>
            </w14:solidFill>
          </w14:textFill>
        </w:rPr>
        <w:t>48</w:t>
      </w:r>
    </w:p>
    <w:p w14:paraId="330BE51B">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投诉书递交地址：西安市莲湖区冰窖巷6号陕西省财政厅509室</w:t>
      </w:r>
    </w:p>
    <w:p w14:paraId="73CF0230">
      <w:pPr>
        <w:spacing w:line="500" w:lineRule="exact"/>
        <w:ind w:firstLine="566" w:firstLineChars="200"/>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联系电话：029-68936154</w:t>
      </w:r>
    </w:p>
    <w:p w14:paraId="16A4B227">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88" w:name="_Toc6747"/>
      <w:bookmarkStart w:id="89" w:name="_Toc5260"/>
      <w:bookmarkStart w:id="90" w:name="_Toc13615"/>
      <w:bookmarkStart w:id="91" w:name="_Toc18975"/>
      <w:bookmarkStart w:id="92" w:name="_Toc7801"/>
      <w:bookmarkStart w:id="93" w:name="_Toc25731"/>
      <w:r>
        <w:rPr>
          <w:rFonts w:hint="eastAsia" w:ascii="仿宋" w:hAnsi="仿宋" w:eastAsia="仿宋" w:cs="仿宋"/>
          <w:color w:val="000000" w:themeColor="text1"/>
          <w:sz w:val="28"/>
          <w:szCs w:val="28"/>
          <w:highlight w:val="none"/>
          <w14:textFill>
            <w14:solidFill>
              <w14:schemeClr w14:val="tx1"/>
            </w14:solidFill>
          </w14:textFill>
        </w:rPr>
        <w:t>（四）关于信用记录的查询和使用</w:t>
      </w:r>
      <w:bookmarkEnd w:id="88"/>
      <w:bookmarkEnd w:id="89"/>
      <w:bookmarkEnd w:id="90"/>
      <w:bookmarkEnd w:id="91"/>
      <w:bookmarkEnd w:id="92"/>
      <w:bookmarkEnd w:id="93"/>
    </w:p>
    <w:p w14:paraId="118977A7">
      <w:pPr>
        <w:wordWrap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1、采购人将在资格审查阶段通过【</w:t>
      </w:r>
      <w:r>
        <w:rPr>
          <w:highlight w:val="none"/>
        </w:rPr>
        <w:fldChar w:fldCharType="begin"/>
      </w:r>
      <w:r>
        <w:rPr>
          <w:highlight w:val="none"/>
        </w:rPr>
        <w:instrText xml:space="preserve"> HYPERLINK "http://www.creditchina.gov.cn" </w:instrText>
      </w:r>
      <w:r>
        <w:rPr>
          <w:highlight w:val="none"/>
        </w:rPr>
        <w:fldChar w:fldCharType="separate"/>
      </w:r>
      <w:r>
        <w:rPr>
          <w:rStyle w:val="20"/>
          <w:rFonts w:hint="eastAsia" w:ascii="仿宋" w:hAnsi="仿宋" w:eastAsia="仿宋" w:cs="仿宋"/>
          <w:color w:val="000000" w:themeColor="text1"/>
          <w:sz w:val="28"/>
          <w:szCs w:val="28"/>
          <w:highlight w:val="none"/>
          <w14:textFill>
            <w14:solidFill>
              <w14:schemeClr w14:val="tx1"/>
            </w14:solidFill>
          </w14:textFill>
        </w:rPr>
        <w:t>信用中国</w:t>
      </w:r>
      <w:r>
        <w:rPr>
          <w:rStyle w:val="20"/>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t>（www.creditchina.gov.cn）】、【</w:t>
      </w:r>
      <w:r>
        <w:rPr>
          <w:highlight w:val="none"/>
        </w:rPr>
        <w:fldChar w:fldCharType="begin"/>
      </w:r>
      <w:r>
        <w:rPr>
          <w:highlight w:val="none"/>
        </w:rPr>
        <w:instrText xml:space="preserve"> HYPERLINK "http://www.ccgp.gov.cn/cr/list" </w:instrText>
      </w:r>
      <w:r>
        <w:rPr>
          <w:highlight w:val="none"/>
        </w:rPr>
        <w:fldChar w:fldCharType="separate"/>
      </w:r>
      <w:r>
        <w:rPr>
          <w:rStyle w:val="20"/>
          <w:rFonts w:hint="eastAsia" w:ascii="仿宋" w:hAnsi="仿宋" w:eastAsia="仿宋" w:cs="仿宋"/>
          <w:color w:val="000000" w:themeColor="text1"/>
          <w:sz w:val="28"/>
          <w:szCs w:val="28"/>
          <w:highlight w:val="none"/>
          <w14:textFill>
            <w14:solidFill>
              <w14:schemeClr w14:val="tx1"/>
            </w14:solidFill>
          </w14:textFill>
        </w:rPr>
        <w:t>中国政府采购网</w:t>
      </w:r>
      <w:r>
        <w:rPr>
          <w:rStyle w:val="20"/>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t>（www.ccgp.gov.cn）】网站对投标文件中的《投标人信用记录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成交资格将被取消。</w:t>
      </w:r>
    </w:p>
    <w:p w14:paraId="120BCB3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2、投标人在参加政府采购活动前3年内因违法经营被禁止在一定期限内参加政府采购活动，期限届满的，可以参加政府采购活动的，但投标人应提供相关证明材料。</w:t>
      </w:r>
    </w:p>
    <w:p w14:paraId="540E15AC">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投标人信用记录及企业基本信息查询的时间段为“招标公告发布之日（含当日）至提交投标文件截止之日（含当日）”。信用记录及企业基本信息查询的结果，可以纸质截图或将截图保存至电子介质的形式留存。投标人未如实填报《投标人信用书面声明函》的，视为“投标人提供虚假材料谋取中标、成交的”行为。</w:t>
      </w:r>
    </w:p>
    <w:p w14:paraId="24A09F01">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6A86B1F2">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94" w:name="_Toc8532"/>
      <w:bookmarkStart w:id="95" w:name="_Toc24208"/>
      <w:bookmarkStart w:id="96" w:name="_Toc5640"/>
      <w:bookmarkStart w:id="97" w:name="_Toc22297"/>
      <w:bookmarkStart w:id="98" w:name="_Toc17203"/>
      <w:bookmarkStart w:id="99" w:name="_Toc21151"/>
      <w:r>
        <w:rPr>
          <w:rFonts w:hint="eastAsia" w:ascii="仿宋" w:hAnsi="仿宋" w:eastAsia="仿宋" w:cs="仿宋"/>
          <w:color w:val="000000" w:themeColor="text1"/>
          <w:sz w:val="28"/>
          <w:szCs w:val="28"/>
          <w:highlight w:val="none"/>
          <w14:textFill>
            <w14:solidFill>
              <w14:schemeClr w14:val="tx1"/>
            </w14:solidFill>
          </w14:textFill>
        </w:rPr>
        <w:t>（五）落实的政府采购政策</w:t>
      </w:r>
      <w:bookmarkEnd w:id="94"/>
      <w:bookmarkEnd w:id="95"/>
      <w:bookmarkEnd w:id="96"/>
      <w:bookmarkEnd w:id="97"/>
      <w:bookmarkEnd w:id="98"/>
      <w:bookmarkEnd w:id="99"/>
    </w:p>
    <w:p w14:paraId="41028414">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根据《政府采购促进中小企业发展管理办法》（财库〔2020〕46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6%-10%的价格扣除，工程项目给予3%-5%的价格扣除，用扣除后的价格参与评审。</w:t>
      </w:r>
    </w:p>
    <w:p w14:paraId="72A4B92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在货物采购项目中，投标人提供的货物既有中小企业制造货物，也有大型企业制造货物的，不享受政府采购价格扣除优惠政策。</w:t>
      </w:r>
    </w:p>
    <w:p w14:paraId="7174B5E5">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14:paraId="665DFE4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383DAB46">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参加政府采购活动的小微企业应提供《小微企业声明函》原件。未提供上述声明函原件的，不能享受招标文件规定的价格扣除，但不影响投标文件的有效性。</w:t>
      </w:r>
    </w:p>
    <w:p w14:paraId="0AE680BA">
      <w:pPr>
        <w:pStyle w:val="5"/>
        <w:ind w:firstLine="486"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备注：小微企业划分标准参照《中小企业划型标准规定》（工信部联企业〔2011〕300号）执行。</w:t>
      </w:r>
    </w:p>
    <w:p w14:paraId="06FFA65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zh-CN"/>
          <w14:textFill>
            <w14:solidFill>
              <w14:schemeClr w14:val="tx1"/>
            </w14:solidFill>
          </w14:textFill>
        </w:rPr>
        <w:t>监狱企业应符合《财政部</w:t>
      </w:r>
      <w:r>
        <w:rPr>
          <w:rFonts w:hint="eastAsia" w:ascii="仿宋" w:hAnsi="仿宋" w:eastAsia="仿宋" w:cs="仿宋"/>
          <w:color w:val="000000" w:themeColor="text1"/>
          <w:highlight w:val="none"/>
          <w14:textFill>
            <w14:solidFill>
              <w14:schemeClr w14:val="tx1"/>
            </w14:solidFill>
          </w14:textFill>
        </w:rPr>
        <w:t>司法部关于政府采购支持监狱企业发展有关问题的通知》（财库〔2014〕68号）文件规定</w:t>
      </w:r>
      <w:r>
        <w:rPr>
          <w:rFonts w:hint="eastAsia" w:ascii="仿宋" w:hAnsi="仿宋" w:eastAsia="仿宋" w:cs="仿宋"/>
          <w:color w:val="000000" w:themeColor="text1"/>
          <w:highlight w:val="none"/>
          <w:lang w:val="zh-CN"/>
          <w14:textFill>
            <w14:solidFill>
              <w14:schemeClr w14:val="tx1"/>
            </w14:solidFill>
          </w14:textFill>
        </w:rPr>
        <w:t>，并提供由省级以上监狱管理局、戒毒管理局(含新疆生产建设兵团)出具的属于</w:t>
      </w:r>
      <w:r>
        <w:rPr>
          <w:rFonts w:hint="eastAsia" w:ascii="仿宋" w:hAnsi="仿宋" w:eastAsia="仿宋" w:cs="仿宋"/>
          <w:b/>
          <w:bCs/>
          <w:color w:val="000000" w:themeColor="text1"/>
          <w:highlight w:val="none"/>
          <w:lang w:val="zh-CN"/>
          <w14:textFill>
            <w14:solidFill>
              <w14:schemeClr w14:val="tx1"/>
            </w14:solidFill>
          </w14:textFill>
        </w:rPr>
        <w:t>监狱企业的证明文件</w:t>
      </w:r>
      <w:r>
        <w:rPr>
          <w:rFonts w:hint="eastAsia" w:ascii="仿宋" w:hAnsi="仿宋" w:eastAsia="仿宋" w:cs="仿宋"/>
          <w:color w:val="000000" w:themeColor="text1"/>
          <w:highlight w:val="none"/>
          <w:lang w:val="zh-CN"/>
          <w14:textFill>
            <w14:solidFill>
              <w14:schemeClr w14:val="tx1"/>
            </w14:solidFill>
          </w14:textFill>
        </w:rPr>
        <w:t>复印件，监狱和戒毒企业</w:t>
      </w:r>
      <w:r>
        <w:rPr>
          <w:rFonts w:hint="eastAsia" w:ascii="仿宋" w:hAnsi="仿宋" w:eastAsia="仿宋" w:cs="仿宋"/>
          <w:color w:val="000000" w:themeColor="text1"/>
          <w:highlight w:val="none"/>
          <w14:textFill>
            <w14:solidFill>
              <w14:schemeClr w14:val="tx1"/>
            </w14:solidFill>
          </w14:textFill>
        </w:rPr>
        <w:t>视同小型、微型企业。</w:t>
      </w:r>
    </w:p>
    <w:p w14:paraId="30D14B0B">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50BAD14">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参加政府采购活动的残疾人单位应提供《残疾人福利性单位声明函》原件。未提供上述声明函原件，不能享受招标文件规定的价格扣除，但不影响投标文件的有效性。</w:t>
      </w:r>
    </w:p>
    <w:p w14:paraId="34C79B72">
      <w:pPr>
        <w:pStyle w:val="10"/>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A1C3618">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5、根据国务院办公厅《关于建立政府强制采购节能产品制度的通知》（国办发〔2007〕51号）有关要求，在技术、服务等指标满足采购需求的前提下，要优先采购节能产品，对部分节能效果、性能等达到要求的产品，实行强制采购。</w:t>
      </w:r>
    </w:p>
    <w:p w14:paraId="377ED048">
      <w:pPr>
        <w:pStyle w:val="5"/>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6、节能产品政府采购品目清单详见财政部、发展改革委《关于印发节能产品政府采购品目清单的通知》（财库〔2019〕19号）。</w:t>
      </w:r>
    </w:p>
    <w:p w14:paraId="364764BC">
      <w:pPr>
        <w:pStyle w:val="5"/>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7、环境标志产品政府采购品目清单详见财政部、生态环境部《关于印发环境标志产品政府采购品目清单的通知》（财库〔2019〕18号）。</w:t>
      </w:r>
    </w:p>
    <w:p w14:paraId="0F245831">
      <w:pPr>
        <w:pStyle w:val="5"/>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8、国家确定的节能产品、环境标志产品认证机构详见市场监管总局《关于发布参与实施政府采购节能产品、环境标志产品认证机构名录的公告》（2019年第16号）。</w:t>
      </w:r>
    </w:p>
    <w:p w14:paraId="7ADDBC13">
      <w:pPr>
        <w:pStyle w:val="5"/>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9、根据《财政部 农业农村部 国家乡村振兴局关于运用政府采购政策支持乡村产业振兴的通知》（财库〔2021〕19号），自2021年起，各级预算单位应当按照不低于</w:t>
      </w:r>
      <w:r>
        <w:rPr>
          <w:rFonts w:hint="eastAsia" w:ascii="仿宋" w:hAnsi="仿宋" w:eastAsia="仿宋" w:cs="仿宋"/>
          <w:color w:val="000000" w:themeColor="text1"/>
          <w:highlight w:val="none"/>
          <w14:textFill>
            <w14:solidFill>
              <w14:schemeClr w14:val="tx1"/>
            </w14:solidFill>
          </w14:textFill>
        </w:rPr>
        <w:t>10%</w:t>
      </w:r>
      <w:r>
        <w:rPr>
          <w:rFonts w:hint="eastAsia" w:ascii="仿宋" w:hAnsi="仿宋" w:eastAsia="仿宋" w:cs="仿宋"/>
          <w:color w:val="000000" w:themeColor="text1"/>
          <w:kern w:val="0"/>
          <w:highlight w:val="none"/>
          <w14:textFill>
            <w14:solidFill>
              <w14:schemeClr w14:val="tx1"/>
            </w14:solidFill>
          </w14:textFill>
        </w:rPr>
        <w:t>的比例预留年度食堂食材采购份额，通过脱贫地区农副产品网络销售平台采购脱贫地区农副产品。</w:t>
      </w:r>
    </w:p>
    <w:p w14:paraId="1B42DB8B">
      <w:pPr>
        <w:pStyle w:val="5"/>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10、根据《财政部 农业农村部 国家乡村振兴局 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p>
    <w:p w14:paraId="0188F180">
      <w:pPr>
        <w:pStyle w:val="5"/>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11、根据《陕西省财政厅关于加快推进我省中小企业政府采购信用融资工作的通知》（陕财办采〔2020〕15号）规定“有融资需求的投标人可根据自身情况，在陕西省政府采购信用融资平台（含各市分平台）自主选择金融机构及其融资产品，凭政府采购中标（成交）通知书或政府采购合同向金融机构提出融资申请。”</w:t>
      </w:r>
    </w:p>
    <w:p w14:paraId="122E6A36">
      <w:pPr>
        <w:spacing w:line="500" w:lineRule="exact"/>
        <w:ind w:firstLine="566" w:firstLineChars="200"/>
        <w:jc w:val="left"/>
        <w:rPr>
          <w:rFonts w:ascii="仿宋" w:hAnsi="仿宋" w:eastAsia="仿宋" w:cs="仿宋"/>
          <w:color w:val="000000" w:themeColor="text1"/>
          <w:kern w:val="0"/>
          <w:highlight w:val="none"/>
          <w14:textFill>
            <w14:solidFill>
              <w14:schemeClr w14:val="tx1"/>
            </w14:solidFill>
          </w14:textFill>
        </w:rPr>
      </w:pPr>
      <w:bookmarkStart w:id="100" w:name="_Toc6102"/>
      <w:bookmarkStart w:id="101" w:name="_Toc1927"/>
      <w:bookmarkStart w:id="102" w:name="_Toc22218"/>
      <w:bookmarkStart w:id="103" w:name="_Toc10798"/>
      <w:bookmarkStart w:id="104" w:name="_Toc29136"/>
      <w:bookmarkStart w:id="105" w:name="_Toc23236"/>
      <w:r>
        <w:rPr>
          <w:rFonts w:hint="eastAsia" w:ascii="仿宋" w:hAnsi="仿宋" w:eastAsia="仿宋" w:cs="仿宋"/>
          <w:color w:val="000000" w:themeColor="text1"/>
          <w:kern w:val="0"/>
          <w:highlight w:val="none"/>
          <w14:textFill>
            <w14:solidFill>
              <w14:schemeClr w14:val="tx1"/>
            </w14:solidFill>
          </w14:textFill>
        </w:rPr>
        <w:t xml:space="preserve">12、根据陕西省财政厅关于印发《陕西省中小企业政府采购信用融资 </w:t>
      </w:r>
    </w:p>
    <w:p w14:paraId="011A8EA6">
      <w:pPr>
        <w:wordWrap w:val="0"/>
        <w:spacing w:line="500" w:lineRule="exact"/>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办法》（陕财办采</w:t>
      </w:r>
      <w:r>
        <w:rPr>
          <w:rFonts w:hint="eastAsia" w:ascii="仿宋" w:hAnsi="仿宋" w:eastAsia="仿宋" w:cs="仿宋"/>
          <w:color w:val="000000" w:themeColor="text1"/>
          <w:highlight w:val="none"/>
          <w14:textFill>
            <w14:solidFill>
              <w14:schemeClr w14:val="tx1"/>
            </w14:solidFill>
          </w14:textFill>
        </w:rPr>
        <w:t>〔2018〕23</w:t>
      </w:r>
      <w:r>
        <w:rPr>
          <w:rFonts w:hint="eastAsia" w:ascii="仿宋" w:hAnsi="仿宋" w:eastAsia="仿宋" w:cs="仿宋"/>
          <w:color w:val="000000" w:themeColor="text1"/>
          <w:kern w:val="0"/>
          <w:highlight w:val="none"/>
          <w14:textFill>
            <w14:solidFill>
              <w14:schemeClr w14:val="tx1"/>
            </w14:solidFill>
          </w14:textFill>
        </w:rPr>
        <w:t>号）规定“</w:t>
      </w:r>
      <w:r>
        <w:rPr>
          <w:rFonts w:hint="eastAsia" w:ascii="仿宋" w:hAnsi="仿宋" w:eastAsia="仿宋" w:cs="仿宋"/>
          <w:color w:val="000000" w:themeColor="text1"/>
          <w:highlight w:val="none"/>
          <w14:textFill>
            <w14:solidFill>
              <w14:schemeClr w14:val="tx1"/>
            </w14:solidFill>
          </w14:textFill>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仿宋" w:hAnsi="仿宋" w:eastAsia="仿宋" w:cs="仿宋"/>
          <w:color w:val="000000" w:themeColor="text1"/>
          <w:kern w:val="0"/>
          <w:highlight w:val="none"/>
          <w14:textFill>
            <w14:solidFill>
              <w14:schemeClr w14:val="tx1"/>
            </w14:solidFill>
          </w14:textFill>
        </w:rPr>
        <w:t>（</w:t>
      </w:r>
      <w:r>
        <w:rPr>
          <w:highlight w:val="none"/>
        </w:rPr>
        <w:fldChar w:fldCharType="begin"/>
      </w:r>
      <w:r>
        <w:rPr>
          <w:highlight w:val="none"/>
        </w:rPr>
        <w:instrText xml:space="preserve"> HYPERLINK "http://www.ccgp-shaanxi.gov.cn/zcdservice/zcd/shanxi/" </w:instrText>
      </w:r>
      <w:r>
        <w:rPr>
          <w:highlight w:val="none"/>
        </w:rPr>
        <w:fldChar w:fldCharType="separate"/>
      </w:r>
      <w:r>
        <w:rPr>
          <w:rFonts w:hint="eastAsia" w:ascii="仿宋" w:hAnsi="仿宋" w:eastAsia="仿宋" w:cs="仿宋"/>
          <w:color w:val="000000" w:themeColor="text1"/>
          <w:kern w:val="0"/>
          <w:highlight w:val="none"/>
          <w14:textFill>
            <w14:solidFill>
              <w14:schemeClr w14:val="tx1"/>
            </w14:solidFill>
          </w14:textFill>
        </w:rPr>
        <w:t>陕西省政府采购信用融资平台</w:t>
      </w:r>
      <w:r>
        <w:rPr>
          <w:rFonts w:hint="eastAsia" w:ascii="仿宋" w:hAnsi="仿宋" w:eastAsia="仿宋" w:cs="仿宋"/>
          <w:color w:val="000000" w:themeColor="text1"/>
          <w:kern w:val="0"/>
          <w:highlight w:val="none"/>
          <w14:textFill>
            <w14:solidFill>
              <w14:schemeClr w14:val="tx1"/>
            </w14:solidFill>
          </w14:textFill>
        </w:rPr>
        <w:fldChar w:fldCharType="end"/>
      </w:r>
      <w:r>
        <w:rPr>
          <w:rFonts w:hint="eastAsia" w:ascii="仿宋" w:hAnsi="仿宋" w:eastAsia="仿宋" w:cs="仿宋"/>
          <w:color w:val="000000" w:themeColor="text1"/>
          <w:kern w:val="0"/>
          <w:highlight w:val="none"/>
          <w14:textFill>
            <w14:solidFill>
              <w14:schemeClr w14:val="tx1"/>
            </w14:solidFill>
          </w14:textFill>
        </w:rPr>
        <w:t>：</w:t>
      </w:r>
      <w:r>
        <w:rPr>
          <w:highlight w:val="none"/>
        </w:rPr>
        <w:fldChar w:fldCharType="begin"/>
      </w:r>
      <w:r>
        <w:rPr>
          <w:highlight w:val="none"/>
        </w:rPr>
        <w:instrText xml:space="preserve"> HYPERLINK "http://www.ccgp-shaanxi.gov.cn/zcdservice/zcd/shanxi/）。" </w:instrText>
      </w:r>
      <w:r>
        <w:rPr>
          <w:highlight w:val="none"/>
        </w:rPr>
        <w:fldChar w:fldCharType="separate"/>
      </w:r>
      <w:r>
        <w:rPr>
          <w:rFonts w:hint="eastAsia" w:ascii="仿宋" w:hAnsi="仿宋" w:eastAsia="仿宋" w:cs="仿宋"/>
          <w:color w:val="000000" w:themeColor="text1"/>
          <w:kern w:val="0"/>
          <w:highlight w:val="none"/>
          <w14:textFill>
            <w14:solidFill>
              <w14:schemeClr w14:val="tx1"/>
            </w14:solidFill>
          </w14:textFill>
        </w:rPr>
        <w:t>http://www.ccgp-shaanxi.gov.cn/zcdservice/zcd/shanxi/）。</w:t>
      </w:r>
      <w:r>
        <w:rPr>
          <w:rFonts w:hint="eastAsia" w:ascii="仿宋" w:hAnsi="仿宋" w:eastAsia="仿宋" w:cs="仿宋"/>
          <w:color w:val="000000" w:themeColor="text1"/>
          <w:kern w:val="0"/>
          <w:highlight w:val="none"/>
          <w14:textFill>
            <w14:solidFill>
              <w14:schemeClr w14:val="tx1"/>
            </w14:solidFill>
          </w14:textFill>
        </w:rPr>
        <w:fldChar w:fldCharType="end"/>
      </w:r>
    </w:p>
    <w:p w14:paraId="21C09B02">
      <w:pPr>
        <w:spacing w:line="500" w:lineRule="exact"/>
        <w:ind w:firstLine="566" w:firstLineChars="200"/>
        <w:rPr>
          <w:rFonts w:ascii="仿宋" w:hAnsi="仿宋" w:eastAsia="仿宋" w:cs="仿宋"/>
          <w:b/>
          <w:bCs/>
          <w:color w:val="000000" w:themeColor="text1"/>
          <w:highlight w:val="none"/>
          <w:u w:val="singl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本项目采购标的对应的小微企业划分标准所属行业为</w:t>
      </w:r>
      <w:r>
        <w:rPr>
          <w:rFonts w:hint="eastAsia" w:ascii="仿宋" w:hAnsi="仿宋" w:eastAsia="仿宋" w:cs="仿宋"/>
          <w:b/>
          <w:bCs/>
          <w:color w:val="000000" w:themeColor="text1"/>
          <w:highlight w:val="none"/>
          <w:u w:val="single"/>
          <w14:textFill>
            <w14:solidFill>
              <w14:schemeClr w14:val="tx1"/>
            </w14:solidFill>
          </w14:textFill>
        </w:rPr>
        <w:t>物业管理</w:t>
      </w:r>
      <w:r>
        <w:rPr>
          <w:rFonts w:hint="eastAsia" w:ascii="仿宋" w:hAnsi="仿宋" w:eastAsia="仿宋" w:cs="仿宋"/>
          <w:b/>
          <w:bCs/>
          <w:color w:val="000000" w:themeColor="text1"/>
          <w:highlight w:val="none"/>
          <w14:textFill>
            <w14:solidFill>
              <w14:schemeClr w14:val="tx1"/>
            </w14:solidFill>
          </w14:textFill>
        </w:rPr>
        <w:t>。</w:t>
      </w:r>
    </w:p>
    <w:p w14:paraId="6B98CC43">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货物服务采购项目</w:t>
      </w:r>
      <w:r>
        <w:rPr>
          <w:rFonts w:hint="eastAsia" w:ascii="仿宋" w:hAnsi="仿宋" w:eastAsia="仿宋" w:cs="仿宋"/>
          <w:color w:val="000000" w:themeColor="text1"/>
          <w:highlight w:val="none"/>
          <w14:textFill>
            <w14:solidFill>
              <w14:schemeClr w14:val="tx1"/>
            </w14:solidFill>
          </w14:textFill>
        </w:rPr>
        <w:t>，对符合价格扣除条件的小微企业报价给予</w:t>
      </w:r>
      <w:r>
        <w:rPr>
          <w:rFonts w:hint="eastAsia" w:ascii="仿宋" w:hAnsi="仿宋" w:eastAsia="仿宋" w:cs="仿宋"/>
          <w:b/>
          <w:bCs/>
          <w:color w:val="000000" w:themeColor="text1"/>
          <w:highlight w:val="none"/>
          <w:u w:val="single"/>
          <w14:textFill>
            <w14:solidFill>
              <w14:schemeClr w14:val="tx1"/>
            </w14:solidFill>
          </w14:textFill>
        </w:rPr>
        <w:t>10</w:t>
      </w:r>
      <w:r>
        <w:rPr>
          <w:rFonts w:hint="eastAsia" w:ascii="仿宋" w:hAnsi="仿宋" w:eastAsia="仿宋" w:cs="仿宋"/>
          <w:b/>
          <w:bCs/>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的扣除，用扣除后的价格参加评审。工程项目，对符合价格扣除条件的小微企业报价给予</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b/>
          <w:bCs/>
          <w:color w:val="000000" w:themeColor="text1"/>
          <w:highlight w:val="none"/>
          <w:u w:val="singl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%的扣除，用扣除后的价格参加评审。</w:t>
      </w:r>
    </w:p>
    <w:p w14:paraId="23DB5B84">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接受大中型企业与小微企业组成联合体或者允许大中型企业向一家或者多家小微企业分包的采购项目，联合协议或者分包协议约定小微企业的合同份额占到合同总金额30%以上的，对联合体或者大中型企业的报价给予</w:t>
      </w:r>
      <w:r>
        <w:rPr>
          <w:rFonts w:hint="eastAsia" w:ascii="仿宋" w:hAnsi="仿宋" w:eastAsia="仿宋" w:cs="仿宋"/>
          <w:b/>
          <w:bCs/>
          <w:color w:val="000000" w:themeColor="text1"/>
          <w:highlight w:val="none"/>
          <w:u w:val="single"/>
          <w14:textFill>
            <w14:solidFill>
              <w14:schemeClr w14:val="tx1"/>
            </w14:solidFill>
          </w14:textFill>
        </w:rPr>
        <w:t xml:space="preserve"> / </w:t>
      </w:r>
      <w:r>
        <w:rPr>
          <w:rFonts w:hint="eastAsia" w:ascii="仿宋" w:hAnsi="仿宋" w:eastAsia="仿宋" w:cs="仿宋"/>
          <w:color w:val="000000" w:themeColor="text1"/>
          <w:highlight w:val="none"/>
          <w14:textFill>
            <w14:solidFill>
              <w14:schemeClr w14:val="tx1"/>
            </w14:solidFill>
          </w14:textFill>
        </w:rPr>
        <w:t>%（货物服务采购项目为4%-6%，工程项目为1%-2%）的扣除，用扣除后的价格参加评审（如本项目接受联合体或允许分包），除此之外的其他情形均不适用本款规定。未提供中小企业声明函的不享受价格折扣。</w:t>
      </w:r>
    </w:p>
    <w:p w14:paraId="341A4820">
      <w:pPr>
        <w:spacing w:line="500" w:lineRule="exact"/>
        <w:ind w:firstLine="446"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备注：小微企业的定义参照本款第一至三条。</w:t>
      </w:r>
    </w:p>
    <w:p w14:paraId="3CCCF6A3">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（六）关于产品和服务</w:t>
      </w:r>
      <w:bookmarkEnd w:id="100"/>
      <w:bookmarkEnd w:id="101"/>
      <w:bookmarkEnd w:id="102"/>
      <w:bookmarkEnd w:id="103"/>
      <w:bookmarkEnd w:id="104"/>
      <w:bookmarkEnd w:id="105"/>
    </w:p>
    <w:p w14:paraId="1051B61F">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所有产品必须具有在中国境内法定许可的生产及销售资格，且为全新原厂制造，其核心关键部分为近10个月内所生产的非淘汰类产品；属于《中华人民共和国实施强制性产品认证的产品目录》的产品，就不能提供超出此目录范畴外的替代品，此外，还须同时具备国家认监委颁布《中国强制认证》（CCC认证）。</w:t>
      </w:r>
    </w:p>
    <w:p w14:paraId="16AE2A3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购的产品属于政府采购节能产品、环境标志产品品目清单范围的，投标人需提供国家确定的认证机构出具的、处于有效期之内的节能产品、环境标志产品认证证书，对获得证书的产品实施政府优先采购或强制采购。</w:t>
      </w:r>
    </w:p>
    <w:p w14:paraId="30E9DA2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14:paraId="39A8128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根据《政府采购进口产品管理办法》（财库〔2007〕119号）与《关于政府采购进口产品管理有关问题的通知》（财办库[2008]248号）的有关规定，未经核准同意，投标人投标时必须提供本国产品，投标人以进口产品参与投标的，将作无效投标处理。</w:t>
      </w:r>
    </w:p>
    <w:p w14:paraId="73907BF1">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如招标文件中已说明，经政府采购管理部门审核同意，允许部分或全部产品采购进口产品，投标人既可提供本国产品，也可以提供进口产品。在提供的进口产品中，优先采购向我国企业转让技术、与我国企业签订消化吸收再创新方案的投标人的进口产品。进口产品必须同时具备原产地证明、中国商检证明及合法进货渠道全套单证。</w:t>
      </w:r>
    </w:p>
    <w:p w14:paraId="1AD1C477">
      <w:pPr>
        <w:pStyle w:val="2"/>
        <w:keepNext w:val="0"/>
        <w:keepLines w:val="0"/>
        <w:pageBreakBefore w:val="0"/>
        <w:widowControl/>
        <w:kinsoku/>
        <w:wordWrap/>
        <w:overflowPunct/>
        <w:topLinePunct w:val="0"/>
        <w:autoSpaceDE/>
        <w:autoSpaceDN/>
        <w:bidi w:val="0"/>
        <w:adjustRightInd/>
        <w:snapToGrid/>
        <w:spacing w:afterLines="0" w:line="500" w:lineRule="exact"/>
        <w:ind w:firstLine="566" w:firstLineChars="200"/>
        <w:textAlignment w:val="auto"/>
        <w:rPr>
          <w:rFonts w:hint="eastAsia" w:ascii="华文仿宋" w:hAnsi="华文仿宋" w:cs="华文仿宋"/>
          <w:color w:val="auto"/>
          <w:sz w:val="28"/>
          <w:szCs w:val="28"/>
          <w:highlight w:val="none"/>
          <w:lang w:eastAsia="zh-CN"/>
        </w:rPr>
      </w:pPr>
      <w:bookmarkStart w:id="106" w:name="_Toc8496"/>
      <w:bookmarkStart w:id="107" w:name="_Toc7045"/>
      <w:bookmarkStart w:id="108" w:name="_Toc27587"/>
      <w:bookmarkStart w:id="109" w:name="_Toc8680"/>
      <w:bookmarkStart w:id="110" w:name="_Toc4616"/>
      <w:bookmarkStart w:id="111" w:name="_Toc14421"/>
      <w:r>
        <w:rPr>
          <w:rFonts w:hint="eastAsia" w:ascii="华文仿宋" w:hAnsi="华文仿宋" w:eastAsia="华文仿宋" w:cs="华文仿宋"/>
          <w:color w:val="auto"/>
          <w:sz w:val="28"/>
          <w:szCs w:val="28"/>
          <w:highlight w:val="none"/>
          <w:lang w:val="en-US" w:eastAsia="zh-CN"/>
        </w:rPr>
        <w:t>6、如采购的产品属</w:t>
      </w:r>
      <w:r>
        <w:rPr>
          <w:rFonts w:hint="eastAsia" w:ascii="华文仿宋" w:hAnsi="华文仿宋" w:cs="华文仿宋"/>
          <w:color w:val="auto"/>
          <w:sz w:val="28"/>
          <w:szCs w:val="28"/>
          <w:highlight w:val="none"/>
          <w:lang w:val="en-US" w:eastAsia="zh-CN"/>
        </w:rPr>
        <w:t>于</w:t>
      </w:r>
      <w:r>
        <w:rPr>
          <w:rFonts w:hint="eastAsia" w:ascii="华文仿宋" w:hAnsi="华文仿宋" w:eastAsia="华文仿宋" w:cs="华文仿宋"/>
          <w:color w:val="auto"/>
          <w:sz w:val="28"/>
          <w:szCs w:val="28"/>
          <w:highlight w:val="none"/>
          <w:lang w:val="en-US" w:eastAsia="zh-CN"/>
        </w:rPr>
        <w:t>列入《网络关键设备和网络安全专用产品目录》（如目录有更新，以最新的为准）的网络安全专用产品的，</w:t>
      </w:r>
      <w:r>
        <w:rPr>
          <w:rFonts w:hint="eastAsia" w:ascii="华文仿宋" w:hAnsi="华文仿宋" w:cs="华文仿宋"/>
          <w:color w:val="auto"/>
          <w:sz w:val="28"/>
          <w:szCs w:val="28"/>
          <w:highlight w:val="none"/>
          <w:lang w:val="en-US" w:eastAsia="zh-CN"/>
        </w:rPr>
        <w:t>投标人</w:t>
      </w:r>
      <w:r>
        <w:rPr>
          <w:rFonts w:hint="eastAsia" w:ascii="华文仿宋" w:hAnsi="华文仿宋" w:eastAsia="华文仿宋" w:cs="华文仿宋"/>
          <w:color w:val="auto"/>
          <w:sz w:val="28"/>
          <w:szCs w:val="28"/>
          <w:highlight w:val="none"/>
          <w:lang w:val="en-US" w:eastAsia="zh-CN"/>
        </w:rPr>
        <w:t>应当提供经安全检测或安全认证的产品或已经获得《计算机信息系统安全专用产品销售许可证》且尚在有效期肉的产品</w:t>
      </w:r>
      <w:r>
        <w:rPr>
          <w:rFonts w:hint="eastAsia" w:ascii="华文仿宋" w:hAnsi="华文仿宋" w:cs="华文仿宋"/>
          <w:color w:val="auto"/>
          <w:sz w:val="28"/>
          <w:szCs w:val="28"/>
          <w:highlight w:val="none"/>
          <w:lang w:eastAsia="zh-CN"/>
        </w:rPr>
        <w:t>。</w:t>
      </w:r>
    </w:p>
    <w:p w14:paraId="04DE8F15">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（七）关于同一品牌产品的处理</w:t>
      </w:r>
      <w:bookmarkEnd w:id="106"/>
      <w:bookmarkEnd w:id="107"/>
      <w:bookmarkEnd w:id="108"/>
      <w:bookmarkEnd w:id="109"/>
      <w:bookmarkEnd w:id="110"/>
      <w:bookmarkEnd w:id="111"/>
    </w:p>
    <w:p w14:paraId="03C4195D">
      <w:pPr>
        <w:spacing w:line="500" w:lineRule="exact"/>
        <w:ind w:firstLine="566"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1、单一产品采购项目中，提供相同品牌的产品的不同投标人参加同一合同项下投标的，按以下处理：</w:t>
      </w:r>
    </w:p>
    <w:p w14:paraId="77815AF6">
      <w:pPr>
        <w:spacing w:line="500" w:lineRule="exact"/>
        <w:ind w:firstLine="566"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采用最低评标价法的采购项目，提供相同品牌产品的不同投标人参加同一合同项下投标的，以其中通过资格审查、符合性审查且投标报价最低的参加评标；报价相同的，由评标委员会按照技术方案、售后服务等内容确定一个参加评标的投标人，其他投标无效。</w:t>
      </w:r>
    </w:p>
    <w:p w14:paraId="69BDAA3E">
      <w:pPr>
        <w:spacing w:line="500" w:lineRule="exact"/>
        <w:ind w:firstLine="566"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按照投标报价最低的方式确定一个获得中标人推荐资格，其他同品牌投标人不作为中标候选人。</w:t>
      </w:r>
    </w:p>
    <w:p w14:paraId="50F974B6">
      <w:pPr>
        <w:widowControl w:val="0"/>
        <w:spacing w:line="500" w:lineRule="exact"/>
        <w:ind w:firstLine="566"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非单一产品采购项目，采购人将根据采购项目技术构成、产品价格比重等因素确定核心产品（可能不止一种），并在招标文件中载明。提供相同品牌的核心产品的不同投标人参加同一合同项下投标的，按以下处理：</w:t>
      </w:r>
    </w:p>
    <w:p w14:paraId="363BBA6A">
      <w:pPr>
        <w:spacing w:line="500" w:lineRule="exact"/>
        <w:ind w:firstLine="566"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采用最低评标价法的采购项目，提供相同品牌核心产品的不同投标人参加同一合同项下投标的，以其中通过资格审查、符合性审查且投标报价最低的参加评标；报价相同的，由评标委员会按照技术方案、售后服务等内容确定一个参加评标的投标人，其他投标无效。</w:t>
      </w:r>
    </w:p>
    <w:p w14:paraId="60E705F7">
      <w:pPr>
        <w:spacing w:line="500" w:lineRule="exact"/>
        <w:ind w:firstLine="566"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使用综合评分法的采购项目，提供相同品牌核心产品且通过资格审查、符合性审查的不同投标人参加同一合同项下投标的，按一家投标人计算，评审后得分最高的同品牌投标人获得中标人推荐资格；评审得分相同的，由评标委员会按照投标报价最低的方式确定一个获得中标人推荐资格，其他同品牌投标人不作为中标候选人。</w:t>
      </w:r>
    </w:p>
    <w:p w14:paraId="7B96219C">
      <w:pPr>
        <w:spacing w:line="500" w:lineRule="exact"/>
        <w:ind w:firstLine="566"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（3）核心产品为两个以上时，多家投标人提供的核心产品有部分采用或全部采用相同品牌的，按一家投标人计算。</w:t>
      </w:r>
    </w:p>
    <w:p w14:paraId="2048C24D">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12" w:name="_Toc8711"/>
      <w:bookmarkStart w:id="113" w:name="_Toc16906"/>
      <w:bookmarkStart w:id="114" w:name="_Toc13431"/>
      <w:bookmarkStart w:id="115" w:name="_Toc24108"/>
      <w:bookmarkStart w:id="116" w:name="_Toc14044"/>
      <w:bookmarkStart w:id="117" w:name="_Toc13357"/>
      <w:r>
        <w:rPr>
          <w:rFonts w:hint="eastAsia" w:ascii="仿宋" w:hAnsi="仿宋" w:eastAsia="仿宋" w:cs="仿宋"/>
          <w:color w:val="000000" w:themeColor="text1"/>
          <w:sz w:val="28"/>
          <w:szCs w:val="28"/>
          <w:highlight w:val="none"/>
          <w14:textFill>
            <w14:solidFill>
              <w14:schemeClr w14:val="tx1"/>
            </w14:solidFill>
          </w14:textFill>
        </w:rPr>
        <w:t>（八）知识产权与保密事项</w:t>
      </w:r>
      <w:bookmarkEnd w:id="112"/>
      <w:bookmarkEnd w:id="113"/>
      <w:bookmarkEnd w:id="114"/>
      <w:bookmarkEnd w:id="115"/>
      <w:bookmarkEnd w:id="116"/>
      <w:bookmarkEnd w:id="117"/>
    </w:p>
    <w:p w14:paraId="1E3FAB55">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1、所有涉及知识产权的产品及设计，投标人必须确保采购人拥有其合法的、不受限制的无偿使用权，并免受任何侵权诉讼或索偿，否则，由此产生的一切经济损失和法律责任由投标人承担。</w:t>
      </w:r>
    </w:p>
    <w:p w14:paraId="25D14C28">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由采购人向投标人提供的用户需求书、图纸、样品、模型、模件和所有资料，投标人获得后，应对其保密。除非采购人同意，投标人不得向第三方透露或将其用于本次投标以外的任何用途。开标后，若采购人有要求，投标人须归还采购人认为需保密的文件和资料，并销毁所有相应的备份文件及资料。</w:t>
      </w:r>
    </w:p>
    <w:p w14:paraId="6C6CAF1E">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18" w:name="_Toc7162"/>
      <w:bookmarkStart w:id="119" w:name="_Toc18494"/>
      <w:bookmarkStart w:id="120" w:name="_Toc20526"/>
      <w:bookmarkStart w:id="121" w:name="_Toc9761"/>
      <w:bookmarkStart w:id="122" w:name="_Toc19717"/>
      <w:bookmarkStart w:id="123" w:name="_Toc8678"/>
      <w:r>
        <w:rPr>
          <w:rFonts w:hint="eastAsia" w:ascii="仿宋" w:hAnsi="仿宋" w:eastAsia="仿宋" w:cs="仿宋"/>
          <w:color w:val="000000" w:themeColor="text1"/>
          <w:sz w:val="28"/>
          <w:szCs w:val="28"/>
          <w:highlight w:val="none"/>
          <w14:textFill>
            <w14:solidFill>
              <w14:schemeClr w14:val="tx1"/>
            </w14:solidFill>
          </w14:textFill>
        </w:rPr>
        <w:t>（九）投标人的投标费用自理</w:t>
      </w:r>
      <w:bookmarkEnd w:id="118"/>
      <w:bookmarkEnd w:id="119"/>
      <w:bookmarkEnd w:id="120"/>
      <w:bookmarkEnd w:id="121"/>
      <w:bookmarkEnd w:id="122"/>
      <w:bookmarkEnd w:id="123"/>
    </w:p>
    <w:p w14:paraId="777F0753">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24" w:name="_Toc24468"/>
      <w:r>
        <w:rPr>
          <w:rFonts w:hint="eastAsia" w:ascii="仿宋" w:hAnsi="仿宋" w:eastAsia="仿宋" w:cs="仿宋"/>
          <w:color w:val="000000" w:themeColor="text1"/>
          <w:sz w:val="28"/>
          <w:szCs w:val="28"/>
          <w:highlight w:val="none"/>
          <w14:textFill>
            <w14:solidFill>
              <w14:schemeClr w14:val="tx1"/>
            </w14:solidFill>
          </w14:textFill>
        </w:rPr>
        <w:t>三、招标文件</w:t>
      </w:r>
      <w:bookmarkEnd w:id="124"/>
    </w:p>
    <w:p w14:paraId="71BFA7C8">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25" w:name="_Toc21427"/>
      <w:bookmarkStart w:id="126" w:name="_Toc31772"/>
      <w:bookmarkStart w:id="127" w:name="_Toc6250"/>
      <w:bookmarkStart w:id="128" w:name="_Toc9775"/>
      <w:bookmarkStart w:id="129" w:name="_Toc24360"/>
      <w:bookmarkStart w:id="130" w:name="_Toc2499"/>
      <w:r>
        <w:rPr>
          <w:rFonts w:hint="eastAsia" w:ascii="仿宋" w:hAnsi="仿宋" w:eastAsia="仿宋" w:cs="仿宋"/>
          <w:color w:val="000000" w:themeColor="text1"/>
          <w:sz w:val="28"/>
          <w:szCs w:val="28"/>
          <w:highlight w:val="none"/>
          <w14:textFill>
            <w14:solidFill>
              <w14:schemeClr w14:val="tx1"/>
            </w14:solidFill>
          </w14:textFill>
        </w:rPr>
        <w:t>（一）招标文件包括下列内容</w:t>
      </w:r>
      <w:bookmarkEnd w:id="125"/>
      <w:bookmarkEnd w:id="126"/>
      <w:bookmarkEnd w:id="127"/>
      <w:bookmarkEnd w:id="128"/>
      <w:bookmarkEnd w:id="129"/>
      <w:bookmarkEnd w:id="130"/>
    </w:p>
    <w:p w14:paraId="4451CA0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第一章　投标邀请函</w:t>
      </w:r>
    </w:p>
    <w:p w14:paraId="4409A59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第二章　投标人须知</w:t>
      </w:r>
    </w:p>
    <w:p w14:paraId="34E1C4C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第三章  评审办法及标准</w:t>
      </w:r>
    </w:p>
    <w:p w14:paraId="4390599D">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第四章　招标内容及采购要求</w:t>
      </w:r>
    </w:p>
    <w:p w14:paraId="0B23F97D">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第五章　合同基本条款</w:t>
      </w:r>
    </w:p>
    <w:p w14:paraId="76103953">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第六章　投标文件构成及格式</w:t>
      </w:r>
    </w:p>
    <w:p w14:paraId="77931869">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31" w:name="_Toc16023"/>
      <w:bookmarkStart w:id="132" w:name="_Toc12109"/>
      <w:bookmarkStart w:id="133" w:name="_Toc20821"/>
      <w:bookmarkStart w:id="134" w:name="_Toc15437"/>
      <w:bookmarkStart w:id="135" w:name="_Toc5020"/>
      <w:bookmarkStart w:id="136" w:name="_Toc17501"/>
      <w:r>
        <w:rPr>
          <w:rFonts w:hint="eastAsia" w:ascii="仿宋" w:hAnsi="仿宋" w:eastAsia="仿宋" w:cs="仿宋"/>
          <w:color w:val="000000" w:themeColor="text1"/>
          <w:sz w:val="28"/>
          <w:szCs w:val="28"/>
          <w:highlight w:val="none"/>
          <w14:textFill>
            <w14:solidFill>
              <w14:schemeClr w14:val="tx1"/>
            </w14:solidFill>
          </w14:textFill>
        </w:rPr>
        <w:t>（二）招标文件的检查及阅读</w:t>
      </w:r>
      <w:bookmarkEnd w:id="131"/>
      <w:bookmarkEnd w:id="132"/>
      <w:bookmarkEnd w:id="133"/>
      <w:bookmarkEnd w:id="134"/>
      <w:bookmarkEnd w:id="135"/>
      <w:bookmarkEnd w:id="136"/>
    </w:p>
    <w:p w14:paraId="4DE57A3F">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投标人下载招标文件后应仔细阅读检查招标文件中的所有内容，按照招标文件中所列事项、条款、规范要求及格式，在投标文件中对招标文件做出全面的响应，并按招标文件的要求提交全部资料。</w:t>
      </w:r>
    </w:p>
    <w:p w14:paraId="2240BD7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项目废标后重新组织招标的，陕西省省级单位政府采购中心将重新编制、发布新版招标文件，投标人应按新版招标文件重新编制投标文件。原招标文件及投标文件失效。</w:t>
      </w:r>
    </w:p>
    <w:p w14:paraId="520174DF">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投标文件封面、投标函以及法定代表人授权委托书三处的项目名称、项目编号、标段（如有）应当与最新发布的招标文件保持一致，否则将被视为无效投标文件。</w:t>
      </w:r>
    </w:p>
    <w:p w14:paraId="2299D4EC">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37" w:name="_Toc24326"/>
      <w:bookmarkStart w:id="138" w:name="_Toc163"/>
      <w:bookmarkStart w:id="139" w:name="_Toc8999"/>
      <w:bookmarkStart w:id="140" w:name="_Toc30912"/>
      <w:bookmarkStart w:id="141" w:name="_Toc1771"/>
      <w:bookmarkStart w:id="142" w:name="_Toc2096"/>
      <w:r>
        <w:rPr>
          <w:rFonts w:hint="eastAsia" w:ascii="仿宋" w:hAnsi="仿宋" w:eastAsia="仿宋" w:cs="仿宋"/>
          <w:color w:val="000000" w:themeColor="text1"/>
          <w:sz w:val="28"/>
          <w:szCs w:val="28"/>
          <w:highlight w:val="none"/>
          <w14:textFill>
            <w14:solidFill>
              <w14:schemeClr w14:val="tx1"/>
            </w14:solidFill>
          </w14:textFill>
        </w:rPr>
        <w:t>（三）招标文件的修改、澄清</w:t>
      </w:r>
      <w:bookmarkEnd w:id="137"/>
      <w:bookmarkEnd w:id="138"/>
      <w:bookmarkEnd w:id="139"/>
      <w:bookmarkEnd w:id="140"/>
      <w:bookmarkEnd w:id="141"/>
      <w:bookmarkEnd w:id="142"/>
    </w:p>
    <w:p w14:paraId="2417D37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在提交投标文件截止之日前，陕西省省级单位政府采购中心可对已发出的招标文件进行必要的澄清或者修改，澄清或者修改的内容作为招标文件的组成部分。澄清或者修改的内容可能影响投标文件编制的，陕西省省级单位政府采购中心将在投标截止时间15日前，在财政部门指定的政府采购信息发布媒体上</w:t>
      </w:r>
      <w:r>
        <w:rPr>
          <w:rFonts w:hint="eastAsia" w:ascii="仿宋" w:hAnsi="仿宋" w:eastAsia="仿宋" w:cs="仿宋"/>
          <w:b/>
          <w:bCs/>
          <w:color w:val="000000" w:themeColor="text1"/>
          <w:highlight w:val="none"/>
          <w14:textFill>
            <w14:solidFill>
              <w14:schemeClr w14:val="tx1"/>
            </w14:solidFill>
          </w14:textFill>
        </w:rPr>
        <w:t>发布更正公告</w:t>
      </w:r>
      <w:r>
        <w:rPr>
          <w:rFonts w:hint="eastAsia" w:ascii="仿宋" w:hAnsi="仿宋" w:eastAsia="仿宋" w:cs="仿宋"/>
          <w:color w:val="000000" w:themeColor="text1"/>
          <w:highlight w:val="none"/>
          <w14:textFill>
            <w14:solidFill>
              <w14:schemeClr w14:val="tx1"/>
            </w14:solidFill>
          </w14:textFill>
        </w:rPr>
        <w:t>；不足15日，陕西省省级单位政府采购中心将顺延提交投标文件的截止时间。</w:t>
      </w:r>
    </w:p>
    <w:p w14:paraId="554AD71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投标人对招标文件提出质疑的，应在招标文件获取之日起7个工作日内以书面形式提出，采购人以书面形式予以答复；在此之后提出的针对招标文件的质疑为无效质疑。答复的内容可能影响投标文件编制的，陕西省省级单位政府采购中心将在财政部门指定的政府采购信息发布媒体上</w:t>
      </w:r>
      <w:r>
        <w:rPr>
          <w:rFonts w:hint="eastAsia" w:ascii="仿宋" w:hAnsi="仿宋" w:eastAsia="仿宋" w:cs="仿宋"/>
          <w:b/>
          <w:bCs/>
          <w:color w:val="000000" w:themeColor="text1"/>
          <w:highlight w:val="none"/>
          <w14:textFill>
            <w14:solidFill>
              <w14:schemeClr w14:val="tx1"/>
            </w14:solidFill>
          </w14:textFill>
        </w:rPr>
        <w:t>发布更正公告</w:t>
      </w:r>
      <w:r>
        <w:rPr>
          <w:rFonts w:hint="eastAsia" w:ascii="仿宋" w:hAnsi="仿宋" w:eastAsia="仿宋" w:cs="仿宋"/>
          <w:color w:val="000000" w:themeColor="text1"/>
          <w:highlight w:val="none"/>
          <w14:textFill>
            <w14:solidFill>
              <w14:schemeClr w14:val="tx1"/>
            </w14:solidFill>
          </w14:textFill>
        </w:rPr>
        <w:t>。</w:t>
      </w:r>
    </w:p>
    <w:p w14:paraId="43F92251">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3、各投标人在提交投标文件截止时间之前，应随时关注下列地址发布的更正公告，也可登录全国公共资源交易平台（陕西省）政府采购交易系统查看左上角的信息提醒，陕西省省级单位政府采购中心</w:t>
      </w:r>
      <w:r>
        <w:rPr>
          <w:rFonts w:hint="eastAsia" w:ascii="仿宋" w:hAnsi="仿宋" w:eastAsia="仿宋" w:cs="仿宋"/>
          <w:b/>
          <w:bCs/>
          <w:color w:val="000000" w:themeColor="text1"/>
          <w:highlight w:val="none"/>
          <w14:textFill>
            <w14:solidFill>
              <w14:schemeClr w14:val="tx1"/>
            </w14:solidFill>
          </w14:textFill>
        </w:rPr>
        <w:t>不再单独通知，因投标人未及时关注所造成的一切后果由投标人自行承担：</w:t>
      </w:r>
    </w:p>
    <w:p w14:paraId="242C45EE">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highlight w:val="none"/>
        </w:rPr>
        <w:fldChar w:fldCharType="begin"/>
      </w:r>
      <w:r>
        <w:rPr>
          <w:highlight w:val="none"/>
        </w:rPr>
        <w:instrText xml:space="preserve"> HYPERLINK "http://www.ccgp-shaanxi.gov.cn" </w:instrText>
      </w:r>
      <w:r>
        <w:rPr>
          <w:highlight w:val="none"/>
        </w:rPr>
        <w:fldChar w:fldCharType="separate"/>
      </w:r>
      <w:r>
        <w:rPr>
          <w:rStyle w:val="20"/>
          <w:rFonts w:hint="eastAsia" w:ascii="仿宋" w:hAnsi="仿宋" w:eastAsia="仿宋" w:cs="仿宋"/>
          <w:color w:val="000000" w:themeColor="text1"/>
          <w:sz w:val="28"/>
          <w:szCs w:val="28"/>
          <w:highlight w:val="none"/>
          <w14:textFill>
            <w14:solidFill>
              <w14:schemeClr w14:val="tx1"/>
            </w14:solidFill>
          </w14:textFill>
        </w:rPr>
        <w:t>陕西省政府采购网</w:t>
      </w:r>
      <w:r>
        <w:rPr>
          <w:rStyle w:val="20"/>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t>（www.ccgp-shaanxi.gov.cn）】中的〖首页·〉省级公告·〉更正公告〗；</w:t>
      </w:r>
    </w:p>
    <w:p w14:paraId="006FF4DE">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kern w:val="0"/>
          <w:highlight w:val="none"/>
          <w14:textFill>
            <w14:solidFill>
              <w14:schemeClr w14:val="tx1"/>
            </w14:solidFill>
          </w14:textFill>
        </w:rPr>
        <w:t>全国公共资源交易平台（陕西省）（</w:t>
      </w:r>
      <w:r>
        <w:rPr>
          <w:rFonts w:hint="eastAsia" w:ascii="仿宋" w:hAnsi="仿宋" w:eastAsia="仿宋" w:cs="仿宋"/>
          <w:color w:val="000000" w:themeColor="text1"/>
          <w:highlight w:val="none"/>
          <w14:textFill>
            <w14:solidFill>
              <w14:schemeClr w14:val="tx1"/>
            </w14:solidFill>
          </w14:textFill>
        </w:rPr>
        <w:t>http://www.sxggzyjy.cn/</w:t>
      </w:r>
      <w:r>
        <w:rPr>
          <w:rFonts w:hint="eastAsia" w:ascii="仿宋" w:hAnsi="仿宋" w:eastAsia="仿宋" w:cs="仿宋"/>
          <w:color w:val="000000" w:themeColor="text1"/>
          <w:kern w:val="0"/>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】中的〖首页·〉交易大厅·〉政府采购〗。</w:t>
      </w:r>
    </w:p>
    <w:p w14:paraId="6C7B6DE5">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43" w:name="_Toc3288"/>
      <w:bookmarkStart w:id="144" w:name="_Toc24054"/>
      <w:bookmarkStart w:id="145" w:name="_Toc27253"/>
      <w:bookmarkStart w:id="146" w:name="_Toc9031"/>
      <w:bookmarkStart w:id="147" w:name="_Toc5846"/>
      <w:bookmarkStart w:id="148" w:name="_Toc11980"/>
      <w:r>
        <w:rPr>
          <w:rFonts w:hint="eastAsia" w:ascii="仿宋" w:hAnsi="仿宋" w:eastAsia="仿宋" w:cs="仿宋"/>
          <w:color w:val="000000" w:themeColor="text1"/>
          <w:sz w:val="28"/>
          <w:szCs w:val="28"/>
          <w:highlight w:val="none"/>
          <w14:textFill>
            <w14:solidFill>
              <w14:schemeClr w14:val="tx1"/>
            </w14:solidFill>
          </w14:textFill>
        </w:rPr>
        <w:t>（四）招标文件的解释权归陕西省省级单位政府采购中心</w:t>
      </w:r>
      <w:bookmarkEnd w:id="143"/>
      <w:bookmarkEnd w:id="144"/>
      <w:bookmarkEnd w:id="145"/>
      <w:bookmarkEnd w:id="146"/>
      <w:bookmarkEnd w:id="147"/>
      <w:bookmarkEnd w:id="148"/>
    </w:p>
    <w:p w14:paraId="5DACBF7F">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49" w:name="_Toc14376"/>
      <w:r>
        <w:rPr>
          <w:rFonts w:hint="eastAsia" w:ascii="仿宋" w:hAnsi="仿宋" w:eastAsia="仿宋" w:cs="仿宋"/>
          <w:color w:val="000000" w:themeColor="text1"/>
          <w:sz w:val="28"/>
          <w:szCs w:val="28"/>
          <w:highlight w:val="none"/>
          <w14:textFill>
            <w14:solidFill>
              <w14:schemeClr w14:val="tx1"/>
            </w14:solidFill>
          </w14:textFill>
        </w:rPr>
        <w:t>四、投标报价</w:t>
      </w:r>
      <w:bookmarkEnd w:id="149"/>
    </w:p>
    <w:p w14:paraId="7F29016E">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35E47738">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（一）投标人应严格按照《投标文件构成及格式》中《开标一览表》中的相关要求填写。</w:t>
      </w:r>
    </w:p>
    <w:p w14:paraId="0BE5D3EC">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（二）投标报价货币：</w:t>
      </w:r>
      <w:r>
        <w:rPr>
          <w:rFonts w:hint="eastAsia" w:ascii="仿宋" w:hAnsi="仿宋" w:eastAsia="仿宋" w:cs="仿宋"/>
          <w:b/>
          <w:bCs/>
          <w:color w:val="000000" w:themeColor="text1"/>
          <w:highlight w:val="none"/>
          <w14:textFill>
            <w14:solidFill>
              <w14:schemeClr w14:val="tx1"/>
            </w14:solidFill>
          </w14:textFill>
        </w:rPr>
        <w:t>人民币</w:t>
      </w:r>
      <w:r>
        <w:rPr>
          <w:rFonts w:hint="eastAsia" w:ascii="仿宋" w:hAnsi="仿宋" w:eastAsia="仿宋" w:cs="仿宋"/>
          <w:color w:val="000000" w:themeColor="text1"/>
          <w:highlight w:val="none"/>
          <w14:textFill>
            <w14:solidFill>
              <w14:schemeClr w14:val="tx1"/>
            </w14:solidFill>
          </w14:textFill>
        </w:rPr>
        <w:t>；单位：</w:t>
      </w:r>
      <w:r>
        <w:rPr>
          <w:rFonts w:hint="eastAsia" w:ascii="仿宋" w:hAnsi="仿宋" w:eastAsia="仿宋" w:cs="仿宋"/>
          <w:b/>
          <w:bCs/>
          <w:color w:val="000000" w:themeColor="text1"/>
          <w:highlight w:val="none"/>
          <w14:textFill>
            <w14:solidFill>
              <w14:schemeClr w14:val="tx1"/>
            </w14:solidFill>
          </w14:textFill>
        </w:rPr>
        <w:t>元（</w:t>
      </w:r>
      <w:r>
        <w:rPr>
          <w:rFonts w:hint="eastAsia" w:ascii="仿宋" w:hAnsi="仿宋" w:eastAsia="仿宋" w:cs="仿宋"/>
          <w:b/>
          <w:bCs/>
          <w:color w:val="000000" w:themeColor="text1"/>
          <w:highlight w:val="none"/>
          <w:lang w:eastAsia="zh-CN"/>
          <w14:textFill>
            <w14:solidFill>
              <w14:schemeClr w14:val="tx1"/>
            </w14:solidFill>
          </w14:textFill>
        </w:rPr>
        <w:t>报价最多保留至小数点后两位</w:t>
      </w:r>
      <w:r>
        <w:rPr>
          <w:rFonts w:hint="eastAsia" w:ascii="仿宋" w:hAnsi="仿宋" w:eastAsia="仿宋" w:cs="仿宋"/>
          <w:b/>
          <w:bCs/>
          <w:color w:val="000000" w:themeColor="text1"/>
          <w:highlight w:val="none"/>
          <w14:textFill>
            <w14:solidFill>
              <w14:schemeClr w14:val="tx1"/>
            </w14:solidFill>
          </w14:textFill>
        </w:rPr>
        <w:t>）。</w:t>
      </w:r>
    </w:p>
    <w:p w14:paraId="5502B48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（三）《开标一览表》中</w:t>
      </w:r>
      <w:r>
        <w:rPr>
          <w:rFonts w:hint="eastAsia" w:ascii="仿宋" w:hAnsi="仿宋" w:eastAsia="仿宋" w:cs="仿宋"/>
          <w:color w:val="000000" w:themeColor="text1"/>
          <w:highlight w:val="none"/>
          <w:lang w:val="en-US" w:eastAsia="zh-CN"/>
          <w14:textFill>
            <w14:solidFill>
              <w14:schemeClr w14:val="tx1"/>
            </w14:solidFill>
          </w14:textFill>
        </w:rPr>
        <w:t>的</w:t>
      </w:r>
      <w:r>
        <w:rPr>
          <w:rFonts w:hint="eastAsia" w:ascii="仿宋" w:hAnsi="仿宋" w:eastAsia="仿宋" w:cs="仿宋"/>
          <w:color w:val="000000" w:themeColor="text1"/>
          <w:highlight w:val="none"/>
          <w14:textFill>
            <w14:solidFill>
              <w14:schemeClr w14:val="tx1"/>
            </w14:solidFill>
          </w14:textFill>
        </w:rPr>
        <w:t>投标报价只能提交唯一报价，并且在合同履行过程中是固定不变的，任何有选择的报价将不予接受，按无效投标处理。</w:t>
      </w:r>
    </w:p>
    <w:p w14:paraId="6D6C219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（四）投标文件报价出现前后不一致的，除招标文件另有规定外，按照下列规定修正：</w:t>
      </w:r>
    </w:p>
    <w:p w14:paraId="037FEF78">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1、投标文件中开标一览表内容与投标文件中相应内容不一致的，以开标一览表为准；</w:t>
      </w:r>
    </w:p>
    <w:p w14:paraId="2141F0D5">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2、大写金额和小写金额不一致的，以大写金额为准；</w:t>
      </w:r>
    </w:p>
    <w:p w14:paraId="1A3635A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3、单价金额小数点或者百分比有明显错位的，以开标一览表的总价为准，并修改单价；</w:t>
      </w:r>
    </w:p>
    <w:p w14:paraId="42261884">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4、总价金额与按单价汇总金额不一致的，以单价金额计算结果为准；</w:t>
      </w:r>
    </w:p>
    <w:p w14:paraId="586D75E2">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同时出现两种以上不一致的，按照前款规定的顺序修正。</w:t>
      </w:r>
      <w:r>
        <w:rPr>
          <w:rFonts w:hint="eastAsia" w:ascii="仿宋" w:hAnsi="仿宋" w:eastAsia="仿宋" w:cs="仿宋"/>
          <w:b/>
          <w:bCs/>
          <w:color w:val="000000" w:themeColor="text1"/>
          <w:highlight w:val="none"/>
          <w14:textFill>
            <w14:solidFill>
              <w14:schemeClr w14:val="tx1"/>
            </w14:solidFill>
          </w14:textFill>
        </w:rPr>
        <w:t>修正后的报价经投标人确认后产生约束力，投标人不确认的，其投标无效。</w:t>
      </w:r>
    </w:p>
    <w:p w14:paraId="6E28036F">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（五）因投标人对招标文件理解不透、误解、疏漏或对市场行情了解不清造成的后果和风险，均由投标人自己负责。</w:t>
      </w:r>
    </w:p>
    <w:p w14:paraId="2B56A70A">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50" w:name="_Toc31692"/>
      <w:r>
        <w:rPr>
          <w:rFonts w:hint="eastAsia" w:ascii="仿宋" w:hAnsi="仿宋" w:eastAsia="仿宋" w:cs="仿宋"/>
          <w:color w:val="000000" w:themeColor="text1"/>
          <w:sz w:val="28"/>
          <w:szCs w:val="28"/>
          <w:highlight w:val="none"/>
          <w14:textFill>
            <w14:solidFill>
              <w14:schemeClr w14:val="tx1"/>
            </w14:solidFill>
          </w14:textFill>
        </w:rPr>
        <w:t>五、投标文件</w:t>
      </w:r>
      <w:bookmarkEnd w:id="150"/>
    </w:p>
    <w:p w14:paraId="6664194C">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51" w:name="_Toc10242"/>
      <w:bookmarkStart w:id="152" w:name="_Toc4717"/>
      <w:bookmarkStart w:id="153" w:name="_Toc1832"/>
      <w:bookmarkStart w:id="154" w:name="_Toc30764"/>
      <w:bookmarkStart w:id="155" w:name="_Toc25351"/>
      <w:bookmarkStart w:id="156" w:name="_Toc8984"/>
      <w:r>
        <w:rPr>
          <w:rFonts w:hint="eastAsia" w:ascii="仿宋" w:hAnsi="仿宋" w:eastAsia="仿宋" w:cs="仿宋"/>
          <w:color w:val="000000" w:themeColor="text1"/>
          <w:sz w:val="28"/>
          <w:szCs w:val="28"/>
          <w:highlight w:val="none"/>
          <w14:textFill>
            <w14:solidFill>
              <w14:schemeClr w14:val="tx1"/>
            </w14:solidFill>
          </w14:textFill>
        </w:rPr>
        <w:t>（一）投标文件形式</w:t>
      </w:r>
      <w:bookmarkEnd w:id="151"/>
      <w:bookmarkEnd w:id="152"/>
      <w:bookmarkEnd w:id="153"/>
      <w:bookmarkEnd w:id="154"/>
      <w:bookmarkEnd w:id="155"/>
      <w:bookmarkEnd w:id="156"/>
    </w:p>
    <w:p w14:paraId="4E71550C">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本项目采用电子投标文件的形式。</w:t>
      </w:r>
    </w:p>
    <w:p w14:paraId="25FB5D3F">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编制电子投标文件时，应使用最新发布的电子招标文件及专用制作工具进行编制。并使用数字认证证书（CA锁）对电子投标文件进行签署、加密、递交及解密等相关操作。</w:t>
      </w:r>
    </w:p>
    <w:p w14:paraId="1321C98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bookmarkStart w:id="157" w:name="_Toc8183"/>
      <w:bookmarkStart w:id="158" w:name="_Toc14227"/>
      <w:bookmarkStart w:id="159" w:name="_Toc12406"/>
      <w:r>
        <w:rPr>
          <w:rFonts w:hint="eastAsia" w:ascii="仿宋" w:hAnsi="仿宋" w:eastAsia="仿宋" w:cs="仿宋"/>
          <w:color w:val="000000" w:themeColor="text1"/>
          <w:highlight w:val="none"/>
          <w14:textFill>
            <w14:solidFill>
              <w14:schemeClr w14:val="tx1"/>
            </w14:solidFill>
          </w14:textFill>
        </w:rPr>
        <w:t>1、电子招标文件下载。投标人登录全国公共资源交易平台（陕西省）网站〖首页·〉电子交易平台·〉企业端〗后，在〖招标公告/出让公告〗模块中选择项目点击“我要投标”，参与投标活动。然后即可在〖我的项目〗中点击“项目流程&gt;交易文 件下载”下载电子招标文件（*.SXSZF）。</w:t>
      </w:r>
    </w:p>
    <w:p w14:paraId="14F0DD08">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注意：该项目如有变更文件，则应点击“项目流程&gt;答疑文件下载”下载更新后的电子招标文件（*.SXSCF），</w:t>
      </w:r>
      <w:r>
        <w:rPr>
          <w:rFonts w:hint="eastAsia" w:ascii="仿宋" w:hAnsi="仿宋" w:eastAsia="仿宋" w:cs="仿宋"/>
          <w:b/>
          <w:bCs/>
          <w:color w:val="000000" w:themeColor="text1"/>
          <w:highlight w:val="none"/>
          <w14:textFill>
            <w14:solidFill>
              <w14:schemeClr w14:val="tx1"/>
            </w14:solidFill>
          </w14:textFill>
        </w:rPr>
        <w:t>使用旧版电子招标文件制作的电子投标文件，系统将拒绝接收。</w:t>
      </w:r>
    </w:p>
    <w:p w14:paraId="7566EFA1">
      <w:pPr>
        <w:widowControl w:val="0"/>
        <w:numPr>
          <w:ilvl w:val="0"/>
          <w:numId w:val="1"/>
        </w:num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招标文件需要使用专用软件打开、浏览。投标人可在全国公共资源交易平台（陕西省）网站〖首页·〉服务指南·〉下载专区〗免费下载“陕西省公共资源交易平台政府采购电子标书制作工具”，并升级至最新版本，使用该客户端可以打开电子招标文件。软件操作手册详见全国公共资源交易平台（陕西省）网站〖首页·〉服务指南·〉下载专区〗中的《陕西省公共资源交易（政府采购类）投标文件制作软件操作手册》。</w:t>
      </w:r>
    </w:p>
    <w:p w14:paraId="28029C05">
      <w:pPr>
        <w:widowControl w:val="0"/>
        <w:numPr>
          <w:ilvl w:val="0"/>
          <w:numId w:val="1"/>
        </w:num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制作电子投标文件。电子投标文件同样需要使用上述软件进行编制。在编制过程中，如有技术性问题，请先翻阅操作手册，或致电软件开发商。</w:t>
      </w:r>
      <w:r>
        <w:rPr>
          <w:rFonts w:hint="eastAsia" w:ascii="仿宋" w:hAnsi="仿宋" w:eastAsia="仿宋" w:cs="仿宋"/>
          <w:b/>
          <w:bCs/>
          <w:color w:val="000000" w:themeColor="text1"/>
          <w:highlight w:val="none"/>
          <w14:textFill>
            <w14:solidFill>
              <w14:schemeClr w14:val="tx1"/>
            </w14:solidFill>
          </w14:textFill>
        </w:rPr>
        <w:t>技术支持热线：0512</w:t>
      </w:r>
      <w:r>
        <w:rPr>
          <w:rFonts w:hint="eastAsia" w:ascii="仿宋" w:hAnsi="仿宋" w:eastAsia="仿宋" w:cs="仿宋"/>
          <w:b/>
          <w:bCs/>
          <w:color w:val="000000" w:themeColor="text1"/>
          <w:highlight w:val="none"/>
          <w:lang w:val="en-US" w:eastAsia="zh-CN"/>
          <w14:textFill>
            <w14:solidFill>
              <w14:schemeClr w14:val="tx1"/>
            </w14:solidFill>
          </w14:textFill>
        </w:rPr>
        <w:t>-</w:t>
      </w:r>
      <w:r>
        <w:rPr>
          <w:rFonts w:hint="eastAsia" w:ascii="仿宋" w:hAnsi="仿宋" w:eastAsia="仿宋" w:cs="仿宋"/>
          <w:b/>
          <w:bCs/>
          <w:color w:val="000000" w:themeColor="text1"/>
          <w:highlight w:val="none"/>
          <w14:textFill>
            <w14:solidFill>
              <w14:schemeClr w14:val="tx1"/>
            </w14:solidFill>
          </w14:textFill>
        </w:rPr>
        <w:t>58188039。</w:t>
      </w:r>
    </w:p>
    <w:p w14:paraId="34F504C1">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60" w:name="_Toc27046"/>
      <w:bookmarkStart w:id="161" w:name="_Toc11615"/>
      <w:bookmarkStart w:id="162" w:name="_Toc29206"/>
      <w:r>
        <w:rPr>
          <w:rFonts w:hint="eastAsia" w:ascii="仿宋" w:hAnsi="仿宋" w:eastAsia="仿宋" w:cs="仿宋"/>
          <w:color w:val="000000" w:themeColor="text1"/>
          <w:sz w:val="28"/>
          <w:szCs w:val="28"/>
          <w:highlight w:val="none"/>
          <w14:textFill>
            <w14:solidFill>
              <w14:schemeClr w14:val="tx1"/>
            </w14:solidFill>
          </w14:textFill>
        </w:rPr>
        <w:t>（二）投标文件语言及有效期</w:t>
      </w:r>
      <w:bookmarkEnd w:id="157"/>
      <w:bookmarkEnd w:id="158"/>
      <w:bookmarkEnd w:id="159"/>
      <w:bookmarkEnd w:id="160"/>
      <w:bookmarkEnd w:id="161"/>
      <w:bookmarkEnd w:id="162"/>
    </w:p>
    <w:p w14:paraId="3BAA447D">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1、投标活动的所有文件、资料、函电文均使用</w:t>
      </w:r>
      <w:r>
        <w:rPr>
          <w:rFonts w:hint="eastAsia" w:ascii="仿宋" w:hAnsi="仿宋" w:eastAsia="仿宋" w:cs="仿宋"/>
          <w:b/>
          <w:bCs/>
          <w:color w:val="000000" w:themeColor="text1"/>
          <w:highlight w:val="none"/>
          <w14:textFill>
            <w14:solidFill>
              <w14:schemeClr w14:val="tx1"/>
            </w14:solidFill>
          </w14:textFill>
        </w:rPr>
        <w:t>简体中文</w:t>
      </w:r>
      <w:r>
        <w:rPr>
          <w:rFonts w:hint="eastAsia" w:ascii="仿宋" w:hAnsi="仿宋" w:eastAsia="仿宋" w:cs="仿宋"/>
          <w:color w:val="000000" w:themeColor="text1"/>
          <w:highlight w:val="none"/>
          <w14:textFill>
            <w14:solidFill>
              <w14:schemeClr w14:val="tx1"/>
            </w14:solidFill>
          </w14:textFill>
        </w:rPr>
        <w:t>，确需提交其他语言形成的资料，必须翻译成简体中文，如有差异，以简体中文为准。</w:t>
      </w:r>
    </w:p>
    <w:p w14:paraId="16AC2CE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2、投标文件有效期为</w:t>
      </w:r>
      <w:r>
        <w:rPr>
          <w:rFonts w:hint="eastAsia" w:ascii="仿宋" w:hAnsi="仿宋" w:eastAsia="仿宋" w:cs="仿宋"/>
          <w:b/>
          <w:bCs/>
          <w:color w:val="000000" w:themeColor="text1"/>
          <w:highlight w:val="none"/>
          <w14:textFill>
            <w14:solidFill>
              <w14:schemeClr w14:val="tx1"/>
            </w14:solidFill>
          </w14:textFill>
        </w:rPr>
        <w:t>自开标之日起</w:t>
      </w:r>
      <w:r>
        <w:rPr>
          <w:rFonts w:hint="eastAsia" w:ascii="仿宋" w:hAnsi="仿宋" w:eastAsia="仿宋" w:cs="仿宋"/>
          <w:b/>
          <w:bCs/>
          <w:color w:val="000000" w:themeColor="text1"/>
          <w:highlight w:val="none"/>
          <w:lang w:val="zh-CN"/>
          <w14:textFill>
            <w14:solidFill>
              <w14:schemeClr w14:val="tx1"/>
            </w14:solidFill>
          </w14:textFill>
        </w:rPr>
        <w:t>90</w:t>
      </w:r>
      <w:r>
        <w:rPr>
          <w:rFonts w:hint="eastAsia" w:ascii="仿宋" w:hAnsi="仿宋" w:eastAsia="仿宋" w:cs="仿宋"/>
          <w:b/>
          <w:bCs/>
          <w:color w:val="000000" w:themeColor="text1"/>
          <w:highlight w:val="none"/>
          <w14:textFill>
            <w14:solidFill>
              <w14:schemeClr w14:val="tx1"/>
            </w14:solidFill>
          </w14:textFill>
        </w:rPr>
        <w:t>个日历日</w:t>
      </w:r>
      <w:r>
        <w:rPr>
          <w:rFonts w:hint="eastAsia" w:ascii="仿宋" w:hAnsi="仿宋" w:eastAsia="仿宋" w:cs="仿宋"/>
          <w:color w:val="000000" w:themeColor="text1"/>
          <w:highlight w:val="none"/>
          <w14:textFill>
            <w14:solidFill>
              <w14:schemeClr w14:val="tx1"/>
            </w14:solidFill>
          </w14:textFill>
        </w:rPr>
        <w:t>。如中标，延长至合同执行完毕时止。</w:t>
      </w:r>
    </w:p>
    <w:p w14:paraId="205391A2">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63" w:name="_Toc20317"/>
      <w:bookmarkStart w:id="164" w:name="_Toc8949"/>
      <w:bookmarkStart w:id="165" w:name="_Toc2152"/>
      <w:bookmarkStart w:id="166" w:name="_Toc4668"/>
      <w:bookmarkStart w:id="167" w:name="_Toc10345"/>
      <w:bookmarkStart w:id="168" w:name="_Toc30493"/>
      <w:r>
        <w:rPr>
          <w:rFonts w:hint="eastAsia" w:ascii="仿宋" w:hAnsi="仿宋" w:eastAsia="仿宋" w:cs="仿宋"/>
          <w:color w:val="000000" w:themeColor="text1"/>
          <w:sz w:val="28"/>
          <w:szCs w:val="28"/>
          <w:highlight w:val="none"/>
          <w14:textFill>
            <w14:solidFill>
              <w14:schemeClr w14:val="tx1"/>
            </w14:solidFill>
          </w14:textFill>
        </w:rPr>
        <w:t>（三）投标文件的提交</w:t>
      </w:r>
      <w:bookmarkEnd w:id="163"/>
      <w:bookmarkEnd w:id="164"/>
      <w:bookmarkEnd w:id="165"/>
      <w:bookmarkEnd w:id="166"/>
      <w:bookmarkEnd w:id="167"/>
      <w:bookmarkEnd w:id="168"/>
    </w:p>
    <w:p w14:paraId="2D034FE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SXSTF）。上传成功后，电子化平台将予以记录。</w:t>
      </w:r>
    </w:p>
    <w:p w14:paraId="37BB0EB7">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69" w:name="_Toc11861"/>
      <w:bookmarkStart w:id="170" w:name="_Toc7616"/>
      <w:bookmarkStart w:id="171" w:name="_Toc1454"/>
      <w:bookmarkStart w:id="172" w:name="_Toc17615"/>
      <w:bookmarkStart w:id="173" w:name="_Toc31979"/>
      <w:bookmarkStart w:id="174" w:name="_Toc7750"/>
      <w:r>
        <w:rPr>
          <w:rFonts w:hint="eastAsia" w:ascii="仿宋" w:hAnsi="仿宋" w:eastAsia="仿宋" w:cs="仿宋"/>
          <w:color w:val="000000" w:themeColor="text1"/>
          <w:sz w:val="28"/>
          <w:szCs w:val="28"/>
          <w:highlight w:val="none"/>
          <w14:textFill>
            <w14:solidFill>
              <w14:schemeClr w14:val="tx1"/>
            </w14:solidFill>
          </w14:textFill>
        </w:rPr>
        <w:t>（四）投标文件的补充、修改和撤回</w:t>
      </w:r>
      <w:bookmarkEnd w:id="169"/>
      <w:bookmarkEnd w:id="170"/>
      <w:bookmarkEnd w:id="171"/>
      <w:bookmarkEnd w:id="172"/>
      <w:bookmarkEnd w:id="173"/>
      <w:bookmarkEnd w:id="174"/>
    </w:p>
    <w:p w14:paraId="6922F31F">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1、投标人在递交投标文件后，且在提交投标文件截止时间前，可以对所提交的投标文件进行补充、修改或撤回。</w:t>
      </w:r>
    </w:p>
    <w:p w14:paraId="1738A20B">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2、对电子投标文件进行补充、修改的，应先从电子交易平台上撤回旧版，再重新提交新版。</w:t>
      </w:r>
    </w:p>
    <w:p w14:paraId="50B65F9C">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3、投标文件提交截止时间后，投标人不得对其投标文件做任何修改。</w:t>
      </w:r>
    </w:p>
    <w:p w14:paraId="569A60FD">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75" w:name="_Toc4399"/>
      <w:bookmarkStart w:id="176" w:name="_Toc15674"/>
      <w:bookmarkStart w:id="177" w:name="_Toc8523"/>
      <w:bookmarkStart w:id="178" w:name="_Toc20024"/>
      <w:bookmarkStart w:id="179" w:name="_Toc26578"/>
      <w:bookmarkStart w:id="180" w:name="_Toc649"/>
      <w:r>
        <w:rPr>
          <w:rFonts w:hint="eastAsia" w:ascii="仿宋" w:hAnsi="仿宋" w:eastAsia="仿宋" w:cs="仿宋"/>
          <w:color w:val="000000" w:themeColor="text1"/>
          <w:sz w:val="28"/>
          <w:szCs w:val="28"/>
          <w:highlight w:val="none"/>
          <w14:textFill>
            <w14:solidFill>
              <w14:schemeClr w14:val="tx1"/>
            </w14:solidFill>
          </w14:textFill>
        </w:rPr>
        <w:t>（五）投标人提交投标文件时，出现下列情况之一的，其投标文件将被拒绝接收：</w:t>
      </w:r>
      <w:bookmarkEnd w:id="175"/>
      <w:bookmarkEnd w:id="176"/>
      <w:bookmarkEnd w:id="177"/>
      <w:bookmarkEnd w:id="178"/>
      <w:bookmarkEnd w:id="179"/>
      <w:bookmarkEnd w:id="180"/>
    </w:p>
    <w:p w14:paraId="267C6F09">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1、逾期提交电子投标文件；</w:t>
      </w:r>
    </w:p>
    <w:p w14:paraId="161CFEB3">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2、提交的电子投标文件与本项目不相符的。</w:t>
      </w:r>
    </w:p>
    <w:p w14:paraId="66B61715">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81" w:name="_Toc9084"/>
      <w:r>
        <w:rPr>
          <w:rFonts w:hint="eastAsia" w:ascii="仿宋" w:hAnsi="仿宋" w:eastAsia="仿宋" w:cs="仿宋"/>
          <w:color w:val="000000" w:themeColor="text1"/>
          <w:sz w:val="28"/>
          <w:szCs w:val="28"/>
          <w:highlight w:val="none"/>
          <w14:textFill>
            <w14:solidFill>
              <w14:schemeClr w14:val="tx1"/>
            </w14:solidFill>
          </w14:textFill>
        </w:rPr>
        <w:t>六、组织开标</w:t>
      </w:r>
      <w:bookmarkEnd w:id="181"/>
    </w:p>
    <w:p w14:paraId="56C320BB">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（一）陕西省省级单位政府采购中心组织开标、评审工作，整个过程受政府采购监管机构的监督、管理。</w:t>
      </w:r>
    </w:p>
    <w:p w14:paraId="69415352">
      <w:pPr>
        <w:wordWrap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w:t>
      </w:r>
      <w:r>
        <w:rPr>
          <w:rFonts w:hint="eastAsia" w:ascii="仿宋" w:hAnsi="仿宋" w:eastAsia="仿宋" w:cs="仿宋"/>
          <w:b/>
          <w:bCs/>
          <w:color w:val="000000" w:themeColor="text1"/>
          <w:highlight w:val="none"/>
          <w14:textFill>
            <w14:solidFill>
              <w14:schemeClr w14:val="tx1"/>
            </w14:solidFill>
          </w14:textFill>
        </w:rPr>
        <w:t>本项目采用不见面开标方式。投标人需在开启前最少一个小时登录全国公共资源交易平台（陕西省）首页选择“不见面开标-陕西省本级”自行调试，并按照工作人员要求进行投标文件解密，远程观看开启直播。及时加入网络开标大厅公布的腾讯QQ号，以便澄清等情况处理。如遇困难，请拨打系统平台技术支持电话：0512</w:t>
      </w:r>
      <w:r>
        <w:rPr>
          <w:rFonts w:hint="eastAsia" w:ascii="仿宋" w:hAnsi="仿宋" w:eastAsia="仿宋" w:cs="仿宋"/>
          <w:b/>
          <w:bCs/>
          <w:color w:val="000000" w:themeColor="text1"/>
          <w:highlight w:val="none"/>
          <w:lang w:val="en-US" w:eastAsia="zh-CN"/>
          <w14:textFill>
            <w14:solidFill>
              <w14:schemeClr w14:val="tx1"/>
            </w14:solidFill>
          </w14:textFill>
        </w:rPr>
        <w:t>-</w:t>
      </w:r>
      <w:r>
        <w:rPr>
          <w:rFonts w:hint="eastAsia" w:ascii="仿宋" w:hAnsi="仿宋" w:eastAsia="仿宋" w:cs="仿宋"/>
          <w:b/>
          <w:bCs/>
          <w:color w:val="000000" w:themeColor="text1"/>
          <w:highlight w:val="none"/>
          <w14:textFill>
            <w14:solidFill>
              <w14:schemeClr w14:val="tx1"/>
            </w14:solidFill>
          </w14:textFill>
        </w:rPr>
        <w:t>58188039。</w:t>
      </w:r>
    </w:p>
    <w:p w14:paraId="77509651">
      <w:pPr>
        <w:wordWrap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参加投标的投标人不足3家的，不得开标。</w:t>
      </w:r>
    </w:p>
    <w:p w14:paraId="7B7BCC74">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开标时，陕西省省级单位政府采购中心现场工作人员将根据项目投标人数约定解密时长，投标人应在规定时间内，使用电子投标文件加密时所用的数字认证证书（CA锁）自行解密电子投标文件。未在规定时间内解密的，视为投标无效。</w:t>
      </w:r>
    </w:p>
    <w:p w14:paraId="22ACCF8D">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（四）投标人对开标过程有疑义，以及认为采购人、陕西省省级单位政府采购中心相关工作人员有需要回避情形的，应在网络开标大厅提出询问或回避申请，采购人、陕西省省级单位政府采购中心应当及时处理。</w:t>
      </w:r>
    </w:p>
    <w:p w14:paraId="5D37756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（五）投标人未参加开标的，视同认可开标结果。</w:t>
      </w:r>
    </w:p>
    <w:p w14:paraId="100AB91F">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（六）在开标环节出现下列情况之一的，其投标文件视为无效文件：</w:t>
      </w:r>
    </w:p>
    <w:p w14:paraId="4B1B12B9">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1、投标人拒绝对电子投标文件进行解密的；</w:t>
      </w:r>
    </w:p>
    <w:p w14:paraId="7E99CB8D">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2、因投标人自身原因（如解密时使用的CA锁与制作电子投标文件使用的CA锁不一致、或沿用旧版招标文件编制投标文件等情形），导致在规定时间内无法解密投标文件的；</w:t>
      </w:r>
    </w:p>
    <w:p w14:paraId="08ACBF4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3、上传的电子投标文件无法打开的；</w:t>
      </w:r>
    </w:p>
    <w:p w14:paraId="31FD5864">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4、政府采购法律法规规定的其他无效情形。</w:t>
      </w:r>
    </w:p>
    <w:p w14:paraId="4C54D5D0">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（七）特殊情形下的应急处置</w:t>
      </w:r>
    </w:p>
    <w:p w14:paraId="4E187D1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在开标、评审过程中，如因停电、断网、电子化系统故障等特殊原因导致电子化开、评审无法正常进行时，将视电子投标文件解密情况特殊处理。</w:t>
      </w:r>
    </w:p>
    <w:p w14:paraId="428DED23">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1、开标时投标文件未解密的，将另行确定时间继续完成开标程序；</w:t>
      </w:r>
    </w:p>
    <w:p w14:paraId="469F85D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2、开标后投标文件已解密但评审结论未形成的，将发布废标公告，重新组织采购活动；</w:t>
      </w:r>
    </w:p>
    <w:p w14:paraId="4B34F803">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3、开标后投标文件已解密且评审结论已形成的，待特殊情况排除后，继续完成评审活动。</w:t>
      </w:r>
    </w:p>
    <w:p w14:paraId="2058FE8A">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82" w:name="_Toc6763"/>
      <w:r>
        <w:rPr>
          <w:rFonts w:hint="eastAsia" w:ascii="仿宋" w:hAnsi="仿宋" w:eastAsia="仿宋" w:cs="仿宋"/>
          <w:color w:val="000000" w:themeColor="text1"/>
          <w:sz w:val="28"/>
          <w:szCs w:val="28"/>
          <w:highlight w:val="none"/>
          <w14:textFill>
            <w14:solidFill>
              <w14:schemeClr w14:val="tx1"/>
            </w14:solidFill>
          </w14:textFill>
        </w:rPr>
        <w:t>七、资格审查</w:t>
      </w:r>
      <w:bookmarkEnd w:id="182"/>
    </w:p>
    <w:p w14:paraId="6900265E">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（一）开标结束后，由采购人委派的资格审查小组按照《政府采购货物和服务招标投标管理办法》（财政部第87号令）有关规定，对电子投标文件中的投标人资格证明文件进行审查。</w:t>
      </w:r>
    </w:p>
    <w:p w14:paraId="3CE31497">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（二）出现下列情形的，投标文件将被视为无效：</w:t>
      </w:r>
    </w:p>
    <w:p w14:paraId="14D4B85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（1）不具备招标文件中规定的资格要求的；</w:t>
      </w:r>
    </w:p>
    <w:p w14:paraId="63679B1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（2）未按招标文件要求提供资格证明文件，或未按招标文件要求加盖公章的；</w:t>
      </w:r>
    </w:p>
    <w:p w14:paraId="4CE70FFB">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资格审查小组认为投标人的资格证明文件存在疑点，要求投标人通过公共资源电子交易平台（以下简称“平台”）或电子邮件（在平台无法支持的情况下）等形式提供更清晰有效的证明文件，投标人不能在规定时限内提供符合招标文件要求的证明文件的。</w:t>
      </w:r>
    </w:p>
    <w:p w14:paraId="434294C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（三）资格审查结束后，资格审查小组成员应当对审查结果进行签字确认，并告知无效投标人资格审查未通过的原因。</w:t>
      </w:r>
    </w:p>
    <w:p w14:paraId="36BEE7BE">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（四）合格投标人不足3家的，不得评标，应予以废标。</w:t>
      </w:r>
    </w:p>
    <w:p w14:paraId="1431301C">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83" w:name="_Toc1863"/>
      <w:r>
        <w:rPr>
          <w:rFonts w:hint="eastAsia" w:ascii="仿宋" w:hAnsi="仿宋" w:eastAsia="仿宋" w:cs="仿宋"/>
          <w:color w:val="000000" w:themeColor="text1"/>
          <w:sz w:val="28"/>
          <w:szCs w:val="28"/>
          <w:highlight w:val="none"/>
          <w14:textFill>
            <w14:solidFill>
              <w14:schemeClr w14:val="tx1"/>
            </w14:solidFill>
          </w14:textFill>
        </w:rPr>
        <w:t>八、组织评标</w:t>
      </w:r>
      <w:bookmarkEnd w:id="183"/>
    </w:p>
    <w:p w14:paraId="7B4F7976">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84" w:name="_Toc22084"/>
      <w:bookmarkStart w:id="185" w:name="_Toc25926"/>
      <w:bookmarkStart w:id="186" w:name="_Toc1943"/>
      <w:bookmarkStart w:id="187" w:name="_Toc13209"/>
      <w:bookmarkStart w:id="188" w:name="_Toc32509"/>
      <w:bookmarkStart w:id="189" w:name="_Toc7530"/>
      <w:r>
        <w:rPr>
          <w:rFonts w:hint="eastAsia" w:ascii="仿宋" w:hAnsi="仿宋" w:eastAsia="仿宋" w:cs="仿宋"/>
          <w:color w:val="000000" w:themeColor="text1"/>
          <w:sz w:val="28"/>
          <w:szCs w:val="28"/>
          <w:highlight w:val="none"/>
          <w14:textFill>
            <w14:solidFill>
              <w14:schemeClr w14:val="tx1"/>
            </w14:solidFill>
          </w14:textFill>
        </w:rPr>
        <w:t>（一）采购代理机构负责组织评标工作，并履行下列职责：</w:t>
      </w:r>
      <w:bookmarkEnd w:id="184"/>
      <w:bookmarkEnd w:id="185"/>
      <w:bookmarkEnd w:id="186"/>
      <w:bookmarkEnd w:id="187"/>
      <w:bookmarkEnd w:id="188"/>
      <w:bookmarkEnd w:id="189"/>
    </w:p>
    <w:p w14:paraId="5CCC49A4">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1、核对评审专家身份和采购人代表授权函，对评审专家在政府采购活动中的职责履行情况予以记录，并及时将有关违法违规行为向财政部门报告;</w:t>
      </w:r>
    </w:p>
    <w:p w14:paraId="1719BE95">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2、宣布评标纪律;</w:t>
      </w:r>
    </w:p>
    <w:p w14:paraId="1B5D0D44">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3、公布投标人名单，告知评审专家应当回避的情形;</w:t>
      </w:r>
    </w:p>
    <w:p w14:paraId="0FDDF883">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4、组织评标委员会推选评标组长，采购人代表不得担任组长;</w:t>
      </w:r>
    </w:p>
    <w:p w14:paraId="2ED1A734">
      <w:pPr>
        <w:spacing w:line="500" w:lineRule="exact"/>
        <w:ind w:firstLine="566"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5、在评审期间采取必要的通讯管理措施，保证评审活动不受外界干扰;</w:t>
      </w:r>
    </w:p>
    <w:p w14:paraId="65BDDD43">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6、根据评标委员会的要求介绍政府采购相关政策法规、招标文件;</w:t>
      </w:r>
    </w:p>
    <w:p w14:paraId="3CA77CD5">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7、维护评标秩序，监督评标委员会依照招标文件规定的评标程序、方法和标准进行独立评审，及时制止和纠正采购人代表、评审专家的倾向性言论或者违法违规行为;</w:t>
      </w:r>
    </w:p>
    <w:p w14:paraId="746DEE87">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8、核对评标结果;</w:t>
      </w:r>
    </w:p>
    <w:p w14:paraId="5D91CCCF">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9、评审工作完成后，按照规定向评审专家支付劳务报酬和异地评审差旅费，不得向评审专家以外的其他人员支付评审劳务报酬;</w:t>
      </w:r>
    </w:p>
    <w:p w14:paraId="1D607715">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10、处理与评标有关的其他事项。</w:t>
      </w:r>
    </w:p>
    <w:p w14:paraId="6B6AFDB2">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采购人可以在评标前说明项目背景和采购需求，说明内容不得含有歧视性、倾向性意见，不得超出招标文件所述范围。说明应当提交书面材料，并随招标文件一并存档。</w:t>
      </w:r>
    </w:p>
    <w:p w14:paraId="65BE1637">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90" w:name="_Toc12271"/>
      <w:bookmarkStart w:id="191" w:name="_Toc4045"/>
      <w:bookmarkStart w:id="192" w:name="_Toc1094"/>
      <w:bookmarkStart w:id="193" w:name="_Toc23175"/>
      <w:bookmarkStart w:id="194" w:name="_Toc10870"/>
      <w:bookmarkStart w:id="195" w:name="_Toc11858"/>
      <w:r>
        <w:rPr>
          <w:rFonts w:hint="eastAsia" w:ascii="仿宋" w:hAnsi="仿宋" w:eastAsia="仿宋" w:cs="仿宋"/>
          <w:color w:val="000000" w:themeColor="text1"/>
          <w:sz w:val="28"/>
          <w:szCs w:val="28"/>
          <w:highlight w:val="none"/>
          <w14:textFill>
            <w14:solidFill>
              <w14:schemeClr w14:val="tx1"/>
            </w14:solidFill>
          </w14:textFill>
        </w:rPr>
        <w:t>（二）评标委员会负责具体评标事务，并独立履行下列职责：</w:t>
      </w:r>
      <w:bookmarkEnd w:id="190"/>
      <w:bookmarkEnd w:id="191"/>
      <w:bookmarkEnd w:id="192"/>
      <w:bookmarkEnd w:id="193"/>
      <w:bookmarkEnd w:id="194"/>
      <w:bookmarkEnd w:id="195"/>
    </w:p>
    <w:p w14:paraId="473EC1B4">
      <w:pPr>
        <w:pStyle w:val="14"/>
        <w:spacing w:beforeAutospacing="0" w:afterAutospacing="0" w:line="500" w:lineRule="exact"/>
        <w:ind w:firstLine="566" w:firstLineChars="200"/>
        <w:rPr>
          <w:rFonts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1、严格遵守评审工作纪律，按照客观、公正、审慎的原则，根据招标文件规定的评审程序、评审方法和评审标准进行独立评审；</w:t>
      </w:r>
    </w:p>
    <w:p w14:paraId="6CCE5CA8">
      <w:pPr>
        <w:pStyle w:val="14"/>
        <w:spacing w:beforeAutospacing="0" w:afterAutospacing="0" w:line="500" w:lineRule="exact"/>
        <w:ind w:firstLine="566" w:firstLineChars="200"/>
        <w:rPr>
          <w:rFonts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2、招标文件内容违反国家有关强制性规定或者招标文件存在歧义、重大缺陷导致评审工作无法进行时，应当停止评审并向采购人或者采购代理机构书面说明情况；</w:t>
      </w:r>
    </w:p>
    <w:p w14:paraId="2F29226B">
      <w:pPr>
        <w:pStyle w:val="14"/>
        <w:spacing w:beforeAutospacing="0" w:afterAutospacing="0" w:line="500" w:lineRule="exact"/>
        <w:ind w:firstLine="566" w:firstLineChars="200"/>
        <w:rPr>
          <w:rFonts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3、审查、评价投标文件是否符合招标文件的商务、技术等实质性要求；</w:t>
      </w:r>
    </w:p>
    <w:p w14:paraId="2388582D">
      <w:pPr>
        <w:pStyle w:val="14"/>
        <w:spacing w:beforeAutospacing="0" w:afterAutospacing="0" w:line="500" w:lineRule="exact"/>
        <w:ind w:firstLine="566" w:firstLineChars="200"/>
        <w:rPr>
          <w:rFonts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4、要求投标人对投标文件有关事项作出澄清或者说明；</w:t>
      </w:r>
    </w:p>
    <w:p w14:paraId="24B843AD">
      <w:pPr>
        <w:pStyle w:val="14"/>
        <w:spacing w:beforeAutospacing="0" w:afterAutospacing="0" w:line="500" w:lineRule="exact"/>
        <w:ind w:firstLine="566" w:firstLineChars="200"/>
        <w:rPr>
          <w:rFonts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5、对投标文件进行比较和评价；</w:t>
      </w:r>
    </w:p>
    <w:p w14:paraId="4A1DC255">
      <w:pPr>
        <w:pStyle w:val="14"/>
        <w:spacing w:beforeAutospacing="0" w:afterAutospacing="0" w:line="500" w:lineRule="exact"/>
        <w:ind w:firstLine="566" w:firstLineChars="200"/>
        <w:rPr>
          <w:rFonts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6、确定中标候选人名单，以及根据采购人委托直接确定中标人；</w:t>
      </w:r>
    </w:p>
    <w:p w14:paraId="18CA25B2">
      <w:pPr>
        <w:pStyle w:val="14"/>
        <w:spacing w:beforeAutospacing="0" w:afterAutospacing="0" w:line="500" w:lineRule="exact"/>
        <w:ind w:firstLine="566" w:firstLineChars="200"/>
        <w:rPr>
          <w:rFonts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7、配合答复投标人的询问、质疑和投诉等事项,不得泄露评审文件、评审情况和在评审过程中获悉的商业秘密；</w:t>
      </w:r>
    </w:p>
    <w:p w14:paraId="28E6A3C8">
      <w:pPr>
        <w:pStyle w:val="14"/>
        <w:spacing w:beforeAutospacing="0" w:afterAutospacing="0"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8、向采购人、</w:t>
      </w:r>
      <w:r>
        <w:rPr>
          <w:rFonts w:hint="eastAsia" w:ascii="仿宋" w:hAnsi="仿宋" w:eastAsia="仿宋" w:cs="仿宋"/>
          <w:color w:val="000000" w:themeColor="text1"/>
          <w:sz w:val="28"/>
          <w:szCs w:val="28"/>
          <w:highlight w:val="none"/>
          <w:shd w:val="clear" w:color="auto" w:fill="FFFFFF"/>
          <w:lang w:val="zh-CN"/>
          <w14:textFill>
            <w14:solidFill>
              <w14:schemeClr w14:val="tx1"/>
            </w14:solidFill>
          </w14:textFill>
        </w:rPr>
        <w:t>陕西省省级单位政府采购中心</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或者有关部门报告评标中发现的违法行为。</w:t>
      </w:r>
    </w:p>
    <w:p w14:paraId="356313E6">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196" w:name="_Toc19744"/>
      <w:bookmarkStart w:id="197" w:name="_Toc31640"/>
      <w:bookmarkStart w:id="198" w:name="_Toc5809"/>
      <w:bookmarkStart w:id="199" w:name="_Toc25447"/>
      <w:bookmarkStart w:id="200" w:name="_Toc31084"/>
      <w:bookmarkStart w:id="201" w:name="_Toc6704"/>
      <w:r>
        <w:rPr>
          <w:rFonts w:hint="eastAsia" w:ascii="仿宋" w:hAnsi="仿宋" w:eastAsia="仿宋" w:cs="仿宋"/>
          <w:color w:val="000000" w:themeColor="text1"/>
          <w:sz w:val="28"/>
          <w:szCs w:val="28"/>
          <w:highlight w:val="none"/>
          <w14:textFill>
            <w14:solidFill>
              <w14:schemeClr w14:val="tx1"/>
            </w14:solidFill>
          </w14:textFill>
        </w:rPr>
        <w:t>（三）组建评标委员会</w:t>
      </w:r>
      <w:bookmarkEnd w:id="196"/>
      <w:bookmarkEnd w:id="197"/>
      <w:bookmarkEnd w:id="198"/>
      <w:bookmarkEnd w:id="199"/>
      <w:bookmarkEnd w:id="200"/>
      <w:bookmarkEnd w:id="201"/>
    </w:p>
    <w:p w14:paraId="052EDE8E">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为了确保评标工作的公平、公正，依据政府采购法和政府采购相关法规、规章，成立评标委员会。评标委员会由采购人代表和有关技术、经济等方面的专家组成，成员人数为5人以上单数。其中，评审专家不少于成员总数的三分之二。</w:t>
      </w:r>
    </w:p>
    <w:p w14:paraId="2867B32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采购项目符合下列情形之一的，评标委员会成员人数应当为7人以上单数：</w:t>
      </w:r>
    </w:p>
    <w:p w14:paraId="30DC5DC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（1）采购预算金额在1000万元以上；</w:t>
      </w:r>
    </w:p>
    <w:p w14:paraId="6596096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（2）技术复杂；</w:t>
      </w:r>
    </w:p>
    <w:p w14:paraId="35F978B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（3）社会影响较大。</w:t>
      </w:r>
    </w:p>
    <w:p w14:paraId="0786792E">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评审专家对本单位的采购项目只能作为采购人代表参与评标。</w:t>
      </w:r>
      <w:r>
        <w:rPr>
          <w:rFonts w:hint="eastAsia" w:ascii="仿宋" w:hAnsi="仿宋" w:eastAsia="仿宋" w:cs="仿宋"/>
          <w:color w:val="000000" w:themeColor="text1"/>
          <w:highlight w:val="none"/>
          <w:lang w:val="zh-CN"/>
          <w14:textFill>
            <w14:solidFill>
              <w14:schemeClr w14:val="tx1"/>
            </w14:solidFill>
          </w14:textFill>
        </w:rPr>
        <w:t>陕西省省级单位政府采购中心</w:t>
      </w:r>
      <w:r>
        <w:rPr>
          <w:rFonts w:hint="eastAsia" w:ascii="仿宋" w:hAnsi="仿宋" w:eastAsia="仿宋" w:cs="仿宋"/>
          <w:color w:val="000000" w:themeColor="text1"/>
          <w:highlight w:val="none"/>
          <w14:textFill>
            <w14:solidFill>
              <w14:schemeClr w14:val="tx1"/>
            </w14:solidFill>
          </w14:textFill>
        </w:rPr>
        <w:t>工作人员不得参加由本机构代理的政府采购项目的评标。</w:t>
      </w:r>
    </w:p>
    <w:p w14:paraId="0FB6114C">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评标委员会成员名单在评标结果公告前应当保密。</w:t>
      </w:r>
    </w:p>
    <w:p w14:paraId="5631522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2F7264BC">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评标中因评标委员会成员缺席、回避或者健康等特殊原因导致评标委员会组成不符合规定的，陕西省省级单位政府采购中心应当依法补足后继续评标。被更换的评标委员会成员所作出的评标意见无效。无法及时补足评标委员会成员的，陕西省省级单位政府采购中心应当停止评标活动，封存所有投标文件和开标、评标资料，依法重新组建评标委员会进行评标。原评标委员会所作出的评标意见无效。</w:t>
      </w:r>
    </w:p>
    <w:p w14:paraId="7B71CC7F">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陕西省省级单位政府采购中心应当将变更、重新组建评标委员会的情况予以记录，并随招标文件一并存档。</w:t>
      </w:r>
    </w:p>
    <w:p w14:paraId="0EDE36C6">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202" w:name="_Toc30089"/>
      <w:bookmarkStart w:id="203" w:name="_Toc23311"/>
      <w:bookmarkStart w:id="204" w:name="_Toc8571"/>
      <w:bookmarkStart w:id="205" w:name="_Toc7342"/>
      <w:bookmarkStart w:id="206" w:name="_Toc18278"/>
      <w:bookmarkStart w:id="207" w:name="_Toc11222"/>
      <w:r>
        <w:rPr>
          <w:rFonts w:hint="eastAsia" w:ascii="仿宋" w:hAnsi="仿宋" w:eastAsia="仿宋" w:cs="仿宋"/>
          <w:color w:val="000000" w:themeColor="text1"/>
          <w:sz w:val="28"/>
          <w:szCs w:val="28"/>
          <w:highlight w:val="none"/>
          <w14:textFill>
            <w14:solidFill>
              <w14:schemeClr w14:val="tx1"/>
            </w14:solidFill>
          </w14:textFill>
        </w:rPr>
        <w:t>（四）评标方法：本次评审采用综合评分法</w:t>
      </w:r>
      <w:bookmarkEnd w:id="202"/>
      <w:bookmarkEnd w:id="203"/>
      <w:bookmarkEnd w:id="204"/>
      <w:bookmarkEnd w:id="205"/>
      <w:bookmarkEnd w:id="206"/>
      <w:bookmarkEnd w:id="207"/>
    </w:p>
    <w:p w14:paraId="0DF9A23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评标方法分为最低评标价法和综合评分法。</w:t>
      </w:r>
    </w:p>
    <w:p w14:paraId="41AB3D3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1、最低评标价法，是指投标文件满足招标文件全部实质性要求，且投标报价最低的投标人为中标候选人的评标方法。</w:t>
      </w:r>
    </w:p>
    <w:p w14:paraId="72C24DA4">
      <w:pPr>
        <w:spacing w:line="500" w:lineRule="exact"/>
        <w:ind w:firstLine="566"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技术、服务等标准统一的货物服务项目，应当采用最低评标价法。</w:t>
      </w:r>
    </w:p>
    <w:p w14:paraId="68672378">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采用最低评标价法评标时，除了算术修正和落实政府采购政策需进行的价格扣除外，不能对投标人的投标价格进行任何调整。</w:t>
      </w:r>
    </w:p>
    <w:p w14:paraId="453CD8C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2、综合评分法，是指投标文件满足招标文件全部实质性要求，且按照评审因素的量化指标评审得分最高的投标人为中标候选人的评标方法。</w:t>
      </w:r>
    </w:p>
    <w:p w14:paraId="5CB0F968">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208" w:name="_Toc7039"/>
      <w:bookmarkStart w:id="209" w:name="_Toc10676"/>
      <w:bookmarkStart w:id="210" w:name="_Toc27750"/>
      <w:bookmarkStart w:id="211" w:name="_Toc27452"/>
      <w:bookmarkStart w:id="212" w:name="_Toc32053"/>
      <w:bookmarkStart w:id="213" w:name="_Toc18168"/>
      <w:r>
        <w:rPr>
          <w:rFonts w:hint="eastAsia" w:ascii="仿宋" w:hAnsi="仿宋" w:eastAsia="仿宋" w:cs="仿宋"/>
          <w:color w:val="000000" w:themeColor="text1"/>
          <w:sz w:val="28"/>
          <w:szCs w:val="28"/>
          <w:highlight w:val="none"/>
          <w14:textFill>
            <w14:solidFill>
              <w14:schemeClr w14:val="tx1"/>
            </w14:solidFill>
          </w14:textFill>
        </w:rPr>
        <w:t>（五）评标程序</w:t>
      </w:r>
      <w:bookmarkEnd w:id="208"/>
      <w:bookmarkEnd w:id="209"/>
      <w:bookmarkEnd w:id="210"/>
      <w:bookmarkEnd w:id="211"/>
      <w:bookmarkEnd w:id="212"/>
      <w:bookmarkEnd w:id="213"/>
    </w:p>
    <w:p w14:paraId="190AF5D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分步评审，每一步评审不符合招标文件要求者，不得进入下一步评审，全部评审合格的投标人，进入最后的打分，最后按得分由高到低排序，推荐中标候选人。</w:t>
      </w:r>
    </w:p>
    <w:p w14:paraId="0341AB51">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1、投标文件的符合性审查</w:t>
      </w:r>
    </w:p>
    <w:p w14:paraId="670CA619">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评标委员会依据招标文件的规定，对投标文件的有效性、完整性和对招标文件的响应程度进行审查，以确定是否对招标文件的全部实质性要求作出响应。</w:t>
      </w:r>
    </w:p>
    <w:p w14:paraId="6CA35B4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标委员会要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57F30FFC">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2、投标文件的澄清</w:t>
      </w:r>
    </w:p>
    <w:p w14:paraId="1657015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（1）评标委员会在对投标文件的有效性、完整性和响应程度进行审查时，可以要求投标人对投标文件中含义不明确、同类问题表述不一致或者有明显文字和计算错误的内容等做出必要的澄清、说明或者补正。</w:t>
      </w:r>
    </w:p>
    <w:p w14:paraId="20B2542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（2）依照《中华人民共和国民法典》的过失责任原则，澄清、说明或补正前评标委员会将按最不利于投标人的原则对投标文件做出评判。</w:t>
      </w:r>
    </w:p>
    <w:p w14:paraId="7E482A1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评标委员会要求投标人澄清、说明或者补正投标文件应通过书面形式做出。投标人应当在规定的澄清时限内按评标委员会要求的方式，通过书面形式提交，投标人的澄清、说明或者补正应当由法定代表人或其授权代表签字或者加盖公章。</w:t>
      </w:r>
    </w:p>
    <w:p w14:paraId="07BFD075">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（4）投标人的澄清、说明或者补正不得超出投标文件的范围或者改变投标文件的实质性内容。澄清、说明或者补正的内容将作为</w:t>
      </w:r>
      <w:r>
        <w:rPr>
          <w:rFonts w:hint="eastAsia" w:ascii="仿宋" w:hAnsi="仿宋" w:eastAsia="仿宋" w:cs="仿宋"/>
          <w:color w:val="000000" w:themeColor="text1"/>
          <w:kern w:val="0"/>
          <w:highlight w:val="none"/>
          <w14:textFill>
            <w14:solidFill>
              <w14:schemeClr w14:val="tx1"/>
            </w14:solidFill>
          </w14:textFill>
        </w:rPr>
        <w:t>合同</w:t>
      </w:r>
      <w:r>
        <w:rPr>
          <w:rFonts w:hint="eastAsia" w:ascii="仿宋" w:hAnsi="仿宋" w:eastAsia="仿宋" w:cs="仿宋"/>
          <w:color w:val="000000" w:themeColor="text1"/>
          <w:highlight w:val="none"/>
          <w14:textFill>
            <w14:solidFill>
              <w14:schemeClr w14:val="tx1"/>
            </w14:solidFill>
          </w14:textFill>
        </w:rPr>
        <w:t>履行的重要依据。</w:t>
      </w:r>
    </w:p>
    <w:p w14:paraId="7B6A4ED3">
      <w:pPr>
        <w:spacing w:line="500" w:lineRule="exact"/>
        <w:ind w:firstLine="566" w:firstLineChars="200"/>
        <w:rPr>
          <w:rFonts w:hint="eastAsia" w:ascii="仿宋" w:hAnsi="仿宋" w:eastAsia="仿宋" w:cs="仿宋"/>
          <w:b/>
          <w:bCs/>
          <w:highlight w:val="none"/>
          <w:lang w:eastAsia="zh-CN"/>
        </w:rPr>
      </w:pPr>
      <w:r>
        <w:rPr>
          <w:rFonts w:hint="eastAsia" w:ascii="仿宋" w:hAnsi="仿宋" w:eastAsia="仿宋" w:cs="仿宋"/>
          <w:b/>
          <w:bCs/>
          <w:highlight w:val="none"/>
          <w:lang w:val="en-US" w:eastAsia="zh-CN"/>
        </w:rPr>
        <w:t>3</w:t>
      </w:r>
      <w:r>
        <w:rPr>
          <w:rFonts w:hint="eastAsia" w:ascii="仿宋" w:hAnsi="仿宋" w:eastAsia="仿宋" w:cs="仿宋"/>
          <w:b/>
          <w:bCs/>
          <w:highlight w:val="none"/>
        </w:rPr>
        <w:t>、</w:t>
      </w:r>
      <w:r>
        <w:rPr>
          <w:rFonts w:hint="eastAsia" w:ascii="仿宋" w:hAnsi="仿宋" w:eastAsia="仿宋" w:cs="仿宋"/>
          <w:b/>
          <w:bCs/>
          <w:highlight w:val="none"/>
          <w:lang w:eastAsia="zh-CN"/>
        </w:rPr>
        <w:t>异常低价审查</w:t>
      </w:r>
    </w:p>
    <w:p w14:paraId="6ECD3D06">
      <w:pPr>
        <w:spacing w:line="500" w:lineRule="exact"/>
        <w:ind w:firstLine="566" w:firstLineChars="200"/>
        <w:rPr>
          <w:rFonts w:hint="eastAsia" w:ascii="仿宋" w:hAnsi="仿宋" w:eastAsia="仿宋" w:cs="仿宋"/>
          <w:b w:val="0"/>
          <w:bCs w:val="0"/>
          <w:highlight w:val="none"/>
        </w:rPr>
      </w:pPr>
      <w:r>
        <w:rPr>
          <w:rFonts w:hint="eastAsia" w:ascii="仿宋" w:hAnsi="仿宋" w:eastAsia="仿宋" w:cs="仿宋"/>
          <w:b w:val="0"/>
          <w:bCs w:val="0"/>
          <w:highlight w:val="none"/>
          <w:lang w:val="en-US" w:eastAsia="zh-CN"/>
        </w:rPr>
        <w:t>政府采购评标中出现下列情形之一的，评标委员会应当启动异常低价投标审查程序：</w:t>
      </w:r>
    </w:p>
    <w:p w14:paraId="58843D4A">
      <w:pPr>
        <w:spacing w:line="500" w:lineRule="exact"/>
        <w:ind w:firstLine="566" w:firstLineChars="200"/>
        <w:rPr>
          <w:rFonts w:hint="eastAsia" w:ascii="仿宋" w:hAnsi="仿宋" w:eastAsia="仿宋" w:cs="仿宋"/>
          <w:b w:val="0"/>
          <w:bCs w:val="0"/>
          <w:highlight w:val="none"/>
        </w:rPr>
      </w:pPr>
      <w:r>
        <w:rPr>
          <w:rFonts w:hint="eastAsia" w:ascii="仿宋" w:hAnsi="仿宋" w:eastAsia="仿宋" w:cs="仿宋"/>
          <w:b w:val="0"/>
          <w:bCs w:val="0"/>
          <w:highlight w:val="none"/>
          <w:lang w:val="en-US" w:eastAsia="zh-CN"/>
        </w:rPr>
        <w:t>（1）投标报价低于全部通过符合性审查投标人投标报价平均值50%的，即投标报价&lt;全部通过符合性审查投标人投标报价平均值×50%；</w:t>
      </w:r>
    </w:p>
    <w:p w14:paraId="0E53D496">
      <w:pPr>
        <w:spacing w:line="500" w:lineRule="exact"/>
        <w:ind w:firstLine="566" w:firstLineChars="200"/>
        <w:rPr>
          <w:rFonts w:hint="eastAsia" w:ascii="仿宋" w:hAnsi="仿宋" w:eastAsia="仿宋" w:cs="仿宋"/>
          <w:b w:val="0"/>
          <w:bCs w:val="0"/>
          <w:highlight w:val="none"/>
        </w:rPr>
      </w:pPr>
      <w:r>
        <w:rPr>
          <w:rFonts w:hint="eastAsia" w:ascii="仿宋" w:hAnsi="仿宋" w:eastAsia="仿宋" w:cs="仿宋"/>
          <w:b w:val="0"/>
          <w:bCs w:val="0"/>
          <w:highlight w:val="none"/>
          <w:lang w:val="en-US" w:eastAsia="zh-CN"/>
        </w:rPr>
        <w:t>（2）投标报价低于通过符合性审查的次低报价投标人投标报价50%的，即投标报价&lt;通过符合性审查的次低报价投标人投标报价×50%；</w:t>
      </w:r>
    </w:p>
    <w:p w14:paraId="2CE488E1">
      <w:pPr>
        <w:spacing w:line="500" w:lineRule="exact"/>
        <w:ind w:firstLine="566" w:firstLineChars="200"/>
        <w:rPr>
          <w:rFonts w:hint="eastAsia" w:ascii="仿宋" w:hAnsi="仿宋" w:eastAsia="仿宋" w:cs="仿宋"/>
          <w:b w:val="0"/>
          <w:bCs w:val="0"/>
          <w:highlight w:val="none"/>
        </w:rPr>
      </w:pPr>
      <w:r>
        <w:rPr>
          <w:rFonts w:hint="eastAsia" w:ascii="仿宋" w:hAnsi="仿宋" w:eastAsia="仿宋" w:cs="仿宋"/>
          <w:b w:val="0"/>
          <w:bCs w:val="0"/>
          <w:highlight w:val="none"/>
          <w:lang w:val="en-US" w:eastAsia="zh-CN"/>
        </w:rPr>
        <w:t>（3）投标报价低于采购项目最高限价45%的，即投标报价&lt;采购项目最高限价×45%（未设定最高限价的采购项目，以采购项目预算金额作为最高限价）；</w:t>
      </w:r>
    </w:p>
    <w:p w14:paraId="455B5BEF">
      <w:pPr>
        <w:spacing w:line="500" w:lineRule="exact"/>
        <w:ind w:firstLine="566" w:firstLineChars="200"/>
        <w:rPr>
          <w:rFonts w:hint="eastAsia" w:ascii="仿宋" w:hAnsi="仿宋" w:eastAsia="仿宋" w:cs="仿宋"/>
          <w:b w:val="0"/>
          <w:bCs w:val="0"/>
          <w:highlight w:val="none"/>
        </w:rPr>
      </w:pPr>
      <w:r>
        <w:rPr>
          <w:rFonts w:hint="eastAsia" w:ascii="仿宋" w:hAnsi="仿宋" w:eastAsia="仿宋" w:cs="仿宋"/>
          <w:b w:val="0"/>
          <w:bCs w:val="0"/>
          <w:highlight w:val="none"/>
          <w:lang w:val="en-US" w:eastAsia="zh-CN"/>
        </w:rPr>
        <w:t>（4）评标委员会基于专业判断，认为投标人报价过低，有可能影响产品质量或者不能诚信履约的其他情形。</w:t>
      </w:r>
    </w:p>
    <w:p w14:paraId="2BA34036">
      <w:pPr>
        <w:spacing w:line="500" w:lineRule="exact"/>
        <w:ind w:firstLine="566" w:firstLineChars="200"/>
        <w:rPr>
          <w:rFonts w:hint="eastAsia" w:ascii="仿宋" w:hAnsi="仿宋" w:eastAsia="仿宋" w:cs="仿宋"/>
          <w:b w:val="0"/>
          <w:bCs w:val="0"/>
          <w:highlight w:val="none"/>
        </w:rPr>
      </w:pPr>
      <w:r>
        <w:rPr>
          <w:rFonts w:hint="eastAsia" w:ascii="仿宋" w:hAnsi="仿宋" w:eastAsia="仿宋" w:cs="仿宋"/>
          <w:b w:val="0"/>
          <w:bCs w:val="0"/>
          <w:highlight w:val="none"/>
        </w:rPr>
        <w:t>评</w:t>
      </w:r>
      <w:r>
        <w:rPr>
          <w:rFonts w:hint="eastAsia" w:ascii="仿宋" w:hAnsi="仿宋" w:eastAsia="仿宋" w:cs="仿宋"/>
          <w:b w:val="0"/>
          <w:bCs w:val="0"/>
          <w:highlight w:val="none"/>
          <w:lang w:eastAsia="zh-CN"/>
        </w:rPr>
        <w:t>标</w:t>
      </w:r>
      <w:r>
        <w:rPr>
          <w:rFonts w:hint="eastAsia" w:ascii="仿宋" w:hAnsi="仿宋" w:eastAsia="仿宋" w:cs="仿宋"/>
          <w:b w:val="0"/>
          <w:bCs w:val="0"/>
          <w:highlight w:val="none"/>
        </w:rPr>
        <w:t>委员会依据专业经验，参考同类项目中标价格、类似产品市场价格水平、行业人工费用标准、国家有关部门指导行业协会发布的行业平均成本等情况，对报价合理性进行判断。</w:t>
      </w:r>
    </w:p>
    <w:p w14:paraId="53E74394">
      <w:pPr>
        <w:spacing w:line="500" w:lineRule="exact"/>
        <w:ind w:firstLine="566" w:firstLineChars="200"/>
        <w:rPr>
          <w:rFonts w:ascii="仿宋" w:hAnsi="仿宋" w:eastAsia="仿宋" w:cs="仿宋"/>
          <w:b/>
          <w:bCs/>
          <w:highlight w:val="none"/>
        </w:rPr>
      </w:pPr>
      <w:r>
        <w:rPr>
          <w:rFonts w:hint="eastAsia" w:ascii="仿宋" w:hAnsi="仿宋" w:eastAsia="仿宋" w:cs="仿宋"/>
          <w:b/>
          <w:bCs/>
          <w:highlight w:val="none"/>
          <w:lang w:val="en-US" w:eastAsia="zh-CN"/>
        </w:rPr>
        <w:t>4</w:t>
      </w:r>
      <w:r>
        <w:rPr>
          <w:rFonts w:hint="eastAsia" w:ascii="仿宋" w:hAnsi="仿宋" w:eastAsia="仿宋" w:cs="仿宋"/>
          <w:b/>
          <w:bCs/>
          <w:highlight w:val="none"/>
        </w:rPr>
        <w:t>、综合比较与评价</w:t>
      </w:r>
    </w:p>
    <w:p w14:paraId="07F34482">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采用最低评标价法的，评标委员会对通过符合性审查的投标文件的投标报价由低到高顺序排列。</w:t>
      </w:r>
    </w:p>
    <w:p w14:paraId="34C614A1">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采用综合评分法的，评标委员会按“评审要素及分值一览表”中规定的评标标准，对通过符合性审查的投标文件进行商务和技术评估，综合比较与评价。</w:t>
      </w:r>
    </w:p>
    <w:p w14:paraId="1715968F">
      <w:pPr>
        <w:spacing w:line="500" w:lineRule="exact"/>
        <w:ind w:firstLine="566" w:firstLineChars="200"/>
        <w:rPr>
          <w:rFonts w:ascii="仿宋" w:hAnsi="仿宋" w:eastAsia="仿宋" w:cs="仿宋"/>
          <w:b/>
          <w:bCs/>
          <w:highlight w:val="none"/>
        </w:rPr>
      </w:pPr>
      <w:r>
        <w:rPr>
          <w:rFonts w:hint="eastAsia" w:ascii="仿宋" w:hAnsi="仿宋" w:eastAsia="仿宋" w:cs="仿宋"/>
          <w:b/>
          <w:bCs/>
          <w:highlight w:val="none"/>
        </w:rPr>
        <w:t>出现下列情形的，投标人投标无效：</w:t>
      </w:r>
    </w:p>
    <w:p w14:paraId="5E707CD1">
      <w:pPr>
        <w:spacing w:line="500" w:lineRule="exact"/>
        <w:ind w:left="200" w:leftChars="71" w:firstLine="283" w:firstLineChars="100"/>
        <w:rPr>
          <w:rFonts w:ascii="仿宋" w:hAnsi="仿宋" w:eastAsia="仿宋" w:cs="仿宋"/>
          <w:highlight w:val="none"/>
        </w:rPr>
      </w:pPr>
      <w:r>
        <w:rPr>
          <w:rFonts w:hint="eastAsia" w:ascii="仿宋" w:hAnsi="仿宋" w:eastAsia="仿宋" w:cs="仿宋"/>
          <w:highlight w:val="none"/>
        </w:rPr>
        <w:t>（1）投标文件报价出现本章“五、投标报价”所列需要修正情形，但投标人对修正后的报价不予确认的；</w:t>
      </w:r>
    </w:p>
    <w:p w14:paraId="38298934">
      <w:pPr>
        <w:spacing w:line="500" w:lineRule="exact"/>
        <w:ind w:left="0" w:leftChars="0" w:firstLine="566" w:firstLineChars="200"/>
        <w:rPr>
          <w:rFonts w:hint="eastAsia" w:ascii="仿宋" w:hAnsi="仿宋" w:eastAsia="仿宋" w:cs="仿宋"/>
          <w:highlight w:val="none"/>
          <w:lang w:eastAsia="zh-CN"/>
        </w:rPr>
      </w:pPr>
      <w:r>
        <w:rPr>
          <w:rFonts w:hint="eastAsia" w:ascii="仿宋" w:hAnsi="仿宋" w:eastAsia="仿宋" w:cs="仿宋"/>
          <w:highlight w:val="none"/>
        </w:rPr>
        <w:t>（2）评</w:t>
      </w:r>
      <w:r>
        <w:rPr>
          <w:rFonts w:hint="eastAsia" w:ascii="仿宋" w:hAnsi="仿宋" w:eastAsia="仿宋" w:cs="仿宋"/>
          <w:highlight w:val="none"/>
          <w:lang w:eastAsia="zh-CN"/>
        </w:rPr>
        <w:t>标</w:t>
      </w:r>
      <w:r>
        <w:rPr>
          <w:rFonts w:hint="eastAsia" w:ascii="仿宋" w:hAnsi="仿宋" w:eastAsia="仿宋" w:cs="仿宋"/>
          <w:highlight w:val="none"/>
        </w:rPr>
        <w:t>委员会启动异常低价投标审查后，要求相关</w:t>
      </w:r>
      <w:r>
        <w:rPr>
          <w:rFonts w:hint="eastAsia" w:ascii="仿宋" w:hAnsi="仿宋" w:eastAsia="仿宋" w:cs="仿宋"/>
          <w:highlight w:val="none"/>
          <w:lang w:eastAsia="zh-CN"/>
        </w:rPr>
        <w:t>投标人</w:t>
      </w:r>
      <w:r>
        <w:rPr>
          <w:rFonts w:hint="eastAsia" w:ascii="仿宋" w:hAnsi="仿宋" w:eastAsia="仿宋" w:cs="仿宋"/>
          <w:highlight w:val="none"/>
        </w:rPr>
        <w:t>在评</w:t>
      </w:r>
      <w:r>
        <w:rPr>
          <w:rFonts w:hint="eastAsia" w:ascii="仿宋" w:hAnsi="仿宋" w:eastAsia="仿宋" w:cs="仿宋"/>
          <w:highlight w:val="none"/>
          <w:lang w:eastAsia="zh-CN"/>
        </w:rPr>
        <w:t>标</w:t>
      </w:r>
      <w:r>
        <w:rPr>
          <w:rFonts w:hint="eastAsia" w:ascii="仿宋" w:hAnsi="仿宋" w:eastAsia="仿宋" w:cs="仿宋"/>
          <w:highlight w:val="none"/>
        </w:rPr>
        <w:t>现场合理的时间内</w:t>
      </w:r>
      <w:r>
        <w:rPr>
          <w:rFonts w:hint="eastAsia" w:ascii="仿宋" w:hAnsi="仿宋" w:eastAsia="仿宋" w:cs="仿宋"/>
          <w:highlight w:val="none"/>
          <w:lang w:eastAsia="zh-CN"/>
        </w:rPr>
        <w:t>（</w:t>
      </w:r>
      <w:r>
        <w:rPr>
          <w:rFonts w:hint="eastAsia" w:ascii="仿宋" w:hAnsi="仿宋" w:eastAsia="仿宋" w:cs="仿宋"/>
          <w:highlight w:val="none"/>
        </w:rPr>
        <w:t>一般不少于30分钟</w:t>
      </w:r>
      <w:r>
        <w:rPr>
          <w:rFonts w:hint="eastAsia" w:ascii="仿宋" w:hAnsi="仿宋" w:eastAsia="仿宋" w:cs="仿宋"/>
          <w:highlight w:val="none"/>
          <w:lang w:eastAsia="zh-CN"/>
        </w:rPr>
        <w:t>）</w:t>
      </w:r>
      <w:r>
        <w:rPr>
          <w:rFonts w:hint="eastAsia" w:ascii="仿宋" w:hAnsi="仿宋" w:eastAsia="仿宋" w:cs="仿宋"/>
          <w:highlight w:val="none"/>
        </w:rPr>
        <w:t>对投标价格作出解释，提供项目具体成本测算等与报价合理性相关的书面说明及必要的证明材料</w:t>
      </w:r>
      <w:r>
        <w:rPr>
          <w:rFonts w:hint="eastAsia" w:ascii="仿宋" w:hAnsi="仿宋" w:eastAsia="仿宋" w:cs="仿宋"/>
          <w:highlight w:val="none"/>
          <w:lang w:eastAsia="zh-CN"/>
        </w:rPr>
        <w:t>（</w:t>
      </w:r>
      <w:r>
        <w:rPr>
          <w:rFonts w:hint="eastAsia" w:ascii="仿宋" w:hAnsi="仿宋" w:eastAsia="仿宋" w:cs="仿宋"/>
          <w:highlight w:val="none"/>
        </w:rPr>
        <w:t>包括但不限于原材料成本、人工成本、制造费用等</w:t>
      </w:r>
      <w:r>
        <w:rPr>
          <w:rFonts w:hint="eastAsia" w:ascii="仿宋" w:hAnsi="仿宋" w:eastAsia="仿宋" w:cs="仿宋"/>
          <w:highlight w:val="none"/>
          <w:lang w:eastAsia="zh-CN"/>
        </w:rPr>
        <w:t>），投标人不能提供书面说明、证明材料，或者提供的书面说明、证明材料不能证明其报价合理性的。</w:t>
      </w:r>
    </w:p>
    <w:p w14:paraId="3AFCC59D">
      <w:pPr>
        <w:spacing w:line="500" w:lineRule="exact"/>
        <w:ind w:firstLine="566" w:firstLineChars="200"/>
        <w:rPr>
          <w:rFonts w:ascii="仿宋" w:hAnsi="仿宋" w:eastAsia="仿宋" w:cs="仿宋"/>
          <w:b/>
          <w:bCs/>
          <w:highlight w:val="none"/>
        </w:rPr>
      </w:pPr>
      <w:r>
        <w:rPr>
          <w:rFonts w:hint="eastAsia" w:ascii="仿宋" w:hAnsi="仿宋" w:eastAsia="仿宋" w:cs="仿宋"/>
          <w:b/>
          <w:bCs/>
          <w:highlight w:val="none"/>
          <w:lang w:val="en-US" w:eastAsia="zh-CN"/>
        </w:rPr>
        <w:t>5</w:t>
      </w:r>
      <w:r>
        <w:rPr>
          <w:rFonts w:hint="eastAsia" w:ascii="仿宋" w:hAnsi="仿宋" w:eastAsia="仿宋" w:cs="仿宋"/>
          <w:b/>
          <w:bCs/>
          <w:highlight w:val="none"/>
        </w:rPr>
        <w:t>、中标候选人</w:t>
      </w:r>
    </w:p>
    <w:p w14:paraId="5AFE1698">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采用最低评标价法的，评标结果按投标报价由低到高顺序排列。投标报价相同的，投标文件满足招标文件全部实质性要求且投标报价最低的投标人为排名第一的中标候选人。</w:t>
      </w:r>
    </w:p>
    <w:p w14:paraId="575AA0C2">
      <w:pPr>
        <w:widowControl w:val="0"/>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68A910A">
      <w:pPr>
        <w:spacing w:line="500" w:lineRule="exact"/>
        <w:ind w:firstLine="566" w:firstLineChars="200"/>
        <w:rPr>
          <w:rFonts w:ascii="仿宋" w:hAnsi="仿宋" w:eastAsia="仿宋" w:cs="仿宋"/>
          <w:highlight w:val="none"/>
        </w:rPr>
      </w:pPr>
      <w:r>
        <w:rPr>
          <w:rFonts w:hint="eastAsia" w:ascii="仿宋" w:hAnsi="仿宋" w:eastAsia="仿宋" w:cs="仿宋"/>
          <w:b/>
          <w:bCs/>
          <w:highlight w:val="none"/>
          <w:lang w:val="en-US" w:eastAsia="zh-CN"/>
        </w:rPr>
        <w:t>6</w:t>
      </w:r>
      <w:r>
        <w:rPr>
          <w:rFonts w:hint="eastAsia" w:ascii="仿宋" w:hAnsi="仿宋" w:eastAsia="仿宋" w:cs="仿宋"/>
          <w:b/>
          <w:bCs/>
          <w:highlight w:val="none"/>
        </w:rPr>
        <w:t>、编写评标报告</w:t>
      </w:r>
    </w:p>
    <w:p w14:paraId="2AF1E00A">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评标委员会根据评标情况编制评标报告，评标委员会成员对需要共同认定的事项存在争议的，应当按照少数服从多数的原则做出结论。持不同意见的评标委员会成员应当在评标报告上签署不同意见及理由，否则视为同意评标报告。对拒绝说明理由的，须报政府采购监管部门处理，并将其评审情况如实计入考核表。</w:t>
      </w:r>
    </w:p>
    <w:p w14:paraId="267693FB">
      <w:pPr>
        <w:spacing w:line="500" w:lineRule="exact"/>
        <w:ind w:firstLine="566" w:firstLineChars="200"/>
        <w:rPr>
          <w:rFonts w:hint="eastAsia" w:ascii="仿宋" w:hAnsi="仿宋" w:eastAsia="仿宋" w:cs="仿宋"/>
          <w:b w:val="0"/>
          <w:bCs w:val="0"/>
          <w:highlight w:val="none"/>
        </w:rPr>
      </w:pPr>
      <w:r>
        <w:rPr>
          <w:rFonts w:hint="eastAsia" w:ascii="仿宋" w:hAnsi="仿宋" w:eastAsia="仿宋" w:cs="仿宋"/>
          <w:b w:val="0"/>
          <w:bCs w:val="0"/>
          <w:highlight w:val="none"/>
          <w:lang w:eastAsia="zh-CN"/>
        </w:rPr>
        <w:t>评标委员会如果启动</w:t>
      </w:r>
      <w:r>
        <w:rPr>
          <w:rFonts w:hint="eastAsia" w:ascii="仿宋" w:hAnsi="仿宋" w:eastAsia="仿宋" w:cs="仿宋"/>
          <w:b w:val="0"/>
          <w:bCs w:val="0"/>
          <w:highlight w:val="none"/>
        </w:rPr>
        <w:t>异常低价投标审查</w:t>
      </w:r>
      <w:r>
        <w:rPr>
          <w:rFonts w:hint="eastAsia" w:ascii="仿宋" w:hAnsi="仿宋" w:eastAsia="仿宋" w:cs="仿宋"/>
          <w:b w:val="0"/>
          <w:bCs w:val="0"/>
          <w:highlight w:val="none"/>
          <w:lang w:eastAsia="zh-CN"/>
        </w:rPr>
        <w:t>，应当将</w:t>
      </w:r>
      <w:r>
        <w:rPr>
          <w:rFonts w:hint="eastAsia" w:ascii="仿宋" w:hAnsi="仿宋" w:eastAsia="仿宋" w:cs="仿宋"/>
          <w:b w:val="0"/>
          <w:bCs w:val="0"/>
          <w:highlight w:val="none"/>
        </w:rPr>
        <w:t>启动原因、审查意见和审查结果在评</w:t>
      </w:r>
      <w:r>
        <w:rPr>
          <w:rFonts w:hint="eastAsia" w:ascii="仿宋" w:hAnsi="仿宋" w:eastAsia="仿宋" w:cs="仿宋"/>
          <w:b w:val="0"/>
          <w:bCs w:val="0"/>
          <w:highlight w:val="none"/>
          <w:lang w:eastAsia="zh-CN"/>
        </w:rPr>
        <w:t>标</w:t>
      </w:r>
      <w:r>
        <w:rPr>
          <w:rFonts w:hint="eastAsia" w:ascii="仿宋" w:hAnsi="仿宋" w:eastAsia="仿宋" w:cs="仿宋"/>
          <w:b w:val="0"/>
          <w:bCs w:val="0"/>
          <w:highlight w:val="none"/>
        </w:rPr>
        <w:t>报告中记录，并随</w:t>
      </w:r>
      <w:r>
        <w:rPr>
          <w:rFonts w:hint="eastAsia" w:ascii="仿宋" w:hAnsi="仿宋" w:eastAsia="仿宋" w:cs="仿宋"/>
          <w:b w:val="0"/>
          <w:bCs w:val="0"/>
          <w:highlight w:val="none"/>
          <w:lang w:eastAsia="zh-CN"/>
        </w:rPr>
        <w:t>投标人</w:t>
      </w:r>
      <w:r>
        <w:rPr>
          <w:rFonts w:hint="eastAsia" w:ascii="仿宋" w:hAnsi="仿宋" w:eastAsia="仿宋" w:cs="仿宋"/>
          <w:b w:val="0"/>
          <w:bCs w:val="0"/>
          <w:highlight w:val="none"/>
        </w:rPr>
        <w:t>提供的相关书面说明及证明材料，以及评</w:t>
      </w:r>
      <w:r>
        <w:rPr>
          <w:rFonts w:hint="eastAsia" w:ascii="仿宋" w:hAnsi="仿宋" w:eastAsia="仿宋" w:cs="仿宋"/>
          <w:b w:val="0"/>
          <w:bCs w:val="0"/>
          <w:highlight w:val="none"/>
          <w:lang w:eastAsia="zh-CN"/>
        </w:rPr>
        <w:t>标</w:t>
      </w:r>
      <w:r>
        <w:rPr>
          <w:rFonts w:hint="eastAsia" w:ascii="仿宋" w:hAnsi="仿宋" w:eastAsia="仿宋" w:cs="仿宋"/>
          <w:b w:val="0"/>
          <w:bCs w:val="0"/>
          <w:highlight w:val="none"/>
        </w:rPr>
        <w:t>委员会有关互联网浏览、查询历史一并归档。</w:t>
      </w:r>
    </w:p>
    <w:p w14:paraId="3A846189">
      <w:pPr>
        <w:pStyle w:val="5"/>
        <w:spacing w:line="520" w:lineRule="exact"/>
        <w:ind w:firstLine="566" w:firstLineChars="200"/>
        <w:rPr>
          <w:rFonts w:ascii="仿宋" w:hAnsi="仿宋" w:eastAsia="仿宋" w:cs="仿宋"/>
          <w:highlight w:val="none"/>
        </w:rPr>
      </w:pPr>
      <w:r>
        <w:rPr>
          <w:rFonts w:hint="eastAsia" w:ascii="仿宋" w:hAnsi="仿宋" w:eastAsia="仿宋" w:cs="仿宋"/>
          <w:highlight w:val="none"/>
        </w:rPr>
        <w:t>采购人书面授权评标委员会直接确定中标人的，评标委员会应在评标报告中明确中标人及中标金额。</w:t>
      </w:r>
    </w:p>
    <w:p w14:paraId="235CB348">
      <w:pPr>
        <w:autoSpaceDE w:val="0"/>
        <w:autoSpaceDN w:val="0"/>
        <w:adjustRightInd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评标结果汇总完成后，除下列情形外，任何人不得修改评标结果：</w:t>
      </w:r>
    </w:p>
    <w:p w14:paraId="02B23B72">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（1）分值汇总计算错误的；</w:t>
      </w:r>
    </w:p>
    <w:p w14:paraId="338E0DFB">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（2）分项评分超出评分标准范围的；</w:t>
      </w:r>
    </w:p>
    <w:p w14:paraId="63157841">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（3）评标委员会成员对客观评审因素评分不一致的；</w:t>
      </w:r>
    </w:p>
    <w:p w14:paraId="12B4CA29">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（4）经评标委员会认定评分畸高、畸低的。</w:t>
      </w:r>
    </w:p>
    <w:p w14:paraId="1A899D1E">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08A6208">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214" w:name="_Toc32129"/>
      <w:bookmarkStart w:id="215" w:name="_Toc3221"/>
      <w:bookmarkStart w:id="216" w:name="_Toc9225"/>
      <w:bookmarkStart w:id="217" w:name="_Toc3203"/>
      <w:bookmarkStart w:id="218" w:name="_Toc9196"/>
      <w:bookmarkStart w:id="219" w:name="_Toc2851"/>
      <w:r>
        <w:rPr>
          <w:rFonts w:hint="eastAsia" w:ascii="仿宋" w:hAnsi="仿宋" w:eastAsia="仿宋" w:cs="仿宋"/>
          <w:color w:val="000000" w:themeColor="text1"/>
          <w:sz w:val="28"/>
          <w:szCs w:val="28"/>
          <w:highlight w:val="none"/>
          <w14:textFill>
            <w14:solidFill>
              <w14:schemeClr w14:val="tx1"/>
            </w14:solidFill>
          </w14:textFill>
        </w:rPr>
        <w:t>（六）有下列情形之一的，视为投标人串通投标，其投标无效：</w:t>
      </w:r>
      <w:bookmarkEnd w:id="214"/>
      <w:bookmarkEnd w:id="215"/>
      <w:bookmarkEnd w:id="216"/>
      <w:bookmarkEnd w:id="217"/>
      <w:bookmarkEnd w:id="218"/>
      <w:bookmarkEnd w:id="219"/>
    </w:p>
    <w:p w14:paraId="4A2EA731">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1、不同投标人的投标文件由同一单位或者个人编制；</w:t>
      </w:r>
    </w:p>
    <w:p w14:paraId="592A043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2、不同投标人的投标文件由同一台电脑编制；</w:t>
      </w:r>
    </w:p>
    <w:p w14:paraId="59AC0CAA">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3、不同投标人委托同一单位或者个人办理投标事宜；</w:t>
      </w:r>
    </w:p>
    <w:p w14:paraId="20838A91">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4、不同投标人的投标文件载明的项目管理成员或者联系人员为同一人；</w:t>
      </w:r>
    </w:p>
    <w:p w14:paraId="4D5843E5">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5、不同投标人的投标文件异常一致或者投标报价呈规律性差异；</w:t>
      </w:r>
    </w:p>
    <w:p w14:paraId="1504340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6、不同投标人的投标文件相互混装；</w:t>
      </w:r>
    </w:p>
    <w:p w14:paraId="08A1815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7、政府采购法律法规及招标文件规定的其他情形。</w:t>
      </w:r>
    </w:p>
    <w:p w14:paraId="2DBDEE10">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220" w:name="_Toc8200"/>
      <w:r>
        <w:rPr>
          <w:rFonts w:hint="eastAsia" w:ascii="仿宋" w:hAnsi="仿宋" w:eastAsia="仿宋" w:cs="仿宋"/>
          <w:color w:val="000000" w:themeColor="text1"/>
          <w:sz w:val="28"/>
          <w:szCs w:val="28"/>
          <w:highlight w:val="none"/>
          <w14:textFill>
            <w14:solidFill>
              <w14:schemeClr w14:val="tx1"/>
            </w14:solidFill>
          </w14:textFill>
        </w:rPr>
        <w:t>九、中标</w:t>
      </w:r>
      <w:bookmarkEnd w:id="220"/>
    </w:p>
    <w:p w14:paraId="06B8B0F3">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（一）陕西省省级单位政府采购中心在评标工作结束后2个工作日内将评标报告送采购人。</w:t>
      </w:r>
    </w:p>
    <w:p w14:paraId="51616276">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w:t>
      </w:r>
      <w:r>
        <w:rPr>
          <w:rFonts w:hint="eastAsia" w:ascii="仿宋" w:hAnsi="仿宋" w:eastAsia="仿宋" w:cs="仿宋"/>
          <w:b/>
          <w:bCs/>
          <w:color w:val="000000" w:themeColor="text1"/>
          <w:highlight w:val="none"/>
          <w14:textFill>
            <w14:solidFill>
              <w14:schemeClr w14:val="tx1"/>
            </w14:solidFill>
          </w14:textFill>
        </w:rPr>
        <w:t>本项目采用第</w:t>
      </w:r>
      <w:r>
        <w:rPr>
          <w:rFonts w:hint="eastAsia" w:ascii="仿宋" w:hAnsi="仿宋" w:eastAsia="仿宋" w:cs="仿宋"/>
          <w:b/>
          <w:bCs/>
          <w:color w:val="000000" w:themeColor="text1"/>
          <w:highlight w:val="none"/>
          <w:u w:val="single"/>
          <w14:textFill>
            <w14:solidFill>
              <w14:schemeClr w14:val="tx1"/>
            </w14:solidFill>
          </w14:textFill>
        </w:rPr>
        <w:t xml:space="preserve"> 1 </w:t>
      </w:r>
      <w:r>
        <w:rPr>
          <w:rFonts w:hint="eastAsia" w:ascii="仿宋" w:hAnsi="仿宋" w:eastAsia="仿宋" w:cs="仿宋"/>
          <w:b/>
          <w:bCs/>
          <w:color w:val="000000" w:themeColor="text1"/>
          <w:highlight w:val="none"/>
          <w14:textFill>
            <w14:solidFill>
              <w14:schemeClr w14:val="tx1"/>
            </w14:solidFill>
          </w14:textFill>
        </w:rPr>
        <w:t>种方式确定中标人</w:t>
      </w:r>
      <w:r>
        <w:rPr>
          <w:rFonts w:hint="eastAsia" w:ascii="仿宋" w:hAnsi="仿宋" w:eastAsia="仿宋" w:cs="仿宋"/>
          <w:color w:val="000000" w:themeColor="text1"/>
          <w:highlight w:val="none"/>
          <w14:textFill>
            <w14:solidFill>
              <w14:schemeClr w14:val="tx1"/>
            </w14:solidFill>
          </w14:textFill>
        </w:rPr>
        <w:t>。</w:t>
      </w:r>
    </w:p>
    <w:p w14:paraId="2D916CD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采购人在收到评标报告之日起5个工作日内，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14:paraId="65EE071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2、采购人可以书面授权评标委员会直接确定中标人。</w:t>
      </w:r>
    </w:p>
    <w:p w14:paraId="1616C07A">
      <w:pPr>
        <w:spacing w:line="500" w:lineRule="exact"/>
        <w:ind w:firstLine="566" w:firstLineChars="200"/>
        <w:rPr>
          <w:rFonts w:hint="eastAsia" w:ascii="仿宋" w:hAnsi="仿宋" w:eastAsia="仿宋" w:cs="仿宋"/>
          <w:b/>
          <w:bCs/>
          <w:highlight w:val="none"/>
        </w:rPr>
      </w:pPr>
      <w:r>
        <w:rPr>
          <w:rFonts w:hint="eastAsia" w:ascii="仿宋" w:hAnsi="仿宋" w:eastAsia="仿宋" w:cs="仿宋"/>
          <w:b/>
          <w:bCs/>
          <w:highlight w:val="none"/>
        </w:rPr>
        <w:t>采购人在评审前提供《委托评审小组定标授权书》，评标委员会将根据采购人授权直接确定</w:t>
      </w:r>
      <w:r>
        <w:rPr>
          <w:rFonts w:hint="eastAsia" w:ascii="仿宋" w:hAnsi="仿宋" w:eastAsia="仿宋" w:cs="仿宋"/>
          <w:b/>
          <w:bCs/>
          <w:highlight w:val="none"/>
          <w:lang w:val="en-US" w:eastAsia="zh-CN"/>
        </w:rPr>
        <w:t>中标人</w:t>
      </w:r>
      <w:r>
        <w:rPr>
          <w:rFonts w:hint="eastAsia" w:ascii="仿宋" w:hAnsi="仿宋" w:eastAsia="仿宋" w:cs="仿宋"/>
          <w:b/>
          <w:bCs/>
          <w:highlight w:val="none"/>
        </w:rPr>
        <w:t>。</w:t>
      </w:r>
    </w:p>
    <w:p w14:paraId="312E7299">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（三）陕西省省级单位政府采购中心将在中标人确定之日起2个工作日内，在【</w:t>
      </w:r>
      <w:r>
        <w:rPr>
          <w:highlight w:val="none"/>
        </w:rPr>
        <w:fldChar w:fldCharType="begin"/>
      </w:r>
      <w:r>
        <w:rPr>
          <w:highlight w:val="none"/>
        </w:rPr>
        <w:instrText xml:space="preserve"> HYPERLINK "http://www.ccgp-shaanxi.gov.cn" </w:instrText>
      </w:r>
      <w:r>
        <w:rPr>
          <w:highlight w:val="none"/>
        </w:rPr>
        <w:fldChar w:fldCharType="separate"/>
      </w:r>
      <w:r>
        <w:rPr>
          <w:rStyle w:val="20"/>
          <w:rFonts w:hint="eastAsia" w:ascii="仿宋" w:hAnsi="仿宋" w:eastAsia="仿宋" w:cs="仿宋"/>
          <w:color w:val="000000" w:themeColor="text1"/>
          <w:sz w:val="28"/>
          <w:szCs w:val="28"/>
          <w:highlight w:val="none"/>
          <w14:textFill>
            <w14:solidFill>
              <w14:schemeClr w14:val="tx1"/>
            </w14:solidFill>
          </w14:textFill>
        </w:rPr>
        <w:t>陕西省政府采购网</w:t>
      </w:r>
      <w:r>
        <w:rPr>
          <w:rStyle w:val="20"/>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t>（www.ccgp-shaanxi.gov.cn）</w:t>
      </w:r>
      <w:r>
        <w:rPr>
          <w:rStyle w:val="20"/>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【全国公共资源交易平台（陕西省）（http://www.sxggzyjy.cn/）</w:t>
      </w:r>
      <w:r>
        <w:rPr>
          <w:rStyle w:val="20"/>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上公告中标结果。</w:t>
      </w:r>
    </w:p>
    <w:p w14:paraId="4123331C">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7F010B19">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中标公告期限为1个工作日。</w:t>
      </w:r>
    </w:p>
    <w:p w14:paraId="5C6ED9F3">
      <w:pPr>
        <w:wordWrap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在公告中标结果的同时，陕西省省级单位政府采购中心向中标人发出中标通知书；采用综合评分法评审的，陕西省省级单位政府采购中心将通过全国公共资源交易平台（陕西省）告知未中标人本人的评审最终得分与排序。</w:t>
      </w:r>
    </w:p>
    <w:p w14:paraId="5CF9F75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（五）中标通知书发出后，采购人不得违法改变中标结果，中标人无正当理由不得放弃中标。</w:t>
      </w:r>
    </w:p>
    <w:p w14:paraId="704584A6">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221" w:name="_Toc25819"/>
      <w:r>
        <w:rPr>
          <w:rFonts w:hint="eastAsia" w:ascii="仿宋" w:hAnsi="仿宋" w:eastAsia="仿宋" w:cs="仿宋"/>
          <w:color w:val="000000" w:themeColor="text1"/>
          <w:sz w:val="28"/>
          <w:szCs w:val="28"/>
          <w:highlight w:val="none"/>
          <w14:textFill>
            <w14:solidFill>
              <w14:schemeClr w14:val="tx1"/>
            </w14:solidFill>
          </w14:textFill>
        </w:rPr>
        <w:t>十、签订政府采购合同</w:t>
      </w:r>
      <w:bookmarkEnd w:id="221"/>
    </w:p>
    <w:p w14:paraId="211132B6">
      <w:pPr>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（一）自中标通知书发出之日起25日内，</w:t>
      </w:r>
      <w:r>
        <w:rPr>
          <w:rFonts w:hint="eastAsia" w:ascii="仿宋" w:hAnsi="仿宋" w:eastAsia="仿宋" w:cs="仿宋"/>
          <w:color w:val="000000" w:themeColor="text1"/>
          <w:kern w:val="0"/>
          <w:highlight w:val="none"/>
          <w14:textFill>
            <w14:solidFill>
              <w14:schemeClr w14:val="tx1"/>
            </w14:solidFill>
          </w14:textFill>
        </w:rPr>
        <w:t>采购人与中标人应按招标文件和中标人投标文件的规定，签订书面合同。所签订的政府采购合同不得对招标文件和中标人的投标文件内容作实质性修改。</w:t>
      </w:r>
    </w:p>
    <w:p w14:paraId="0B0D26B1">
      <w:pPr>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采购人不得向中标人提出任何不合理的要求作为签订合同的条件。</w:t>
      </w:r>
    </w:p>
    <w:p w14:paraId="5F1BC53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w:t>
      </w:r>
      <w:r>
        <w:rPr>
          <w:rFonts w:hint="eastAsia" w:ascii="仿宋" w:hAnsi="仿宋" w:eastAsia="仿宋" w:cs="仿宋"/>
          <w:color w:val="000000" w:themeColor="text1"/>
          <w:kern w:val="0"/>
          <w:highlight w:val="none"/>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25A8B35E">
      <w:pPr>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（三）招标文件、中标人的投标文件、《中标通知书》及其澄清、说明文件、承诺等，均为签订采购合同的依据，作为采购合同的组成部分。</w:t>
      </w:r>
    </w:p>
    <w:p w14:paraId="20190CBC">
      <w:pPr>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（四）政府采购合同应当包括采购人与中标人的名称和住所、标的、数量、质量、价款或者报酬、履行期限及地点和方式、验收要求、违约责任、解决争议的方法等内容。</w:t>
      </w:r>
    </w:p>
    <w:p w14:paraId="0B507A95">
      <w:pPr>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（五）采购人与中标人应当根据合同的约定依法履行合同义务。政府采购合同的履行、违约责任和解决争议的方法等适用《中华人民共和国民法典》。</w:t>
      </w:r>
    </w:p>
    <w:p w14:paraId="33BA301C">
      <w:pPr>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（六）采购人应及时对采购项目进行验收。采购人可以邀请参加本项目的其他投标人或者第三方机构参与验收。参与验收的投标人或者第三方机构的意见作为验收书的参考资料一并存档。</w:t>
      </w:r>
    </w:p>
    <w:p w14:paraId="6CD589DE">
      <w:pPr>
        <w:spacing w:line="500" w:lineRule="exact"/>
        <w:ind w:firstLine="566" w:firstLineChars="20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（七）采购人应当加强对中标人的履约管理，并按照采购合同约定，及时向中标人支付采购资金。对于中标人违反采购合同约定的行为，采购人应当及时处理，依法追究其违约责任。</w:t>
      </w:r>
    </w:p>
    <w:p w14:paraId="0DD3D892">
      <w:pPr>
        <w:pStyle w:val="4"/>
        <w:spacing w:line="48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222" w:name="_Toc10223"/>
      <w:r>
        <w:rPr>
          <w:rFonts w:hint="eastAsia" w:ascii="仿宋" w:hAnsi="仿宋" w:eastAsia="仿宋" w:cs="仿宋"/>
          <w:color w:val="000000" w:themeColor="text1"/>
          <w:sz w:val="28"/>
          <w:szCs w:val="28"/>
          <w:highlight w:val="none"/>
          <w14:textFill>
            <w14:solidFill>
              <w14:schemeClr w14:val="tx1"/>
            </w14:solidFill>
          </w14:textFill>
        </w:rPr>
        <w:t>十一、其他</w:t>
      </w:r>
      <w:bookmarkEnd w:id="222"/>
    </w:p>
    <w:p w14:paraId="76A38233">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评标委员会发现招标文件存在歧义、重大缺陷导致评标工作无法进行，或者招标文件内容违反国家有关强制性规定的，应当停止评标工作，与采购人或者陕西省省级单位政府采购中心沟通并作书面记录。采购人或者陕西省省级单位政府采购中心确认后，应当修改招标文件，重新组织采购活动。</w:t>
      </w:r>
    </w:p>
    <w:p w14:paraId="439143EB">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（二）根据《政府采购法》第三十六条规定，在招标采购中，出现下列情形之一的，本项目按废标处理：</w:t>
      </w:r>
    </w:p>
    <w:p w14:paraId="4B5005C3">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1、出现影响采购公正的违法、违规行为的；</w:t>
      </w:r>
    </w:p>
    <w:p w14:paraId="2B3B640F">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2、投标人的报价均超过了采购预算，采购人不能支付的；</w:t>
      </w:r>
    </w:p>
    <w:p w14:paraId="1D027EDD">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3、因重大变故，采购任务取消的。</w:t>
      </w:r>
    </w:p>
    <w:p w14:paraId="451F11E7">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废标后，由陕西省省级单位政府采购中心发布废标公告。除采购任务取消外，本项目将重新组织招标。</w:t>
      </w:r>
    </w:p>
    <w:p w14:paraId="3024AA12">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（三）在递交投标文件阶段、资格审查阶段、符合性审查阶段以及评标委员会评标阶段，当出现有效投标人不足3家时，除采购任务取消外，按照以下方式处理：</w:t>
      </w:r>
    </w:p>
    <w:p w14:paraId="3C7F10D8">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1、招标文件存在不合理条款或者招标程序不符合规定的，采购人、采购代理机构改正后依法重新招标；</w:t>
      </w:r>
    </w:p>
    <w:p w14:paraId="5FB6E685">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2、招标文件没有不合理条款、招标程序符合规定，需要采用其他采购人式采购的，采购人应当依法报财政部门批准。</w:t>
      </w:r>
    </w:p>
    <w:p w14:paraId="3557E15B">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（四）采购代理机构应当采取必要措施，保证评标在严格保密的情况下进行。除采购人代表、评标现场组织人员外，采购人的其他工作人员以及与评标工作无关的人员不得进入评标现场。</w:t>
      </w:r>
    </w:p>
    <w:p w14:paraId="0E8C6EA0">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有关人员对评标情况以及在评标过程中获悉的国家秘密、商业秘密负有保密责任。</w:t>
      </w:r>
    </w:p>
    <w:p w14:paraId="0DBC3C78">
      <w:pPr>
        <w:numPr>
          <w:ilvl w:val="255"/>
          <w:numId w:val="0"/>
        </w:num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（五）招标文件未明确的其他事项，按《政府采购法》及其相关法律法规执行。</w:t>
      </w:r>
    </w:p>
    <w:p w14:paraId="79EDF9BF">
      <w:pPr>
        <w:numPr>
          <w:ilvl w:val="255"/>
          <w:numId w:val="0"/>
        </w:num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（六）陕西省省级单位政府采购中心应当建立真实完整的招标采购档案，妥善保存每项采购活动的采购文件。</w:t>
      </w:r>
    </w:p>
    <w:p w14:paraId="0CCA6774">
      <w:pPr>
        <w:pStyle w:val="4"/>
        <w:spacing w:line="480" w:lineRule="exact"/>
        <w:ind w:firstLine="566" w:firstLineChars="200"/>
        <w:rPr>
          <w:rFonts w:ascii="仿宋" w:hAnsi="仿宋" w:eastAsia="仿宋" w:cs="仿宋"/>
          <w:color w:val="000000" w:themeColor="text1"/>
          <w:highlight w:val="none"/>
          <w14:textFill>
            <w14:solidFill>
              <w14:schemeClr w14:val="tx1"/>
            </w14:solidFill>
          </w14:textFill>
        </w:rPr>
      </w:pPr>
      <w:bookmarkStart w:id="223" w:name="_Toc15093"/>
      <w:r>
        <w:rPr>
          <w:rFonts w:hint="eastAsia" w:ascii="仿宋" w:hAnsi="仿宋" w:eastAsia="仿宋" w:cs="仿宋"/>
          <w:color w:val="000000" w:themeColor="text1"/>
          <w:sz w:val="28"/>
          <w:szCs w:val="28"/>
          <w:highlight w:val="none"/>
          <w14:textFill>
            <w14:solidFill>
              <w14:schemeClr w14:val="tx1"/>
            </w14:solidFill>
          </w14:textFill>
        </w:rPr>
        <w:t>十二、采购代理服务费：免费</w:t>
      </w:r>
      <w:bookmarkEnd w:id="223"/>
    </w:p>
    <w:p w14:paraId="2A910E60">
      <w:pPr>
        <w:spacing w:line="500" w:lineRule="exact"/>
        <w:rPr>
          <w:rFonts w:ascii="仿宋" w:hAnsi="仿宋" w:eastAsia="仿宋" w:cs="仿宋"/>
          <w:color w:val="000000" w:themeColor="text1"/>
          <w:highlight w:val="none"/>
          <w14:textFill>
            <w14:solidFill>
              <w14:schemeClr w14:val="tx1"/>
            </w14:solidFill>
          </w14:textFill>
        </w:rPr>
      </w:pPr>
    </w:p>
    <w:p w14:paraId="0A96B069">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p>
    <w:p w14:paraId="0CD5A504">
      <w:pPr>
        <w:pStyle w:val="2"/>
        <w:spacing w:after="120"/>
        <w:rPr>
          <w:rFonts w:ascii="仿宋" w:hAnsi="仿宋" w:eastAsia="仿宋" w:cs="仿宋"/>
          <w:color w:val="000000" w:themeColor="text1"/>
          <w:highlight w:val="none"/>
          <w14:textFill>
            <w14:solidFill>
              <w14:schemeClr w14:val="tx1"/>
            </w14:solidFill>
          </w14:textFill>
        </w:rPr>
      </w:pPr>
    </w:p>
    <w:p w14:paraId="29C22550">
      <w:pPr>
        <w:spacing w:line="500" w:lineRule="exact"/>
        <w:rPr>
          <w:rFonts w:ascii="仿宋" w:hAnsi="仿宋" w:eastAsia="仿宋" w:cs="仿宋"/>
          <w:color w:val="000000" w:themeColor="text1"/>
          <w:sz w:val="32"/>
          <w:szCs w:val="32"/>
          <w:highlight w:val="none"/>
          <w14:textFill>
            <w14:solidFill>
              <w14:schemeClr w14:val="tx1"/>
            </w14:solidFill>
          </w14:textFill>
        </w:rPr>
      </w:pPr>
      <w:bookmarkStart w:id="224" w:name="_Toc31313"/>
      <w:bookmarkStart w:id="225" w:name="_Toc14795"/>
      <w:bookmarkStart w:id="226" w:name="_Toc29944"/>
      <w:r>
        <w:rPr>
          <w:rFonts w:hint="eastAsia" w:ascii="仿宋" w:hAnsi="仿宋" w:eastAsia="仿宋" w:cs="仿宋"/>
          <w:color w:val="000000" w:themeColor="text1"/>
          <w:sz w:val="32"/>
          <w:szCs w:val="32"/>
          <w:highlight w:val="none"/>
          <w14:textFill>
            <w14:solidFill>
              <w14:schemeClr w14:val="tx1"/>
            </w14:solidFill>
          </w14:textFill>
        </w:rPr>
        <w:br w:type="page"/>
      </w:r>
    </w:p>
    <w:p w14:paraId="37870B3C">
      <w:pPr>
        <w:pStyle w:val="3"/>
        <w:spacing w:line="500" w:lineRule="exact"/>
        <w:rPr>
          <w:rFonts w:ascii="仿宋" w:hAnsi="仿宋" w:cs="仿宋"/>
          <w:color w:val="000000" w:themeColor="text1"/>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第三章  评审办法及标准</w:t>
      </w:r>
      <w:bookmarkEnd w:id="224"/>
      <w:bookmarkEnd w:id="225"/>
      <w:bookmarkEnd w:id="226"/>
    </w:p>
    <w:p w14:paraId="766071EC">
      <w:pPr>
        <w:pStyle w:val="4"/>
        <w:spacing w:line="500" w:lineRule="exact"/>
        <w:ind w:firstLine="849" w:firstLineChars="300"/>
        <w:rPr>
          <w:rFonts w:ascii="仿宋" w:hAnsi="仿宋" w:eastAsia="仿宋" w:cs="仿宋"/>
          <w:color w:val="000000" w:themeColor="text1"/>
          <w:sz w:val="28"/>
          <w:szCs w:val="28"/>
          <w:highlight w:val="none"/>
          <w14:textFill>
            <w14:solidFill>
              <w14:schemeClr w14:val="tx1"/>
            </w14:solidFill>
          </w14:textFill>
        </w:rPr>
      </w:pPr>
      <w:bookmarkStart w:id="227" w:name="_Toc31867"/>
      <w:bookmarkStart w:id="228" w:name="_Toc27498"/>
      <w:bookmarkStart w:id="229" w:name="_Toc11125"/>
      <w:bookmarkStart w:id="230" w:name="_Toc10885"/>
      <w:bookmarkStart w:id="231" w:name="_Toc12713"/>
      <w:bookmarkStart w:id="232" w:name="_Toc25603"/>
      <w:bookmarkStart w:id="233" w:name="_Toc16719"/>
      <w:r>
        <w:rPr>
          <w:rFonts w:hint="eastAsia" w:ascii="仿宋" w:hAnsi="仿宋" w:eastAsia="仿宋" w:cs="仿宋"/>
          <w:color w:val="000000" w:themeColor="text1"/>
          <w:sz w:val="28"/>
          <w:szCs w:val="28"/>
          <w:highlight w:val="none"/>
          <w14:textFill>
            <w14:solidFill>
              <w14:schemeClr w14:val="tx1"/>
            </w14:solidFill>
          </w14:textFill>
        </w:rPr>
        <w:t>一、资格审查</w:t>
      </w:r>
      <w:bookmarkEnd w:id="227"/>
      <w:bookmarkEnd w:id="228"/>
      <w:bookmarkEnd w:id="229"/>
      <w:bookmarkEnd w:id="230"/>
      <w:bookmarkEnd w:id="231"/>
      <w:bookmarkEnd w:id="232"/>
      <w:bookmarkEnd w:id="233"/>
    </w:p>
    <w:p w14:paraId="171EEC6E">
      <w:pPr>
        <w:spacing w:line="500" w:lineRule="exact"/>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资格审查表</w:t>
      </w:r>
    </w:p>
    <w:tbl>
      <w:tblPr>
        <w:tblStyle w:val="17"/>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66"/>
        <w:gridCol w:w="4583"/>
        <w:gridCol w:w="806"/>
        <w:gridCol w:w="994"/>
      </w:tblGrid>
      <w:tr w14:paraId="472D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2" w:type="dxa"/>
            <w:vAlign w:val="center"/>
          </w:tcPr>
          <w:p w14:paraId="5D1A1ABD">
            <w:pPr>
              <w:spacing w:line="360" w:lineRule="exact"/>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1866" w:type="dxa"/>
            <w:vAlign w:val="center"/>
          </w:tcPr>
          <w:p w14:paraId="09D0A9FA">
            <w:pPr>
              <w:spacing w:line="360" w:lineRule="exact"/>
              <w:jc w:val="center"/>
              <w:rPr>
                <w:rFonts w:ascii="仿宋" w:hAnsi="仿宋" w:eastAsia="仿宋" w:cs="仿宋"/>
                <w:b/>
                <w:bCs/>
                <w:color w:val="000000" w:themeColor="text1"/>
                <w:kern w:val="28"/>
                <w:sz w:val="24"/>
                <w:szCs w:val="24"/>
                <w:highlight w:val="none"/>
                <w14:textFill>
                  <w14:solidFill>
                    <w14:schemeClr w14:val="tx1"/>
                  </w14:solidFill>
                </w14:textFill>
              </w:rPr>
            </w:pPr>
            <w:r>
              <w:rPr>
                <w:rFonts w:hint="eastAsia" w:ascii="仿宋" w:hAnsi="仿宋" w:eastAsia="仿宋" w:cs="仿宋"/>
                <w:b/>
                <w:bCs/>
                <w:color w:val="000000" w:themeColor="text1"/>
                <w:kern w:val="28"/>
                <w:sz w:val="24"/>
                <w:szCs w:val="24"/>
                <w:highlight w:val="none"/>
                <w14:textFill>
                  <w14:solidFill>
                    <w14:schemeClr w14:val="tx1"/>
                  </w14:solidFill>
                </w14:textFill>
              </w:rPr>
              <w:t>资格审查项</w:t>
            </w:r>
          </w:p>
        </w:tc>
        <w:tc>
          <w:tcPr>
            <w:tcW w:w="4583" w:type="dxa"/>
            <w:vAlign w:val="center"/>
          </w:tcPr>
          <w:p w14:paraId="3DDF579B">
            <w:pPr>
              <w:spacing w:line="360" w:lineRule="exact"/>
              <w:jc w:val="center"/>
              <w:rPr>
                <w:rFonts w:ascii="仿宋" w:hAnsi="仿宋" w:eastAsia="仿宋" w:cs="仿宋"/>
                <w:b/>
                <w:bCs/>
                <w:color w:val="000000" w:themeColor="text1"/>
                <w:kern w:val="28"/>
                <w:sz w:val="24"/>
                <w:szCs w:val="24"/>
                <w:highlight w:val="none"/>
                <w14:textFill>
                  <w14:solidFill>
                    <w14:schemeClr w14:val="tx1"/>
                  </w14:solidFill>
                </w14:textFill>
              </w:rPr>
            </w:pPr>
            <w:r>
              <w:rPr>
                <w:rFonts w:hint="eastAsia" w:ascii="仿宋" w:hAnsi="仿宋" w:eastAsia="仿宋" w:cs="仿宋"/>
                <w:b/>
                <w:bCs/>
                <w:color w:val="000000" w:themeColor="text1"/>
                <w:kern w:val="28"/>
                <w:sz w:val="24"/>
                <w:szCs w:val="24"/>
                <w:highlight w:val="none"/>
                <w14:textFill>
                  <w14:solidFill>
                    <w14:schemeClr w14:val="tx1"/>
                  </w14:solidFill>
                </w14:textFill>
              </w:rPr>
              <w:t>通过条件</w:t>
            </w:r>
          </w:p>
        </w:tc>
        <w:tc>
          <w:tcPr>
            <w:tcW w:w="806" w:type="dxa"/>
            <w:vAlign w:val="center"/>
          </w:tcPr>
          <w:p w14:paraId="32C47010">
            <w:pPr>
              <w:spacing w:line="360" w:lineRule="exact"/>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结论</w:t>
            </w:r>
          </w:p>
        </w:tc>
        <w:tc>
          <w:tcPr>
            <w:tcW w:w="994" w:type="dxa"/>
            <w:vAlign w:val="center"/>
          </w:tcPr>
          <w:p w14:paraId="36F0F8ED">
            <w:pPr>
              <w:spacing w:line="360" w:lineRule="exact"/>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不通过原因</w:t>
            </w:r>
          </w:p>
        </w:tc>
      </w:tr>
      <w:tr w14:paraId="353D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7C57CE11">
            <w:pPr>
              <w:spacing w:line="36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866" w:type="dxa"/>
            <w:vAlign w:val="center"/>
          </w:tcPr>
          <w:p w14:paraId="643D8694">
            <w:pPr>
              <w:spacing w:line="360" w:lineRule="exact"/>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营业执照等主体资格证明文件</w:t>
            </w:r>
          </w:p>
        </w:tc>
        <w:tc>
          <w:tcPr>
            <w:tcW w:w="4583" w:type="dxa"/>
            <w:vAlign w:val="center"/>
          </w:tcPr>
          <w:p w14:paraId="3E52C120">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提供有效存续的企业营业执照（副本）/事业单位法人证书/专业服务机构执业许可证/民办非企业单位登记证书。</w:t>
            </w:r>
          </w:p>
        </w:tc>
        <w:tc>
          <w:tcPr>
            <w:tcW w:w="806" w:type="dxa"/>
            <w:vAlign w:val="center"/>
          </w:tcPr>
          <w:p w14:paraId="3259D4A3">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c>
          <w:tcPr>
            <w:tcW w:w="994" w:type="dxa"/>
            <w:vAlign w:val="center"/>
          </w:tcPr>
          <w:p w14:paraId="0CD6A912">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r>
      <w:tr w14:paraId="6E6E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6FBF9E99">
            <w:pPr>
              <w:spacing w:line="36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866" w:type="dxa"/>
            <w:vAlign w:val="center"/>
          </w:tcPr>
          <w:p w14:paraId="01CD3801">
            <w:pPr>
              <w:spacing w:line="360" w:lineRule="exact"/>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财务状况报告</w:t>
            </w:r>
          </w:p>
        </w:tc>
        <w:tc>
          <w:tcPr>
            <w:tcW w:w="4583" w:type="dxa"/>
            <w:vAlign w:val="center"/>
          </w:tcPr>
          <w:p w14:paraId="16E5E630">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（以下</w:t>
            </w:r>
            <w:r>
              <w:rPr>
                <w:rFonts w:hint="eastAsia" w:ascii="仿宋" w:hAnsi="仿宋" w:eastAsia="仿宋" w:cs="仿宋"/>
                <w:color w:val="000000" w:themeColor="text1"/>
                <w:kern w:val="28"/>
                <w:sz w:val="24"/>
                <w:szCs w:val="24"/>
                <w:highlight w:val="none"/>
                <w:lang w:val="en-US" w:eastAsia="zh-CN"/>
                <w14:textFill>
                  <w14:solidFill>
                    <w14:schemeClr w14:val="tx1"/>
                  </w14:solidFill>
                </w14:textFill>
              </w:rPr>
              <w:t>两</w:t>
            </w:r>
            <w:r>
              <w:rPr>
                <w:rFonts w:hint="eastAsia" w:ascii="仿宋" w:hAnsi="仿宋" w:eastAsia="仿宋" w:cs="仿宋"/>
                <w:color w:val="000000" w:themeColor="text1"/>
                <w:kern w:val="28"/>
                <w:sz w:val="24"/>
                <w:szCs w:val="24"/>
                <w:highlight w:val="none"/>
                <w14:textFill>
                  <w14:solidFill>
                    <w14:schemeClr w14:val="tx1"/>
                  </w14:solidFill>
                </w14:textFill>
              </w:rPr>
              <w:t>种资料提供任意一种即可）：</w:t>
            </w:r>
          </w:p>
          <w:p w14:paraId="187376F0">
            <w:pPr>
              <w:spacing w:line="360" w:lineRule="exact"/>
              <w:rPr>
                <w:rFonts w:hint="eastAsia"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（1）提供递交投标文件截止之日前两年内任意一个年度经审计的财务报告（包括“四表一注”，即资产负债表、利润表、现金流量表、所有者权益变动表及其附注，符合《</w:t>
            </w:r>
            <w:r>
              <w:rPr>
                <w:rFonts w:hint="eastAsia" w:ascii="仿宋" w:hAnsi="仿宋" w:eastAsia="仿宋" w:cs="仿宋"/>
                <w:color w:val="000000" w:themeColor="text1"/>
                <w:kern w:val="28"/>
                <w:sz w:val="24"/>
                <w:szCs w:val="24"/>
                <w:highlight w:val="none"/>
                <w14:textFill>
                  <w14:solidFill>
                    <w14:schemeClr w14:val="tx1"/>
                  </w14:solidFill>
                </w14:textFill>
              </w:rPr>
              <w:fldChar w:fldCharType="begin"/>
            </w:r>
            <w:r>
              <w:rPr>
                <w:rFonts w:hint="eastAsia" w:ascii="仿宋" w:hAnsi="仿宋" w:eastAsia="仿宋" w:cs="仿宋"/>
                <w:color w:val="000000" w:themeColor="text1"/>
                <w:kern w:val="28"/>
                <w:sz w:val="24"/>
                <w:szCs w:val="24"/>
                <w:highlight w:val="none"/>
                <w14:textFill>
                  <w14:solidFill>
                    <w14:schemeClr w14:val="tx1"/>
                  </w14:solidFill>
                </w14:textFill>
              </w:rPr>
              <w:instrText xml:space="preserve"> HYPERLINK "https://baike.baidu.com/item/%E4%B8%AD%E5%B0%8F%E4%BC%81%E4%B8%9A%E5%88%92%E5%9E%8B%E6%A0%87%E5%87%86%E8%A7%84%E5%AE%9A/0?fromModule=lemma_inlink" \t "https://baike.baidu.com/item/%E5%B0%8F%E4%BC%81%E4%B8%9A%E4%BC%9A%E8%AE%A1%E5%87%86%E5%88%99/_blank" </w:instrText>
            </w:r>
            <w:r>
              <w:rPr>
                <w:rFonts w:hint="eastAsia" w:ascii="仿宋" w:hAnsi="仿宋" w:eastAsia="仿宋" w:cs="仿宋"/>
                <w:color w:val="000000" w:themeColor="text1"/>
                <w:kern w:val="28"/>
                <w:sz w:val="24"/>
                <w:szCs w:val="24"/>
                <w:highlight w:val="none"/>
                <w14:textFill>
                  <w14:solidFill>
                    <w14:schemeClr w14:val="tx1"/>
                  </w14:solidFill>
                </w14:textFill>
              </w:rPr>
              <w:fldChar w:fldCharType="separate"/>
            </w:r>
            <w:r>
              <w:rPr>
                <w:rFonts w:hint="eastAsia" w:ascii="仿宋" w:hAnsi="仿宋" w:eastAsia="仿宋" w:cs="仿宋"/>
                <w:color w:val="000000" w:themeColor="text1"/>
                <w:kern w:val="28"/>
                <w:sz w:val="24"/>
                <w:szCs w:val="24"/>
                <w:highlight w:val="none"/>
                <w14:textFill>
                  <w14:solidFill>
                    <w14:schemeClr w14:val="tx1"/>
                  </w14:solidFill>
                </w14:textFill>
              </w:rPr>
              <w:t>中小企业划型标准规定</w:t>
            </w:r>
            <w:r>
              <w:rPr>
                <w:rFonts w:hint="eastAsia" w:ascii="仿宋" w:hAnsi="仿宋" w:eastAsia="仿宋" w:cs="仿宋"/>
                <w:color w:val="000000" w:themeColor="text1"/>
                <w:kern w:val="28"/>
                <w:sz w:val="24"/>
                <w:szCs w:val="24"/>
                <w:highlight w:val="none"/>
                <w14:textFill>
                  <w14:solidFill>
                    <w14:schemeClr w14:val="tx1"/>
                  </w14:solidFill>
                </w14:textFill>
              </w:rPr>
              <w:fldChar w:fldCharType="end"/>
            </w:r>
            <w:r>
              <w:rPr>
                <w:rFonts w:hint="eastAsia" w:ascii="仿宋" w:hAnsi="仿宋" w:eastAsia="仿宋" w:cs="仿宋"/>
                <w:color w:val="000000" w:themeColor="text1"/>
                <w:kern w:val="28"/>
                <w:sz w:val="24"/>
                <w:szCs w:val="24"/>
                <w:highlight w:val="none"/>
                <w14:textFill>
                  <w14:solidFill>
                    <w14:schemeClr w14:val="tx1"/>
                  </w14:solidFill>
                </w14:textFill>
              </w:rPr>
              <w:t>》的小型企业按照《小企业会计准则》执行。成立时间至提交投标文件截止时间不足一年的可提供成立后任意时段的资产负债表）</w:t>
            </w:r>
            <w:r>
              <w:rPr>
                <w:rFonts w:hint="eastAsia" w:ascii="仿宋" w:hAnsi="仿宋" w:eastAsia="仿宋" w:cs="仿宋"/>
                <w:color w:val="000000" w:themeColor="text1"/>
                <w:kern w:val="28"/>
                <w:sz w:val="24"/>
                <w:szCs w:val="24"/>
                <w:highlight w:val="none"/>
                <w:lang w:eastAsia="zh-CN"/>
                <w14:textFill>
                  <w14:solidFill>
                    <w14:schemeClr w14:val="tx1"/>
                  </w14:solidFill>
                </w14:textFill>
              </w:rPr>
              <w:t>，审计报告需具有注册会计师行业统一监管平台赋予的验证码</w:t>
            </w:r>
            <w:r>
              <w:rPr>
                <w:rFonts w:hint="eastAsia" w:ascii="仿宋" w:hAnsi="仿宋" w:eastAsia="仿宋" w:cs="仿宋"/>
                <w:color w:val="000000" w:themeColor="text1"/>
                <w:kern w:val="28"/>
                <w:sz w:val="24"/>
                <w:szCs w:val="24"/>
                <w:highlight w:val="none"/>
                <w14:textFill>
                  <w14:solidFill>
                    <w14:schemeClr w14:val="tx1"/>
                  </w14:solidFill>
                </w14:textFill>
              </w:rPr>
              <w:t>；</w:t>
            </w:r>
          </w:p>
          <w:p w14:paraId="2150AB36">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（2）其开标前三个月内基本开户银行出具的资信证明。</w:t>
            </w:r>
          </w:p>
        </w:tc>
        <w:tc>
          <w:tcPr>
            <w:tcW w:w="806" w:type="dxa"/>
            <w:vAlign w:val="center"/>
          </w:tcPr>
          <w:p w14:paraId="05F01267">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c>
          <w:tcPr>
            <w:tcW w:w="994" w:type="dxa"/>
            <w:vAlign w:val="center"/>
          </w:tcPr>
          <w:p w14:paraId="4C36E37B">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r>
      <w:tr w14:paraId="7D75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42864CC4">
            <w:pPr>
              <w:spacing w:line="36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866" w:type="dxa"/>
            <w:vAlign w:val="center"/>
          </w:tcPr>
          <w:p w14:paraId="0C0552B9">
            <w:pPr>
              <w:spacing w:line="360" w:lineRule="exact"/>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社保缴纳证明</w:t>
            </w:r>
          </w:p>
        </w:tc>
        <w:tc>
          <w:tcPr>
            <w:tcW w:w="4583" w:type="dxa"/>
            <w:vAlign w:val="center"/>
          </w:tcPr>
          <w:p w14:paraId="3FE7AAF6">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提供递交投标文件截止之日前一年内任意一个月的社会保障资金缴存单据或社保机构开具的社会保险参保缴费情况证明。依法不需要缴纳社会保障资金的投标人应提供相关文件证明。</w:t>
            </w:r>
          </w:p>
        </w:tc>
        <w:tc>
          <w:tcPr>
            <w:tcW w:w="806" w:type="dxa"/>
            <w:vAlign w:val="center"/>
          </w:tcPr>
          <w:p w14:paraId="4BDF4D75">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c>
          <w:tcPr>
            <w:tcW w:w="994" w:type="dxa"/>
            <w:vAlign w:val="center"/>
          </w:tcPr>
          <w:p w14:paraId="7B471547">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r>
      <w:tr w14:paraId="2952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2445980F">
            <w:pPr>
              <w:spacing w:line="36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1866" w:type="dxa"/>
            <w:vAlign w:val="center"/>
          </w:tcPr>
          <w:p w14:paraId="05F999DB">
            <w:pPr>
              <w:spacing w:line="360" w:lineRule="exact"/>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税收缴纳证明</w:t>
            </w:r>
          </w:p>
        </w:tc>
        <w:tc>
          <w:tcPr>
            <w:tcW w:w="4583" w:type="dxa"/>
            <w:vAlign w:val="center"/>
          </w:tcPr>
          <w:p w14:paraId="72FD4A41">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提供递交投标文件截止之日前一年内任意一个月的依法缴纳税收的完税证明，完税证明应有税务机关或代收机关的公章或业务章。依法免税或无须缴纳税收的投标人，应提供相应证明文件。</w:t>
            </w:r>
          </w:p>
        </w:tc>
        <w:tc>
          <w:tcPr>
            <w:tcW w:w="806" w:type="dxa"/>
            <w:vAlign w:val="center"/>
          </w:tcPr>
          <w:p w14:paraId="64C3D98A">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c>
          <w:tcPr>
            <w:tcW w:w="994" w:type="dxa"/>
            <w:vAlign w:val="center"/>
          </w:tcPr>
          <w:p w14:paraId="661C0F45">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r>
      <w:tr w14:paraId="3BFC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55F189AC">
            <w:pPr>
              <w:spacing w:line="36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1866" w:type="dxa"/>
            <w:vAlign w:val="center"/>
          </w:tcPr>
          <w:p w14:paraId="45DAC206">
            <w:pPr>
              <w:spacing w:line="360" w:lineRule="exact"/>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信用记录</w:t>
            </w:r>
          </w:p>
        </w:tc>
        <w:tc>
          <w:tcPr>
            <w:tcW w:w="4583" w:type="dxa"/>
            <w:vAlign w:val="center"/>
          </w:tcPr>
          <w:p w14:paraId="3F183D8D">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提供《投标人信用记录书面声明函》。经查，投标人未被列入“信用中国”网站记录的“失信被执行人”或“重大税收违法案件当事人”名单；不处于“中国政府采购网”记录的“政府采购严重违法失信行为记录名单”中的禁止参加政府采购活动期间。</w:t>
            </w:r>
          </w:p>
        </w:tc>
        <w:tc>
          <w:tcPr>
            <w:tcW w:w="806" w:type="dxa"/>
            <w:vAlign w:val="center"/>
          </w:tcPr>
          <w:p w14:paraId="3CCAA177">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c>
          <w:tcPr>
            <w:tcW w:w="994" w:type="dxa"/>
            <w:vAlign w:val="center"/>
          </w:tcPr>
          <w:p w14:paraId="0EF7DCAB">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r>
      <w:tr w14:paraId="4293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46AF7D92">
            <w:pPr>
              <w:spacing w:line="360" w:lineRule="exact"/>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1866" w:type="dxa"/>
            <w:vAlign w:val="center"/>
          </w:tcPr>
          <w:p w14:paraId="242422CD">
            <w:pPr>
              <w:spacing w:line="360" w:lineRule="exact"/>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控股管理关系</w:t>
            </w:r>
          </w:p>
        </w:tc>
        <w:tc>
          <w:tcPr>
            <w:tcW w:w="4583" w:type="dxa"/>
            <w:vAlign w:val="center"/>
          </w:tcPr>
          <w:p w14:paraId="4B78CF3D">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提供直接控股和管理关系清单。若与其他投标人存在单位负责人为同一人或者存在直接控股、管理关系的，则投标无效。</w:t>
            </w:r>
          </w:p>
        </w:tc>
        <w:tc>
          <w:tcPr>
            <w:tcW w:w="806" w:type="dxa"/>
            <w:vAlign w:val="center"/>
          </w:tcPr>
          <w:p w14:paraId="71849F34">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c>
          <w:tcPr>
            <w:tcW w:w="994" w:type="dxa"/>
            <w:vAlign w:val="center"/>
          </w:tcPr>
          <w:p w14:paraId="39B0D71A">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r>
      <w:tr w14:paraId="2C95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641DC063">
            <w:pPr>
              <w:spacing w:line="360" w:lineRule="exact"/>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7</w:t>
            </w:r>
          </w:p>
        </w:tc>
        <w:tc>
          <w:tcPr>
            <w:tcW w:w="1866" w:type="dxa"/>
            <w:vAlign w:val="center"/>
          </w:tcPr>
          <w:p w14:paraId="45BB5973">
            <w:pPr>
              <w:spacing w:line="360" w:lineRule="exact"/>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书面声明</w:t>
            </w:r>
          </w:p>
        </w:tc>
        <w:tc>
          <w:tcPr>
            <w:tcW w:w="4583" w:type="dxa"/>
            <w:vAlign w:val="center"/>
          </w:tcPr>
          <w:p w14:paraId="728BF89A">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提供书面声明，包括声明具有履行合同所必需的设备和专业技术能力；未为本项目提供整体设计、规范编制或者项目管理、监理、检测等服务。</w:t>
            </w:r>
          </w:p>
        </w:tc>
        <w:tc>
          <w:tcPr>
            <w:tcW w:w="806" w:type="dxa"/>
            <w:vAlign w:val="center"/>
          </w:tcPr>
          <w:p w14:paraId="76A7B57D">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c>
          <w:tcPr>
            <w:tcW w:w="994" w:type="dxa"/>
            <w:vAlign w:val="center"/>
          </w:tcPr>
          <w:p w14:paraId="6069E88C">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r>
      <w:tr w14:paraId="1D32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695CFA7B">
            <w:pPr>
              <w:spacing w:line="36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1866" w:type="dxa"/>
            <w:vAlign w:val="center"/>
          </w:tcPr>
          <w:p w14:paraId="66E076D1">
            <w:pPr>
              <w:spacing w:line="360" w:lineRule="exact"/>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法定代表人授权委托书</w:t>
            </w:r>
          </w:p>
        </w:tc>
        <w:tc>
          <w:tcPr>
            <w:tcW w:w="4583" w:type="dxa"/>
            <w:vAlign w:val="center"/>
          </w:tcPr>
          <w:p w14:paraId="0FFBDFBD">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法定代表人参加投标的，须提供本人身份证复印件（附在资格证明文件中）；法定代表人授权他人参加投标的，须提供法定代表人授权委托书。招标文件中凡是需要法定代表人盖章之处，非法人单位的负责人均参照执行。</w:t>
            </w:r>
          </w:p>
          <w:p w14:paraId="4F6679A1">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法人的分支机构参与投标时，除提供《法定代表人授权委托书》外，还须同时提供法人给分支机构出具的授权书。</w:t>
            </w:r>
          </w:p>
        </w:tc>
        <w:tc>
          <w:tcPr>
            <w:tcW w:w="806" w:type="dxa"/>
            <w:vAlign w:val="center"/>
          </w:tcPr>
          <w:p w14:paraId="112FC8B3">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c>
          <w:tcPr>
            <w:tcW w:w="994" w:type="dxa"/>
            <w:vAlign w:val="center"/>
          </w:tcPr>
          <w:p w14:paraId="176856ED">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r>
      <w:tr w14:paraId="2683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7DF9B075">
            <w:pPr>
              <w:spacing w:line="36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866" w:type="dxa"/>
            <w:vAlign w:val="center"/>
          </w:tcPr>
          <w:p w14:paraId="0E685C21">
            <w:pPr>
              <w:spacing w:line="360" w:lineRule="exact"/>
              <w:jc w:val="center"/>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本项目不接受联合体投标，不允许分包</w:t>
            </w:r>
          </w:p>
        </w:tc>
        <w:tc>
          <w:tcPr>
            <w:tcW w:w="4583" w:type="dxa"/>
            <w:vAlign w:val="center"/>
          </w:tcPr>
          <w:p w14:paraId="0B73F702">
            <w:pPr>
              <w:spacing w:line="360" w:lineRule="exact"/>
              <w:rPr>
                <w:rFonts w:ascii="仿宋" w:hAnsi="仿宋" w:eastAsia="仿宋" w:cs="仿宋"/>
                <w:color w:val="000000" w:themeColor="text1"/>
                <w:kern w:val="28"/>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投标人应提供《非联合体不分包投标声明》，视为独立投标，不分包。</w:t>
            </w:r>
          </w:p>
        </w:tc>
        <w:tc>
          <w:tcPr>
            <w:tcW w:w="806" w:type="dxa"/>
            <w:vAlign w:val="center"/>
          </w:tcPr>
          <w:p w14:paraId="251D18C2">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c>
          <w:tcPr>
            <w:tcW w:w="994" w:type="dxa"/>
            <w:vAlign w:val="center"/>
          </w:tcPr>
          <w:p w14:paraId="177CE74E">
            <w:pPr>
              <w:spacing w:before="40" w:after="40" w:line="360" w:lineRule="exact"/>
              <w:rPr>
                <w:rFonts w:ascii="仿宋" w:hAnsi="仿宋" w:eastAsia="仿宋" w:cs="仿宋"/>
                <w:b/>
                <w:bCs/>
                <w:color w:val="000000" w:themeColor="text1"/>
                <w:sz w:val="24"/>
                <w:szCs w:val="24"/>
                <w:highlight w:val="none"/>
                <w14:textFill>
                  <w14:solidFill>
                    <w14:schemeClr w14:val="tx1"/>
                  </w14:solidFill>
                </w14:textFill>
              </w:rPr>
            </w:pPr>
          </w:p>
        </w:tc>
      </w:tr>
      <w:tr w14:paraId="3DD9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981" w:type="dxa"/>
            <w:gridSpan w:val="5"/>
            <w:vAlign w:val="center"/>
          </w:tcPr>
          <w:p w14:paraId="5EBA26B2">
            <w:pPr>
              <w:spacing w:line="36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资格审查小组成员：（签字或盖章）</w:t>
            </w:r>
          </w:p>
        </w:tc>
      </w:tr>
    </w:tbl>
    <w:p w14:paraId="563A405D">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bookmarkStart w:id="234" w:name="_Toc22102"/>
      <w:bookmarkStart w:id="235" w:name="_Toc1691"/>
      <w:bookmarkStart w:id="236" w:name="_Toc2712"/>
      <w:bookmarkStart w:id="237" w:name="_Toc3753"/>
      <w:bookmarkStart w:id="238" w:name="_Toc18735"/>
      <w:bookmarkStart w:id="239" w:name="_Toc29773"/>
      <w:bookmarkStart w:id="240" w:name="_Toc16965"/>
      <w:bookmarkStart w:id="241" w:name="_Toc325"/>
      <w:bookmarkStart w:id="242" w:name="_Toc25181"/>
      <w:bookmarkStart w:id="243" w:name="_Toc1559"/>
      <w:bookmarkStart w:id="244" w:name="_Toc2809"/>
      <w:bookmarkStart w:id="245" w:name="_Toc28947"/>
      <w:bookmarkStart w:id="246" w:name="_Toc28896"/>
      <w:bookmarkStart w:id="247" w:name="_Toc18391"/>
      <w:r>
        <w:rPr>
          <w:rFonts w:hint="eastAsia" w:ascii="仿宋" w:hAnsi="仿宋" w:eastAsia="仿宋" w:cs="仿宋"/>
          <w:color w:val="000000" w:themeColor="text1"/>
          <w:highlight w:val="none"/>
          <w14:textFill>
            <w14:solidFill>
              <w14:schemeClr w14:val="tx1"/>
            </w14:solidFill>
          </w14:textFill>
        </w:rPr>
        <w:br w:type="page"/>
      </w:r>
    </w:p>
    <w:p w14:paraId="60FD54E3">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二、符合性审查</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B686A9">
      <w:pPr>
        <w:spacing w:line="500" w:lineRule="exact"/>
        <w:ind w:firstLine="566" w:firstLineChars="200"/>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符合性审查表</w:t>
      </w:r>
    </w:p>
    <w:tbl>
      <w:tblPr>
        <w:tblStyle w:val="17"/>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460"/>
        <w:gridCol w:w="4200"/>
        <w:gridCol w:w="769"/>
        <w:gridCol w:w="1005"/>
      </w:tblGrid>
      <w:tr w14:paraId="7288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7C801A57">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序号</w:t>
            </w:r>
          </w:p>
        </w:tc>
        <w:tc>
          <w:tcPr>
            <w:tcW w:w="2460" w:type="dxa"/>
            <w:shd w:val="clear" w:color="auto" w:fill="auto"/>
            <w:vAlign w:val="center"/>
          </w:tcPr>
          <w:p w14:paraId="51E24595">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符合性审查项</w:t>
            </w:r>
          </w:p>
        </w:tc>
        <w:tc>
          <w:tcPr>
            <w:tcW w:w="4200" w:type="dxa"/>
            <w:shd w:val="clear" w:color="auto" w:fill="auto"/>
            <w:vAlign w:val="center"/>
          </w:tcPr>
          <w:p w14:paraId="46BBB067">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通过条件</w:t>
            </w:r>
          </w:p>
        </w:tc>
        <w:tc>
          <w:tcPr>
            <w:tcW w:w="769" w:type="dxa"/>
            <w:shd w:val="clear" w:color="auto" w:fill="auto"/>
            <w:vAlign w:val="center"/>
          </w:tcPr>
          <w:p w14:paraId="417EBC6E">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结论</w:t>
            </w:r>
          </w:p>
        </w:tc>
        <w:tc>
          <w:tcPr>
            <w:tcW w:w="1005" w:type="dxa"/>
            <w:shd w:val="clear" w:color="auto" w:fill="auto"/>
            <w:vAlign w:val="center"/>
          </w:tcPr>
          <w:p w14:paraId="3A5EEEAF">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未通过原因</w:t>
            </w:r>
          </w:p>
        </w:tc>
      </w:tr>
      <w:tr w14:paraId="24DD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31" w:type="dxa"/>
            <w:vAlign w:val="center"/>
          </w:tcPr>
          <w:p w14:paraId="5C5726F1">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p>
        </w:tc>
        <w:tc>
          <w:tcPr>
            <w:tcW w:w="2460" w:type="dxa"/>
            <w:vAlign w:val="center"/>
          </w:tcPr>
          <w:p w14:paraId="0A15C453">
            <w:pPr>
              <w:spacing w:line="360" w:lineRule="exact"/>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投标文件语言及有效期</w:t>
            </w:r>
          </w:p>
        </w:tc>
        <w:tc>
          <w:tcPr>
            <w:tcW w:w="4200" w:type="dxa"/>
            <w:vAlign w:val="center"/>
          </w:tcPr>
          <w:p w14:paraId="06EB2673">
            <w:pPr>
              <w:spacing w:line="36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投标文件语言及有效期符合招标文件要求。</w:t>
            </w:r>
          </w:p>
        </w:tc>
        <w:tc>
          <w:tcPr>
            <w:tcW w:w="769" w:type="dxa"/>
            <w:vAlign w:val="center"/>
          </w:tcPr>
          <w:p w14:paraId="635A270E">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05" w:type="dxa"/>
            <w:vAlign w:val="center"/>
          </w:tcPr>
          <w:p w14:paraId="29C8DE2C">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1D4B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31" w:type="dxa"/>
            <w:vAlign w:val="center"/>
          </w:tcPr>
          <w:p w14:paraId="479B633C">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w:t>
            </w:r>
          </w:p>
        </w:tc>
        <w:tc>
          <w:tcPr>
            <w:tcW w:w="2460" w:type="dxa"/>
            <w:vAlign w:val="center"/>
          </w:tcPr>
          <w:p w14:paraId="11E8FAF3">
            <w:pPr>
              <w:spacing w:line="360" w:lineRule="exact"/>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投标文件封面、投标函、法定代表人授权委托书三处的项目名称、项目编号、标段（如有）</w:t>
            </w:r>
          </w:p>
        </w:tc>
        <w:tc>
          <w:tcPr>
            <w:tcW w:w="4200" w:type="dxa"/>
            <w:vAlign w:val="center"/>
          </w:tcPr>
          <w:p w14:paraId="2E34FA73">
            <w:pPr>
              <w:spacing w:line="360" w:lineRule="exac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三处均无遗漏，且与所投项目名称、项目编号、标段（如有）一致。</w:t>
            </w:r>
          </w:p>
        </w:tc>
        <w:tc>
          <w:tcPr>
            <w:tcW w:w="769" w:type="dxa"/>
            <w:vAlign w:val="center"/>
          </w:tcPr>
          <w:p w14:paraId="12B9B55C">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05" w:type="dxa"/>
            <w:vAlign w:val="center"/>
          </w:tcPr>
          <w:p w14:paraId="0643DEF6">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31CE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62484163">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w:t>
            </w:r>
          </w:p>
        </w:tc>
        <w:tc>
          <w:tcPr>
            <w:tcW w:w="2460" w:type="dxa"/>
            <w:vAlign w:val="center"/>
          </w:tcPr>
          <w:p w14:paraId="5A439160">
            <w:pPr>
              <w:spacing w:line="360" w:lineRule="exact"/>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投标文件签署、盖章</w:t>
            </w:r>
          </w:p>
        </w:tc>
        <w:tc>
          <w:tcPr>
            <w:tcW w:w="4200" w:type="dxa"/>
            <w:vAlign w:val="center"/>
          </w:tcPr>
          <w:p w14:paraId="1F9B93B3">
            <w:pPr>
              <w:spacing w:line="360" w:lineRule="exac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均按招标文件要求签字、盖章（评分标准中要求提供的证明材料除外）。</w:t>
            </w:r>
          </w:p>
        </w:tc>
        <w:tc>
          <w:tcPr>
            <w:tcW w:w="769" w:type="dxa"/>
            <w:vAlign w:val="center"/>
          </w:tcPr>
          <w:p w14:paraId="72B3BCD9">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05" w:type="dxa"/>
            <w:vAlign w:val="center"/>
          </w:tcPr>
          <w:p w14:paraId="31BF8A47">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3574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3C8A74AF">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w:t>
            </w:r>
          </w:p>
        </w:tc>
        <w:tc>
          <w:tcPr>
            <w:tcW w:w="2460" w:type="dxa"/>
            <w:vAlign w:val="center"/>
          </w:tcPr>
          <w:p w14:paraId="3DF33446">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开标一览表</w:t>
            </w:r>
          </w:p>
        </w:tc>
        <w:tc>
          <w:tcPr>
            <w:tcW w:w="4200" w:type="dxa"/>
            <w:vAlign w:val="center"/>
          </w:tcPr>
          <w:p w14:paraId="51470EC8">
            <w:pPr>
              <w:spacing w:line="320" w:lineRule="exac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（1）投标报价符合唯一性要求：</w:t>
            </w:r>
          </w:p>
          <w:p w14:paraId="1A6EF365">
            <w:pPr>
              <w:spacing w:line="320" w:lineRule="exac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（2）开标一览表填写符合要求；</w:t>
            </w:r>
          </w:p>
          <w:p w14:paraId="66E135DE">
            <w:pPr>
              <w:spacing w:line="320" w:lineRule="exac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（3）计量单位、报价货币均符合招标文件要求；</w:t>
            </w:r>
          </w:p>
          <w:p w14:paraId="55515FE9">
            <w:pPr>
              <w:spacing w:line="36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（4）未超出采购预算或招标文件规定的最高限价。</w:t>
            </w:r>
          </w:p>
        </w:tc>
        <w:tc>
          <w:tcPr>
            <w:tcW w:w="769" w:type="dxa"/>
            <w:vAlign w:val="center"/>
          </w:tcPr>
          <w:p w14:paraId="3DAE889C">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05" w:type="dxa"/>
            <w:vAlign w:val="center"/>
          </w:tcPr>
          <w:p w14:paraId="12D196D3">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42A8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31" w:type="dxa"/>
            <w:vAlign w:val="center"/>
          </w:tcPr>
          <w:p w14:paraId="2BF32103">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w:t>
            </w:r>
          </w:p>
        </w:tc>
        <w:tc>
          <w:tcPr>
            <w:tcW w:w="2460" w:type="dxa"/>
            <w:vAlign w:val="center"/>
          </w:tcPr>
          <w:p w14:paraId="0F309B0E">
            <w:pPr>
              <w:spacing w:line="36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供应商承诺书</w:t>
            </w:r>
          </w:p>
        </w:tc>
        <w:tc>
          <w:tcPr>
            <w:tcW w:w="4200" w:type="dxa"/>
            <w:vAlign w:val="center"/>
          </w:tcPr>
          <w:p w14:paraId="2DBD0AD2">
            <w:pPr>
              <w:spacing w:line="36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完全理解并接受《质量安全责任承诺书》、《拒绝政府采购领域商业贿赂承诺书》。</w:t>
            </w:r>
          </w:p>
        </w:tc>
        <w:tc>
          <w:tcPr>
            <w:tcW w:w="769" w:type="dxa"/>
            <w:vAlign w:val="center"/>
          </w:tcPr>
          <w:p w14:paraId="29590654">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05" w:type="dxa"/>
            <w:vAlign w:val="center"/>
          </w:tcPr>
          <w:p w14:paraId="043BE77F">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11C0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31" w:type="dxa"/>
            <w:vAlign w:val="center"/>
          </w:tcPr>
          <w:p w14:paraId="622BC2E9">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w:t>
            </w:r>
          </w:p>
        </w:tc>
        <w:tc>
          <w:tcPr>
            <w:tcW w:w="2460" w:type="dxa"/>
            <w:vAlign w:val="center"/>
          </w:tcPr>
          <w:p w14:paraId="650A76A0">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技术服务要求</w:t>
            </w:r>
          </w:p>
        </w:tc>
        <w:tc>
          <w:tcPr>
            <w:tcW w:w="4200" w:type="dxa"/>
            <w:vAlign w:val="center"/>
          </w:tcPr>
          <w:p w14:paraId="26D94E6F">
            <w:pPr>
              <w:spacing w:line="360" w:lineRule="exac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完全理解并接受对合格投标人、合格的货物、工程或服务要求，根据投标人投标文件《</w:t>
            </w:r>
            <w:r>
              <w:rPr>
                <w:rFonts w:hint="eastAsia" w:ascii="仿宋" w:hAnsi="仿宋" w:eastAsia="仿宋" w:cs="仿宋"/>
                <w:sz w:val="24"/>
                <w:szCs w:val="24"/>
                <w:highlight w:val="none"/>
              </w:rPr>
              <w:t>实质性条款响应</w:t>
            </w:r>
            <w:r>
              <w:rPr>
                <w:rFonts w:hint="eastAsia" w:ascii="仿宋" w:hAnsi="仿宋" w:eastAsia="仿宋" w:cs="仿宋"/>
                <w:color w:val="000000" w:themeColor="text1"/>
                <w:sz w:val="24"/>
                <w:szCs w:val="24"/>
                <w:highlight w:val="none"/>
                <w14:textFill>
                  <w14:solidFill>
                    <w14:schemeClr w14:val="tx1"/>
                  </w14:solidFill>
                </w14:textFill>
              </w:rPr>
              <w:t>》，结合招标文件第四章“★”标识的实质性要求没有负偏离。</w:t>
            </w:r>
          </w:p>
        </w:tc>
        <w:tc>
          <w:tcPr>
            <w:tcW w:w="769" w:type="dxa"/>
            <w:vAlign w:val="center"/>
          </w:tcPr>
          <w:p w14:paraId="7BB72CE7">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05" w:type="dxa"/>
            <w:vAlign w:val="center"/>
          </w:tcPr>
          <w:p w14:paraId="0A90D75D">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4670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31" w:type="dxa"/>
            <w:vAlign w:val="center"/>
          </w:tcPr>
          <w:p w14:paraId="04DBBC02">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w:t>
            </w:r>
          </w:p>
        </w:tc>
        <w:tc>
          <w:tcPr>
            <w:tcW w:w="2460" w:type="dxa"/>
            <w:vAlign w:val="center"/>
          </w:tcPr>
          <w:p w14:paraId="0FFA619B">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合同条款响应</w:t>
            </w:r>
          </w:p>
        </w:tc>
        <w:tc>
          <w:tcPr>
            <w:tcW w:w="4200" w:type="dxa"/>
            <w:vAlign w:val="center"/>
          </w:tcPr>
          <w:p w14:paraId="40F5BC7A">
            <w:pPr>
              <w:spacing w:line="36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有完全理解并接受招标文件合同基本条款要求的描述。</w:t>
            </w:r>
          </w:p>
        </w:tc>
        <w:tc>
          <w:tcPr>
            <w:tcW w:w="769" w:type="dxa"/>
            <w:vAlign w:val="center"/>
          </w:tcPr>
          <w:p w14:paraId="3DB2D332">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05" w:type="dxa"/>
            <w:vAlign w:val="center"/>
          </w:tcPr>
          <w:p w14:paraId="037DF9FF">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642E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73FB9780">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w:t>
            </w:r>
          </w:p>
        </w:tc>
        <w:tc>
          <w:tcPr>
            <w:tcW w:w="2460" w:type="dxa"/>
            <w:vAlign w:val="center"/>
          </w:tcPr>
          <w:p w14:paraId="52884BB9">
            <w:pPr>
              <w:spacing w:line="36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无其他招标文件或法规明确规定响应无效的事项</w:t>
            </w:r>
          </w:p>
        </w:tc>
        <w:tc>
          <w:tcPr>
            <w:tcW w:w="4200" w:type="dxa"/>
            <w:vAlign w:val="center"/>
          </w:tcPr>
          <w:p w14:paraId="258BC50F">
            <w:pPr>
              <w:spacing w:line="360" w:lineRule="exac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没有不符合招标文件规定的被视为无效响应的其他条款。</w:t>
            </w:r>
          </w:p>
        </w:tc>
        <w:tc>
          <w:tcPr>
            <w:tcW w:w="769" w:type="dxa"/>
            <w:vAlign w:val="center"/>
          </w:tcPr>
          <w:p w14:paraId="4DD29C2F">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c>
          <w:tcPr>
            <w:tcW w:w="1005" w:type="dxa"/>
            <w:vAlign w:val="center"/>
          </w:tcPr>
          <w:p w14:paraId="74D2EDC0">
            <w:pPr>
              <w:spacing w:line="360" w:lineRule="exact"/>
              <w:jc w:val="center"/>
              <w:rPr>
                <w:rFonts w:ascii="仿宋" w:hAnsi="仿宋" w:eastAsia="仿宋" w:cs="仿宋"/>
                <w:b/>
                <w:bCs/>
                <w:color w:val="000000" w:themeColor="text1"/>
                <w:kern w:val="0"/>
                <w:sz w:val="24"/>
                <w:szCs w:val="24"/>
                <w:highlight w:val="none"/>
                <w14:textFill>
                  <w14:solidFill>
                    <w14:schemeClr w14:val="tx1"/>
                  </w14:solidFill>
                </w14:textFill>
              </w:rPr>
            </w:pPr>
          </w:p>
        </w:tc>
      </w:tr>
      <w:tr w14:paraId="199C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965" w:type="dxa"/>
            <w:gridSpan w:val="5"/>
            <w:vAlign w:val="center"/>
          </w:tcPr>
          <w:p w14:paraId="0135A375">
            <w:pPr>
              <w:spacing w:line="360" w:lineRule="exact"/>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评标委员会成员：（签字或盖章）</w:t>
            </w:r>
          </w:p>
        </w:tc>
      </w:tr>
    </w:tbl>
    <w:p w14:paraId="6B894438">
      <w:pPr>
        <w:rPr>
          <w:rFonts w:ascii="仿宋" w:hAnsi="仿宋" w:eastAsia="仿宋" w:cs="仿宋"/>
          <w:color w:val="000000" w:themeColor="text1"/>
          <w:highlight w:val="none"/>
          <w14:textFill>
            <w14:solidFill>
              <w14:schemeClr w14:val="tx1"/>
            </w14:solidFill>
          </w14:textFill>
        </w:rPr>
      </w:pPr>
    </w:p>
    <w:p w14:paraId="0E8B9887">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三、综合比较与评价</w:t>
      </w:r>
    </w:p>
    <w:p w14:paraId="4F23DF6F">
      <w:pPr>
        <w:spacing w:before="40" w:after="40" w:line="500" w:lineRule="exact"/>
        <w:jc w:val="center"/>
        <w:outlineLvl w:val="1"/>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评审要素及分值一览表</w:t>
      </w:r>
    </w:p>
    <w:tbl>
      <w:tblPr>
        <w:tblStyle w:val="17"/>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29"/>
        <w:gridCol w:w="7437"/>
      </w:tblGrid>
      <w:tr w14:paraId="0FE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56" w:type="dxa"/>
            <w:vAlign w:val="center"/>
          </w:tcPr>
          <w:p w14:paraId="71797788">
            <w:pPr>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名称</w:t>
            </w:r>
          </w:p>
        </w:tc>
        <w:tc>
          <w:tcPr>
            <w:tcW w:w="729" w:type="dxa"/>
            <w:vAlign w:val="center"/>
          </w:tcPr>
          <w:p w14:paraId="0975C599">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最高</w:t>
            </w:r>
          </w:p>
          <w:p w14:paraId="14CE947E">
            <w:pPr>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分值</w:t>
            </w:r>
          </w:p>
        </w:tc>
        <w:tc>
          <w:tcPr>
            <w:tcW w:w="7437" w:type="dxa"/>
            <w:vAlign w:val="center"/>
          </w:tcPr>
          <w:p w14:paraId="5915B10E">
            <w:pPr>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名称</w:t>
            </w:r>
          </w:p>
        </w:tc>
      </w:tr>
      <w:tr w14:paraId="5695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56" w:type="dxa"/>
            <w:vAlign w:val="center"/>
          </w:tcPr>
          <w:p w14:paraId="2398D610">
            <w:pPr>
              <w:widowControl w:val="0"/>
              <w:autoSpaceDE w:val="0"/>
              <w:autoSpaceDN w:val="0"/>
              <w:adjustRightInd w:val="0"/>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sz w:val="24"/>
                <w:szCs w:val="24"/>
              </w:rPr>
              <w:t>价格</w:t>
            </w:r>
          </w:p>
        </w:tc>
        <w:tc>
          <w:tcPr>
            <w:tcW w:w="729" w:type="dxa"/>
            <w:vAlign w:val="center"/>
          </w:tcPr>
          <w:p w14:paraId="6961CFCB">
            <w:pPr>
              <w:widowControl w:val="0"/>
              <w:autoSpaceDE w:val="0"/>
              <w:autoSpaceDN w:val="0"/>
              <w:adjustRightInd w:val="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Cs/>
                <w:sz w:val="24"/>
                <w:szCs w:val="24"/>
                <w:highlight w:val="none"/>
                <w:lang w:eastAsia="zh-CN"/>
              </w:rPr>
              <w:t>2</w:t>
            </w:r>
            <w:r>
              <w:rPr>
                <w:rFonts w:hint="eastAsia" w:ascii="仿宋" w:hAnsi="仿宋" w:eastAsia="仿宋" w:cs="仿宋"/>
                <w:bCs/>
                <w:sz w:val="24"/>
                <w:szCs w:val="24"/>
                <w:highlight w:val="none"/>
                <w:lang w:val="en-US" w:eastAsia="zh-CN"/>
              </w:rPr>
              <w:t>0</w:t>
            </w:r>
          </w:p>
        </w:tc>
        <w:tc>
          <w:tcPr>
            <w:tcW w:w="7437" w:type="dxa"/>
            <w:vAlign w:val="center"/>
          </w:tcPr>
          <w:p w14:paraId="572DFD6A">
            <w:pPr>
              <w:keepLines w:val="0"/>
              <w:widowControl w:val="0"/>
              <w:spacing w:afterLines="0" w:line="4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sz w:val="24"/>
                <w:szCs w:val="24"/>
                <w:highlight w:val="none"/>
              </w:rPr>
              <w:t>有效投标人的最低报价</w:t>
            </w:r>
            <w:r>
              <w:rPr>
                <w:rFonts w:hint="eastAsia" w:ascii="仿宋" w:hAnsi="仿宋" w:eastAsia="仿宋" w:cs="仿宋"/>
                <w:b/>
                <w:sz w:val="24"/>
                <w:szCs w:val="24"/>
              </w:rPr>
              <w:t>（落实政府采购政策进行价格调整的，以调整后的价格计算）</w:t>
            </w:r>
            <w:r>
              <w:rPr>
                <w:rFonts w:hint="eastAsia" w:ascii="仿宋" w:hAnsi="仿宋" w:eastAsia="仿宋" w:cs="仿宋"/>
                <w:sz w:val="24"/>
                <w:szCs w:val="24"/>
                <w:highlight w:val="none"/>
              </w:rPr>
              <w:t>为评标基准价得</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分，其他各投标人的报价得分按下列公式计算：（评标基准价/投标报价）×</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％×100。</w:t>
            </w:r>
          </w:p>
        </w:tc>
      </w:tr>
      <w:tr w14:paraId="1222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46E1B717">
            <w:pPr>
              <w:keepLine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总体服务方案</w:t>
            </w:r>
          </w:p>
        </w:tc>
        <w:tc>
          <w:tcPr>
            <w:tcW w:w="729" w:type="dxa"/>
            <w:vAlign w:val="center"/>
          </w:tcPr>
          <w:p w14:paraId="6A907411">
            <w:pPr>
              <w:keepLines/>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7437" w:type="dxa"/>
            <w:vAlign w:val="center"/>
          </w:tcPr>
          <w:p w14:paraId="0A0AA170">
            <w:pPr>
              <w:keepLines/>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一、评审内容</w:t>
            </w:r>
          </w:p>
          <w:p w14:paraId="79C71779">
            <w:pPr>
              <w:keepLines/>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针</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eastAsia="zh-CN"/>
                <w14:textFill>
                  <w14:solidFill>
                    <w14:schemeClr w14:val="tx1"/>
                  </w14:solidFill>
                </w14:textFill>
              </w:rPr>
              <w:t>本项目</w:t>
            </w:r>
            <w:r>
              <w:rPr>
                <w:rFonts w:hint="eastAsia" w:ascii="仿宋" w:hAnsi="仿宋" w:eastAsia="仿宋" w:cs="仿宋"/>
                <w:color w:val="000000" w:themeColor="text1"/>
                <w:sz w:val="24"/>
                <w:szCs w:val="24"/>
                <w:highlight w:val="none"/>
                <w14:textFill>
                  <w14:solidFill>
                    <w14:schemeClr w14:val="tx1"/>
                  </w14:solidFill>
                </w14:textFill>
              </w:rPr>
              <w:t>详</w:t>
            </w:r>
            <w:r>
              <w:rPr>
                <w:rFonts w:hint="eastAsia" w:ascii="仿宋" w:hAnsi="仿宋" w:eastAsia="仿宋" w:cs="仿宋"/>
                <w:color w:val="000000" w:themeColor="text1"/>
                <w:sz w:val="24"/>
                <w:szCs w:val="24"/>
                <w14:textFill>
                  <w14:solidFill>
                    <w14:schemeClr w14:val="tx1"/>
                  </w14:solidFill>
                </w14:textFill>
              </w:rPr>
              <w:t>细列出</w:t>
            </w:r>
            <w:r>
              <w:rPr>
                <w:rFonts w:hint="eastAsia" w:ascii="仿宋" w:hAnsi="仿宋" w:eastAsia="仿宋" w:cs="仿宋"/>
                <w:color w:val="000000" w:themeColor="text1"/>
                <w:sz w:val="24"/>
                <w:szCs w:val="24"/>
                <w:highlight w:val="none"/>
                <w:lang w:val="en-US" w:eastAsia="zh-CN"/>
                <w14:textFill>
                  <w14:solidFill>
                    <w14:schemeClr w14:val="tx1"/>
                  </w14:solidFill>
                </w14:textFill>
              </w:rPr>
              <w:t>物业</w:t>
            </w:r>
            <w:r>
              <w:rPr>
                <w:rFonts w:hint="eastAsia" w:ascii="仿宋" w:hAnsi="仿宋" w:eastAsia="仿宋" w:cs="仿宋"/>
                <w:color w:val="000000" w:themeColor="text1"/>
                <w:sz w:val="24"/>
                <w:szCs w:val="24"/>
                <w:highlight w:val="none"/>
                <w14:textFill>
                  <w14:solidFill>
                    <w14:schemeClr w14:val="tx1"/>
                  </w14:solidFill>
                </w14:textFill>
              </w:rPr>
              <w:t>服务</w:t>
            </w:r>
            <w:r>
              <w:rPr>
                <w:rFonts w:hint="eastAsia" w:ascii="仿宋" w:hAnsi="仿宋" w:eastAsia="仿宋" w:cs="仿宋"/>
                <w:color w:val="000000" w:themeColor="text1"/>
                <w:sz w:val="24"/>
                <w:szCs w:val="24"/>
                <w14:textFill>
                  <w14:solidFill>
                    <w14:schemeClr w14:val="tx1"/>
                  </w14:solidFill>
                </w14:textFill>
              </w:rPr>
              <w:t>总体服务方案，</w:t>
            </w:r>
            <w:r>
              <w:rPr>
                <w:rFonts w:hint="eastAsia" w:ascii="仿宋" w:hAnsi="仿宋" w:eastAsia="仿宋" w:cs="仿宋"/>
                <w:bCs/>
                <w:color w:val="000000" w:themeColor="text1"/>
                <w:sz w:val="24"/>
                <w:szCs w:val="24"/>
                <w14:textFill>
                  <w14:solidFill>
                    <w14:schemeClr w14:val="tx1"/>
                  </w14:solidFill>
                </w14:textFill>
              </w:rPr>
              <w:t>方案包括：①</w:t>
            </w:r>
            <w:r>
              <w:rPr>
                <w:rFonts w:hint="eastAsia" w:ascii="仿宋" w:hAnsi="仿宋" w:eastAsia="仿宋" w:cs="仿宋"/>
                <w:color w:val="000000" w:themeColor="text1"/>
                <w:sz w:val="24"/>
                <w:szCs w:val="24"/>
                <w14:textFill>
                  <w14:solidFill>
                    <w14:schemeClr w14:val="tx1"/>
                  </w14:solidFill>
                </w14:textFill>
              </w:rPr>
              <w:t>服务理念及特色</w:t>
            </w:r>
            <w:r>
              <w:rPr>
                <w:rFonts w:hint="eastAsia" w:ascii="仿宋" w:hAnsi="仿宋" w:eastAsia="仿宋" w:cs="仿宋"/>
                <w:bCs/>
                <w:color w:val="000000" w:themeColor="text1"/>
                <w:sz w:val="24"/>
                <w:szCs w:val="24"/>
                <w14:textFill>
                  <w14:solidFill>
                    <w14:schemeClr w14:val="tx1"/>
                  </w14:solidFill>
                </w14:textFill>
              </w:rPr>
              <w:t>②</w:t>
            </w:r>
            <w:r>
              <w:rPr>
                <w:rFonts w:hint="eastAsia" w:ascii="仿宋" w:hAnsi="仿宋" w:eastAsia="仿宋" w:cs="仿宋"/>
                <w:color w:val="000000" w:themeColor="text1"/>
                <w:sz w:val="24"/>
                <w:szCs w:val="24"/>
                <w14:textFill>
                  <w14:solidFill>
                    <w14:schemeClr w14:val="tx1"/>
                  </w14:solidFill>
                </w14:textFill>
              </w:rPr>
              <w:t>年度管理服务目标</w:t>
            </w:r>
            <w:r>
              <w:rPr>
                <w:rFonts w:hint="eastAsia" w:ascii="仿宋" w:hAnsi="仿宋" w:eastAsia="仿宋" w:cs="仿宋"/>
                <w:bCs/>
                <w:color w:val="000000" w:themeColor="text1"/>
                <w:sz w:val="24"/>
                <w:szCs w:val="24"/>
                <w14:textFill>
                  <w14:solidFill>
                    <w14:schemeClr w14:val="tx1"/>
                  </w14:solidFill>
                </w14:textFill>
              </w:rPr>
              <w:t>③服务</w:t>
            </w:r>
            <w:r>
              <w:rPr>
                <w:rFonts w:hint="eastAsia" w:ascii="仿宋" w:hAnsi="仿宋" w:eastAsia="仿宋" w:cs="仿宋"/>
                <w:color w:val="000000" w:themeColor="text1"/>
                <w:sz w:val="24"/>
                <w:szCs w:val="24"/>
                <w14:textFill>
                  <w14:solidFill>
                    <w14:schemeClr w14:val="tx1"/>
                  </w14:solidFill>
                </w14:textFill>
              </w:rPr>
              <w:t>计划</w:t>
            </w:r>
            <w:r>
              <w:rPr>
                <w:rFonts w:hint="eastAsia" w:ascii="仿宋" w:hAnsi="仿宋" w:eastAsia="仿宋" w:cs="仿宋"/>
                <w:bCs/>
                <w:color w:val="000000" w:themeColor="text1"/>
                <w:sz w:val="24"/>
                <w:szCs w:val="24"/>
                <w14:textFill>
                  <w14:solidFill>
                    <w14:schemeClr w14:val="tx1"/>
                  </w14:solidFill>
                </w14:textFill>
              </w:rPr>
              <w:t>④重难点分析</w:t>
            </w:r>
            <w:r>
              <w:rPr>
                <w:rFonts w:hint="eastAsia" w:ascii="仿宋" w:hAnsi="仿宋" w:eastAsia="仿宋" w:cs="仿宋"/>
                <w:bCs/>
                <w:color w:val="000000" w:themeColor="text1"/>
                <w:sz w:val="24"/>
                <w:szCs w:val="24"/>
                <w:lang w:val="en-US" w:eastAsia="zh-CN"/>
                <w14:textFill>
                  <w14:solidFill>
                    <w14:schemeClr w14:val="tx1"/>
                  </w14:solidFill>
                </w14:textFill>
              </w:rPr>
              <w:t>及</w:t>
            </w:r>
            <w:r>
              <w:rPr>
                <w:rFonts w:hint="eastAsia" w:ascii="仿宋" w:hAnsi="仿宋" w:eastAsia="仿宋" w:cs="仿宋"/>
                <w:sz w:val="24"/>
                <w:szCs w:val="24"/>
                <w:highlight w:val="none"/>
              </w:rPr>
              <w:t>解决措施</w:t>
            </w:r>
            <w:r>
              <w:rPr>
                <w:rFonts w:hint="eastAsia" w:ascii="仿宋" w:hAnsi="仿宋" w:eastAsia="仿宋" w:cs="仿宋"/>
                <w:color w:val="000000" w:themeColor="text1"/>
                <w:sz w:val="24"/>
                <w:szCs w:val="24"/>
                <w14:textFill>
                  <w14:solidFill>
                    <w14:schemeClr w14:val="tx1"/>
                  </w14:solidFill>
                </w14:textFill>
              </w:rPr>
              <w:t>。</w:t>
            </w:r>
          </w:p>
          <w:p w14:paraId="7A676545">
            <w:pPr>
              <w:keepLines/>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二、评审标准</w:t>
            </w:r>
          </w:p>
          <w:p w14:paraId="08B2FDE7">
            <w:pPr>
              <w:keepLines/>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1、完整性：方案必须全面，对评审内容中的各项要求有详细描述；</w:t>
            </w:r>
          </w:p>
          <w:p w14:paraId="5E538C76">
            <w:pPr>
              <w:keepLines/>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可实施性：</w:t>
            </w:r>
            <w:r>
              <w:rPr>
                <w:rFonts w:hint="eastAsia" w:ascii="仿宋" w:hAnsi="仿宋" w:eastAsia="仿宋" w:cs="仿宋"/>
                <w:kern w:val="0"/>
                <w:sz w:val="24"/>
                <w:szCs w:val="24"/>
              </w:rPr>
              <w:t>切合本项目实际情况，实施步骤清晰、合理</w:t>
            </w:r>
            <w:r>
              <w:rPr>
                <w:rFonts w:hint="eastAsia" w:ascii="仿宋" w:hAnsi="仿宋" w:eastAsia="仿宋" w:cs="仿宋"/>
                <w:color w:val="000000" w:themeColor="text1"/>
                <w:sz w:val="24"/>
                <w:szCs w:val="24"/>
                <w14:textFill>
                  <w14:solidFill>
                    <w14:schemeClr w14:val="tx1"/>
                  </w14:solidFill>
                </w14:textFill>
              </w:rPr>
              <w:t>；</w:t>
            </w:r>
          </w:p>
          <w:p w14:paraId="31E26A25">
            <w:pPr>
              <w:keepLines/>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3、针对性：方案能够紧扣项目实际情况，内容科学合理。</w:t>
            </w:r>
          </w:p>
          <w:p w14:paraId="7B75FDFA">
            <w:pPr>
              <w:keepLines/>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三、赋分标准</w:t>
            </w:r>
            <w:r>
              <w:rPr>
                <w:rFonts w:hint="eastAsia" w:ascii="仿宋" w:hAnsi="仿宋" w:eastAsia="仿宋" w:cs="仿宋"/>
                <w:b/>
                <w:bCs/>
                <w:color w:val="000000" w:themeColor="text1"/>
                <w:kern w:val="0"/>
                <w:sz w:val="24"/>
                <w:szCs w:val="24"/>
                <w14:textFill>
                  <w14:solidFill>
                    <w14:schemeClr w14:val="tx1"/>
                  </w14:solidFill>
                </w14:textFill>
              </w:rPr>
              <w:t xml:space="preserve">（满分6分） </w:t>
            </w:r>
          </w:p>
          <w:p w14:paraId="08153B03">
            <w:pPr>
              <w:keepLines/>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①服务理念及特色：每完全满足一个评审标准得0.5分，满分1.5分；</w:t>
            </w:r>
          </w:p>
          <w:p w14:paraId="737F747E">
            <w:pPr>
              <w:keepLines/>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②年度管理服务目标:每完全满足一个评审标准得0.5分，满分1.5分；</w:t>
            </w:r>
          </w:p>
          <w:p w14:paraId="01275FC6">
            <w:pPr>
              <w:keepLines/>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③服务计划:每完全满足一个评审标准得0.5分，满分1.5分；</w:t>
            </w:r>
          </w:p>
          <w:p w14:paraId="392E7411">
            <w:pPr>
              <w:keepLines/>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④</w:t>
            </w:r>
            <w:r>
              <w:rPr>
                <w:rFonts w:hint="eastAsia" w:ascii="仿宋" w:hAnsi="仿宋" w:eastAsia="仿宋" w:cs="仿宋"/>
                <w:bCs/>
                <w:color w:val="000000" w:themeColor="text1"/>
                <w:sz w:val="24"/>
                <w:szCs w:val="24"/>
                <w14:textFill>
                  <w14:solidFill>
                    <w14:schemeClr w14:val="tx1"/>
                  </w14:solidFill>
                </w14:textFill>
              </w:rPr>
              <w:t>重难点分析</w:t>
            </w:r>
            <w:r>
              <w:rPr>
                <w:rFonts w:hint="eastAsia" w:ascii="仿宋" w:hAnsi="仿宋" w:eastAsia="仿宋" w:cs="仿宋"/>
                <w:bCs/>
                <w:color w:val="000000" w:themeColor="text1"/>
                <w:sz w:val="24"/>
                <w:szCs w:val="24"/>
                <w:lang w:val="en-US" w:eastAsia="zh-CN"/>
                <w14:textFill>
                  <w14:solidFill>
                    <w14:schemeClr w14:val="tx1"/>
                  </w14:solidFill>
                </w14:textFill>
              </w:rPr>
              <w:t>及</w:t>
            </w:r>
            <w:r>
              <w:rPr>
                <w:rFonts w:hint="eastAsia" w:ascii="仿宋" w:hAnsi="仿宋" w:eastAsia="仿宋" w:cs="仿宋"/>
                <w:sz w:val="24"/>
                <w:szCs w:val="24"/>
                <w:highlight w:val="none"/>
              </w:rPr>
              <w:t>解决措施</w:t>
            </w:r>
            <w:r>
              <w:rPr>
                <w:rFonts w:hint="eastAsia" w:ascii="仿宋" w:hAnsi="仿宋" w:eastAsia="仿宋" w:cs="仿宋"/>
                <w:color w:val="000000" w:themeColor="text1"/>
                <w:sz w:val="24"/>
                <w:szCs w:val="24"/>
                <w14:textFill>
                  <w14:solidFill>
                    <w14:schemeClr w14:val="tx1"/>
                  </w14:solidFill>
                </w14:textFill>
              </w:rPr>
              <w:t>:每完全满足一个评审标准得0.5分，满分1.5分。</w:t>
            </w:r>
          </w:p>
        </w:tc>
      </w:tr>
      <w:tr w14:paraId="5C63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14:paraId="7B35C68F">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楼宇</w:t>
            </w:r>
            <w:r>
              <w:rPr>
                <w:rFonts w:hint="eastAsia" w:ascii="仿宋" w:hAnsi="仿宋" w:eastAsia="仿宋" w:cs="仿宋"/>
                <w:color w:val="000000" w:themeColor="text1"/>
                <w:sz w:val="24"/>
                <w:szCs w:val="24"/>
                <w14:textFill>
                  <w14:solidFill>
                    <w14:schemeClr w14:val="tx1"/>
                  </w14:solidFill>
                </w14:textFill>
              </w:rPr>
              <w:t>保洁服务方案</w:t>
            </w:r>
          </w:p>
        </w:tc>
        <w:tc>
          <w:tcPr>
            <w:tcW w:w="729" w:type="dxa"/>
            <w:vAlign w:val="center"/>
          </w:tcPr>
          <w:p w14:paraId="3A7B9C93">
            <w:pPr>
              <w:keepNext w:val="0"/>
              <w:keepLines w:val="0"/>
              <w:pageBreakBefore w:val="0"/>
              <w:widowControl/>
              <w:kinsoku/>
              <w:wordWrap/>
              <w:overflowPunct/>
              <w:topLinePunct w:val="0"/>
              <w:autoSpaceDE/>
              <w:autoSpaceDN/>
              <w:bidi w:val="0"/>
              <w:spacing w:line="380" w:lineRule="exact"/>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7.5</w:t>
            </w:r>
          </w:p>
        </w:tc>
        <w:tc>
          <w:tcPr>
            <w:tcW w:w="7437" w:type="dxa"/>
          </w:tcPr>
          <w:p w14:paraId="5E70A2CF">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一、评审内容</w:t>
            </w:r>
          </w:p>
          <w:p w14:paraId="4C925715">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针对</w:t>
            </w:r>
            <w:r>
              <w:rPr>
                <w:rFonts w:hint="eastAsia" w:ascii="仿宋" w:hAnsi="仿宋" w:eastAsia="仿宋" w:cs="仿宋"/>
                <w:color w:val="000000" w:themeColor="text1"/>
                <w:sz w:val="24"/>
                <w:szCs w:val="24"/>
                <w:lang w:eastAsia="zh-CN"/>
                <w14:textFill>
                  <w14:solidFill>
                    <w14:schemeClr w14:val="tx1"/>
                  </w14:solidFill>
                </w14:textFill>
              </w:rPr>
              <w:t>本项目</w:t>
            </w:r>
            <w:r>
              <w:rPr>
                <w:rFonts w:hint="eastAsia" w:ascii="仿宋" w:hAnsi="仿宋" w:eastAsia="仿宋" w:cs="仿宋"/>
                <w:color w:val="000000" w:themeColor="text1"/>
                <w:sz w:val="24"/>
                <w:szCs w:val="24"/>
                <w14:textFill>
                  <w14:solidFill>
                    <w14:schemeClr w14:val="tx1"/>
                  </w14:solidFill>
                </w14:textFill>
              </w:rPr>
              <w:t>提供整体全面的</w:t>
            </w:r>
            <w:r>
              <w:rPr>
                <w:rFonts w:hint="eastAsia" w:ascii="仿宋" w:hAnsi="仿宋" w:eastAsia="仿宋" w:cs="仿宋"/>
                <w:color w:val="000000" w:themeColor="text1"/>
                <w:sz w:val="24"/>
                <w:szCs w:val="24"/>
                <w:lang w:val="en-US" w:eastAsia="zh-CN"/>
                <w14:textFill>
                  <w14:solidFill>
                    <w14:schemeClr w14:val="tx1"/>
                  </w14:solidFill>
                </w14:textFill>
              </w:rPr>
              <w:t>楼宇</w:t>
            </w:r>
            <w:r>
              <w:rPr>
                <w:rFonts w:hint="eastAsia" w:ascii="仿宋" w:hAnsi="仿宋" w:eastAsia="仿宋" w:cs="仿宋"/>
                <w:color w:val="000000" w:themeColor="text1"/>
                <w:sz w:val="24"/>
                <w:szCs w:val="24"/>
                <w14:textFill>
                  <w14:solidFill>
                    <w14:schemeClr w14:val="tx1"/>
                  </w14:solidFill>
                </w14:textFill>
              </w:rPr>
              <w:t>保洁服务方案，包含：</w:t>
            </w:r>
            <w:r>
              <w:rPr>
                <w:rFonts w:hint="eastAsia" w:ascii="仿宋" w:hAnsi="仿宋" w:eastAsia="仿宋" w:cs="仿宋"/>
                <w:bCs/>
                <w:color w:val="000000" w:themeColor="text1"/>
                <w:sz w:val="24"/>
                <w:szCs w:val="24"/>
                <w14:textFill>
                  <w14:solidFill>
                    <w14:schemeClr w14:val="tx1"/>
                  </w14:solidFill>
                </w14:textFill>
              </w:rPr>
              <w:t>①</w:t>
            </w:r>
            <w:r>
              <w:rPr>
                <w:rFonts w:hint="eastAsia" w:ascii="仿宋" w:hAnsi="仿宋" w:eastAsia="仿宋" w:cs="仿宋"/>
                <w:color w:val="000000" w:themeColor="text1"/>
                <w:sz w:val="24"/>
                <w:szCs w:val="24"/>
                <w:lang w:val="en-US" w:eastAsia="zh-CN"/>
                <w14:textFill>
                  <w14:solidFill>
                    <w14:schemeClr w14:val="tx1"/>
                  </w14:solidFill>
                </w14:textFill>
              </w:rPr>
              <w:t>室</w:t>
            </w:r>
            <w:r>
              <w:rPr>
                <w:rFonts w:hint="eastAsia" w:ascii="仿宋" w:hAnsi="仿宋" w:eastAsia="仿宋" w:cs="仿宋"/>
                <w:color w:val="000000" w:themeColor="text1"/>
                <w:sz w:val="24"/>
                <w:szCs w:val="24"/>
                <w14:textFill>
                  <w14:solidFill>
                    <w14:schemeClr w14:val="tx1"/>
                  </w14:solidFill>
                </w14:textFill>
              </w:rPr>
              <w:t>内保洁</w:t>
            </w:r>
            <w:r>
              <w:rPr>
                <w:rFonts w:hint="eastAsia" w:ascii="仿宋" w:hAnsi="仿宋" w:eastAsia="仿宋" w:cs="仿宋"/>
                <w:bCs/>
                <w:color w:val="000000" w:themeColor="text1"/>
                <w:sz w:val="24"/>
                <w:szCs w:val="24"/>
                <w14:textFill>
                  <w14:solidFill>
                    <w14:schemeClr w14:val="tx1"/>
                  </w14:solidFill>
                </w14:textFill>
              </w:rPr>
              <w:t>②</w:t>
            </w:r>
            <w:r>
              <w:rPr>
                <w:rFonts w:hint="eastAsia" w:ascii="仿宋" w:hAnsi="仿宋" w:eastAsia="仿宋" w:cs="仿宋"/>
                <w:color w:val="000000" w:themeColor="text1"/>
                <w:sz w:val="24"/>
                <w:szCs w:val="24"/>
                <w:lang w:val="en-US" w:eastAsia="zh-CN"/>
                <w14:textFill>
                  <w14:solidFill>
                    <w14:schemeClr w14:val="tx1"/>
                  </w14:solidFill>
                </w14:textFill>
              </w:rPr>
              <w:t>垃圾清运方案</w:t>
            </w:r>
            <w:r>
              <w:rPr>
                <w:rFonts w:hint="eastAsia" w:ascii="仿宋" w:hAnsi="仿宋" w:eastAsia="仿宋" w:cs="仿宋"/>
                <w:bCs/>
                <w:color w:val="000000" w:themeColor="text1"/>
                <w:sz w:val="24"/>
                <w:szCs w:val="24"/>
                <w14:textFill>
                  <w14:solidFill>
                    <w14:schemeClr w14:val="tx1"/>
                  </w14:solidFill>
                </w14:textFill>
              </w:rPr>
              <w:t>③</w:t>
            </w:r>
            <w:r>
              <w:rPr>
                <w:rFonts w:hint="eastAsia" w:ascii="仿宋" w:hAnsi="仿宋" w:eastAsia="仿宋" w:cs="仿宋"/>
                <w:bCs/>
                <w:color w:val="000000" w:themeColor="text1"/>
                <w:sz w:val="24"/>
                <w:szCs w:val="24"/>
                <w:lang w:val="en-US" w:eastAsia="zh-CN"/>
                <w14:textFill>
                  <w14:solidFill>
                    <w14:schemeClr w14:val="tx1"/>
                  </w14:solidFill>
                </w14:textFill>
              </w:rPr>
              <w:t>会场清扫方案</w:t>
            </w:r>
            <w:r>
              <w:rPr>
                <w:rFonts w:hint="eastAsia" w:ascii="仿宋" w:hAnsi="仿宋" w:eastAsia="仿宋" w:cs="仿宋"/>
                <w:color w:val="000000" w:themeColor="text1"/>
                <w:sz w:val="24"/>
                <w:szCs w:val="24"/>
                <w14:textFill>
                  <w14:solidFill>
                    <w14:schemeClr w14:val="tx1"/>
                  </w14:solidFill>
                </w14:textFill>
              </w:rPr>
              <w:t>④</w:t>
            </w:r>
            <w:r>
              <w:rPr>
                <w:rFonts w:hint="eastAsia" w:ascii="仿宋" w:hAnsi="仿宋" w:eastAsia="仿宋" w:cs="仿宋"/>
                <w:color w:val="000000" w:themeColor="text1"/>
                <w:sz w:val="24"/>
                <w:szCs w:val="24"/>
                <w:lang w:val="en-US" w:eastAsia="zh-CN"/>
                <w14:textFill>
                  <w14:solidFill>
                    <w14:schemeClr w14:val="tx1"/>
                  </w14:solidFill>
                </w14:textFill>
              </w:rPr>
              <w:t>病虫防治方案</w:t>
            </w:r>
            <w:r>
              <w:rPr>
                <w:rFonts w:hint="eastAsia" w:ascii="仿宋" w:hAnsi="仿宋" w:eastAsia="仿宋" w:cs="仿宋"/>
                <w:color w:val="000000" w:themeColor="text1"/>
                <w:sz w:val="24"/>
                <w:szCs w:val="24"/>
                <w14:textFill>
                  <w14:solidFill>
                    <w14:schemeClr w14:val="tx1"/>
                  </w14:solidFill>
                </w14:textFill>
              </w:rPr>
              <w:t>⑤楼顶屋面和清理楼顶雨水口</w:t>
            </w:r>
            <w:r>
              <w:rPr>
                <w:rFonts w:hint="eastAsia" w:ascii="仿宋" w:hAnsi="仿宋" w:eastAsia="仿宋" w:cs="仿宋"/>
                <w:color w:val="000000" w:themeColor="text1"/>
                <w:sz w:val="24"/>
                <w:szCs w:val="24"/>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lang w:val="en-US" w:eastAsia="zh-CN"/>
                <w14:textFill>
                  <w14:solidFill>
                    <w14:schemeClr w14:val="tx1"/>
                  </w14:solidFill>
                </w14:textFill>
              </w:rPr>
              <w:t>案</w:t>
            </w:r>
            <w:r>
              <w:rPr>
                <w:rFonts w:hint="eastAsia" w:ascii="仿宋" w:hAnsi="仿宋" w:eastAsia="仿宋" w:cs="仿宋"/>
                <w:color w:val="000000" w:themeColor="text1"/>
                <w:sz w:val="24"/>
                <w:szCs w:val="24"/>
                <w:highlight w:val="none"/>
                <w14:textFill>
                  <w14:solidFill>
                    <w14:schemeClr w14:val="tx1"/>
                  </w14:solidFill>
                </w14:textFill>
              </w:rPr>
              <w:t>。</w:t>
            </w:r>
          </w:p>
          <w:p w14:paraId="7C8B1DB4">
            <w:pPr>
              <w:keepNext w:val="0"/>
              <w:keepLines w:val="0"/>
              <w:pageBreakBefore w:val="0"/>
              <w:widowControl/>
              <w:kinsoku/>
              <w:wordWrap/>
              <w:overflowPunct/>
              <w:topLinePunct w:val="0"/>
              <w:autoSpaceDE/>
              <w:autoSpaceDN/>
              <w:bidi w:val="0"/>
              <w:adjustRightInd/>
              <w:spacing w:line="380" w:lineRule="exact"/>
              <w:textAlignment w:val="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二、评审标准</w:t>
            </w:r>
          </w:p>
          <w:p w14:paraId="788A0890">
            <w:pPr>
              <w:keepNext w:val="0"/>
              <w:keepLines w:val="0"/>
              <w:pageBreakBefore w:val="0"/>
              <w:widowControl/>
              <w:kinsoku/>
              <w:wordWrap/>
              <w:overflowPunct/>
              <w:topLinePunct w:val="0"/>
              <w:autoSpaceDE/>
              <w:autoSpaceDN/>
              <w:bidi w:val="0"/>
              <w:adjustRightInd/>
              <w:spacing w:line="380" w:lineRule="exact"/>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1、完整性：方案必须全面，对评审内容中的各项要求有详细描述；</w:t>
            </w:r>
          </w:p>
          <w:p w14:paraId="5DB58E08">
            <w:pPr>
              <w:keepNext w:val="0"/>
              <w:keepLines w:val="0"/>
              <w:pageBreakBefore w:val="0"/>
              <w:widowControl/>
              <w:kinsoku/>
              <w:wordWrap/>
              <w:overflowPunct/>
              <w:topLinePunct w:val="0"/>
              <w:autoSpaceDE/>
              <w:autoSpaceDN/>
              <w:bidi w:val="0"/>
              <w:adjustRightInd/>
              <w:spacing w:line="380" w:lineRule="exact"/>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可实施性：</w:t>
            </w:r>
            <w:r>
              <w:rPr>
                <w:rFonts w:hint="eastAsia" w:ascii="仿宋" w:hAnsi="仿宋" w:eastAsia="仿宋" w:cs="仿宋"/>
                <w:kern w:val="0"/>
                <w:sz w:val="24"/>
                <w:szCs w:val="24"/>
              </w:rPr>
              <w:t>切合本项目实际情况，实施步骤清晰、合理</w:t>
            </w:r>
            <w:r>
              <w:rPr>
                <w:rFonts w:hint="eastAsia" w:ascii="仿宋" w:hAnsi="仿宋" w:eastAsia="仿宋" w:cs="仿宋"/>
                <w:color w:val="000000" w:themeColor="text1"/>
                <w:sz w:val="24"/>
                <w:szCs w:val="24"/>
                <w14:textFill>
                  <w14:solidFill>
                    <w14:schemeClr w14:val="tx1"/>
                  </w14:solidFill>
                </w14:textFill>
              </w:rPr>
              <w:t>；</w:t>
            </w:r>
          </w:p>
          <w:p w14:paraId="7A406DCE">
            <w:pPr>
              <w:keepNext w:val="0"/>
              <w:keepLines w:val="0"/>
              <w:pageBreakBefore w:val="0"/>
              <w:widowControl/>
              <w:kinsoku/>
              <w:wordWrap/>
              <w:overflowPunct/>
              <w:topLinePunct w:val="0"/>
              <w:autoSpaceDE/>
              <w:autoSpaceDN/>
              <w:bidi w:val="0"/>
              <w:adjustRightInd/>
              <w:spacing w:line="380" w:lineRule="exact"/>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3、针对性：方案能够紧扣项目实际情况，内容科学合理。</w:t>
            </w:r>
          </w:p>
          <w:p w14:paraId="225758CD">
            <w:pPr>
              <w:keepNext w:val="0"/>
              <w:keepLines w:val="0"/>
              <w:pageBreakBefore w:val="0"/>
              <w:widowControl/>
              <w:kinsoku/>
              <w:wordWrap/>
              <w:overflowPunct/>
              <w:topLinePunct w:val="0"/>
              <w:autoSpaceDE/>
              <w:autoSpaceDN/>
              <w:bidi w:val="0"/>
              <w:spacing w:line="380" w:lineRule="exact"/>
              <w:textAlignment w:val="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三、赋分标准</w:t>
            </w:r>
            <w:r>
              <w:rPr>
                <w:rFonts w:hint="eastAsia" w:ascii="仿宋" w:hAnsi="仿宋" w:eastAsia="仿宋" w:cs="仿宋"/>
                <w:b/>
                <w:bCs/>
                <w:color w:val="000000" w:themeColor="text1"/>
                <w:kern w:val="0"/>
                <w:sz w:val="24"/>
                <w:szCs w:val="24"/>
                <w14:textFill>
                  <w14:solidFill>
                    <w14:schemeClr w14:val="tx1"/>
                  </w14:solidFill>
                </w14:textFill>
              </w:rPr>
              <w:t>（满分</w:t>
            </w:r>
            <w:r>
              <w:rPr>
                <w:rFonts w:hint="eastAsia" w:ascii="仿宋" w:hAnsi="仿宋" w:eastAsia="仿宋" w:cs="仿宋"/>
                <w:b/>
                <w:bCs/>
                <w:color w:val="000000" w:themeColor="text1"/>
                <w:kern w:val="0"/>
                <w:sz w:val="24"/>
                <w:szCs w:val="24"/>
                <w:lang w:val="en-US" w:eastAsia="zh-CN"/>
                <w14:textFill>
                  <w14:solidFill>
                    <w14:schemeClr w14:val="tx1"/>
                  </w14:solidFill>
                </w14:textFill>
              </w:rPr>
              <w:t>7.5</w:t>
            </w:r>
            <w:r>
              <w:rPr>
                <w:rFonts w:hint="eastAsia" w:ascii="仿宋" w:hAnsi="仿宋" w:eastAsia="仿宋" w:cs="仿宋"/>
                <w:b/>
                <w:bCs/>
                <w:color w:val="000000" w:themeColor="text1"/>
                <w:kern w:val="0"/>
                <w:sz w:val="24"/>
                <w:szCs w:val="24"/>
                <w14:textFill>
                  <w14:solidFill>
                    <w14:schemeClr w14:val="tx1"/>
                  </w14:solidFill>
                </w14:textFill>
              </w:rPr>
              <w:t>分）</w:t>
            </w:r>
          </w:p>
          <w:p w14:paraId="78380BE0">
            <w:pPr>
              <w:keepNext w:val="0"/>
              <w:keepLines w:val="0"/>
              <w:pageBreakBefore w:val="0"/>
              <w:widowControl/>
              <w:kinsoku/>
              <w:wordWrap/>
              <w:overflowPunct/>
              <w:topLinePunct w:val="0"/>
              <w:autoSpaceDE/>
              <w:autoSpaceDN/>
              <w:bidi w:val="0"/>
              <w:spacing w:line="38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w:t>
            </w:r>
            <w:r>
              <w:rPr>
                <w:rFonts w:hint="eastAsia" w:ascii="仿宋" w:hAnsi="仿宋" w:eastAsia="仿宋" w:cs="仿宋"/>
                <w:color w:val="000000" w:themeColor="text1"/>
                <w:sz w:val="24"/>
                <w:szCs w:val="24"/>
                <w:lang w:val="en-US" w:eastAsia="zh-CN"/>
                <w14:textFill>
                  <w14:solidFill>
                    <w14:schemeClr w14:val="tx1"/>
                  </w14:solidFill>
                </w14:textFill>
              </w:rPr>
              <w:t>室</w:t>
            </w:r>
            <w:r>
              <w:rPr>
                <w:rFonts w:hint="eastAsia" w:ascii="仿宋" w:hAnsi="仿宋" w:eastAsia="仿宋" w:cs="仿宋"/>
                <w:color w:val="000000" w:themeColor="text1"/>
                <w:sz w:val="24"/>
                <w:szCs w:val="24"/>
                <w14:textFill>
                  <w14:solidFill>
                    <w14:schemeClr w14:val="tx1"/>
                  </w14:solidFill>
                </w14:textFill>
              </w:rPr>
              <w:t>内保洁：每完全满足一个评审标准得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p w14:paraId="1ADE489A">
            <w:pPr>
              <w:keepNext w:val="0"/>
              <w:keepLines w:val="0"/>
              <w:pageBreakBefore w:val="0"/>
              <w:widowControl/>
              <w:kinsoku/>
              <w:wordWrap/>
              <w:overflowPunct/>
              <w:topLinePunct w:val="0"/>
              <w:autoSpaceDE/>
              <w:autoSpaceDN/>
              <w:bidi w:val="0"/>
              <w:spacing w:line="38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w:t>
            </w:r>
            <w:r>
              <w:rPr>
                <w:rFonts w:hint="eastAsia" w:ascii="仿宋" w:hAnsi="仿宋" w:eastAsia="仿宋" w:cs="仿宋"/>
                <w:color w:val="000000" w:themeColor="text1"/>
                <w:sz w:val="24"/>
                <w:szCs w:val="24"/>
                <w:lang w:val="en-US" w:eastAsia="zh-CN"/>
                <w14:textFill>
                  <w14:solidFill>
                    <w14:schemeClr w14:val="tx1"/>
                  </w14:solidFill>
                </w14:textFill>
              </w:rPr>
              <w:t>垃圾清运方案</w:t>
            </w:r>
            <w:r>
              <w:rPr>
                <w:rFonts w:hint="eastAsia" w:ascii="仿宋" w:hAnsi="仿宋" w:eastAsia="仿宋" w:cs="仿宋"/>
                <w:color w:val="000000" w:themeColor="text1"/>
                <w:sz w:val="24"/>
                <w:szCs w:val="24"/>
                <w14:textFill>
                  <w14:solidFill>
                    <w14:schemeClr w14:val="tx1"/>
                  </w14:solidFill>
                </w14:textFill>
              </w:rPr>
              <w:t>：每完全满足一个评审标准得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p w14:paraId="6B5B68AE">
            <w:pPr>
              <w:keepNext w:val="0"/>
              <w:keepLines w:val="0"/>
              <w:pageBreakBefore w:val="0"/>
              <w:widowControl/>
              <w:kinsoku/>
              <w:wordWrap/>
              <w:overflowPunct/>
              <w:topLinePunct w:val="0"/>
              <w:autoSpaceDE/>
              <w:autoSpaceDN/>
              <w:bidi w:val="0"/>
              <w:spacing w:line="38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③</w:t>
            </w:r>
            <w:r>
              <w:rPr>
                <w:rFonts w:hint="eastAsia" w:ascii="仿宋" w:hAnsi="仿宋" w:eastAsia="仿宋" w:cs="仿宋"/>
                <w:bCs/>
                <w:color w:val="000000" w:themeColor="text1"/>
                <w:sz w:val="24"/>
                <w:szCs w:val="24"/>
                <w:lang w:val="en-US" w:eastAsia="zh-CN"/>
                <w14:textFill>
                  <w14:solidFill>
                    <w14:schemeClr w14:val="tx1"/>
                  </w14:solidFill>
                </w14:textFill>
              </w:rPr>
              <w:t>会场清扫方案</w:t>
            </w:r>
            <w:r>
              <w:rPr>
                <w:rFonts w:hint="eastAsia" w:ascii="仿宋" w:hAnsi="仿宋" w:eastAsia="仿宋" w:cs="仿宋"/>
                <w:color w:val="000000" w:themeColor="text1"/>
                <w:sz w:val="24"/>
                <w:szCs w:val="24"/>
                <w14:textFill>
                  <w14:solidFill>
                    <w14:schemeClr w14:val="tx1"/>
                  </w14:solidFill>
                </w14:textFill>
              </w:rPr>
              <w:t>:每完全满足一个评审标准得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p w14:paraId="2B083C8E">
            <w:pPr>
              <w:keepNext w:val="0"/>
              <w:keepLines w:val="0"/>
              <w:pageBreakBefore w:val="0"/>
              <w:widowControl/>
              <w:kinsoku/>
              <w:wordWrap/>
              <w:overflowPunct/>
              <w:topLinePunct w:val="0"/>
              <w:autoSpaceDE/>
              <w:autoSpaceDN/>
              <w:bidi w:val="0"/>
              <w:spacing w:line="38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④</w:t>
            </w:r>
            <w:r>
              <w:rPr>
                <w:rFonts w:hint="eastAsia" w:ascii="仿宋" w:hAnsi="仿宋" w:eastAsia="仿宋" w:cs="仿宋"/>
                <w:color w:val="000000" w:themeColor="text1"/>
                <w:sz w:val="24"/>
                <w:szCs w:val="24"/>
                <w:lang w:val="en-US" w:eastAsia="zh-CN"/>
                <w14:textFill>
                  <w14:solidFill>
                    <w14:schemeClr w14:val="tx1"/>
                  </w14:solidFill>
                </w14:textFill>
              </w:rPr>
              <w:t>病虫防治方案</w:t>
            </w:r>
            <w:r>
              <w:rPr>
                <w:rFonts w:hint="eastAsia" w:ascii="仿宋" w:hAnsi="仿宋" w:eastAsia="仿宋" w:cs="仿宋"/>
                <w:color w:val="000000" w:themeColor="text1"/>
                <w:sz w:val="24"/>
                <w:szCs w:val="24"/>
                <w14:textFill>
                  <w14:solidFill>
                    <w14:schemeClr w14:val="tx1"/>
                  </w14:solidFill>
                </w14:textFill>
              </w:rPr>
              <w:t>:每完全满足一个评审标准得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lang w:eastAsia="zh-CN"/>
                <w14:textFill>
                  <w14:solidFill>
                    <w14:schemeClr w14:val="tx1"/>
                  </w14:solidFill>
                </w14:textFill>
              </w:rPr>
              <w:t>；</w:t>
            </w:r>
          </w:p>
          <w:p w14:paraId="1031D35B">
            <w:pPr>
              <w:keepNext w:val="0"/>
              <w:keepLines w:val="0"/>
              <w:pageBreakBefore w:val="0"/>
              <w:widowControl/>
              <w:kinsoku/>
              <w:wordWrap/>
              <w:overflowPunct/>
              <w:topLinePunct w:val="0"/>
              <w:autoSpaceDE/>
              <w:autoSpaceDN/>
              <w:bidi w:val="0"/>
              <w:spacing w:line="380" w:lineRule="exact"/>
              <w:textAlignment w:val="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⑤楼顶屋面和清理楼顶雨水口</w:t>
            </w:r>
            <w:r>
              <w:rPr>
                <w:rFonts w:hint="eastAsia" w:ascii="仿宋" w:hAnsi="仿宋" w:eastAsia="仿宋" w:cs="仿宋"/>
                <w:color w:val="000000" w:themeColor="text1"/>
                <w:sz w:val="24"/>
                <w:szCs w:val="24"/>
                <w:lang w:val="en-US" w:eastAsia="zh-CN"/>
                <w14:textFill>
                  <w14:solidFill>
                    <w14:schemeClr w14:val="tx1"/>
                  </w14:solidFill>
                </w14:textFill>
              </w:rPr>
              <w:t>方案</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tc>
      </w:tr>
      <w:tr w14:paraId="23D5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790E8E6D">
            <w:pPr>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室外保洁服务</w:t>
            </w:r>
          </w:p>
          <w:p w14:paraId="72897965">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方案</w:t>
            </w:r>
          </w:p>
        </w:tc>
        <w:tc>
          <w:tcPr>
            <w:tcW w:w="729" w:type="dxa"/>
            <w:vAlign w:val="center"/>
          </w:tcPr>
          <w:p w14:paraId="4E181C7C">
            <w:pPr>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4.5</w:t>
            </w:r>
          </w:p>
        </w:tc>
        <w:tc>
          <w:tcPr>
            <w:tcW w:w="7437" w:type="dxa"/>
            <w:vAlign w:val="center"/>
          </w:tcPr>
          <w:p w14:paraId="7DD51D38">
            <w:pPr>
              <w:tabs>
                <w:tab w:val="left" w:pos="547"/>
              </w:tabs>
              <w:autoSpaceDE w:val="0"/>
              <w:autoSpaceDN w:val="0"/>
              <w:adjustRightInd w:val="0"/>
              <w:snapToGrid/>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一、评审内容</w:t>
            </w:r>
          </w:p>
          <w:p w14:paraId="21DDD6E5">
            <w:pPr>
              <w:tabs>
                <w:tab w:val="left" w:pos="547"/>
              </w:tabs>
              <w:autoSpaceDE w:val="0"/>
              <w:autoSpaceDN w:val="0"/>
              <w:adjustRightInd w:val="0"/>
              <w:snapToGrid/>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针对</w:t>
            </w:r>
            <w:r>
              <w:rPr>
                <w:rFonts w:hint="eastAsia" w:ascii="仿宋" w:hAnsi="仿宋" w:eastAsia="仿宋" w:cs="仿宋"/>
                <w:color w:val="000000" w:themeColor="text1"/>
                <w:sz w:val="24"/>
                <w:szCs w:val="24"/>
                <w:lang w:eastAsia="zh-CN"/>
                <w14:textFill>
                  <w14:solidFill>
                    <w14:schemeClr w14:val="tx1"/>
                  </w14:solidFill>
                </w14:textFill>
              </w:rPr>
              <w:t>本项目</w:t>
            </w:r>
            <w:r>
              <w:rPr>
                <w:rFonts w:hint="eastAsia" w:ascii="仿宋" w:hAnsi="仿宋" w:eastAsia="仿宋" w:cs="仿宋"/>
                <w:color w:val="000000" w:themeColor="text1"/>
                <w:sz w:val="24"/>
                <w:szCs w:val="24"/>
                <w14:textFill>
                  <w14:solidFill>
                    <w14:schemeClr w14:val="tx1"/>
                  </w14:solidFill>
                </w14:textFill>
              </w:rPr>
              <w:t>提供整体全面的</w:t>
            </w:r>
            <w:r>
              <w:rPr>
                <w:rFonts w:hint="eastAsia" w:ascii="仿宋" w:hAnsi="仿宋" w:eastAsia="仿宋" w:cs="仿宋"/>
                <w:b w:val="0"/>
                <w:bCs w:val="0"/>
                <w:color w:val="auto"/>
                <w:kern w:val="0"/>
                <w:sz w:val="24"/>
                <w:szCs w:val="24"/>
                <w:highlight w:val="none"/>
                <w:lang w:val="en-US" w:eastAsia="zh-CN"/>
              </w:rPr>
              <w:t>室外保洁服务</w:t>
            </w:r>
            <w:r>
              <w:rPr>
                <w:rFonts w:hint="eastAsia" w:ascii="仿宋" w:hAnsi="仿宋" w:eastAsia="仿宋" w:cs="仿宋"/>
                <w:color w:val="000000" w:themeColor="text1"/>
                <w:sz w:val="24"/>
                <w:szCs w:val="24"/>
                <w14:textFill>
                  <w14:solidFill>
                    <w14:schemeClr w14:val="tx1"/>
                  </w14:solidFill>
                </w14:textFill>
              </w:rPr>
              <w:t>方案，包含：</w:t>
            </w:r>
            <w:r>
              <w:rPr>
                <w:rFonts w:hint="eastAsia" w:ascii="仿宋" w:hAnsi="仿宋" w:eastAsia="仿宋" w:cs="仿宋"/>
                <w:bCs/>
                <w:color w:val="000000" w:themeColor="text1"/>
                <w:sz w:val="24"/>
                <w:szCs w:val="24"/>
                <w14:textFill>
                  <w14:solidFill>
                    <w14:schemeClr w14:val="tx1"/>
                  </w14:solidFill>
                </w14:textFill>
              </w:rPr>
              <w:t>①室外区域清扫②</w:t>
            </w:r>
            <w:r>
              <w:rPr>
                <w:rFonts w:hint="eastAsia" w:ascii="仿宋" w:hAnsi="仿宋" w:eastAsia="仿宋" w:cs="仿宋"/>
                <w:bCs/>
                <w:color w:val="000000" w:themeColor="text1"/>
                <w:sz w:val="24"/>
                <w:szCs w:val="24"/>
                <w:lang w:eastAsia="zh-CN"/>
                <w14:textFill>
                  <w14:solidFill>
                    <w14:schemeClr w14:val="tx1"/>
                  </w14:solidFill>
                </w14:textFill>
              </w:rPr>
              <w:t>道路、墙面、卫生死角清洗</w:t>
            </w:r>
            <w:r>
              <w:rPr>
                <w:rFonts w:hint="eastAsia" w:ascii="仿宋" w:hAnsi="仿宋" w:eastAsia="仿宋" w:cs="仿宋"/>
                <w:color w:val="000000" w:themeColor="text1"/>
                <w:sz w:val="24"/>
                <w:szCs w:val="24"/>
                <w14:textFill>
                  <w14:solidFill>
                    <w14:schemeClr w14:val="tx1"/>
                  </w14:solidFill>
                </w14:textFill>
              </w:rPr>
              <w:t>。</w:t>
            </w:r>
          </w:p>
          <w:p w14:paraId="1B78AA5C">
            <w:pPr>
              <w:tabs>
                <w:tab w:val="left" w:pos="547"/>
              </w:tabs>
              <w:autoSpaceDE w:val="0"/>
              <w:autoSpaceDN w:val="0"/>
              <w:adjustRightInd w:val="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二、评审标准</w:t>
            </w:r>
          </w:p>
          <w:p w14:paraId="7D47ABE2">
            <w:pPr>
              <w:tabs>
                <w:tab w:val="left" w:pos="547"/>
              </w:tabs>
              <w:autoSpaceDE w:val="0"/>
              <w:autoSpaceDN w:val="0"/>
              <w:adjustRightInd w:val="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1、完整性：方案必须全面，对评审内容中的各项要求有详细描述；</w:t>
            </w:r>
          </w:p>
          <w:p w14:paraId="3867EB36">
            <w:pPr>
              <w:tabs>
                <w:tab w:val="left" w:pos="547"/>
              </w:tabs>
              <w:autoSpaceDE w:val="0"/>
              <w:autoSpaceDN w:val="0"/>
              <w:adjustRightInd w:val="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可实施性：</w:t>
            </w:r>
            <w:r>
              <w:rPr>
                <w:rFonts w:hint="eastAsia" w:ascii="仿宋" w:hAnsi="仿宋" w:eastAsia="仿宋" w:cs="仿宋"/>
                <w:kern w:val="0"/>
                <w:sz w:val="24"/>
                <w:szCs w:val="24"/>
              </w:rPr>
              <w:t>切合本项目实际情况，实施步骤清晰、合理</w:t>
            </w:r>
            <w:r>
              <w:rPr>
                <w:rFonts w:hint="eastAsia" w:ascii="仿宋" w:hAnsi="仿宋" w:eastAsia="仿宋" w:cs="仿宋"/>
                <w:color w:val="000000" w:themeColor="text1"/>
                <w:sz w:val="24"/>
                <w:szCs w:val="24"/>
                <w14:textFill>
                  <w14:solidFill>
                    <w14:schemeClr w14:val="tx1"/>
                  </w14:solidFill>
                </w14:textFill>
              </w:rPr>
              <w:t>；</w:t>
            </w:r>
          </w:p>
          <w:p w14:paraId="6E6F2940">
            <w:pPr>
              <w:tabs>
                <w:tab w:val="left" w:pos="547"/>
              </w:tabs>
              <w:autoSpaceDE w:val="0"/>
              <w:autoSpaceDN w:val="0"/>
              <w:adjustRightInd w:val="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3、针对性：方案能够紧扣项目实际情况，内容科学合理。</w:t>
            </w:r>
          </w:p>
          <w:p w14:paraId="39CE1413">
            <w:pP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三、赋分标准</w:t>
            </w:r>
            <w:r>
              <w:rPr>
                <w:rFonts w:hint="eastAsia" w:ascii="仿宋" w:hAnsi="仿宋" w:eastAsia="仿宋" w:cs="仿宋"/>
                <w:b/>
                <w:bCs/>
                <w:color w:val="000000" w:themeColor="text1"/>
                <w:kern w:val="0"/>
                <w:sz w:val="24"/>
                <w:szCs w:val="24"/>
                <w14:textFill>
                  <w14:solidFill>
                    <w14:schemeClr w14:val="tx1"/>
                  </w14:solidFill>
                </w14:textFill>
              </w:rPr>
              <w:t>（满分</w:t>
            </w:r>
            <w:r>
              <w:rPr>
                <w:rFonts w:hint="eastAsia" w:ascii="仿宋" w:hAnsi="仿宋" w:eastAsia="仿宋" w:cs="仿宋"/>
                <w:b/>
                <w:bCs/>
                <w:color w:val="000000" w:themeColor="text1"/>
                <w:kern w:val="0"/>
                <w:sz w:val="24"/>
                <w:szCs w:val="24"/>
                <w:lang w:val="en-US" w:eastAsia="zh-CN"/>
                <w14:textFill>
                  <w14:solidFill>
                    <w14:schemeClr w14:val="tx1"/>
                  </w14:solidFill>
                </w14:textFill>
              </w:rPr>
              <w:t>4.5</w:t>
            </w:r>
            <w:r>
              <w:rPr>
                <w:rFonts w:hint="eastAsia" w:ascii="仿宋" w:hAnsi="仿宋" w:eastAsia="仿宋" w:cs="仿宋"/>
                <w:b/>
                <w:bCs/>
                <w:color w:val="000000" w:themeColor="text1"/>
                <w:kern w:val="0"/>
                <w:sz w:val="24"/>
                <w:szCs w:val="24"/>
                <w14:textFill>
                  <w14:solidFill>
                    <w14:schemeClr w14:val="tx1"/>
                  </w14:solidFill>
                </w14:textFill>
              </w:rPr>
              <w:t xml:space="preserve">分） </w:t>
            </w:r>
          </w:p>
          <w:p w14:paraId="50435BC2">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w:t>
            </w:r>
            <w:r>
              <w:rPr>
                <w:rFonts w:hint="eastAsia" w:ascii="仿宋" w:hAnsi="仿宋" w:eastAsia="仿宋" w:cs="仿宋"/>
                <w:bCs/>
                <w:color w:val="000000" w:themeColor="text1"/>
                <w:sz w:val="24"/>
                <w:szCs w:val="24"/>
                <w14:textFill>
                  <w14:solidFill>
                    <w14:schemeClr w14:val="tx1"/>
                  </w14:solidFill>
                </w14:textFill>
              </w:rPr>
              <w:t>室外区域清扫</w:t>
            </w:r>
            <w:r>
              <w:rPr>
                <w:rFonts w:hint="eastAsia" w:ascii="仿宋" w:hAnsi="仿宋" w:eastAsia="仿宋" w:cs="仿宋"/>
                <w:color w:val="000000" w:themeColor="text1"/>
                <w:sz w:val="24"/>
                <w:szCs w:val="24"/>
                <w14:textFill>
                  <w14:solidFill>
                    <w14:schemeClr w14:val="tx1"/>
                  </w14:solidFill>
                </w14:textFill>
              </w:rPr>
              <w:t>：每完全满足一个评审标准得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w:t>
            </w:r>
          </w:p>
          <w:p w14:paraId="6F081B43">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w:t>
            </w:r>
            <w:r>
              <w:rPr>
                <w:rFonts w:hint="eastAsia" w:ascii="仿宋" w:hAnsi="仿宋" w:eastAsia="仿宋" w:cs="仿宋"/>
                <w:bCs/>
                <w:color w:val="000000" w:themeColor="text1"/>
                <w:sz w:val="24"/>
                <w:szCs w:val="24"/>
                <w:lang w:eastAsia="zh-CN"/>
                <w14:textFill>
                  <w14:solidFill>
                    <w14:schemeClr w14:val="tx1"/>
                  </w14:solidFill>
                </w14:textFill>
              </w:rPr>
              <w:t>道路、墙面、卫生死角清洗</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bCs/>
                <w:color w:val="auto"/>
                <w:sz w:val="24"/>
                <w:szCs w:val="24"/>
                <w:highlight w:val="none"/>
              </w:rPr>
              <w:t>每完全满足一项评审标准得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r>
              <w:rPr>
                <w:rFonts w:hint="eastAsia" w:ascii="仿宋" w:hAnsi="仿宋" w:eastAsia="仿宋" w:cs="仿宋"/>
                <w:color w:val="000000" w:themeColor="text1"/>
                <w:sz w:val="24"/>
                <w:szCs w:val="24"/>
                <w14:textFill>
                  <w14:solidFill>
                    <w14:schemeClr w14:val="tx1"/>
                  </w14:solidFill>
                </w14:textFill>
              </w:rPr>
              <w:t>。</w:t>
            </w:r>
          </w:p>
        </w:tc>
      </w:tr>
      <w:tr w14:paraId="5519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0B2034B1">
            <w:pPr>
              <w:shd w:val="clear" w:color="auto" w:fill="auto"/>
              <w:spacing w:afterLines="0" w:line="380" w:lineRule="exact"/>
              <w:jc w:val="center"/>
              <w:rPr>
                <w:rFonts w:hint="eastAsia" w:ascii="仿宋" w:hAnsi="仿宋" w:eastAsia="仿宋" w:cs="仿宋"/>
                <w:color w:val="auto"/>
                <w:kern w:val="0"/>
                <w:sz w:val="24"/>
                <w:szCs w:val="24"/>
                <w:highlight w:val="yellow"/>
                <w:lang w:val="en-US" w:eastAsia="zh-CN" w:bidi="ar-SA"/>
              </w:rPr>
            </w:pPr>
          </w:p>
          <w:p w14:paraId="386AC621">
            <w:pPr>
              <w:shd w:val="clear" w:color="auto" w:fill="auto"/>
              <w:spacing w:afterLines="0" w:line="380" w:lineRule="exact"/>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color w:val="auto"/>
                <w:kern w:val="0"/>
                <w:sz w:val="24"/>
                <w:szCs w:val="24"/>
                <w:highlight w:val="none"/>
                <w:lang w:val="en-US" w:eastAsia="zh-CN" w:bidi="ar-SA"/>
              </w:rPr>
              <w:t>设备设施维护维修方案</w:t>
            </w:r>
          </w:p>
        </w:tc>
        <w:tc>
          <w:tcPr>
            <w:tcW w:w="729" w:type="dxa"/>
            <w:vAlign w:val="center"/>
          </w:tcPr>
          <w:p w14:paraId="757A8FA4">
            <w:pPr>
              <w:shd w:val="clear" w:color="auto" w:fill="auto"/>
              <w:spacing w:afterLines="0" w:line="380" w:lineRule="exact"/>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4.5</w:t>
            </w:r>
          </w:p>
        </w:tc>
        <w:tc>
          <w:tcPr>
            <w:tcW w:w="7437" w:type="dxa"/>
            <w:vAlign w:val="center"/>
          </w:tcPr>
          <w:p w14:paraId="0BFE07D6">
            <w:pPr>
              <w:shd w:val="clear" w:color="auto" w:fill="auto"/>
              <w:autoSpaceDE/>
              <w:autoSpaceDN/>
              <w:adjustRightInd/>
              <w:spacing w:afterLines="0" w:line="380" w:lineRule="exact"/>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46F5AFCC">
            <w:pPr>
              <w:widowControl/>
              <w:shd w:val="clear" w:color="auto" w:fill="auto"/>
              <w:spacing w:afterLines="0" w:line="380" w:lineRule="exact"/>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针对设备设施维护维修方案，方案内容包含：</w:t>
            </w: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kern w:val="0"/>
                <w:sz w:val="24"/>
                <w:szCs w:val="24"/>
                <w:highlight w:val="none"/>
                <w:lang w:val="en-US" w:eastAsia="zh-CN" w:bidi="ar-SA"/>
              </w:rPr>
              <w:t>电梯管理</w:t>
            </w: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kern w:val="0"/>
                <w:sz w:val="24"/>
                <w:szCs w:val="24"/>
                <w:highlight w:val="none"/>
                <w:lang w:val="en-US" w:eastAsia="zh-CN" w:bidi="ar-SA"/>
              </w:rPr>
              <w:t>电梯保洁③其他设施设备管理</w:t>
            </w:r>
            <w:r>
              <w:rPr>
                <w:rFonts w:hint="eastAsia" w:ascii="仿宋" w:hAnsi="仿宋" w:eastAsia="仿宋" w:cs="仿宋"/>
                <w:color w:val="auto"/>
                <w:sz w:val="24"/>
                <w:szCs w:val="24"/>
                <w:highlight w:val="none"/>
                <w:lang w:val="en-US" w:eastAsia="zh-CN"/>
              </w:rPr>
              <w:t>。</w:t>
            </w:r>
          </w:p>
          <w:p w14:paraId="5A0A7E3F">
            <w:pPr>
              <w:shd w:val="clear" w:color="auto" w:fill="auto"/>
              <w:autoSpaceDE/>
              <w:autoSpaceDN/>
              <w:adjustRightInd/>
              <w:spacing w:afterLines="0" w:line="380" w:lineRule="exac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797302BD">
            <w:pPr>
              <w:shd w:val="clear" w:color="auto" w:fill="auto"/>
              <w:autoSpaceDE/>
              <w:autoSpaceDN/>
              <w:adjustRightInd/>
              <w:spacing w:afterLines="0" w:line="38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73BEC190">
            <w:pPr>
              <w:shd w:val="clear" w:color="auto" w:fill="auto"/>
              <w:autoSpaceDE/>
              <w:autoSpaceDN/>
              <w:adjustRightInd/>
              <w:spacing w:afterLines="0" w:line="38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实际情况，实施步骤清晰、合理</w:t>
            </w:r>
            <w:r>
              <w:rPr>
                <w:rFonts w:hint="eastAsia" w:ascii="仿宋" w:hAnsi="仿宋" w:eastAsia="仿宋" w:cs="仿宋"/>
                <w:color w:val="auto"/>
                <w:sz w:val="24"/>
                <w:szCs w:val="24"/>
                <w:highlight w:val="none"/>
                <w:lang w:eastAsia="zh-CN"/>
              </w:rPr>
              <w:t>；</w:t>
            </w:r>
          </w:p>
          <w:p w14:paraId="437B0BBC">
            <w:pPr>
              <w:keepNext w:val="0"/>
              <w:keepLines w:val="0"/>
              <w:pageBreakBefore w:val="0"/>
              <w:widowControl/>
              <w:shd w:val="clear" w:color="auto" w:fill="auto"/>
              <w:kinsoku/>
              <w:wordWrap/>
              <w:overflowPunct/>
              <w:topLinePunct w:val="0"/>
              <w:autoSpaceDE/>
              <w:autoSpaceDN/>
              <w:bidi w:val="0"/>
              <w:adjustRightInd/>
              <w:snapToGrid/>
              <w:spacing w:afterLines="0" w:line="380" w:lineRule="exact"/>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633408CD">
            <w:pPr>
              <w:shd w:val="clear" w:color="auto" w:fill="auto"/>
              <w:autoSpaceDE/>
              <w:autoSpaceDN/>
              <w:adjustRightInd/>
              <w:spacing w:afterLines="0" w:line="38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分）</w:t>
            </w:r>
          </w:p>
          <w:p w14:paraId="3A483EA8">
            <w:pPr>
              <w:shd w:val="clear" w:color="auto" w:fill="auto"/>
              <w:autoSpaceDE/>
              <w:autoSpaceDN/>
              <w:adjustRightInd/>
              <w:spacing w:afterLines="0" w:line="380" w:lineRule="exac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①</w:t>
            </w:r>
            <w:r>
              <w:rPr>
                <w:rFonts w:hint="eastAsia" w:ascii="仿宋" w:hAnsi="仿宋" w:eastAsia="仿宋" w:cs="仿宋"/>
                <w:color w:val="auto"/>
                <w:kern w:val="0"/>
                <w:sz w:val="24"/>
                <w:szCs w:val="24"/>
                <w:highlight w:val="none"/>
                <w:lang w:val="en-US" w:eastAsia="zh-CN" w:bidi="ar-SA"/>
              </w:rPr>
              <w:t>电梯管理</w:t>
            </w:r>
            <w:r>
              <w:rPr>
                <w:rFonts w:hint="eastAsia" w:ascii="仿宋" w:hAnsi="仿宋" w:eastAsia="仿宋" w:cs="仿宋"/>
                <w:bCs/>
                <w:color w:val="auto"/>
                <w:sz w:val="24"/>
                <w:szCs w:val="24"/>
                <w:highlight w:val="none"/>
              </w:rPr>
              <w:t>：每完全满足一项评审标准得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5AC370BC">
            <w:pPr>
              <w:shd w:val="clear" w:color="auto" w:fill="auto"/>
              <w:spacing w:afterLines="0" w:line="38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kern w:val="0"/>
                <w:sz w:val="24"/>
                <w:szCs w:val="24"/>
                <w:highlight w:val="none"/>
                <w:lang w:val="en-US" w:eastAsia="zh-CN" w:bidi="ar-SA"/>
              </w:rPr>
              <w:t>电梯保洁</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每完全满足一项评审标准得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4B74DCAA">
            <w:pPr>
              <w:shd w:val="clear" w:color="auto" w:fill="auto"/>
              <w:spacing w:afterLines="0" w:line="38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auto"/>
                <w:kern w:val="0"/>
                <w:sz w:val="24"/>
                <w:szCs w:val="24"/>
                <w:highlight w:val="none"/>
                <w:lang w:val="en-US" w:eastAsia="zh-CN" w:bidi="ar-SA"/>
              </w:rPr>
              <w:t>③其他设施设备管理</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每完全满足一项评审标准得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r>
              <w:rPr>
                <w:rFonts w:hint="eastAsia" w:ascii="仿宋" w:hAnsi="仿宋" w:eastAsia="仿宋" w:cs="仿宋"/>
                <w:bCs/>
                <w:color w:val="auto"/>
                <w:sz w:val="24"/>
                <w:szCs w:val="24"/>
                <w:highlight w:val="none"/>
              </w:rPr>
              <w:t>。</w:t>
            </w:r>
          </w:p>
        </w:tc>
      </w:tr>
      <w:tr w14:paraId="3C92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20F0AAA1">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楼宇巡查管理</w:t>
            </w:r>
            <w:r>
              <w:rPr>
                <w:rFonts w:hint="eastAsia" w:ascii="仿宋" w:hAnsi="仿宋" w:eastAsia="仿宋" w:cs="仿宋"/>
                <w:color w:val="000000" w:themeColor="text1"/>
                <w:sz w:val="24"/>
                <w:szCs w:val="24"/>
                <w14:textFill>
                  <w14:solidFill>
                    <w14:schemeClr w14:val="tx1"/>
                  </w14:solidFill>
                </w14:textFill>
              </w:rPr>
              <w:t>服务方案</w:t>
            </w:r>
          </w:p>
        </w:tc>
        <w:tc>
          <w:tcPr>
            <w:tcW w:w="729" w:type="dxa"/>
            <w:vAlign w:val="center"/>
          </w:tcPr>
          <w:p w14:paraId="2002E0A5">
            <w:pPr>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w:t>
            </w:r>
          </w:p>
        </w:tc>
        <w:tc>
          <w:tcPr>
            <w:tcW w:w="7437" w:type="dxa"/>
            <w:vAlign w:val="center"/>
          </w:tcPr>
          <w:p w14:paraId="4B924A92">
            <w:pPr>
              <w:tabs>
                <w:tab w:val="left" w:pos="547"/>
              </w:tabs>
              <w:autoSpaceDE w:val="0"/>
              <w:autoSpaceDN w:val="0"/>
              <w:adjustRightInd w:val="0"/>
              <w:snapToGrid/>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一、评审内容</w:t>
            </w:r>
          </w:p>
          <w:p w14:paraId="53B9EB34">
            <w:pPr>
              <w:tabs>
                <w:tab w:val="left" w:pos="547"/>
              </w:tabs>
              <w:autoSpaceDE w:val="0"/>
              <w:autoSpaceDN w:val="0"/>
              <w:adjustRightInd w:val="0"/>
              <w:snapToGrid/>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针对</w:t>
            </w:r>
            <w:r>
              <w:rPr>
                <w:rFonts w:hint="eastAsia" w:ascii="仿宋" w:hAnsi="仿宋" w:eastAsia="仿宋" w:cs="仿宋"/>
                <w:color w:val="000000" w:themeColor="text1"/>
                <w:sz w:val="24"/>
                <w:szCs w:val="24"/>
                <w:lang w:eastAsia="zh-CN"/>
                <w14:textFill>
                  <w14:solidFill>
                    <w14:schemeClr w14:val="tx1"/>
                  </w14:solidFill>
                </w14:textFill>
              </w:rPr>
              <w:t>本项目</w:t>
            </w:r>
            <w:r>
              <w:rPr>
                <w:rFonts w:hint="eastAsia" w:ascii="仿宋" w:hAnsi="仿宋" w:eastAsia="仿宋" w:cs="仿宋"/>
                <w:color w:val="000000" w:themeColor="text1"/>
                <w:sz w:val="24"/>
                <w:szCs w:val="24"/>
                <w14:textFill>
                  <w14:solidFill>
                    <w14:schemeClr w14:val="tx1"/>
                  </w14:solidFill>
                </w14:textFill>
              </w:rPr>
              <w:t>提供整体全面的</w:t>
            </w:r>
            <w:r>
              <w:rPr>
                <w:rFonts w:hint="eastAsia" w:ascii="仿宋" w:hAnsi="仿宋" w:eastAsia="仿宋" w:cs="仿宋"/>
                <w:color w:val="000000" w:themeColor="text1"/>
                <w:sz w:val="24"/>
                <w:szCs w:val="24"/>
                <w:lang w:val="en-US" w:eastAsia="zh-CN"/>
                <w14:textFill>
                  <w14:solidFill>
                    <w14:schemeClr w14:val="tx1"/>
                  </w14:solidFill>
                </w14:textFill>
              </w:rPr>
              <w:t>楼宇巡查管理</w:t>
            </w:r>
            <w:r>
              <w:rPr>
                <w:rFonts w:hint="eastAsia" w:ascii="仿宋" w:hAnsi="仿宋" w:eastAsia="仿宋" w:cs="仿宋"/>
                <w:color w:val="000000" w:themeColor="text1"/>
                <w:sz w:val="24"/>
                <w:szCs w:val="24"/>
                <w14:textFill>
                  <w14:solidFill>
                    <w14:schemeClr w14:val="tx1"/>
                  </w14:solidFill>
                </w14:textFill>
              </w:rPr>
              <w:t>服务方案，包含：</w:t>
            </w:r>
            <w:r>
              <w:rPr>
                <w:rFonts w:hint="eastAsia" w:ascii="仿宋" w:hAnsi="仿宋" w:eastAsia="仿宋" w:cs="仿宋"/>
                <w:bCs/>
                <w:color w:val="000000" w:themeColor="text1"/>
                <w:sz w:val="24"/>
                <w:szCs w:val="24"/>
                <w14:textFill>
                  <w14:solidFill>
                    <w14:schemeClr w14:val="tx1"/>
                  </w14:solidFill>
                </w14:textFill>
              </w:rPr>
              <w:t>①楼宇卫生检查、日常管理②各类安全隐患</w:t>
            </w:r>
            <w:r>
              <w:rPr>
                <w:rFonts w:hint="eastAsia" w:ascii="仿宋" w:hAnsi="仿宋" w:eastAsia="仿宋" w:cs="仿宋"/>
                <w:bCs/>
                <w:color w:val="000000" w:themeColor="text1"/>
                <w:sz w:val="24"/>
                <w:szCs w:val="24"/>
                <w:lang w:val="en-US" w:eastAsia="zh-CN"/>
                <w14:textFill>
                  <w14:solidFill>
                    <w14:schemeClr w14:val="tx1"/>
                  </w14:solidFill>
                </w14:textFill>
              </w:rPr>
              <w:t>防范</w:t>
            </w:r>
            <w:r>
              <w:rPr>
                <w:rFonts w:hint="eastAsia" w:ascii="仿宋" w:hAnsi="仿宋" w:eastAsia="仿宋" w:cs="仿宋"/>
                <w:bCs/>
                <w:color w:val="000000" w:themeColor="text1"/>
                <w:sz w:val="24"/>
                <w:szCs w:val="24"/>
                <w14:textFill>
                  <w14:solidFill>
                    <w14:schemeClr w14:val="tx1"/>
                  </w14:solidFill>
                </w14:textFill>
              </w:rPr>
              <w:t>③门卫值班、巡查</w:t>
            </w:r>
            <w:r>
              <w:rPr>
                <w:rFonts w:hint="eastAsia" w:ascii="仿宋" w:hAnsi="仿宋" w:eastAsia="仿宋" w:cs="仿宋"/>
                <w:bCs/>
                <w:color w:val="000000" w:themeColor="text1"/>
                <w:sz w:val="24"/>
                <w:szCs w:val="24"/>
                <w:lang w:val="en-US" w:eastAsia="zh-CN"/>
                <w14:textFill>
                  <w14:solidFill>
                    <w14:schemeClr w14:val="tx1"/>
                  </w14:solidFill>
                </w14:textFill>
              </w:rPr>
              <w:t>服务方案</w:t>
            </w:r>
            <w:r>
              <w:rPr>
                <w:rFonts w:hint="eastAsia" w:ascii="仿宋" w:hAnsi="仿宋" w:eastAsia="仿宋" w:cs="仿宋"/>
                <w:color w:val="000000" w:themeColor="text1"/>
                <w:sz w:val="24"/>
                <w:szCs w:val="24"/>
                <w14:textFill>
                  <w14:solidFill>
                    <w14:schemeClr w14:val="tx1"/>
                  </w14:solidFill>
                </w14:textFill>
              </w:rPr>
              <w:t>。</w:t>
            </w:r>
          </w:p>
          <w:p w14:paraId="6696EC02">
            <w:pPr>
              <w:tabs>
                <w:tab w:val="left" w:pos="547"/>
              </w:tabs>
              <w:autoSpaceDE w:val="0"/>
              <w:autoSpaceDN w:val="0"/>
              <w:adjustRightInd w:val="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二、评审标准</w:t>
            </w:r>
          </w:p>
          <w:p w14:paraId="2CED888F">
            <w:pPr>
              <w:tabs>
                <w:tab w:val="left" w:pos="547"/>
              </w:tabs>
              <w:autoSpaceDE w:val="0"/>
              <w:autoSpaceDN w:val="0"/>
              <w:adjustRightInd w:val="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1、完整性：方案必须全面，对评审内容中的各项要求有详细描述；</w:t>
            </w:r>
          </w:p>
          <w:p w14:paraId="4DFF80F1">
            <w:pPr>
              <w:tabs>
                <w:tab w:val="left" w:pos="547"/>
              </w:tabs>
              <w:autoSpaceDE w:val="0"/>
              <w:autoSpaceDN w:val="0"/>
              <w:adjustRightInd w:val="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可实施性：</w:t>
            </w:r>
            <w:r>
              <w:rPr>
                <w:rFonts w:hint="eastAsia" w:ascii="仿宋" w:hAnsi="仿宋" w:eastAsia="仿宋" w:cs="仿宋"/>
                <w:kern w:val="0"/>
                <w:sz w:val="24"/>
                <w:szCs w:val="24"/>
              </w:rPr>
              <w:t>切合本项目实际情况，实施步骤清晰、合理</w:t>
            </w:r>
            <w:r>
              <w:rPr>
                <w:rFonts w:hint="eastAsia" w:ascii="仿宋" w:hAnsi="仿宋" w:eastAsia="仿宋" w:cs="仿宋"/>
                <w:color w:val="000000" w:themeColor="text1"/>
                <w:sz w:val="24"/>
                <w:szCs w:val="24"/>
                <w14:textFill>
                  <w14:solidFill>
                    <w14:schemeClr w14:val="tx1"/>
                  </w14:solidFill>
                </w14:textFill>
              </w:rPr>
              <w:t>；</w:t>
            </w:r>
          </w:p>
          <w:p w14:paraId="73093C4B">
            <w:pPr>
              <w:tabs>
                <w:tab w:val="left" w:pos="547"/>
              </w:tabs>
              <w:autoSpaceDE w:val="0"/>
              <w:autoSpaceDN w:val="0"/>
              <w:adjustRightInd w:val="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3、针对性：方案能够紧扣项目实际情况，内容科学合理。</w:t>
            </w:r>
          </w:p>
          <w:p w14:paraId="5D90D986">
            <w:pP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三、赋分标准</w:t>
            </w:r>
            <w:r>
              <w:rPr>
                <w:rFonts w:hint="eastAsia" w:ascii="仿宋" w:hAnsi="仿宋" w:eastAsia="仿宋" w:cs="仿宋"/>
                <w:b/>
                <w:bCs/>
                <w:color w:val="000000" w:themeColor="text1"/>
                <w:kern w:val="0"/>
                <w:sz w:val="24"/>
                <w:szCs w:val="24"/>
                <w14:textFill>
                  <w14:solidFill>
                    <w14:schemeClr w14:val="tx1"/>
                  </w14:solidFill>
                </w14:textFill>
              </w:rPr>
              <w:t>（满分</w:t>
            </w:r>
            <w:r>
              <w:rPr>
                <w:rFonts w:hint="eastAsia" w:ascii="仿宋" w:hAnsi="仿宋" w:eastAsia="仿宋" w:cs="仿宋"/>
                <w:b/>
                <w:bCs/>
                <w:color w:val="000000" w:themeColor="text1"/>
                <w:kern w:val="0"/>
                <w:sz w:val="24"/>
                <w:szCs w:val="24"/>
                <w:lang w:val="en-US" w:eastAsia="zh-CN"/>
                <w14:textFill>
                  <w14:solidFill>
                    <w14:schemeClr w14:val="tx1"/>
                  </w14:solidFill>
                </w14:textFill>
              </w:rPr>
              <w:t>9</w:t>
            </w:r>
            <w:r>
              <w:rPr>
                <w:rFonts w:hint="eastAsia" w:ascii="仿宋" w:hAnsi="仿宋" w:eastAsia="仿宋" w:cs="仿宋"/>
                <w:b/>
                <w:bCs/>
                <w:color w:val="000000" w:themeColor="text1"/>
                <w:kern w:val="0"/>
                <w:sz w:val="24"/>
                <w:szCs w:val="24"/>
                <w14:textFill>
                  <w14:solidFill>
                    <w14:schemeClr w14:val="tx1"/>
                  </w14:solidFill>
                </w14:textFill>
              </w:rPr>
              <w:t>分）</w:t>
            </w:r>
          </w:p>
          <w:p w14:paraId="037A1E01">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w:t>
            </w:r>
            <w:r>
              <w:rPr>
                <w:rFonts w:hint="eastAsia" w:ascii="仿宋" w:hAnsi="仿宋" w:eastAsia="仿宋" w:cs="仿宋"/>
                <w:bCs/>
                <w:color w:val="000000" w:themeColor="text1"/>
                <w:sz w:val="24"/>
                <w:szCs w:val="24"/>
                <w14:textFill>
                  <w14:solidFill>
                    <w14:schemeClr w14:val="tx1"/>
                  </w14:solidFill>
                </w14:textFill>
              </w:rPr>
              <w:t>楼宇卫生检查、日常管理</w:t>
            </w:r>
            <w:r>
              <w:rPr>
                <w:rFonts w:hint="eastAsia" w:ascii="仿宋" w:hAnsi="仿宋" w:eastAsia="仿宋" w:cs="仿宋"/>
                <w:color w:val="000000" w:themeColor="text1"/>
                <w:sz w:val="24"/>
                <w:szCs w:val="24"/>
                <w14:textFill>
                  <w14:solidFill>
                    <w14:schemeClr w14:val="tx1"/>
                  </w14:solidFill>
                </w14:textFill>
              </w:rPr>
              <w:t>：每完全满足一个评审标准得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w:t>
            </w:r>
          </w:p>
          <w:p w14:paraId="4B589AF4">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w:t>
            </w:r>
            <w:r>
              <w:rPr>
                <w:rFonts w:hint="eastAsia" w:ascii="仿宋" w:hAnsi="仿宋" w:eastAsia="仿宋" w:cs="仿宋"/>
                <w:bCs/>
                <w:color w:val="000000" w:themeColor="text1"/>
                <w:sz w:val="24"/>
                <w:szCs w:val="24"/>
                <w14:textFill>
                  <w14:solidFill>
                    <w14:schemeClr w14:val="tx1"/>
                  </w14:solidFill>
                </w14:textFill>
              </w:rPr>
              <w:t>各类安全隐患</w:t>
            </w:r>
            <w:r>
              <w:rPr>
                <w:rFonts w:hint="eastAsia" w:ascii="仿宋" w:hAnsi="仿宋" w:eastAsia="仿宋" w:cs="仿宋"/>
                <w:bCs/>
                <w:color w:val="000000" w:themeColor="text1"/>
                <w:sz w:val="24"/>
                <w:szCs w:val="24"/>
                <w:lang w:val="en-US" w:eastAsia="zh-CN"/>
                <w14:textFill>
                  <w14:solidFill>
                    <w14:schemeClr w14:val="tx1"/>
                  </w14:solidFill>
                </w14:textFill>
              </w:rPr>
              <w:t>防范</w:t>
            </w:r>
            <w:r>
              <w:rPr>
                <w:rFonts w:hint="eastAsia" w:ascii="仿宋" w:hAnsi="仿宋" w:eastAsia="仿宋" w:cs="仿宋"/>
                <w:color w:val="000000" w:themeColor="text1"/>
                <w:sz w:val="24"/>
                <w:szCs w:val="24"/>
                <w14:textFill>
                  <w14:solidFill>
                    <w14:schemeClr w14:val="tx1"/>
                  </w14:solidFill>
                </w14:textFill>
              </w:rPr>
              <w:t>：每完全满足一个评审标准得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w:t>
            </w:r>
          </w:p>
          <w:p w14:paraId="547E1C63">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③</w:t>
            </w:r>
            <w:r>
              <w:rPr>
                <w:rFonts w:hint="eastAsia" w:ascii="仿宋" w:hAnsi="仿宋" w:eastAsia="仿宋" w:cs="仿宋"/>
                <w:bCs/>
                <w:color w:val="000000" w:themeColor="text1"/>
                <w:sz w:val="24"/>
                <w:szCs w:val="24"/>
                <w14:textFill>
                  <w14:solidFill>
                    <w14:schemeClr w14:val="tx1"/>
                  </w14:solidFill>
                </w14:textFill>
              </w:rPr>
              <w:t>门卫值班、巡查</w:t>
            </w:r>
            <w:r>
              <w:rPr>
                <w:rFonts w:hint="eastAsia" w:ascii="仿宋" w:hAnsi="仿宋" w:eastAsia="仿宋" w:cs="仿宋"/>
                <w:bCs/>
                <w:color w:val="000000" w:themeColor="text1"/>
                <w:sz w:val="24"/>
                <w:szCs w:val="24"/>
                <w:lang w:val="en-US" w:eastAsia="zh-CN"/>
                <w14:textFill>
                  <w14:solidFill>
                    <w14:schemeClr w14:val="tx1"/>
                  </w14:solidFill>
                </w14:textFill>
              </w:rPr>
              <w:t>服务方案</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w:t>
            </w:r>
          </w:p>
        </w:tc>
      </w:tr>
      <w:tr w14:paraId="0487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56" w:type="dxa"/>
            <w:vAlign w:val="center"/>
          </w:tcPr>
          <w:p w14:paraId="45F5D50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rPr>
              <w:t>节能降耗方案</w:t>
            </w:r>
          </w:p>
        </w:tc>
        <w:tc>
          <w:tcPr>
            <w:tcW w:w="729" w:type="dxa"/>
            <w:vAlign w:val="center"/>
          </w:tcPr>
          <w:p w14:paraId="0011ABA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4.5</w:t>
            </w:r>
          </w:p>
        </w:tc>
        <w:tc>
          <w:tcPr>
            <w:tcW w:w="7437" w:type="dxa"/>
            <w:vAlign w:val="center"/>
          </w:tcPr>
          <w:p w14:paraId="191706E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4468E4A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提出详细的水电等节能降耗方案，内容包括：①节能降耗原则②节能降耗的具体措施。</w:t>
            </w:r>
          </w:p>
          <w:p w14:paraId="49127DC5">
            <w:pPr>
              <w:pStyle w:val="22"/>
              <w:keepNext w:val="0"/>
              <w:keepLines w:val="0"/>
              <w:pageBreakBefore w:val="0"/>
              <w:widowControl/>
              <w:kinsoku/>
              <w:wordWrap/>
              <w:overflowPunct/>
              <w:topLinePunct w:val="0"/>
              <w:autoSpaceDE/>
              <w:autoSpaceDN/>
              <w:bidi w:val="0"/>
              <w:adjustRightInd/>
              <w:snapToGrid/>
              <w:spacing w:line="400" w:lineRule="exact"/>
              <w:ind w:firstLine="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6E75D81F">
            <w:pPr>
              <w:keepNext w:val="0"/>
              <w:keepLines w:val="0"/>
              <w:pageBreakBefore w:val="0"/>
              <w:widowControl/>
              <w:tabs>
                <w:tab w:val="left" w:pos="547"/>
              </w:tabs>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13A8384E">
            <w:pPr>
              <w:keepNext w:val="0"/>
              <w:keepLines w:val="0"/>
              <w:pageBreakBefore w:val="0"/>
              <w:widowControl/>
              <w:tabs>
                <w:tab w:val="left" w:pos="547"/>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w:t>
            </w:r>
            <w:r>
              <w:rPr>
                <w:rFonts w:hint="eastAsia" w:ascii="仿宋" w:hAnsi="仿宋" w:eastAsia="仿宋" w:cs="仿宋"/>
                <w:kern w:val="0"/>
                <w:sz w:val="24"/>
                <w:szCs w:val="24"/>
              </w:rPr>
              <w:t>切合本项目实际情况，实施步骤清晰、合理</w:t>
            </w:r>
            <w:r>
              <w:rPr>
                <w:rFonts w:hint="eastAsia" w:ascii="仿宋" w:hAnsi="仿宋" w:eastAsia="仿宋" w:cs="仿宋"/>
                <w:color w:val="auto"/>
                <w:sz w:val="24"/>
                <w:szCs w:val="24"/>
                <w:highlight w:val="none"/>
              </w:rPr>
              <w:t>；</w:t>
            </w:r>
          </w:p>
          <w:p w14:paraId="1C93A067">
            <w:pPr>
              <w:keepNext w:val="0"/>
              <w:keepLines w:val="0"/>
              <w:pageBreakBefore w:val="0"/>
              <w:widowControl/>
              <w:tabs>
                <w:tab w:val="left" w:pos="547"/>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bCs/>
                <w:color w:val="auto"/>
                <w:sz w:val="24"/>
                <w:szCs w:val="24"/>
                <w:highlight w:val="none"/>
              </w:rPr>
              <w:t>针对性：方案能够紧扣项目实际情况，内容科学合理。</w:t>
            </w:r>
          </w:p>
          <w:p w14:paraId="3D76F07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三、赋分标准（满分</w:t>
            </w:r>
            <w:r>
              <w:rPr>
                <w:rFonts w:hint="eastAsia" w:ascii="仿宋" w:hAnsi="仿宋" w:eastAsia="仿宋" w:cs="仿宋"/>
                <w:b/>
                <w:bCs/>
                <w:color w:val="auto"/>
                <w:sz w:val="24"/>
                <w:szCs w:val="24"/>
                <w:highlight w:val="none"/>
                <w:lang w:val="en-US" w:eastAsia="zh-CN"/>
              </w:rPr>
              <w:t>4.5</w:t>
            </w:r>
            <w:r>
              <w:rPr>
                <w:rFonts w:hint="eastAsia" w:ascii="仿宋" w:hAnsi="仿宋" w:eastAsia="仿宋" w:cs="仿宋"/>
                <w:b/>
                <w:bCs/>
                <w:color w:val="auto"/>
                <w:sz w:val="24"/>
                <w:szCs w:val="24"/>
                <w:highlight w:val="none"/>
              </w:rPr>
              <w:t>分）</w:t>
            </w:r>
          </w:p>
          <w:p w14:paraId="18DD616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①节能降耗原则：</w:t>
            </w:r>
            <w:r>
              <w:rPr>
                <w:rFonts w:hint="eastAsia" w:ascii="仿宋" w:hAnsi="仿宋" w:eastAsia="仿宋" w:cs="仿宋"/>
                <w:color w:val="000000" w:themeColor="text1"/>
                <w:sz w:val="24"/>
                <w:szCs w:val="24"/>
                <w14:textFill>
                  <w14:solidFill>
                    <w14:schemeClr w14:val="tx1"/>
                  </w14:solidFill>
                </w14:textFill>
              </w:rPr>
              <w:t>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auto"/>
                <w:sz w:val="24"/>
                <w:szCs w:val="24"/>
                <w:highlight w:val="none"/>
              </w:rPr>
              <w:t>；</w:t>
            </w:r>
          </w:p>
          <w:p w14:paraId="2180697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auto"/>
                <w:sz w:val="24"/>
                <w:szCs w:val="24"/>
                <w:highlight w:val="none"/>
              </w:rPr>
              <w:t>②节能降耗的具体措施：每完全满足一个评审标准得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14:paraId="5BEF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56" w:type="dxa"/>
            <w:vAlign w:val="center"/>
          </w:tcPr>
          <w:p w14:paraId="3FF2ED52">
            <w:pPr>
              <w:autoSpaceDE w:val="0"/>
              <w:autoSpaceDN w:val="0"/>
              <w:adjustRightInd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应急方案</w:t>
            </w:r>
          </w:p>
        </w:tc>
        <w:tc>
          <w:tcPr>
            <w:tcW w:w="729" w:type="dxa"/>
            <w:vAlign w:val="center"/>
          </w:tcPr>
          <w:p w14:paraId="33A7C9F5">
            <w:pPr>
              <w:autoSpaceDE w:val="0"/>
              <w:autoSpaceDN w:val="0"/>
              <w:adjustRightInd w:val="0"/>
              <w:spacing w:line="360" w:lineRule="exact"/>
              <w:jc w:val="center"/>
              <w:rPr>
                <w:rFonts w:hint="default" w:ascii="仿宋" w:hAnsi="仿宋" w:eastAsia="仿宋" w:cs="仿宋"/>
                <w:color w:val="000000" w:themeColor="text1"/>
                <w:kern w:val="0"/>
                <w:sz w:val="24"/>
                <w:szCs w:val="24"/>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7437" w:type="dxa"/>
            <w:vAlign w:val="center"/>
          </w:tcPr>
          <w:p w14:paraId="1EC72987">
            <w:pPr>
              <w:keepNext w:val="0"/>
              <w:keepLines w:val="0"/>
              <w:pageBreakBefore w:val="0"/>
              <w:widowControl/>
              <w:kinsoku/>
              <w:wordWrap/>
              <w:overflowPunct/>
              <w:topLinePunct w:val="0"/>
              <w:autoSpaceDE w:val="0"/>
              <w:autoSpaceDN w:val="0"/>
              <w:bidi w:val="0"/>
              <w:adjustRightInd w:val="0"/>
              <w:snapToGrid/>
              <w:spacing w:line="380" w:lineRule="exact"/>
              <w:textAlignment w:val="auto"/>
              <w:rPr>
                <w:rFonts w:ascii="仿宋" w:hAnsi="仿宋" w:eastAsia="仿宋" w:cs="仿宋"/>
                <w:b/>
                <w:bCs/>
                <w:kern w:val="0"/>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kern w:val="0"/>
                <w:sz w:val="24"/>
                <w:szCs w:val="24"/>
                <w:highlight w:val="none"/>
              </w:rPr>
              <w:t>评审内容</w:t>
            </w:r>
          </w:p>
          <w:p w14:paraId="2A518C08">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仿宋"/>
                <w:sz w:val="24"/>
                <w:szCs w:val="24"/>
                <w:highlight w:val="yellow"/>
              </w:rPr>
            </w:pPr>
            <w:r>
              <w:rPr>
                <w:rFonts w:hint="eastAsia" w:ascii="仿宋" w:hAnsi="仿宋" w:eastAsia="仿宋" w:cs="仿宋"/>
                <w:sz w:val="24"/>
                <w:szCs w:val="24"/>
                <w:highlight w:val="none"/>
              </w:rPr>
              <w:t>针对</w:t>
            </w:r>
            <w:r>
              <w:rPr>
                <w:rFonts w:hint="eastAsia" w:ascii="仿宋" w:hAnsi="仿宋" w:eastAsia="仿宋" w:cs="仿宋"/>
                <w:sz w:val="24"/>
                <w:szCs w:val="24"/>
                <w:highlight w:val="none"/>
                <w:lang w:eastAsia="zh-CN"/>
              </w:rPr>
              <w:t>本项目</w:t>
            </w:r>
            <w:r>
              <w:rPr>
                <w:rFonts w:hint="eastAsia" w:ascii="仿宋" w:hAnsi="仿宋" w:eastAsia="仿宋" w:cs="仿宋"/>
                <w:sz w:val="24"/>
                <w:szCs w:val="24"/>
                <w:highlight w:val="none"/>
              </w:rPr>
              <w:t>特点提供应急</w:t>
            </w:r>
            <w:r>
              <w:rPr>
                <w:rFonts w:hint="eastAsia" w:ascii="仿宋" w:hAnsi="仿宋" w:eastAsia="仿宋" w:cs="仿宋"/>
                <w:sz w:val="24"/>
                <w:szCs w:val="24"/>
                <w:highlight w:val="none"/>
                <w:lang w:val="en-US" w:eastAsia="zh-CN"/>
              </w:rPr>
              <w:t>方</w:t>
            </w:r>
            <w:r>
              <w:rPr>
                <w:rFonts w:hint="eastAsia" w:ascii="仿宋" w:hAnsi="仿宋" w:eastAsia="仿宋" w:cs="仿宋"/>
                <w:sz w:val="24"/>
                <w:szCs w:val="24"/>
                <w:highlight w:val="none"/>
              </w:rPr>
              <w:t>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内容包含</w:t>
            </w:r>
            <w:r>
              <w:rPr>
                <w:rFonts w:hint="eastAsia" w:ascii="仿宋" w:hAnsi="仿宋" w:eastAsia="仿宋" w:cs="仿宋"/>
                <w:sz w:val="24"/>
                <w:szCs w:val="24"/>
                <w:highlight w:val="none"/>
                <w:lang w:eastAsia="zh-CN"/>
              </w:rPr>
              <w:t>：</w:t>
            </w:r>
            <w:r>
              <w:rPr>
                <w:rFonts w:hint="eastAsia" w:ascii="仿宋" w:hAnsi="仿宋" w:eastAsia="仿宋" w:cs="仿宋"/>
                <w:kern w:val="0"/>
                <w:sz w:val="24"/>
                <w:szCs w:val="24"/>
                <w:highlight w:val="none"/>
              </w:rPr>
              <w:t>①</w:t>
            </w:r>
            <w:r>
              <w:rPr>
                <w:rFonts w:hint="eastAsia" w:ascii="仿宋" w:hAnsi="仿宋" w:eastAsia="仿宋" w:cs="仿宋"/>
                <w:kern w:val="0"/>
                <w:sz w:val="24"/>
                <w:szCs w:val="24"/>
                <w:highlight w:val="none"/>
                <w:lang w:val="en-US" w:eastAsia="zh-CN"/>
              </w:rPr>
              <w:t>恶劣天气</w:t>
            </w:r>
            <w:r>
              <w:rPr>
                <w:rFonts w:hint="eastAsia" w:ascii="仿宋" w:hAnsi="仿宋" w:eastAsia="仿宋" w:cs="仿宋"/>
                <w:kern w:val="0"/>
                <w:sz w:val="24"/>
                <w:szCs w:val="24"/>
                <w:highlight w:val="none"/>
              </w:rPr>
              <w:t>：如暴雨、暴雪、雷电、冰凌、大风、大雾②</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紧急</w:t>
            </w:r>
            <w:r>
              <w:rPr>
                <w:rFonts w:hint="eastAsia" w:ascii="仿宋" w:hAnsi="仿宋" w:eastAsia="仿宋" w:cs="仿宋"/>
                <w:color w:val="000000" w:themeColor="text1"/>
                <w:kern w:val="0"/>
                <w:sz w:val="24"/>
                <w:szCs w:val="24"/>
                <w:highlight w:val="none"/>
                <w14:textFill>
                  <w14:solidFill>
                    <w14:schemeClr w14:val="tx1"/>
                  </w14:solidFill>
                </w14:textFill>
              </w:rPr>
              <w:t>事件：</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停水、停电、</w:t>
            </w:r>
            <w:r>
              <w:rPr>
                <w:rFonts w:hint="eastAsia" w:ascii="仿宋" w:hAnsi="仿宋" w:eastAsia="仿宋" w:cs="仿宋"/>
                <w:kern w:val="0"/>
                <w:sz w:val="24"/>
                <w:szCs w:val="24"/>
                <w:highlight w:val="none"/>
              </w:rPr>
              <w:t>地震、火灾</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重大活动检查</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6DDB37F3">
            <w:pPr>
              <w:keepNext w:val="0"/>
              <w:keepLines w:val="0"/>
              <w:pageBreakBefore w:val="0"/>
              <w:widowControl/>
              <w:kinsoku/>
              <w:wordWrap/>
              <w:overflowPunct/>
              <w:topLinePunct w:val="0"/>
              <w:bidi w:val="0"/>
              <w:snapToGrid/>
              <w:spacing w:line="380" w:lineRule="exact"/>
              <w:textAlignment w:val="auto"/>
              <w:rPr>
                <w:rFonts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二、评审标准</w:t>
            </w:r>
          </w:p>
          <w:p w14:paraId="77BEABCF">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仿宋"/>
                <w:bCs/>
                <w:sz w:val="24"/>
                <w:szCs w:val="24"/>
                <w:highlight w:val="none"/>
              </w:rPr>
            </w:pPr>
            <w:r>
              <w:rPr>
                <w:rFonts w:hint="eastAsia" w:ascii="仿宋" w:hAnsi="仿宋" w:eastAsia="仿宋" w:cs="仿宋"/>
                <w:bCs/>
                <w:sz w:val="24"/>
                <w:szCs w:val="24"/>
                <w:highlight w:val="none"/>
              </w:rPr>
              <w:t>1、完整性：方案须全面，对评审内容中的各项要求有详细描述；</w:t>
            </w:r>
          </w:p>
          <w:p w14:paraId="102AAD91">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仿宋"/>
                <w:bCs/>
                <w:sz w:val="24"/>
                <w:szCs w:val="24"/>
                <w:highlight w:val="none"/>
              </w:rPr>
            </w:pPr>
            <w:r>
              <w:rPr>
                <w:rFonts w:hint="eastAsia" w:ascii="仿宋" w:hAnsi="仿宋" w:eastAsia="仿宋" w:cs="仿宋"/>
                <w:bCs/>
                <w:sz w:val="24"/>
                <w:szCs w:val="24"/>
                <w:highlight w:val="none"/>
              </w:rPr>
              <w:t>2、</w:t>
            </w:r>
            <w:r>
              <w:rPr>
                <w:rFonts w:hint="eastAsia" w:ascii="仿宋" w:hAnsi="仿宋" w:eastAsia="仿宋" w:cs="仿宋"/>
                <w:sz w:val="24"/>
                <w:szCs w:val="24"/>
                <w:highlight w:val="none"/>
              </w:rPr>
              <w:t>可实施性：</w:t>
            </w:r>
            <w:r>
              <w:rPr>
                <w:rFonts w:hint="eastAsia" w:ascii="仿宋" w:hAnsi="仿宋" w:eastAsia="仿宋" w:cs="仿宋"/>
                <w:kern w:val="0"/>
                <w:sz w:val="24"/>
                <w:szCs w:val="24"/>
              </w:rPr>
              <w:t>切合本项目实际情况，实施步骤清晰、合理</w:t>
            </w:r>
            <w:r>
              <w:rPr>
                <w:rFonts w:hint="eastAsia" w:ascii="仿宋" w:hAnsi="仿宋" w:eastAsia="仿宋" w:cs="仿宋"/>
                <w:bCs/>
                <w:sz w:val="24"/>
                <w:szCs w:val="24"/>
                <w:highlight w:val="none"/>
              </w:rPr>
              <w:t>；</w:t>
            </w:r>
          </w:p>
          <w:p w14:paraId="48B05B4D">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仿宋"/>
                <w:bCs/>
                <w:sz w:val="24"/>
                <w:szCs w:val="24"/>
                <w:highlight w:val="none"/>
              </w:rPr>
            </w:pPr>
            <w:r>
              <w:rPr>
                <w:rFonts w:hint="eastAsia" w:ascii="仿宋" w:hAnsi="仿宋" w:eastAsia="仿宋" w:cs="仿宋"/>
                <w:bCs/>
                <w:sz w:val="24"/>
                <w:szCs w:val="24"/>
                <w:highlight w:val="none"/>
              </w:rPr>
              <w:t>3、针对性：方案能够紧扣项目实际情况，内容科学合理。</w:t>
            </w:r>
          </w:p>
          <w:p w14:paraId="58AAB772">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三、赋分标准（满分</w:t>
            </w:r>
            <w:r>
              <w:rPr>
                <w:rFonts w:hint="eastAsia" w:ascii="仿宋" w:hAnsi="仿宋" w:eastAsia="仿宋" w:cs="仿宋"/>
                <w:b/>
                <w:sz w:val="24"/>
                <w:szCs w:val="24"/>
                <w:highlight w:val="none"/>
                <w:lang w:val="en-US" w:eastAsia="zh-CN"/>
              </w:rPr>
              <w:t>6</w:t>
            </w:r>
            <w:r>
              <w:rPr>
                <w:rFonts w:hint="eastAsia" w:ascii="仿宋" w:hAnsi="仿宋" w:eastAsia="仿宋" w:cs="仿宋"/>
                <w:b/>
                <w:sz w:val="24"/>
                <w:szCs w:val="24"/>
                <w:highlight w:val="none"/>
              </w:rPr>
              <w:t>分）</w:t>
            </w:r>
          </w:p>
          <w:p w14:paraId="10A81BC2">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仿宋"/>
                <w:bCs/>
                <w:sz w:val="24"/>
                <w:szCs w:val="24"/>
                <w:highlight w:val="none"/>
              </w:rPr>
            </w:pPr>
            <w:r>
              <w:rPr>
                <w:rFonts w:hint="eastAsia" w:ascii="仿宋" w:hAnsi="仿宋" w:eastAsia="仿宋" w:cs="仿宋"/>
                <w:bCs/>
                <w:sz w:val="24"/>
                <w:szCs w:val="24"/>
                <w:highlight w:val="none"/>
              </w:rPr>
              <w:t>①</w:t>
            </w:r>
            <w:r>
              <w:rPr>
                <w:rFonts w:hint="eastAsia" w:ascii="仿宋" w:hAnsi="仿宋" w:eastAsia="仿宋" w:cs="仿宋"/>
                <w:kern w:val="0"/>
                <w:sz w:val="24"/>
                <w:szCs w:val="24"/>
                <w:highlight w:val="none"/>
                <w:lang w:val="en-US" w:eastAsia="zh-CN"/>
              </w:rPr>
              <w:t>恶劣天气</w:t>
            </w:r>
            <w:r>
              <w:rPr>
                <w:rFonts w:hint="eastAsia" w:ascii="仿宋" w:hAnsi="仿宋" w:eastAsia="仿宋" w:cs="仿宋"/>
                <w:bCs/>
                <w:sz w:val="24"/>
                <w:szCs w:val="24"/>
                <w:highlight w:val="none"/>
              </w:rPr>
              <w:t>：每完全满足一项评审标准得</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分，满分</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分；</w:t>
            </w:r>
          </w:p>
          <w:p w14:paraId="1343A60C">
            <w:pPr>
              <w:keepNext w:val="0"/>
              <w:keepLines w:val="0"/>
              <w:pageBreakBefore w:val="0"/>
              <w:widowControl/>
              <w:kinsoku/>
              <w:wordWrap/>
              <w:overflowPunct/>
              <w:topLinePunct w:val="0"/>
              <w:bidi w:val="0"/>
              <w:snapToGrid/>
              <w:spacing w:line="38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sz w:val="24"/>
                <w:szCs w:val="24"/>
                <w:highlight w:val="none"/>
              </w:rPr>
              <w:t>②</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紧急</w:t>
            </w:r>
            <w:r>
              <w:rPr>
                <w:rFonts w:hint="eastAsia" w:ascii="仿宋" w:hAnsi="仿宋" w:eastAsia="仿宋" w:cs="仿宋"/>
                <w:color w:val="000000" w:themeColor="text1"/>
                <w:kern w:val="0"/>
                <w:sz w:val="24"/>
                <w:szCs w:val="24"/>
                <w:highlight w:val="none"/>
                <w14:textFill>
                  <w14:solidFill>
                    <w14:schemeClr w14:val="tx1"/>
                  </w14:solidFill>
                </w14:textFill>
              </w:rPr>
              <w:t>事件</w:t>
            </w:r>
            <w:r>
              <w:rPr>
                <w:rFonts w:hint="eastAsia" w:ascii="仿宋" w:hAnsi="仿宋" w:eastAsia="仿宋" w:cs="仿宋"/>
                <w:bCs/>
                <w:sz w:val="24"/>
                <w:szCs w:val="24"/>
                <w:highlight w:val="none"/>
              </w:rPr>
              <w:t>:每完全满足一项评审标准得</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分，满分</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分</w:t>
            </w:r>
            <w:r>
              <w:rPr>
                <w:rFonts w:hint="eastAsia" w:ascii="仿宋" w:hAnsi="仿宋" w:eastAsia="仿宋" w:cs="仿宋"/>
                <w:bCs/>
                <w:sz w:val="24"/>
                <w:szCs w:val="24"/>
                <w:highlight w:val="none"/>
                <w:lang w:eastAsia="zh-CN"/>
              </w:rPr>
              <w:t>。</w:t>
            </w:r>
          </w:p>
        </w:tc>
      </w:tr>
      <w:tr w14:paraId="738F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56" w:type="dxa"/>
            <w:vAlign w:val="center"/>
          </w:tcPr>
          <w:p w14:paraId="5EB54432">
            <w:pPr>
              <w:autoSpaceDE w:val="0"/>
              <w:autoSpaceDN w:val="0"/>
              <w:adjustRightInd w:val="0"/>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培训考核方案</w:t>
            </w:r>
          </w:p>
        </w:tc>
        <w:tc>
          <w:tcPr>
            <w:tcW w:w="729" w:type="dxa"/>
            <w:vAlign w:val="center"/>
          </w:tcPr>
          <w:p w14:paraId="026B4488">
            <w:pPr>
              <w:autoSpaceDE w:val="0"/>
              <w:autoSpaceDN w:val="0"/>
              <w:adjustRightInd w:val="0"/>
              <w:spacing w:line="36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7437" w:type="dxa"/>
            <w:vAlign w:val="center"/>
          </w:tcPr>
          <w:p w14:paraId="0C933B91">
            <w:pP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一、评审内容</w:t>
            </w:r>
          </w:p>
          <w:p w14:paraId="32020840">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w:t>
            </w:r>
            <w:r>
              <w:rPr>
                <w:rFonts w:hint="eastAsia" w:ascii="仿宋" w:hAnsi="仿宋" w:eastAsia="仿宋" w:cs="仿宋"/>
                <w:color w:val="000000" w:themeColor="text1"/>
                <w:sz w:val="24"/>
                <w:szCs w:val="24"/>
                <w:lang w:eastAsia="zh-CN"/>
                <w14:textFill>
                  <w14:solidFill>
                    <w14:schemeClr w14:val="tx1"/>
                  </w14:solidFill>
                </w14:textFill>
              </w:rPr>
              <w:t>本项目</w:t>
            </w:r>
            <w:r>
              <w:rPr>
                <w:rFonts w:hint="eastAsia" w:ascii="仿宋" w:hAnsi="仿宋" w:eastAsia="仿宋" w:cs="仿宋"/>
                <w:color w:val="000000" w:themeColor="text1"/>
                <w:sz w:val="24"/>
                <w:szCs w:val="24"/>
                <w14:textFill>
                  <w14:solidFill>
                    <w14:schemeClr w14:val="tx1"/>
                  </w14:solidFill>
                </w14:textFill>
              </w:rPr>
              <w:t>制定详细、可行的培训考核方案，保证上岗人员的专业素质、服务质量符合采购人要求，方案包含：</w:t>
            </w:r>
            <w:r>
              <w:rPr>
                <w:rFonts w:hint="eastAsia" w:ascii="仿宋" w:hAnsi="仿宋" w:eastAsia="仿宋" w:cs="仿宋"/>
                <w:bCs/>
                <w:color w:val="000000" w:themeColor="text1"/>
                <w:sz w:val="24"/>
                <w:szCs w:val="24"/>
                <w14:textFill>
                  <w14:solidFill>
                    <w14:schemeClr w14:val="tx1"/>
                  </w14:solidFill>
                </w14:textFill>
              </w:rPr>
              <w:t>①</w:t>
            </w:r>
            <w:r>
              <w:rPr>
                <w:rFonts w:hint="eastAsia" w:ascii="仿宋" w:hAnsi="仿宋" w:eastAsia="仿宋" w:cs="仿宋"/>
                <w:color w:val="000000" w:themeColor="text1"/>
                <w:sz w:val="24"/>
                <w:szCs w:val="24"/>
                <w14:textFill>
                  <w14:solidFill>
                    <w14:schemeClr w14:val="tx1"/>
                  </w14:solidFill>
                </w14:textFill>
              </w:rPr>
              <w:t>岗前培训和定期常态化培训</w:t>
            </w:r>
            <w:r>
              <w:rPr>
                <w:rFonts w:hint="eastAsia" w:ascii="仿宋" w:hAnsi="仿宋" w:eastAsia="仿宋" w:cs="仿宋"/>
                <w:bCs/>
                <w:color w:val="000000" w:themeColor="text1"/>
                <w:sz w:val="24"/>
                <w:szCs w:val="24"/>
                <w14:textFill>
                  <w14:solidFill>
                    <w14:schemeClr w14:val="tx1"/>
                  </w14:solidFill>
                </w14:textFill>
              </w:rPr>
              <w:t>②</w:t>
            </w:r>
            <w:r>
              <w:rPr>
                <w:rFonts w:hint="eastAsia" w:ascii="仿宋" w:hAnsi="仿宋" w:eastAsia="仿宋" w:cs="仿宋"/>
                <w:color w:val="000000" w:themeColor="text1"/>
                <w:sz w:val="24"/>
                <w:szCs w:val="24"/>
                <w14:textFill>
                  <w14:solidFill>
                    <w14:schemeClr w14:val="tx1"/>
                  </w14:solidFill>
                </w14:textFill>
              </w:rPr>
              <w:t>培训后的成果验收和考核。</w:t>
            </w:r>
          </w:p>
          <w:p w14:paraId="30E3D8F2">
            <w:pPr>
              <w:tabs>
                <w:tab w:val="left" w:pos="547"/>
              </w:tabs>
              <w:autoSpaceDE w:val="0"/>
              <w:autoSpaceDN w:val="0"/>
              <w:adjustRightInd w:val="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二、评审标准</w:t>
            </w:r>
          </w:p>
          <w:p w14:paraId="6DE0B5AD">
            <w:pPr>
              <w:tabs>
                <w:tab w:val="left" w:pos="547"/>
              </w:tabs>
              <w:autoSpaceDE w:val="0"/>
              <w:autoSpaceDN w:val="0"/>
              <w:adjustRightIn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1、完整性：方案必须全面，对评审内容中的各项要求有详细描述；</w:t>
            </w:r>
          </w:p>
          <w:p w14:paraId="7A175C72">
            <w:pPr>
              <w:tabs>
                <w:tab w:val="left" w:pos="547"/>
              </w:tabs>
              <w:autoSpaceDE w:val="0"/>
              <w:autoSpaceDN w:val="0"/>
              <w:adjustRightIn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2、可实施性：</w:t>
            </w:r>
            <w:r>
              <w:rPr>
                <w:rFonts w:hint="eastAsia" w:ascii="仿宋" w:hAnsi="仿宋" w:eastAsia="仿宋" w:cs="仿宋"/>
                <w:kern w:val="0"/>
                <w:sz w:val="24"/>
                <w:szCs w:val="24"/>
              </w:rPr>
              <w:t>切合本项目实际情况，实施步骤清晰、合理</w:t>
            </w:r>
            <w:r>
              <w:rPr>
                <w:rFonts w:hint="eastAsia" w:ascii="仿宋" w:hAnsi="仿宋" w:eastAsia="仿宋" w:cs="仿宋"/>
                <w:color w:val="000000" w:themeColor="text1"/>
                <w:sz w:val="24"/>
                <w:szCs w:val="24"/>
                <w14:textFill>
                  <w14:solidFill>
                    <w14:schemeClr w14:val="tx1"/>
                  </w14:solidFill>
                </w14:textFill>
              </w:rPr>
              <w:t>；</w:t>
            </w:r>
          </w:p>
          <w:p w14:paraId="5EC4809A">
            <w:pPr>
              <w:tabs>
                <w:tab w:val="left" w:pos="547"/>
              </w:tabs>
              <w:autoSpaceDE w:val="0"/>
              <w:autoSpaceDN w:val="0"/>
              <w:adjustRightIn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3、针对性：方案能够紧扣项目实际情况，内容科学合理。</w:t>
            </w:r>
          </w:p>
          <w:p w14:paraId="774939CC">
            <w:pP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三、赋分标准</w:t>
            </w:r>
            <w:r>
              <w:rPr>
                <w:rFonts w:hint="eastAsia" w:ascii="仿宋" w:hAnsi="仿宋" w:eastAsia="仿宋" w:cs="仿宋"/>
                <w:b/>
                <w:bCs/>
                <w:color w:val="000000" w:themeColor="text1"/>
                <w:kern w:val="0"/>
                <w:sz w:val="24"/>
                <w:szCs w:val="24"/>
                <w14:textFill>
                  <w14:solidFill>
                    <w14:schemeClr w14:val="tx1"/>
                  </w14:solidFill>
                </w14:textFill>
              </w:rPr>
              <w:t>（满分6分）</w:t>
            </w:r>
          </w:p>
          <w:p w14:paraId="4260A6AE">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①</w:t>
            </w:r>
            <w:r>
              <w:rPr>
                <w:rFonts w:hint="eastAsia" w:ascii="仿宋" w:hAnsi="仿宋" w:eastAsia="仿宋" w:cs="仿宋"/>
                <w:color w:val="000000" w:themeColor="text1"/>
                <w:sz w:val="24"/>
                <w:szCs w:val="24"/>
                <w14:textFill>
                  <w14:solidFill>
                    <w14:schemeClr w14:val="tx1"/>
                  </w14:solidFill>
                </w14:textFill>
              </w:rPr>
              <w:t>岗前培训和定期常态化培训：每完全满足一个评审标准得1分，满分3分；</w:t>
            </w:r>
          </w:p>
          <w:p w14:paraId="3B956C3E">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②</w:t>
            </w:r>
            <w:r>
              <w:rPr>
                <w:rFonts w:hint="eastAsia" w:ascii="仿宋" w:hAnsi="仿宋" w:eastAsia="仿宋" w:cs="仿宋"/>
                <w:color w:val="000000" w:themeColor="text1"/>
                <w:sz w:val="24"/>
                <w:szCs w:val="24"/>
                <w14:textFill>
                  <w14:solidFill>
                    <w14:schemeClr w14:val="tx1"/>
                  </w14:solidFill>
                </w14:textFill>
              </w:rPr>
              <w:t>培训后的成果验收和考核:每完全满足一个评审标准得1分，满分3分。</w:t>
            </w:r>
          </w:p>
        </w:tc>
      </w:tr>
      <w:tr w14:paraId="08D2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12C13EE8">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管理制度</w:t>
            </w:r>
          </w:p>
        </w:tc>
        <w:tc>
          <w:tcPr>
            <w:tcW w:w="729" w:type="dxa"/>
            <w:vAlign w:val="center"/>
          </w:tcPr>
          <w:p w14:paraId="4D155DF2">
            <w:pPr>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w:t>
            </w:r>
          </w:p>
        </w:tc>
        <w:tc>
          <w:tcPr>
            <w:tcW w:w="7437" w:type="dxa"/>
            <w:vAlign w:val="center"/>
          </w:tcPr>
          <w:p w14:paraId="5B95AC48">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一、评审内容</w:t>
            </w:r>
          </w:p>
          <w:p w14:paraId="07A1AFBA">
            <w:pPr>
              <w:jc w:val="left"/>
              <w:rPr>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w:t>
            </w:r>
            <w:r>
              <w:rPr>
                <w:rFonts w:hint="eastAsia" w:ascii="仿宋" w:hAnsi="仿宋" w:eastAsia="仿宋" w:cs="仿宋"/>
                <w:color w:val="000000" w:themeColor="text1"/>
                <w:sz w:val="24"/>
                <w:szCs w:val="24"/>
                <w:lang w:eastAsia="zh-CN"/>
                <w14:textFill>
                  <w14:solidFill>
                    <w14:schemeClr w14:val="tx1"/>
                  </w14:solidFill>
                </w14:textFill>
              </w:rPr>
              <w:t>本项目</w:t>
            </w:r>
            <w:r>
              <w:rPr>
                <w:rFonts w:hint="eastAsia" w:ascii="仿宋" w:hAnsi="仿宋" w:eastAsia="仿宋" w:cs="仿宋"/>
                <w:color w:val="000000" w:themeColor="text1"/>
                <w:sz w:val="24"/>
                <w:szCs w:val="24"/>
                <w14:textFill>
                  <w14:solidFill>
                    <w14:schemeClr w14:val="tx1"/>
                  </w14:solidFill>
                </w14:textFill>
              </w:rPr>
              <w:t>具有良好的管理制度，方案包</w:t>
            </w:r>
            <w:r>
              <w:rPr>
                <w:rFonts w:hint="eastAsia" w:ascii="仿宋" w:hAnsi="仿宋" w:eastAsia="仿宋" w:cs="仿宋"/>
                <w:color w:val="000000" w:themeColor="text1"/>
                <w:sz w:val="24"/>
                <w:szCs w:val="24"/>
                <w:lang w:eastAsia="zh-CN"/>
                <w14:textFill>
                  <w14:solidFill>
                    <w14:schemeClr w14:val="tx1"/>
                  </w14:solidFill>
                </w14:textFill>
              </w:rPr>
              <w:t>含</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①</w:t>
            </w:r>
            <w:r>
              <w:rPr>
                <w:rFonts w:hint="eastAsia" w:ascii="仿宋" w:hAnsi="仿宋" w:eastAsia="仿宋" w:cs="仿宋"/>
                <w:color w:val="000000" w:themeColor="text1"/>
                <w:sz w:val="24"/>
                <w:szCs w:val="24"/>
                <w14:textFill>
                  <w14:solidFill>
                    <w14:schemeClr w14:val="tx1"/>
                  </w14:solidFill>
                </w14:textFill>
              </w:rPr>
              <w:t>岗位职责：具有岗位工作标准、服务质量标准、现场质量控制体系</w:t>
            </w:r>
            <w:r>
              <w:rPr>
                <w:rFonts w:hint="eastAsia" w:ascii="仿宋" w:hAnsi="仿宋" w:eastAsia="仿宋" w:cs="仿宋"/>
                <w:color w:val="000000" w:themeColor="text1"/>
                <w:kern w:val="0"/>
                <w:sz w:val="24"/>
                <w:szCs w:val="24"/>
                <w14:textFill>
                  <w14:solidFill>
                    <w14:schemeClr w14:val="tx1"/>
                  </w14:solidFill>
                </w14:textFill>
              </w:rPr>
              <w:t>②内控制度：具有保密制度、管理组织机构、问责机制、监督机制、自查制度③</w:t>
            </w:r>
            <w:r>
              <w:rPr>
                <w:rFonts w:hint="eastAsia" w:ascii="仿宋" w:hAnsi="仿宋" w:eastAsia="仿宋" w:cs="仿宋"/>
                <w:color w:val="000000" w:themeColor="text1"/>
                <w:sz w:val="24"/>
                <w:szCs w:val="24"/>
                <w14:textFill>
                  <w14:solidFill>
                    <w14:schemeClr w14:val="tx1"/>
                  </w14:solidFill>
                </w14:textFill>
              </w:rPr>
              <w:t>人员管理制度：具有员工日常管理制度、请销假制度、奖惩措施、激励机制、仪容仪表制度。</w:t>
            </w:r>
          </w:p>
          <w:p w14:paraId="06571771">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二、评审标准</w:t>
            </w:r>
          </w:p>
          <w:p w14:paraId="40281754">
            <w:pP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1、完整性：方案必须全面，对评审内容中的各项要求有详细描述；</w:t>
            </w:r>
          </w:p>
          <w:p w14:paraId="6378656C">
            <w:pP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2、落实性：</w:t>
            </w:r>
            <w:r>
              <w:rPr>
                <w:rFonts w:hint="eastAsia" w:ascii="仿宋" w:hAnsi="仿宋" w:eastAsia="仿宋" w:cs="仿宋"/>
                <w:kern w:val="0"/>
                <w:sz w:val="24"/>
                <w:szCs w:val="24"/>
              </w:rPr>
              <w:t>切合本项目实际情况，实施步骤清晰、合理</w:t>
            </w:r>
            <w:r>
              <w:rPr>
                <w:rFonts w:hint="eastAsia" w:ascii="仿宋" w:hAnsi="仿宋" w:eastAsia="仿宋" w:cs="仿宋"/>
                <w:bCs/>
                <w:color w:val="000000" w:themeColor="text1"/>
                <w:sz w:val="24"/>
                <w:szCs w:val="24"/>
                <w14:textFill>
                  <w14:solidFill>
                    <w14:schemeClr w14:val="tx1"/>
                  </w14:solidFill>
                </w14:textFill>
              </w:rPr>
              <w:t>；</w:t>
            </w:r>
          </w:p>
          <w:p w14:paraId="184FEDD9">
            <w:pP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3、针对性：方案能够紧扣项目实际情况，内容科学合理。</w:t>
            </w:r>
          </w:p>
          <w:p w14:paraId="44C95D25">
            <w:pP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三、赋分标准</w:t>
            </w:r>
            <w:r>
              <w:rPr>
                <w:rFonts w:hint="eastAsia" w:ascii="仿宋" w:hAnsi="仿宋" w:eastAsia="仿宋" w:cs="仿宋"/>
                <w:b/>
                <w:bCs/>
                <w:color w:val="000000" w:themeColor="text1"/>
                <w:kern w:val="0"/>
                <w:sz w:val="24"/>
                <w:szCs w:val="24"/>
                <w14:textFill>
                  <w14:solidFill>
                    <w14:schemeClr w14:val="tx1"/>
                  </w14:solidFill>
                </w14:textFill>
              </w:rPr>
              <w:t>（满分</w:t>
            </w:r>
            <w:r>
              <w:rPr>
                <w:rFonts w:hint="eastAsia" w:ascii="仿宋" w:hAnsi="仿宋" w:eastAsia="仿宋" w:cs="仿宋"/>
                <w:b/>
                <w:bCs/>
                <w:color w:val="000000" w:themeColor="text1"/>
                <w:kern w:val="0"/>
                <w:sz w:val="24"/>
                <w:szCs w:val="24"/>
                <w:lang w:val="en-US" w:eastAsia="zh-CN"/>
                <w14:textFill>
                  <w14:solidFill>
                    <w14:schemeClr w14:val="tx1"/>
                  </w14:solidFill>
                </w14:textFill>
              </w:rPr>
              <w:t>4.5</w:t>
            </w:r>
            <w:r>
              <w:rPr>
                <w:rFonts w:hint="eastAsia" w:ascii="仿宋" w:hAnsi="仿宋" w:eastAsia="仿宋" w:cs="仿宋"/>
                <w:b/>
                <w:bCs/>
                <w:color w:val="000000" w:themeColor="text1"/>
                <w:kern w:val="0"/>
                <w:sz w:val="24"/>
                <w:szCs w:val="24"/>
                <w14:textFill>
                  <w14:solidFill>
                    <w14:schemeClr w14:val="tx1"/>
                  </w14:solidFill>
                </w14:textFill>
              </w:rPr>
              <w:t>分）</w:t>
            </w:r>
          </w:p>
          <w:p w14:paraId="643C9A1D">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①岗位职责：每完全满足一个评审标准得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p w14:paraId="3745EE6E">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②内控制度：每完全满足一个评审标准得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p w14:paraId="6A06DECC">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③人员管理制度：每完全满足一个评审标准得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tc>
      </w:tr>
      <w:tr w14:paraId="5719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65584811">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机构建设方案</w:t>
            </w:r>
          </w:p>
        </w:tc>
        <w:tc>
          <w:tcPr>
            <w:tcW w:w="729" w:type="dxa"/>
            <w:vAlign w:val="center"/>
          </w:tcPr>
          <w:p w14:paraId="1A41FAA6">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7437" w:type="dxa"/>
            <w:vAlign w:val="center"/>
          </w:tcPr>
          <w:p w14:paraId="0E3E92A5">
            <w:pPr>
              <w:tabs>
                <w:tab w:val="left" w:pos="547"/>
              </w:tabs>
              <w:autoSpaceDE w:val="0"/>
              <w:autoSpaceDN w:val="0"/>
              <w:adjustRightInd w:val="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一、评审内容</w:t>
            </w:r>
          </w:p>
          <w:p w14:paraId="495A9DE6">
            <w:pPr>
              <w:tabs>
                <w:tab w:val="left" w:pos="547"/>
              </w:tabs>
              <w:autoSpaceDE w:val="0"/>
              <w:autoSpaceDN w:val="0"/>
              <w:adjustRightInd w:val="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针对</w:t>
            </w:r>
            <w:r>
              <w:rPr>
                <w:rFonts w:hint="eastAsia" w:ascii="仿宋" w:hAnsi="仿宋" w:eastAsia="仿宋" w:cs="仿宋"/>
                <w:color w:val="000000" w:themeColor="text1"/>
                <w:sz w:val="24"/>
                <w:szCs w:val="24"/>
                <w:highlight w:val="none"/>
                <w:lang w:eastAsia="zh-CN"/>
                <w14:textFill>
                  <w14:solidFill>
                    <w14:schemeClr w14:val="tx1"/>
                  </w14:solidFill>
                </w14:textFill>
              </w:rPr>
              <w:t>本项目</w:t>
            </w:r>
            <w:r>
              <w:rPr>
                <w:rFonts w:hint="eastAsia" w:ascii="仿宋" w:hAnsi="仿宋" w:eastAsia="仿宋" w:cs="仿宋"/>
                <w:color w:val="000000" w:themeColor="text1"/>
                <w:sz w:val="24"/>
                <w:szCs w:val="24"/>
                <w:highlight w:val="none"/>
                <w14:textFill>
                  <w14:solidFill>
                    <w14:schemeClr w14:val="tx1"/>
                  </w14:solidFill>
                </w14:textFill>
              </w:rPr>
              <w:t>提供拟定的机构建设方案，内容包含</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①管理机构组建方案②专业服务团队的职能分工方案。</w:t>
            </w:r>
          </w:p>
          <w:p w14:paraId="5BB82407">
            <w:pPr>
              <w:tabs>
                <w:tab w:val="left" w:pos="547"/>
              </w:tabs>
              <w:autoSpaceDE w:val="0"/>
              <w:autoSpaceDN w:val="0"/>
              <w:adjustRightInd w:val="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二、评审标准</w:t>
            </w:r>
          </w:p>
          <w:p w14:paraId="7172799D">
            <w:pPr>
              <w:tabs>
                <w:tab w:val="left" w:pos="547"/>
              </w:tabs>
              <w:autoSpaceDE w:val="0"/>
              <w:autoSpaceDN w:val="0"/>
              <w:adjustRightIn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1、完整性：内容必须全面，对评审内容中的各项要求有详细描述；</w:t>
            </w:r>
          </w:p>
          <w:p w14:paraId="4C422C60">
            <w:pPr>
              <w:tabs>
                <w:tab w:val="left" w:pos="547"/>
              </w:tabs>
              <w:autoSpaceDE w:val="0"/>
              <w:autoSpaceDN w:val="0"/>
              <w:adjustRightIn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2、落实性：</w:t>
            </w:r>
            <w:r>
              <w:rPr>
                <w:rFonts w:hint="eastAsia" w:ascii="仿宋" w:hAnsi="仿宋" w:eastAsia="仿宋" w:cs="仿宋"/>
                <w:kern w:val="0"/>
                <w:sz w:val="24"/>
                <w:szCs w:val="24"/>
              </w:rPr>
              <w:t>切合本项目实际情况，实施步骤清晰、合理</w:t>
            </w:r>
            <w:r>
              <w:rPr>
                <w:rFonts w:hint="eastAsia" w:ascii="仿宋" w:hAnsi="仿宋" w:eastAsia="仿宋" w:cs="仿宋"/>
                <w:color w:val="000000" w:themeColor="text1"/>
                <w:sz w:val="24"/>
                <w:szCs w:val="24"/>
                <w14:textFill>
                  <w14:solidFill>
                    <w14:schemeClr w14:val="tx1"/>
                  </w14:solidFill>
                </w14:textFill>
              </w:rPr>
              <w:t>；</w:t>
            </w:r>
          </w:p>
          <w:p w14:paraId="187108FE">
            <w:pPr>
              <w:tabs>
                <w:tab w:val="left" w:pos="547"/>
              </w:tabs>
              <w:autoSpaceDE w:val="0"/>
              <w:autoSpaceDN w:val="0"/>
              <w:adjustRightIn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3、针对性：内容能够紧扣项目实际情况，内容科学合理。</w:t>
            </w:r>
          </w:p>
          <w:p w14:paraId="05BA2413">
            <w:pPr>
              <w:tabs>
                <w:tab w:val="left" w:pos="547"/>
              </w:tabs>
              <w:autoSpaceDE w:val="0"/>
              <w:autoSpaceDN w:val="0"/>
              <w:adjustRightInd w:val="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三、赋分标准（满分</w:t>
            </w: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分）</w:t>
            </w:r>
          </w:p>
          <w:p w14:paraId="1B8184A4">
            <w:pPr>
              <w:tabs>
                <w:tab w:val="left" w:pos="547"/>
              </w:tabs>
              <w:autoSpaceDE w:val="0"/>
              <w:autoSpaceDN w:val="0"/>
              <w:adjustRightIn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①管理机构组建方案：每完全满足一个评审标准得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p w14:paraId="5F00BFB4">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②专业服务团队的职能分工方案：每完全满足一个评审标准得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tc>
      </w:tr>
      <w:tr w14:paraId="5DE0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3D188F58">
            <w:pPr>
              <w:keepNext w:val="0"/>
              <w:keepLines w:val="0"/>
              <w:pageBreakBefore w:val="0"/>
              <w:widowControl/>
              <w:kinsoku/>
              <w:wordWrap/>
              <w:overflowPunct/>
              <w:topLinePunct w:val="0"/>
              <w:bidi w:val="0"/>
              <w:snapToGrid/>
              <w:spacing w:line="380" w:lineRule="exact"/>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档案管理</w:t>
            </w:r>
          </w:p>
        </w:tc>
        <w:tc>
          <w:tcPr>
            <w:tcW w:w="729" w:type="dxa"/>
            <w:vAlign w:val="center"/>
          </w:tcPr>
          <w:p w14:paraId="4FF19768">
            <w:pPr>
              <w:keepNext w:val="0"/>
              <w:keepLines w:val="0"/>
              <w:pageBreakBefore w:val="0"/>
              <w:widowControl/>
              <w:kinsoku/>
              <w:wordWrap/>
              <w:overflowPunct/>
              <w:topLinePunct w:val="0"/>
              <w:bidi w:val="0"/>
              <w:snapToGrid/>
              <w:spacing w:line="380" w:lineRule="exact"/>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7437" w:type="dxa"/>
            <w:vAlign w:val="center"/>
          </w:tcPr>
          <w:p w14:paraId="6FDDA790">
            <w:pPr>
              <w:keepNext w:val="0"/>
              <w:keepLines w:val="0"/>
              <w:pageBreakBefore w:val="0"/>
              <w:widowControl/>
              <w:tabs>
                <w:tab w:val="left" w:pos="547"/>
              </w:tabs>
              <w:kinsoku/>
              <w:wordWrap/>
              <w:overflowPunct/>
              <w:topLinePunct w:val="0"/>
              <w:autoSpaceDE w:val="0"/>
              <w:autoSpaceDN w:val="0"/>
              <w:bidi w:val="0"/>
              <w:adjustRightInd w:val="0"/>
              <w:snapToGrid/>
              <w:spacing w:line="380" w:lineRule="exact"/>
              <w:textAlignment w:val="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一、评审内容</w:t>
            </w:r>
          </w:p>
          <w:p w14:paraId="505E1C25">
            <w:pPr>
              <w:keepNext w:val="0"/>
              <w:keepLines w:val="0"/>
              <w:pageBreakBefore w:val="0"/>
              <w:widowControl/>
              <w:tabs>
                <w:tab w:val="left" w:pos="547"/>
              </w:tabs>
              <w:kinsoku/>
              <w:wordWrap/>
              <w:overflowPunct/>
              <w:topLinePunct w:val="0"/>
              <w:autoSpaceDE w:val="0"/>
              <w:autoSpaceDN w:val="0"/>
              <w:bidi w:val="0"/>
              <w:adjustRightInd w:val="0"/>
              <w:snapToGrid/>
              <w:spacing w:line="38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针对</w:t>
            </w:r>
            <w:r>
              <w:rPr>
                <w:rFonts w:hint="eastAsia" w:ascii="仿宋" w:hAnsi="仿宋" w:eastAsia="仿宋" w:cs="仿宋"/>
                <w:color w:val="000000" w:themeColor="text1"/>
                <w:sz w:val="24"/>
                <w:szCs w:val="24"/>
                <w:lang w:eastAsia="zh-CN"/>
                <w14:textFill>
                  <w14:solidFill>
                    <w14:schemeClr w14:val="tx1"/>
                  </w14:solidFill>
                </w14:textFill>
              </w:rPr>
              <w:t>本项目</w:t>
            </w:r>
            <w:r>
              <w:rPr>
                <w:rFonts w:hint="eastAsia" w:ascii="仿宋" w:hAnsi="仿宋" w:eastAsia="仿宋" w:cs="仿宋"/>
                <w:color w:val="000000" w:themeColor="text1"/>
                <w:sz w:val="24"/>
                <w:szCs w:val="24"/>
                <w14:textFill>
                  <w14:solidFill>
                    <w14:schemeClr w14:val="tx1"/>
                  </w14:solidFill>
                </w14:textFill>
              </w:rPr>
              <w:t>各岗位职责范围内产生的资料，提供档案管理，内容包含</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①合理的规划措施②保管措施和移交措施。</w:t>
            </w:r>
          </w:p>
          <w:p w14:paraId="388E43FA">
            <w:pPr>
              <w:keepNext w:val="0"/>
              <w:keepLines w:val="0"/>
              <w:pageBreakBefore w:val="0"/>
              <w:widowControl/>
              <w:tabs>
                <w:tab w:val="left" w:pos="547"/>
              </w:tabs>
              <w:kinsoku/>
              <w:wordWrap/>
              <w:overflowPunct/>
              <w:topLinePunct w:val="0"/>
              <w:autoSpaceDE w:val="0"/>
              <w:autoSpaceDN w:val="0"/>
              <w:bidi w:val="0"/>
              <w:adjustRightInd w:val="0"/>
              <w:snapToGrid/>
              <w:spacing w:line="380" w:lineRule="exact"/>
              <w:textAlignment w:val="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二、评审标准</w:t>
            </w:r>
          </w:p>
          <w:p w14:paraId="66A6472F">
            <w:pPr>
              <w:keepNext w:val="0"/>
              <w:keepLines w:val="0"/>
              <w:pageBreakBefore w:val="0"/>
              <w:widowControl/>
              <w:tabs>
                <w:tab w:val="left" w:pos="547"/>
              </w:tabs>
              <w:kinsoku/>
              <w:wordWrap/>
              <w:overflowPunct/>
              <w:topLinePunct w:val="0"/>
              <w:autoSpaceDE w:val="0"/>
              <w:autoSpaceDN w:val="0"/>
              <w:bidi w:val="0"/>
              <w:adjustRightInd w:val="0"/>
              <w:snapToGrid/>
              <w:spacing w:line="38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1、完整性：内容必须全面，对评审内容中的各项要求有详细描述；</w:t>
            </w:r>
          </w:p>
          <w:p w14:paraId="48984B2A">
            <w:pPr>
              <w:keepNext w:val="0"/>
              <w:keepLines w:val="0"/>
              <w:pageBreakBefore w:val="0"/>
              <w:widowControl/>
              <w:tabs>
                <w:tab w:val="left" w:pos="547"/>
              </w:tabs>
              <w:kinsoku/>
              <w:wordWrap/>
              <w:overflowPunct/>
              <w:topLinePunct w:val="0"/>
              <w:autoSpaceDE w:val="0"/>
              <w:autoSpaceDN w:val="0"/>
              <w:bidi w:val="0"/>
              <w:adjustRightInd w:val="0"/>
              <w:snapToGrid/>
              <w:spacing w:line="38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2、合理性：</w:t>
            </w:r>
            <w:r>
              <w:rPr>
                <w:rFonts w:hint="eastAsia" w:ascii="仿宋" w:hAnsi="仿宋" w:eastAsia="仿宋" w:cs="仿宋"/>
                <w:kern w:val="0"/>
                <w:sz w:val="24"/>
                <w:szCs w:val="24"/>
              </w:rPr>
              <w:t>切合本项目实际情况，实施步骤清晰、合理</w:t>
            </w:r>
            <w:r>
              <w:rPr>
                <w:rFonts w:hint="eastAsia" w:ascii="仿宋" w:hAnsi="仿宋" w:eastAsia="仿宋" w:cs="仿宋"/>
                <w:color w:val="000000" w:themeColor="text1"/>
                <w:sz w:val="24"/>
                <w:szCs w:val="24"/>
                <w14:textFill>
                  <w14:solidFill>
                    <w14:schemeClr w14:val="tx1"/>
                  </w14:solidFill>
                </w14:textFill>
              </w:rPr>
              <w:t>；</w:t>
            </w:r>
          </w:p>
          <w:p w14:paraId="7D5F3DD7">
            <w:pPr>
              <w:keepNext w:val="0"/>
              <w:keepLines w:val="0"/>
              <w:pageBreakBefore w:val="0"/>
              <w:widowControl/>
              <w:tabs>
                <w:tab w:val="left" w:pos="547"/>
              </w:tabs>
              <w:kinsoku/>
              <w:wordWrap/>
              <w:overflowPunct/>
              <w:topLinePunct w:val="0"/>
              <w:autoSpaceDE w:val="0"/>
              <w:autoSpaceDN w:val="0"/>
              <w:bidi w:val="0"/>
              <w:adjustRightInd w:val="0"/>
              <w:snapToGrid/>
              <w:spacing w:line="38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3、针对性：内容能够紧扣项目实际情况，内容科学合理。</w:t>
            </w:r>
          </w:p>
          <w:p w14:paraId="7B99349E">
            <w:pPr>
              <w:keepNext w:val="0"/>
              <w:keepLines w:val="0"/>
              <w:pageBreakBefore w:val="0"/>
              <w:widowControl/>
              <w:tabs>
                <w:tab w:val="left" w:pos="547"/>
              </w:tabs>
              <w:kinsoku/>
              <w:wordWrap/>
              <w:overflowPunct/>
              <w:topLinePunct w:val="0"/>
              <w:autoSpaceDE w:val="0"/>
              <w:autoSpaceDN w:val="0"/>
              <w:bidi w:val="0"/>
              <w:adjustRightInd w:val="0"/>
              <w:snapToGrid/>
              <w:spacing w:line="380" w:lineRule="exact"/>
              <w:textAlignment w:val="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三、评审标准（满分</w:t>
            </w: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分）</w:t>
            </w:r>
          </w:p>
          <w:p w14:paraId="231BF980">
            <w:pPr>
              <w:keepNext w:val="0"/>
              <w:keepLines w:val="0"/>
              <w:pageBreakBefore w:val="0"/>
              <w:widowControl/>
              <w:tabs>
                <w:tab w:val="left" w:pos="547"/>
              </w:tabs>
              <w:kinsoku/>
              <w:wordWrap/>
              <w:overflowPunct/>
              <w:topLinePunct w:val="0"/>
              <w:autoSpaceDE w:val="0"/>
              <w:autoSpaceDN w:val="0"/>
              <w:bidi w:val="0"/>
              <w:adjustRightInd w:val="0"/>
              <w:snapToGrid/>
              <w:spacing w:line="38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①合理的规划措施：每完全满足一个评审标准得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p w14:paraId="50358872">
            <w:pPr>
              <w:keepNext w:val="0"/>
              <w:keepLines w:val="0"/>
              <w:pageBreakBefore w:val="0"/>
              <w:widowControl/>
              <w:kinsoku/>
              <w:wordWrap/>
              <w:overflowPunct/>
              <w:topLinePunct w:val="0"/>
              <w:bidi w:val="0"/>
              <w:snapToGrid/>
              <w:spacing w:line="380" w:lineRule="exact"/>
              <w:textAlignment w:val="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②保管措施和移交措施：每完全满足一个评审标准得</w:t>
            </w:r>
            <w:r>
              <w:rPr>
                <w:rFonts w:hint="eastAsia" w:ascii="仿宋" w:hAnsi="仿宋" w:eastAsia="仿宋" w:cs="仿宋"/>
                <w:color w:val="000000" w:themeColor="text1"/>
                <w:sz w:val="24"/>
                <w:szCs w:val="24"/>
                <w:lang w:val="en-US" w:eastAsia="zh-CN"/>
                <w14:textFill>
                  <w14:solidFill>
                    <w14:schemeClr w14:val="tx1"/>
                  </w14:solidFill>
                </w14:textFill>
              </w:rPr>
              <w:t>0.5</w:t>
            </w:r>
            <w:r>
              <w:rPr>
                <w:rFonts w:hint="eastAsia"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tc>
      </w:tr>
      <w:tr w14:paraId="5610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56" w:type="dxa"/>
            <w:vAlign w:val="center"/>
          </w:tcPr>
          <w:p w14:paraId="5D5B866E">
            <w:pPr>
              <w:keepNext w:val="0"/>
              <w:keepLines w:val="0"/>
              <w:pageBreakBefore w:val="0"/>
              <w:widowControl/>
              <w:kinsoku/>
              <w:wordWrap/>
              <w:overflowPunct/>
              <w:topLinePunct w:val="0"/>
              <w:autoSpaceDE w:val="0"/>
              <w:autoSpaceDN w:val="0"/>
              <w:bidi w:val="0"/>
              <w:adjustRightInd w:val="0"/>
              <w:snapToGrid/>
              <w:spacing w:line="380" w:lineRule="exact"/>
              <w:jc w:val="center"/>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业绩</w:t>
            </w:r>
          </w:p>
        </w:tc>
        <w:tc>
          <w:tcPr>
            <w:tcW w:w="729" w:type="dxa"/>
            <w:vAlign w:val="center"/>
          </w:tcPr>
          <w:p w14:paraId="2F265F02">
            <w:pPr>
              <w:keepNext w:val="0"/>
              <w:keepLines w:val="0"/>
              <w:pageBreakBefore w:val="0"/>
              <w:widowControl/>
              <w:kinsoku/>
              <w:wordWrap/>
              <w:overflowPunct/>
              <w:topLinePunct w:val="0"/>
              <w:bidi w:val="0"/>
              <w:snapToGrid/>
              <w:spacing w:line="380" w:lineRule="exact"/>
              <w:jc w:val="center"/>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7437" w:type="dxa"/>
            <w:vAlign w:val="center"/>
          </w:tcPr>
          <w:p w14:paraId="18488DCF">
            <w:pPr>
              <w:keepNext w:val="0"/>
              <w:keepLines w:val="0"/>
              <w:pageBreakBefore w:val="0"/>
              <w:widowControl/>
              <w:kinsoku/>
              <w:wordWrap/>
              <w:overflowPunct/>
              <w:topLinePunct w:val="0"/>
              <w:bidi w:val="0"/>
              <w:snapToGrid/>
              <w:spacing w:line="38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1、提供202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年1月1日以来类似项目业绩（以合同签订日期为准），每份合格业绩合同计1分，满分4分；</w:t>
            </w:r>
          </w:p>
          <w:p w14:paraId="3AC2AA37">
            <w:pPr>
              <w:keepNext w:val="0"/>
              <w:keepLines w:val="0"/>
              <w:pageBreakBefore w:val="0"/>
              <w:widowControl/>
              <w:kinsoku/>
              <w:wordWrap/>
              <w:overflowPunct/>
              <w:topLinePunct w:val="0"/>
              <w:bidi w:val="0"/>
              <w:snapToGrid/>
              <w:spacing w:line="380" w:lineRule="exact"/>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备注：须提供完整</w:t>
            </w:r>
            <w:r>
              <w:rPr>
                <w:rFonts w:hint="eastAsia" w:ascii="仿宋" w:hAnsi="仿宋" w:eastAsia="仿宋" w:cs="仿宋"/>
                <w:color w:val="000000" w:themeColor="text1"/>
                <w:sz w:val="24"/>
                <w:szCs w:val="24"/>
                <w14:textFill>
                  <w14:solidFill>
                    <w14:schemeClr w14:val="tx1"/>
                  </w14:solidFill>
                </w14:textFill>
              </w:rPr>
              <w:t>合同业绩</w:t>
            </w:r>
            <w:r>
              <w:rPr>
                <w:rFonts w:hint="eastAsia" w:ascii="仿宋" w:hAnsi="仿宋" w:eastAsia="仿宋" w:cs="仿宋"/>
                <w:color w:val="000000" w:themeColor="text1"/>
                <w:kern w:val="0"/>
                <w:sz w:val="24"/>
                <w:szCs w:val="24"/>
                <w14:textFill>
                  <w14:solidFill>
                    <w14:schemeClr w14:val="tx1"/>
                  </w14:solidFill>
                </w14:textFill>
              </w:rPr>
              <w:t>及对应发票复印件（发票可提供服务期内任意一张），并加盖</w:t>
            </w:r>
            <w:r>
              <w:rPr>
                <w:rFonts w:hint="eastAsia" w:ascii="仿宋" w:hAnsi="仿宋" w:eastAsia="仿宋" w:cs="仿宋"/>
                <w:color w:val="000000" w:themeColor="text1"/>
                <w:kern w:val="0"/>
                <w:sz w:val="24"/>
                <w:szCs w:val="24"/>
                <w:lang w:eastAsia="zh-CN"/>
                <w14:textFill>
                  <w14:solidFill>
                    <w14:schemeClr w14:val="tx1"/>
                  </w14:solidFill>
                </w14:textFill>
              </w:rPr>
              <w:t>投标人</w:t>
            </w:r>
            <w:r>
              <w:rPr>
                <w:rFonts w:hint="eastAsia" w:ascii="仿宋" w:hAnsi="仿宋" w:eastAsia="仿宋" w:cs="仿宋"/>
                <w:color w:val="000000" w:themeColor="text1"/>
                <w:kern w:val="0"/>
                <w:sz w:val="24"/>
                <w:szCs w:val="24"/>
                <w14:textFill>
                  <w14:solidFill>
                    <w14:schemeClr w14:val="tx1"/>
                  </w14:solidFill>
                </w14:textFill>
              </w:rPr>
              <w:t>公章，以上两种证明材料同时提供方可得分，否则不得分。</w:t>
            </w:r>
          </w:p>
          <w:p w14:paraId="0B4DFADA">
            <w:pPr>
              <w:keepNext w:val="0"/>
              <w:keepLines w:val="0"/>
              <w:pageBreakBefore w:val="0"/>
              <w:widowControl/>
              <w:kinsoku/>
              <w:wordWrap/>
              <w:overflowPunct/>
              <w:topLinePunct w:val="0"/>
              <w:autoSpaceDE w:val="0"/>
              <w:autoSpaceDN w:val="0"/>
              <w:bidi w:val="0"/>
              <w:adjustRightInd w:val="0"/>
              <w:snapToGrid/>
              <w:spacing w:line="380" w:lineRule="exact"/>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2、每提供一份对应合格业绩的服务好评（以被服务单位加盖公章的好评证明材料为计分依据，格式自拟），得1分，满分4分。</w:t>
            </w:r>
          </w:p>
        </w:tc>
      </w:tr>
      <w:tr w14:paraId="32AE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2DC31AD6">
            <w:pPr>
              <w:keepNext/>
              <w:keepLines/>
              <w:widowControl w:val="0"/>
              <w:autoSpaceDE/>
              <w:autoSpaceDN/>
              <w:adjustRightIn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项目经理</w:t>
            </w:r>
          </w:p>
        </w:tc>
        <w:tc>
          <w:tcPr>
            <w:tcW w:w="729" w:type="dxa"/>
            <w:vAlign w:val="center"/>
          </w:tcPr>
          <w:p w14:paraId="7167F8A0">
            <w:pPr>
              <w:keepNext/>
              <w:keepLines/>
              <w:widowControl w:val="0"/>
              <w:autoSpaceDE/>
              <w:autoSpaceDN/>
              <w:adjustRightIn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7437" w:type="dxa"/>
            <w:vAlign w:val="center"/>
          </w:tcPr>
          <w:p w14:paraId="04B84629">
            <w:pPr>
              <w:keepNext/>
              <w:keepLines/>
              <w:widowControl w:val="0"/>
              <w:rPr>
                <w:rFonts w:hint="eastAsia" w:ascii="仿宋" w:hAnsi="仿宋" w:eastAsia="仿宋" w:cs="仿宋"/>
                <w:b/>
                <w:bCs/>
                <w:color w:val="000000" w:themeColor="text1"/>
                <w:kern w:val="0"/>
                <w:sz w:val="24"/>
                <w:szCs w:val="24"/>
                <w:lang w:val="en-US" w:eastAsia="zh-CN"/>
                <w14:textFill>
                  <w14:solidFill>
                    <w14:schemeClr w14:val="tx1"/>
                  </w14:solidFill>
                </w14:textFill>
              </w:rPr>
            </w:pPr>
            <w:r>
              <w:rPr>
                <w:rFonts w:ascii="仿宋" w:hAnsi="仿宋" w:eastAsia="仿宋" w:cs="仿宋"/>
                <w:b/>
                <w:bCs/>
                <w:color w:val="000000" w:themeColor="text1"/>
                <w:kern w:val="0"/>
                <w:sz w:val="24"/>
                <w:szCs w:val="24"/>
                <w14:textFill>
                  <w14:solidFill>
                    <w14:schemeClr w14:val="tx1"/>
                  </w14:solidFill>
                </w14:textFill>
              </w:rPr>
              <w:t>1</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b/>
                <w:bCs/>
                <w:color w:val="000000" w:themeColor="text1"/>
                <w:kern w:val="0"/>
                <w:sz w:val="24"/>
                <w:szCs w:val="24"/>
                <w:lang w:eastAsia="zh-CN"/>
                <w14:textFill>
                  <w14:solidFill>
                    <w14:schemeClr w14:val="tx1"/>
                  </w14:solidFill>
                </w14:textFill>
              </w:rPr>
              <w:t>学历要求（</w:t>
            </w:r>
            <w:r>
              <w:rPr>
                <w:rFonts w:hint="eastAsia" w:ascii="仿宋" w:hAnsi="仿宋" w:eastAsia="仿宋" w:cs="仿宋"/>
                <w:b/>
                <w:bCs/>
                <w:color w:val="000000" w:themeColor="text1"/>
                <w:kern w:val="0"/>
                <w:sz w:val="24"/>
                <w:szCs w:val="24"/>
                <w:lang w:val="en-US" w:eastAsia="zh-CN"/>
                <w14:textFill>
                  <w14:solidFill>
                    <w14:schemeClr w14:val="tx1"/>
                  </w14:solidFill>
                </w14:textFill>
              </w:rPr>
              <w:t>1分</w:t>
            </w:r>
            <w:r>
              <w:rPr>
                <w:rFonts w:hint="eastAsia" w:ascii="仿宋" w:hAnsi="仿宋" w:eastAsia="仿宋" w:cs="仿宋"/>
                <w:b/>
                <w:bCs/>
                <w:color w:val="000000" w:themeColor="text1"/>
                <w:kern w:val="0"/>
                <w:sz w:val="24"/>
                <w:szCs w:val="24"/>
                <w:lang w:eastAsia="zh-CN"/>
                <w14:textFill>
                  <w14:solidFill>
                    <w14:schemeClr w14:val="tx1"/>
                  </w14:solidFill>
                </w14:textFill>
              </w:rPr>
              <w:t>）</w:t>
            </w:r>
          </w:p>
          <w:p w14:paraId="6C9E1F5B">
            <w:pPr>
              <w:keepNext/>
              <w:keepLines/>
              <w:widowControl w:val="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项目经理具有大专及以上学历，得1分。</w:t>
            </w:r>
          </w:p>
          <w:p w14:paraId="5CCB5061">
            <w:pPr>
              <w:keepNext/>
              <w:keepLines/>
              <w:widowControl w:val="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赋分依据：需提供学信网经查证的《教育部学历证书电子注册备案表》的学历证明材料，</w:t>
            </w:r>
            <w:r>
              <w:rPr>
                <w:rFonts w:hint="eastAsia" w:ascii="仿宋" w:hAnsi="仿宋" w:eastAsia="仿宋" w:cs="仿宋"/>
                <w:sz w:val="24"/>
                <w:szCs w:val="24"/>
                <w:highlight w:val="none"/>
              </w:rPr>
              <w:t>不提供或不满足学历要求不得分</w:t>
            </w:r>
            <w:r>
              <w:rPr>
                <w:rFonts w:hint="eastAsia" w:ascii="仿宋" w:hAnsi="仿宋" w:eastAsia="仿宋" w:cs="仿宋"/>
                <w:color w:val="000000" w:themeColor="text1"/>
                <w:kern w:val="0"/>
                <w:sz w:val="24"/>
                <w:szCs w:val="24"/>
                <w14:textFill>
                  <w14:solidFill>
                    <w14:schemeClr w14:val="tx1"/>
                  </w14:solidFill>
                </w14:textFill>
              </w:rPr>
              <w:t>。</w:t>
            </w:r>
          </w:p>
          <w:p w14:paraId="5FC2618F">
            <w:pPr>
              <w:keepNext/>
              <w:keepLines/>
              <w:widowControl w:val="0"/>
              <w:rPr>
                <w:rFonts w:hint="eastAsia" w:ascii="仿宋" w:hAnsi="仿宋" w:eastAsia="仿宋" w:cs="仿宋"/>
                <w:b/>
                <w:bCs/>
                <w:color w:val="000000" w:themeColor="text1"/>
                <w:kern w:val="0"/>
                <w:sz w:val="24"/>
                <w:szCs w:val="24"/>
                <w:lang w:eastAsia="zh-CN"/>
                <w14:textFill>
                  <w14:solidFill>
                    <w14:schemeClr w14:val="tx1"/>
                  </w14:solidFill>
                </w14:textFill>
              </w:rPr>
            </w:pPr>
            <w:r>
              <w:rPr>
                <w:rFonts w:ascii="仿宋" w:hAnsi="仿宋" w:eastAsia="仿宋" w:cs="仿宋"/>
                <w:b/>
                <w:bCs/>
                <w:color w:val="000000" w:themeColor="text1"/>
                <w:kern w:val="0"/>
                <w:sz w:val="24"/>
                <w:szCs w:val="24"/>
                <w14:textFill>
                  <w14:solidFill>
                    <w14:schemeClr w14:val="tx1"/>
                  </w14:solidFill>
                </w14:textFill>
              </w:rPr>
              <w:t>2</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b/>
                <w:bCs/>
                <w:color w:val="000000" w:themeColor="text1"/>
                <w:kern w:val="0"/>
                <w:sz w:val="24"/>
                <w:szCs w:val="24"/>
                <w:lang w:eastAsia="zh-CN"/>
                <w14:textFill>
                  <w14:solidFill>
                    <w14:schemeClr w14:val="tx1"/>
                  </w14:solidFill>
                </w14:textFill>
              </w:rPr>
              <w:t>经验要求（</w:t>
            </w:r>
            <w:r>
              <w:rPr>
                <w:rFonts w:hint="eastAsia" w:ascii="仿宋" w:hAnsi="仿宋" w:eastAsia="仿宋" w:cs="仿宋"/>
                <w:b/>
                <w:bCs/>
                <w:color w:val="000000" w:themeColor="text1"/>
                <w:kern w:val="0"/>
                <w:sz w:val="24"/>
                <w:szCs w:val="24"/>
                <w:lang w:val="en-US" w:eastAsia="zh-CN"/>
                <w14:textFill>
                  <w14:solidFill>
                    <w14:schemeClr w14:val="tx1"/>
                  </w14:solidFill>
                </w14:textFill>
              </w:rPr>
              <w:t>3分</w:t>
            </w:r>
            <w:r>
              <w:rPr>
                <w:rFonts w:hint="eastAsia" w:ascii="仿宋" w:hAnsi="仿宋" w:eastAsia="仿宋" w:cs="仿宋"/>
                <w:b/>
                <w:bCs/>
                <w:color w:val="000000" w:themeColor="text1"/>
                <w:kern w:val="0"/>
                <w:sz w:val="24"/>
                <w:szCs w:val="24"/>
                <w:lang w:eastAsia="zh-CN"/>
                <w14:textFill>
                  <w14:solidFill>
                    <w14:schemeClr w14:val="tx1"/>
                  </w14:solidFill>
                </w14:textFill>
              </w:rPr>
              <w:t>）</w:t>
            </w:r>
          </w:p>
          <w:p w14:paraId="381D3B93">
            <w:pPr>
              <w:keepNext/>
              <w:keepLines/>
              <w:widowControl w:val="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项目经理具有</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年类似项目管理经验得</w:t>
            </w:r>
            <w:r>
              <w:rPr>
                <w:rFonts w:ascii="仿宋" w:hAnsi="仿宋" w:eastAsia="仿宋" w:cs="仿宋"/>
                <w:color w:val="000000" w:themeColor="text1"/>
                <w:kern w:val="0"/>
                <w:sz w:val="24"/>
                <w:szCs w:val="24"/>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分，每增加一年管理经验额外增加</w:t>
            </w:r>
            <w:r>
              <w:rPr>
                <w:rFonts w:ascii="仿宋" w:hAnsi="仿宋" w:eastAsia="仿宋" w:cs="仿宋"/>
                <w:color w:val="000000" w:themeColor="text1"/>
                <w:kern w:val="0"/>
                <w:sz w:val="24"/>
                <w:szCs w:val="24"/>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分，最多增加2分。满分3分。</w:t>
            </w:r>
          </w:p>
          <w:p w14:paraId="3DF64BBA">
            <w:pPr>
              <w:keepNext/>
              <w:keepLines/>
              <w:widowContro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赋分依据：</w:t>
            </w:r>
            <w:r>
              <w:rPr>
                <w:rFonts w:hint="eastAsia" w:ascii="仿宋" w:hAnsi="仿宋" w:eastAsia="仿宋" w:cs="仿宋"/>
                <w:color w:val="000000" w:themeColor="text1"/>
                <w:sz w:val="24"/>
                <w:szCs w:val="24"/>
                <w:lang w:eastAsia="zh-CN"/>
                <w14:textFill>
                  <w14:solidFill>
                    <w14:schemeClr w14:val="tx1"/>
                  </w14:solidFill>
                </w14:textFill>
              </w:rPr>
              <w:t>须</w:t>
            </w:r>
            <w:r>
              <w:rPr>
                <w:rFonts w:hint="eastAsia" w:ascii="仿宋" w:hAnsi="仿宋" w:eastAsia="仿宋" w:cs="仿宋"/>
                <w:color w:val="000000" w:themeColor="text1"/>
                <w:sz w:val="24"/>
                <w:szCs w:val="24"/>
                <w14:textFill>
                  <w14:solidFill>
                    <w14:schemeClr w14:val="tx1"/>
                  </w14:solidFill>
                </w14:textFill>
              </w:rPr>
              <w:t>提供</w:t>
            </w:r>
            <w:r>
              <w:rPr>
                <w:rFonts w:hint="eastAsia" w:ascii="仿宋" w:hAnsi="仿宋" w:eastAsia="仿宋" w:cs="仿宋"/>
                <w:color w:val="000000" w:themeColor="text1"/>
                <w:sz w:val="24"/>
                <w:szCs w:val="24"/>
                <w:lang w:val="en-US" w:eastAsia="zh-CN"/>
                <w14:textFill>
                  <w14:solidFill>
                    <w14:schemeClr w14:val="tx1"/>
                  </w14:solidFill>
                </w14:textFill>
              </w:rPr>
              <w:t>被</w:t>
            </w:r>
            <w:r>
              <w:rPr>
                <w:rFonts w:hint="eastAsia" w:ascii="仿宋" w:hAnsi="仿宋" w:eastAsia="仿宋" w:cs="仿宋"/>
                <w:color w:val="000000" w:themeColor="text1"/>
                <w:sz w:val="24"/>
                <w:szCs w:val="24"/>
                <w14:textFill>
                  <w14:solidFill>
                    <w14:schemeClr w14:val="tx1"/>
                  </w14:solidFill>
                </w14:textFill>
              </w:rPr>
              <w:t>服务单位加盖公章的</w:t>
            </w:r>
            <w:r>
              <w:rPr>
                <w:rFonts w:hint="eastAsia" w:ascii="仿宋" w:hAnsi="仿宋" w:eastAsia="仿宋" w:cs="仿宋"/>
                <w:color w:val="000000" w:themeColor="text1"/>
                <w:sz w:val="24"/>
                <w:szCs w:val="24"/>
                <w:lang w:eastAsia="zh-CN"/>
                <w14:textFill>
                  <w14:solidFill>
                    <w14:schemeClr w14:val="tx1"/>
                  </w14:solidFill>
                </w14:textFill>
              </w:rPr>
              <w:t>管理经验</w:t>
            </w:r>
            <w:r>
              <w:rPr>
                <w:rFonts w:hint="eastAsia" w:ascii="仿宋" w:hAnsi="仿宋" w:eastAsia="仿宋" w:cs="仿宋"/>
                <w:color w:val="000000" w:themeColor="text1"/>
                <w:sz w:val="24"/>
                <w:szCs w:val="24"/>
                <w14:textFill>
                  <w14:solidFill>
                    <w14:schemeClr w14:val="tx1"/>
                  </w14:solidFill>
                </w14:textFill>
              </w:rPr>
              <w:t>证明材料，不提供或缺漏项不得分。</w:t>
            </w:r>
          </w:p>
          <w:p w14:paraId="1695B65A">
            <w:pPr>
              <w:keepNext/>
              <w:keepLines/>
              <w:widowContro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备注：除上述赋分依据外，还须同时提供</w:t>
            </w:r>
            <w:r>
              <w:rPr>
                <w:rFonts w:hint="eastAsia" w:ascii="仿宋" w:hAnsi="仿宋" w:eastAsia="仿宋" w:cs="仿宋"/>
                <w:color w:val="000000" w:themeColor="text1"/>
                <w:sz w:val="24"/>
                <w:szCs w:val="24"/>
                <w:lang w:val="en-US" w:eastAsia="zh-CN"/>
                <w14:textFill>
                  <w14:solidFill>
                    <w14:schemeClr w14:val="tx1"/>
                  </w14:solidFill>
                </w14:textFill>
              </w:rPr>
              <w:t>投标人</w:t>
            </w:r>
            <w:r>
              <w:rPr>
                <w:rFonts w:hint="eastAsia" w:ascii="仿宋" w:hAnsi="仿宋" w:eastAsia="仿宋" w:cs="仿宋"/>
                <w:color w:val="000000" w:themeColor="text1"/>
                <w:sz w:val="24"/>
                <w:szCs w:val="24"/>
                <w14:textFill>
                  <w14:solidFill>
                    <w14:schemeClr w14:val="tx1"/>
                  </w14:solidFill>
                </w14:textFill>
              </w:rPr>
              <w:t>为项目经理缴纳的近六个月内至少连续三个月的社保缴纳证明材料（成立时间至提交</w:t>
            </w:r>
            <w:r>
              <w:rPr>
                <w:rFonts w:hint="eastAsia" w:ascii="仿宋" w:hAnsi="仿宋" w:eastAsia="仿宋" w:cs="仿宋"/>
                <w:color w:val="000000" w:themeColor="text1"/>
                <w:sz w:val="24"/>
                <w:szCs w:val="24"/>
                <w:lang w:val="en-US" w:eastAsia="zh-CN"/>
                <w14:textFill>
                  <w14:solidFill>
                    <w14:schemeClr w14:val="tx1"/>
                  </w14:solidFill>
                </w14:textFill>
              </w:rPr>
              <w:t>投标</w:t>
            </w:r>
            <w:r>
              <w:rPr>
                <w:rFonts w:hint="eastAsia" w:ascii="仿宋" w:hAnsi="仿宋" w:eastAsia="仿宋" w:cs="仿宋"/>
                <w:color w:val="000000" w:themeColor="text1"/>
                <w:sz w:val="24"/>
                <w:szCs w:val="24"/>
                <w14:textFill>
                  <w14:solidFill>
                    <w14:schemeClr w14:val="tx1"/>
                  </w14:solidFill>
                </w14:textFill>
              </w:rPr>
              <w:t>文件截止时间不足六个月的</w:t>
            </w:r>
            <w:r>
              <w:rPr>
                <w:rFonts w:hint="eastAsia" w:ascii="仿宋" w:hAnsi="仿宋" w:eastAsia="仿宋" w:cs="仿宋"/>
                <w:color w:val="000000" w:themeColor="text1"/>
                <w:sz w:val="24"/>
                <w:szCs w:val="24"/>
                <w:lang w:val="en-US" w:eastAsia="zh-CN"/>
                <w14:textFill>
                  <w14:solidFill>
                    <w14:schemeClr w14:val="tx1"/>
                  </w14:solidFill>
                </w14:textFill>
              </w:rPr>
              <w:t>投标人</w:t>
            </w:r>
            <w:r>
              <w:rPr>
                <w:rFonts w:hint="eastAsia" w:ascii="仿宋" w:hAnsi="仿宋" w:eastAsia="仿宋" w:cs="仿宋"/>
                <w:color w:val="000000" w:themeColor="text1"/>
                <w:sz w:val="24"/>
                <w:szCs w:val="24"/>
                <w14:textFill>
                  <w14:solidFill>
                    <w14:schemeClr w14:val="tx1"/>
                  </w14:solidFill>
                </w14:textFill>
              </w:rPr>
              <w:t>，可提供成立后任意一个月的社保缴纳证明材料），不提供或缺漏项本大项（</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分）不得分。</w:t>
            </w:r>
          </w:p>
        </w:tc>
      </w:tr>
      <w:tr w14:paraId="2B5D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683B50DE">
            <w:pPr>
              <w:spacing w:afterLines="0" w:line="3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lang w:val="en-US" w:eastAsia="zh-CN"/>
              </w:rPr>
              <w:t>物料配备</w:t>
            </w:r>
          </w:p>
        </w:tc>
        <w:tc>
          <w:tcPr>
            <w:tcW w:w="729" w:type="dxa"/>
            <w:vAlign w:val="center"/>
          </w:tcPr>
          <w:p w14:paraId="452BB6DD">
            <w:pPr>
              <w:spacing w:afterLines="0" w:line="3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7437" w:type="dxa"/>
            <w:vAlign w:val="center"/>
          </w:tcPr>
          <w:p w14:paraId="657073FE">
            <w:pPr>
              <w:numPr>
                <w:ilvl w:val="255"/>
                <w:numId w:val="0"/>
              </w:numPr>
              <w:spacing w:afterLines="0" w:line="380" w:lineRule="exact"/>
              <w:ind w:left="0" w:leftChars="0" w:firstLine="0" w:firstLineChars="0"/>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b/>
                <w:bCs/>
                <w:color w:val="000000" w:themeColor="text1"/>
                <w:sz w:val="24"/>
                <w:szCs w:val="24"/>
                <w14:textFill>
                  <w14:solidFill>
                    <w14:schemeClr w14:val="tx1"/>
                  </w14:solidFill>
                </w14:textFill>
              </w:rPr>
              <w:t>一、评审内容</w:t>
            </w:r>
            <w:r>
              <w:rPr>
                <w:rFonts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ascii="仿宋" w:hAnsi="仿宋" w:eastAsia="仿宋" w:cs="仿宋"/>
                <w:color w:val="000000" w:themeColor="text1"/>
                <w:sz w:val="24"/>
                <w:szCs w:val="24"/>
                <w:highlight w:val="none"/>
                <w14:textFill>
                  <w14:solidFill>
                    <w14:schemeClr w14:val="tx1"/>
                  </w14:solidFill>
                </w14:textFill>
              </w:rPr>
              <w:t>提</w:t>
            </w:r>
            <w:r>
              <w:rPr>
                <w:rFonts w:ascii="仿宋" w:hAnsi="仿宋" w:eastAsia="仿宋" w:cs="仿宋"/>
                <w:color w:val="000000" w:themeColor="text1"/>
                <w:sz w:val="24"/>
                <w:szCs w:val="24"/>
                <w14:textFill>
                  <w14:solidFill>
                    <w14:schemeClr w14:val="tx1"/>
                  </w14:solidFill>
                </w14:textFill>
              </w:rPr>
              <w:t>供</w:t>
            </w:r>
            <w:r>
              <w:rPr>
                <w:rFonts w:hint="eastAsia" w:ascii="仿宋" w:hAnsi="仿宋" w:eastAsia="仿宋" w:cs="仿宋"/>
                <w:color w:val="000000" w:themeColor="text1"/>
                <w:sz w:val="24"/>
                <w:szCs w:val="24"/>
                <w:lang w:eastAsia="zh-CN"/>
                <w14:textFill>
                  <w14:solidFill>
                    <w14:schemeClr w14:val="tx1"/>
                  </w14:solidFill>
                </w14:textFill>
              </w:rPr>
              <w:t>本项目</w:t>
            </w:r>
            <w:r>
              <w:rPr>
                <w:rFonts w:ascii="仿宋" w:hAnsi="仿宋" w:eastAsia="仿宋" w:cs="仿宋"/>
                <w:color w:val="000000" w:themeColor="text1"/>
                <w:sz w:val="24"/>
                <w:szCs w:val="24"/>
                <w14:textFill>
                  <w14:solidFill>
                    <w14:schemeClr w14:val="tx1"/>
                  </w14:solidFill>
                </w14:textFill>
              </w:rPr>
              <w:t>所需要的</w:t>
            </w:r>
            <w:r>
              <w:rPr>
                <w:rFonts w:hint="eastAsia" w:ascii="仿宋" w:hAnsi="仿宋" w:eastAsia="仿宋" w:cs="仿宋"/>
                <w:color w:val="auto"/>
                <w:sz w:val="24"/>
                <w:szCs w:val="24"/>
                <w:lang w:val="en-US" w:eastAsia="zh-CN"/>
              </w:rPr>
              <w:t>物料配备</w:t>
            </w:r>
            <w:r>
              <w:rPr>
                <w:rFonts w:ascii="仿宋" w:hAnsi="仿宋" w:eastAsia="仿宋" w:cs="仿宋"/>
                <w:color w:val="000000" w:themeColor="text1"/>
                <w:sz w:val="24"/>
                <w:szCs w:val="24"/>
                <w14:textFill>
                  <w14:solidFill>
                    <w14:schemeClr w14:val="tx1"/>
                  </w14:solidFill>
                </w14:textFill>
              </w:rPr>
              <w:t>清单，应包含：①工作服装和工作用具②劳保用品和易耗品。</w:t>
            </w:r>
            <w:r>
              <w:rPr>
                <w:rFonts w:ascii="仿宋" w:hAnsi="仿宋" w:eastAsia="仿宋" w:cs="仿宋"/>
                <w:color w:val="000000" w:themeColor="text1"/>
                <w:sz w:val="24"/>
                <w:szCs w:val="24"/>
                <w14:textFill>
                  <w14:solidFill>
                    <w14:schemeClr w14:val="tx1"/>
                  </w14:solidFill>
                </w14:textFill>
              </w:rPr>
              <w:br w:type="textWrapping"/>
            </w:r>
            <w:r>
              <w:rPr>
                <w:rFonts w:ascii="仿宋" w:hAnsi="仿宋" w:eastAsia="仿宋" w:cs="仿宋"/>
                <w:b/>
                <w:bCs/>
                <w:color w:val="000000" w:themeColor="text1"/>
                <w:sz w:val="24"/>
                <w:szCs w:val="24"/>
                <w14:textFill>
                  <w14:solidFill>
                    <w14:schemeClr w14:val="tx1"/>
                  </w14:solidFill>
                </w14:textFill>
              </w:rPr>
              <w:t>二、评审标准</w:t>
            </w:r>
            <w:r>
              <w:rPr>
                <w:rFonts w:ascii="仿宋" w:hAnsi="仿宋" w:eastAsia="仿宋" w:cs="仿宋"/>
                <w:color w:val="000000" w:themeColor="text1"/>
                <w:sz w:val="24"/>
                <w:szCs w:val="24"/>
                <w14:textFill>
                  <w14:solidFill>
                    <w14:schemeClr w14:val="tx1"/>
                  </w14:solidFill>
                </w14:textFill>
              </w:rPr>
              <w:br w:type="textWrapping"/>
            </w:r>
            <w:r>
              <w:rPr>
                <w:rFonts w:ascii="仿宋" w:hAnsi="仿宋" w:eastAsia="仿宋" w:cs="仿宋"/>
                <w:color w:val="000000" w:themeColor="text1"/>
                <w:sz w:val="24"/>
                <w:szCs w:val="24"/>
                <w14:textFill>
                  <w14:solidFill>
                    <w14:schemeClr w14:val="tx1"/>
                  </w14:solidFill>
                </w14:textFill>
              </w:rPr>
              <w:t>1、完整性：清单全面，对评审内容中的各项服装工具配置合理；</w:t>
            </w:r>
            <w:r>
              <w:rPr>
                <w:rFonts w:ascii="仿宋" w:hAnsi="仿宋" w:eastAsia="仿宋" w:cs="仿宋"/>
                <w:color w:val="000000" w:themeColor="text1"/>
                <w:sz w:val="24"/>
                <w:szCs w:val="24"/>
                <w14:textFill>
                  <w14:solidFill>
                    <w14:schemeClr w14:val="tx1"/>
                  </w14:solidFill>
                </w14:textFill>
              </w:rPr>
              <w:br w:type="textWrapping"/>
            </w:r>
            <w:r>
              <w:rPr>
                <w:rFonts w:ascii="仿宋" w:hAnsi="仿宋" w:eastAsia="仿宋" w:cs="仿宋"/>
                <w:color w:val="000000" w:themeColor="text1"/>
                <w:sz w:val="24"/>
                <w:szCs w:val="24"/>
                <w14:textFill>
                  <w14:solidFill>
                    <w14:schemeClr w14:val="tx1"/>
                  </w14:solidFill>
                </w14:textFill>
              </w:rPr>
              <w:t>2、实用性：服装工具能够切合项目实际情况，提供质量有保障、使用率高、环保性强、服装统一。</w:t>
            </w:r>
            <w:r>
              <w:rPr>
                <w:rFonts w:ascii="仿宋" w:hAnsi="仿宋" w:eastAsia="仿宋" w:cs="仿宋"/>
                <w:color w:val="000000" w:themeColor="text1"/>
                <w:sz w:val="24"/>
                <w:szCs w:val="24"/>
                <w14:textFill>
                  <w14:solidFill>
                    <w14:schemeClr w14:val="tx1"/>
                  </w14:solidFill>
                </w14:textFill>
              </w:rPr>
              <w:br w:type="textWrapping"/>
            </w:r>
            <w:r>
              <w:rPr>
                <w:rFonts w:ascii="仿宋" w:hAnsi="仿宋" w:eastAsia="仿宋" w:cs="仿宋"/>
                <w:b/>
                <w:bCs/>
                <w:color w:val="000000" w:themeColor="text1"/>
                <w:sz w:val="24"/>
                <w:szCs w:val="24"/>
                <w14:textFill>
                  <w14:solidFill>
                    <w14:schemeClr w14:val="tx1"/>
                  </w14:solidFill>
                </w14:textFill>
              </w:rPr>
              <w:t>三、赋分标准（满分</w:t>
            </w:r>
            <w:r>
              <w:rPr>
                <w:rFonts w:hint="eastAsia" w:ascii="仿宋" w:hAnsi="仿宋" w:eastAsia="仿宋" w:cs="仿宋"/>
                <w:b/>
                <w:bCs/>
                <w:color w:val="000000" w:themeColor="text1"/>
                <w:sz w:val="24"/>
                <w:szCs w:val="24"/>
                <w14:textFill>
                  <w14:solidFill>
                    <w14:schemeClr w14:val="tx1"/>
                  </w14:solidFill>
                </w14:textFill>
              </w:rPr>
              <w:t>4</w:t>
            </w:r>
            <w:r>
              <w:rPr>
                <w:rFonts w:ascii="仿宋" w:hAnsi="仿宋" w:eastAsia="仿宋" w:cs="仿宋"/>
                <w:b/>
                <w:bCs/>
                <w:color w:val="000000" w:themeColor="text1"/>
                <w:sz w:val="24"/>
                <w:szCs w:val="24"/>
                <w14:textFill>
                  <w14:solidFill>
                    <w14:schemeClr w14:val="tx1"/>
                  </w14:solidFill>
                </w14:textFill>
              </w:rPr>
              <w:t>分）</w:t>
            </w:r>
            <w:r>
              <w:rPr>
                <w:rFonts w:ascii="仿宋" w:hAnsi="仿宋" w:eastAsia="仿宋" w:cs="仿宋"/>
                <w:color w:val="000000" w:themeColor="text1"/>
                <w:sz w:val="24"/>
                <w:szCs w:val="24"/>
                <w14:textFill>
                  <w14:solidFill>
                    <w14:schemeClr w14:val="tx1"/>
                  </w14:solidFill>
                </w14:textFill>
              </w:rPr>
              <w:br w:type="textWrapping"/>
            </w:r>
            <w:r>
              <w:rPr>
                <w:rFonts w:ascii="仿宋" w:hAnsi="仿宋" w:eastAsia="仿宋" w:cs="仿宋"/>
                <w:color w:val="000000" w:themeColor="text1"/>
                <w:sz w:val="24"/>
                <w:szCs w:val="24"/>
                <w14:textFill>
                  <w14:solidFill>
                    <w14:schemeClr w14:val="tx1"/>
                  </w14:solidFill>
                </w14:textFill>
              </w:rPr>
              <w:t>①工作服装和工作用具：每完全满足一个评审标准得</w:t>
            </w: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14:textFill>
                  <w14:solidFill>
                    <w14:schemeClr w14:val="tx1"/>
                  </w14:solidFill>
                </w14:textFill>
              </w:rPr>
              <w:t>2</w:t>
            </w:r>
            <w:r>
              <w:rPr>
                <w:rFonts w:ascii="仿宋" w:hAnsi="仿宋" w:eastAsia="仿宋" w:cs="仿宋"/>
                <w:color w:val="000000" w:themeColor="text1"/>
                <w:sz w:val="24"/>
                <w:szCs w:val="24"/>
                <w14:textFill>
                  <w14:solidFill>
                    <w14:schemeClr w14:val="tx1"/>
                  </w14:solidFill>
                </w14:textFill>
              </w:rPr>
              <w:t>分；</w:t>
            </w:r>
            <w:r>
              <w:rPr>
                <w:rFonts w:ascii="仿宋" w:hAnsi="仿宋" w:eastAsia="仿宋" w:cs="仿宋"/>
                <w:color w:val="000000" w:themeColor="text1"/>
                <w:sz w:val="24"/>
                <w:szCs w:val="24"/>
                <w14:textFill>
                  <w14:solidFill>
                    <w14:schemeClr w14:val="tx1"/>
                  </w14:solidFill>
                </w14:textFill>
              </w:rPr>
              <w:br w:type="textWrapping"/>
            </w:r>
            <w:r>
              <w:rPr>
                <w:rFonts w:ascii="仿宋" w:hAnsi="仿宋" w:eastAsia="仿宋" w:cs="仿宋"/>
                <w:color w:val="000000" w:themeColor="text1"/>
                <w:sz w:val="24"/>
                <w:szCs w:val="24"/>
                <w14:textFill>
                  <w14:solidFill>
                    <w14:schemeClr w14:val="tx1"/>
                  </w14:solidFill>
                </w14:textFill>
              </w:rPr>
              <w:t>②劳保用品和易耗品:每完全满足一个评审标准得</w:t>
            </w:r>
            <w:r>
              <w:rPr>
                <w:rFonts w:hint="eastAsia" w:ascii="仿宋" w:hAnsi="仿宋" w:eastAsia="仿宋" w:cs="仿宋"/>
                <w:color w:val="000000" w:themeColor="text1"/>
                <w:sz w:val="24"/>
                <w:szCs w:val="24"/>
                <w14:textFill>
                  <w14:solidFill>
                    <w14:schemeClr w14:val="tx1"/>
                  </w14:solidFill>
                </w14:textFill>
              </w:rPr>
              <w:t>1</w:t>
            </w:r>
            <w:r>
              <w:rPr>
                <w:rFonts w:ascii="仿宋" w:hAnsi="仿宋" w:eastAsia="仿宋" w:cs="仿宋"/>
                <w:color w:val="000000" w:themeColor="text1"/>
                <w:sz w:val="24"/>
                <w:szCs w:val="24"/>
                <w14:textFill>
                  <w14:solidFill>
                    <w14:schemeClr w14:val="tx1"/>
                  </w14:solidFill>
                </w14:textFill>
              </w:rPr>
              <w:t>分，满分</w:t>
            </w:r>
            <w:r>
              <w:rPr>
                <w:rFonts w:hint="eastAsia" w:ascii="仿宋" w:hAnsi="仿宋" w:eastAsia="仿宋" w:cs="仿宋"/>
                <w:color w:val="000000" w:themeColor="text1"/>
                <w:sz w:val="24"/>
                <w:szCs w:val="24"/>
                <w14:textFill>
                  <w14:solidFill>
                    <w14:schemeClr w14:val="tx1"/>
                  </w14:solidFill>
                </w14:textFill>
              </w:rPr>
              <w:t>2</w:t>
            </w:r>
            <w:r>
              <w:rPr>
                <w:rFonts w:ascii="仿宋" w:hAnsi="仿宋" w:eastAsia="仿宋" w:cs="仿宋"/>
                <w:color w:val="000000" w:themeColor="text1"/>
                <w:sz w:val="24"/>
                <w:szCs w:val="24"/>
                <w14:textFill>
                  <w14:solidFill>
                    <w14:schemeClr w14:val="tx1"/>
                  </w14:solidFill>
                </w14:textFill>
              </w:rPr>
              <w:t>分。</w:t>
            </w:r>
          </w:p>
        </w:tc>
      </w:tr>
      <w:tr w14:paraId="38B1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18D69923">
            <w:pPr>
              <w:widowControl w:val="0"/>
              <w:spacing w:afterLines="0" w:line="38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sz w:val="24"/>
                <w:szCs w:val="24"/>
                <w:highlight w:val="none"/>
                <w:lang w:val="en-US" w:eastAsia="zh-CN"/>
              </w:rPr>
              <w:t>人员</w:t>
            </w:r>
            <w:r>
              <w:rPr>
                <w:rFonts w:hint="eastAsia" w:ascii="仿宋" w:hAnsi="仿宋" w:eastAsia="仿宋" w:cs="仿宋"/>
                <w:color w:val="auto"/>
                <w:sz w:val="24"/>
                <w:szCs w:val="24"/>
                <w:highlight w:val="none"/>
                <w:lang w:val="en-US" w:eastAsia="zh-CN"/>
              </w:rPr>
              <w:t>保障</w:t>
            </w:r>
          </w:p>
        </w:tc>
        <w:tc>
          <w:tcPr>
            <w:tcW w:w="729" w:type="dxa"/>
            <w:vAlign w:val="center"/>
          </w:tcPr>
          <w:p w14:paraId="6BB9E957">
            <w:pPr>
              <w:widowControl w:val="0"/>
              <w:spacing w:afterLines="0" w:line="380" w:lineRule="exact"/>
              <w:jc w:val="center"/>
              <w:rPr>
                <w:rFonts w:hint="default"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sz w:val="24"/>
                <w:szCs w:val="24"/>
                <w:highlight w:val="none"/>
                <w:lang w:val="en-US" w:eastAsia="zh-CN"/>
              </w:rPr>
              <w:t>2.5</w:t>
            </w:r>
          </w:p>
        </w:tc>
        <w:tc>
          <w:tcPr>
            <w:tcW w:w="7437" w:type="dxa"/>
            <w:vAlign w:val="center"/>
          </w:tcPr>
          <w:p w14:paraId="7C78149D">
            <w:pPr>
              <w:widowControl w:val="0"/>
              <w:spacing w:afterLines="0" w:line="38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承诺：</w:t>
            </w:r>
            <w:r>
              <w:rPr>
                <w:rFonts w:hint="eastAsia" w:ascii="仿宋" w:hAnsi="仿宋" w:eastAsia="仿宋" w:cs="仿宋"/>
                <w:kern w:val="0"/>
                <w:sz w:val="24"/>
                <w:szCs w:val="24"/>
                <w:highlight w:val="none"/>
              </w:rPr>
              <w:t>在满足</w:t>
            </w:r>
            <w:r>
              <w:rPr>
                <w:rFonts w:hint="eastAsia" w:ascii="仿宋" w:hAnsi="仿宋" w:eastAsia="仿宋" w:cs="仿宋"/>
                <w:kern w:val="0"/>
                <w:sz w:val="24"/>
                <w:szCs w:val="24"/>
                <w:highlight w:val="none"/>
                <w:lang w:val="en-US" w:eastAsia="zh-CN"/>
              </w:rPr>
              <w:t>招标</w:t>
            </w:r>
            <w:r>
              <w:rPr>
                <w:rFonts w:hint="eastAsia" w:ascii="仿宋" w:hAnsi="仿宋" w:eastAsia="仿宋" w:cs="仿宋"/>
                <w:kern w:val="0"/>
                <w:sz w:val="24"/>
                <w:szCs w:val="24"/>
                <w:highlight w:val="none"/>
              </w:rPr>
              <w:t>文件人数要求（</w:t>
            </w:r>
            <w:r>
              <w:rPr>
                <w:rFonts w:hint="eastAsia" w:ascii="仿宋" w:hAnsi="仿宋" w:eastAsia="仿宋" w:cs="仿宋"/>
                <w:kern w:val="0"/>
                <w:sz w:val="24"/>
                <w:szCs w:val="24"/>
                <w:highlight w:val="none"/>
                <w:lang w:val="en-US" w:eastAsia="zh-CN"/>
              </w:rPr>
              <w:t>65</w:t>
            </w:r>
            <w:r>
              <w:rPr>
                <w:rFonts w:hint="eastAsia" w:ascii="仿宋" w:hAnsi="仿宋" w:eastAsia="仿宋" w:cs="仿宋"/>
                <w:kern w:val="0"/>
                <w:sz w:val="24"/>
                <w:szCs w:val="24"/>
                <w:highlight w:val="none"/>
              </w:rPr>
              <w:t>人）的前提下，每增加1人得</w:t>
            </w:r>
            <w:r>
              <w:rPr>
                <w:rFonts w:hint="eastAsia" w:ascii="仿宋" w:hAnsi="仿宋" w:eastAsia="仿宋" w:cs="仿宋"/>
                <w:kern w:val="0"/>
                <w:sz w:val="24"/>
                <w:szCs w:val="24"/>
                <w:highlight w:val="none"/>
                <w:lang w:val="en-US" w:eastAsia="zh-CN"/>
              </w:rPr>
              <w:t>0.5</w:t>
            </w:r>
            <w:r>
              <w:rPr>
                <w:rFonts w:hint="eastAsia" w:ascii="仿宋" w:hAnsi="仿宋" w:eastAsia="仿宋" w:cs="仿宋"/>
                <w:kern w:val="0"/>
                <w:sz w:val="24"/>
                <w:szCs w:val="24"/>
                <w:highlight w:val="none"/>
              </w:rPr>
              <w:t>分，满分</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分。无承诺不得分（承诺</w:t>
            </w:r>
            <w:r>
              <w:rPr>
                <w:rFonts w:hint="eastAsia" w:ascii="仿宋" w:hAnsi="仿宋" w:eastAsia="仿宋" w:cs="仿宋"/>
                <w:kern w:val="0"/>
                <w:sz w:val="24"/>
                <w:szCs w:val="24"/>
                <w:highlight w:val="none"/>
                <w:lang w:eastAsia="zh-CN"/>
              </w:rPr>
              <w:t>须</w:t>
            </w:r>
            <w:r>
              <w:rPr>
                <w:rFonts w:hint="eastAsia" w:ascii="仿宋" w:hAnsi="仿宋" w:eastAsia="仿宋" w:cs="仿宋"/>
                <w:kern w:val="0"/>
                <w:sz w:val="24"/>
                <w:szCs w:val="24"/>
                <w:highlight w:val="none"/>
              </w:rPr>
              <w:t>明确具体人数</w:t>
            </w:r>
            <w:r>
              <w:rPr>
                <w:rFonts w:hint="eastAsia" w:ascii="仿宋" w:hAnsi="仿宋" w:eastAsia="仿宋" w:cs="仿宋"/>
                <w:kern w:val="0"/>
                <w:sz w:val="24"/>
                <w:szCs w:val="24"/>
                <w:highlight w:val="none"/>
                <w:lang w:eastAsia="zh-CN"/>
              </w:rPr>
              <w:t>，格式自拟</w:t>
            </w:r>
            <w:r>
              <w:rPr>
                <w:rFonts w:hint="eastAsia" w:ascii="仿宋" w:hAnsi="仿宋" w:eastAsia="仿宋" w:cs="仿宋"/>
                <w:kern w:val="0"/>
                <w:sz w:val="24"/>
                <w:szCs w:val="24"/>
                <w:highlight w:val="none"/>
              </w:rPr>
              <w:t>）。</w:t>
            </w:r>
          </w:p>
        </w:tc>
      </w:tr>
      <w:tr w14:paraId="058C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6" w:type="dxa"/>
            <w:vAlign w:val="center"/>
          </w:tcPr>
          <w:p w14:paraId="1FAE9595">
            <w:pPr>
              <w:spacing w:afterLines="0" w:line="3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服务承诺</w:t>
            </w:r>
          </w:p>
        </w:tc>
        <w:tc>
          <w:tcPr>
            <w:tcW w:w="729" w:type="dxa"/>
            <w:vAlign w:val="center"/>
          </w:tcPr>
          <w:p w14:paraId="7C839D11">
            <w:pPr>
              <w:spacing w:afterLines="0" w:line="380" w:lineRule="exac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7437" w:type="dxa"/>
            <w:vAlign w:val="center"/>
          </w:tcPr>
          <w:p w14:paraId="2A7EB63D">
            <w:pPr>
              <w:pStyle w:val="10"/>
              <w:widowControl/>
              <w:snapToGrid/>
              <w:spacing w:afterLines="0" w:line="38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1、承诺：储备可调度人员，调度人员可保障重大活动、突发事件的临时任务调度需要，得1分，无承诺不得分。</w:t>
            </w:r>
          </w:p>
          <w:p w14:paraId="3236B8B3">
            <w:pPr>
              <w:pStyle w:val="10"/>
              <w:widowControl/>
              <w:snapToGrid/>
              <w:spacing w:afterLines="0" w:line="38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2、承诺：接受采购人对服务的考核、监督及管理，得1分。无承诺不得分。</w:t>
            </w:r>
          </w:p>
          <w:p w14:paraId="11E7A2CD">
            <w:pPr>
              <w:spacing w:afterLines="0" w:line="38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、承诺：定期调研采购人对服务质量的满意度并加以改进，确保服务工作的优质高效，得1分。</w:t>
            </w:r>
            <w:r>
              <w:rPr>
                <w:rFonts w:hint="eastAsia" w:ascii="仿宋" w:hAnsi="仿宋" w:eastAsia="仿宋" w:cs="仿宋"/>
                <w:color w:val="000000" w:themeColor="text1"/>
                <w:kern w:val="0"/>
                <w:sz w:val="24"/>
                <w:szCs w:val="24"/>
                <w14:textFill>
                  <w14:solidFill>
                    <w14:schemeClr w14:val="tx1"/>
                  </w14:solidFill>
                </w14:textFill>
              </w:rPr>
              <w:t>无承诺不得分。</w:t>
            </w:r>
          </w:p>
        </w:tc>
      </w:tr>
      <w:tr w14:paraId="1DD1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56" w:type="dxa"/>
            <w:vAlign w:val="center"/>
          </w:tcPr>
          <w:p w14:paraId="76451C9C">
            <w:pPr>
              <w:autoSpaceDE w:val="0"/>
              <w:autoSpaceDN w:val="0"/>
              <w:adjustRightInd w:val="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highlight w:val="none"/>
              </w:rPr>
              <w:t>说明</w:t>
            </w:r>
          </w:p>
        </w:tc>
        <w:tc>
          <w:tcPr>
            <w:tcW w:w="8166" w:type="dxa"/>
            <w:gridSpan w:val="2"/>
            <w:vAlign w:val="center"/>
          </w:tcPr>
          <w:p w14:paraId="449FA9D1">
            <w:pPr>
              <w:spacing w:line="380" w:lineRule="exact"/>
              <w:jc w:val="both"/>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评标委员会成员须按照本评审要素据实打分；</w:t>
            </w:r>
          </w:p>
          <w:p w14:paraId="654EC570">
            <w:pPr>
              <w:autoSpaceDE w:val="0"/>
              <w:autoSpaceDN w:val="0"/>
              <w:adjustRightInd w:val="0"/>
              <w:spacing w:line="380" w:lineRule="exact"/>
              <w:jc w:val="both"/>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sz w:val="24"/>
                <w:szCs w:val="24"/>
                <w:highlight w:val="none"/>
              </w:rPr>
              <w:t>2、对小型和微型企业提供的本项</w:t>
            </w:r>
            <w:r>
              <w:rPr>
                <w:rFonts w:hint="eastAsia" w:ascii="仿宋" w:hAnsi="仿宋" w:eastAsia="仿宋" w:cs="仿宋"/>
                <w:sz w:val="24"/>
                <w:szCs w:val="24"/>
                <w:highlight w:val="none"/>
                <w:lang w:val="en-US" w:eastAsia="zh-CN"/>
              </w:rPr>
              <w:t>服务</w:t>
            </w:r>
            <w:r>
              <w:rPr>
                <w:rFonts w:ascii="仿宋" w:hAnsi="仿宋" w:eastAsia="仿宋" w:cs="仿宋"/>
                <w:sz w:val="24"/>
                <w:szCs w:val="24"/>
                <w:highlight w:val="none"/>
              </w:rPr>
              <w:t>的价格给予</w:t>
            </w:r>
            <w:r>
              <w:rPr>
                <w:rFonts w:ascii="仿宋" w:hAnsi="仿宋" w:eastAsia="仿宋" w:cs="仿宋"/>
                <w:sz w:val="24"/>
                <w:szCs w:val="24"/>
                <w:highlight w:val="none"/>
                <w:u w:val="none"/>
              </w:rPr>
              <w:t>10</w:t>
            </w:r>
            <w:r>
              <w:rPr>
                <w:rFonts w:ascii="仿宋" w:hAnsi="仿宋" w:eastAsia="仿宋" w:cs="仿宋"/>
                <w:bCs/>
                <w:sz w:val="24"/>
                <w:szCs w:val="24"/>
                <w:highlight w:val="none"/>
                <w:u w:val="none"/>
              </w:rPr>
              <w:t>%</w:t>
            </w:r>
            <w:r>
              <w:rPr>
                <w:rFonts w:hint="eastAsia" w:ascii="仿宋" w:hAnsi="仿宋" w:eastAsia="仿宋" w:cs="仿宋"/>
                <w:sz w:val="24"/>
                <w:szCs w:val="24"/>
                <w:highlight w:val="none"/>
              </w:rPr>
              <w:t>的价格扣除，用扣除后的价格参与评审，除此之外的其他情形均不适用本款规定；未提供《小微企业声明函》或《残疾人福利性单位声明函》或监狱企业证明文件的不享受价格折扣。</w:t>
            </w:r>
          </w:p>
        </w:tc>
      </w:tr>
    </w:tbl>
    <w:p w14:paraId="10AA1188">
      <w:pPr>
        <w:spacing w:after="0" w:afterLines="-2147483648" w:line="240" w:lineRule="auto"/>
        <w:jc w:val="both"/>
        <w:outlineLvl w:val="9"/>
        <w:rPr>
          <w:rFonts w:hint="eastAsia" w:ascii="黑体" w:hAnsi="黑体" w:eastAsia="黑体" w:cs="黑体"/>
          <w:color w:val="000000" w:themeColor="text1"/>
          <w:sz w:val="32"/>
          <w:szCs w:val="32"/>
          <w:highlight w:val="yellow"/>
          <w14:textFill>
            <w14:solidFill>
              <w14:schemeClr w14:val="tx1"/>
            </w14:solidFill>
          </w14:textFill>
        </w:rPr>
      </w:pPr>
      <w:r>
        <w:rPr>
          <w:rFonts w:hint="eastAsia" w:ascii="黑体" w:hAnsi="黑体" w:eastAsia="黑体" w:cs="黑体"/>
          <w:color w:val="000000" w:themeColor="text1"/>
          <w:sz w:val="32"/>
          <w:szCs w:val="32"/>
          <w:highlight w:val="yellow"/>
          <w14:textFill>
            <w14:solidFill>
              <w14:schemeClr w14:val="tx1"/>
            </w14:solidFill>
          </w14:textFill>
        </w:rPr>
        <w:br w:type="page"/>
      </w:r>
    </w:p>
    <w:p w14:paraId="374B8C7E">
      <w:pPr>
        <w:spacing w:after="0" w:afterLines="-2147483648" w:line="240" w:lineRule="auto"/>
        <w:jc w:val="center"/>
        <w:outlineLvl w:val="9"/>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第四章  招标内容及采购要求</w:t>
      </w:r>
    </w:p>
    <w:p w14:paraId="4D4AEAA5">
      <w:pPr>
        <w:keepNext/>
        <w:keepLines/>
        <w:spacing w:line="500" w:lineRule="exact"/>
        <w:ind w:firstLine="566" w:firstLineChars="200"/>
        <w:outlineLvl w:val="1"/>
        <w:rPr>
          <w:rFonts w:ascii="仿宋" w:hAnsi="仿宋" w:eastAsia="仿宋" w:cs="仿宋"/>
          <w:b/>
          <w:bCs/>
          <w:color w:val="000000" w:themeColor="text1"/>
          <w:highlight w:val="none"/>
          <w14:textFill>
            <w14:solidFill>
              <w14:schemeClr w14:val="tx1"/>
            </w14:solidFill>
          </w14:textFill>
        </w:rPr>
      </w:pPr>
      <w:bookmarkStart w:id="248" w:name="_Toc20880"/>
      <w:bookmarkStart w:id="249" w:name="_Toc15480"/>
      <w:bookmarkStart w:id="250" w:name="_Toc14437"/>
      <w:bookmarkStart w:id="251" w:name="_Toc22019"/>
      <w:bookmarkStart w:id="252" w:name="_Toc15519"/>
      <w:r>
        <w:rPr>
          <w:rFonts w:hint="eastAsia" w:ascii="仿宋" w:hAnsi="仿宋" w:eastAsia="仿宋" w:cs="仿宋"/>
          <w:b/>
          <w:bCs/>
          <w:color w:val="000000" w:themeColor="text1"/>
          <w:highlight w:val="none"/>
          <w14:textFill>
            <w14:solidFill>
              <w14:schemeClr w14:val="tx1"/>
            </w14:solidFill>
          </w14:textFill>
        </w:rPr>
        <w:t>一、项目概况</w:t>
      </w:r>
    </w:p>
    <w:p w14:paraId="608BDA5A">
      <w:pPr>
        <w:autoSpaceDE w:val="0"/>
        <w:autoSpaceDN w:val="0"/>
        <w:adjustRightInd w:val="0"/>
        <w:snapToGrid w:val="0"/>
        <w:spacing w:line="500" w:lineRule="exact"/>
        <w:ind w:firstLine="566" w:firstLineChars="200"/>
        <w:textAlignment w:val="baseline"/>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本项目是杨凌职业技术学院2026年物业服务项目，服务内容为教室、会议室、卫生间、教师休息室及楼宇公共区域的保洁和管理，服务面积约9.4万㎡。</w:t>
      </w:r>
    </w:p>
    <w:p w14:paraId="28017416">
      <w:pPr>
        <w:autoSpaceDE w:val="0"/>
        <w:autoSpaceDN w:val="0"/>
        <w:adjustRightInd w:val="0"/>
        <w:snapToGrid w:val="0"/>
        <w:spacing w:line="500" w:lineRule="exact"/>
        <w:ind w:firstLine="526" w:firstLineChars="200"/>
        <w:textAlignment w:val="baseline"/>
        <w:outlineLvl w:val="1"/>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10"/>
          <w:highlight w:val="none"/>
          <w14:textFill>
            <w14:solidFill>
              <w14:schemeClr w14:val="tx1"/>
            </w14:solidFill>
          </w14:textFill>
        </w:rPr>
        <w:t>二、服务范围</w:t>
      </w:r>
    </w:p>
    <w:p w14:paraId="37063A81">
      <w:pPr>
        <w:autoSpaceDE w:val="0"/>
        <w:autoSpaceDN w:val="0"/>
        <w:adjustRightInd w:val="0"/>
        <w:snapToGrid w:val="0"/>
        <w:spacing w:line="500" w:lineRule="exact"/>
        <w:ind w:firstLine="566" w:firstLineChars="200"/>
        <w:textAlignment w:val="baseline"/>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（一）南校区2.92万㎡；</w:t>
      </w:r>
    </w:p>
    <w:p w14:paraId="5D727F28">
      <w:pPr>
        <w:autoSpaceDE w:val="0"/>
        <w:autoSpaceDN w:val="0"/>
        <w:adjustRightInd w:val="0"/>
        <w:snapToGrid w:val="0"/>
        <w:spacing w:line="500" w:lineRule="exact"/>
        <w:ind w:firstLine="566" w:firstLineChars="200"/>
        <w:textAlignment w:val="baseline"/>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（二）北校区1.49万㎡；</w:t>
      </w:r>
    </w:p>
    <w:p w14:paraId="7B5B6A03">
      <w:pPr>
        <w:autoSpaceDE w:val="0"/>
        <w:autoSpaceDN w:val="0"/>
        <w:adjustRightInd w:val="0"/>
        <w:snapToGrid w:val="0"/>
        <w:spacing w:line="500" w:lineRule="exact"/>
        <w:ind w:firstLine="566" w:firstLineChars="200"/>
        <w:textAlignment w:val="baseline"/>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（三）西校区1.79万㎡；</w:t>
      </w:r>
    </w:p>
    <w:p w14:paraId="46927208">
      <w:pPr>
        <w:autoSpaceDE w:val="0"/>
        <w:autoSpaceDN w:val="0"/>
        <w:adjustRightInd w:val="0"/>
        <w:snapToGrid w:val="0"/>
        <w:spacing w:line="500" w:lineRule="exact"/>
        <w:ind w:firstLine="566" w:firstLineChars="200"/>
        <w:textAlignment w:val="baseline"/>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（四）滨河校区面积约3.2万㎡。</w:t>
      </w:r>
    </w:p>
    <w:p w14:paraId="626AD7C4">
      <w:pPr>
        <w:autoSpaceDE w:val="0"/>
        <w:autoSpaceDN w:val="0"/>
        <w:adjustRightInd w:val="0"/>
        <w:snapToGrid w:val="0"/>
        <w:spacing w:line="500" w:lineRule="exact"/>
        <w:ind w:firstLine="566" w:firstLineChars="200"/>
        <w:jc w:val="center"/>
        <w:textAlignment w:val="baseline"/>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表1：楼宇服务面积一览表</w:t>
      </w:r>
    </w:p>
    <w:tbl>
      <w:tblPr>
        <w:tblStyle w:val="18"/>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89"/>
        <w:gridCol w:w="2661"/>
        <w:gridCol w:w="1851"/>
        <w:gridCol w:w="2478"/>
      </w:tblGrid>
      <w:tr w14:paraId="7C7E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0" w:type="auto"/>
            <w:noWrap w:val="0"/>
            <w:vAlign w:val="center"/>
          </w:tcPr>
          <w:p w14:paraId="0686F0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序号</w:t>
            </w:r>
          </w:p>
        </w:tc>
        <w:tc>
          <w:tcPr>
            <w:tcW w:w="0" w:type="auto"/>
            <w:noWrap w:val="0"/>
            <w:vAlign w:val="center"/>
          </w:tcPr>
          <w:p w14:paraId="720F0A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校区</w:t>
            </w:r>
          </w:p>
        </w:tc>
        <w:tc>
          <w:tcPr>
            <w:tcW w:w="2661" w:type="dxa"/>
            <w:noWrap w:val="0"/>
            <w:vAlign w:val="center"/>
          </w:tcPr>
          <w:p w14:paraId="201C6B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楼宇</w:t>
            </w:r>
          </w:p>
        </w:tc>
        <w:tc>
          <w:tcPr>
            <w:tcW w:w="1851" w:type="dxa"/>
            <w:noWrap w:val="0"/>
            <w:vAlign w:val="center"/>
          </w:tcPr>
          <w:p w14:paraId="5818B2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服务面积（㎡）</w:t>
            </w:r>
          </w:p>
        </w:tc>
        <w:tc>
          <w:tcPr>
            <w:tcW w:w="2478" w:type="dxa"/>
            <w:noWrap w:val="0"/>
            <w:vAlign w:val="center"/>
          </w:tcPr>
          <w:p w14:paraId="44417F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各校区总计面积（㎡）</w:t>
            </w:r>
          </w:p>
        </w:tc>
      </w:tr>
      <w:tr w14:paraId="1028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5F1312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0" w:type="auto"/>
            <w:vMerge w:val="restart"/>
            <w:noWrap w:val="0"/>
            <w:vAlign w:val="center"/>
          </w:tcPr>
          <w:p w14:paraId="3EC459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南校区</w:t>
            </w:r>
          </w:p>
        </w:tc>
        <w:tc>
          <w:tcPr>
            <w:tcW w:w="2661" w:type="dxa"/>
            <w:noWrap w:val="0"/>
            <w:vAlign w:val="center"/>
          </w:tcPr>
          <w:p w14:paraId="715EF5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淮雨楼</w:t>
            </w:r>
          </w:p>
        </w:tc>
        <w:tc>
          <w:tcPr>
            <w:tcW w:w="1851" w:type="dxa"/>
            <w:noWrap w:val="0"/>
            <w:vAlign w:val="center"/>
          </w:tcPr>
          <w:p w14:paraId="0203D8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700</w:t>
            </w:r>
          </w:p>
        </w:tc>
        <w:tc>
          <w:tcPr>
            <w:tcW w:w="2478" w:type="dxa"/>
            <w:vMerge w:val="restart"/>
            <w:noWrap w:val="0"/>
            <w:vAlign w:val="center"/>
          </w:tcPr>
          <w:p w14:paraId="7BFE04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29200</w:t>
            </w:r>
          </w:p>
        </w:tc>
      </w:tr>
      <w:tr w14:paraId="6FFC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64B0CA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0" w:type="auto"/>
            <w:vMerge w:val="continue"/>
            <w:noWrap w:val="0"/>
            <w:vAlign w:val="center"/>
          </w:tcPr>
          <w:p w14:paraId="6E847EE3">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630AD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秦风楼</w:t>
            </w:r>
          </w:p>
        </w:tc>
        <w:tc>
          <w:tcPr>
            <w:tcW w:w="1851" w:type="dxa"/>
            <w:noWrap w:val="0"/>
            <w:vAlign w:val="center"/>
          </w:tcPr>
          <w:p w14:paraId="4922D9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1800</w:t>
            </w:r>
          </w:p>
        </w:tc>
        <w:tc>
          <w:tcPr>
            <w:tcW w:w="2478" w:type="dxa"/>
            <w:vMerge w:val="continue"/>
            <w:noWrap w:val="0"/>
            <w:vAlign w:val="center"/>
          </w:tcPr>
          <w:p w14:paraId="5F6D86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18B1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55A672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0" w:type="auto"/>
            <w:vMerge w:val="continue"/>
            <w:noWrap w:val="0"/>
            <w:vAlign w:val="center"/>
          </w:tcPr>
          <w:p w14:paraId="02622985">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4B1B42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天润楼</w:t>
            </w:r>
          </w:p>
        </w:tc>
        <w:tc>
          <w:tcPr>
            <w:tcW w:w="1851" w:type="dxa"/>
            <w:noWrap w:val="0"/>
            <w:vAlign w:val="center"/>
          </w:tcPr>
          <w:p w14:paraId="10CEFC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2600</w:t>
            </w:r>
          </w:p>
        </w:tc>
        <w:tc>
          <w:tcPr>
            <w:tcW w:w="2478" w:type="dxa"/>
            <w:vMerge w:val="continue"/>
            <w:noWrap w:val="0"/>
            <w:vAlign w:val="center"/>
          </w:tcPr>
          <w:p w14:paraId="05E163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29DD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420111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0" w:type="auto"/>
            <w:vMerge w:val="continue"/>
            <w:noWrap w:val="0"/>
            <w:vAlign w:val="center"/>
          </w:tcPr>
          <w:p w14:paraId="75035384">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5EC039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水电实验实训</w:t>
            </w:r>
          </w:p>
        </w:tc>
        <w:tc>
          <w:tcPr>
            <w:tcW w:w="1851" w:type="dxa"/>
            <w:noWrap w:val="0"/>
            <w:vAlign w:val="center"/>
          </w:tcPr>
          <w:p w14:paraId="74FC39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1800</w:t>
            </w:r>
          </w:p>
        </w:tc>
        <w:tc>
          <w:tcPr>
            <w:tcW w:w="2478" w:type="dxa"/>
            <w:vMerge w:val="continue"/>
            <w:noWrap w:val="0"/>
            <w:vAlign w:val="center"/>
          </w:tcPr>
          <w:p w14:paraId="571248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30F2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25820A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0" w:type="auto"/>
            <w:vMerge w:val="continue"/>
            <w:noWrap w:val="0"/>
            <w:vAlign w:val="center"/>
          </w:tcPr>
          <w:p w14:paraId="40D79A16">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7D14D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水韵楼</w:t>
            </w:r>
          </w:p>
        </w:tc>
        <w:tc>
          <w:tcPr>
            <w:tcW w:w="1851" w:type="dxa"/>
            <w:noWrap w:val="0"/>
            <w:vAlign w:val="center"/>
          </w:tcPr>
          <w:p w14:paraId="74F18B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5500</w:t>
            </w:r>
          </w:p>
        </w:tc>
        <w:tc>
          <w:tcPr>
            <w:tcW w:w="2478" w:type="dxa"/>
            <w:vMerge w:val="continue"/>
            <w:noWrap w:val="0"/>
            <w:vAlign w:val="center"/>
          </w:tcPr>
          <w:p w14:paraId="04CB20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0FC0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32FA34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0" w:type="auto"/>
            <w:vMerge w:val="continue"/>
            <w:noWrap w:val="0"/>
            <w:vAlign w:val="center"/>
          </w:tcPr>
          <w:p w14:paraId="67DFDE8A">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4C47C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台阶教室</w:t>
            </w:r>
          </w:p>
        </w:tc>
        <w:tc>
          <w:tcPr>
            <w:tcW w:w="1851" w:type="dxa"/>
            <w:noWrap w:val="0"/>
            <w:vAlign w:val="center"/>
          </w:tcPr>
          <w:p w14:paraId="774B4B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350</w:t>
            </w:r>
          </w:p>
        </w:tc>
        <w:tc>
          <w:tcPr>
            <w:tcW w:w="2478" w:type="dxa"/>
            <w:vMerge w:val="continue"/>
            <w:noWrap w:val="0"/>
            <w:vAlign w:val="center"/>
          </w:tcPr>
          <w:p w14:paraId="3F9886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0136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431199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0" w:type="auto"/>
            <w:vMerge w:val="continue"/>
            <w:noWrap w:val="0"/>
            <w:vAlign w:val="center"/>
          </w:tcPr>
          <w:p w14:paraId="34BD8EB2">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074B47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天工楼</w:t>
            </w:r>
          </w:p>
        </w:tc>
        <w:tc>
          <w:tcPr>
            <w:tcW w:w="1851" w:type="dxa"/>
            <w:noWrap w:val="0"/>
            <w:vAlign w:val="center"/>
          </w:tcPr>
          <w:p w14:paraId="7DCAE3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2500</w:t>
            </w:r>
          </w:p>
        </w:tc>
        <w:tc>
          <w:tcPr>
            <w:tcW w:w="2478" w:type="dxa"/>
            <w:vMerge w:val="continue"/>
            <w:noWrap w:val="0"/>
            <w:vAlign w:val="center"/>
          </w:tcPr>
          <w:p w14:paraId="60FC75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54A1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6D2D0F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0" w:type="auto"/>
            <w:vMerge w:val="continue"/>
            <w:noWrap w:val="0"/>
            <w:vAlign w:val="center"/>
          </w:tcPr>
          <w:p w14:paraId="4B4640F9">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lang w:val="en-US" w:eastAsia="zh-CN"/>
              </w:rPr>
            </w:pPr>
          </w:p>
        </w:tc>
        <w:tc>
          <w:tcPr>
            <w:tcW w:w="2661" w:type="dxa"/>
            <w:noWrap w:val="0"/>
            <w:vAlign w:val="center"/>
          </w:tcPr>
          <w:p w14:paraId="306B9F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醒钟楼A、B、C</w:t>
            </w:r>
          </w:p>
        </w:tc>
        <w:tc>
          <w:tcPr>
            <w:tcW w:w="1851" w:type="dxa"/>
            <w:noWrap w:val="0"/>
            <w:vAlign w:val="center"/>
          </w:tcPr>
          <w:p w14:paraId="03298E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9800</w:t>
            </w:r>
          </w:p>
        </w:tc>
        <w:tc>
          <w:tcPr>
            <w:tcW w:w="2478" w:type="dxa"/>
            <w:vMerge w:val="continue"/>
            <w:noWrap w:val="0"/>
            <w:vAlign w:val="center"/>
          </w:tcPr>
          <w:p w14:paraId="5E3694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257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71DFEC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0" w:type="auto"/>
            <w:vMerge w:val="continue"/>
            <w:noWrap w:val="0"/>
            <w:vAlign w:val="center"/>
          </w:tcPr>
          <w:p w14:paraId="222A6E5F">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7246BF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醒钟楼D</w:t>
            </w:r>
          </w:p>
        </w:tc>
        <w:tc>
          <w:tcPr>
            <w:tcW w:w="1851" w:type="dxa"/>
            <w:noWrap w:val="0"/>
            <w:vAlign w:val="center"/>
          </w:tcPr>
          <w:p w14:paraId="49B8C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4150</w:t>
            </w:r>
          </w:p>
        </w:tc>
        <w:tc>
          <w:tcPr>
            <w:tcW w:w="2478" w:type="dxa"/>
            <w:vMerge w:val="continue"/>
            <w:noWrap w:val="0"/>
            <w:vAlign w:val="center"/>
          </w:tcPr>
          <w:p w14:paraId="07D9E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7C8C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4FE2ED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0" w:type="auto"/>
            <w:vMerge w:val="restart"/>
            <w:noWrap w:val="0"/>
            <w:vAlign w:val="center"/>
          </w:tcPr>
          <w:p w14:paraId="275541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北校区</w:t>
            </w:r>
          </w:p>
        </w:tc>
        <w:tc>
          <w:tcPr>
            <w:tcW w:w="2661" w:type="dxa"/>
            <w:noWrap w:val="0"/>
            <w:vAlign w:val="center"/>
          </w:tcPr>
          <w:p w14:paraId="781473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致用楼</w:t>
            </w:r>
          </w:p>
        </w:tc>
        <w:tc>
          <w:tcPr>
            <w:tcW w:w="1851" w:type="dxa"/>
            <w:noWrap w:val="0"/>
            <w:vAlign w:val="center"/>
          </w:tcPr>
          <w:p w14:paraId="01A71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4900</w:t>
            </w:r>
          </w:p>
        </w:tc>
        <w:tc>
          <w:tcPr>
            <w:tcW w:w="2478" w:type="dxa"/>
            <w:vMerge w:val="restart"/>
            <w:noWrap w:val="0"/>
            <w:vAlign w:val="center"/>
          </w:tcPr>
          <w:p w14:paraId="59E8DF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14900</w:t>
            </w:r>
          </w:p>
        </w:tc>
      </w:tr>
      <w:tr w14:paraId="36B3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73E09E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0" w:type="auto"/>
            <w:vMerge w:val="continue"/>
            <w:noWrap w:val="0"/>
            <w:vAlign w:val="center"/>
          </w:tcPr>
          <w:p w14:paraId="548917CC">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31B606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B3楼</w:t>
            </w:r>
          </w:p>
        </w:tc>
        <w:tc>
          <w:tcPr>
            <w:tcW w:w="1851" w:type="dxa"/>
            <w:noWrap w:val="0"/>
            <w:vAlign w:val="center"/>
          </w:tcPr>
          <w:p w14:paraId="7C35BB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900</w:t>
            </w:r>
          </w:p>
        </w:tc>
        <w:tc>
          <w:tcPr>
            <w:tcW w:w="2478" w:type="dxa"/>
            <w:vMerge w:val="continue"/>
            <w:noWrap w:val="0"/>
            <w:vAlign w:val="center"/>
          </w:tcPr>
          <w:p w14:paraId="5AEBD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44F1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610583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0" w:type="auto"/>
            <w:vMerge w:val="continue"/>
            <w:noWrap w:val="0"/>
            <w:vAlign w:val="center"/>
          </w:tcPr>
          <w:p w14:paraId="11366C90">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017D42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后勤楼</w:t>
            </w:r>
          </w:p>
        </w:tc>
        <w:tc>
          <w:tcPr>
            <w:tcW w:w="1851" w:type="dxa"/>
            <w:noWrap w:val="0"/>
            <w:vAlign w:val="center"/>
          </w:tcPr>
          <w:p w14:paraId="155D45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1300</w:t>
            </w:r>
          </w:p>
        </w:tc>
        <w:tc>
          <w:tcPr>
            <w:tcW w:w="2478" w:type="dxa"/>
            <w:vMerge w:val="continue"/>
            <w:noWrap w:val="0"/>
            <w:vAlign w:val="center"/>
          </w:tcPr>
          <w:p w14:paraId="62E764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480D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7DB821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0" w:type="auto"/>
            <w:vMerge w:val="continue"/>
            <w:noWrap w:val="0"/>
            <w:vAlign w:val="center"/>
          </w:tcPr>
          <w:p w14:paraId="3D985412">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67ABA7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活动板房</w:t>
            </w:r>
          </w:p>
        </w:tc>
        <w:tc>
          <w:tcPr>
            <w:tcW w:w="1851" w:type="dxa"/>
            <w:noWrap w:val="0"/>
            <w:vAlign w:val="center"/>
          </w:tcPr>
          <w:p w14:paraId="3D76A0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800</w:t>
            </w:r>
          </w:p>
        </w:tc>
        <w:tc>
          <w:tcPr>
            <w:tcW w:w="2478" w:type="dxa"/>
            <w:vMerge w:val="continue"/>
            <w:noWrap w:val="0"/>
            <w:vAlign w:val="center"/>
          </w:tcPr>
          <w:p w14:paraId="5362AB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5900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53DC10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0" w:type="auto"/>
            <w:vMerge w:val="continue"/>
            <w:noWrap w:val="0"/>
            <w:vAlign w:val="center"/>
          </w:tcPr>
          <w:p w14:paraId="2546573B">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5A9C92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图书楼</w:t>
            </w:r>
          </w:p>
        </w:tc>
        <w:tc>
          <w:tcPr>
            <w:tcW w:w="1851" w:type="dxa"/>
            <w:noWrap w:val="0"/>
            <w:vAlign w:val="center"/>
          </w:tcPr>
          <w:p w14:paraId="36FD6A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800</w:t>
            </w:r>
          </w:p>
        </w:tc>
        <w:tc>
          <w:tcPr>
            <w:tcW w:w="2478" w:type="dxa"/>
            <w:vMerge w:val="continue"/>
            <w:noWrap w:val="0"/>
            <w:vAlign w:val="center"/>
          </w:tcPr>
          <w:p w14:paraId="352E03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4496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408565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0" w:type="auto"/>
            <w:vMerge w:val="continue"/>
            <w:noWrap w:val="0"/>
            <w:vAlign w:val="center"/>
          </w:tcPr>
          <w:p w14:paraId="6E988260">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48DA01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行知楼</w:t>
            </w:r>
          </w:p>
        </w:tc>
        <w:tc>
          <w:tcPr>
            <w:tcW w:w="1851" w:type="dxa"/>
            <w:noWrap w:val="0"/>
            <w:vAlign w:val="center"/>
          </w:tcPr>
          <w:p w14:paraId="2AD263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6200</w:t>
            </w:r>
          </w:p>
        </w:tc>
        <w:tc>
          <w:tcPr>
            <w:tcW w:w="2478" w:type="dxa"/>
            <w:vMerge w:val="continue"/>
            <w:noWrap w:val="0"/>
            <w:vAlign w:val="center"/>
          </w:tcPr>
          <w:p w14:paraId="509C96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2CB2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7145D8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0" w:type="auto"/>
            <w:vMerge w:val="restart"/>
            <w:noWrap w:val="0"/>
            <w:vAlign w:val="center"/>
          </w:tcPr>
          <w:p w14:paraId="5782E4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西校区</w:t>
            </w:r>
          </w:p>
        </w:tc>
        <w:tc>
          <w:tcPr>
            <w:tcW w:w="2661" w:type="dxa"/>
            <w:noWrap w:val="0"/>
            <w:vAlign w:val="center"/>
          </w:tcPr>
          <w:p w14:paraId="27E968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林和楼</w:t>
            </w:r>
          </w:p>
        </w:tc>
        <w:tc>
          <w:tcPr>
            <w:tcW w:w="1851" w:type="dxa"/>
            <w:noWrap w:val="0"/>
            <w:vAlign w:val="center"/>
          </w:tcPr>
          <w:p w14:paraId="465F09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5500</w:t>
            </w:r>
          </w:p>
        </w:tc>
        <w:tc>
          <w:tcPr>
            <w:tcW w:w="2478" w:type="dxa"/>
            <w:vMerge w:val="restart"/>
            <w:noWrap w:val="0"/>
            <w:vAlign w:val="center"/>
          </w:tcPr>
          <w:p w14:paraId="21844E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17900</w:t>
            </w:r>
          </w:p>
        </w:tc>
      </w:tr>
      <w:tr w14:paraId="1B88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0E3AA9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w:t>
            </w:r>
          </w:p>
        </w:tc>
        <w:tc>
          <w:tcPr>
            <w:tcW w:w="0" w:type="auto"/>
            <w:vMerge w:val="continue"/>
            <w:noWrap w:val="0"/>
            <w:vAlign w:val="center"/>
          </w:tcPr>
          <w:p w14:paraId="2306D86D">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lang w:val="en-US" w:eastAsia="zh-CN"/>
              </w:rPr>
            </w:pPr>
          </w:p>
        </w:tc>
        <w:tc>
          <w:tcPr>
            <w:tcW w:w="2661" w:type="dxa"/>
            <w:noWrap w:val="0"/>
            <w:vAlign w:val="center"/>
          </w:tcPr>
          <w:p w14:paraId="498CC9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生物实验实训楼</w:t>
            </w:r>
          </w:p>
        </w:tc>
        <w:tc>
          <w:tcPr>
            <w:tcW w:w="1851" w:type="dxa"/>
            <w:noWrap w:val="0"/>
            <w:vAlign w:val="center"/>
          </w:tcPr>
          <w:p w14:paraId="7E310B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1200</w:t>
            </w:r>
          </w:p>
        </w:tc>
        <w:tc>
          <w:tcPr>
            <w:tcW w:w="2478" w:type="dxa"/>
            <w:vMerge w:val="continue"/>
            <w:noWrap w:val="0"/>
            <w:vAlign w:val="center"/>
          </w:tcPr>
          <w:p w14:paraId="471B97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7539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3CB358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0" w:type="auto"/>
            <w:vMerge w:val="continue"/>
            <w:noWrap w:val="0"/>
            <w:vAlign w:val="center"/>
          </w:tcPr>
          <w:p w14:paraId="0F1CC58C">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lang w:val="en-US" w:eastAsia="zh-CN"/>
              </w:rPr>
            </w:pPr>
          </w:p>
        </w:tc>
        <w:tc>
          <w:tcPr>
            <w:tcW w:w="2661" w:type="dxa"/>
            <w:noWrap w:val="0"/>
            <w:vAlign w:val="center"/>
          </w:tcPr>
          <w:p w14:paraId="266C6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乐农楼</w:t>
            </w:r>
          </w:p>
        </w:tc>
        <w:tc>
          <w:tcPr>
            <w:tcW w:w="1851" w:type="dxa"/>
            <w:noWrap w:val="0"/>
            <w:vAlign w:val="center"/>
          </w:tcPr>
          <w:p w14:paraId="77A708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8100</w:t>
            </w:r>
          </w:p>
        </w:tc>
        <w:tc>
          <w:tcPr>
            <w:tcW w:w="2478" w:type="dxa"/>
            <w:vMerge w:val="continue"/>
            <w:noWrap w:val="0"/>
            <w:vAlign w:val="center"/>
          </w:tcPr>
          <w:p w14:paraId="3AA8E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5A73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25BBE2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0" w:type="auto"/>
            <w:vMerge w:val="continue"/>
            <w:noWrap w:val="0"/>
            <w:vAlign w:val="center"/>
          </w:tcPr>
          <w:p w14:paraId="7BF7C694">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5480EC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台阶教室</w:t>
            </w:r>
          </w:p>
        </w:tc>
        <w:tc>
          <w:tcPr>
            <w:tcW w:w="1851" w:type="dxa"/>
            <w:noWrap w:val="0"/>
            <w:vAlign w:val="center"/>
          </w:tcPr>
          <w:p w14:paraId="7CF078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400</w:t>
            </w:r>
          </w:p>
        </w:tc>
        <w:tc>
          <w:tcPr>
            <w:tcW w:w="2478" w:type="dxa"/>
            <w:vMerge w:val="continue"/>
            <w:noWrap w:val="0"/>
            <w:vAlign w:val="center"/>
          </w:tcPr>
          <w:p w14:paraId="0256B6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35C4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55D2C3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0" w:type="auto"/>
            <w:vMerge w:val="continue"/>
            <w:noWrap w:val="0"/>
            <w:vAlign w:val="center"/>
          </w:tcPr>
          <w:p w14:paraId="2CE5D5C2">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26636F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物竞楼</w:t>
            </w:r>
          </w:p>
        </w:tc>
        <w:tc>
          <w:tcPr>
            <w:tcW w:w="1851" w:type="dxa"/>
            <w:noWrap w:val="0"/>
            <w:vAlign w:val="center"/>
          </w:tcPr>
          <w:p w14:paraId="47879D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1200</w:t>
            </w:r>
          </w:p>
        </w:tc>
        <w:tc>
          <w:tcPr>
            <w:tcW w:w="2478" w:type="dxa"/>
            <w:vMerge w:val="continue"/>
            <w:noWrap w:val="0"/>
            <w:vAlign w:val="center"/>
          </w:tcPr>
          <w:p w14:paraId="2587BA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4CD6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6852DA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w:t>
            </w:r>
          </w:p>
        </w:tc>
        <w:tc>
          <w:tcPr>
            <w:tcW w:w="0" w:type="auto"/>
            <w:vMerge w:val="continue"/>
            <w:noWrap w:val="0"/>
            <w:vAlign w:val="center"/>
          </w:tcPr>
          <w:p w14:paraId="5BB80738">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rPr>
            </w:pPr>
          </w:p>
        </w:tc>
        <w:tc>
          <w:tcPr>
            <w:tcW w:w="2661" w:type="dxa"/>
            <w:noWrap w:val="0"/>
            <w:vAlign w:val="center"/>
          </w:tcPr>
          <w:p w14:paraId="580486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天择楼</w:t>
            </w:r>
          </w:p>
        </w:tc>
        <w:tc>
          <w:tcPr>
            <w:tcW w:w="1851" w:type="dxa"/>
            <w:noWrap w:val="0"/>
            <w:vAlign w:val="center"/>
          </w:tcPr>
          <w:p w14:paraId="4175B8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1500</w:t>
            </w:r>
          </w:p>
        </w:tc>
        <w:tc>
          <w:tcPr>
            <w:tcW w:w="2478" w:type="dxa"/>
            <w:vMerge w:val="continue"/>
            <w:noWrap w:val="0"/>
            <w:vAlign w:val="center"/>
          </w:tcPr>
          <w:p w14:paraId="16F76C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7323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0121D6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22</w:t>
            </w:r>
          </w:p>
        </w:tc>
        <w:tc>
          <w:tcPr>
            <w:tcW w:w="0" w:type="auto"/>
            <w:vMerge w:val="restart"/>
            <w:noWrap w:val="0"/>
            <w:vAlign w:val="center"/>
          </w:tcPr>
          <w:p w14:paraId="00B92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滨河校区</w:t>
            </w:r>
          </w:p>
        </w:tc>
        <w:tc>
          <w:tcPr>
            <w:tcW w:w="2661" w:type="dxa"/>
            <w:noWrap w:val="0"/>
            <w:vAlign w:val="center"/>
          </w:tcPr>
          <w:p w14:paraId="0186A9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理实一体楼6#</w:t>
            </w:r>
          </w:p>
        </w:tc>
        <w:tc>
          <w:tcPr>
            <w:tcW w:w="1851" w:type="dxa"/>
            <w:noWrap w:val="0"/>
            <w:vAlign w:val="center"/>
          </w:tcPr>
          <w:p w14:paraId="1CBCE1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5800</w:t>
            </w:r>
          </w:p>
        </w:tc>
        <w:tc>
          <w:tcPr>
            <w:tcW w:w="2478" w:type="dxa"/>
            <w:vMerge w:val="restart"/>
            <w:noWrap w:val="0"/>
            <w:vAlign w:val="center"/>
          </w:tcPr>
          <w:p w14:paraId="6410A9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32000</w:t>
            </w:r>
          </w:p>
        </w:tc>
      </w:tr>
      <w:tr w14:paraId="7B2E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774ECB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w:t>
            </w:r>
          </w:p>
        </w:tc>
        <w:tc>
          <w:tcPr>
            <w:tcW w:w="0" w:type="auto"/>
            <w:vMerge w:val="continue"/>
            <w:noWrap w:val="0"/>
            <w:vAlign w:val="center"/>
          </w:tcPr>
          <w:p w14:paraId="3F06AB27">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lang w:val="en-US" w:eastAsia="zh-CN"/>
              </w:rPr>
            </w:pPr>
          </w:p>
        </w:tc>
        <w:tc>
          <w:tcPr>
            <w:tcW w:w="2661" w:type="dxa"/>
            <w:noWrap w:val="0"/>
            <w:vAlign w:val="center"/>
          </w:tcPr>
          <w:p w14:paraId="4092CC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理实一体楼8#</w:t>
            </w:r>
          </w:p>
        </w:tc>
        <w:tc>
          <w:tcPr>
            <w:tcW w:w="1851" w:type="dxa"/>
            <w:noWrap w:val="0"/>
            <w:vAlign w:val="center"/>
          </w:tcPr>
          <w:p w14:paraId="2A3B1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5800</w:t>
            </w:r>
          </w:p>
        </w:tc>
        <w:tc>
          <w:tcPr>
            <w:tcW w:w="2478" w:type="dxa"/>
            <w:vMerge w:val="continue"/>
            <w:noWrap w:val="0"/>
            <w:vAlign w:val="center"/>
          </w:tcPr>
          <w:p w14:paraId="64938D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0918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10DB2D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w:t>
            </w:r>
          </w:p>
        </w:tc>
        <w:tc>
          <w:tcPr>
            <w:tcW w:w="0" w:type="auto"/>
            <w:vMerge w:val="continue"/>
            <w:noWrap w:val="0"/>
            <w:vAlign w:val="center"/>
          </w:tcPr>
          <w:p w14:paraId="516C748B">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lang w:val="en-US" w:eastAsia="zh-CN"/>
              </w:rPr>
            </w:pPr>
          </w:p>
        </w:tc>
        <w:tc>
          <w:tcPr>
            <w:tcW w:w="2661" w:type="dxa"/>
            <w:noWrap w:val="0"/>
            <w:vAlign w:val="center"/>
          </w:tcPr>
          <w:p w14:paraId="438BD4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产教融合楼</w:t>
            </w:r>
          </w:p>
        </w:tc>
        <w:tc>
          <w:tcPr>
            <w:tcW w:w="1851" w:type="dxa"/>
            <w:noWrap w:val="0"/>
            <w:vAlign w:val="center"/>
          </w:tcPr>
          <w:p w14:paraId="33832A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13200</w:t>
            </w:r>
          </w:p>
        </w:tc>
        <w:tc>
          <w:tcPr>
            <w:tcW w:w="2478" w:type="dxa"/>
            <w:vMerge w:val="continue"/>
            <w:noWrap w:val="0"/>
            <w:vAlign w:val="center"/>
          </w:tcPr>
          <w:p w14:paraId="4CE884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6885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39583D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25</w:t>
            </w:r>
          </w:p>
        </w:tc>
        <w:tc>
          <w:tcPr>
            <w:tcW w:w="0" w:type="auto"/>
            <w:vMerge w:val="continue"/>
            <w:noWrap w:val="0"/>
            <w:vAlign w:val="center"/>
          </w:tcPr>
          <w:p w14:paraId="59917AD5">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lang w:val="en-US" w:eastAsia="zh-CN"/>
              </w:rPr>
            </w:pPr>
          </w:p>
        </w:tc>
        <w:tc>
          <w:tcPr>
            <w:tcW w:w="2661" w:type="dxa"/>
            <w:noWrap w:val="0"/>
            <w:vAlign w:val="center"/>
          </w:tcPr>
          <w:p w14:paraId="0D6D8B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综合楼A</w:t>
            </w:r>
          </w:p>
        </w:tc>
        <w:tc>
          <w:tcPr>
            <w:tcW w:w="1851" w:type="dxa"/>
            <w:noWrap w:val="0"/>
            <w:vAlign w:val="center"/>
          </w:tcPr>
          <w:p w14:paraId="5FB527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4000</w:t>
            </w:r>
          </w:p>
        </w:tc>
        <w:tc>
          <w:tcPr>
            <w:tcW w:w="2478" w:type="dxa"/>
            <w:vMerge w:val="continue"/>
            <w:noWrap w:val="0"/>
            <w:vAlign w:val="center"/>
          </w:tcPr>
          <w:p w14:paraId="4FAFED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304E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7F3C6A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w:t>
            </w:r>
          </w:p>
        </w:tc>
        <w:tc>
          <w:tcPr>
            <w:tcW w:w="0" w:type="auto"/>
            <w:vMerge w:val="continue"/>
            <w:noWrap w:val="0"/>
            <w:vAlign w:val="center"/>
          </w:tcPr>
          <w:p w14:paraId="5B5DB87B">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lang w:val="en-US" w:eastAsia="zh-CN"/>
              </w:rPr>
            </w:pPr>
          </w:p>
        </w:tc>
        <w:tc>
          <w:tcPr>
            <w:tcW w:w="2661" w:type="dxa"/>
            <w:noWrap w:val="0"/>
            <w:vAlign w:val="center"/>
          </w:tcPr>
          <w:p w14:paraId="04EB1C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综合楼B</w:t>
            </w:r>
          </w:p>
        </w:tc>
        <w:tc>
          <w:tcPr>
            <w:tcW w:w="1851" w:type="dxa"/>
            <w:noWrap w:val="0"/>
            <w:vAlign w:val="center"/>
          </w:tcPr>
          <w:p w14:paraId="47A229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1600</w:t>
            </w:r>
          </w:p>
        </w:tc>
        <w:tc>
          <w:tcPr>
            <w:tcW w:w="2478" w:type="dxa"/>
            <w:vMerge w:val="continue"/>
            <w:noWrap w:val="0"/>
            <w:vAlign w:val="center"/>
          </w:tcPr>
          <w:p w14:paraId="617933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r w14:paraId="0BF6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0"/>
            <w:vAlign w:val="center"/>
          </w:tcPr>
          <w:p w14:paraId="772391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27</w:t>
            </w:r>
          </w:p>
        </w:tc>
        <w:tc>
          <w:tcPr>
            <w:tcW w:w="0" w:type="auto"/>
            <w:vMerge w:val="continue"/>
            <w:noWrap w:val="0"/>
            <w:vAlign w:val="center"/>
          </w:tcPr>
          <w:p w14:paraId="103CB6C4">
            <w:pPr>
              <w:keepNext w:val="0"/>
              <w:keepLines w:val="0"/>
              <w:pageBreakBefore w:val="0"/>
              <w:widowControl w:val="0"/>
              <w:kinsoku/>
              <w:wordWrap/>
              <w:overflowPunct/>
              <w:topLinePunct w:val="0"/>
              <w:autoSpaceDE/>
              <w:autoSpaceDN/>
              <w:bidi w:val="0"/>
              <w:adjustRightInd/>
              <w:snapToGrid/>
              <w:spacing w:line="400" w:lineRule="exact"/>
              <w:ind w:firstLine="486" w:firstLineChars="200"/>
              <w:jc w:val="center"/>
              <w:textAlignment w:val="auto"/>
              <w:rPr>
                <w:rFonts w:hint="eastAsia" w:ascii="仿宋" w:hAnsi="仿宋" w:eastAsia="仿宋" w:cs="仿宋"/>
                <w:color w:val="000000"/>
                <w:sz w:val="24"/>
                <w:szCs w:val="24"/>
                <w:lang w:val="en-US" w:eastAsia="zh-CN"/>
              </w:rPr>
            </w:pPr>
          </w:p>
        </w:tc>
        <w:tc>
          <w:tcPr>
            <w:tcW w:w="2661" w:type="dxa"/>
            <w:noWrap w:val="0"/>
            <w:vAlign w:val="center"/>
          </w:tcPr>
          <w:p w14:paraId="1B9BDD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综合楼C</w:t>
            </w:r>
          </w:p>
        </w:tc>
        <w:tc>
          <w:tcPr>
            <w:tcW w:w="1851" w:type="dxa"/>
            <w:noWrap w:val="0"/>
            <w:vAlign w:val="center"/>
          </w:tcPr>
          <w:p w14:paraId="5FBD27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1600</w:t>
            </w:r>
          </w:p>
        </w:tc>
        <w:tc>
          <w:tcPr>
            <w:tcW w:w="2478" w:type="dxa"/>
            <w:vMerge w:val="continue"/>
            <w:noWrap w:val="0"/>
            <w:vAlign w:val="center"/>
          </w:tcPr>
          <w:p w14:paraId="321A21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p>
        </w:tc>
      </w:tr>
    </w:tbl>
    <w:p w14:paraId="5E3DF3CE">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备注：若后期</w:t>
      </w:r>
      <w:r>
        <w:rPr>
          <w:rFonts w:hint="eastAsia" w:ascii="宋体" w:hAnsi="宋体" w:eastAsia="宋体" w:cs="宋体"/>
          <w:b/>
          <w:bCs/>
          <w:color w:val="000000" w:themeColor="text1"/>
          <w:sz w:val="21"/>
          <w:szCs w:val="21"/>
          <w:highlight w:val="none"/>
          <w14:textFill>
            <w14:solidFill>
              <w14:schemeClr w14:val="tx1"/>
            </w14:solidFill>
          </w14:textFill>
        </w:rPr>
        <w:t>部分学生迁至滨河校区导致现有三个校区部分楼宇空置，</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南、西、北三校区</w:t>
      </w:r>
      <w:r>
        <w:rPr>
          <w:rFonts w:hint="eastAsia" w:ascii="宋体" w:hAnsi="宋体" w:eastAsia="宋体" w:cs="宋体"/>
          <w:b/>
          <w:bCs/>
          <w:color w:val="000000" w:themeColor="text1"/>
          <w:sz w:val="21"/>
          <w:szCs w:val="21"/>
          <w:highlight w:val="none"/>
          <w14:textFill>
            <w14:solidFill>
              <w14:schemeClr w14:val="tx1"/>
            </w14:solidFill>
          </w14:textFill>
        </w:rPr>
        <w:t>物业服务费将按楼宇实际空置时间及空置面积相应减扣</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滨河校区按实际投入使用时间和使用面积计算。</w:t>
      </w:r>
    </w:p>
    <w:p w14:paraId="20151C91">
      <w:pPr>
        <w:numPr>
          <w:ilvl w:val="-1"/>
          <w:numId w:val="0"/>
        </w:numPr>
        <w:spacing w:afterLines="0" w:line="500" w:lineRule="exact"/>
        <w:ind w:firstLine="526" w:firstLineChars="200"/>
        <w:outlineLvl w:val="1"/>
        <w:rPr>
          <w:rFonts w:ascii="仿宋" w:hAnsi="仿宋" w:eastAsia="仿宋" w:cs="仿宋"/>
          <w:b/>
          <w:bCs/>
          <w:color w:val="000000" w:themeColor="text1"/>
          <w:spacing w:val="-10"/>
          <w:highlight w:val="none"/>
          <w14:textFill>
            <w14:solidFill>
              <w14:schemeClr w14:val="tx1"/>
            </w14:solidFill>
          </w14:textFill>
        </w:rPr>
      </w:pPr>
      <w:r>
        <w:rPr>
          <w:rFonts w:hint="eastAsia" w:ascii="仿宋" w:hAnsi="仿宋" w:eastAsia="仿宋" w:cs="仿宋"/>
          <w:b/>
          <w:bCs/>
          <w:color w:val="000000" w:themeColor="text1"/>
          <w:spacing w:val="-10"/>
          <w:highlight w:val="none"/>
          <w:lang w:val="en-US" w:eastAsia="zh-CN"/>
          <w14:textFill>
            <w14:solidFill>
              <w14:schemeClr w14:val="tx1"/>
            </w14:solidFill>
          </w14:textFill>
        </w:rPr>
        <w:t>三、</w:t>
      </w:r>
      <w:r>
        <w:rPr>
          <w:rFonts w:hint="eastAsia" w:ascii="仿宋" w:hAnsi="仿宋" w:eastAsia="仿宋" w:cs="仿宋"/>
          <w:b/>
          <w:bCs/>
          <w:color w:val="000000" w:themeColor="text1"/>
          <w:spacing w:val="-10"/>
          <w:highlight w:val="none"/>
          <w14:textFill>
            <w14:solidFill>
              <w14:schemeClr w14:val="tx1"/>
            </w14:solidFill>
          </w14:textFill>
        </w:rPr>
        <w:t>服务内容</w:t>
      </w:r>
    </w:p>
    <w:p w14:paraId="5A144B2D">
      <w:pPr>
        <w:pStyle w:val="2"/>
        <w:keepNext w:val="0"/>
        <w:keepLines w:val="0"/>
        <w:pageBreakBefore w:val="0"/>
        <w:kinsoku/>
        <w:wordWrap/>
        <w:overflowPunct/>
        <w:topLinePunct w:val="0"/>
        <w:autoSpaceDE/>
        <w:autoSpaceDN/>
        <w:bidi w:val="0"/>
        <w:adjustRightInd/>
        <w:snapToGrid/>
        <w:spacing w:after="0" w:afterLines="0" w:line="500" w:lineRule="exact"/>
        <w:ind w:firstLine="486" w:firstLineChars="200"/>
        <w:textAlignment w:val="auto"/>
        <w:rPr>
          <w:rFonts w:hint="eastAsia" w:ascii="仿宋" w:hAnsi="仿宋" w:eastAsia="仿宋" w:cs="仿宋"/>
          <w:b/>
          <w:bCs/>
          <w:sz w:val="28"/>
          <w:szCs w:val="28"/>
        </w:rPr>
      </w:pPr>
      <w:r>
        <w:rPr>
          <w:rFonts w:hint="eastAsia" w:ascii="仿宋" w:hAnsi="仿宋" w:eastAsia="仿宋" w:cs="仿宋"/>
        </w:rPr>
        <w:t>▲</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楼宇保洁</w:t>
      </w:r>
      <w:r>
        <w:rPr>
          <w:rFonts w:hint="eastAsia" w:ascii="仿宋" w:hAnsi="仿宋" w:eastAsia="仿宋" w:cs="仿宋"/>
          <w:b/>
          <w:bCs/>
          <w:sz w:val="28"/>
          <w:szCs w:val="28"/>
          <w:lang w:val="en-US" w:eastAsia="zh-CN"/>
        </w:rPr>
        <w:t>服务</w:t>
      </w:r>
    </w:p>
    <w:p w14:paraId="6D6DB8A1">
      <w:pPr>
        <w:keepNext w:val="0"/>
        <w:keepLines w:val="0"/>
        <w:pageBreakBefore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负责楼宇室内物业的保洁任务，包括大厅、楼道、公共卫生、开水房、教室、会议室和接待室、电梯、教室休息室等，达到公共区域干净整齐，无污迹。</w:t>
      </w:r>
    </w:p>
    <w:p w14:paraId="4F3D1124">
      <w:pPr>
        <w:keepNext w:val="0"/>
        <w:keepLines w:val="0"/>
        <w:pageBreakBefore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垃圾集中于学校指定垃圾箱内，物业公司及时集中到学校指定的垃圾存放点，协助学校垃圾清运及时清运。物业公司应定期清理疏通楼内下水道，对突发堵塞应及时疏通解决。物业公司应根据季节及需要，长期做好四害防治工作，保证楼内无四害。</w:t>
      </w:r>
    </w:p>
    <w:p w14:paraId="7D415DCD">
      <w:pPr>
        <w:keepNext w:val="0"/>
        <w:keepLines w:val="0"/>
        <w:pageBreakBefore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3、学校</w:t>
      </w:r>
      <w:r>
        <w:rPr>
          <w:rFonts w:hint="eastAsia" w:ascii="仿宋" w:hAnsi="仿宋" w:eastAsia="仿宋" w:cs="仿宋"/>
          <w:color w:val="000000"/>
          <w:sz w:val="28"/>
          <w:szCs w:val="28"/>
        </w:rPr>
        <w:t>举办的各类</w:t>
      </w:r>
      <w:r>
        <w:rPr>
          <w:rFonts w:hint="eastAsia" w:ascii="仿宋" w:hAnsi="仿宋" w:eastAsia="仿宋" w:cs="仿宋"/>
          <w:color w:val="000000"/>
          <w:sz w:val="28"/>
          <w:szCs w:val="28"/>
          <w:lang w:val="en-US" w:eastAsia="zh-CN"/>
        </w:rPr>
        <w:t>重大活动期间的会场场地布置（桌椅摆设等）和环境保洁等物业服务工作</w:t>
      </w:r>
      <w:r>
        <w:rPr>
          <w:rFonts w:hint="eastAsia" w:ascii="仿宋" w:hAnsi="仿宋" w:eastAsia="仿宋" w:cs="仿宋"/>
          <w:color w:val="000000"/>
          <w:sz w:val="28"/>
          <w:szCs w:val="28"/>
        </w:rPr>
        <w:t>；</w:t>
      </w:r>
    </w:p>
    <w:p w14:paraId="44081D02">
      <w:pPr>
        <w:keepNext w:val="0"/>
        <w:keepLines w:val="0"/>
        <w:pageBreakBefore w:val="0"/>
        <w:widowControl/>
        <w:kinsoku/>
        <w:wordWrap/>
        <w:overflowPunct/>
        <w:topLinePunct w:val="0"/>
        <w:autoSpaceDE/>
        <w:autoSpaceDN/>
        <w:bidi w:val="0"/>
        <w:adjustRightInd/>
        <w:snapToGrid/>
        <w:spacing w:afterLines="0" w:line="500" w:lineRule="exact"/>
        <w:ind w:firstLine="566"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bidi="ar"/>
        </w:rPr>
        <w:t>按照国家《病媒生物防治操作规程》做好消杀及病媒生物（鼠、蚊、蝇、蟑螂等）防控工作，配备、更换毒饵盒、鼠药，并有详细的工作日记。</w:t>
      </w:r>
    </w:p>
    <w:p w14:paraId="5888502B">
      <w:pPr>
        <w:keepNext w:val="0"/>
        <w:keepLines w:val="0"/>
        <w:pageBreakBefore w:val="0"/>
        <w:widowControl/>
        <w:kinsoku/>
        <w:wordWrap/>
        <w:overflowPunct/>
        <w:topLinePunct w:val="0"/>
        <w:autoSpaceDE/>
        <w:autoSpaceDN/>
        <w:bidi w:val="0"/>
        <w:adjustRightInd/>
        <w:snapToGrid/>
        <w:spacing w:afterLines="0" w:line="500" w:lineRule="exact"/>
        <w:ind w:firstLine="566" w:firstLineChars="200"/>
        <w:jc w:val="left"/>
        <w:textAlignment w:val="auto"/>
        <w:rPr>
          <w:rFonts w:hint="eastAsia" w:ascii="仿宋" w:hAnsi="仿宋" w:eastAsia="仿宋" w:cs="仿宋"/>
          <w:color w:val="000000"/>
          <w:sz w:val="28"/>
          <w:szCs w:val="28"/>
          <w:lang w:bidi="ar"/>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bidi="ar"/>
        </w:rPr>
        <w:t>每学期清扫楼顶屋面和清理楼顶雨水口三次，每学期开学一次，期中一次，期末一次，每年6次。</w:t>
      </w:r>
    </w:p>
    <w:p w14:paraId="3ACACCFB">
      <w:pPr>
        <w:keepNext w:val="0"/>
        <w:keepLines w:val="0"/>
        <w:pageBreakBefore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采购人交付的其他工作</w:t>
      </w:r>
      <w:r>
        <w:rPr>
          <w:rFonts w:hint="eastAsia" w:ascii="仿宋" w:hAnsi="仿宋" w:eastAsia="仿宋" w:cs="仿宋"/>
          <w:color w:val="000000"/>
          <w:sz w:val="28"/>
          <w:szCs w:val="28"/>
          <w:lang w:eastAsia="zh-CN"/>
        </w:rPr>
        <w:t>。</w:t>
      </w:r>
    </w:p>
    <w:p w14:paraId="265DEB90">
      <w:pPr>
        <w:keepNext w:val="0"/>
        <w:keepLines w:val="0"/>
        <w:pageBreakBefore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color w:val="000000"/>
          <w:sz w:val="28"/>
          <w:szCs w:val="28"/>
          <w:lang w:val="en-US" w:eastAsia="zh-CN"/>
        </w:rPr>
      </w:pPr>
      <w:r>
        <w:rPr>
          <w:rFonts w:hint="eastAsia" w:ascii="仿宋" w:hAnsi="仿宋" w:eastAsia="仿宋" w:cs="仿宋"/>
        </w:rPr>
        <w:t>▲</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室外保洁</w:t>
      </w:r>
      <w:r>
        <w:rPr>
          <w:rFonts w:hint="eastAsia" w:ascii="仿宋" w:hAnsi="仿宋" w:eastAsia="仿宋" w:cs="仿宋"/>
          <w:b/>
          <w:bCs/>
          <w:sz w:val="28"/>
          <w:szCs w:val="28"/>
          <w:lang w:val="en-US" w:eastAsia="zh-CN"/>
        </w:rPr>
        <w:t>服务</w:t>
      </w:r>
    </w:p>
    <w:p w14:paraId="09D834BE">
      <w:pPr>
        <w:keepNext w:val="0"/>
        <w:keepLines w:val="0"/>
        <w:pageBreakBefore w:val="0"/>
        <w:kinsoku/>
        <w:wordWrap/>
        <w:overflowPunct/>
        <w:topLinePunct w:val="0"/>
        <w:autoSpaceDE/>
        <w:autoSpaceDN/>
        <w:bidi w:val="0"/>
        <w:adjustRightInd/>
        <w:snapToGrid/>
        <w:spacing w:afterLines="0" w:line="500" w:lineRule="exact"/>
        <w:ind w:firstLine="566"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结合</w:t>
      </w:r>
      <w:r>
        <w:rPr>
          <w:rFonts w:hint="eastAsia" w:ascii="仿宋" w:hAnsi="仿宋" w:eastAsia="仿宋" w:cs="仿宋"/>
          <w:color w:val="000000"/>
          <w:sz w:val="28"/>
          <w:szCs w:val="28"/>
          <w:highlight w:val="none"/>
          <w:lang w:val="en-US" w:eastAsia="zh-CN"/>
        </w:rPr>
        <w:t>学生劳动教育管理</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对</w:t>
      </w:r>
      <w:r>
        <w:rPr>
          <w:rFonts w:hint="eastAsia" w:ascii="仿宋" w:hAnsi="仿宋" w:eastAsia="仿宋" w:cs="仿宋"/>
          <w:color w:val="000000"/>
          <w:sz w:val="28"/>
          <w:szCs w:val="28"/>
          <w:highlight w:val="none"/>
        </w:rPr>
        <w:t>室外区域清扫工作实行时段差异化管理：每年教学期间的9个月内，于周末及节假日开展清扫作业；寒暑假期间，清扫频次调整为每2天开展一次。</w:t>
      </w:r>
    </w:p>
    <w:p w14:paraId="74062ABB">
      <w:pPr>
        <w:keepNext w:val="0"/>
        <w:keepLines w:val="0"/>
        <w:pageBreakBefore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按照学校要求，不定期对道路、墙面、卫生死角等处进行清洗，小型三轮高压冲洗车由学校提供（</w:t>
      </w:r>
      <w:r>
        <w:rPr>
          <w:rFonts w:hint="eastAsia" w:ascii="仿宋" w:hAnsi="仿宋" w:eastAsia="仿宋" w:cs="仿宋"/>
          <w:color w:val="000000"/>
          <w:sz w:val="28"/>
          <w:szCs w:val="28"/>
          <w:highlight w:val="none"/>
          <w:lang w:val="en-US" w:eastAsia="zh-CN"/>
        </w:rPr>
        <w:t>加油和维修由学校承担</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lang w:eastAsia="zh-CN"/>
        </w:rPr>
        <w:t>需安排专人负责管理</w:t>
      </w:r>
      <w:r>
        <w:rPr>
          <w:rFonts w:hint="eastAsia" w:ascii="仿宋" w:hAnsi="仿宋" w:eastAsia="仿宋" w:cs="仿宋"/>
          <w:color w:val="000000"/>
          <w:sz w:val="28"/>
          <w:szCs w:val="28"/>
          <w:highlight w:val="none"/>
          <w:lang w:val="en-US" w:eastAsia="zh-CN"/>
        </w:rPr>
        <w:t>运行</w:t>
      </w:r>
      <w:r>
        <w:rPr>
          <w:rFonts w:hint="eastAsia" w:ascii="仿宋" w:hAnsi="仿宋" w:eastAsia="仿宋" w:cs="仿宋"/>
          <w:color w:val="000000"/>
          <w:sz w:val="28"/>
          <w:szCs w:val="28"/>
          <w:highlight w:val="none"/>
          <w:lang w:eastAsia="zh-CN"/>
        </w:rPr>
        <w:t>，定期进行车辆保养，并不得将车辆用于其它用途。</w:t>
      </w:r>
    </w:p>
    <w:p w14:paraId="28E90A3F">
      <w:pPr>
        <w:pStyle w:val="5"/>
        <w:spacing w:afterLines="0" w:line="500" w:lineRule="exact"/>
        <w:ind w:firstLine="566" w:firstLineChars="200"/>
        <w:rPr>
          <w:rFonts w:hint="eastAsia" w:ascii="仿宋" w:hAnsi="仿宋" w:eastAsia="仿宋" w:cs="仿宋"/>
          <w:b/>
          <w:bCs/>
          <w:color w:val="000000"/>
          <w:sz w:val="28"/>
          <w:szCs w:val="28"/>
          <w:highlight w:val="none"/>
          <w:lang w:val="en-US" w:eastAsia="zh-CN"/>
        </w:rPr>
      </w:pPr>
      <w:r>
        <w:rPr>
          <w:rFonts w:hint="eastAsia" w:ascii="仿宋" w:hAnsi="仿宋" w:eastAsia="仿宋" w:cs="仿宋"/>
        </w:rPr>
        <w:t>▲</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三</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设备设施维护维修</w:t>
      </w:r>
    </w:p>
    <w:p w14:paraId="600B547F">
      <w:pPr>
        <w:pStyle w:val="5"/>
        <w:spacing w:afterLines="0" w:line="500" w:lineRule="exact"/>
        <w:ind w:firstLine="566"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负责校内电梯的日常开关运行管理和保洁工作，确保电梯安全使用，保证电梯轿厢、机房等环境干净整洁，禁止非工作人员进入机房重地；负责电梯高峰期时间段使用期间的秩序维护工作</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负责配合学校电梯管理员和电梯维保单位做好年度电梯检查检验工作</w:t>
      </w:r>
      <w:r>
        <w:rPr>
          <w:rFonts w:hint="eastAsia" w:ascii="仿宋" w:hAnsi="仿宋" w:eastAsia="仿宋" w:cs="仿宋"/>
          <w:color w:val="000000"/>
          <w:sz w:val="28"/>
          <w:szCs w:val="28"/>
          <w:highlight w:val="none"/>
          <w:lang w:eastAsia="zh-CN"/>
        </w:rPr>
        <w:t>。</w:t>
      </w:r>
    </w:p>
    <w:p w14:paraId="3D5440B9">
      <w:pPr>
        <w:spacing w:afterLines="0" w:line="500" w:lineRule="exact"/>
        <w:ind w:firstLine="566"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lang w:val="en-US" w:eastAsia="zh-CN"/>
        </w:rPr>
        <w:t>2、配合学校完成教学区域教学设备（桌椅、柜子、窗帘等家具类）和办公区域家具类设施的维修（材料由学校提供），投标人</w:t>
      </w:r>
      <w:r>
        <w:rPr>
          <w:rFonts w:hint="eastAsia" w:ascii="仿宋" w:hAnsi="仿宋" w:eastAsia="仿宋" w:cs="仿宋"/>
          <w:color w:val="000000"/>
          <w:sz w:val="28"/>
          <w:szCs w:val="28"/>
          <w:highlight w:val="none"/>
          <w:lang w:eastAsia="zh-CN"/>
        </w:rPr>
        <w:t>需安排专人负责</w:t>
      </w:r>
      <w:r>
        <w:rPr>
          <w:rFonts w:hint="eastAsia" w:ascii="仿宋" w:hAnsi="仿宋" w:eastAsia="仿宋" w:cs="仿宋"/>
          <w:color w:val="000000"/>
          <w:sz w:val="28"/>
          <w:szCs w:val="28"/>
          <w:highlight w:val="none"/>
          <w:lang w:val="en-US" w:eastAsia="zh-CN"/>
        </w:rPr>
        <w:t>维修。</w:t>
      </w:r>
    </w:p>
    <w:p w14:paraId="2C166624">
      <w:pPr>
        <w:keepNext w:val="0"/>
        <w:keepLines w:val="0"/>
        <w:pageBreakBefore w:val="0"/>
        <w:kinsoku/>
        <w:wordWrap/>
        <w:overflowPunct/>
        <w:topLinePunct w:val="0"/>
        <w:autoSpaceDE/>
        <w:autoSpaceDN/>
        <w:bidi w:val="0"/>
        <w:adjustRightInd/>
        <w:snapToGrid/>
        <w:spacing w:afterLines="0" w:line="500" w:lineRule="exact"/>
        <w:ind w:firstLine="566" w:firstLineChars="200"/>
        <w:textAlignment w:val="auto"/>
        <w:rPr>
          <w:rFonts w:hint="eastAsia" w:ascii="仿宋" w:hAnsi="仿宋" w:eastAsia="仿宋" w:cs="仿宋"/>
          <w:b/>
          <w:bCs/>
          <w:color w:val="000000"/>
          <w:sz w:val="28"/>
          <w:szCs w:val="28"/>
          <w:lang w:bidi="ar"/>
        </w:rPr>
      </w:pPr>
      <w:r>
        <w:rPr>
          <w:rFonts w:hint="eastAsia" w:ascii="仿宋" w:hAnsi="仿宋" w:eastAsia="仿宋" w:cs="仿宋"/>
          <w:b/>
          <w:bCs/>
          <w:color w:val="000000"/>
          <w:sz w:val="28"/>
          <w:szCs w:val="28"/>
          <w:lang w:val="en-US" w:eastAsia="zh-CN"/>
        </w:rPr>
        <w:t>（四）</w:t>
      </w:r>
      <w:r>
        <w:rPr>
          <w:rFonts w:hint="eastAsia" w:ascii="仿宋" w:hAnsi="仿宋" w:eastAsia="仿宋" w:cs="仿宋"/>
          <w:b/>
          <w:bCs/>
          <w:color w:val="000000"/>
          <w:sz w:val="28"/>
          <w:szCs w:val="28"/>
        </w:rPr>
        <w:t>楼</w:t>
      </w:r>
      <w:r>
        <w:rPr>
          <w:rFonts w:hint="eastAsia" w:ascii="仿宋" w:hAnsi="仿宋" w:eastAsia="仿宋" w:cs="仿宋"/>
          <w:b/>
          <w:bCs/>
          <w:color w:val="000000"/>
          <w:sz w:val="28"/>
          <w:szCs w:val="28"/>
          <w:lang w:bidi="ar"/>
        </w:rPr>
        <w:t>宇管理</w:t>
      </w:r>
      <w:r>
        <w:rPr>
          <w:rFonts w:hint="eastAsia" w:ascii="仿宋" w:hAnsi="仿宋" w:eastAsia="仿宋" w:cs="仿宋"/>
          <w:b/>
          <w:bCs/>
          <w:color w:val="000000"/>
          <w:sz w:val="28"/>
          <w:szCs w:val="28"/>
          <w:lang w:val="en-US" w:eastAsia="zh-CN" w:bidi="ar"/>
        </w:rPr>
        <w:t>服务</w:t>
      </w:r>
    </w:p>
    <w:p w14:paraId="03D7948F">
      <w:pPr>
        <w:pStyle w:val="2"/>
        <w:keepNext w:val="0"/>
        <w:keepLines w:val="0"/>
        <w:pageBreakBefore w:val="0"/>
        <w:numPr>
          <w:ilvl w:val="0"/>
          <w:numId w:val="2"/>
        </w:numPr>
        <w:kinsoku/>
        <w:wordWrap/>
        <w:overflowPunct/>
        <w:topLinePunct w:val="0"/>
        <w:autoSpaceDE/>
        <w:autoSpaceDN/>
        <w:bidi w:val="0"/>
        <w:adjustRightInd/>
        <w:snapToGrid/>
        <w:spacing w:after="0" w:afterLines="0" w:line="500" w:lineRule="exact"/>
        <w:ind w:firstLine="566"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负责楼宇卫生检查、日常管理等工作。</w:t>
      </w:r>
    </w:p>
    <w:p w14:paraId="1EF006BA">
      <w:pPr>
        <w:pStyle w:val="2"/>
        <w:keepNext w:val="0"/>
        <w:keepLines w:val="0"/>
        <w:pageBreakBefore w:val="0"/>
        <w:numPr>
          <w:ilvl w:val="0"/>
          <w:numId w:val="2"/>
        </w:numPr>
        <w:kinsoku/>
        <w:wordWrap/>
        <w:overflowPunct/>
        <w:topLinePunct w:val="0"/>
        <w:autoSpaceDE/>
        <w:autoSpaceDN/>
        <w:bidi w:val="0"/>
        <w:adjustRightInd/>
        <w:snapToGrid/>
        <w:spacing w:after="0" w:afterLines="0" w:line="500" w:lineRule="exact"/>
        <w:ind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sz w:val="28"/>
          <w:szCs w:val="28"/>
        </w:rPr>
        <w:t>做好楼宇卫生清洁、物品摆放整洁，消除各类安全隐患，保持楼宇公共区域干净整齐，门卫做好24小时值班、巡查，按时开锁楼门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做好教室、教师休息室桌椅摆放，保持规范有序。</w:t>
      </w:r>
    </w:p>
    <w:p w14:paraId="74D07285">
      <w:pPr>
        <w:numPr>
          <w:ilvl w:val="-1"/>
          <w:numId w:val="0"/>
        </w:numPr>
        <w:spacing w:afterLines="0" w:line="500" w:lineRule="exact"/>
        <w:ind w:firstLine="566" w:firstLineChars="200"/>
        <w:outlineLvl w:val="1"/>
        <w:rPr>
          <w:rFonts w:hint="eastAsia" w:ascii="仿宋" w:hAnsi="仿宋" w:eastAsia="仿宋" w:cs="仿宋"/>
          <w:b/>
          <w:bCs/>
        </w:rPr>
      </w:pPr>
      <w:bookmarkStart w:id="253" w:name="_Hlk101771054"/>
      <w:r>
        <w:rPr>
          <w:rFonts w:hint="eastAsia" w:ascii="仿宋" w:hAnsi="仿宋" w:eastAsia="仿宋" w:cs="仿宋"/>
          <w:b/>
          <w:bCs/>
          <w:lang w:val="en-US" w:eastAsia="zh-CN"/>
        </w:rPr>
        <w:t>四、</w:t>
      </w:r>
      <w:r>
        <w:rPr>
          <w:rFonts w:hint="eastAsia" w:ascii="仿宋" w:hAnsi="仿宋" w:eastAsia="仿宋" w:cs="仿宋"/>
          <w:b/>
          <w:bCs/>
        </w:rPr>
        <w:t>服务标准</w:t>
      </w:r>
    </w:p>
    <w:p w14:paraId="10F55FE3">
      <w:pPr>
        <w:numPr>
          <w:ilvl w:val="-1"/>
          <w:numId w:val="0"/>
        </w:numPr>
        <w:spacing w:afterLines="0" w:line="500" w:lineRule="exact"/>
        <w:ind w:firstLine="0" w:firstLineChars="0"/>
        <w:jc w:val="center"/>
        <w:outlineLvl w:val="1"/>
        <w:rPr>
          <w:rFonts w:hint="default" w:ascii="仿宋" w:hAnsi="仿宋" w:eastAsia="仿宋" w:cs="仿宋"/>
          <w:b w:val="0"/>
          <w:bCs w:val="0"/>
          <w:lang w:val="en-US" w:eastAsia="zh-CN"/>
        </w:rPr>
      </w:pPr>
      <w:r>
        <w:rPr>
          <w:rFonts w:hint="eastAsia" w:ascii="仿宋" w:hAnsi="仿宋" w:eastAsia="仿宋" w:cs="仿宋"/>
          <w:b w:val="0"/>
          <w:bCs w:val="0"/>
          <w:lang w:eastAsia="zh-CN"/>
        </w:rPr>
        <w:t>表</w:t>
      </w:r>
      <w:r>
        <w:rPr>
          <w:rFonts w:hint="eastAsia" w:ascii="仿宋" w:hAnsi="仿宋" w:eastAsia="仿宋" w:cs="仿宋"/>
          <w:b w:val="0"/>
          <w:bCs w:val="0"/>
          <w:lang w:val="en-US" w:eastAsia="zh-CN"/>
        </w:rPr>
        <w:t>2：服务标准</w:t>
      </w:r>
    </w:p>
    <w:tbl>
      <w:tblPr>
        <w:tblStyle w:val="17"/>
        <w:tblW w:w="8922" w:type="dxa"/>
        <w:tblInd w:w="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822"/>
        <w:gridCol w:w="2722"/>
        <w:gridCol w:w="3722"/>
      </w:tblGrid>
      <w:tr w14:paraId="39A13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2" w:hRule="atLeast"/>
        </w:trPr>
        <w:tc>
          <w:tcPr>
            <w:tcW w:w="656" w:type="dxa"/>
            <w:tcBorders>
              <w:right w:val="single" w:color="auto" w:sz="4" w:space="0"/>
            </w:tcBorders>
            <w:noWrap w:val="0"/>
            <w:vAlign w:val="center"/>
          </w:tcPr>
          <w:p w14:paraId="40C7470B">
            <w:pPr>
              <w:pStyle w:val="23"/>
              <w:spacing w:line="400" w:lineRule="exact"/>
              <w:ind w:left="0"/>
              <w:jc w:val="center"/>
              <w:rPr>
                <w:rFonts w:hint="eastAsia"/>
                <w:b/>
                <w:bCs/>
                <w:color w:val="000000"/>
                <w:sz w:val="24"/>
                <w:szCs w:val="24"/>
                <w:lang w:val="en-US" w:bidi="ar-SA"/>
              </w:rPr>
            </w:pPr>
            <w:r>
              <w:rPr>
                <w:rFonts w:hint="eastAsia"/>
                <w:b/>
                <w:bCs/>
                <w:color w:val="000000"/>
                <w:sz w:val="24"/>
                <w:szCs w:val="24"/>
                <w:lang w:val="en-US" w:bidi="ar-SA"/>
              </w:rPr>
              <w:t>项目</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1F046DA8">
            <w:pPr>
              <w:pStyle w:val="23"/>
              <w:spacing w:line="400" w:lineRule="exact"/>
              <w:ind w:left="0" w:right="0"/>
              <w:jc w:val="center"/>
              <w:rPr>
                <w:rFonts w:hint="eastAsia"/>
                <w:b/>
                <w:bCs/>
                <w:color w:val="000000"/>
                <w:sz w:val="24"/>
                <w:szCs w:val="24"/>
                <w:lang w:val="en-US" w:bidi="ar-SA"/>
              </w:rPr>
            </w:pPr>
            <w:r>
              <w:rPr>
                <w:rFonts w:hint="eastAsia"/>
                <w:b/>
                <w:bCs/>
                <w:color w:val="000000"/>
                <w:sz w:val="24"/>
                <w:szCs w:val="24"/>
                <w:lang w:val="en-US" w:bidi="ar-SA"/>
              </w:rPr>
              <w:t>保洁范围</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6D7FAD3">
            <w:pPr>
              <w:pStyle w:val="23"/>
              <w:spacing w:line="400" w:lineRule="exact"/>
              <w:ind w:left="0" w:right="0"/>
              <w:jc w:val="center"/>
              <w:rPr>
                <w:rFonts w:hint="eastAsia"/>
                <w:b/>
                <w:bCs/>
                <w:color w:val="000000"/>
                <w:sz w:val="24"/>
                <w:szCs w:val="24"/>
                <w:lang w:val="en-US" w:bidi="ar-SA"/>
              </w:rPr>
            </w:pPr>
            <w:r>
              <w:rPr>
                <w:rFonts w:hint="eastAsia"/>
                <w:b/>
                <w:bCs/>
                <w:color w:val="000000"/>
                <w:sz w:val="24"/>
                <w:szCs w:val="24"/>
                <w:lang w:val="en-US" w:bidi="ar-SA"/>
              </w:rPr>
              <w:t>作业频率</w:t>
            </w:r>
          </w:p>
        </w:tc>
        <w:tc>
          <w:tcPr>
            <w:tcW w:w="3722" w:type="dxa"/>
            <w:tcBorders>
              <w:top w:val="single" w:color="auto" w:sz="4" w:space="0"/>
              <w:left w:val="single" w:color="auto" w:sz="4" w:space="0"/>
              <w:bottom w:val="single" w:color="auto" w:sz="4" w:space="0"/>
              <w:right w:val="single" w:color="auto" w:sz="4" w:space="0"/>
            </w:tcBorders>
            <w:noWrap w:val="0"/>
            <w:vAlign w:val="center"/>
          </w:tcPr>
          <w:p w14:paraId="700D2A9D">
            <w:pPr>
              <w:pStyle w:val="23"/>
              <w:spacing w:line="400" w:lineRule="exact"/>
              <w:ind w:left="0" w:right="0"/>
              <w:jc w:val="center"/>
              <w:rPr>
                <w:rFonts w:hint="eastAsia"/>
                <w:b/>
                <w:bCs/>
                <w:color w:val="000000"/>
                <w:sz w:val="24"/>
                <w:szCs w:val="24"/>
                <w:lang w:val="en-US" w:bidi="ar-SA"/>
              </w:rPr>
            </w:pPr>
            <w:r>
              <w:rPr>
                <w:rFonts w:hint="eastAsia"/>
                <w:b/>
                <w:bCs/>
                <w:color w:val="000000"/>
                <w:sz w:val="24"/>
                <w:szCs w:val="24"/>
                <w:lang w:val="en-US" w:bidi="ar-SA"/>
              </w:rPr>
              <w:t>服务质量标准</w:t>
            </w:r>
          </w:p>
        </w:tc>
      </w:tr>
      <w:tr w14:paraId="1C5F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656" w:type="dxa"/>
            <w:vMerge w:val="restart"/>
            <w:tcBorders>
              <w:right w:val="single" w:color="auto" w:sz="4" w:space="0"/>
            </w:tcBorders>
            <w:noWrap w:val="0"/>
            <w:vAlign w:val="center"/>
          </w:tcPr>
          <w:p w14:paraId="67964522">
            <w:pPr>
              <w:pStyle w:val="23"/>
              <w:spacing w:line="400" w:lineRule="exact"/>
              <w:ind w:left="0"/>
              <w:jc w:val="center"/>
              <w:rPr>
                <w:color w:val="000000"/>
                <w:sz w:val="24"/>
                <w:szCs w:val="24"/>
                <w:lang w:val="en-US" w:bidi="ar-SA"/>
              </w:rPr>
            </w:pPr>
            <w:r>
              <w:rPr>
                <w:rFonts w:hint="eastAsia"/>
                <w:color w:val="000000"/>
                <w:sz w:val="24"/>
                <w:szCs w:val="24"/>
                <w:lang w:val="en-US" w:bidi="ar-SA"/>
              </w:rPr>
              <w:t>室内物业保洁</w:t>
            </w:r>
          </w:p>
        </w:tc>
        <w:tc>
          <w:tcPr>
            <w:tcW w:w="1822" w:type="dxa"/>
            <w:tcBorders>
              <w:top w:val="single" w:color="auto" w:sz="4" w:space="0"/>
              <w:left w:val="single" w:color="auto" w:sz="4" w:space="0"/>
              <w:bottom w:val="single" w:color="auto" w:sz="4" w:space="0"/>
              <w:right w:val="single" w:color="auto" w:sz="4" w:space="0"/>
            </w:tcBorders>
            <w:noWrap w:val="0"/>
            <w:vAlign w:val="center"/>
          </w:tcPr>
          <w:p w14:paraId="2E7458E1">
            <w:pPr>
              <w:pStyle w:val="23"/>
              <w:spacing w:line="400" w:lineRule="exact"/>
              <w:ind w:right="0"/>
              <w:rPr>
                <w:rFonts w:hint="eastAsia"/>
                <w:color w:val="000000"/>
                <w:sz w:val="24"/>
                <w:szCs w:val="24"/>
                <w:lang w:val="en-US" w:bidi="ar-SA"/>
              </w:rPr>
            </w:pPr>
            <w:r>
              <w:rPr>
                <w:rFonts w:hint="eastAsia"/>
                <w:color w:val="000000"/>
                <w:sz w:val="24"/>
                <w:szCs w:val="24"/>
                <w:lang w:val="en-US" w:bidi="ar-SA"/>
              </w:rPr>
              <w:t>大厅：地面、墙面、踢脚线、台阶、天棚、装饰门及门套、宣传窗、垃圾桶、消防设施灯具装饰柱、植物花盆。</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2482DAB">
            <w:pPr>
              <w:pStyle w:val="23"/>
              <w:spacing w:line="400" w:lineRule="exact"/>
              <w:ind w:right="0"/>
              <w:rPr>
                <w:rFonts w:hint="eastAsia"/>
                <w:color w:val="000000"/>
                <w:sz w:val="24"/>
                <w:szCs w:val="24"/>
                <w:lang w:val="en-US" w:bidi="ar-SA"/>
              </w:rPr>
            </w:pPr>
            <w:r>
              <w:rPr>
                <w:rFonts w:hint="eastAsia"/>
                <w:color w:val="000000"/>
                <w:sz w:val="24"/>
                <w:szCs w:val="24"/>
                <w:lang w:val="en-US" w:bidi="ar-SA"/>
              </w:rPr>
              <w:t>地面、台阶、宣传窗、垃圾桶、装饰柱、植物花盆等每天保洁1次，且巡回保洁；装饰门及门套、踢脚线等3天保洁1次；墙面、天棚、消防设施、灯具每两周保洁1次；地砖或水磨石地面每月彻底刷洗1次。</w:t>
            </w:r>
          </w:p>
        </w:tc>
        <w:tc>
          <w:tcPr>
            <w:tcW w:w="3722" w:type="dxa"/>
            <w:tcBorders>
              <w:top w:val="single" w:color="auto" w:sz="4" w:space="0"/>
              <w:left w:val="single" w:color="auto" w:sz="4" w:space="0"/>
              <w:bottom w:val="single" w:color="auto" w:sz="4" w:space="0"/>
              <w:right w:val="single" w:color="auto" w:sz="4" w:space="0"/>
            </w:tcBorders>
            <w:noWrap w:val="0"/>
            <w:vAlign w:val="center"/>
          </w:tcPr>
          <w:p w14:paraId="2D326E06">
            <w:pPr>
              <w:pStyle w:val="23"/>
              <w:spacing w:line="400" w:lineRule="exact"/>
              <w:ind w:right="0"/>
              <w:rPr>
                <w:rFonts w:hint="eastAsia"/>
                <w:color w:val="000000"/>
                <w:sz w:val="24"/>
                <w:szCs w:val="24"/>
                <w:lang w:val="en-US" w:bidi="ar-SA"/>
              </w:rPr>
            </w:pPr>
            <w:r>
              <w:rPr>
                <w:rFonts w:hint="eastAsia"/>
                <w:color w:val="000000"/>
                <w:sz w:val="24"/>
                <w:szCs w:val="24"/>
                <w:lang w:val="en-US" w:bidi="ar-SA"/>
              </w:rPr>
              <w:t>地面无水渍、无污渍，无垃圾，无积尘，光亮；墙面无灰尘、无污渍，光亮，墙角无蜘蛛网；公共设施表面无积尘、无污渍、光亮；不锈钢表面无手印，无积尘，无污渍、光亮；</w:t>
            </w:r>
            <w:r>
              <w:rPr>
                <w:rFonts w:hint="eastAsia"/>
                <w:color w:val="000000"/>
                <w:sz w:val="24"/>
                <w:szCs w:val="24"/>
                <w:lang w:val="en-US" w:eastAsia="zh-CN" w:bidi="ar-SA"/>
              </w:rPr>
              <w:t>:</w:t>
            </w:r>
            <w:r>
              <w:rPr>
                <w:rFonts w:hint="eastAsia"/>
                <w:color w:val="000000"/>
                <w:sz w:val="24"/>
                <w:szCs w:val="24"/>
                <w:lang w:val="en-US" w:bidi="ar-SA"/>
              </w:rPr>
              <w:t>玻璃上无手印，无积尘，无污渍、明亮；植物花盆无积尘，无污渍。</w:t>
            </w:r>
          </w:p>
        </w:tc>
      </w:tr>
      <w:tr w14:paraId="260C6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656" w:type="dxa"/>
            <w:vMerge w:val="continue"/>
            <w:tcBorders>
              <w:right w:val="single" w:color="auto" w:sz="4" w:space="0"/>
            </w:tcBorders>
            <w:noWrap w:val="0"/>
            <w:vAlign w:val="center"/>
          </w:tcPr>
          <w:p w14:paraId="7F035884">
            <w:pPr>
              <w:pStyle w:val="23"/>
              <w:spacing w:line="400" w:lineRule="exact"/>
              <w:ind w:left="0"/>
              <w:jc w:val="center"/>
              <w:rPr>
                <w:rFonts w:hint="eastAsia"/>
                <w:color w:val="000000"/>
                <w:sz w:val="24"/>
                <w:szCs w:val="24"/>
                <w:lang w:val="en-US" w:bidi="ar-SA"/>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298F703C">
            <w:pPr>
              <w:pStyle w:val="23"/>
              <w:spacing w:line="400" w:lineRule="exact"/>
              <w:ind w:right="0"/>
              <w:rPr>
                <w:rFonts w:hint="eastAsia"/>
                <w:color w:val="000000"/>
                <w:sz w:val="24"/>
                <w:szCs w:val="24"/>
                <w:lang w:val="en-US" w:bidi="ar-SA"/>
              </w:rPr>
            </w:pPr>
            <w:r>
              <w:rPr>
                <w:rFonts w:hint="eastAsia"/>
                <w:color w:val="000000"/>
                <w:sz w:val="24"/>
                <w:szCs w:val="24"/>
                <w:lang w:val="en-US" w:bidi="ar-SA"/>
              </w:rPr>
              <w:t>楼道：地面、楼道梯级、扶手、墙面、踢脚线、配电箱、消防设备、楼道门、窗、灯具及开关、垃圾桶。</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3CE0A3C">
            <w:pPr>
              <w:pStyle w:val="23"/>
              <w:spacing w:line="400" w:lineRule="exact"/>
              <w:ind w:right="0"/>
              <w:rPr>
                <w:rFonts w:hint="eastAsia"/>
                <w:color w:val="000000"/>
                <w:sz w:val="24"/>
                <w:szCs w:val="24"/>
                <w:lang w:val="en-US" w:bidi="ar-SA"/>
              </w:rPr>
            </w:pPr>
            <w:r>
              <w:rPr>
                <w:rFonts w:hint="eastAsia"/>
                <w:color w:val="000000"/>
                <w:sz w:val="24"/>
                <w:szCs w:val="24"/>
                <w:lang w:val="en-US" w:bidi="ar-SA"/>
              </w:rPr>
              <w:t>地面、楼道梯级、扶手、墙面、垃圾桶等每天保洁1次且巡回保洁；踢脚线、配电箱、消防设备、楼道门、窗、灯具及开关每两周保洁1次。</w:t>
            </w:r>
          </w:p>
        </w:tc>
        <w:tc>
          <w:tcPr>
            <w:tcW w:w="3722" w:type="dxa"/>
            <w:tcBorders>
              <w:top w:val="single" w:color="auto" w:sz="4" w:space="0"/>
              <w:left w:val="single" w:color="auto" w:sz="4" w:space="0"/>
              <w:bottom w:val="single" w:color="auto" w:sz="4" w:space="0"/>
              <w:right w:val="single" w:color="auto" w:sz="4" w:space="0"/>
            </w:tcBorders>
            <w:noWrap w:val="0"/>
            <w:vAlign w:val="center"/>
          </w:tcPr>
          <w:p w14:paraId="6A8890E8">
            <w:pPr>
              <w:pStyle w:val="23"/>
              <w:spacing w:line="400" w:lineRule="exact"/>
              <w:ind w:right="0"/>
              <w:rPr>
                <w:rFonts w:hint="eastAsia"/>
                <w:color w:val="000000"/>
                <w:sz w:val="24"/>
                <w:szCs w:val="24"/>
                <w:lang w:val="en-US" w:bidi="ar-SA"/>
              </w:rPr>
            </w:pPr>
            <w:r>
              <w:rPr>
                <w:rFonts w:hint="eastAsia"/>
                <w:color w:val="000000"/>
                <w:sz w:val="24"/>
                <w:szCs w:val="24"/>
                <w:lang w:val="en-US" w:bidi="ar-SA"/>
              </w:rPr>
              <w:t>地面无水渍、无污渍，无垃圾，无积尘，光亮墙面无灰尘、无污渍，光亮，墙角无蜘蛛网；公共设施表面无积尘、无污渍、光亮；不锈钢表面无手印，无积尘，无污渍、光亮；玻璃上无手印，无积尘，无污渍、明亮；窗台无积尘。</w:t>
            </w:r>
          </w:p>
        </w:tc>
      </w:tr>
      <w:tr w14:paraId="3941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6" w:hRule="atLeast"/>
        </w:trPr>
        <w:tc>
          <w:tcPr>
            <w:tcW w:w="656" w:type="dxa"/>
            <w:vMerge w:val="continue"/>
            <w:tcBorders>
              <w:right w:val="single" w:color="auto" w:sz="4" w:space="0"/>
            </w:tcBorders>
            <w:noWrap w:val="0"/>
            <w:vAlign w:val="center"/>
          </w:tcPr>
          <w:p w14:paraId="6318043E">
            <w:pPr>
              <w:pStyle w:val="23"/>
              <w:spacing w:line="400" w:lineRule="exact"/>
              <w:ind w:left="0"/>
              <w:jc w:val="center"/>
              <w:rPr>
                <w:rFonts w:hint="eastAsia"/>
                <w:color w:val="000000"/>
                <w:sz w:val="24"/>
                <w:szCs w:val="24"/>
                <w:lang w:val="en-US" w:bidi="ar-SA"/>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7E6CF0C2">
            <w:pPr>
              <w:pStyle w:val="23"/>
              <w:spacing w:line="400" w:lineRule="exact"/>
              <w:ind w:right="0"/>
              <w:rPr>
                <w:rFonts w:hint="eastAsia"/>
                <w:color w:val="000000"/>
                <w:sz w:val="24"/>
                <w:szCs w:val="24"/>
                <w:lang w:val="en-US" w:bidi="ar-SA"/>
              </w:rPr>
            </w:pPr>
            <w:r>
              <w:rPr>
                <w:rFonts w:hint="eastAsia"/>
                <w:color w:val="000000"/>
                <w:sz w:val="24"/>
                <w:szCs w:val="24"/>
                <w:lang w:val="en-US" w:bidi="ar-SA"/>
              </w:rPr>
              <w:t>公共卫生间、开水房：地面、墙面、天棚、大小便器、垃圾篓、台面、镜子、门窗、灯具、排气扇、上下水管道、开水箱</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C0C984A">
            <w:pPr>
              <w:pStyle w:val="23"/>
              <w:spacing w:line="400" w:lineRule="exact"/>
              <w:ind w:right="0"/>
              <w:rPr>
                <w:rFonts w:hint="eastAsia"/>
                <w:color w:val="000000"/>
                <w:sz w:val="24"/>
                <w:szCs w:val="24"/>
                <w:lang w:val="en-US" w:bidi="ar-SA"/>
              </w:rPr>
            </w:pPr>
            <w:r>
              <w:rPr>
                <w:rFonts w:hint="eastAsia"/>
                <w:color w:val="000000"/>
                <w:sz w:val="24"/>
                <w:szCs w:val="24"/>
                <w:lang w:val="en-US" w:bidi="ar-SA"/>
              </w:rPr>
              <w:t>每天两次对卫生间全面保洁，且巡回每两小时保洁；天棚、灯具、窗玻璃排气扇每两周保洁1次；开水房每天保洁1次，开水箱每两月清洗1次；每天定时开放。</w:t>
            </w:r>
          </w:p>
        </w:tc>
        <w:tc>
          <w:tcPr>
            <w:tcW w:w="3722" w:type="dxa"/>
            <w:tcBorders>
              <w:top w:val="single" w:color="auto" w:sz="4" w:space="0"/>
              <w:left w:val="single" w:color="auto" w:sz="4" w:space="0"/>
              <w:bottom w:val="single" w:color="auto" w:sz="4" w:space="0"/>
              <w:right w:val="single" w:color="auto" w:sz="4" w:space="0"/>
            </w:tcBorders>
            <w:noWrap w:val="0"/>
            <w:vAlign w:val="center"/>
          </w:tcPr>
          <w:p w14:paraId="6B84D74E">
            <w:pPr>
              <w:pStyle w:val="23"/>
              <w:spacing w:line="400" w:lineRule="exact"/>
              <w:ind w:right="0"/>
              <w:rPr>
                <w:rFonts w:hint="eastAsia"/>
                <w:color w:val="000000"/>
                <w:sz w:val="24"/>
                <w:szCs w:val="24"/>
                <w:lang w:val="en-US" w:bidi="ar-SA"/>
              </w:rPr>
            </w:pPr>
            <w:r>
              <w:rPr>
                <w:rFonts w:hint="eastAsia"/>
                <w:color w:val="000000"/>
                <w:sz w:val="24"/>
                <w:szCs w:val="24"/>
                <w:lang w:val="en-US" w:bidi="ar-SA"/>
              </w:rPr>
              <w:t>卫生间无异味、厕坑便具洁净无黄渍、镜面、水盆、台面无污点，光亮；纸篓随时清理；墙面、天棚、墙角、灯具无积尘、无蜘蛛网；地面无水渍、无污渍，无垃圾；开水房达到卫生标准、安全可靠；保洁工具与保洁用品要统一放在指定地点。</w:t>
            </w:r>
          </w:p>
        </w:tc>
      </w:tr>
      <w:tr w14:paraId="51D59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656" w:type="dxa"/>
            <w:vMerge w:val="continue"/>
            <w:tcBorders>
              <w:right w:val="single" w:color="auto" w:sz="4" w:space="0"/>
            </w:tcBorders>
            <w:noWrap w:val="0"/>
            <w:vAlign w:val="center"/>
          </w:tcPr>
          <w:p w14:paraId="70BA00F1">
            <w:pPr>
              <w:pStyle w:val="23"/>
              <w:spacing w:line="400" w:lineRule="exact"/>
              <w:ind w:left="0"/>
              <w:jc w:val="center"/>
              <w:rPr>
                <w:rFonts w:hint="eastAsia"/>
                <w:color w:val="000000"/>
                <w:sz w:val="24"/>
                <w:szCs w:val="24"/>
                <w:lang w:val="en-US" w:bidi="ar-SA"/>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492EED48">
            <w:pPr>
              <w:pStyle w:val="23"/>
              <w:spacing w:line="400" w:lineRule="exact"/>
              <w:ind w:right="0"/>
              <w:rPr>
                <w:rFonts w:hint="eastAsia"/>
                <w:color w:val="000000"/>
                <w:sz w:val="24"/>
                <w:szCs w:val="24"/>
                <w:lang w:val="en-US" w:bidi="ar-SA"/>
              </w:rPr>
            </w:pPr>
            <w:r>
              <w:rPr>
                <w:rFonts w:hint="eastAsia"/>
                <w:color w:val="000000"/>
                <w:sz w:val="24"/>
                <w:szCs w:val="24"/>
                <w:lang w:val="en-US" w:bidi="ar-SA"/>
              </w:rPr>
              <w:t>教室：桌椅、讲台、黑 板、地面、踏步、窗 台、窗玻璃、门楣、门套、墙面、墙角、天棚、灯具、设备。</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170BFAA">
            <w:pPr>
              <w:pStyle w:val="23"/>
              <w:spacing w:line="400" w:lineRule="exact"/>
              <w:ind w:right="0"/>
              <w:rPr>
                <w:rFonts w:hint="default" w:eastAsia="仿宋"/>
                <w:color w:val="000000"/>
                <w:sz w:val="24"/>
                <w:szCs w:val="24"/>
                <w:lang w:val="en-US" w:eastAsia="zh-CN" w:bidi="ar-SA"/>
              </w:rPr>
            </w:pPr>
            <w:r>
              <w:rPr>
                <w:rFonts w:hint="eastAsia"/>
                <w:color w:val="000000"/>
                <w:sz w:val="24"/>
                <w:szCs w:val="24"/>
                <w:lang w:val="en-US" w:bidi="ar-SA"/>
              </w:rPr>
              <w:t>桌椅、讲台、黑板、地面、踏步、窗台、门楣、门套、墙面、墙角每日早、中、晚共3次。天棚、灯具、设备每周1次；窗玻璃每两周1次。</w:t>
            </w:r>
            <w:r>
              <w:rPr>
                <w:rFonts w:hint="eastAsia"/>
                <w:color w:val="000000"/>
                <w:sz w:val="24"/>
                <w:szCs w:val="24"/>
                <w:lang w:val="en-US" w:eastAsia="zh-CN" w:bidi="ar-SA"/>
              </w:rPr>
              <w:t>对教室内的用电设施设备进行排查和故障上报。</w:t>
            </w:r>
          </w:p>
        </w:tc>
        <w:tc>
          <w:tcPr>
            <w:tcW w:w="3722" w:type="dxa"/>
            <w:tcBorders>
              <w:top w:val="single" w:color="auto" w:sz="4" w:space="0"/>
              <w:left w:val="single" w:color="auto" w:sz="4" w:space="0"/>
              <w:bottom w:val="single" w:color="auto" w:sz="4" w:space="0"/>
              <w:right w:val="single" w:color="auto" w:sz="4" w:space="0"/>
            </w:tcBorders>
            <w:noWrap w:val="0"/>
            <w:vAlign w:val="center"/>
          </w:tcPr>
          <w:p w14:paraId="3C100E56">
            <w:pPr>
              <w:pStyle w:val="23"/>
              <w:spacing w:line="400" w:lineRule="exact"/>
              <w:ind w:right="0"/>
              <w:rPr>
                <w:rFonts w:hint="default" w:eastAsia="仿宋"/>
                <w:color w:val="000000"/>
                <w:sz w:val="24"/>
                <w:szCs w:val="24"/>
                <w:lang w:val="en-US" w:eastAsia="zh-CN" w:bidi="ar-SA"/>
              </w:rPr>
            </w:pPr>
            <w:r>
              <w:rPr>
                <w:rFonts w:hint="eastAsia"/>
                <w:color w:val="000000"/>
                <w:sz w:val="24"/>
                <w:szCs w:val="24"/>
                <w:lang w:val="en-US" w:bidi="ar-SA"/>
              </w:rPr>
              <w:t>桌椅、讲台、窗台、黑板、地面、踏步、门楣、门套、墙面、墙角无积尘，光亮；</w:t>
            </w:r>
            <w:r>
              <w:rPr>
                <w:rFonts w:hint="eastAsia"/>
                <w:color w:val="000000"/>
                <w:sz w:val="24"/>
                <w:szCs w:val="24"/>
                <w:lang w:val="en-US" w:eastAsia="zh-CN" w:bidi="ar-SA"/>
              </w:rPr>
              <w:t>桌椅摆放整齐，</w:t>
            </w:r>
            <w:r>
              <w:rPr>
                <w:rFonts w:hint="eastAsia"/>
                <w:color w:val="000000"/>
                <w:sz w:val="24"/>
                <w:szCs w:val="24"/>
                <w:lang w:val="en-US" w:bidi="ar-SA"/>
              </w:rPr>
              <w:t>桌兜内无杂质；黑板板面擦净，板槽内无粉末，黑板周围整洁；窗台无积尘，窗帘挂放整齐；室内无异味。捡拾物品及时上交楼管员做失物招领，不私自处理。</w:t>
            </w:r>
            <w:r>
              <w:rPr>
                <w:rFonts w:hint="eastAsia"/>
                <w:color w:val="000000"/>
                <w:sz w:val="24"/>
                <w:szCs w:val="24"/>
                <w:lang w:val="en-US" w:eastAsia="zh-CN" w:bidi="ar-SA"/>
              </w:rPr>
              <w:t>用电设施设备故障第一时间上报。</w:t>
            </w:r>
          </w:p>
        </w:tc>
      </w:tr>
      <w:tr w14:paraId="36FB3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56" w:type="dxa"/>
            <w:vMerge w:val="continue"/>
            <w:tcBorders>
              <w:right w:val="single" w:color="auto" w:sz="4" w:space="0"/>
            </w:tcBorders>
            <w:noWrap w:val="0"/>
            <w:vAlign w:val="center"/>
          </w:tcPr>
          <w:p w14:paraId="3A9F495D">
            <w:pPr>
              <w:pStyle w:val="23"/>
              <w:spacing w:line="400" w:lineRule="exact"/>
              <w:ind w:left="0"/>
              <w:jc w:val="center"/>
              <w:rPr>
                <w:rFonts w:hint="eastAsia"/>
                <w:color w:val="000000"/>
                <w:sz w:val="24"/>
                <w:szCs w:val="24"/>
                <w:lang w:val="en-US" w:bidi="ar-SA"/>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1DB81E25">
            <w:pPr>
              <w:pStyle w:val="23"/>
              <w:spacing w:line="400" w:lineRule="exact"/>
              <w:ind w:right="0"/>
              <w:rPr>
                <w:rFonts w:hint="eastAsia"/>
                <w:color w:val="000000"/>
                <w:sz w:val="24"/>
                <w:szCs w:val="24"/>
                <w:lang w:val="en-US" w:bidi="ar-SA"/>
              </w:rPr>
            </w:pPr>
            <w:r>
              <w:rPr>
                <w:rFonts w:hint="eastAsia"/>
                <w:color w:val="000000"/>
                <w:sz w:val="24"/>
                <w:szCs w:val="24"/>
                <w:lang w:val="en-US" w:bidi="ar-SA"/>
              </w:rPr>
              <w:t>会议室、接待室：</w:t>
            </w:r>
          </w:p>
          <w:p w14:paraId="35B7CE04">
            <w:pPr>
              <w:pStyle w:val="23"/>
              <w:spacing w:line="400" w:lineRule="exact"/>
              <w:ind w:right="0"/>
              <w:rPr>
                <w:rFonts w:hint="eastAsia"/>
                <w:color w:val="000000"/>
                <w:sz w:val="24"/>
                <w:szCs w:val="24"/>
                <w:lang w:val="en-US" w:bidi="ar-SA"/>
              </w:rPr>
            </w:pPr>
            <w:r>
              <w:rPr>
                <w:rFonts w:hint="eastAsia"/>
                <w:color w:val="000000"/>
                <w:sz w:val="24"/>
                <w:szCs w:val="24"/>
                <w:lang w:val="en-US" w:bidi="ar-SA"/>
              </w:rPr>
              <w:t>桌椅、地面、窗台、窗玻璃、门楣、门套、墙面、墙角、天棚、灯具、茶具设备、地毯。</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A3DC474">
            <w:pPr>
              <w:pStyle w:val="23"/>
              <w:spacing w:line="400" w:lineRule="exact"/>
              <w:ind w:right="0"/>
              <w:rPr>
                <w:rFonts w:hint="eastAsia"/>
                <w:color w:val="000000"/>
                <w:sz w:val="24"/>
                <w:szCs w:val="24"/>
                <w:lang w:val="en-US" w:bidi="ar-SA"/>
              </w:rPr>
            </w:pPr>
            <w:r>
              <w:rPr>
                <w:rFonts w:hint="eastAsia"/>
                <w:color w:val="000000"/>
                <w:sz w:val="24"/>
                <w:szCs w:val="24"/>
                <w:lang w:val="en-US" w:bidi="ar-SA"/>
              </w:rPr>
              <w:t>会议桌椅、地面、窗台、门楣、门套、墙面、墙角三日1次；但会议结束当日清理天棚、灯具、设备每周1次；窗玻璃每两周1次；茶具每次消毒；地毯两月消毒1次。</w:t>
            </w:r>
          </w:p>
        </w:tc>
        <w:tc>
          <w:tcPr>
            <w:tcW w:w="3722" w:type="dxa"/>
            <w:tcBorders>
              <w:top w:val="single" w:color="auto" w:sz="4" w:space="0"/>
              <w:left w:val="single" w:color="auto" w:sz="4" w:space="0"/>
              <w:bottom w:val="single" w:color="auto" w:sz="4" w:space="0"/>
              <w:right w:val="single" w:color="auto" w:sz="4" w:space="0"/>
            </w:tcBorders>
            <w:noWrap w:val="0"/>
            <w:vAlign w:val="center"/>
          </w:tcPr>
          <w:p w14:paraId="693743C1">
            <w:pPr>
              <w:pStyle w:val="23"/>
              <w:spacing w:line="400" w:lineRule="exact"/>
              <w:ind w:right="0"/>
              <w:rPr>
                <w:rFonts w:hint="eastAsia"/>
                <w:color w:val="000000"/>
                <w:sz w:val="24"/>
                <w:szCs w:val="24"/>
                <w:lang w:val="en-US" w:bidi="ar-SA"/>
              </w:rPr>
            </w:pPr>
            <w:r>
              <w:rPr>
                <w:rFonts w:hint="eastAsia"/>
                <w:color w:val="000000"/>
                <w:sz w:val="24"/>
                <w:szCs w:val="24"/>
                <w:lang w:val="en-US" w:bidi="ar-SA"/>
              </w:rPr>
              <w:t>会议桌椅、窗台、地面、门楣、门套、墙面、墙角无积尘，光亮；窗帘挂放整齐；室内无异味；茶具消毒达到卫生标准；地毯清洁卫生。</w:t>
            </w:r>
          </w:p>
        </w:tc>
      </w:tr>
      <w:tr w14:paraId="68DCE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656" w:type="dxa"/>
            <w:vMerge w:val="continue"/>
            <w:tcBorders>
              <w:right w:val="single" w:color="auto" w:sz="4" w:space="0"/>
            </w:tcBorders>
            <w:noWrap w:val="0"/>
            <w:vAlign w:val="center"/>
          </w:tcPr>
          <w:p w14:paraId="7879CE32">
            <w:pPr>
              <w:pStyle w:val="23"/>
              <w:spacing w:line="400" w:lineRule="exact"/>
              <w:ind w:left="0"/>
              <w:jc w:val="center"/>
              <w:rPr>
                <w:rFonts w:hint="eastAsia"/>
                <w:color w:val="000000"/>
                <w:sz w:val="24"/>
                <w:szCs w:val="24"/>
                <w:lang w:val="en-US" w:bidi="ar-SA"/>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7674546F">
            <w:pPr>
              <w:pStyle w:val="23"/>
              <w:spacing w:line="400" w:lineRule="exact"/>
              <w:ind w:right="0"/>
              <w:rPr>
                <w:rFonts w:hint="eastAsia"/>
                <w:color w:val="000000"/>
                <w:sz w:val="24"/>
                <w:szCs w:val="24"/>
                <w:lang w:val="en-US" w:bidi="ar-SA"/>
              </w:rPr>
            </w:pPr>
            <w:r>
              <w:rPr>
                <w:rFonts w:hint="eastAsia"/>
                <w:color w:val="000000"/>
                <w:sz w:val="24"/>
                <w:szCs w:val="24"/>
                <w:lang w:val="en-US" w:bidi="ar-SA"/>
              </w:rPr>
              <w:t>电梯：电梯轿厢、电梯厅、电梯门及门套、指示板、厢壁、天花板、灯具、监控器探头。</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64FA3A9">
            <w:pPr>
              <w:pStyle w:val="23"/>
              <w:spacing w:line="400" w:lineRule="exact"/>
              <w:ind w:right="0"/>
              <w:rPr>
                <w:rFonts w:hint="eastAsia"/>
                <w:color w:val="000000"/>
                <w:sz w:val="24"/>
                <w:szCs w:val="24"/>
                <w:lang w:val="en-US" w:bidi="ar-SA"/>
              </w:rPr>
            </w:pPr>
            <w:r>
              <w:rPr>
                <w:rFonts w:hint="eastAsia"/>
                <w:color w:val="000000"/>
                <w:sz w:val="24"/>
                <w:szCs w:val="24"/>
                <w:lang w:val="en-US" w:bidi="ar-SA"/>
              </w:rPr>
              <w:t>电梯轿厢、电梯厅、电梯门及门套、指示板、厢壁每天保洁1次，且每两小时巡回保洁；天花板、通风口、灯具、监控器探头每周1次。</w:t>
            </w:r>
          </w:p>
        </w:tc>
        <w:tc>
          <w:tcPr>
            <w:tcW w:w="3722" w:type="dxa"/>
            <w:tcBorders>
              <w:top w:val="single" w:color="auto" w:sz="4" w:space="0"/>
              <w:left w:val="single" w:color="auto" w:sz="4" w:space="0"/>
              <w:bottom w:val="single" w:color="auto" w:sz="4" w:space="0"/>
              <w:right w:val="single" w:color="auto" w:sz="4" w:space="0"/>
            </w:tcBorders>
            <w:noWrap w:val="0"/>
            <w:vAlign w:val="center"/>
          </w:tcPr>
          <w:p w14:paraId="046BE835">
            <w:pPr>
              <w:pStyle w:val="23"/>
              <w:spacing w:line="400" w:lineRule="exact"/>
              <w:ind w:right="0"/>
              <w:rPr>
                <w:color w:val="000000"/>
                <w:sz w:val="24"/>
                <w:szCs w:val="24"/>
                <w:lang w:val="en-US" w:bidi="ar-SA"/>
              </w:rPr>
            </w:pPr>
            <w:r>
              <w:rPr>
                <w:rFonts w:hint="eastAsia"/>
                <w:color w:val="000000"/>
                <w:sz w:val="24"/>
                <w:szCs w:val="24"/>
                <w:lang w:val="en-US" w:bidi="ar-SA"/>
              </w:rPr>
              <w:t>电梯轿厢内无积尘、无污渍、无粘贴物； 灯具、指示板明亮；厢内地面干净、无垃圾杂物；不锈钢表面无手印、无积尘，无污渍、光亮；电梯门槽内无垃圾杂物。</w:t>
            </w:r>
          </w:p>
        </w:tc>
      </w:tr>
      <w:tr w14:paraId="33B46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656" w:type="dxa"/>
            <w:vMerge w:val="continue"/>
            <w:tcBorders>
              <w:right w:val="single" w:color="auto" w:sz="4" w:space="0"/>
            </w:tcBorders>
            <w:noWrap w:val="0"/>
            <w:vAlign w:val="center"/>
          </w:tcPr>
          <w:p w14:paraId="7B0AC79E">
            <w:pPr>
              <w:pStyle w:val="23"/>
              <w:spacing w:line="400" w:lineRule="exact"/>
              <w:ind w:left="0"/>
              <w:jc w:val="center"/>
              <w:rPr>
                <w:rFonts w:hint="eastAsia"/>
                <w:color w:val="000000"/>
                <w:sz w:val="24"/>
                <w:szCs w:val="24"/>
                <w:lang w:val="en-US" w:bidi="ar-SA"/>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3645B402">
            <w:pPr>
              <w:pStyle w:val="23"/>
              <w:spacing w:line="400" w:lineRule="exact"/>
              <w:ind w:right="0"/>
              <w:rPr>
                <w:rFonts w:hint="eastAsia"/>
                <w:color w:val="000000"/>
                <w:sz w:val="24"/>
                <w:szCs w:val="24"/>
                <w:lang w:val="en-US" w:bidi="ar-SA"/>
              </w:rPr>
            </w:pPr>
            <w:r>
              <w:rPr>
                <w:rFonts w:hint="eastAsia"/>
                <w:color w:val="000000"/>
                <w:sz w:val="24"/>
                <w:szCs w:val="24"/>
                <w:lang w:val="en-US" w:bidi="ar-SA"/>
              </w:rPr>
              <w:t>教师休息室：桌椅、地面、窗台、窗玻璃、门楣、门套、墙面、墙角、天棚、灯具、茶具设备。</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2A14F47">
            <w:pPr>
              <w:pStyle w:val="23"/>
              <w:spacing w:line="400" w:lineRule="exact"/>
              <w:ind w:right="0"/>
              <w:rPr>
                <w:rFonts w:hint="eastAsia"/>
                <w:color w:val="000000"/>
                <w:sz w:val="24"/>
                <w:szCs w:val="24"/>
                <w:lang w:val="en-US" w:bidi="ar-SA"/>
              </w:rPr>
            </w:pPr>
            <w:r>
              <w:rPr>
                <w:rFonts w:hint="eastAsia"/>
                <w:color w:val="000000"/>
                <w:sz w:val="24"/>
                <w:szCs w:val="24"/>
                <w:lang w:val="en-US" w:bidi="ar-SA"/>
              </w:rPr>
              <w:t>桌椅、地面、窗台、门楣、门套、墙面、墙角一日2次，上、下午各1；天棚、灯具、设备每周1次；窗玻璃每两周1次；茶具设备每次消毒；</w:t>
            </w:r>
          </w:p>
        </w:tc>
        <w:tc>
          <w:tcPr>
            <w:tcW w:w="3722" w:type="dxa"/>
            <w:tcBorders>
              <w:top w:val="single" w:color="auto" w:sz="4" w:space="0"/>
              <w:left w:val="single" w:color="auto" w:sz="4" w:space="0"/>
              <w:bottom w:val="single" w:color="auto" w:sz="4" w:space="0"/>
              <w:right w:val="single" w:color="auto" w:sz="4" w:space="0"/>
            </w:tcBorders>
            <w:noWrap w:val="0"/>
            <w:vAlign w:val="center"/>
          </w:tcPr>
          <w:p w14:paraId="1F14A70B">
            <w:pPr>
              <w:pStyle w:val="23"/>
              <w:spacing w:line="400" w:lineRule="exact"/>
              <w:ind w:right="0"/>
              <w:rPr>
                <w:rFonts w:hint="eastAsia"/>
                <w:color w:val="000000"/>
                <w:sz w:val="24"/>
                <w:szCs w:val="24"/>
                <w:lang w:val="en-US" w:bidi="ar-SA"/>
              </w:rPr>
            </w:pPr>
            <w:r>
              <w:rPr>
                <w:rFonts w:hint="eastAsia"/>
                <w:color w:val="000000"/>
                <w:sz w:val="24"/>
                <w:szCs w:val="24"/>
                <w:lang w:val="en-US" w:bidi="ar-SA"/>
              </w:rPr>
              <w:t>准时开锁门；室内物品摆放有序；每天补充抽纸、咖啡、茶叶(由采购人提供)，并保证充足供应，规范管理，饮品干净卫生，地面洁静无杂物、烟头、污迹；桌椅柜摆放整齐、擦拭干静无灰尘；室内空气清新芳香；门窗无污渍、无灰尘；灯具、空调、风扇、排风口等设施表面干净；玻璃干净明亮；墙面无印迹、无蛛网；开水供应充足及时；服务热情大方。</w:t>
            </w:r>
          </w:p>
        </w:tc>
      </w:tr>
      <w:tr w14:paraId="19808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656" w:type="dxa"/>
            <w:vMerge w:val="continue"/>
            <w:tcBorders>
              <w:right w:val="single" w:color="auto" w:sz="4" w:space="0"/>
            </w:tcBorders>
            <w:noWrap w:val="0"/>
            <w:vAlign w:val="center"/>
          </w:tcPr>
          <w:p w14:paraId="2143AAB9">
            <w:pPr>
              <w:pStyle w:val="23"/>
              <w:spacing w:line="400" w:lineRule="exact"/>
              <w:ind w:left="0"/>
              <w:jc w:val="center"/>
              <w:rPr>
                <w:rFonts w:hint="eastAsia"/>
                <w:color w:val="000000"/>
                <w:sz w:val="24"/>
                <w:szCs w:val="24"/>
                <w:lang w:val="en-US" w:bidi="ar-SA"/>
              </w:rPr>
            </w:pPr>
          </w:p>
        </w:tc>
        <w:tc>
          <w:tcPr>
            <w:tcW w:w="1822" w:type="dxa"/>
            <w:tcBorders>
              <w:top w:val="single" w:color="auto" w:sz="4" w:space="0"/>
              <w:left w:val="single" w:color="auto" w:sz="4" w:space="0"/>
              <w:bottom w:val="single" w:color="auto" w:sz="4" w:space="0"/>
              <w:right w:val="single" w:color="auto" w:sz="4" w:space="0"/>
            </w:tcBorders>
            <w:noWrap w:val="0"/>
            <w:vAlign w:val="center"/>
          </w:tcPr>
          <w:p w14:paraId="6F4C64E4">
            <w:pPr>
              <w:pStyle w:val="23"/>
              <w:spacing w:line="400" w:lineRule="exact"/>
              <w:ind w:right="0"/>
              <w:jc w:val="center"/>
              <w:rPr>
                <w:rFonts w:hint="eastAsia"/>
                <w:color w:val="000000"/>
                <w:sz w:val="24"/>
                <w:szCs w:val="24"/>
                <w:lang w:val="en-US" w:bidi="ar-SA"/>
              </w:rPr>
            </w:pPr>
            <w:r>
              <w:rPr>
                <w:rFonts w:hint="eastAsia"/>
                <w:color w:val="000000"/>
                <w:sz w:val="24"/>
                <w:szCs w:val="24"/>
                <w:lang w:val="en-US" w:bidi="ar-SA"/>
              </w:rPr>
              <w:t>门卫管理</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2E56265">
            <w:pPr>
              <w:pStyle w:val="23"/>
              <w:spacing w:line="400" w:lineRule="exact"/>
              <w:ind w:right="0"/>
              <w:rPr>
                <w:rFonts w:hint="eastAsia"/>
                <w:color w:val="000000"/>
                <w:sz w:val="24"/>
                <w:szCs w:val="24"/>
                <w:lang w:val="en-US" w:bidi="ar-SA"/>
              </w:rPr>
            </w:pPr>
            <w:r>
              <w:rPr>
                <w:rFonts w:hint="eastAsia"/>
                <w:color w:val="000000"/>
                <w:sz w:val="24"/>
                <w:szCs w:val="24"/>
                <w:lang w:val="en-US" w:bidi="ar-SA"/>
              </w:rPr>
              <w:t>教学楼、实验楼、办公楼，24小时值班、巡查；按时开锁楼门；</w:t>
            </w:r>
          </w:p>
        </w:tc>
        <w:tc>
          <w:tcPr>
            <w:tcW w:w="3722" w:type="dxa"/>
            <w:tcBorders>
              <w:top w:val="single" w:color="auto" w:sz="4" w:space="0"/>
              <w:left w:val="single" w:color="auto" w:sz="4" w:space="0"/>
              <w:bottom w:val="single" w:color="auto" w:sz="4" w:space="0"/>
              <w:right w:val="single" w:color="auto" w:sz="4" w:space="0"/>
            </w:tcBorders>
            <w:noWrap w:val="0"/>
            <w:vAlign w:val="center"/>
          </w:tcPr>
          <w:p w14:paraId="1EE6D8C5">
            <w:pPr>
              <w:pStyle w:val="23"/>
              <w:spacing w:line="400" w:lineRule="exact"/>
              <w:ind w:right="0"/>
              <w:rPr>
                <w:rFonts w:hint="eastAsia"/>
                <w:color w:val="000000"/>
                <w:sz w:val="24"/>
                <w:szCs w:val="24"/>
                <w:lang w:val="en-US" w:bidi="ar-SA"/>
              </w:rPr>
            </w:pPr>
            <w:r>
              <w:rPr>
                <w:rFonts w:hint="eastAsia"/>
                <w:color w:val="000000"/>
                <w:sz w:val="24"/>
                <w:szCs w:val="24"/>
                <w:lang w:val="en-US" w:bidi="ar-SA"/>
              </w:rPr>
              <w:t>发现异常情况及时询问、处理、报告、记录；及时关闭巡查中发现的</w:t>
            </w:r>
            <w:r>
              <w:rPr>
                <w:rFonts w:hint="eastAsia"/>
                <w:color w:val="000000"/>
                <w:sz w:val="24"/>
                <w:szCs w:val="24"/>
                <w:lang w:val="en-US" w:eastAsia="zh-CN" w:bidi="ar-SA"/>
              </w:rPr>
              <w:t>投标人</w:t>
            </w:r>
            <w:r>
              <w:rPr>
                <w:rFonts w:hint="eastAsia"/>
                <w:color w:val="000000"/>
                <w:sz w:val="24"/>
                <w:szCs w:val="24"/>
                <w:lang w:val="en-US" w:bidi="ar-SA"/>
              </w:rPr>
              <w:t>服务范围内的常流水、长明灯；服务热情、原则性强。</w:t>
            </w:r>
          </w:p>
        </w:tc>
      </w:tr>
    </w:tbl>
    <w:p w14:paraId="1138DC8E">
      <w:pPr>
        <w:keepNext w:val="0"/>
        <w:keepLines w:val="0"/>
        <w:pageBreakBefore w:val="0"/>
        <w:widowControl/>
        <w:kinsoku/>
        <w:wordWrap/>
        <w:overflowPunct/>
        <w:topLinePunct w:val="0"/>
        <w:autoSpaceDE/>
        <w:autoSpaceDN/>
        <w:bidi w:val="0"/>
        <w:spacing w:beforeLines="0" w:line="500" w:lineRule="exact"/>
        <w:ind w:firstLine="566" w:firstLineChars="200"/>
        <w:rPr>
          <w:rFonts w:ascii="仿宋" w:hAnsi="仿宋" w:eastAsia="仿宋" w:cs="仿宋"/>
          <w:b/>
          <w:bCs/>
        </w:rPr>
      </w:pPr>
      <w:r>
        <w:rPr>
          <w:rFonts w:hint="eastAsia" w:ascii="仿宋" w:hAnsi="仿宋" w:eastAsia="仿宋" w:cs="仿宋"/>
          <w:b/>
          <w:bCs/>
          <w:lang w:val="en-US" w:eastAsia="zh-CN"/>
        </w:rPr>
        <w:t>五</w:t>
      </w:r>
      <w:r>
        <w:rPr>
          <w:rFonts w:hint="eastAsia" w:ascii="仿宋" w:hAnsi="仿宋" w:eastAsia="仿宋" w:cs="仿宋"/>
          <w:b/>
          <w:bCs/>
        </w:rPr>
        <w:t>、服务人员数量及组成</w:t>
      </w:r>
    </w:p>
    <w:p w14:paraId="44ADCF88">
      <w:pPr>
        <w:spacing w:beforeLines="0" w:line="500" w:lineRule="exact"/>
        <w:ind w:firstLine="566" w:firstLineChars="200"/>
        <w:rPr>
          <w:rFonts w:hint="eastAsia" w:ascii="仿宋" w:hAnsi="仿宋" w:eastAsia="仿宋" w:cs="仿宋"/>
          <w:b/>
          <w:bCs/>
          <w:highlight w:val="none"/>
          <w:lang w:eastAsia="zh-CN"/>
        </w:rPr>
      </w:pPr>
      <w:r>
        <w:rPr>
          <w:rFonts w:hint="eastAsia" w:ascii="仿宋" w:hAnsi="仿宋" w:eastAsia="仿宋" w:cs="仿宋"/>
          <w:b/>
          <w:bCs/>
          <w:highlight w:val="none"/>
        </w:rPr>
        <w:t>（一）人员</w:t>
      </w:r>
      <w:r>
        <w:rPr>
          <w:rFonts w:hint="eastAsia" w:ascii="仿宋" w:hAnsi="仿宋" w:eastAsia="仿宋" w:cs="仿宋"/>
          <w:b/>
          <w:bCs/>
          <w:highlight w:val="none"/>
          <w:lang w:eastAsia="zh-CN"/>
        </w:rPr>
        <w:t>及岗位要求</w:t>
      </w:r>
    </w:p>
    <w:p w14:paraId="03971A0A">
      <w:pPr>
        <w:keepNext w:val="0"/>
        <w:keepLines w:val="0"/>
        <w:pageBreakBefore w:val="0"/>
        <w:widowControl/>
        <w:kinsoku/>
        <w:wordWrap/>
        <w:overflowPunct/>
        <w:topLinePunct w:val="0"/>
        <w:autoSpaceDE/>
        <w:autoSpaceDN/>
        <w:bidi w:val="0"/>
        <w:spacing w:beforeLines="0" w:line="500" w:lineRule="exact"/>
        <w:ind w:firstLine="566" w:firstLineChars="200"/>
        <w:jc w:val="center"/>
        <w:rPr>
          <w:rFonts w:hint="default" w:ascii="仿宋" w:hAnsi="仿宋" w:eastAsia="仿宋" w:cs="仿宋"/>
          <w:highlight w:val="none"/>
          <w:lang w:val="en-US" w:eastAsia="zh-CN"/>
        </w:rPr>
      </w:pPr>
      <w:r>
        <w:rPr>
          <w:rFonts w:hint="eastAsia" w:ascii="仿宋" w:hAnsi="仿宋" w:eastAsia="仿宋" w:cs="仿宋"/>
          <w:highlight w:val="none"/>
          <w:lang w:eastAsia="zh-CN"/>
        </w:rPr>
        <w:t>表</w:t>
      </w:r>
      <w:r>
        <w:rPr>
          <w:rFonts w:hint="eastAsia" w:ascii="仿宋" w:hAnsi="仿宋" w:eastAsia="仿宋" w:cs="仿宋"/>
          <w:highlight w:val="none"/>
          <w:lang w:val="en-US" w:eastAsia="zh-CN"/>
        </w:rPr>
        <w:t>3：人员需求表</w:t>
      </w:r>
    </w:p>
    <w:tbl>
      <w:tblPr>
        <w:tblStyle w:val="17"/>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10"/>
        <w:gridCol w:w="3678"/>
        <w:gridCol w:w="755"/>
        <w:gridCol w:w="2757"/>
      </w:tblGrid>
      <w:tr w14:paraId="668F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1A4028F2">
            <w:pPr>
              <w:spacing w:line="40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校区</w:t>
            </w:r>
          </w:p>
        </w:tc>
        <w:tc>
          <w:tcPr>
            <w:tcW w:w="710" w:type="dxa"/>
            <w:noWrap w:val="0"/>
            <w:vAlign w:val="center"/>
          </w:tcPr>
          <w:p w14:paraId="5F85DC70">
            <w:pPr>
              <w:spacing w:line="400" w:lineRule="exac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岗位</w:t>
            </w:r>
          </w:p>
        </w:tc>
        <w:tc>
          <w:tcPr>
            <w:tcW w:w="3678" w:type="dxa"/>
            <w:noWrap w:val="0"/>
            <w:vAlign w:val="center"/>
          </w:tcPr>
          <w:p w14:paraId="07164168">
            <w:pPr>
              <w:spacing w:line="400" w:lineRule="exac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岗位说明</w:t>
            </w:r>
          </w:p>
        </w:tc>
        <w:tc>
          <w:tcPr>
            <w:tcW w:w="755" w:type="dxa"/>
            <w:noWrap w:val="0"/>
            <w:vAlign w:val="center"/>
          </w:tcPr>
          <w:p w14:paraId="7C34715C">
            <w:pPr>
              <w:spacing w:line="400" w:lineRule="exac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人数</w:t>
            </w:r>
          </w:p>
        </w:tc>
        <w:tc>
          <w:tcPr>
            <w:tcW w:w="2757" w:type="dxa"/>
            <w:noWrap w:val="0"/>
            <w:vAlign w:val="center"/>
          </w:tcPr>
          <w:p w14:paraId="6D2200B4">
            <w:pPr>
              <w:spacing w:line="400" w:lineRule="exac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职责</w:t>
            </w:r>
          </w:p>
        </w:tc>
      </w:tr>
      <w:tr w14:paraId="6B76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960" w:type="dxa"/>
            <w:noWrap w:val="0"/>
            <w:vAlign w:val="center"/>
          </w:tcPr>
          <w:p w14:paraId="4C469973">
            <w:pPr>
              <w:spacing w:line="400" w:lineRule="exact"/>
              <w:jc w:val="center"/>
              <w:rPr>
                <w:rFonts w:hint="eastAsia" w:ascii="仿宋" w:hAnsi="仿宋" w:eastAsia="仿宋" w:cs="仿宋"/>
                <w:color w:val="000000"/>
                <w:sz w:val="24"/>
                <w:szCs w:val="24"/>
              </w:rPr>
            </w:pPr>
          </w:p>
        </w:tc>
        <w:tc>
          <w:tcPr>
            <w:tcW w:w="710" w:type="dxa"/>
            <w:noWrap w:val="0"/>
            <w:vAlign w:val="center"/>
          </w:tcPr>
          <w:p w14:paraId="68480B0B">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项目经理</w:t>
            </w:r>
          </w:p>
        </w:tc>
        <w:tc>
          <w:tcPr>
            <w:tcW w:w="3678" w:type="dxa"/>
            <w:noWrap w:val="0"/>
            <w:vAlign w:val="center"/>
          </w:tcPr>
          <w:p w14:paraId="3562F001">
            <w:pPr>
              <w:widowControl/>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55周岁以下；大专</w:t>
            </w:r>
            <w:r>
              <w:rPr>
                <w:rFonts w:hint="eastAsia" w:ascii="仿宋" w:hAnsi="仿宋" w:eastAsia="仿宋" w:cs="仿宋"/>
                <w:color w:val="000000"/>
                <w:sz w:val="24"/>
                <w:szCs w:val="24"/>
                <w:lang w:val="en-US" w:eastAsia="zh-CN"/>
              </w:rPr>
              <w:t>及</w:t>
            </w:r>
            <w:r>
              <w:rPr>
                <w:rFonts w:hint="eastAsia" w:ascii="仿宋" w:hAnsi="仿宋" w:eastAsia="仿宋" w:cs="仿宋"/>
                <w:color w:val="000000"/>
                <w:sz w:val="24"/>
                <w:szCs w:val="24"/>
              </w:rPr>
              <w:t>以上学历，具有2年类似项目管理经验；身体健康；作风正派、品行端正。</w:t>
            </w:r>
          </w:p>
        </w:tc>
        <w:tc>
          <w:tcPr>
            <w:tcW w:w="755" w:type="dxa"/>
            <w:noWrap w:val="0"/>
            <w:vAlign w:val="center"/>
          </w:tcPr>
          <w:p w14:paraId="4416CEC6">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757" w:type="dxa"/>
            <w:noWrap w:val="0"/>
            <w:vAlign w:val="center"/>
          </w:tcPr>
          <w:p w14:paraId="4EDBBBDB">
            <w:pPr>
              <w:spacing w:line="40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负责项目整体工作运行，并严格履行服务合同；负责协调处理采购方提出的各项要求和意见</w:t>
            </w:r>
            <w:r>
              <w:rPr>
                <w:rFonts w:hint="eastAsia" w:ascii="仿宋" w:hAnsi="仿宋" w:eastAsia="仿宋" w:cs="仿宋"/>
                <w:color w:val="000000"/>
                <w:sz w:val="24"/>
                <w:szCs w:val="24"/>
                <w:lang w:eastAsia="zh-CN"/>
              </w:rPr>
              <w:t>。</w:t>
            </w:r>
          </w:p>
        </w:tc>
      </w:tr>
      <w:tr w14:paraId="15AC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restart"/>
            <w:noWrap w:val="0"/>
            <w:vAlign w:val="center"/>
          </w:tcPr>
          <w:p w14:paraId="30FBFCD4">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南校区</w:t>
            </w:r>
          </w:p>
        </w:tc>
        <w:tc>
          <w:tcPr>
            <w:tcW w:w="710" w:type="dxa"/>
            <w:noWrap w:val="0"/>
            <w:vAlign w:val="center"/>
          </w:tcPr>
          <w:p w14:paraId="4C8E6DBA">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保洁组长</w:t>
            </w:r>
          </w:p>
        </w:tc>
        <w:tc>
          <w:tcPr>
            <w:tcW w:w="3678" w:type="dxa"/>
            <w:noWrap w:val="0"/>
            <w:vAlign w:val="center"/>
          </w:tcPr>
          <w:p w14:paraId="0145363A">
            <w:pPr>
              <w:widowControl/>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有3年及以上工作经验，身体健康，男性不超过60岁、女性不超过55岁；经过专业或岗前培训，身体健康、品行端正。</w:t>
            </w:r>
          </w:p>
        </w:tc>
        <w:tc>
          <w:tcPr>
            <w:tcW w:w="755" w:type="dxa"/>
            <w:noWrap w:val="0"/>
            <w:vAlign w:val="center"/>
          </w:tcPr>
          <w:p w14:paraId="5FCD0701">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757" w:type="dxa"/>
            <w:noWrap w:val="0"/>
            <w:vAlign w:val="center"/>
          </w:tcPr>
          <w:p w14:paraId="3B87914B">
            <w:pPr>
              <w:spacing w:line="40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负责区域内保洁工作计划、培训、训练、排班等工作的落实</w:t>
            </w:r>
            <w:r>
              <w:rPr>
                <w:rFonts w:hint="eastAsia" w:ascii="仿宋" w:hAnsi="仿宋" w:eastAsia="仿宋" w:cs="仿宋"/>
                <w:color w:val="000000"/>
                <w:sz w:val="24"/>
                <w:szCs w:val="24"/>
                <w:lang w:eastAsia="zh-CN"/>
              </w:rPr>
              <w:t>。</w:t>
            </w:r>
          </w:p>
        </w:tc>
      </w:tr>
      <w:tr w14:paraId="5AF4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noWrap w:val="0"/>
            <w:vAlign w:val="center"/>
          </w:tcPr>
          <w:p w14:paraId="3EED739C">
            <w:pPr>
              <w:spacing w:line="400" w:lineRule="exact"/>
              <w:jc w:val="center"/>
              <w:rPr>
                <w:rFonts w:hint="eastAsia" w:ascii="仿宋" w:hAnsi="仿宋" w:eastAsia="仿宋" w:cs="仿宋"/>
                <w:color w:val="000000"/>
                <w:sz w:val="24"/>
                <w:szCs w:val="24"/>
              </w:rPr>
            </w:pPr>
          </w:p>
        </w:tc>
        <w:tc>
          <w:tcPr>
            <w:tcW w:w="710" w:type="dxa"/>
            <w:noWrap w:val="0"/>
            <w:vAlign w:val="center"/>
          </w:tcPr>
          <w:p w14:paraId="42B59FE1">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保洁人员</w:t>
            </w:r>
          </w:p>
        </w:tc>
        <w:tc>
          <w:tcPr>
            <w:tcW w:w="3678" w:type="dxa"/>
            <w:noWrap w:val="0"/>
            <w:vAlign w:val="center"/>
          </w:tcPr>
          <w:p w14:paraId="7C480F93">
            <w:pPr>
              <w:widowControl/>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男性不超过60岁、女性不超过55岁；经过专业或岗前培训，身体健康、品行端正。</w:t>
            </w:r>
          </w:p>
        </w:tc>
        <w:tc>
          <w:tcPr>
            <w:tcW w:w="755" w:type="dxa"/>
            <w:noWrap w:val="0"/>
            <w:vAlign w:val="center"/>
          </w:tcPr>
          <w:p w14:paraId="33855B4D">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w:t>
            </w:r>
          </w:p>
        </w:tc>
        <w:tc>
          <w:tcPr>
            <w:tcW w:w="2757" w:type="dxa"/>
            <w:noWrap w:val="0"/>
            <w:vAlign w:val="center"/>
          </w:tcPr>
          <w:p w14:paraId="50E9AA39">
            <w:pPr>
              <w:spacing w:line="40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负责室内物业保洁工作</w:t>
            </w:r>
            <w:r>
              <w:rPr>
                <w:rFonts w:hint="eastAsia" w:ascii="仿宋" w:hAnsi="仿宋" w:eastAsia="仿宋" w:cs="仿宋"/>
                <w:color w:val="000000"/>
                <w:sz w:val="24"/>
                <w:szCs w:val="24"/>
                <w:lang w:eastAsia="zh-CN"/>
              </w:rPr>
              <w:t>。</w:t>
            </w:r>
          </w:p>
        </w:tc>
      </w:tr>
      <w:tr w14:paraId="1920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continue"/>
            <w:noWrap w:val="0"/>
            <w:vAlign w:val="center"/>
          </w:tcPr>
          <w:p w14:paraId="4DCDA2EA">
            <w:pPr>
              <w:spacing w:line="400" w:lineRule="exact"/>
              <w:jc w:val="center"/>
              <w:rPr>
                <w:rFonts w:hint="eastAsia" w:ascii="仿宋" w:hAnsi="仿宋" w:eastAsia="仿宋" w:cs="仿宋"/>
                <w:color w:val="000000"/>
                <w:sz w:val="24"/>
                <w:szCs w:val="24"/>
              </w:rPr>
            </w:pPr>
          </w:p>
        </w:tc>
        <w:tc>
          <w:tcPr>
            <w:tcW w:w="710" w:type="dxa"/>
            <w:noWrap w:val="0"/>
            <w:vAlign w:val="center"/>
          </w:tcPr>
          <w:p w14:paraId="0C73FB6E">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门卫</w:t>
            </w:r>
          </w:p>
        </w:tc>
        <w:tc>
          <w:tcPr>
            <w:tcW w:w="3678" w:type="dxa"/>
            <w:noWrap w:val="0"/>
            <w:vAlign w:val="center"/>
          </w:tcPr>
          <w:p w14:paraId="3C0A0391">
            <w:pPr>
              <w:widowControl/>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男性不超过60岁、女性不超过55岁；经过专业或岗前培训，身体健康、品行端正。</w:t>
            </w:r>
          </w:p>
        </w:tc>
        <w:tc>
          <w:tcPr>
            <w:tcW w:w="755" w:type="dxa"/>
            <w:noWrap w:val="0"/>
            <w:vAlign w:val="center"/>
          </w:tcPr>
          <w:p w14:paraId="24453066">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757" w:type="dxa"/>
            <w:noWrap w:val="0"/>
            <w:vAlign w:val="center"/>
          </w:tcPr>
          <w:p w14:paraId="5C5F06DC">
            <w:pPr>
              <w:spacing w:line="40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负责楼宇巡检和开关门</w:t>
            </w:r>
            <w:r>
              <w:rPr>
                <w:rFonts w:hint="eastAsia" w:ascii="仿宋" w:hAnsi="仿宋" w:eastAsia="仿宋" w:cs="仿宋"/>
                <w:color w:val="000000"/>
                <w:sz w:val="24"/>
                <w:szCs w:val="24"/>
                <w:lang w:eastAsia="zh-CN"/>
              </w:rPr>
              <w:t>。</w:t>
            </w:r>
          </w:p>
        </w:tc>
      </w:tr>
      <w:tr w14:paraId="336B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60" w:type="dxa"/>
            <w:vMerge w:val="restart"/>
            <w:noWrap w:val="0"/>
            <w:vAlign w:val="center"/>
          </w:tcPr>
          <w:p w14:paraId="6CAA4B54">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西校区</w:t>
            </w:r>
          </w:p>
        </w:tc>
        <w:tc>
          <w:tcPr>
            <w:tcW w:w="710" w:type="dxa"/>
            <w:noWrap w:val="0"/>
            <w:vAlign w:val="center"/>
          </w:tcPr>
          <w:p w14:paraId="6B4F4E1D">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保洁组长</w:t>
            </w:r>
          </w:p>
        </w:tc>
        <w:tc>
          <w:tcPr>
            <w:tcW w:w="3678" w:type="dxa"/>
            <w:noWrap w:val="0"/>
            <w:vAlign w:val="center"/>
          </w:tcPr>
          <w:p w14:paraId="5FFDB0F3">
            <w:pPr>
              <w:widowControl/>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有3年及以上工作经验，身体健康，年龄在55岁以下。</w:t>
            </w:r>
          </w:p>
        </w:tc>
        <w:tc>
          <w:tcPr>
            <w:tcW w:w="755" w:type="dxa"/>
            <w:noWrap w:val="0"/>
            <w:vAlign w:val="center"/>
          </w:tcPr>
          <w:p w14:paraId="038CE465">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757" w:type="dxa"/>
            <w:noWrap w:val="0"/>
            <w:vAlign w:val="center"/>
          </w:tcPr>
          <w:p w14:paraId="14E67B68">
            <w:pPr>
              <w:spacing w:line="40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负责区域内保洁工作计划、培训、训练、排班等工作的落实</w:t>
            </w:r>
            <w:r>
              <w:rPr>
                <w:rFonts w:hint="eastAsia" w:ascii="仿宋" w:hAnsi="仿宋" w:eastAsia="仿宋" w:cs="仿宋"/>
                <w:color w:val="000000"/>
                <w:sz w:val="24"/>
                <w:szCs w:val="24"/>
                <w:lang w:eastAsia="zh-CN"/>
              </w:rPr>
              <w:t>。</w:t>
            </w:r>
          </w:p>
        </w:tc>
      </w:tr>
      <w:tr w14:paraId="1E36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noWrap w:val="0"/>
            <w:vAlign w:val="center"/>
          </w:tcPr>
          <w:p w14:paraId="2B6D6B25">
            <w:pPr>
              <w:spacing w:line="400" w:lineRule="exact"/>
              <w:jc w:val="center"/>
              <w:rPr>
                <w:rFonts w:hint="eastAsia" w:ascii="仿宋" w:hAnsi="仿宋" w:eastAsia="仿宋" w:cs="仿宋"/>
                <w:color w:val="000000"/>
                <w:sz w:val="24"/>
                <w:szCs w:val="24"/>
              </w:rPr>
            </w:pPr>
          </w:p>
        </w:tc>
        <w:tc>
          <w:tcPr>
            <w:tcW w:w="710" w:type="dxa"/>
            <w:noWrap w:val="0"/>
            <w:vAlign w:val="center"/>
          </w:tcPr>
          <w:p w14:paraId="653C675E">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保洁人员</w:t>
            </w:r>
          </w:p>
        </w:tc>
        <w:tc>
          <w:tcPr>
            <w:tcW w:w="3678" w:type="dxa"/>
            <w:noWrap w:val="0"/>
            <w:vAlign w:val="center"/>
          </w:tcPr>
          <w:p w14:paraId="635232ED">
            <w:pPr>
              <w:widowControl/>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身体健康，年龄在60岁以下。</w:t>
            </w:r>
          </w:p>
        </w:tc>
        <w:tc>
          <w:tcPr>
            <w:tcW w:w="755" w:type="dxa"/>
            <w:noWrap w:val="0"/>
            <w:vAlign w:val="center"/>
          </w:tcPr>
          <w:p w14:paraId="69772093">
            <w:pPr>
              <w:spacing w:line="4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9</w:t>
            </w:r>
          </w:p>
        </w:tc>
        <w:tc>
          <w:tcPr>
            <w:tcW w:w="2757" w:type="dxa"/>
            <w:noWrap w:val="0"/>
            <w:vAlign w:val="center"/>
          </w:tcPr>
          <w:p w14:paraId="7B331AB6">
            <w:pPr>
              <w:spacing w:line="40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负责室内物业保洁工作</w:t>
            </w:r>
            <w:r>
              <w:rPr>
                <w:rFonts w:hint="eastAsia" w:ascii="仿宋" w:hAnsi="仿宋" w:eastAsia="仿宋" w:cs="仿宋"/>
                <w:color w:val="000000"/>
                <w:sz w:val="24"/>
                <w:szCs w:val="24"/>
                <w:lang w:eastAsia="zh-CN"/>
              </w:rPr>
              <w:t>。</w:t>
            </w:r>
          </w:p>
        </w:tc>
      </w:tr>
      <w:tr w14:paraId="066E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noWrap w:val="0"/>
            <w:vAlign w:val="center"/>
          </w:tcPr>
          <w:p w14:paraId="0A9B2B1C">
            <w:pPr>
              <w:spacing w:line="400" w:lineRule="exact"/>
              <w:jc w:val="center"/>
              <w:rPr>
                <w:rFonts w:hint="eastAsia" w:ascii="仿宋" w:hAnsi="仿宋" w:eastAsia="仿宋" w:cs="仿宋"/>
                <w:color w:val="000000"/>
                <w:sz w:val="24"/>
                <w:szCs w:val="24"/>
              </w:rPr>
            </w:pPr>
          </w:p>
        </w:tc>
        <w:tc>
          <w:tcPr>
            <w:tcW w:w="710" w:type="dxa"/>
            <w:noWrap w:val="0"/>
            <w:vAlign w:val="center"/>
          </w:tcPr>
          <w:p w14:paraId="46FEF54B">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门卫</w:t>
            </w:r>
          </w:p>
        </w:tc>
        <w:tc>
          <w:tcPr>
            <w:tcW w:w="3678" w:type="dxa"/>
            <w:noWrap w:val="0"/>
            <w:vAlign w:val="center"/>
          </w:tcPr>
          <w:p w14:paraId="0F822510">
            <w:pPr>
              <w:widowControl/>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身体健康，年龄在60岁以下。</w:t>
            </w:r>
          </w:p>
        </w:tc>
        <w:tc>
          <w:tcPr>
            <w:tcW w:w="755" w:type="dxa"/>
            <w:noWrap w:val="0"/>
            <w:vAlign w:val="center"/>
          </w:tcPr>
          <w:p w14:paraId="1DF9AABD">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757" w:type="dxa"/>
            <w:noWrap w:val="0"/>
            <w:vAlign w:val="center"/>
          </w:tcPr>
          <w:p w14:paraId="3C8598F6">
            <w:pPr>
              <w:spacing w:line="40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负责楼宇巡检和开关门</w:t>
            </w:r>
            <w:r>
              <w:rPr>
                <w:rFonts w:hint="eastAsia" w:ascii="仿宋" w:hAnsi="仿宋" w:eastAsia="仿宋" w:cs="仿宋"/>
                <w:color w:val="000000"/>
                <w:sz w:val="24"/>
                <w:szCs w:val="24"/>
                <w:lang w:eastAsia="zh-CN"/>
              </w:rPr>
              <w:t>。</w:t>
            </w:r>
          </w:p>
        </w:tc>
      </w:tr>
      <w:tr w14:paraId="7B91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60" w:type="dxa"/>
            <w:vMerge w:val="restart"/>
            <w:noWrap w:val="0"/>
            <w:vAlign w:val="center"/>
          </w:tcPr>
          <w:p w14:paraId="35D651E3">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北校区</w:t>
            </w:r>
          </w:p>
        </w:tc>
        <w:tc>
          <w:tcPr>
            <w:tcW w:w="710" w:type="dxa"/>
            <w:noWrap w:val="0"/>
            <w:vAlign w:val="center"/>
          </w:tcPr>
          <w:p w14:paraId="4528A41B">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保洁组长</w:t>
            </w:r>
          </w:p>
        </w:tc>
        <w:tc>
          <w:tcPr>
            <w:tcW w:w="3678" w:type="dxa"/>
            <w:noWrap w:val="0"/>
            <w:vAlign w:val="center"/>
          </w:tcPr>
          <w:p w14:paraId="2A72FDB3">
            <w:pPr>
              <w:widowControl/>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有3年及以上工作经验，身体健康，年龄在55岁以下。</w:t>
            </w:r>
          </w:p>
        </w:tc>
        <w:tc>
          <w:tcPr>
            <w:tcW w:w="755" w:type="dxa"/>
            <w:noWrap w:val="0"/>
            <w:vAlign w:val="center"/>
          </w:tcPr>
          <w:p w14:paraId="53673CBD">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757" w:type="dxa"/>
            <w:noWrap w:val="0"/>
            <w:vAlign w:val="center"/>
          </w:tcPr>
          <w:p w14:paraId="500106C6">
            <w:pPr>
              <w:spacing w:line="40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负责区域内保洁工作计划、培训、训练、排班等工作的落实</w:t>
            </w:r>
            <w:r>
              <w:rPr>
                <w:rFonts w:hint="eastAsia" w:ascii="仿宋" w:hAnsi="仿宋" w:eastAsia="仿宋" w:cs="仿宋"/>
                <w:color w:val="000000"/>
                <w:sz w:val="24"/>
                <w:szCs w:val="24"/>
                <w:lang w:eastAsia="zh-CN"/>
              </w:rPr>
              <w:t>。</w:t>
            </w:r>
          </w:p>
        </w:tc>
      </w:tr>
      <w:tr w14:paraId="4AB0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noWrap w:val="0"/>
            <w:vAlign w:val="center"/>
          </w:tcPr>
          <w:p w14:paraId="01F9E7DC">
            <w:pPr>
              <w:spacing w:line="400" w:lineRule="exact"/>
              <w:jc w:val="center"/>
              <w:rPr>
                <w:rFonts w:hint="eastAsia" w:ascii="仿宋" w:hAnsi="仿宋" w:eastAsia="仿宋" w:cs="仿宋"/>
                <w:color w:val="000000"/>
                <w:sz w:val="24"/>
                <w:szCs w:val="24"/>
              </w:rPr>
            </w:pPr>
          </w:p>
        </w:tc>
        <w:tc>
          <w:tcPr>
            <w:tcW w:w="710" w:type="dxa"/>
            <w:noWrap w:val="0"/>
            <w:vAlign w:val="center"/>
          </w:tcPr>
          <w:p w14:paraId="5B5B8627">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保洁人员</w:t>
            </w:r>
          </w:p>
        </w:tc>
        <w:tc>
          <w:tcPr>
            <w:tcW w:w="3678" w:type="dxa"/>
            <w:noWrap w:val="0"/>
            <w:vAlign w:val="center"/>
          </w:tcPr>
          <w:p w14:paraId="5FA83D88">
            <w:pPr>
              <w:widowControl/>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身体健康，年龄在60岁以下。</w:t>
            </w:r>
          </w:p>
        </w:tc>
        <w:tc>
          <w:tcPr>
            <w:tcW w:w="755" w:type="dxa"/>
            <w:noWrap w:val="0"/>
            <w:vAlign w:val="center"/>
          </w:tcPr>
          <w:p w14:paraId="578DC4ED">
            <w:pPr>
              <w:spacing w:line="4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9</w:t>
            </w:r>
          </w:p>
        </w:tc>
        <w:tc>
          <w:tcPr>
            <w:tcW w:w="2757" w:type="dxa"/>
            <w:noWrap w:val="0"/>
            <w:vAlign w:val="center"/>
          </w:tcPr>
          <w:p w14:paraId="5C729C20">
            <w:pPr>
              <w:spacing w:line="40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负责室内物业保洁工作</w:t>
            </w:r>
            <w:r>
              <w:rPr>
                <w:rFonts w:hint="eastAsia" w:ascii="仿宋" w:hAnsi="仿宋" w:eastAsia="仿宋" w:cs="仿宋"/>
                <w:color w:val="000000"/>
                <w:sz w:val="24"/>
                <w:szCs w:val="24"/>
                <w:lang w:eastAsia="zh-CN"/>
              </w:rPr>
              <w:t>。</w:t>
            </w:r>
          </w:p>
        </w:tc>
      </w:tr>
      <w:tr w14:paraId="3809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noWrap w:val="0"/>
            <w:vAlign w:val="center"/>
          </w:tcPr>
          <w:p w14:paraId="4B1013D0">
            <w:pPr>
              <w:spacing w:line="400" w:lineRule="exact"/>
              <w:jc w:val="center"/>
              <w:rPr>
                <w:rFonts w:hint="eastAsia" w:ascii="仿宋" w:hAnsi="仿宋" w:eastAsia="仿宋" w:cs="仿宋"/>
                <w:color w:val="000000"/>
                <w:sz w:val="24"/>
                <w:szCs w:val="24"/>
              </w:rPr>
            </w:pPr>
          </w:p>
        </w:tc>
        <w:tc>
          <w:tcPr>
            <w:tcW w:w="710" w:type="dxa"/>
            <w:noWrap w:val="0"/>
            <w:vAlign w:val="center"/>
          </w:tcPr>
          <w:p w14:paraId="22EBBCC3">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门卫</w:t>
            </w:r>
          </w:p>
        </w:tc>
        <w:tc>
          <w:tcPr>
            <w:tcW w:w="3678" w:type="dxa"/>
            <w:noWrap w:val="0"/>
            <w:vAlign w:val="center"/>
          </w:tcPr>
          <w:p w14:paraId="3157A380">
            <w:pPr>
              <w:widowControl/>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身体健康，年龄在60岁以下。</w:t>
            </w:r>
          </w:p>
        </w:tc>
        <w:tc>
          <w:tcPr>
            <w:tcW w:w="755" w:type="dxa"/>
            <w:noWrap w:val="0"/>
            <w:vAlign w:val="center"/>
          </w:tcPr>
          <w:p w14:paraId="1CF166AE">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757" w:type="dxa"/>
            <w:noWrap w:val="0"/>
            <w:vAlign w:val="center"/>
          </w:tcPr>
          <w:p w14:paraId="79B7F7F2">
            <w:pPr>
              <w:spacing w:line="40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负责楼宇巡检和开关门</w:t>
            </w:r>
          </w:p>
        </w:tc>
      </w:tr>
      <w:tr w14:paraId="3DA7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restart"/>
            <w:noWrap w:val="0"/>
            <w:vAlign w:val="center"/>
          </w:tcPr>
          <w:p w14:paraId="135C6ED0">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滨河</w:t>
            </w:r>
          </w:p>
          <w:p w14:paraId="3EECEA7F">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校区</w:t>
            </w:r>
          </w:p>
        </w:tc>
        <w:tc>
          <w:tcPr>
            <w:tcW w:w="710" w:type="dxa"/>
            <w:noWrap w:val="0"/>
            <w:vAlign w:val="center"/>
          </w:tcPr>
          <w:p w14:paraId="1C0EBF8F">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保洁组长</w:t>
            </w:r>
          </w:p>
        </w:tc>
        <w:tc>
          <w:tcPr>
            <w:tcW w:w="3678" w:type="dxa"/>
            <w:noWrap w:val="0"/>
            <w:vAlign w:val="center"/>
          </w:tcPr>
          <w:p w14:paraId="2D991961">
            <w:pPr>
              <w:spacing w:line="40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有3年及以上工作经验，身体健康，年龄在55岁以下。</w:t>
            </w:r>
          </w:p>
        </w:tc>
        <w:tc>
          <w:tcPr>
            <w:tcW w:w="755" w:type="dxa"/>
            <w:noWrap w:val="0"/>
            <w:vAlign w:val="center"/>
          </w:tcPr>
          <w:p w14:paraId="5506DED6">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757" w:type="dxa"/>
            <w:noWrap w:val="0"/>
            <w:vAlign w:val="center"/>
          </w:tcPr>
          <w:p w14:paraId="2E41635A">
            <w:pPr>
              <w:spacing w:line="40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负责区域内保洁工作计划、培训、训练、排班等工作的落实</w:t>
            </w:r>
            <w:r>
              <w:rPr>
                <w:rFonts w:hint="eastAsia" w:ascii="仿宋" w:hAnsi="仿宋" w:eastAsia="仿宋" w:cs="仿宋"/>
                <w:color w:val="000000"/>
                <w:sz w:val="24"/>
                <w:szCs w:val="24"/>
                <w:lang w:eastAsia="zh-CN"/>
              </w:rPr>
              <w:t>。</w:t>
            </w:r>
          </w:p>
        </w:tc>
      </w:tr>
      <w:tr w14:paraId="64B4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noWrap w:val="0"/>
            <w:vAlign w:val="center"/>
          </w:tcPr>
          <w:p w14:paraId="63D2F8F8">
            <w:pPr>
              <w:spacing w:line="400" w:lineRule="exact"/>
              <w:jc w:val="center"/>
              <w:rPr>
                <w:rFonts w:hint="eastAsia" w:ascii="仿宋" w:hAnsi="仿宋" w:eastAsia="仿宋" w:cs="仿宋"/>
                <w:color w:val="000000"/>
                <w:sz w:val="24"/>
                <w:szCs w:val="24"/>
              </w:rPr>
            </w:pPr>
          </w:p>
        </w:tc>
        <w:tc>
          <w:tcPr>
            <w:tcW w:w="710" w:type="dxa"/>
            <w:noWrap w:val="0"/>
            <w:vAlign w:val="center"/>
          </w:tcPr>
          <w:p w14:paraId="7CC9923E">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保洁人员</w:t>
            </w:r>
          </w:p>
        </w:tc>
        <w:tc>
          <w:tcPr>
            <w:tcW w:w="3678" w:type="dxa"/>
            <w:noWrap w:val="0"/>
            <w:vAlign w:val="center"/>
          </w:tcPr>
          <w:p w14:paraId="3A0226DC">
            <w:pPr>
              <w:spacing w:line="40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身体健康，年龄在60岁以下。</w:t>
            </w:r>
          </w:p>
        </w:tc>
        <w:tc>
          <w:tcPr>
            <w:tcW w:w="755" w:type="dxa"/>
            <w:noWrap w:val="0"/>
            <w:vAlign w:val="center"/>
          </w:tcPr>
          <w:p w14:paraId="5DE404B2">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2757" w:type="dxa"/>
            <w:noWrap w:val="0"/>
            <w:vAlign w:val="center"/>
          </w:tcPr>
          <w:p w14:paraId="69B4DDB2">
            <w:pPr>
              <w:spacing w:line="40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负责室内物业保洁工作</w:t>
            </w:r>
            <w:r>
              <w:rPr>
                <w:rFonts w:hint="eastAsia" w:ascii="仿宋" w:hAnsi="仿宋" w:eastAsia="仿宋" w:cs="仿宋"/>
                <w:color w:val="000000"/>
                <w:sz w:val="24"/>
                <w:szCs w:val="24"/>
                <w:lang w:eastAsia="zh-CN"/>
              </w:rPr>
              <w:t>。</w:t>
            </w:r>
          </w:p>
        </w:tc>
      </w:tr>
      <w:tr w14:paraId="3E9B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noWrap w:val="0"/>
            <w:vAlign w:val="center"/>
          </w:tcPr>
          <w:p w14:paraId="3350E730">
            <w:pPr>
              <w:spacing w:line="400" w:lineRule="exact"/>
              <w:jc w:val="center"/>
              <w:rPr>
                <w:rFonts w:hint="eastAsia" w:ascii="仿宋" w:hAnsi="仿宋" w:eastAsia="仿宋" w:cs="仿宋"/>
                <w:color w:val="000000"/>
                <w:sz w:val="24"/>
                <w:szCs w:val="24"/>
              </w:rPr>
            </w:pPr>
          </w:p>
        </w:tc>
        <w:tc>
          <w:tcPr>
            <w:tcW w:w="710" w:type="dxa"/>
            <w:noWrap w:val="0"/>
            <w:vAlign w:val="center"/>
          </w:tcPr>
          <w:p w14:paraId="7EBC14E4">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门卫</w:t>
            </w:r>
          </w:p>
        </w:tc>
        <w:tc>
          <w:tcPr>
            <w:tcW w:w="3678" w:type="dxa"/>
            <w:noWrap w:val="0"/>
            <w:vAlign w:val="center"/>
          </w:tcPr>
          <w:p w14:paraId="3BA31F00">
            <w:pPr>
              <w:spacing w:line="40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身体健康，年龄在60岁以下。</w:t>
            </w:r>
          </w:p>
        </w:tc>
        <w:tc>
          <w:tcPr>
            <w:tcW w:w="755" w:type="dxa"/>
            <w:noWrap w:val="0"/>
            <w:vAlign w:val="center"/>
          </w:tcPr>
          <w:p w14:paraId="6DB48024">
            <w:pPr>
              <w:spacing w:line="4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c>
          <w:tcPr>
            <w:tcW w:w="2757" w:type="dxa"/>
            <w:noWrap w:val="0"/>
            <w:vAlign w:val="center"/>
          </w:tcPr>
          <w:p w14:paraId="2BFA5DA8">
            <w:pPr>
              <w:spacing w:line="40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负责楼宇巡检和开关门</w:t>
            </w:r>
            <w:r>
              <w:rPr>
                <w:rFonts w:hint="eastAsia" w:ascii="仿宋" w:hAnsi="仿宋" w:eastAsia="仿宋" w:cs="仿宋"/>
                <w:color w:val="000000"/>
                <w:sz w:val="24"/>
                <w:szCs w:val="24"/>
                <w:lang w:eastAsia="zh-CN"/>
              </w:rPr>
              <w:t>。</w:t>
            </w:r>
          </w:p>
        </w:tc>
      </w:tr>
      <w:tr w14:paraId="7BCD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670" w:type="dxa"/>
            <w:gridSpan w:val="2"/>
            <w:noWrap w:val="0"/>
            <w:vAlign w:val="center"/>
          </w:tcPr>
          <w:p w14:paraId="4BEB06FF">
            <w:pPr>
              <w:spacing w:line="40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7190" w:type="dxa"/>
            <w:gridSpan w:val="3"/>
            <w:noWrap w:val="0"/>
            <w:vAlign w:val="center"/>
          </w:tcPr>
          <w:p w14:paraId="311FE3EE">
            <w:pPr>
              <w:spacing w:line="400" w:lineRule="exact"/>
              <w:jc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65</w:t>
            </w:r>
            <w:r>
              <w:rPr>
                <w:rFonts w:hint="eastAsia" w:ascii="仿宋" w:hAnsi="仿宋" w:eastAsia="仿宋" w:cs="仿宋"/>
                <w:b/>
                <w:bCs/>
                <w:color w:val="000000"/>
                <w:sz w:val="24"/>
                <w:szCs w:val="24"/>
              </w:rPr>
              <w:t>人</w:t>
            </w:r>
          </w:p>
        </w:tc>
      </w:tr>
    </w:tbl>
    <w:p w14:paraId="5541053E">
      <w:pPr>
        <w:pStyle w:val="5"/>
        <w:spacing w:afterLines="0" w:line="500" w:lineRule="exact"/>
        <w:ind w:firstLine="566" w:firstLineChars="200"/>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rPr>
        <w:t>（二）</w:t>
      </w:r>
      <w:r>
        <w:rPr>
          <w:rFonts w:hint="eastAsia" w:ascii="仿宋" w:hAnsi="仿宋" w:eastAsia="仿宋" w:cs="仿宋"/>
          <w:b/>
          <w:bCs/>
          <w:color w:val="000000"/>
          <w:kern w:val="2"/>
          <w:sz w:val="28"/>
          <w:szCs w:val="28"/>
        </w:rPr>
        <w:t>▲</w:t>
      </w:r>
      <w:r>
        <w:rPr>
          <w:rFonts w:hint="eastAsia" w:ascii="仿宋" w:hAnsi="仿宋" w:eastAsia="仿宋" w:cs="仿宋"/>
          <w:color w:val="000000"/>
          <w:kern w:val="2"/>
          <w:sz w:val="28"/>
          <w:szCs w:val="28"/>
          <w:lang w:val="en-US" w:eastAsia="zh-CN"/>
        </w:rPr>
        <w:t>项目经理：</w:t>
      </w:r>
      <w:r>
        <w:rPr>
          <w:rFonts w:hint="eastAsia" w:ascii="仿宋" w:hAnsi="仿宋" w:eastAsia="仿宋" w:cs="仿宋"/>
          <w:color w:val="000000"/>
          <w:kern w:val="2"/>
          <w:sz w:val="28"/>
          <w:szCs w:val="28"/>
        </w:rPr>
        <w:t>项目经理具有大专及以上学历</w:t>
      </w:r>
      <w:r>
        <w:rPr>
          <w:rFonts w:hint="eastAsia" w:ascii="仿宋" w:hAnsi="仿宋" w:eastAsia="仿宋" w:cs="仿宋"/>
          <w:color w:val="000000"/>
          <w:kern w:val="2"/>
          <w:sz w:val="28"/>
          <w:szCs w:val="28"/>
          <w:lang w:eastAsia="zh-CN"/>
        </w:rPr>
        <w:t>，</w:t>
      </w:r>
      <w:r>
        <w:rPr>
          <w:rFonts w:hint="eastAsia" w:ascii="仿宋" w:hAnsi="仿宋" w:eastAsia="仿宋" w:cs="仿宋"/>
          <w:color w:val="000000"/>
          <w:sz w:val="28"/>
          <w:szCs w:val="28"/>
        </w:rPr>
        <w:t>具有2年类似项目管理经验</w:t>
      </w:r>
      <w:r>
        <w:rPr>
          <w:rFonts w:hint="eastAsia" w:ascii="仿宋" w:hAnsi="仿宋" w:eastAsia="仿宋" w:cs="仿宋"/>
          <w:color w:val="000000"/>
          <w:sz w:val="28"/>
          <w:szCs w:val="28"/>
          <w:lang w:eastAsia="zh-CN"/>
        </w:rPr>
        <w:t>。</w:t>
      </w:r>
    </w:p>
    <w:p w14:paraId="42F620CF">
      <w:pPr>
        <w:pStyle w:val="5"/>
        <w:spacing w:afterLines="0" w:line="500" w:lineRule="exact"/>
        <w:ind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rPr>
        <w:t>投标人聘用员工，应全部通过岗前培训、考核后，持证上岗（培训证明、</w:t>
      </w:r>
      <w:r>
        <w:rPr>
          <w:rFonts w:hint="eastAsia" w:ascii="仿宋" w:hAnsi="仿宋" w:eastAsia="仿宋" w:cs="仿宋"/>
          <w:color w:val="000000"/>
          <w:kern w:val="2"/>
          <w:sz w:val="28"/>
          <w:szCs w:val="28"/>
          <w:highlight w:val="none"/>
          <w:lang w:eastAsia="zh-CN"/>
        </w:rPr>
        <w:t>健康证明</w:t>
      </w:r>
      <w:r>
        <w:rPr>
          <w:rFonts w:hint="eastAsia" w:ascii="仿宋" w:hAnsi="仿宋" w:eastAsia="仿宋" w:cs="仿宋"/>
          <w:color w:val="000000"/>
          <w:kern w:val="2"/>
          <w:sz w:val="28"/>
          <w:szCs w:val="28"/>
          <w:highlight w:val="none"/>
        </w:rPr>
        <w:t>）</w:t>
      </w:r>
      <w:r>
        <w:rPr>
          <w:rFonts w:hint="eastAsia" w:ascii="仿宋" w:hAnsi="仿宋" w:eastAsia="仿宋" w:cs="仿宋"/>
          <w:color w:val="000000"/>
          <w:kern w:val="2"/>
          <w:sz w:val="28"/>
          <w:szCs w:val="28"/>
          <w:highlight w:val="none"/>
          <w:lang w:eastAsia="zh-CN"/>
        </w:rPr>
        <w:t>。</w:t>
      </w:r>
    </w:p>
    <w:p w14:paraId="37A8AA30">
      <w:pPr>
        <w:pStyle w:val="5"/>
        <w:spacing w:afterLines="0" w:line="500" w:lineRule="exact"/>
        <w:ind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（三）投标人对员工的仪容仪表、礼仪礼貌、操作规程每月培训一次</w:t>
      </w:r>
      <w:r>
        <w:rPr>
          <w:rFonts w:hint="eastAsia" w:ascii="仿宋" w:hAnsi="仿宋" w:eastAsia="仿宋" w:cs="仿宋"/>
          <w:color w:val="000000"/>
          <w:kern w:val="2"/>
          <w:sz w:val="28"/>
          <w:szCs w:val="28"/>
          <w:highlight w:val="none"/>
          <w:lang w:eastAsia="zh-CN"/>
        </w:rPr>
        <w:t>。</w:t>
      </w:r>
    </w:p>
    <w:p w14:paraId="048E70F9">
      <w:pPr>
        <w:pStyle w:val="5"/>
        <w:spacing w:afterLines="0" w:line="500" w:lineRule="exact"/>
        <w:ind w:firstLine="566"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四）投标人聘用员工应具备良好精神面貌和专业技能，不得雇佣：社会闲散人员、不良嗜好者、有犯罪历史者、患有心理或精神疾病患者、敌视社会性格怪癖者，不得派遣与以前企业、采购人（含服务企业和成员单位）发生过法律诉讼、劳动仲裁、劳动关系争议行为，或因其他原因不适宜在高校育人环境工作的人员。已经雇佣或派遣至学校的，</w:t>
      </w:r>
      <w:r>
        <w:rPr>
          <w:rFonts w:hint="eastAsia" w:ascii="仿宋" w:hAnsi="仿宋" w:eastAsia="仿宋" w:cs="仿宋"/>
          <w:color w:val="000000"/>
          <w:kern w:val="2"/>
          <w:sz w:val="28"/>
          <w:szCs w:val="28"/>
          <w:highlight w:val="none"/>
          <w:lang w:eastAsia="zh-CN"/>
        </w:rPr>
        <w:t>采购人</w:t>
      </w:r>
      <w:r>
        <w:rPr>
          <w:rFonts w:hint="eastAsia" w:ascii="仿宋" w:hAnsi="仿宋" w:eastAsia="仿宋" w:cs="仿宋"/>
          <w:color w:val="000000"/>
          <w:kern w:val="2"/>
          <w:sz w:val="28"/>
          <w:szCs w:val="28"/>
          <w:highlight w:val="none"/>
        </w:rPr>
        <w:t>有权提出更换人员，由此产生的劳动纠纷或其他经济赔偿事项由投标人负全部责任，与学校无关</w:t>
      </w:r>
      <w:r>
        <w:rPr>
          <w:rFonts w:hint="eastAsia" w:ascii="仿宋" w:hAnsi="仿宋" w:eastAsia="仿宋" w:cs="仿宋"/>
          <w:color w:val="000000"/>
          <w:kern w:val="2"/>
          <w:sz w:val="28"/>
          <w:szCs w:val="28"/>
          <w:highlight w:val="none"/>
          <w:lang w:eastAsia="zh-CN"/>
        </w:rPr>
        <w:t>。</w:t>
      </w:r>
    </w:p>
    <w:p w14:paraId="5DEDAC82">
      <w:pPr>
        <w:pStyle w:val="5"/>
        <w:spacing w:afterLines="0" w:line="500" w:lineRule="exact"/>
        <w:ind w:left="0" w:leftChars="0"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（五）校区项目经理调换，需提前通知校方，经校方同意后方能更换</w:t>
      </w:r>
      <w:r>
        <w:rPr>
          <w:rFonts w:hint="eastAsia" w:ascii="仿宋" w:hAnsi="仿宋" w:eastAsia="仿宋" w:cs="仿宋"/>
          <w:color w:val="000000"/>
          <w:kern w:val="2"/>
          <w:sz w:val="28"/>
          <w:szCs w:val="28"/>
          <w:highlight w:val="none"/>
          <w:lang w:eastAsia="zh-CN"/>
        </w:rPr>
        <w:t>。</w:t>
      </w:r>
    </w:p>
    <w:p w14:paraId="181898AA">
      <w:pPr>
        <w:pStyle w:val="5"/>
        <w:spacing w:afterLines="0" w:line="500" w:lineRule="exact"/>
        <w:ind w:left="0" w:leftChars="0"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（六）投标人聘用的工作人员，需向所在校区后勤服务中心备案，如有项目经理以外的人员调整，需经后勤服务中心同意并备案</w:t>
      </w:r>
      <w:r>
        <w:rPr>
          <w:rFonts w:hint="eastAsia" w:ascii="仿宋" w:hAnsi="仿宋" w:eastAsia="仿宋" w:cs="仿宋"/>
          <w:color w:val="000000"/>
          <w:kern w:val="2"/>
          <w:sz w:val="28"/>
          <w:szCs w:val="28"/>
          <w:highlight w:val="none"/>
          <w:lang w:eastAsia="zh-CN"/>
        </w:rPr>
        <w:t>。</w:t>
      </w:r>
    </w:p>
    <w:p w14:paraId="222D27DE">
      <w:pPr>
        <w:pStyle w:val="5"/>
        <w:spacing w:afterLines="0" w:line="500" w:lineRule="exact"/>
        <w:ind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（七）投标人应提供聘用人员资料，并由投标人负责资料的真实性，因真实性产生的所有问题由投标人负全部责任</w:t>
      </w:r>
      <w:r>
        <w:rPr>
          <w:rFonts w:hint="eastAsia" w:ascii="仿宋" w:hAnsi="仿宋" w:eastAsia="仿宋" w:cs="仿宋"/>
          <w:color w:val="000000"/>
          <w:kern w:val="2"/>
          <w:sz w:val="28"/>
          <w:szCs w:val="28"/>
          <w:highlight w:val="none"/>
          <w:lang w:eastAsia="zh-CN"/>
        </w:rPr>
        <w:t>。</w:t>
      </w:r>
    </w:p>
    <w:p w14:paraId="24D018A9">
      <w:pPr>
        <w:pStyle w:val="5"/>
        <w:spacing w:afterLines="0" w:line="500" w:lineRule="exact"/>
        <w:ind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（八）投标人须根据《中华人民共和国劳动法》以及现行相关法律、法规、规章和政策聘用员工</w:t>
      </w:r>
      <w:r>
        <w:rPr>
          <w:rFonts w:hint="eastAsia" w:ascii="仿宋" w:hAnsi="仿宋" w:eastAsia="仿宋" w:cs="仿宋"/>
          <w:color w:val="000000"/>
          <w:kern w:val="2"/>
          <w:sz w:val="28"/>
          <w:szCs w:val="28"/>
          <w:highlight w:val="none"/>
          <w:lang w:eastAsia="zh-CN"/>
        </w:rPr>
        <w:t>。</w:t>
      </w:r>
    </w:p>
    <w:p w14:paraId="58EB6D1F">
      <w:pPr>
        <w:pStyle w:val="5"/>
        <w:spacing w:afterLines="0" w:line="500" w:lineRule="exact"/>
        <w:ind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九）投标人在与学校合同存续期间，不论企业工作内容是否属于合同规定服务范围，相关从业人员发生任何安全生产事故、意外劳动伤害、伤残事故或人身伤害、伤亡事故，校方不承担任何责任，投标人承担全部民事经济赔偿和所有法律责任</w:t>
      </w:r>
      <w:r>
        <w:rPr>
          <w:rFonts w:hint="eastAsia" w:ascii="仿宋" w:hAnsi="仿宋" w:eastAsia="仿宋" w:cs="仿宋"/>
          <w:color w:val="000000"/>
          <w:kern w:val="2"/>
          <w:sz w:val="28"/>
          <w:szCs w:val="28"/>
          <w:highlight w:val="none"/>
          <w:lang w:eastAsia="zh-CN"/>
        </w:rPr>
        <w:t>。</w:t>
      </w:r>
    </w:p>
    <w:p w14:paraId="2131C2B4">
      <w:pPr>
        <w:pStyle w:val="5"/>
        <w:spacing w:afterLines="0" w:line="500" w:lineRule="exact"/>
        <w:ind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十）如投标人聘用员工发生意外伤害事故或其他工伤事故，投标人应及时妥善处理，不得影响学校校园安全稳定秩序，如投标人无法控制事态发展或对学校正常教学工作秩序造成影响，视为投标人无继续履约能力，学校有权单方面解除合同，不承担任何对解除合同造成的履约赔偿责任和其他责任</w:t>
      </w:r>
      <w:r>
        <w:rPr>
          <w:rFonts w:hint="eastAsia" w:ascii="仿宋" w:hAnsi="仿宋" w:eastAsia="仿宋" w:cs="仿宋"/>
          <w:color w:val="000000"/>
          <w:kern w:val="2"/>
          <w:sz w:val="28"/>
          <w:szCs w:val="28"/>
          <w:highlight w:val="none"/>
          <w:lang w:eastAsia="zh-CN"/>
        </w:rPr>
        <w:t>。</w:t>
      </w:r>
    </w:p>
    <w:p w14:paraId="1DDF6761">
      <w:pPr>
        <w:pStyle w:val="5"/>
        <w:spacing w:afterLines="0" w:line="500" w:lineRule="exact"/>
        <w:ind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十一）投标人应按国家和行业规定为聘用员工购买社保、医保，根据不同工种购买相应的意外伤害保险或其他人身保险，对发生意外伤害事故的人员及时开展医疗救治，如因投标人未按国家规定为聘用人员购买本条所列社保等保险，产生的一切后果由投标人自负全责，与学校无关</w:t>
      </w:r>
      <w:r>
        <w:rPr>
          <w:rFonts w:hint="eastAsia" w:ascii="仿宋" w:hAnsi="仿宋" w:eastAsia="仿宋" w:cs="仿宋"/>
          <w:color w:val="000000"/>
          <w:kern w:val="2"/>
          <w:sz w:val="28"/>
          <w:szCs w:val="28"/>
          <w:highlight w:val="none"/>
          <w:lang w:eastAsia="zh-CN"/>
        </w:rPr>
        <w:t>。</w:t>
      </w:r>
    </w:p>
    <w:p w14:paraId="63CA9BD4">
      <w:pPr>
        <w:pStyle w:val="5"/>
        <w:spacing w:afterLines="0" w:line="500" w:lineRule="exact"/>
        <w:ind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十二）投标人应加强从业人员思想和职业道德教育，如从业人员在校期间如发生盗窃、打架斗殴、酗酒闹事、破坏公物、损坏设施设备、散播不利于和谐稳定或校园育人环境的言论、捏造事端或勾结校外人员施行危害学校利益的行为，学校将视情况对投标人进行经济惩罚直至单方面解除合同，不承担任何对解除合同造成的履约赔偿责任和其他责任</w:t>
      </w:r>
      <w:r>
        <w:rPr>
          <w:rFonts w:hint="eastAsia" w:ascii="仿宋" w:hAnsi="仿宋" w:eastAsia="仿宋" w:cs="仿宋"/>
          <w:color w:val="000000"/>
          <w:kern w:val="2"/>
          <w:sz w:val="28"/>
          <w:szCs w:val="28"/>
          <w:highlight w:val="none"/>
          <w:lang w:eastAsia="zh-CN"/>
        </w:rPr>
        <w:t>。</w:t>
      </w:r>
    </w:p>
    <w:p w14:paraId="5C9F2163">
      <w:pPr>
        <w:pStyle w:val="5"/>
        <w:spacing w:afterLines="0" w:line="500" w:lineRule="exact"/>
        <w:ind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（十三）由于投标人工作或未按行业规定造成对校园环境、公共设备设施损坏，或造成师生人身伤害等事故，由投标人承担全部赔偿责任和其他连带责任，学校不承担任何责任</w:t>
      </w:r>
      <w:r>
        <w:rPr>
          <w:rFonts w:hint="eastAsia" w:ascii="仿宋" w:hAnsi="仿宋" w:eastAsia="仿宋" w:cs="仿宋"/>
          <w:color w:val="000000"/>
          <w:kern w:val="2"/>
          <w:sz w:val="28"/>
          <w:szCs w:val="28"/>
          <w:highlight w:val="none"/>
          <w:lang w:eastAsia="zh-CN"/>
        </w:rPr>
        <w:t>。</w:t>
      </w:r>
    </w:p>
    <w:p w14:paraId="6883B3B2">
      <w:pPr>
        <w:pStyle w:val="5"/>
        <w:spacing w:afterLines="0" w:line="500" w:lineRule="exact"/>
        <w:ind w:firstLine="566" w:firstLineChars="200"/>
        <w:rPr>
          <w:rFonts w:hint="eastAsia" w:ascii="仿宋" w:hAnsi="仿宋" w:eastAsia="仿宋" w:cs="仿宋"/>
          <w:color w:val="000000"/>
          <w:kern w:val="2"/>
          <w:sz w:val="28"/>
          <w:szCs w:val="28"/>
          <w:highlight w:val="none"/>
          <w:lang w:eastAsia="zh-CN"/>
        </w:rPr>
      </w:pPr>
      <w:r>
        <w:rPr>
          <w:rFonts w:hint="eastAsia" w:ascii="仿宋" w:hAnsi="仿宋" w:eastAsia="仿宋" w:cs="仿宋"/>
          <w:color w:val="000000"/>
          <w:kern w:val="2"/>
          <w:sz w:val="28"/>
          <w:szCs w:val="28"/>
          <w:highlight w:val="none"/>
        </w:rPr>
        <w:t>（十四）投标人聘请的劳动关系以外的劳务关系人员、临时用工人员，在工作过程中的人身、财产安全及相关责任由投标人与相关人员自行约定与处理，发生任何人身伤害事故与财产损失由投标人承担全部法律和经济责任，学校不承担任何责任</w:t>
      </w:r>
      <w:r>
        <w:rPr>
          <w:rFonts w:hint="eastAsia" w:ascii="仿宋" w:hAnsi="仿宋" w:eastAsia="仿宋" w:cs="仿宋"/>
          <w:color w:val="000000"/>
          <w:kern w:val="2"/>
          <w:sz w:val="28"/>
          <w:szCs w:val="28"/>
          <w:highlight w:val="none"/>
          <w:lang w:eastAsia="zh-CN"/>
        </w:rPr>
        <w:t>。</w:t>
      </w:r>
    </w:p>
    <w:p w14:paraId="49CC5C50">
      <w:pPr>
        <w:pStyle w:val="5"/>
        <w:spacing w:afterLines="0" w:line="500" w:lineRule="exact"/>
        <w:ind w:firstLine="566"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 xml:space="preserve">（十六）本服务项目包含人工费（含福利和社保）、企业管理费、利润、税金、保洁用品费及工具费等费用。工作人员在岗位上因自己或他人原因，造成自己或他人发生意外事故，由投标人负责涉事人员的保险理赔等一切相关事宜，采购人不负任何直接或间接责任。 </w:t>
      </w:r>
    </w:p>
    <w:p w14:paraId="3FDC62B1">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 xml:space="preserve">（十七）人员工资标准 </w:t>
      </w:r>
    </w:p>
    <w:p w14:paraId="313E1A98">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eastAsia="zh-CN"/>
        </w:rPr>
        <w:t>1、</w:t>
      </w:r>
      <w:r>
        <w:rPr>
          <w:rFonts w:hint="eastAsia" w:ascii="仿宋" w:hAnsi="仿宋" w:eastAsia="仿宋" w:cs="仿宋"/>
          <w:color w:val="000000"/>
          <w:kern w:val="2"/>
          <w:sz w:val="28"/>
          <w:szCs w:val="28"/>
        </w:rPr>
        <w:t xml:space="preserve">投标人自行解决员工养老、失业、医疗、工伤、纳税等保险及劳保、工作服、胸卡、工资、加班费、过节费、福利、食宿、交通、办公设备、培训费用等有关问题。上岗人员自行负责食宿问题。 </w:t>
      </w:r>
    </w:p>
    <w:p w14:paraId="46DC6F87">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投标人所有人员必须按照《中华人民共和国民法典》的规定执行，如遇到工资纠纷问题由</w:t>
      </w:r>
      <w:r>
        <w:rPr>
          <w:rFonts w:hint="eastAsia" w:ascii="仿宋" w:hAnsi="仿宋" w:eastAsia="仿宋" w:cs="仿宋"/>
          <w:color w:val="000000"/>
          <w:kern w:val="2"/>
          <w:sz w:val="28"/>
          <w:szCs w:val="28"/>
          <w:lang w:eastAsia="zh-CN"/>
        </w:rPr>
        <w:t>投标人</w:t>
      </w:r>
      <w:r>
        <w:rPr>
          <w:rFonts w:hint="eastAsia" w:ascii="仿宋" w:hAnsi="仿宋" w:eastAsia="仿宋" w:cs="仿宋"/>
          <w:color w:val="000000"/>
          <w:kern w:val="2"/>
          <w:sz w:val="28"/>
          <w:szCs w:val="28"/>
        </w:rPr>
        <w:t xml:space="preserve">自行解决。 </w:t>
      </w:r>
    </w:p>
    <w:p w14:paraId="6DEA3ABA">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3</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投标人须与员工签订劳动合同，引起劳动关系问题由投标人负责。</w:t>
      </w:r>
    </w:p>
    <w:p w14:paraId="795312F0">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4</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 xml:space="preserve">投标人须保障所有人员待遇不得低于国家规定标准。 </w:t>
      </w:r>
    </w:p>
    <w:p w14:paraId="1A6362E3">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 xml:space="preserve">（十八）工作规范 </w:t>
      </w:r>
    </w:p>
    <w:p w14:paraId="63601424">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 xml:space="preserve">保洁人员须统一着装，佩戴标志。身体健康，遵纪守法，无不良嗜好，无不良品行记录或者违法犯罪前科。 </w:t>
      </w:r>
    </w:p>
    <w:p w14:paraId="2D5A3484">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保洁人员工作期间，不得在开放区域聚集、扎堆聊天，大声喧哗。对读者及其他来馆人员的咨询要态度热情，据实答复，不得恶语相向，或者粗暴拒绝。如有读者投诉，将实施处罚。</w:t>
      </w:r>
    </w:p>
    <w:p w14:paraId="309932A6">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3</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保洁人员必须遵守采购人各项规章制度制度，不得与师生发生任何冲突。</w:t>
      </w:r>
    </w:p>
    <w:p w14:paraId="3A088D0D">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（十九）其他</w:t>
      </w:r>
      <w:r>
        <w:rPr>
          <w:rFonts w:hint="eastAsia" w:ascii="仿宋" w:hAnsi="仿宋" w:eastAsia="仿宋" w:cs="仿宋"/>
          <w:color w:val="000000"/>
          <w:kern w:val="2"/>
          <w:sz w:val="28"/>
          <w:szCs w:val="28"/>
          <w:lang w:val="en-US" w:eastAsia="zh-CN"/>
        </w:rPr>
        <w:t>要求</w:t>
      </w:r>
      <w:r>
        <w:rPr>
          <w:rFonts w:hint="eastAsia" w:ascii="仿宋" w:hAnsi="仿宋" w:eastAsia="仿宋" w:cs="仿宋"/>
          <w:color w:val="000000"/>
          <w:kern w:val="2"/>
          <w:sz w:val="28"/>
          <w:szCs w:val="28"/>
        </w:rPr>
        <w:t xml:space="preserve"> </w:t>
      </w:r>
    </w:p>
    <w:p w14:paraId="5298E401">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学校遇有新生报到、毕业生离校、各级各类招聘和考试、演出集会、外事活动、重要来客来访等大型活动时根据工作任务和活动规模提前安排组织保洁人员，制定工作预案和实施方案，批准后组织实施。</w:t>
      </w:r>
    </w:p>
    <w:p w14:paraId="64CEF8CC">
      <w:pPr>
        <w:pStyle w:val="5"/>
        <w:spacing w:afterLines="0" w:line="48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派驻学校的物业保洁人员有高度的责任感和吃苦耐劳的精神，应受过岗前专业培训，熟知学校的管理规定，恪尽职守，善于发现各类问题，具备一定的物业保洁工作经验和处理突发事件能力。</w:t>
      </w:r>
    </w:p>
    <w:p w14:paraId="0DC2D086">
      <w:pPr>
        <w:pStyle w:val="5"/>
        <w:spacing w:afterLines="0" w:line="48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3</w:t>
      </w:r>
      <w:r>
        <w:rPr>
          <w:rFonts w:hint="eastAsia" w:ascii="仿宋" w:hAnsi="仿宋" w:eastAsia="仿宋" w:cs="仿宋"/>
          <w:color w:val="000000"/>
          <w:kern w:val="2"/>
          <w:sz w:val="28"/>
          <w:szCs w:val="28"/>
          <w:lang w:eastAsia="zh-CN"/>
        </w:rPr>
        <w:t>、投标人</w:t>
      </w:r>
      <w:r>
        <w:rPr>
          <w:rFonts w:hint="eastAsia" w:ascii="仿宋" w:hAnsi="仿宋" w:eastAsia="仿宋" w:cs="仿宋"/>
          <w:color w:val="000000"/>
          <w:kern w:val="2"/>
          <w:sz w:val="28"/>
          <w:szCs w:val="28"/>
        </w:rPr>
        <w:t>未按合同规定达到保洁面积时，未保洁的面积达10%-20%（含）时，扣除当月服务费20%；未保洁面积达20%-30%（含）时，扣除当月服务费50%；未保洁面积超过总数的30%时，全额扣除当月服务费。</w:t>
      </w:r>
    </w:p>
    <w:p w14:paraId="69B212E1">
      <w:pPr>
        <w:pStyle w:val="5"/>
        <w:spacing w:afterLines="0" w:line="48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4</w:t>
      </w:r>
      <w:r>
        <w:rPr>
          <w:rFonts w:hint="eastAsia" w:ascii="仿宋" w:hAnsi="仿宋" w:eastAsia="仿宋" w:cs="仿宋"/>
          <w:color w:val="000000"/>
          <w:kern w:val="2"/>
          <w:sz w:val="28"/>
          <w:szCs w:val="28"/>
          <w:lang w:eastAsia="zh-CN"/>
        </w:rPr>
        <w:t>、投标人</w:t>
      </w:r>
      <w:r>
        <w:rPr>
          <w:rFonts w:hint="eastAsia" w:ascii="仿宋" w:hAnsi="仿宋" w:eastAsia="仿宋" w:cs="仿宋"/>
          <w:color w:val="000000"/>
          <w:kern w:val="2"/>
          <w:sz w:val="28"/>
          <w:szCs w:val="28"/>
        </w:rPr>
        <w:t>在组织、安排保洁工作时，应符合国家劳动用工等相关法律法规，维护保洁人员的正当权益，按时、足额发放劳动报酬。</w:t>
      </w:r>
      <w:r>
        <w:rPr>
          <w:rFonts w:hint="eastAsia" w:ascii="仿宋" w:hAnsi="仿宋" w:eastAsia="仿宋" w:cs="仿宋"/>
          <w:color w:val="000000"/>
          <w:kern w:val="2"/>
          <w:sz w:val="28"/>
          <w:szCs w:val="28"/>
          <w:lang w:eastAsia="zh-CN"/>
        </w:rPr>
        <w:t>投标人</w:t>
      </w:r>
      <w:r>
        <w:rPr>
          <w:rFonts w:hint="eastAsia" w:ascii="仿宋" w:hAnsi="仿宋" w:eastAsia="仿宋" w:cs="仿宋"/>
          <w:color w:val="000000"/>
          <w:kern w:val="2"/>
          <w:sz w:val="28"/>
          <w:szCs w:val="28"/>
        </w:rPr>
        <w:t>对其用工行为承担一切法律责任，与聘用人员发生的各类纠纷，均由</w:t>
      </w:r>
      <w:r>
        <w:rPr>
          <w:rFonts w:hint="eastAsia" w:ascii="仿宋" w:hAnsi="仿宋" w:eastAsia="仿宋" w:cs="仿宋"/>
          <w:color w:val="000000"/>
          <w:kern w:val="2"/>
          <w:sz w:val="28"/>
          <w:szCs w:val="28"/>
          <w:lang w:eastAsia="zh-CN"/>
        </w:rPr>
        <w:t>投标人</w:t>
      </w:r>
      <w:r>
        <w:rPr>
          <w:rFonts w:hint="eastAsia" w:ascii="仿宋" w:hAnsi="仿宋" w:eastAsia="仿宋" w:cs="仿宋"/>
          <w:color w:val="000000"/>
          <w:kern w:val="2"/>
          <w:sz w:val="28"/>
          <w:szCs w:val="28"/>
        </w:rPr>
        <w:t>负责调解与处理，学校不承担任何责任和费用。</w:t>
      </w:r>
    </w:p>
    <w:p w14:paraId="3904DF2C">
      <w:pPr>
        <w:pStyle w:val="5"/>
        <w:spacing w:afterLines="0" w:line="48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5</w:t>
      </w:r>
      <w:r>
        <w:rPr>
          <w:rFonts w:hint="eastAsia" w:ascii="仿宋" w:hAnsi="仿宋" w:eastAsia="仿宋" w:cs="仿宋"/>
          <w:color w:val="000000"/>
          <w:kern w:val="2"/>
          <w:sz w:val="28"/>
          <w:szCs w:val="28"/>
          <w:lang w:eastAsia="zh-CN"/>
        </w:rPr>
        <w:t>、投标人</w:t>
      </w:r>
      <w:r>
        <w:rPr>
          <w:rFonts w:hint="eastAsia" w:ascii="仿宋" w:hAnsi="仿宋" w:eastAsia="仿宋" w:cs="仿宋"/>
          <w:color w:val="000000"/>
          <w:kern w:val="2"/>
          <w:sz w:val="28"/>
          <w:szCs w:val="28"/>
        </w:rPr>
        <w:t>需提供内部的管理制度文件，建立健全录用保洁人员档案资料，督促检查在岗人员履行岗位职责情况，日常管理不流于形式，形成良好风气。</w:t>
      </w:r>
    </w:p>
    <w:p w14:paraId="45DE1759">
      <w:pPr>
        <w:pStyle w:val="2"/>
        <w:spacing w:afterLines="0" w:line="48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6</w:t>
      </w:r>
      <w:r>
        <w:rPr>
          <w:rFonts w:hint="eastAsia" w:ascii="仿宋" w:hAnsi="仿宋" w:eastAsia="仿宋" w:cs="仿宋"/>
          <w:color w:val="000000"/>
          <w:kern w:val="2"/>
          <w:sz w:val="28"/>
          <w:szCs w:val="28"/>
          <w:lang w:eastAsia="zh-CN"/>
        </w:rPr>
        <w:t>、投标人</w:t>
      </w:r>
      <w:r>
        <w:rPr>
          <w:rFonts w:hint="eastAsia" w:ascii="仿宋" w:hAnsi="仿宋" w:eastAsia="仿宋" w:cs="仿宋"/>
          <w:color w:val="000000"/>
          <w:kern w:val="2"/>
          <w:sz w:val="28"/>
          <w:szCs w:val="28"/>
        </w:rPr>
        <w:t>需提供对保洁人员的考核制度及日常工作的调研方案，并定期咨询采购人及下属二级学院的意见，制定合理可行的满意度调查评价方案。</w:t>
      </w:r>
      <w:bookmarkEnd w:id="253"/>
    </w:p>
    <w:p w14:paraId="72252703">
      <w:pPr>
        <w:numPr>
          <w:ilvl w:val="0"/>
          <w:numId w:val="0"/>
        </w:numPr>
        <w:spacing w:afterLines="0" w:line="500" w:lineRule="exact"/>
        <w:ind w:left="0" w:leftChars="0" w:firstLine="566" w:firstLineChars="200"/>
        <w:outlineLvl w:val="2"/>
        <w:rPr>
          <w:rFonts w:hint="eastAsia" w:ascii="仿宋" w:hAnsi="仿宋" w:eastAsia="仿宋" w:cs="仿宋"/>
          <w:b/>
          <w:bCs/>
          <w:sz w:val="28"/>
          <w:szCs w:val="28"/>
          <w:lang w:val="en-US" w:eastAsia="zh-CN"/>
        </w:rPr>
      </w:pPr>
      <w:r>
        <w:rPr>
          <w:rFonts w:hint="eastAsia" w:ascii="仿宋" w:hAnsi="仿宋" w:eastAsia="仿宋" w:cs="仿宋"/>
          <w:b/>
          <w:bCs/>
          <w:color w:val="000000"/>
          <w:kern w:val="2"/>
          <w:sz w:val="28"/>
          <w:szCs w:val="28"/>
        </w:rPr>
        <w:t>▲</w:t>
      </w:r>
      <w:r>
        <w:rPr>
          <w:rFonts w:hint="eastAsia" w:ascii="仿宋" w:hAnsi="仿宋" w:eastAsia="仿宋" w:cs="仿宋"/>
          <w:b/>
          <w:bCs/>
          <w:color w:val="000000"/>
          <w:kern w:val="2"/>
          <w:sz w:val="28"/>
          <w:szCs w:val="28"/>
          <w:lang w:val="en-US" w:eastAsia="zh-CN"/>
        </w:rPr>
        <w:t>六、</w:t>
      </w:r>
      <w:r>
        <w:rPr>
          <w:rFonts w:hint="eastAsia" w:ascii="仿宋" w:hAnsi="仿宋" w:eastAsia="仿宋" w:cs="仿宋"/>
          <w:b/>
          <w:bCs/>
          <w:sz w:val="28"/>
          <w:szCs w:val="28"/>
          <w:lang w:val="en-US" w:eastAsia="zh-CN"/>
        </w:rPr>
        <w:t>总体要求</w:t>
      </w:r>
    </w:p>
    <w:p w14:paraId="466A1D5B">
      <w:pPr>
        <w:pStyle w:val="5"/>
        <w:numPr>
          <w:ilvl w:val="-1"/>
          <w:numId w:val="0"/>
        </w:numPr>
        <w:spacing w:afterLines="0" w:line="500" w:lineRule="exact"/>
        <w:ind w:firstLine="566" w:firstLineChars="200"/>
        <w:rPr>
          <w:rFonts w:hint="eastAsia" w:ascii="仿宋" w:hAnsi="仿宋" w:eastAsia="仿宋" w:cs="仿宋"/>
          <w:b/>
          <w:bCs/>
          <w:color w:val="000000"/>
          <w:kern w:val="2"/>
          <w:sz w:val="28"/>
          <w:szCs w:val="28"/>
          <w:lang w:eastAsia="zh-CN"/>
        </w:rPr>
      </w:pPr>
      <w:r>
        <w:rPr>
          <w:rFonts w:hint="eastAsia" w:ascii="仿宋" w:hAnsi="仿宋" w:eastAsia="仿宋" w:cs="仿宋"/>
          <w:b/>
          <w:bCs/>
          <w:color w:val="000000"/>
          <w:kern w:val="2"/>
          <w:sz w:val="28"/>
          <w:szCs w:val="28"/>
          <w:lang w:eastAsia="zh-CN"/>
        </w:rPr>
        <w:t>（</w:t>
      </w:r>
      <w:r>
        <w:rPr>
          <w:rFonts w:hint="eastAsia" w:ascii="仿宋" w:hAnsi="仿宋" w:eastAsia="仿宋" w:cs="仿宋"/>
          <w:b/>
          <w:bCs/>
          <w:color w:val="000000"/>
          <w:kern w:val="2"/>
          <w:sz w:val="28"/>
          <w:szCs w:val="28"/>
          <w:lang w:val="en-US" w:eastAsia="zh-CN"/>
        </w:rPr>
        <w:t>一</w:t>
      </w:r>
      <w:r>
        <w:rPr>
          <w:rFonts w:hint="eastAsia" w:ascii="仿宋" w:hAnsi="仿宋" w:eastAsia="仿宋" w:cs="仿宋"/>
          <w:b/>
          <w:bCs/>
          <w:color w:val="000000"/>
          <w:kern w:val="2"/>
          <w:sz w:val="28"/>
          <w:szCs w:val="28"/>
          <w:lang w:eastAsia="zh-CN"/>
        </w:rPr>
        <w:t>）总体服务方案</w:t>
      </w:r>
    </w:p>
    <w:p w14:paraId="40D5ABFF">
      <w:pPr>
        <w:pStyle w:val="5"/>
        <w:numPr>
          <w:ilvl w:val="-1"/>
          <w:numId w:val="0"/>
        </w:numPr>
        <w:spacing w:afterLines="0" w:line="500" w:lineRule="exact"/>
        <w:ind w:firstLine="566"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针对本</w:t>
      </w:r>
      <w:r>
        <w:rPr>
          <w:rFonts w:hint="eastAsia" w:ascii="仿宋" w:hAnsi="仿宋" w:eastAsia="仿宋" w:cs="仿宋"/>
          <w:color w:val="000000"/>
          <w:kern w:val="2"/>
          <w:sz w:val="28"/>
          <w:szCs w:val="28"/>
          <w:highlight w:val="none"/>
          <w:lang w:val="en-US" w:eastAsia="zh-CN"/>
        </w:rPr>
        <w:t>项目</w:t>
      </w:r>
      <w:r>
        <w:rPr>
          <w:rFonts w:hint="eastAsia" w:ascii="仿宋" w:hAnsi="仿宋" w:eastAsia="仿宋" w:cs="仿宋"/>
          <w:color w:val="000000"/>
          <w:kern w:val="2"/>
          <w:sz w:val="28"/>
          <w:szCs w:val="28"/>
          <w:highlight w:val="none"/>
        </w:rPr>
        <w:t>详细列出物业服务总体服务方案，方案包</w:t>
      </w:r>
      <w:r>
        <w:rPr>
          <w:rFonts w:hint="eastAsia" w:ascii="仿宋" w:hAnsi="仿宋" w:eastAsia="仿宋" w:cs="仿宋"/>
          <w:color w:val="000000"/>
          <w:kern w:val="2"/>
          <w:sz w:val="28"/>
          <w:szCs w:val="28"/>
          <w:highlight w:val="none"/>
          <w:lang w:eastAsia="zh-CN"/>
        </w:rPr>
        <w:t>含</w:t>
      </w:r>
      <w:r>
        <w:rPr>
          <w:rFonts w:hint="eastAsia" w:ascii="仿宋" w:hAnsi="仿宋" w:eastAsia="仿宋" w:cs="仿宋"/>
          <w:color w:val="000000"/>
          <w:kern w:val="2"/>
          <w:sz w:val="28"/>
          <w:szCs w:val="28"/>
          <w:highlight w:val="none"/>
        </w:rPr>
        <w:t>：①服务理念及特色②年度管理服务目标③服务计划④重难点分析</w:t>
      </w:r>
      <w:r>
        <w:rPr>
          <w:rFonts w:hint="eastAsia" w:ascii="仿宋" w:hAnsi="仿宋" w:eastAsia="仿宋" w:cs="仿宋"/>
          <w:color w:val="000000"/>
          <w:kern w:val="2"/>
          <w:sz w:val="28"/>
          <w:szCs w:val="28"/>
          <w:highlight w:val="none"/>
          <w:lang w:val="en-US" w:eastAsia="zh-CN"/>
        </w:rPr>
        <w:t>及</w:t>
      </w:r>
      <w:r>
        <w:rPr>
          <w:rFonts w:hint="eastAsia" w:ascii="仿宋" w:hAnsi="仿宋" w:eastAsia="仿宋" w:cs="仿宋"/>
          <w:color w:val="000000"/>
          <w:kern w:val="2"/>
          <w:sz w:val="28"/>
          <w:szCs w:val="28"/>
          <w:highlight w:val="none"/>
        </w:rPr>
        <w:t>解决措施。</w:t>
      </w:r>
    </w:p>
    <w:p w14:paraId="30532684">
      <w:pPr>
        <w:pStyle w:val="5"/>
        <w:numPr>
          <w:ilvl w:val="-1"/>
          <w:numId w:val="0"/>
        </w:numPr>
        <w:spacing w:afterLines="0" w:line="500" w:lineRule="exact"/>
        <w:ind w:firstLine="566" w:firstLineChars="200"/>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lang w:val="en-US" w:eastAsia="zh-CN"/>
        </w:rPr>
        <w:t>二</w:t>
      </w: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rPr>
        <w:t>机构建设</w:t>
      </w:r>
    </w:p>
    <w:p w14:paraId="28AFC63B">
      <w:pPr>
        <w:pStyle w:val="5"/>
        <w:numPr>
          <w:ilvl w:val="-1"/>
          <w:numId w:val="0"/>
        </w:numPr>
        <w:spacing w:afterLines="0" w:line="500" w:lineRule="exact"/>
        <w:ind w:firstLine="566"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针对本</w:t>
      </w:r>
      <w:r>
        <w:rPr>
          <w:rFonts w:hint="eastAsia" w:ascii="仿宋" w:hAnsi="仿宋" w:eastAsia="仿宋" w:cs="仿宋"/>
          <w:color w:val="000000"/>
          <w:kern w:val="2"/>
          <w:sz w:val="28"/>
          <w:szCs w:val="28"/>
          <w:highlight w:val="none"/>
          <w:lang w:val="en-US" w:eastAsia="zh-CN"/>
        </w:rPr>
        <w:t>项目</w:t>
      </w:r>
      <w:r>
        <w:rPr>
          <w:rFonts w:hint="eastAsia" w:ascii="仿宋" w:hAnsi="仿宋" w:eastAsia="仿宋" w:cs="仿宋"/>
          <w:color w:val="000000"/>
          <w:kern w:val="2"/>
          <w:sz w:val="28"/>
          <w:szCs w:val="28"/>
          <w:highlight w:val="none"/>
        </w:rPr>
        <w:t>提供拟定的机构建设方案，内容包含</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①管理机构组建方案②专业服务团队的职能分工方案。</w:t>
      </w:r>
    </w:p>
    <w:p w14:paraId="5822CF89">
      <w:pPr>
        <w:pStyle w:val="5"/>
        <w:numPr>
          <w:ilvl w:val="-1"/>
          <w:numId w:val="0"/>
        </w:numPr>
        <w:spacing w:afterLines="0" w:line="500" w:lineRule="exact"/>
        <w:ind w:firstLine="566" w:firstLineChars="200"/>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lang w:val="en-US" w:eastAsia="zh-CN"/>
        </w:rPr>
        <w:t>三</w:t>
      </w: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rPr>
        <w:t>管理制度</w:t>
      </w:r>
    </w:p>
    <w:p w14:paraId="62AE96B0">
      <w:pPr>
        <w:pStyle w:val="5"/>
        <w:numPr>
          <w:ilvl w:val="-1"/>
          <w:numId w:val="0"/>
        </w:numPr>
        <w:spacing w:afterLines="0" w:line="500" w:lineRule="exact"/>
        <w:ind w:firstLine="566"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投标人针对本</w:t>
      </w:r>
      <w:r>
        <w:rPr>
          <w:rFonts w:hint="eastAsia" w:ascii="仿宋" w:hAnsi="仿宋" w:eastAsia="仿宋" w:cs="仿宋"/>
          <w:color w:val="000000"/>
          <w:kern w:val="2"/>
          <w:sz w:val="28"/>
          <w:szCs w:val="28"/>
          <w:highlight w:val="none"/>
          <w:lang w:val="en-US" w:eastAsia="zh-CN"/>
        </w:rPr>
        <w:t>项目</w:t>
      </w:r>
      <w:r>
        <w:rPr>
          <w:rFonts w:hint="eastAsia" w:ascii="仿宋" w:hAnsi="仿宋" w:eastAsia="仿宋" w:cs="仿宋"/>
          <w:color w:val="000000"/>
          <w:kern w:val="2"/>
          <w:sz w:val="28"/>
          <w:szCs w:val="28"/>
          <w:highlight w:val="none"/>
        </w:rPr>
        <w:t>具有良好的管理制度，方案包含</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①岗位职责：具有岗位工作标准、服务质量标准、现场质量控制体系②内控制度：具有保密制度、管理组织机构、问责机制、监督机制、自查制度③人员管理制度：具有员工日常管理制度、请销假制度、奖惩措施、激励机制、仪容仪表制度。</w:t>
      </w:r>
    </w:p>
    <w:p w14:paraId="6B5FD44F">
      <w:pPr>
        <w:pStyle w:val="5"/>
        <w:numPr>
          <w:ilvl w:val="-1"/>
          <w:numId w:val="0"/>
        </w:numPr>
        <w:spacing w:afterLines="0" w:line="500" w:lineRule="exact"/>
        <w:ind w:firstLine="566" w:firstLineChars="200"/>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lang w:val="en-US" w:eastAsia="zh-CN"/>
        </w:rPr>
        <w:t>四</w:t>
      </w: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rPr>
        <w:t>节能降耗</w:t>
      </w:r>
    </w:p>
    <w:p w14:paraId="42107434">
      <w:pPr>
        <w:pStyle w:val="5"/>
        <w:numPr>
          <w:ilvl w:val="-1"/>
          <w:numId w:val="0"/>
        </w:numPr>
        <w:spacing w:afterLines="0" w:line="500" w:lineRule="exact"/>
        <w:ind w:firstLine="566"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根据本</w:t>
      </w:r>
      <w:r>
        <w:rPr>
          <w:rFonts w:hint="eastAsia" w:ascii="仿宋" w:hAnsi="仿宋" w:eastAsia="仿宋" w:cs="仿宋"/>
          <w:color w:val="000000"/>
          <w:kern w:val="2"/>
          <w:sz w:val="28"/>
          <w:szCs w:val="28"/>
          <w:highlight w:val="none"/>
          <w:lang w:val="en-US" w:eastAsia="zh-CN"/>
        </w:rPr>
        <w:t>项目</w:t>
      </w:r>
      <w:r>
        <w:rPr>
          <w:rFonts w:hint="eastAsia" w:ascii="仿宋" w:hAnsi="仿宋" w:eastAsia="仿宋" w:cs="仿宋"/>
          <w:color w:val="000000"/>
          <w:kern w:val="2"/>
          <w:sz w:val="28"/>
          <w:szCs w:val="28"/>
          <w:highlight w:val="none"/>
        </w:rPr>
        <w:t>提出详细的水电等节能降耗方案，内容包</w:t>
      </w:r>
      <w:r>
        <w:rPr>
          <w:rFonts w:hint="eastAsia" w:ascii="仿宋" w:hAnsi="仿宋" w:eastAsia="仿宋" w:cs="仿宋"/>
          <w:color w:val="000000"/>
          <w:kern w:val="2"/>
          <w:sz w:val="28"/>
          <w:szCs w:val="28"/>
          <w:highlight w:val="none"/>
          <w:lang w:eastAsia="zh-CN"/>
        </w:rPr>
        <w:t>含</w:t>
      </w:r>
      <w:r>
        <w:rPr>
          <w:rFonts w:hint="eastAsia" w:ascii="仿宋" w:hAnsi="仿宋" w:eastAsia="仿宋" w:cs="仿宋"/>
          <w:color w:val="000000"/>
          <w:kern w:val="2"/>
          <w:sz w:val="28"/>
          <w:szCs w:val="28"/>
          <w:highlight w:val="none"/>
        </w:rPr>
        <w:t>：①节能降耗原则②节能降耗的具体措施。</w:t>
      </w:r>
    </w:p>
    <w:p w14:paraId="45D5EFAD">
      <w:pPr>
        <w:pStyle w:val="5"/>
        <w:numPr>
          <w:ilvl w:val="-1"/>
          <w:numId w:val="0"/>
        </w:numPr>
        <w:spacing w:afterLines="0" w:line="500" w:lineRule="exact"/>
        <w:ind w:firstLine="566" w:firstLineChars="200"/>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lang w:val="en-US" w:eastAsia="zh-CN"/>
        </w:rPr>
        <w:t>五</w:t>
      </w: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rPr>
        <w:t>应急预案</w:t>
      </w:r>
    </w:p>
    <w:p w14:paraId="4BC02705">
      <w:pPr>
        <w:pStyle w:val="5"/>
        <w:numPr>
          <w:ilvl w:val="-1"/>
          <w:numId w:val="0"/>
        </w:numPr>
        <w:spacing w:afterLines="0" w:line="500" w:lineRule="exact"/>
        <w:ind w:firstLine="566"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针对本</w:t>
      </w:r>
      <w:r>
        <w:rPr>
          <w:rFonts w:hint="eastAsia" w:ascii="仿宋" w:hAnsi="仿宋" w:eastAsia="仿宋" w:cs="仿宋"/>
          <w:color w:val="000000"/>
          <w:kern w:val="2"/>
          <w:sz w:val="28"/>
          <w:szCs w:val="28"/>
          <w:highlight w:val="none"/>
          <w:lang w:val="en-US" w:eastAsia="zh-CN"/>
        </w:rPr>
        <w:t>项目</w:t>
      </w:r>
      <w:r>
        <w:rPr>
          <w:rFonts w:hint="eastAsia" w:ascii="仿宋" w:hAnsi="仿宋" w:eastAsia="仿宋" w:cs="仿宋"/>
          <w:color w:val="000000"/>
          <w:kern w:val="2"/>
          <w:sz w:val="28"/>
          <w:szCs w:val="28"/>
          <w:highlight w:val="none"/>
        </w:rPr>
        <w:t>特点提供应急方案，内容包含</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①恶劣天气：如暴雨、暴雪、雷电、冰凌、大风、大雾②紧急事件：停水、停电、地震、火灾、重大活动检查。</w:t>
      </w:r>
    </w:p>
    <w:p w14:paraId="4F1FC723">
      <w:pPr>
        <w:pStyle w:val="5"/>
        <w:numPr>
          <w:ilvl w:val="-1"/>
          <w:numId w:val="0"/>
        </w:numPr>
        <w:spacing w:afterLines="0" w:line="500" w:lineRule="exact"/>
        <w:ind w:firstLine="566" w:firstLineChars="200"/>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lang w:val="en-US" w:eastAsia="zh-CN"/>
        </w:rPr>
        <w:t>六</w:t>
      </w: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rPr>
        <w:t>档案管理</w:t>
      </w:r>
    </w:p>
    <w:p w14:paraId="53A45CE3">
      <w:pPr>
        <w:pStyle w:val="5"/>
        <w:numPr>
          <w:ilvl w:val="-1"/>
          <w:numId w:val="0"/>
        </w:numPr>
        <w:spacing w:afterLines="0" w:line="500" w:lineRule="exact"/>
        <w:ind w:firstLine="566"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针对本</w:t>
      </w:r>
      <w:r>
        <w:rPr>
          <w:rFonts w:hint="eastAsia" w:ascii="仿宋" w:hAnsi="仿宋" w:eastAsia="仿宋" w:cs="仿宋"/>
          <w:color w:val="000000"/>
          <w:kern w:val="2"/>
          <w:sz w:val="28"/>
          <w:szCs w:val="28"/>
          <w:highlight w:val="none"/>
          <w:lang w:val="en-US" w:eastAsia="zh-CN"/>
        </w:rPr>
        <w:t>项目</w:t>
      </w:r>
      <w:r>
        <w:rPr>
          <w:rFonts w:hint="eastAsia" w:ascii="仿宋" w:hAnsi="仿宋" w:eastAsia="仿宋" w:cs="仿宋"/>
          <w:color w:val="000000"/>
          <w:kern w:val="2"/>
          <w:sz w:val="28"/>
          <w:szCs w:val="28"/>
          <w:highlight w:val="none"/>
        </w:rPr>
        <w:t>各岗位职责范围内产生的资料，提供档案管理，内容包含</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①合理的规划措施②保管措施和移交措施。</w:t>
      </w:r>
    </w:p>
    <w:p w14:paraId="0BE11CA2">
      <w:pPr>
        <w:pStyle w:val="5"/>
        <w:numPr>
          <w:ilvl w:val="-1"/>
          <w:numId w:val="0"/>
        </w:numPr>
        <w:spacing w:afterLines="0" w:line="500" w:lineRule="exact"/>
        <w:ind w:firstLine="566" w:firstLineChars="200"/>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lang w:val="en-US" w:eastAsia="zh-CN"/>
        </w:rPr>
        <w:t>七</w:t>
      </w:r>
      <w:r>
        <w:rPr>
          <w:rFonts w:hint="eastAsia" w:ascii="仿宋" w:hAnsi="仿宋" w:eastAsia="仿宋" w:cs="仿宋"/>
          <w:b/>
          <w:bCs/>
          <w:color w:val="000000"/>
          <w:kern w:val="2"/>
          <w:sz w:val="28"/>
          <w:szCs w:val="28"/>
          <w:highlight w:val="none"/>
          <w:lang w:eastAsia="zh-CN"/>
        </w:rPr>
        <w:t>）</w:t>
      </w:r>
      <w:r>
        <w:rPr>
          <w:rFonts w:hint="eastAsia" w:ascii="仿宋" w:hAnsi="仿宋" w:eastAsia="仿宋" w:cs="仿宋"/>
          <w:b/>
          <w:bCs/>
          <w:color w:val="000000"/>
          <w:kern w:val="2"/>
          <w:sz w:val="28"/>
          <w:szCs w:val="28"/>
          <w:highlight w:val="none"/>
        </w:rPr>
        <w:t>培训考核</w:t>
      </w:r>
    </w:p>
    <w:p w14:paraId="07CB7F34">
      <w:pPr>
        <w:pStyle w:val="5"/>
        <w:numPr>
          <w:ilvl w:val="-1"/>
          <w:numId w:val="0"/>
        </w:numPr>
        <w:spacing w:afterLines="0" w:line="500" w:lineRule="exact"/>
        <w:ind w:firstLine="566"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根据本</w:t>
      </w:r>
      <w:r>
        <w:rPr>
          <w:rFonts w:hint="eastAsia" w:ascii="仿宋" w:hAnsi="仿宋" w:eastAsia="仿宋" w:cs="仿宋"/>
          <w:color w:val="000000"/>
          <w:kern w:val="2"/>
          <w:sz w:val="28"/>
          <w:szCs w:val="28"/>
          <w:highlight w:val="none"/>
          <w:lang w:val="en-US" w:eastAsia="zh-CN"/>
        </w:rPr>
        <w:t>项目</w:t>
      </w:r>
      <w:r>
        <w:rPr>
          <w:rFonts w:hint="eastAsia" w:ascii="仿宋" w:hAnsi="仿宋" w:eastAsia="仿宋" w:cs="仿宋"/>
          <w:color w:val="000000"/>
          <w:kern w:val="2"/>
          <w:sz w:val="28"/>
          <w:szCs w:val="28"/>
          <w:highlight w:val="none"/>
        </w:rPr>
        <w:t>制定详细、可行的培训考核方案，保证上岗人员的专业素质、服务质量符合采购人要求，方案包含：①岗前培训和定期常态化培训②培训后的成果验收和考核。</w:t>
      </w:r>
    </w:p>
    <w:p w14:paraId="5E8D2F24">
      <w:pPr>
        <w:pStyle w:val="5"/>
        <w:spacing w:afterLines="0" w:line="500" w:lineRule="exact"/>
        <w:ind w:firstLine="566" w:firstLineChars="200"/>
        <w:rPr>
          <w:rFonts w:hint="eastAsia" w:ascii="仿宋" w:hAnsi="仿宋" w:eastAsia="仿宋" w:cs="仿宋"/>
          <w:b/>
          <w:bCs/>
          <w:color w:val="000000"/>
          <w:kern w:val="2"/>
          <w:sz w:val="28"/>
          <w:szCs w:val="28"/>
        </w:rPr>
      </w:pPr>
      <w:r>
        <w:rPr>
          <w:rFonts w:hint="eastAsia" w:ascii="仿宋" w:hAnsi="仿宋" w:eastAsia="仿宋" w:cs="仿宋"/>
          <w:b/>
          <w:bCs/>
          <w:color w:val="000000"/>
          <w:kern w:val="2"/>
          <w:sz w:val="28"/>
          <w:szCs w:val="28"/>
          <w:lang w:eastAsia="zh-CN"/>
        </w:rPr>
        <w:t>（</w:t>
      </w:r>
      <w:r>
        <w:rPr>
          <w:rFonts w:hint="eastAsia" w:ascii="仿宋" w:hAnsi="仿宋" w:eastAsia="仿宋" w:cs="仿宋"/>
          <w:b/>
          <w:bCs/>
          <w:color w:val="000000"/>
          <w:kern w:val="2"/>
          <w:sz w:val="28"/>
          <w:szCs w:val="28"/>
          <w:lang w:val="en-US" w:eastAsia="zh-CN"/>
        </w:rPr>
        <w:t>八</w:t>
      </w:r>
      <w:r>
        <w:rPr>
          <w:rFonts w:hint="eastAsia" w:ascii="仿宋" w:hAnsi="仿宋" w:eastAsia="仿宋" w:cs="仿宋"/>
          <w:b/>
          <w:bCs/>
          <w:color w:val="000000"/>
          <w:kern w:val="2"/>
          <w:sz w:val="28"/>
          <w:szCs w:val="28"/>
          <w:lang w:eastAsia="zh-CN"/>
        </w:rPr>
        <w:t>）</w:t>
      </w:r>
      <w:r>
        <w:rPr>
          <w:rFonts w:hint="eastAsia" w:ascii="仿宋" w:hAnsi="仿宋" w:eastAsia="仿宋" w:cs="仿宋"/>
          <w:b/>
          <w:bCs/>
          <w:color w:val="000000"/>
          <w:kern w:val="2"/>
          <w:sz w:val="28"/>
          <w:szCs w:val="28"/>
          <w:lang w:val="en-US" w:eastAsia="zh-CN"/>
        </w:rPr>
        <w:t>物料配备</w:t>
      </w:r>
    </w:p>
    <w:p w14:paraId="1D5AD033">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rPr>
        <w:t>1、</w:t>
      </w:r>
      <w:r>
        <w:rPr>
          <w:rFonts w:hint="eastAsia" w:ascii="仿宋" w:hAnsi="仿宋" w:eastAsia="仿宋" w:cs="仿宋"/>
          <w:color w:val="000000"/>
          <w:kern w:val="2"/>
          <w:sz w:val="28"/>
          <w:szCs w:val="28"/>
        </w:rPr>
        <w:t>工作服装和工作用具：保洁人员统一服装；工作用具应具有分类拖把若干、分类毛巾若干、套扫若干、水桶、垃圾袋若干。</w:t>
      </w:r>
    </w:p>
    <w:p w14:paraId="62FD96EB">
      <w:pPr>
        <w:pStyle w:val="5"/>
        <w:spacing w:afterLines="0" w:line="500" w:lineRule="exact"/>
        <w:ind w:firstLine="566"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rPr>
        <w:t>劳保用品和易耗品：小便池芳香球、清洁剂、洗涤剂、消毒剂，特殊物料（指84消毒液等）和地面保护材料，材料质量需符合相关要求。</w:t>
      </w:r>
    </w:p>
    <w:p w14:paraId="026769A9">
      <w:pPr>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br w:type="page"/>
      </w:r>
    </w:p>
    <w:p w14:paraId="7FCBB534">
      <w:pPr>
        <w:pStyle w:val="5"/>
        <w:spacing w:afterLines="0" w:line="500" w:lineRule="exact"/>
        <w:ind w:firstLine="566" w:firstLineChars="200"/>
        <w:rPr>
          <w:rFonts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rPr>
        <w:t>3、</w:t>
      </w:r>
      <w:r>
        <w:rPr>
          <w:rFonts w:hint="eastAsia" w:ascii="仿宋" w:hAnsi="仿宋" w:eastAsia="仿宋" w:cs="仿宋"/>
          <w:color w:val="000000"/>
          <w:kern w:val="2"/>
          <w:sz w:val="28"/>
          <w:szCs w:val="28"/>
        </w:rPr>
        <w:t>设施设备</w:t>
      </w:r>
    </w:p>
    <w:p w14:paraId="531A3B55">
      <w:pPr>
        <w:widowControl/>
        <w:autoSpaceDE w:val="0"/>
        <w:autoSpaceDN w:val="0"/>
        <w:adjustRightInd w:val="0"/>
        <w:snapToGrid w:val="0"/>
        <w:spacing w:afterLines="0" w:line="500" w:lineRule="exact"/>
        <w:ind w:left="0" w:right="0" w:firstLine="566" w:firstLineChars="200"/>
        <w:jc w:val="center"/>
        <w:textAlignment w:val="baseline"/>
        <w:rPr>
          <w:rFonts w:hint="eastAsia" w:ascii="仿宋" w:hAnsi="仿宋" w:eastAsia="仿宋" w:cs="仿宋"/>
        </w:rPr>
      </w:pPr>
      <w:r>
        <w:rPr>
          <w:rFonts w:hint="eastAsia" w:ascii="仿宋" w:hAnsi="仿宋" w:eastAsia="仿宋" w:cs="仿宋"/>
          <w:highlight w:val="none"/>
          <w:lang w:eastAsia="zh-CN"/>
        </w:rPr>
        <w:t>表</w:t>
      </w:r>
      <w:r>
        <w:rPr>
          <w:rFonts w:hint="eastAsia" w:ascii="仿宋" w:hAnsi="仿宋" w:eastAsia="仿宋" w:cs="仿宋"/>
          <w:highlight w:val="none"/>
          <w:lang w:val="en-US" w:eastAsia="zh-CN"/>
        </w:rPr>
        <w:t>4：</w:t>
      </w:r>
      <w:r>
        <w:rPr>
          <w:rFonts w:hint="eastAsia" w:ascii="仿宋" w:hAnsi="仿宋" w:eastAsia="仿宋" w:cs="仿宋"/>
          <w:highlight w:val="none"/>
        </w:rPr>
        <w:t>清洁设施设</w:t>
      </w:r>
      <w:r>
        <w:rPr>
          <w:rFonts w:hint="eastAsia" w:ascii="仿宋" w:hAnsi="仿宋" w:eastAsia="仿宋" w:cs="仿宋"/>
        </w:rPr>
        <w:t>备</w:t>
      </w:r>
    </w:p>
    <w:tbl>
      <w:tblPr>
        <w:tblStyle w:val="24"/>
        <w:tblW w:w="8687"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652"/>
        <w:gridCol w:w="818"/>
        <w:gridCol w:w="1432"/>
        <w:gridCol w:w="1432"/>
        <w:gridCol w:w="1309"/>
        <w:gridCol w:w="1309"/>
      </w:tblGrid>
      <w:tr w14:paraId="65E39A3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5" w:type="dxa"/>
            <w:tcBorders>
              <w:tl2br w:val="nil"/>
              <w:tr2bl w:val="nil"/>
            </w:tcBorders>
            <w:noWrap w:val="0"/>
            <w:vAlign w:val="center"/>
          </w:tcPr>
          <w:p w14:paraId="6E87D299">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baseline"/>
              <w:rPr>
                <w:rFonts w:hint="eastAsia" w:ascii="仿宋" w:hAnsi="仿宋" w:eastAsia="仿宋" w:cs="仿宋"/>
                <w:b/>
                <w:bCs/>
                <w:color w:val="000000"/>
                <w:sz w:val="24"/>
                <w:szCs w:val="24"/>
                <w:highlight w:val="none"/>
              </w:rPr>
            </w:pPr>
            <w:r>
              <w:rPr>
                <w:rFonts w:hint="eastAsia" w:ascii="仿宋" w:hAnsi="仿宋" w:eastAsia="仿宋" w:cs="仿宋"/>
                <w:b/>
                <w:bCs/>
                <w:color w:val="000000"/>
                <w:spacing w:val="-5"/>
                <w:sz w:val="24"/>
                <w:szCs w:val="24"/>
                <w:highlight w:val="none"/>
              </w:rPr>
              <w:t>序号</w:t>
            </w:r>
          </w:p>
        </w:tc>
        <w:tc>
          <w:tcPr>
            <w:tcW w:w="1652" w:type="dxa"/>
            <w:tcBorders>
              <w:tl2br w:val="nil"/>
              <w:tr2bl w:val="nil"/>
            </w:tcBorders>
            <w:noWrap w:val="0"/>
            <w:vAlign w:val="center"/>
          </w:tcPr>
          <w:p w14:paraId="0B99B0F5">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b/>
                <w:bCs/>
                <w:color w:val="000000"/>
                <w:sz w:val="24"/>
                <w:szCs w:val="24"/>
                <w:highlight w:val="none"/>
              </w:rPr>
            </w:pPr>
            <w:r>
              <w:rPr>
                <w:rFonts w:hint="eastAsia" w:ascii="仿宋" w:hAnsi="仿宋" w:eastAsia="仿宋" w:cs="仿宋"/>
                <w:b/>
                <w:bCs/>
                <w:color w:val="000000"/>
                <w:spacing w:val="-7"/>
                <w:sz w:val="24"/>
                <w:szCs w:val="24"/>
                <w:highlight w:val="none"/>
              </w:rPr>
              <w:t>名称</w:t>
            </w:r>
          </w:p>
        </w:tc>
        <w:tc>
          <w:tcPr>
            <w:tcW w:w="818" w:type="dxa"/>
            <w:tcBorders>
              <w:tl2br w:val="nil"/>
              <w:tr2bl w:val="nil"/>
            </w:tcBorders>
            <w:noWrap w:val="0"/>
            <w:vAlign w:val="center"/>
          </w:tcPr>
          <w:p w14:paraId="721FD1A9">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b/>
                <w:bCs/>
                <w:color w:val="000000"/>
                <w:sz w:val="24"/>
                <w:szCs w:val="24"/>
                <w:highlight w:val="none"/>
              </w:rPr>
            </w:pPr>
            <w:r>
              <w:rPr>
                <w:rFonts w:hint="eastAsia" w:ascii="仿宋" w:hAnsi="仿宋" w:eastAsia="仿宋" w:cs="仿宋"/>
                <w:b/>
                <w:bCs/>
                <w:color w:val="000000"/>
                <w:spacing w:val="-6"/>
                <w:sz w:val="24"/>
                <w:szCs w:val="24"/>
                <w:highlight w:val="none"/>
              </w:rPr>
              <w:t>单位</w:t>
            </w:r>
          </w:p>
        </w:tc>
        <w:tc>
          <w:tcPr>
            <w:tcW w:w="1432" w:type="dxa"/>
            <w:tcBorders>
              <w:tl2br w:val="nil"/>
              <w:tr2bl w:val="nil"/>
            </w:tcBorders>
            <w:noWrap w:val="0"/>
            <w:vAlign w:val="center"/>
          </w:tcPr>
          <w:p w14:paraId="5E409AD7">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b/>
                <w:bCs/>
                <w:color w:val="000000"/>
                <w:sz w:val="24"/>
                <w:szCs w:val="24"/>
                <w:highlight w:val="none"/>
              </w:rPr>
            </w:pPr>
            <w:r>
              <w:rPr>
                <w:rFonts w:hint="eastAsia" w:ascii="仿宋" w:hAnsi="仿宋" w:eastAsia="仿宋" w:cs="仿宋"/>
                <w:b/>
                <w:bCs/>
                <w:color w:val="000000"/>
                <w:spacing w:val="-6"/>
                <w:sz w:val="24"/>
                <w:szCs w:val="24"/>
                <w:highlight w:val="none"/>
              </w:rPr>
              <w:t>南校区数量</w:t>
            </w:r>
          </w:p>
        </w:tc>
        <w:tc>
          <w:tcPr>
            <w:tcW w:w="1432" w:type="dxa"/>
            <w:tcBorders>
              <w:tl2br w:val="nil"/>
              <w:tr2bl w:val="nil"/>
            </w:tcBorders>
            <w:noWrap w:val="0"/>
            <w:vAlign w:val="center"/>
          </w:tcPr>
          <w:p w14:paraId="63C50C75">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spacing w:val="-6"/>
                <w:sz w:val="24"/>
                <w:szCs w:val="24"/>
                <w:highlight w:val="none"/>
              </w:rPr>
              <w:t>西校区数量</w:t>
            </w:r>
          </w:p>
        </w:tc>
        <w:tc>
          <w:tcPr>
            <w:tcW w:w="1309" w:type="dxa"/>
            <w:tcBorders>
              <w:tl2br w:val="nil"/>
              <w:tr2bl w:val="nil"/>
            </w:tcBorders>
            <w:noWrap w:val="0"/>
            <w:vAlign w:val="center"/>
          </w:tcPr>
          <w:p w14:paraId="52F4B74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spacing w:val="-6"/>
                <w:sz w:val="24"/>
                <w:szCs w:val="24"/>
                <w:highlight w:val="none"/>
              </w:rPr>
              <w:t>北校区数量</w:t>
            </w:r>
          </w:p>
        </w:tc>
        <w:tc>
          <w:tcPr>
            <w:tcW w:w="1309" w:type="dxa"/>
            <w:tcBorders>
              <w:tl2br w:val="nil"/>
              <w:tr2bl w:val="nil"/>
            </w:tcBorders>
            <w:noWrap w:val="0"/>
            <w:vAlign w:val="center"/>
          </w:tcPr>
          <w:p w14:paraId="2CF88B3B">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b/>
                <w:bCs/>
                <w:color w:val="000000"/>
                <w:spacing w:val="-6"/>
                <w:sz w:val="24"/>
                <w:szCs w:val="24"/>
                <w:highlight w:val="none"/>
                <w:lang w:val="en-US" w:eastAsia="zh-CN"/>
              </w:rPr>
            </w:pPr>
            <w:r>
              <w:rPr>
                <w:rFonts w:hint="eastAsia" w:ascii="仿宋" w:hAnsi="仿宋" w:eastAsia="仿宋" w:cs="仿宋"/>
                <w:b/>
                <w:bCs/>
                <w:color w:val="000000"/>
                <w:spacing w:val="-6"/>
                <w:sz w:val="24"/>
                <w:szCs w:val="24"/>
                <w:highlight w:val="none"/>
                <w:lang w:val="en-US" w:eastAsia="zh-CN"/>
              </w:rPr>
              <w:t>滨河校区</w:t>
            </w:r>
          </w:p>
        </w:tc>
      </w:tr>
      <w:tr w14:paraId="5803EF6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5" w:type="dxa"/>
            <w:tcBorders>
              <w:tl2br w:val="nil"/>
              <w:tr2bl w:val="nil"/>
            </w:tcBorders>
            <w:noWrap w:val="0"/>
            <w:vAlign w:val="center"/>
          </w:tcPr>
          <w:p w14:paraId="7BC7F1A4">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652" w:type="dxa"/>
            <w:tcBorders>
              <w:tl2br w:val="nil"/>
              <w:tr2bl w:val="nil"/>
            </w:tcBorders>
            <w:noWrap w:val="0"/>
            <w:vAlign w:val="center"/>
          </w:tcPr>
          <w:p w14:paraId="113D749D">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多功能洗地机</w:t>
            </w:r>
          </w:p>
        </w:tc>
        <w:tc>
          <w:tcPr>
            <w:tcW w:w="818" w:type="dxa"/>
            <w:tcBorders>
              <w:tl2br w:val="nil"/>
              <w:tr2bl w:val="nil"/>
            </w:tcBorders>
            <w:noWrap w:val="0"/>
            <w:vAlign w:val="center"/>
          </w:tcPr>
          <w:p w14:paraId="112D85F2">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台</w:t>
            </w:r>
          </w:p>
        </w:tc>
        <w:tc>
          <w:tcPr>
            <w:tcW w:w="1432" w:type="dxa"/>
            <w:tcBorders>
              <w:tl2br w:val="nil"/>
              <w:tr2bl w:val="nil"/>
            </w:tcBorders>
            <w:noWrap w:val="0"/>
            <w:vAlign w:val="center"/>
          </w:tcPr>
          <w:p w14:paraId="242296C8">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1432" w:type="dxa"/>
            <w:tcBorders>
              <w:tl2br w:val="nil"/>
              <w:tr2bl w:val="nil"/>
            </w:tcBorders>
            <w:noWrap w:val="0"/>
            <w:vAlign w:val="center"/>
          </w:tcPr>
          <w:p w14:paraId="269DE264">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1309" w:type="dxa"/>
            <w:tcBorders>
              <w:tl2br w:val="nil"/>
              <w:tr2bl w:val="nil"/>
            </w:tcBorders>
            <w:noWrap w:val="0"/>
            <w:vAlign w:val="center"/>
          </w:tcPr>
          <w:p w14:paraId="18C638C1">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1309" w:type="dxa"/>
            <w:tcBorders>
              <w:tl2br w:val="nil"/>
              <w:tr2bl w:val="nil"/>
            </w:tcBorders>
            <w:noWrap w:val="0"/>
            <w:vAlign w:val="center"/>
          </w:tcPr>
          <w:p w14:paraId="17AC9713">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p>
        </w:tc>
      </w:tr>
      <w:tr w14:paraId="572B22A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5" w:type="dxa"/>
            <w:tcBorders>
              <w:tl2br w:val="nil"/>
              <w:tr2bl w:val="nil"/>
            </w:tcBorders>
            <w:noWrap w:val="0"/>
            <w:vAlign w:val="center"/>
          </w:tcPr>
          <w:p w14:paraId="0F8ED117">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652" w:type="dxa"/>
            <w:tcBorders>
              <w:tl2br w:val="nil"/>
              <w:tr2bl w:val="nil"/>
            </w:tcBorders>
            <w:noWrap w:val="0"/>
            <w:vAlign w:val="center"/>
          </w:tcPr>
          <w:p w14:paraId="35A04F2B">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4"/>
                <w:sz w:val="24"/>
                <w:szCs w:val="24"/>
                <w:highlight w:val="none"/>
              </w:rPr>
              <w:t>吸尘吸水器</w:t>
            </w:r>
          </w:p>
        </w:tc>
        <w:tc>
          <w:tcPr>
            <w:tcW w:w="818" w:type="dxa"/>
            <w:tcBorders>
              <w:tl2br w:val="nil"/>
              <w:tr2bl w:val="nil"/>
            </w:tcBorders>
            <w:noWrap w:val="0"/>
            <w:vAlign w:val="center"/>
          </w:tcPr>
          <w:p w14:paraId="0FD68796">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台</w:t>
            </w:r>
          </w:p>
        </w:tc>
        <w:tc>
          <w:tcPr>
            <w:tcW w:w="1432" w:type="dxa"/>
            <w:tcBorders>
              <w:tl2br w:val="nil"/>
              <w:tr2bl w:val="nil"/>
            </w:tcBorders>
            <w:noWrap w:val="0"/>
            <w:vAlign w:val="center"/>
          </w:tcPr>
          <w:p w14:paraId="58356D57">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1432" w:type="dxa"/>
            <w:tcBorders>
              <w:tl2br w:val="nil"/>
              <w:tr2bl w:val="nil"/>
            </w:tcBorders>
            <w:noWrap w:val="0"/>
            <w:vAlign w:val="center"/>
          </w:tcPr>
          <w:p w14:paraId="4696E16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p>
        </w:tc>
        <w:tc>
          <w:tcPr>
            <w:tcW w:w="1309" w:type="dxa"/>
            <w:tcBorders>
              <w:tl2br w:val="nil"/>
              <w:tr2bl w:val="nil"/>
            </w:tcBorders>
            <w:noWrap w:val="0"/>
            <w:vAlign w:val="center"/>
          </w:tcPr>
          <w:p w14:paraId="62D0F1B5">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p>
        </w:tc>
        <w:tc>
          <w:tcPr>
            <w:tcW w:w="1309" w:type="dxa"/>
            <w:tcBorders>
              <w:tl2br w:val="nil"/>
              <w:tr2bl w:val="nil"/>
            </w:tcBorders>
            <w:noWrap w:val="0"/>
            <w:vAlign w:val="center"/>
          </w:tcPr>
          <w:p w14:paraId="7850715C">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r>
      <w:tr w14:paraId="1F9FF63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5" w:type="dxa"/>
            <w:tcBorders>
              <w:tl2br w:val="nil"/>
              <w:tr2bl w:val="nil"/>
            </w:tcBorders>
            <w:noWrap w:val="0"/>
            <w:vAlign w:val="center"/>
          </w:tcPr>
          <w:p w14:paraId="77063656">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1652" w:type="dxa"/>
            <w:tcBorders>
              <w:tl2br w:val="nil"/>
              <w:tr2bl w:val="nil"/>
            </w:tcBorders>
            <w:noWrap w:val="0"/>
            <w:vAlign w:val="center"/>
          </w:tcPr>
          <w:p w14:paraId="5B4C622E">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4"/>
                <w:sz w:val="24"/>
                <w:szCs w:val="24"/>
                <w:highlight w:val="none"/>
              </w:rPr>
              <w:t>手推式扫地机</w:t>
            </w:r>
          </w:p>
        </w:tc>
        <w:tc>
          <w:tcPr>
            <w:tcW w:w="818" w:type="dxa"/>
            <w:tcBorders>
              <w:tl2br w:val="nil"/>
              <w:tr2bl w:val="nil"/>
            </w:tcBorders>
            <w:noWrap w:val="0"/>
            <w:vAlign w:val="center"/>
          </w:tcPr>
          <w:p w14:paraId="4D1948C3">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台</w:t>
            </w:r>
          </w:p>
        </w:tc>
        <w:tc>
          <w:tcPr>
            <w:tcW w:w="1432" w:type="dxa"/>
            <w:tcBorders>
              <w:tl2br w:val="nil"/>
              <w:tr2bl w:val="nil"/>
            </w:tcBorders>
            <w:noWrap w:val="0"/>
            <w:vAlign w:val="center"/>
          </w:tcPr>
          <w:p w14:paraId="7916BDE8">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1432" w:type="dxa"/>
            <w:tcBorders>
              <w:tl2br w:val="nil"/>
              <w:tr2bl w:val="nil"/>
            </w:tcBorders>
            <w:noWrap w:val="0"/>
            <w:vAlign w:val="center"/>
          </w:tcPr>
          <w:p w14:paraId="062919AE">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1309" w:type="dxa"/>
            <w:tcBorders>
              <w:tl2br w:val="nil"/>
              <w:tr2bl w:val="nil"/>
            </w:tcBorders>
            <w:noWrap w:val="0"/>
            <w:vAlign w:val="center"/>
          </w:tcPr>
          <w:p w14:paraId="4706E0AA">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1309" w:type="dxa"/>
            <w:tcBorders>
              <w:tl2br w:val="nil"/>
              <w:tr2bl w:val="nil"/>
            </w:tcBorders>
            <w:noWrap w:val="0"/>
            <w:vAlign w:val="center"/>
          </w:tcPr>
          <w:p w14:paraId="6D37553D">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p>
        </w:tc>
      </w:tr>
      <w:tr w14:paraId="3B896D4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5" w:type="dxa"/>
            <w:tcBorders>
              <w:tl2br w:val="nil"/>
              <w:tr2bl w:val="nil"/>
            </w:tcBorders>
            <w:noWrap w:val="0"/>
            <w:vAlign w:val="center"/>
          </w:tcPr>
          <w:p w14:paraId="1BD6FC37">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1652" w:type="dxa"/>
            <w:tcBorders>
              <w:tl2br w:val="nil"/>
              <w:tr2bl w:val="nil"/>
            </w:tcBorders>
            <w:noWrap w:val="0"/>
            <w:vAlign w:val="center"/>
          </w:tcPr>
          <w:p w14:paraId="11E1FD06">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4"/>
                <w:sz w:val="24"/>
                <w:szCs w:val="24"/>
                <w:highlight w:val="none"/>
              </w:rPr>
              <w:t>高压水枪</w:t>
            </w:r>
          </w:p>
        </w:tc>
        <w:tc>
          <w:tcPr>
            <w:tcW w:w="818" w:type="dxa"/>
            <w:tcBorders>
              <w:tl2br w:val="nil"/>
              <w:tr2bl w:val="nil"/>
            </w:tcBorders>
            <w:noWrap w:val="0"/>
            <w:vAlign w:val="center"/>
          </w:tcPr>
          <w:p w14:paraId="0C8A4CE0">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台</w:t>
            </w:r>
          </w:p>
        </w:tc>
        <w:tc>
          <w:tcPr>
            <w:tcW w:w="1432" w:type="dxa"/>
            <w:tcBorders>
              <w:tl2br w:val="nil"/>
              <w:tr2bl w:val="nil"/>
            </w:tcBorders>
            <w:noWrap w:val="0"/>
            <w:vAlign w:val="center"/>
          </w:tcPr>
          <w:p w14:paraId="5ED24D00">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1432" w:type="dxa"/>
            <w:tcBorders>
              <w:tl2br w:val="nil"/>
              <w:tr2bl w:val="nil"/>
            </w:tcBorders>
            <w:noWrap w:val="0"/>
            <w:vAlign w:val="center"/>
          </w:tcPr>
          <w:p w14:paraId="0B5E7B7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1309" w:type="dxa"/>
            <w:tcBorders>
              <w:tl2br w:val="nil"/>
              <w:tr2bl w:val="nil"/>
            </w:tcBorders>
            <w:noWrap w:val="0"/>
            <w:vAlign w:val="center"/>
          </w:tcPr>
          <w:p w14:paraId="00992CB5">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1309" w:type="dxa"/>
            <w:tcBorders>
              <w:tl2br w:val="nil"/>
              <w:tr2bl w:val="nil"/>
            </w:tcBorders>
            <w:noWrap w:val="0"/>
            <w:vAlign w:val="center"/>
          </w:tcPr>
          <w:p w14:paraId="49DF4528">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p>
        </w:tc>
      </w:tr>
      <w:tr w14:paraId="53BD720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5" w:type="dxa"/>
            <w:tcBorders>
              <w:tl2br w:val="nil"/>
              <w:tr2bl w:val="nil"/>
            </w:tcBorders>
            <w:noWrap w:val="0"/>
            <w:vAlign w:val="center"/>
          </w:tcPr>
          <w:p w14:paraId="0366A55C">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1652" w:type="dxa"/>
            <w:tcBorders>
              <w:tl2br w:val="nil"/>
              <w:tr2bl w:val="nil"/>
            </w:tcBorders>
            <w:noWrap w:val="0"/>
            <w:vAlign w:val="center"/>
          </w:tcPr>
          <w:p w14:paraId="73983B03">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4"/>
                <w:sz w:val="24"/>
                <w:szCs w:val="24"/>
                <w:highlight w:val="none"/>
              </w:rPr>
              <w:t>保洁工具车</w:t>
            </w:r>
          </w:p>
        </w:tc>
        <w:tc>
          <w:tcPr>
            <w:tcW w:w="818" w:type="dxa"/>
            <w:tcBorders>
              <w:tl2br w:val="nil"/>
              <w:tr2bl w:val="nil"/>
            </w:tcBorders>
            <w:noWrap w:val="0"/>
            <w:vAlign w:val="center"/>
          </w:tcPr>
          <w:p w14:paraId="7C5AC551">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个</w:t>
            </w:r>
          </w:p>
        </w:tc>
        <w:tc>
          <w:tcPr>
            <w:tcW w:w="1432" w:type="dxa"/>
            <w:tcBorders>
              <w:tl2br w:val="nil"/>
              <w:tr2bl w:val="nil"/>
            </w:tcBorders>
            <w:noWrap w:val="0"/>
            <w:vAlign w:val="center"/>
          </w:tcPr>
          <w:p w14:paraId="080AD9D8">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1432" w:type="dxa"/>
            <w:tcBorders>
              <w:tl2br w:val="nil"/>
              <w:tr2bl w:val="nil"/>
            </w:tcBorders>
            <w:noWrap w:val="0"/>
            <w:vAlign w:val="center"/>
          </w:tcPr>
          <w:p w14:paraId="0C99BC5F">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1309" w:type="dxa"/>
            <w:tcBorders>
              <w:tl2br w:val="nil"/>
              <w:tr2bl w:val="nil"/>
            </w:tcBorders>
            <w:noWrap w:val="0"/>
            <w:vAlign w:val="center"/>
          </w:tcPr>
          <w:p w14:paraId="37E39DAE">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1309" w:type="dxa"/>
            <w:tcBorders>
              <w:tl2br w:val="nil"/>
              <w:tr2bl w:val="nil"/>
            </w:tcBorders>
            <w:noWrap w:val="0"/>
            <w:vAlign w:val="center"/>
          </w:tcPr>
          <w:p w14:paraId="397EA945">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5</w:t>
            </w:r>
          </w:p>
        </w:tc>
      </w:tr>
      <w:tr w14:paraId="48BC535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5" w:type="dxa"/>
            <w:tcBorders>
              <w:tl2br w:val="nil"/>
              <w:tr2bl w:val="nil"/>
            </w:tcBorders>
            <w:noWrap w:val="0"/>
            <w:vAlign w:val="center"/>
          </w:tcPr>
          <w:p w14:paraId="71454B80">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1652" w:type="dxa"/>
            <w:tcBorders>
              <w:tl2br w:val="nil"/>
              <w:tr2bl w:val="nil"/>
            </w:tcBorders>
            <w:noWrap w:val="0"/>
            <w:vAlign w:val="center"/>
          </w:tcPr>
          <w:p w14:paraId="0C276E3D">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4"/>
                <w:sz w:val="24"/>
                <w:szCs w:val="24"/>
                <w:highlight w:val="none"/>
              </w:rPr>
              <w:t>吹地机</w:t>
            </w:r>
          </w:p>
        </w:tc>
        <w:tc>
          <w:tcPr>
            <w:tcW w:w="818" w:type="dxa"/>
            <w:tcBorders>
              <w:tl2br w:val="nil"/>
              <w:tr2bl w:val="nil"/>
            </w:tcBorders>
            <w:noWrap w:val="0"/>
            <w:vAlign w:val="center"/>
          </w:tcPr>
          <w:p w14:paraId="4B7D5571">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个</w:t>
            </w:r>
          </w:p>
        </w:tc>
        <w:tc>
          <w:tcPr>
            <w:tcW w:w="1432" w:type="dxa"/>
            <w:tcBorders>
              <w:tl2br w:val="nil"/>
              <w:tr2bl w:val="nil"/>
            </w:tcBorders>
            <w:noWrap w:val="0"/>
            <w:vAlign w:val="center"/>
          </w:tcPr>
          <w:p w14:paraId="2F8ADFC6">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1432" w:type="dxa"/>
            <w:tcBorders>
              <w:tl2br w:val="nil"/>
              <w:tr2bl w:val="nil"/>
            </w:tcBorders>
            <w:noWrap w:val="0"/>
            <w:vAlign w:val="center"/>
          </w:tcPr>
          <w:p w14:paraId="0525D848">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1309" w:type="dxa"/>
            <w:tcBorders>
              <w:tl2br w:val="nil"/>
              <w:tr2bl w:val="nil"/>
            </w:tcBorders>
            <w:noWrap w:val="0"/>
            <w:vAlign w:val="center"/>
          </w:tcPr>
          <w:p w14:paraId="1A80648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1309" w:type="dxa"/>
            <w:tcBorders>
              <w:tl2br w:val="nil"/>
              <w:tr2bl w:val="nil"/>
            </w:tcBorders>
            <w:noWrap w:val="0"/>
            <w:vAlign w:val="center"/>
          </w:tcPr>
          <w:p w14:paraId="3AA0E102">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5</w:t>
            </w:r>
          </w:p>
        </w:tc>
      </w:tr>
      <w:tr w14:paraId="1008ADC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35" w:type="dxa"/>
            <w:tcBorders>
              <w:tl2br w:val="nil"/>
              <w:tr2bl w:val="nil"/>
            </w:tcBorders>
            <w:noWrap w:val="0"/>
            <w:vAlign w:val="center"/>
          </w:tcPr>
          <w:p w14:paraId="4AF03536">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1652" w:type="dxa"/>
            <w:tcBorders>
              <w:tl2br w:val="nil"/>
              <w:tr2bl w:val="nil"/>
            </w:tcBorders>
            <w:noWrap w:val="0"/>
            <w:vAlign w:val="center"/>
          </w:tcPr>
          <w:p w14:paraId="59ACE90C">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4"/>
                <w:sz w:val="24"/>
                <w:szCs w:val="24"/>
                <w:highlight w:val="none"/>
              </w:rPr>
              <w:t>告示牌</w:t>
            </w:r>
          </w:p>
        </w:tc>
        <w:tc>
          <w:tcPr>
            <w:tcW w:w="818" w:type="dxa"/>
            <w:tcBorders>
              <w:tl2br w:val="nil"/>
              <w:tr2bl w:val="nil"/>
            </w:tcBorders>
            <w:noWrap w:val="0"/>
            <w:vAlign w:val="center"/>
          </w:tcPr>
          <w:p w14:paraId="5D4E9E4C">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批</w:t>
            </w:r>
          </w:p>
        </w:tc>
        <w:tc>
          <w:tcPr>
            <w:tcW w:w="1432" w:type="dxa"/>
            <w:tcBorders>
              <w:tl2br w:val="nil"/>
              <w:tr2bl w:val="nil"/>
            </w:tcBorders>
            <w:noWrap w:val="0"/>
            <w:vAlign w:val="center"/>
          </w:tcPr>
          <w:p w14:paraId="5E260B3F">
            <w:pPr>
              <w:keepNext w:val="0"/>
              <w:keepLines w:val="0"/>
              <w:pageBreakBefore w:val="0"/>
              <w:widowControl/>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432" w:type="dxa"/>
            <w:tcBorders>
              <w:tl2br w:val="nil"/>
              <w:tr2bl w:val="nil"/>
            </w:tcBorders>
            <w:noWrap w:val="0"/>
            <w:vAlign w:val="center"/>
          </w:tcPr>
          <w:p w14:paraId="490A2F0C">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1</w:t>
            </w:r>
          </w:p>
        </w:tc>
        <w:tc>
          <w:tcPr>
            <w:tcW w:w="1309" w:type="dxa"/>
            <w:tcBorders>
              <w:tl2br w:val="nil"/>
              <w:tr2bl w:val="nil"/>
            </w:tcBorders>
            <w:noWrap w:val="0"/>
            <w:vAlign w:val="center"/>
          </w:tcPr>
          <w:p w14:paraId="6D8D1FEB">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1</w:t>
            </w:r>
          </w:p>
        </w:tc>
        <w:tc>
          <w:tcPr>
            <w:tcW w:w="1309" w:type="dxa"/>
            <w:tcBorders>
              <w:tl2br w:val="nil"/>
              <w:tr2bl w:val="nil"/>
            </w:tcBorders>
            <w:noWrap w:val="0"/>
            <w:vAlign w:val="center"/>
          </w:tcPr>
          <w:p w14:paraId="7EDECFF7">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bl>
    <w:p w14:paraId="170A7B6F">
      <w:pPr>
        <w:keepNext w:val="0"/>
        <w:keepLines w:val="0"/>
        <w:pageBreakBefore w:val="0"/>
        <w:widowControl/>
        <w:numPr>
          <w:ilvl w:val="-1"/>
          <w:numId w:val="0"/>
        </w:numPr>
        <w:kinsoku/>
        <w:wordWrap/>
        <w:overflowPunct/>
        <w:topLinePunct w:val="0"/>
        <w:autoSpaceDE/>
        <w:autoSpaceDN/>
        <w:bidi w:val="0"/>
        <w:adjustRightInd/>
        <w:snapToGrid/>
        <w:spacing w:afterLines="-2147483648" w:line="240" w:lineRule="auto"/>
        <w:ind w:firstLine="566" w:firstLineChars="200"/>
        <w:jc w:val="left"/>
        <w:textAlignment w:val="auto"/>
        <w:rPr>
          <w:rFonts w:ascii="仿宋" w:hAnsi="仿宋" w:eastAsia="仿宋" w:cs="仿宋"/>
          <w:b/>
          <w:bCs/>
        </w:rPr>
      </w:pPr>
      <w:r>
        <w:rPr>
          <w:rFonts w:hint="eastAsia" w:ascii="仿宋" w:hAnsi="仿宋" w:eastAsia="仿宋" w:cs="仿宋"/>
          <w:b/>
          <w:bCs/>
          <w:lang w:eastAsia="zh-CN"/>
        </w:rPr>
        <w:t>（</w:t>
      </w:r>
      <w:r>
        <w:rPr>
          <w:rFonts w:hint="eastAsia" w:ascii="仿宋" w:hAnsi="仿宋" w:eastAsia="仿宋" w:cs="仿宋"/>
          <w:b/>
          <w:bCs/>
          <w:lang w:val="en-US" w:eastAsia="zh-CN"/>
        </w:rPr>
        <w:t>九</w:t>
      </w:r>
      <w:r>
        <w:rPr>
          <w:rFonts w:hint="eastAsia" w:ascii="仿宋" w:hAnsi="仿宋" w:eastAsia="仿宋" w:cs="仿宋"/>
          <w:b/>
          <w:bCs/>
          <w:lang w:eastAsia="zh-CN"/>
        </w:rPr>
        <w:t>）</w:t>
      </w:r>
      <w:r>
        <w:rPr>
          <w:rFonts w:hint="eastAsia" w:ascii="仿宋" w:hAnsi="仿宋" w:eastAsia="仿宋" w:cs="仿宋"/>
          <w:b/>
          <w:bCs/>
        </w:rPr>
        <w:t>投标人承诺（需提供承诺函）</w:t>
      </w:r>
    </w:p>
    <w:p w14:paraId="24ABB50D">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outlineLvl w:val="1"/>
        <w:rPr>
          <w:rFonts w:hint="eastAsia" w:ascii="仿宋" w:hAnsi="仿宋" w:eastAsia="仿宋" w:cs="仿宋"/>
          <w:b w:val="0"/>
          <w:bCs w:val="0"/>
          <w:highlight w:val="none"/>
        </w:rPr>
      </w:pPr>
      <w:r>
        <w:rPr>
          <w:rFonts w:hint="eastAsia" w:ascii="仿宋" w:hAnsi="仿宋" w:eastAsia="仿宋" w:cs="仿宋"/>
          <w:b w:val="0"/>
          <w:bCs w:val="0"/>
          <w:highlight w:val="none"/>
          <w:lang w:val="en-US" w:eastAsia="zh-CN"/>
        </w:rPr>
        <w:t>1、</w:t>
      </w:r>
      <w:r>
        <w:rPr>
          <w:rFonts w:hint="eastAsia" w:ascii="仿宋" w:hAnsi="仿宋" w:eastAsia="仿宋" w:cs="仿宋"/>
          <w:b w:val="0"/>
          <w:bCs w:val="0"/>
          <w:highlight w:val="none"/>
        </w:rPr>
        <w:t>承诺：储备可调度人员，调度人员可保障重大活动、突发事件的临时任务调度需要。</w:t>
      </w:r>
    </w:p>
    <w:p w14:paraId="3D998B02">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outlineLvl w:val="1"/>
        <w:rPr>
          <w:rFonts w:hint="eastAsia" w:ascii="仿宋" w:hAnsi="仿宋" w:eastAsia="仿宋" w:cs="仿宋"/>
          <w:b w:val="0"/>
          <w:bCs w:val="0"/>
          <w:highlight w:val="none"/>
        </w:rPr>
      </w:pPr>
      <w:r>
        <w:rPr>
          <w:rFonts w:hint="eastAsia" w:ascii="仿宋" w:hAnsi="仿宋" w:eastAsia="仿宋" w:cs="仿宋"/>
          <w:b w:val="0"/>
          <w:bCs w:val="0"/>
          <w:highlight w:val="none"/>
          <w:lang w:eastAsia="zh-CN"/>
        </w:rPr>
        <w:t>2、</w:t>
      </w:r>
      <w:r>
        <w:rPr>
          <w:rFonts w:hint="eastAsia" w:ascii="仿宋" w:hAnsi="仿宋" w:eastAsia="仿宋" w:cs="仿宋"/>
          <w:b w:val="0"/>
          <w:bCs w:val="0"/>
          <w:highlight w:val="none"/>
        </w:rPr>
        <w:t>承诺：接受采购人对服务的考核、监督及管理。</w:t>
      </w:r>
    </w:p>
    <w:p w14:paraId="4327AC69">
      <w:pPr>
        <w:keepNext w:val="0"/>
        <w:keepLines w:val="0"/>
        <w:pageBreakBefore w:val="0"/>
        <w:widowControl w:val="0"/>
        <w:kinsoku/>
        <w:wordWrap/>
        <w:overflowPunct/>
        <w:topLinePunct w:val="0"/>
        <w:autoSpaceDE/>
        <w:autoSpaceDN/>
        <w:bidi w:val="0"/>
        <w:adjustRightInd/>
        <w:snapToGrid/>
        <w:spacing w:afterLines="0" w:line="500" w:lineRule="exact"/>
        <w:ind w:firstLine="566" w:firstLineChars="200"/>
        <w:textAlignment w:val="auto"/>
        <w:outlineLvl w:val="1"/>
        <w:rPr>
          <w:rFonts w:hint="eastAsia" w:ascii="仿宋" w:hAnsi="仿宋" w:eastAsia="仿宋" w:cs="仿宋"/>
          <w:b w:val="0"/>
          <w:bCs w:val="0"/>
          <w:highlight w:val="none"/>
        </w:rPr>
      </w:pPr>
      <w:r>
        <w:rPr>
          <w:rFonts w:hint="eastAsia" w:ascii="仿宋" w:hAnsi="仿宋" w:eastAsia="仿宋" w:cs="仿宋"/>
          <w:b w:val="0"/>
          <w:bCs w:val="0"/>
          <w:highlight w:val="none"/>
          <w:lang w:val="en-US" w:eastAsia="zh-CN"/>
        </w:rPr>
        <w:t>3、</w:t>
      </w:r>
      <w:r>
        <w:rPr>
          <w:rFonts w:hint="eastAsia" w:ascii="仿宋" w:hAnsi="仿宋" w:eastAsia="仿宋" w:cs="仿宋"/>
          <w:b w:val="0"/>
          <w:bCs w:val="0"/>
          <w:highlight w:val="none"/>
        </w:rPr>
        <w:t>承诺：定期调研采购人对服务质量的满意度并加以改进，确保服务工作的优质高效。</w:t>
      </w:r>
    </w:p>
    <w:p w14:paraId="0FBAEADB">
      <w:pPr>
        <w:keepNext w:val="0"/>
        <w:keepLines w:val="0"/>
        <w:pageBreakBefore w:val="0"/>
        <w:widowControl/>
        <w:kinsoku/>
        <w:wordWrap/>
        <w:overflowPunct/>
        <w:topLinePunct w:val="0"/>
        <w:autoSpaceDE/>
        <w:autoSpaceDN/>
        <w:bidi w:val="0"/>
        <w:adjustRightInd/>
        <w:snapToGrid/>
        <w:spacing w:afterLines="0" w:line="500" w:lineRule="exact"/>
        <w:ind w:firstLine="566" w:firstLineChars="200"/>
        <w:jc w:val="left"/>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rPr>
        <w:t>★</w:t>
      </w:r>
      <w:r>
        <w:rPr>
          <w:rFonts w:hint="eastAsia" w:ascii="仿宋" w:hAnsi="仿宋" w:eastAsia="仿宋" w:cs="仿宋"/>
          <w:b/>
          <w:bCs/>
          <w:lang w:val="en-US" w:eastAsia="zh-CN"/>
        </w:rPr>
        <w:t>七</w:t>
      </w:r>
      <w:r>
        <w:rPr>
          <w:rFonts w:hint="eastAsia" w:ascii="仿宋" w:hAnsi="仿宋" w:eastAsia="仿宋" w:cs="仿宋"/>
          <w:b/>
          <w:bCs/>
        </w:rPr>
        <w:t>、实质性条款要求</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
          <w:bCs/>
          <w:highlight w:val="none"/>
        </w:rPr>
        <w:t>须提供承诺函，格式自拟，未提供承诺函则视为无效投标</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w:t>
      </w:r>
    </w:p>
    <w:p w14:paraId="1896B558">
      <w:pPr>
        <w:keepNext w:val="0"/>
        <w:keepLines w:val="0"/>
        <w:pageBreakBefore w:val="0"/>
        <w:widowControl/>
        <w:kinsoku/>
        <w:wordWrap/>
        <w:overflowPunct/>
        <w:topLinePunct w:val="0"/>
        <w:autoSpaceDE/>
        <w:autoSpaceDN/>
        <w:bidi w:val="0"/>
        <w:adjustRightInd/>
        <w:snapToGrid/>
        <w:spacing w:afterLines="0" w:line="500" w:lineRule="exact"/>
        <w:ind w:firstLine="566" w:firstLineChars="200"/>
        <w:jc w:val="left"/>
        <w:textAlignment w:val="auto"/>
        <w:rPr>
          <w:rFonts w:hint="default" w:ascii="仿宋" w:hAnsi="仿宋" w:eastAsia="仿宋" w:cs="仿宋"/>
          <w:b/>
          <w:bCs/>
          <w:highlight w:val="none"/>
          <w:lang w:val="en-US" w:eastAsia="zh-CN"/>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（一）</w:t>
      </w:r>
      <w:r>
        <w:rPr>
          <w:rFonts w:hint="eastAsia" w:ascii="仿宋" w:hAnsi="仿宋" w:eastAsia="仿宋" w:cs="仿宋"/>
          <w:b/>
          <w:bCs/>
          <w:color w:val="000000" w:themeColor="text1"/>
          <w:spacing w:val="-4"/>
          <w:sz w:val="28"/>
          <w:szCs w:val="28"/>
          <w:highlight w:val="none"/>
          <w14:textFill>
            <w14:solidFill>
              <w14:schemeClr w14:val="tx1"/>
            </w14:solidFill>
          </w14:textFill>
        </w:rPr>
        <w:t>投标人须承诺：</w:t>
      </w:r>
      <w:r>
        <w:rPr>
          <w:rFonts w:hint="eastAsia" w:ascii="仿宋" w:hAnsi="仿宋" w:eastAsia="仿宋" w:cs="仿宋"/>
          <w:b/>
          <w:bCs/>
          <w:highlight w:val="none"/>
        </w:rPr>
        <w:t>拟派</w:t>
      </w:r>
      <w:r>
        <w:rPr>
          <w:rFonts w:hint="eastAsia" w:ascii="仿宋" w:hAnsi="仿宋" w:eastAsia="仿宋" w:cs="仿宋"/>
          <w:b/>
          <w:bCs/>
          <w:highlight w:val="none"/>
          <w:lang w:eastAsia="zh-CN"/>
        </w:rPr>
        <w:t>本项目</w:t>
      </w:r>
      <w:r>
        <w:rPr>
          <w:rFonts w:hint="eastAsia" w:ascii="仿宋" w:hAnsi="仿宋" w:eastAsia="仿宋" w:cs="仿宋"/>
          <w:b/>
          <w:bCs/>
          <w:highlight w:val="none"/>
          <w:lang w:val="en-US" w:eastAsia="zh-CN"/>
        </w:rPr>
        <w:t>物业</w:t>
      </w:r>
      <w:r>
        <w:rPr>
          <w:rFonts w:hint="eastAsia" w:ascii="仿宋" w:hAnsi="仿宋" w:eastAsia="仿宋" w:cs="仿宋"/>
          <w:b/>
          <w:bCs/>
          <w:highlight w:val="none"/>
        </w:rPr>
        <w:t>服务人员总数不得少于</w:t>
      </w:r>
      <w:r>
        <w:rPr>
          <w:rFonts w:hint="eastAsia" w:ascii="仿宋" w:hAnsi="仿宋" w:eastAsia="仿宋" w:cs="仿宋"/>
          <w:b/>
          <w:bCs/>
          <w:highlight w:val="none"/>
          <w:lang w:val="en-US" w:eastAsia="zh-CN"/>
        </w:rPr>
        <w:t>65</w:t>
      </w:r>
      <w:r>
        <w:rPr>
          <w:rFonts w:hint="eastAsia" w:ascii="仿宋" w:hAnsi="仿宋" w:eastAsia="仿宋" w:cs="仿宋"/>
          <w:b/>
          <w:bCs/>
          <w:highlight w:val="none"/>
        </w:rPr>
        <w:t>人，所有</w:t>
      </w:r>
      <w:r>
        <w:rPr>
          <w:rFonts w:hint="eastAsia" w:ascii="仿宋" w:hAnsi="仿宋" w:eastAsia="仿宋" w:cs="仿宋"/>
          <w:b/>
          <w:bCs/>
          <w:highlight w:val="none"/>
          <w:lang w:val="en-US" w:eastAsia="zh-CN"/>
        </w:rPr>
        <w:t>物业</w:t>
      </w:r>
      <w:r>
        <w:rPr>
          <w:rFonts w:hint="eastAsia" w:ascii="仿宋" w:hAnsi="仿宋" w:eastAsia="仿宋" w:cs="仿宋"/>
          <w:b/>
          <w:bCs/>
          <w:highlight w:val="none"/>
        </w:rPr>
        <w:t>服务人员身体健康</w:t>
      </w:r>
      <w:r>
        <w:rPr>
          <w:rFonts w:hint="eastAsia" w:ascii="仿宋" w:hAnsi="仿宋" w:eastAsia="仿宋" w:cs="仿宋"/>
          <w:b/>
          <w:bCs/>
          <w:highlight w:val="none"/>
          <w:lang w:val="en-US" w:eastAsia="zh-CN"/>
        </w:rPr>
        <w:t>并</w:t>
      </w:r>
      <w:r>
        <w:rPr>
          <w:rFonts w:hint="eastAsia" w:ascii="仿宋" w:hAnsi="仿宋" w:eastAsia="仿宋" w:cs="仿宋"/>
          <w:b/>
          <w:bCs/>
          <w:highlight w:val="none"/>
        </w:rPr>
        <w:t>能胜任本职工作。</w:t>
      </w:r>
    </w:p>
    <w:p w14:paraId="0B642DBB">
      <w:pPr>
        <w:pStyle w:val="5"/>
        <w:widowControl w:val="0"/>
        <w:spacing w:afterLines="0" w:line="500" w:lineRule="exact"/>
        <w:ind w:firstLine="566"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投标人须承诺：</w:t>
      </w:r>
      <w:r>
        <w:rPr>
          <w:rFonts w:hint="eastAsia" w:ascii="仿宋" w:hAnsi="仿宋" w:eastAsia="仿宋" w:cs="仿宋"/>
          <w:b/>
          <w:bCs/>
          <w:highlight w:val="none"/>
        </w:rPr>
        <w:t>拟任项目经理不得同时兼任其他项目的管理岗位，且不得随意更换，如需更换则需经过采购人同意。</w:t>
      </w:r>
    </w:p>
    <w:p w14:paraId="4CE5757A">
      <w:pPr>
        <w:pStyle w:val="5"/>
        <w:spacing w:afterLines="0" w:line="500" w:lineRule="exact"/>
        <w:ind w:firstLine="566" w:firstLineChars="200"/>
        <w:rPr>
          <w:rFonts w:hint="eastAsia" w:ascii="仿宋" w:hAnsi="仿宋" w:eastAsia="仿宋" w:cs="仿宋"/>
          <w:b/>
          <w:bCs/>
          <w:color w:val="000000"/>
          <w:kern w:val="2"/>
          <w:sz w:val="28"/>
          <w:szCs w:val="28"/>
          <w:highlight w:val="none"/>
          <w:lang w:eastAsia="zh-CN"/>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bCs/>
          <w:highlight w:val="none"/>
        </w:rPr>
        <w:t>投</w:t>
      </w:r>
      <w:r>
        <w:rPr>
          <w:rFonts w:hint="eastAsia" w:ascii="仿宋" w:hAnsi="仿宋" w:eastAsia="仿宋" w:cs="仿宋"/>
          <w:b/>
          <w:bCs/>
          <w:color w:val="000000"/>
          <w:sz w:val="28"/>
          <w:szCs w:val="28"/>
          <w:highlight w:val="none"/>
        </w:rPr>
        <w:t>标人须承诺：</w:t>
      </w:r>
      <w:r>
        <w:rPr>
          <w:rFonts w:hint="eastAsia" w:ascii="仿宋" w:hAnsi="仿宋" w:eastAsia="仿宋" w:cs="仿宋"/>
          <w:b/>
          <w:bCs/>
          <w:highlight w:val="none"/>
        </w:rPr>
        <w:t>拟派</w:t>
      </w:r>
      <w:r>
        <w:rPr>
          <w:rFonts w:hint="eastAsia" w:ascii="仿宋" w:hAnsi="仿宋" w:eastAsia="仿宋" w:cs="仿宋"/>
          <w:b/>
          <w:bCs/>
          <w:highlight w:val="none"/>
          <w:lang w:eastAsia="zh-CN"/>
        </w:rPr>
        <w:t>本项目</w:t>
      </w:r>
      <w:r>
        <w:rPr>
          <w:rFonts w:hint="eastAsia" w:ascii="仿宋" w:hAnsi="仿宋" w:eastAsia="仿宋" w:cs="仿宋"/>
          <w:b/>
          <w:bCs/>
          <w:highlight w:val="none"/>
          <w:lang w:val="en-US" w:eastAsia="zh-CN"/>
        </w:rPr>
        <w:t>物业</w:t>
      </w:r>
      <w:r>
        <w:rPr>
          <w:rFonts w:hint="eastAsia" w:ascii="仿宋" w:hAnsi="仿宋" w:eastAsia="仿宋" w:cs="仿宋"/>
          <w:b/>
          <w:bCs/>
          <w:highlight w:val="none"/>
        </w:rPr>
        <w:t>服务人员</w:t>
      </w:r>
      <w:r>
        <w:rPr>
          <w:rFonts w:hint="eastAsia" w:ascii="仿宋" w:hAnsi="仿宋" w:eastAsia="仿宋" w:cs="仿宋"/>
          <w:b/>
          <w:bCs/>
          <w:highlight w:val="none"/>
          <w:lang w:val="en-US" w:eastAsia="zh-CN"/>
        </w:rPr>
        <w:t>65</w:t>
      </w:r>
      <w:r>
        <w:rPr>
          <w:rFonts w:hint="eastAsia" w:ascii="仿宋" w:hAnsi="仿宋" w:eastAsia="仿宋" w:cs="仿宋"/>
          <w:b/>
          <w:bCs/>
          <w:highlight w:val="none"/>
        </w:rPr>
        <w:t>人，</w:t>
      </w:r>
      <w:r>
        <w:rPr>
          <w:rFonts w:hint="eastAsia" w:ascii="仿宋" w:hAnsi="仿宋" w:eastAsia="仿宋" w:cs="仿宋"/>
          <w:b/>
          <w:bCs/>
          <w:highlight w:val="none"/>
          <w:lang w:val="en-US" w:eastAsia="zh-CN"/>
        </w:rPr>
        <w:t>均</w:t>
      </w:r>
      <w:r>
        <w:rPr>
          <w:rFonts w:hint="eastAsia" w:ascii="仿宋" w:hAnsi="仿宋" w:eastAsia="仿宋" w:cs="仿宋"/>
          <w:b/>
          <w:bCs/>
          <w:color w:val="000000"/>
          <w:kern w:val="2"/>
          <w:sz w:val="28"/>
          <w:szCs w:val="28"/>
          <w:highlight w:val="none"/>
          <w:lang w:val="en-US" w:eastAsia="zh-CN"/>
        </w:rPr>
        <w:t>具有岗前培训</w:t>
      </w:r>
      <w:r>
        <w:rPr>
          <w:rFonts w:hint="eastAsia" w:ascii="仿宋" w:hAnsi="仿宋" w:eastAsia="仿宋" w:cs="仿宋"/>
          <w:b/>
          <w:bCs/>
          <w:color w:val="000000"/>
          <w:kern w:val="2"/>
          <w:sz w:val="28"/>
          <w:szCs w:val="28"/>
          <w:highlight w:val="none"/>
        </w:rPr>
        <w:t>证明</w:t>
      </w:r>
      <w:r>
        <w:rPr>
          <w:rFonts w:hint="eastAsia" w:ascii="仿宋" w:hAnsi="仿宋" w:eastAsia="仿宋" w:cs="仿宋"/>
          <w:b/>
          <w:bCs/>
          <w:color w:val="000000"/>
          <w:kern w:val="2"/>
          <w:sz w:val="28"/>
          <w:szCs w:val="28"/>
          <w:highlight w:val="none"/>
          <w:lang w:val="en-US" w:eastAsia="zh-CN"/>
        </w:rPr>
        <w:t>及</w:t>
      </w:r>
      <w:r>
        <w:rPr>
          <w:rFonts w:hint="eastAsia" w:ascii="仿宋" w:hAnsi="仿宋" w:eastAsia="仿宋" w:cs="仿宋"/>
          <w:b/>
          <w:bCs/>
          <w:color w:val="000000"/>
          <w:kern w:val="2"/>
          <w:sz w:val="28"/>
          <w:szCs w:val="28"/>
          <w:highlight w:val="none"/>
          <w:lang w:eastAsia="zh-CN"/>
        </w:rPr>
        <w:t>健康证明。</w:t>
      </w:r>
    </w:p>
    <w:p w14:paraId="0BC1F363">
      <w:pPr>
        <w:keepNext w:val="0"/>
        <w:keepLines w:val="0"/>
        <w:pageBreakBefore w:val="0"/>
        <w:widowControl/>
        <w:kinsoku/>
        <w:wordWrap/>
        <w:overflowPunct/>
        <w:topLinePunct w:val="0"/>
        <w:autoSpaceDE/>
        <w:autoSpaceDN/>
        <w:bidi w:val="0"/>
        <w:adjustRightInd/>
        <w:snapToGrid/>
        <w:spacing w:afterLines="0" w:line="480" w:lineRule="exact"/>
        <w:ind w:firstLine="550" w:firstLineChars="200"/>
        <w:textAlignment w:val="auto"/>
        <w:rPr>
          <w:rFonts w:hint="eastAsia" w:ascii="仿宋" w:hAnsi="仿宋" w:eastAsia="仿宋" w:cs="仿宋"/>
          <w:b/>
          <w:bCs/>
          <w:color w:val="000000" w:themeColor="text1"/>
          <w:spacing w:val="-4"/>
          <w:sz w:val="28"/>
          <w:szCs w:val="28"/>
          <w:highlight w:val="none"/>
          <w:lang w:val="en-US" w:eastAsia="zh-CN"/>
          <w14:textFill>
            <w14:solidFill>
              <w14:schemeClr w14:val="tx1"/>
            </w14:solidFill>
          </w14:textFill>
        </w:rPr>
      </w:pPr>
    </w:p>
    <w:p w14:paraId="6736CBF7">
      <w:pPr>
        <w:numPr>
          <w:ilvl w:val="255"/>
          <w:numId w:val="0"/>
        </w:numPr>
        <w:spacing w:line="240" w:lineRule="auto"/>
        <w:ind w:firstLine="426" w:firstLineChars="200"/>
        <w:rPr>
          <w:rFonts w:ascii="宋体" w:hAnsi="宋体" w:eastAsia="宋体" w:cs="宋体"/>
          <w:b/>
          <w:bCs/>
          <w:sz w:val="21"/>
          <w:szCs w:val="21"/>
        </w:rPr>
      </w:pPr>
    </w:p>
    <w:p w14:paraId="2B0E781A">
      <w:pPr>
        <w:numPr>
          <w:ilvl w:val="255"/>
          <w:numId w:val="0"/>
        </w:numPr>
        <w:spacing w:line="240" w:lineRule="auto"/>
        <w:ind w:firstLine="426" w:firstLineChars="200"/>
        <w:rPr>
          <w:rFonts w:ascii="宋体" w:hAnsi="宋体" w:eastAsia="宋体" w:cs="宋体"/>
          <w:b/>
          <w:bCs/>
          <w:sz w:val="21"/>
          <w:szCs w:val="21"/>
        </w:rPr>
      </w:pPr>
      <w:r>
        <w:rPr>
          <w:rFonts w:ascii="宋体" w:hAnsi="宋体" w:eastAsia="宋体" w:cs="宋体"/>
          <w:b/>
          <w:bCs/>
          <w:sz w:val="21"/>
          <w:szCs w:val="21"/>
        </w:rPr>
        <w:t>备注:</w:t>
      </w:r>
    </w:p>
    <w:p w14:paraId="12E6DF12">
      <w:pPr>
        <w:widowControl w:val="0"/>
        <w:spacing w:line="240" w:lineRule="auto"/>
        <w:ind w:firstLine="426" w:firstLineChars="200"/>
        <w:rPr>
          <w:rFonts w:ascii="宋体" w:hAnsi="宋体" w:eastAsia="宋体" w:cs="宋体"/>
          <w:b/>
          <w:bCs/>
          <w:sz w:val="21"/>
          <w:szCs w:val="21"/>
        </w:rPr>
      </w:pPr>
      <w:r>
        <w:rPr>
          <w:rFonts w:hint="eastAsia" w:ascii="宋体" w:hAnsi="宋体" w:eastAsia="宋体" w:cs="宋体"/>
          <w:b/>
          <w:bCs/>
          <w:sz w:val="21"/>
          <w:szCs w:val="21"/>
        </w:rPr>
        <w:t>1、“★”内容为实质性条款，投标人应在第六章“投标文件构成及格式”中的“实质性条款响应”处逐条响应，未逐条响应、有缺漏将被视为无效响应；</w:t>
      </w:r>
    </w:p>
    <w:p w14:paraId="7AF1472A">
      <w:pPr>
        <w:spacing w:line="240" w:lineRule="auto"/>
        <w:ind w:firstLine="426" w:firstLineChars="200"/>
        <w:rPr>
          <w:rFonts w:ascii="宋体" w:hAnsi="宋体" w:eastAsia="宋体" w:cs="宋体"/>
          <w:b/>
          <w:bCs/>
          <w:sz w:val="21"/>
          <w:szCs w:val="21"/>
        </w:rPr>
      </w:pPr>
      <w:r>
        <w:rPr>
          <w:rFonts w:hint="eastAsia" w:ascii="宋体" w:hAnsi="宋体" w:eastAsia="宋体" w:cs="宋体"/>
          <w:b/>
          <w:bCs/>
          <w:sz w:val="21"/>
          <w:szCs w:val="21"/>
        </w:rPr>
        <w:t>2、“▲”内容项为重要要求，投标人未达到这些要求或未响应将影响评分。</w:t>
      </w:r>
    </w:p>
    <w:p w14:paraId="482D063A">
      <w:pPr>
        <w:widowControl w:val="0"/>
        <w:spacing w:line="500" w:lineRule="exact"/>
        <w:outlineLvl w:val="1"/>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附件：</w:t>
      </w:r>
    </w:p>
    <w:p w14:paraId="5C12F42D">
      <w:pPr>
        <w:spacing w:line="500" w:lineRule="exact"/>
        <w:jc w:val="center"/>
        <w:rPr>
          <w:rFonts w:hint="eastAsia" w:ascii="仿宋" w:hAnsi="仿宋" w:eastAsia="仿宋" w:cs="仿宋"/>
          <w:b/>
          <w:bCs/>
          <w:highlight w:val="none"/>
        </w:rPr>
      </w:pPr>
      <w:r>
        <w:rPr>
          <w:rFonts w:hint="eastAsia" w:ascii="仿宋" w:hAnsi="仿宋" w:eastAsia="仿宋" w:cs="仿宋"/>
          <w:b/>
          <w:bCs/>
          <w:highlight w:val="none"/>
          <w:lang w:eastAsia="zh-CN"/>
        </w:rPr>
        <w:t>《</w:t>
      </w:r>
      <w:r>
        <w:rPr>
          <w:rFonts w:hint="eastAsia" w:ascii="仿宋" w:hAnsi="仿宋" w:eastAsia="仿宋" w:cs="仿宋"/>
          <w:b/>
          <w:bCs/>
          <w:highlight w:val="none"/>
        </w:rPr>
        <w:t>保洁工作考核标准</w:t>
      </w:r>
      <w:r>
        <w:rPr>
          <w:rFonts w:hint="eastAsia" w:ascii="仿宋" w:hAnsi="仿宋" w:eastAsia="仿宋" w:cs="仿宋"/>
          <w:b/>
          <w:bCs/>
          <w:highlight w:val="none"/>
          <w:lang w:eastAsia="zh-CN"/>
        </w:rPr>
        <w:t>》</w:t>
      </w:r>
    </w:p>
    <w:p w14:paraId="51F05B47">
      <w:pPr>
        <w:pStyle w:val="5"/>
        <w:spacing w:line="500" w:lineRule="exact"/>
        <w:ind w:firstLine="566" w:firstLineChars="200"/>
        <w:rPr>
          <w:rFonts w:ascii="仿宋" w:hAnsi="仿宋" w:eastAsia="仿宋" w:cs="仿宋"/>
          <w:kern w:val="2"/>
          <w:sz w:val="28"/>
          <w:szCs w:val="28"/>
        </w:rPr>
      </w:pPr>
      <w:r>
        <w:rPr>
          <w:rFonts w:hint="eastAsia" w:ascii="仿宋" w:hAnsi="仿宋" w:eastAsia="仿宋" w:cs="仿宋"/>
          <w:kern w:val="2"/>
          <w:sz w:val="28"/>
          <w:szCs w:val="28"/>
        </w:rPr>
        <w:t>一、基本要求</w:t>
      </w:r>
    </w:p>
    <w:p w14:paraId="4C7D6013">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eastAsia="zh-CN"/>
        </w:rPr>
        <w:t>一</w:t>
      </w:r>
      <w:r>
        <w:rPr>
          <w:rFonts w:hint="eastAsia" w:ascii="仿宋" w:hAnsi="仿宋" w:eastAsia="仿宋" w:cs="仿宋"/>
          <w:kern w:val="2"/>
          <w:sz w:val="28"/>
          <w:szCs w:val="28"/>
        </w:rPr>
        <w:t>）</w:t>
      </w:r>
      <w:r>
        <w:rPr>
          <w:rFonts w:hint="eastAsia" w:ascii="仿宋" w:hAnsi="仿宋" w:eastAsia="仿宋" w:cs="仿宋"/>
          <w:color w:val="000000"/>
          <w:kern w:val="2"/>
          <w:sz w:val="28"/>
          <w:szCs w:val="28"/>
        </w:rPr>
        <w:t xml:space="preserve">公共区域地面无烟头、无灰尘、无废弃物、无污迹、痰迹、水渍及粘附物、干净整洁,地面洁净显光泽。 </w:t>
      </w:r>
    </w:p>
    <w:p w14:paraId="2A35F801">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eastAsia="zh-CN"/>
        </w:rPr>
        <w:t>二</w:t>
      </w:r>
      <w:r>
        <w:rPr>
          <w:rFonts w:hint="eastAsia" w:ascii="仿宋" w:hAnsi="仿宋" w:eastAsia="仿宋" w:cs="仿宋"/>
          <w:kern w:val="2"/>
          <w:sz w:val="28"/>
          <w:szCs w:val="28"/>
        </w:rPr>
        <w:t>）</w:t>
      </w:r>
      <w:r>
        <w:rPr>
          <w:rFonts w:hint="eastAsia" w:ascii="仿宋" w:hAnsi="仿宋" w:eastAsia="仿宋" w:cs="仿宋"/>
          <w:color w:val="000000"/>
          <w:kern w:val="2"/>
          <w:sz w:val="28"/>
          <w:szCs w:val="28"/>
        </w:rPr>
        <w:t xml:space="preserve">墙面、窗台、墙角、踢脚线、天花板无污渍、无积尘、蜘蛛网；玻璃:无污迹、目视无指印、光亮透明、窗框清洁不沾灰。 </w:t>
      </w:r>
    </w:p>
    <w:p w14:paraId="50D86750">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三</w:t>
      </w:r>
      <w:r>
        <w:rPr>
          <w:rFonts w:hint="eastAsia" w:ascii="仿宋" w:hAnsi="仿宋" w:eastAsia="仿宋" w:cs="仿宋"/>
          <w:kern w:val="2"/>
          <w:sz w:val="28"/>
          <w:szCs w:val="28"/>
        </w:rPr>
        <w:t>）</w:t>
      </w:r>
      <w:r>
        <w:rPr>
          <w:rFonts w:hint="eastAsia" w:ascii="仿宋" w:hAnsi="仿宋" w:eastAsia="仿宋" w:cs="仿宋"/>
          <w:color w:val="000000"/>
          <w:kern w:val="2"/>
          <w:sz w:val="28"/>
          <w:szCs w:val="28"/>
        </w:rPr>
        <w:t xml:space="preserve">公共设施无积尘、无污物；不锈钢明亮、牌匾无积尘。 </w:t>
      </w:r>
    </w:p>
    <w:p w14:paraId="0D18B415">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eastAsia="zh-CN"/>
        </w:rPr>
        <w:t>四</w:t>
      </w:r>
      <w:r>
        <w:rPr>
          <w:rFonts w:hint="eastAsia" w:ascii="仿宋" w:hAnsi="仿宋" w:eastAsia="仿宋" w:cs="仿宋"/>
          <w:kern w:val="2"/>
          <w:sz w:val="28"/>
          <w:szCs w:val="28"/>
        </w:rPr>
        <w:t>）</w:t>
      </w:r>
      <w:r>
        <w:rPr>
          <w:rFonts w:hint="eastAsia" w:ascii="仿宋" w:hAnsi="仿宋" w:eastAsia="仿宋" w:cs="仿宋"/>
          <w:color w:val="000000"/>
          <w:kern w:val="2"/>
          <w:sz w:val="28"/>
          <w:szCs w:val="28"/>
        </w:rPr>
        <w:t>公共区域的门窗、玻璃，干净明亮、整洁、无污迹、无积尘；墙面:保持墙体洁白,无污渍无随便张贴物。大厅:无垃圾、无碎屑、无污垢、无死角。</w:t>
      </w:r>
    </w:p>
    <w:p w14:paraId="01462B8A">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eastAsia="zh-CN"/>
        </w:rPr>
        <w:t>五</w:t>
      </w:r>
      <w:r>
        <w:rPr>
          <w:rFonts w:hint="eastAsia" w:ascii="仿宋" w:hAnsi="仿宋" w:eastAsia="仿宋" w:cs="仿宋"/>
          <w:kern w:val="2"/>
          <w:sz w:val="28"/>
          <w:szCs w:val="28"/>
        </w:rPr>
        <w:t>）</w:t>
      </w:r>
      <w:r>
        <w:rPr>
          <w:rFonts w:hint="eastAsia" w:ascii="仿宋" w:hAnsi="仿宋" w:eastAsia="仿宋" w:cs="仿宋"/>
          <w:color w:val="000000"/>
          <w:kern w:val="2"/>
          <w:sz w:val="28"/>
          <w:szCs w:val="28"/>
        </w:rPr>
        <w:t>课桌:无灰尘无污渍光洁。</w:t>
      </w:r>
    </w:p>
    <w:p w14:paraId="16EEDCE1">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六</w:t>
      </w:r>
      <w:r>
        <w:rPr>
          <w:rFonts w:hint="eastAsia" w:ascii="仿宋" w:hAnsi="仿宋" w:eastAsia="仿宋" w:cs="仿宋"/>
          <w:kern w:val="2"/>
          <w:sz w:val="28"/>
          <w:szCs w:val="28"/>
        </w:rPr>
        <w:t>）</w:t>
      </w:r>
      <w:r>
        <w:rPr>
          <w:rFonts w:hint="eastAsia" w:ascii="仿宋" w:hAnsi="仿宋" w:eastAsia="仿宋" w:cs="仿宋"/>
          <w:color w:val="000000"/>
          <w:kern w:val="2"/>
          <w:sz w:val="28"/>
          <w:szCs w:val="28"/>
        </w:rPr>
        <w:t>灯具:表面无灰尘,保证灯具照明效果。</w:t>
      </w:r>
    </w:p>
    <w:p w14:paraId="36F74068">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eastAsia="zh-CN"/>
        </w:rPr>
        <w:t>七</w:t>
      </w:r>
      <w:r>
        <w:rPr>
          <w:rFonts w:hint="eastAsia" w:ascii="仿宋" w:hAnsi="仿宋" w:eastAsia="仿宋" w:cs="仿宋"/>
          <w:kern w:val="2"/>
          <w:sz w:val="28"/>
          <w:szCs w:val="28"/>
        </w:rPr>
        <w:t>）</w:t>
      </w:r>
      <w:r>
        <w:rPr>
          <w:rFonts w:hint="eastAsia" w:ascii="仿宋" w:hAnsi="仿宋" w:eastAsia="仿宋" w:cs="仿宋"/>
          <w:color w:val="000000"/>
          <w:kern w:val="2"/>
          <w:sz w:val="28"/>
          <w:szCs w:val="28"/>
        </w:rPr>
        <w:t>楼梯</w:t>
      </w:r>
    </w:p>
    <w:p w14:paraId="52A16262">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1</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地面阶梯洁净无沙尘、水渍、无杂物。</w:t>
      </w:r>
    </w:p>
    <w:p w14:paraId="5BAB4857">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2</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 xml:space="preserve">楼层梯间顶面无蜘蛛网。 </w:t>
      </w:r>
    </w:p>
    <w:p w14:paraId="4F0D5A15">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eastAsia="zh-CN"/>
        </w:rPr>
        <w:t>八</w:t>
      </w:r>
      <w:r>
        <w:rPr>
          <w:rFonts w:hint="eastAsia" w:ascii="仿宋" w:hAnsi="仿宋" w:eastAsia="仿宋" w:cs="仿宋"/>
          <w:kern w:val="2"/>
          <w:sz w:val="28"/>
          <w:szCs w:val="28"/>
        </w:rPr>
        <w:t>）</w:t>
      </w:r>
      <w:r>
        <w:rPr>
          <w:rFonts w:hint="eastAsia" w:ascii="仿宋" w:hAnsi="仿宋" w:eastAsia="仿宋" w:cs="仿宋"/>
          <w:color w:val="000000"/>
          <w:kern w:val="2"/>
          <w:sz w:val="28"/>
          <w:szCs w:val="28"/>
        </w:rPr>
        <w:t>卫生间</w:t>
      </w:r>
    </w:p>
    <w:p w14:paraId="1778FBC9">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1</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地面：无污迹、无水泥迹、无口香糖胶迹、无积水、无堆放杂物。</w:t>
      </w:r>
    </w:p>
    <w:p w14:paraId="0F082FCD">
      <w:pPr>
        <w:pStyle w:val="5"/>
        <w:spacing w:line="500" w:lineRule="exact"/>
        <w:ind w:left="0" w:leftChars="0"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2</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 xml:space="preserve">墙面：无污迹、无乱张贴物。天花：无污迹、无积尘、无蜘蛛网、无霉迹。卫生间隔档洁净、无污渍、无乱写乱画。 </w:t>
      </w:r>
    </w:p>
    <w:p w14:paraId="388710AB">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3</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 xml:space="preserve">灯光管罩：无污迹、无积尘、无蜘蛛网、无霉迹。 </w:t>
      </w:r>
    </w:p>
    <w:p w14:paraId="47580974">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4</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洗手盆：表面光洁、无污迹。排气口：无污迹、无积尘、无蜘蛛网、无霉迹。</w:t>
      </w:r>
    </w:p>
    <w:p w14:paraId="21006CD3">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5</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尿槽：表面光洁、无尿迹、无污迹、无水锈迹、无烟头、无杂物、无异味。厕座：厕盖及厕体内外表面光洁，其内无尿迹、无污迹、无水锈迹、无阻塞。</w:t>
      </w:r>
    </w:p>
    <w:p w14:paraId="14F130A3">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6</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 xml:space="preserve">门窗：门窗玻璃明亮、纱窗无灰尘：无污迹、无积尘、无乱张贴物。 </w:t>
      </w:r>
    </w:p>
    <w:p w14:paraId="3BDC4053">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7</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地漏及水沟：无污物积聚、无堵塞。</w:t>
      </w:r>
    </w:p>
    <w:p w14:paraId="27D65B13">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二、人工清扫保洁作业要求</w:t>
      </w:r>
    </w:p>
    <w:p w14:paraId="5ECB4CAF">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一</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清扫教室要彻底干净，清扫过的地面不得留有废弃物。扫清教室、走道、卫生间的垃圾后，要及时清运。</w:t>
      </w:r>
    </w:p>
    <w:p w14:paraId="0ADC1ECB">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二</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保洁员要文明作业，注意扬尘。</w:t>
      </w:r>
    </w:p>
    <w:p w14:paraId="1627ADA0">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三、楼内的垃圾箱保洁作业要求</w:t>
      </w:r>
    </w:p>
    <w:p w14:paraId="1CE638DF">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rPr>
        <w:t>楼内的垃圾箱应清洁卫生，及时收集无满溢，箱体每天至少保洁1次。清扫垃圾应运到指定收集点，进入收集容器。垃圾倾倒后应将垃圾收集容器复位，摆放整齐，无洒落，容器内无留存垃圾及污水。</w:t>
      </w:r>
    </w:p>
    <w:p w14:paraId="45EC5900">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kern w:val="2"/>
          <w:sz w:val="28"/>
          <w:szCs w:val="28"/>
        </w:rPr>
        <w:t>四</w:t>
      </w:r>
      <w:r>
        <w:rPr>
          <w:rFonts w:hint="eastAsia" w:ascii="仿宋" w:hAnsi="仿宋" w:eastAsia="仿宋" w:cs="仿宋"/>
          <w:color w:val="000000"/>
          <w:kern w:val="2"/>
          <w:sz w:val="28"/>
          <w:szCs w:val="28"/>
        </w:rPr>
        <w:t>、楼内保洁的文明作业要求：</w:t>
      </w:r>
    </w:p>
    <w:p w14:paraId="3AD24FD5">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一</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保洁人员应规范着装，保持衣冠整齐，并佩戴工号牌。</w:t>
      </w:r>
    </w:p>
    <w:p w14:paraId="1688AF08">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二</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保洁人员应规范操作，清扫时应控制扬尘。</w:t>
      </w:r>
    </w:p>
    <w:p w14:paraId="15D93276">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三</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保洁工具应整洁、摆放整齐、无破损。</w:t>
      </w:r>
    </w:p>
    <w:p w14:paraId="765413E6">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四</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在收集、运输垃圾过程中不得有洒落、飞扬、滴漏现象。</w:t>
      </w:r>
    </w:p>
    <w:p w14:paraId="5BC1F2BA">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kern w:val="2"/>
          <w:sz w:val="28"/>
          <w:szCs w:val="28"/>
        </w:rPr>
        <w:t>五</w:t>
      </w:r>
      <w:r>
        <w:rPr>
          <w:rFonts w:hint="eastAsia" w:ascii="仿宋" w:hAnsi="仿宋" w:eastAsia="仿宋" w:cs="仿宋"/>
          <w:color w:val="000000"/>
          <w:kern w:val="2"/>
          <w:sz w:val="28"/>
          <w:szCs w:val="28"/>
        </w:rPr>
        <w:t>、采购人根据管理人员打分情况及</w:t>
      </w:r>
      <w:r>
        <w:rPr>
          <w:rFonts w:hint="eastAsia" w:ascii="仿宋" w:hAnsi="仿宋" w:eastAsia="仿宋" w:cs="仿宋"/>
          <w:color w:val="000000"/>
          <w:kern w:val="2"/>
          <w:sz w:val="28"/>
          <w:szCs w:val="28"/>
          <w:lang w:val="en-US" w:eastAsia="zh-CN"/>
        </w:rPr>
        <w:t>中标</w:t>
      </w:r>
      <w:r>
        <w:rPr>
          <w:rFonts w:hint="eastAsia" w:ascii="仿宋" w:hAnsi="仿宋" w:eastAsia="仿宋" w:cs="仿宋"/>
          <w:color w:val="000000"/>
          <w:kern w:val="2"/>
          <w:sz w:val="28"/>
          <w:szCs w:val="28"/>
          <w:lang w:eastAsia="zh-CN"/>
        </w:rPr>
        <w:t>人</w:t>
      </w:r>
      <w:r>
        <w:rPr>
          <w:rFonts w:hint="eastAsia" w:ascii="仿宋" w:hAnsi="仿宋" w:eastAsia="仿宋" w:cs="仿宋"/>
          <w:color w:val="000000"/>
          <w:kern w:val="2"/>
          <w:sz w:val="28"/>
          <w:szCs w:val="28"/>
        </w:rPr>
        <w:t>协议履行情况对</w:t>
      </w:r>
      <w:r>
        <w:rPr>
          <w:rFonts w:hint="eastAsia" w:ascii="仿宋" w:hAnsi="仿宋" w:eastAsia="仿宋" w:cs="仿宋"/>
          <w:color w:val="000000"/>
          <w:kern w:val="2"/>
          <w:sz w:val="28"/>
          <w:szCs w:val="28"/>
          <w:lang w:eastAsia="zh-CN"/>
        </w:rPr>
        <w:t>中标人</w:t>
      </w:r>
      <w:r>
        <w:rPr>
          <w:rFonts w:hint="eastAsia" w:ascii="仿宋" w:hAnsi="仿宋" w:eastAsia="仿宋" w:cs="仿宋"/>
          <w:color w:val="000000"/>
          <w:kern w:val="2"/>
          <w:sz w:val="28"/>
          <w:szCs w:val="28"/>
        </w:rPr>
        <w:t>进行考核，具体考核办法如下：</w:t>
      </w:r>
    </w:p>
    <w:p w14:paraId="73F9EDB5">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一</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后勤</w:t>
      </w:r>
      <w:r>
        <w:rPr>
          <w:rFonts w:hint="eastAsia" w:ascii="仿宋" w:hAnsi="仿宋" w:eastAsia="仿宋" w:cs="仿宋"/>
          <w:kern w:val="2"/>
          <w:sz w:val="28"/>
          <w:szCs w:val="28"/>
        </w:rPr>
        <w:t>保障处后勤服务中心</w:t>
      </w:r>
      <w:r>
        <w:rPr>
          <w:rFonts w:hint="eastAsia" w:ascii="仿宋" w:hAnsi="仿宋" w:eastAsia="仿宋" w:cs="仿宋"/>
          <w:color w:val="000000"/>
          <w:kern w:val="2"/>
          <w:sz w:val="28"/>
          <w:szCs w:val="28"/>
        </w:rPr>
        <w:t>每月对</w:t>
      </w:r>
      <w:r>
        <w:rPr>
          <w:rFonts w:hint="eastAsia" w:ascii="仿宋" w:hAnsi="仿宋" w:eastAsia="仿宋" w:cs="仿宋"/>
          <w:color w:val="000000"/>
          <w:kern w:val="2"/>
          <w:sz w:val="28"/>
          <w:szCs w:val="28"/>
          <w:lang w:val="en-US" w:eastAsia="zh-CN"/>
        </w:rPr>
        <w:t>投标人</w:t>
      </w:r>
      <w:r>
        <w:rPr>
          <w:rFonts w:hint="eastAsia" w:ascii="仿宋" w:hAnsi="仿宋" w:eastAsia="仿宋" w:cs="仿宋"/>
          <w:color w:val="000000"/>
          <w:kern w:val="2"/>
          <w:sz w:val="28"/>
          <w:szCs w:val="28"/>
        </w:rPr>
        <w:t xml:space="preserve">主要工作内容定期进行检查考评，要求服务质量必须达到合格基准（85分（含）为合格基准，85分以下每低1分扣除当月服务费1000.00元）。 </w:t>
      </w:r>
    </w:p>
    <w:p w14:paraId="4216BC2B">
      <w:pPr>
        <w:pStyle w:val="5"/>
        <w:spacing w:line="500" w:lineRule="exact"/>
        <w:ind w:firstLine="566" w:firstLineChars="200"/>
        <w:rPr>
          <w:rFonts w:hint="eastAsia" w:ascii="仿宋" w:hAnsi="仿宋" w:eastAsia="仿宋" w:cs="仿宋"/>
          <w:kern w:val="2"/>
          <w:sz w:val="28"/>
          <w:szCs w:val="28"/>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二</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rPr>
        <w:t>后勤保障处每年对</w:t>
      </w:r>
      <w:r>
        <w:rPr>
          <w:rFonts w:hint="eastAsia" w:ascii="仿宋" w:hAnsi="仿宋" w:eastAsia="仿宋" w:cs="仿宋"/>
          <w:color w:val="000000"/>
          <w:kern w:val="2"/>
          <w:sz w:val="28"/>
          <w:szCs w:val="28"/>
          <w:lang w:eastAsia="zh-CN"/>
        </w:rPr>
        <w:t>投标人</w:t>
      </w:r>
      <w:r>
        <w:rPr>
          <w:rFonts w:hint="eastAsia" w:ascii="仿宋" w:hAnsi="仿宋" w:eastAsia="仿宋" w:cs="仿宋"/>
          <w:color w:val="000000"/>
          <w:kern w:val="2"/>
          <w:sz w:val="28"/>
          <w:szCs w:val="28"/>
        </w:rPr>
        <w:t>服务进行考核，要求服务质量必须达到合格基准（85分（含）为合格基准</w:t>
      </w:r>
      <w:r>
        <w:rPr>
          <w:rFonts w:hint="eastAsia" w:ascii="仿宋" w:hAnsi="仿宋" w:eastAsia="仿宋" w:cs="仿宋"/>
          <w:kern w:val="2"/>
          <w:sz w:val="28"/>
          <w:szCs w:val="28"/>
        </w:rPr>
        <w:t>）</w:t>
      </w:r>
      <w:r>
        <w:rPr>
          <w:rFonts w:hint="eastAsia" w:ascii="仿宋" w:hAnsi="仿宋" w:eastAsia="仿宋" w:cs="仿宋"/>
          <w:color w:val="000000"/>
          <w:kern w:val="2"/>
          <w:sz w:val="28"/>
          <w:szCs w:val="28"/>
        </w:rPr>
        <w:t>。</w:t>
      </w:r>
    </w:p>
    <w:p w14:paraId="159F8F2F">
      <w:pPr>
        <w:spacing w:line="500" w:lineRule="exact"/>
        <w:contextualSpacing/>
        <w:jc w:val="center"/>
        <w:rPr>
          <w:rFonts w:hint="eastAsia" w:ascii="仿宋" w:hAnsi="仿宋" w:eastAsia="仿宋" w:cs="仿宋"/>
          <w:sz w:val="28"/>
          <w:szCs w:val="28"/>
          <w:highlight w:val="yellow"/>
        </w:rPr>
      </w:pPr>
      <w:r>
        <w:rPr>
          <w:rFonts w:hint="eastAsia" w:ascii="仿宋" w:hAnsi="仿宋" w:eastAsia="仿宋" w:cs="仿宋"/>
          <w:sz w:val="28"/>
          <w:szCs w:val="28"/>
          <w:lang w:val="en-US" w:eastAsia="zh-CN"/>
        </w:rPr>
        <w:t>杨凌职业技术学院</w:t>
      </w:r>
      <w:r>
        <w:rPr>
          <w:rFonts w:hint="eastAsia" w:ascii="仿宋" w:hAnsi="仿宋" w:eastAsia="仿宋" w:cs="仿宋"/>
          <w:sz w:val="28"/>
          <w:szCs w:val="28"/>
        </w:rPr>
        <w:t>室内物业考核监管评分表</w:t>
      </w:r>
    </w:p>
    <w:tbl>
      <w:tblPr>
        <w:tblStyle w:val="17"/>
        <w:tblW w:w="8795" w:type="dxa"/>
        <w:jc w:val="center"/>
        <w:tblLayout w:type="fixed"/>
        <w:tblCellMar>
          <w:top w:w="0" w:type="dxa"/>
          <w:left w:w="108" w:type="dxa"/>
          <w:bottom w:w="0" w:type="dxa"/>
          <w:right w:w="108" w:type="dxa"/>
        </w:tblCellMar>
      </w:tblPr>
      <w:tblGrid>
        <w:gridCol w:w="641"/>
        <w:gridCol w:w="413"/>
        <w:gridCol w:w="429"/>
        <w:gridCol w:w="3865"/>
        <w:gridCol w:w="1412"/>
        <w:gridCol w:w="837"/>
        <w:gridCol w:w="1198"/>
      </w:tblGrid>
      <w:tr w14:paraId="0696590D">
        <w:tblPrEx>
          <w:tblCellMar>
            <w:top w:w="0" w:type="dxa"/>
            <w:left w:w="108" w:type="dxa"/>
            <w:bottom w:w="0" w:type="dxa"/>
            <w:right w:w="108" w:type="dxa"/>
          </w:tblCellMar>
        </w:tblPrEx>
        <w:trPr>
          <w:trHeight w:val="480" w:hRule="atLeast"/>
          <w:jc w:val="center"/>
        </w:trPr>
        <w:tc>
          <w:tcPr>
            <w:tcW w:w="641" w:type="dxa"/>
            <w:vMerge w:val="restart"/>
            <w:tcBorders>
              <w:top w:val="single" w:color="auto" w:sz="4" w:space="0"/>
              <w:left w:val="single" w:color="auto" w:sz="4" w:space="0"/>
              <w:bottom w:val="single" w:color="auto" w:sz="4" w:space="0"/>
              <w:right w:val="single" w:color="auto" w:sz="4" w:space="0"/>
            </w:tcBorders>
            <w:noWrap w:val="0"/>
            <w:vAlign w:val="center"/>
          </w:tcPr>
          <w:p w14:paraId="30FE8769">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服务范围</w:t>
            </w:r>
          </w:p>
        </w:tc>
        <w:tc>
          <w:tcPr>
            <w:tcW w:w="8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D3BC35D">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服务项目</w:t>
            </w:r>
          </w:p>
        </w:tc>
        <w:tc>
          <w:tcPr>
            <w:tcW w:w="3865" w:type="dxa"/>
            <w:vMerge w:val="restart"/>
            <w:tcBorders>
              <w:top w:val="single" w:color="auto" w:sz="4" w:space="0"/>
              <w:left w:val="single" w:color="auto" w:sz="4" w:space="0"/>
              <w:bottom w:val="single" w:color="auto" w:sz="4" w:space="0"/>
              <w:right w:val="single" w:color="auto" w:sz="4" w:space="0"/>
            </w:tcBorders>
            <w:noWrap w:val="0"/>
            <w:vAlign w:val="center"/>
          </w:tcPr>
          <w:p w14:paraId="1B98BC3C">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考核内容与评分标准</w:t>
            </w:r>
          </w:p>
        </w:tc>
        <w:tc>
          <w:tcPr>
            <w:tcW w:w="2249" w:type="dxa"/>
            <w:gridSpan w:val="2"/>
            <w:tcBorders>
              <w:top w:val="single" w:color="auto" w:sz="4" w:space="0"/>
              <w:left w:val="nil"/>
              <w:bottom w:val="single" w:color="auto" w:sz="4" w:space="0"/>
              <w:right w:val="single" w:color="auto" w:sz="4" w:space="0"/>
            </w:tcBorders>
            <w:noWrap w:val="0"/>
            <w:vAlign w:val="center"/>
          </w:tcPr>
          <w:p w14:paraId="6D6352B9">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分值</w:t>
            </w:r>
          </w:p>
        </w:tc>
        <w:tc>
          <w:tcPr>
            <w:tcW w:w="1198" w:type="dxa"/>
            <w:vMerge w:val="restart"/>
            <w:tcBorders>
              <w:top w:val="single" w:color="auto" w:sz="4" w:space="0"/>
              <w:left w:val="single" w:color="auto" w:sz="4" w:space="0"/>
              <w:bottom w:val="single" w:color="auto" w:sz="4" w:space="0"/>
              <w:right w:val="single" w:color="auto" w:sz="4" w:space="0"/>
            </w:tcBorders>
            <w:noWrap w:val="0"/>
            <w:vAlign w:val="center"/>
          </w:tcPr>
          <w:p w14:paraId="452A1CAD">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存在问题</w:t>
            </w:r>
          </w:p>
        </w:tc>
      </w:tr>
      <w:tr w14:paraId="686CD8C1">
        <w:tblPrEx>
          <w:tblCellMar>
            <w:top w:w="0" w:type="dxa"/>
            <w:left w:w="108" w:type="dxa"/>
            <w:bottom w:w="0" w:type="dxa"/>
            <w:right w:w="108" w:type="dxa"/>
          </w:tblCellMar>
        </w:tblPrEx>
        <w:trPr>
          <w:trHeight w:val="510"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6B8BDBD0">
            <w:pPr>
              <w:widowControl/>
              <w:jc w:val="left"/>
              <w:rPr>
                <w:rFonts w:hint="eastAsia" w:ascii="仿宋" w:hAnsi="仿宋" w:eastAsia="仿宋" w:cs="仿宋"/>
                <w:b/>
                <w:bCs/>
                <w:kern w:val="0"/>
                <w:sz w:val="24"/>
                <w:szCs w:val="24"/>
              </w:rPr>
            </w:pPr>
          </w:p>
        </w:tc>
        <w:tc>
          <w:tcPr>
            <w:tcW w:w="842" w:type="dxa"/>
            <w:gridSpan w:val="2"/>
            <w:vMerge w:val="continue"/>
            <w:tcBorders>
              <w:top w:val="nil"/>
              <w:left w:val="single" w:color="auto" w:sz="4" w:space="0"/>
              <w:bottom w:val="single" w:color="auto" w:sz="4" w:space="0"/>
              <w:right w:val="single" w:color="auto" w:sz="4" w:space="0"/>
            </w:tcBorders>
            <w:noWrap w:val="0"/>
            <w:vAlign w:val="center"/>
          </w:tcPr>
          <w:p w14:paraId="7AEC1800">
            <w:pPr>
              <w:widowControl/>
              <w:jc w:val="left"/>
              <w:rPr>
                <w:rFonts w:hint="eastAsia" w:ascii="仿宋" w:hAnsi="仿宋" w:eastAsia="仿宋" w:cs="仿宋"/>
                <w:b/>
                <w:bCs/>
                <w:kern w:val="0"/>
                <w:sz w:val="24"/>
                <w:szCs w:val="24"/>
              </w:rPr>
            </w:pPr>
          </w:p>
        </w:tc>
        <w:tc>
          <w:tcPr>
            <w:tcW w:w="3865" w:type="dxa"/>
            <w:vMerge w:val="continue"/>
            <w:tcBorders>
              <w:top w:val="nil"/>
              <w:left w:val="single" w:color="auto" w:sz="4" w:space="0"/>
              <w:bottom w:val="single" w:color="auto" w:sz="4" w:space="0"/>
              <w:right w:val="single" w:color="auto" w:sz="4" w:space="0"/>
            </w:tcBorders>
            <w:noWrap w:val="0"/>
            <w:vAlign w:val="center"/>
          </w:tcPr>
          <w:p w14:paraId="3C7B8990">
            <w:pPr>
              <w:widowControl/>
              <w:jc w:val="left"/>
              <w:rPr>
                <w:rFonts w:hint="eastAsia" w:ascii="仿宋" w:hAnsi="仿宋" w:eastAsia="仿宋" w:cs="仿宋"/>
                <w:b/>
                <w:bCs/>
                <w:kern w:val="0"/>
                <w:sz w:val="24"/>
                <w:szCs w:val="24"/>
              </w:rPr>
            </w:pPr>
          </w:p>
        </w:tc>
        <w:tc>
          <w:tcPr>
            <w:tcW w:w="1412" w:type="dxa"/>
            <w:tcBorders>
              <w:top w:val="nil"/>
              <w:left w:val="nil"/>
              <w:bottom w:val="single" w:color="auto" w:sz="4" w:space="0"/>
              <w:right w:val="single" w:color="auto" w:sz="4" w:space="0"/>
            </w:tcBorders>
            <w:noWrap w:val="0"/>
            <w:vAlign w:val="center"/>
          </w:tcPr>
          <w:p w14:paraId="55EB6167">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评分</w:t>
            </w:r>
          </w:p>
          <w:p w14:paraId="5C87AF34">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标准</w:t>
            </w:r>
          </w:p>
        </w:tc>
        <w:tc>
          <w:tcPr>
            <w:tcW w:w="837" w:type="dxa"/>
            <w:tcBorders>
              <w:top w:val="nil"/>
              <w:left w:val="nil"/>
              <w:bottom w:val="single" w:color="auto" w:sz="4" w:space="0"/>
              <w:right w:val="single" w:color="auto" w:sz="4" w:space="0"/>
            </w:tcBorders>
            <w:noWrap w:val="0"/>
            <w:vAlign w:val="center"/>
          </w:tcPr>
          <w:p w14:paraId="5630D622">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扣分</w:t>
            </w:r>
          </w:p>
        </w:tc>
        <w:tc>
          <w:tcPr>
            <w:tcW w:w="1198" w:type="dxa"/>
            <w:vMerge w:val="continue"/>
            <w:tcBorders>
              <w:top w:val="nil"/>
              <w:left w:val="single" w:color="auto" w:sz="4" w:space="0"/>
              <w:bottom w:val="single" w:color="auto" w:sz="4" w:space="0"/>
              <w:right w:val="single" w:color="auto" w:sz="4" w:space="0"/>
            </w:tcBorders>
            <w:noWrap w:val="0"/>
            <w:vAlign w:val="center"/>
          </w:tcPr>
          <w:p w14:paraId="79BBB077">
            <w:pPr>
              <w:widowControl/>
              <w:jc w:val="left"/>
              <w:rPr>
                <w:rFonts w:hint="eastAsia" w:ascii="仿宋" w:hAnsi="仿宋" w:eastAsia="仿宋" w:cs="仿宋"/>
                <w:b/>
                <w:bCs/>
                <w:kern w:val="0"/>
                <w:sz w:val="24"/>
                <w:szCs w:val="24"/>
              </w:rPr>
            </w:pPr>
          </w:p>
        </w:tc>
      </w:tr>
      <w:tr w14:paraId="2C7236E2">
        <w:tblPrEx>
          <w:tblCellMar>
            <w:top w:w="0" w:type="dxa"/>
            <w:left w:w="108" w:type="dxa"/>
            <w:bottom w:w="0" w:type="dxa"/>
            <w:right w:w="108" w:type="dxa"/>
          </w:tblCellMar>
        </w:tblPrEx>
        <w:trPr>
          <w:trHeight w:val="660" w:hRule="atLeast"/>
          <w:jc w:val="center"/>
        </w:trPr>
        <w:tc>
          <w:tcPr>
            <w:tcW w:w="641" w:type="dxa"/>
            <w:vMerge w:val="restart"/>
            <w:tcBorders>
              <w:top w:val="nil"/>
              <w:left w:val="single" w:color="auto" w:sz="4" w:space="0"/>
              <w:bottom w:val="single" w:color="auto" w:sz="4" w:space="0"/>
              <w:right w:val="single" w:color="auto" w:sz="4" w:space="0"/>
            </w:tcBorders>
            <w:noWrap w:val="0"/>
            <w:vAlign w:val="center"/>
          </w:tcPr>
          <w:p w14:paraId="3E807A63">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室内保洁</w:t>
            </w:r>
          </w:p>
        </w:tc>
        <w:tc>
          <w:tcPr>
            <w:tcW w:w="842" w:type="dxa"/>
            <w:gridSpan w:val="2"/>
            <w:vMerge w:val="restart"/>
            <w:tcBorders>
              <w:top w:val="nil"/>
              <w:left w:val="single" w:color="auto" w:sz="4" w:space="0"/>
              <w:bottom w:val="single" w:color="auto" w:sz="4" w:space="0"/>
              <w:right w:val="single" w:color="auto" w:sz="4" w:space="0"/>
            </w:tcBorders>
            <w:noWrap w:val="0"/>
            <w:vAlign w:val="center"/>
          </w:tcPr>
          <w:p w14:paraId="2088BF24">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文明安全施工</w:t>
            </w:r>
          </w:p>
        </w:tc>
        <w:tc>
          <w:tcPr>
            <w:tcW w:w="3865" w:type="dxa"/>
            <w:vMerge w:val="restart"/>
            <w:tcBorders>
              <w:top w:val="nil"/>
              <w:left w:val="single" w:color="auto" w:sz="4" w:space="0"/>
              <w:bottom w:val="single" w:color="auto" w:sz="4" w:space="0"/>
              <w:right w:val="single" w:color="auto" w:sz="4" w:space="0"/>
            </w:tcBorders>
            <w:noWrap w:val="0"/>
            <w:vAlign w:val="center"/>
          </w:tcPr>
          <w:p w14:paraId="31A0FD72">
            <w:pPr>
              <w:widowControl/>
              <w:rPr>
                <w:rFonts w:hint="eastAsia" w:ascii="仿宋" w:hAnsi="仿宋" w:eastAsia="仿宋" w:cs="仿宋"/>
                <w:kern w:val="0"/>
                <w:sz w:val="24"/>
                <w:szCs w:val="24"/>
              </w:rPr>
            </w:pPr>
            <w:r>
              <w:rPr>
                <w:rFonts w:hint="eastAsia" w:ascii="仿宋" w:hAnsi="仿宋" w:eastAsia="仿宋" w:cs="仿宋"/>
                <w:kern w:val="0"/>
                <w:sz w:val="24"/>
                <w:szCs w:val="24"/>
              </w:rPr>
              <w:t>爱护公共设施、保洁工具，不得随意损坏、丢弃。</w:t>
            </w:r>
          </w:p>
        </w:tc>
        <w:tc>
          <w:tcPr>
            <w:tcW w:w="1412" w:type="dxa"/>
            <w:vMerge w:val="restart"/>
            <w:tcBorders>
              <w:top w:val="nil"/>
              <w:left w:val="single" w:color="auto" w:sz="4" w:space="0"/>
              <w:bottom w:val="single" w:color="auto" w:sz="4" w:space="0"/>
              <w:right w:val="single" w:color="auto" w:sz="4" w:space="0"/>
            </w:tcBorders>
            <w:noWrap w:val="0"/>
            <w:vAlign w:val="center"/>
          </w:tcPr>
          <w:p w14:paraId="1FED0E02">
            <w:pPr>
              <w:widowControl/>
              <w:jc w:val="both"/>
              <w:rPr>
                <w:rFonts w:hint="eastAsia" w:ascii="仿宋" w:hAnsi="仿宋" w:eastAsia="仿宋" w:cs="仿宋"/>
                <w:b/>
                <w:bCs/>
                <w:kern w:val="0"/>
                <w:sz w:val="24"/>
                <w:szCs w:val="24"/>
              </w:rPr>
            </w:pPr>
            <w:r>
              <w:rPr>
                <w:rFonts w:hint="eastAsia" w:ascii="仿宋" w:hAnsi="仿宋" w:eastAsia="仿宋" w:cs="仿宋"/>
                <w:kern w:val="0"/>
                <w:sz w:val="24"/>
                <w:szCs w:val="24"/>
              </w:rPr>
              <w:t>有1项不达标扣1分</w:t>
            </w:r>
          </w:p>
        </w:tc>
        <w:tc>
          <w:tcPr>
            <w:tcW w:w="837" w:type="dxa"/>
            <w:vMerge w:val="restart"/>
            <w:tcBorders>
              <w:top w:val="nil"/>
              <w:left w:val="single" w:color="auto" w:sz="4" w:space="0"/>
              <w:bottom w:val="single" w:color="auto" w:sz="4" w:space="0"/>
              <w:right w:val="single" w:color="auto" w:sz="4" w:space="0"/>
            </w:tcBorders>
            <w:noWrap w:val="0"/>
            <w:vAlign w:val="center"/>
          </w:tcPr>
          <w:p w14:paraId="28620667">
            <w:pPr>
              <w:widowControl/>
              <w:jc w:val="center"/>
              <w:rPr>
                <w:rFonts w:hint="eastAsia" w:ascii="仿宋" w:hAnsi="仿宋" w:eastAsia="仿宋" w:cs="仿宋"/>
                <w:b/>
                <w:bCs/>
                <w:kern w:val="0"/>
                <w:sz w:val="24"/>
                <w:szCs w:val="24"/>
              </w:rPr>
            </w:pPr>
          </w:p>
        </w:tc>
        <w:tc>
          <w:tcPr>
            <w:tcW w:w="1198" w:type="dxa"/>
            <w:vMerge w:val="restart"/>
            <w:tcBorders>
              <w:top w:val="nil"/>
              <w:left w:val="single" w:color="auto" w:sz="4" w:space="0"/>
              <w:bottom w:val="single" w:color="auto" w:sz="4" w:space="0"/>
              <w:right w:val="single" w:color="auto" w:sz="4" w:space="0"/>
            </w:tcBorders>
            <w:noWrap w:val="0"/>
            <w:vAlign w:val="center"/>
          </w:tcPr>
          <w:p w14:paraId="559CB1D3">
            <w:pPr>
              <w:widowControl/>
              <w:jc w:val="center"/>
              <w:rPr>
                <w:rFonts w:hint="eastAsia" w:ascii="仿宋" w:hAnsi="仿宋" w:eastAsia="仿宋" w:cs="仿宋"/>
                <w:kern w:val="0"/>
                <w:sz w:val="24"/>
                <w:szCs w:val="24"/>
              </w:rPr>
            </w:pPr>
          </w:p>
        </w:tc>
      </w:tr>
      <w:tr w14:paraId="126D6905">
        <w:tblPrEx>
          <w:tblCellMar>
            <w:top w:w="0" w:type="dxa"/>
            <w:left w:w="108" w:type="dxa"/>
            <w:bottom w:w="0" w:type="dxa"/>
            <w:right w:w="108" w:type="dxa"/>
          </w:tblCellMar>
        </w:tblPrEx>
        <w:trPr>
          <w:trHeight w:val="312"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2F7B12E0">
            <w:pPr>
              <w:widowControl/>
              <w:jc w:val="center"/>
              <w:rPr>
                <w:rFonts w:hint="eastAsia" w:ascii="仿宋" w:hAnsi="仿宋" w:eastAsia="仿宋" w:cs="仿宋"/>
                <w:b/>
                <w:bCs/>
                <w:kern w:val="0"/>
                <w:sz w:val="24"/>
                <w:szCs w:val="24"/>
              </w:rPr>
            </w:pPr>
          </w:p>
        </w:tc>
        <w:tc>
          <w:tcPr>
            <w:tcW w:w="842" w:type="dxa"/>
            <w:gridSpan w:val="2"/>
            <w:vMerge w:val="continue"/>
            <w:tcBorders>
              <w:top w:val="nil"/>
              <w:left w:val="single" w:color="auto" w:sz="4" w:space="0"/>
              <w:bottom w:val="single" w:color="auto" w:sz="4" w:space="0"/>
              <w:right w:val="single" w:color="auto" w:sz="4" w:space="0"/>
            </w:tcBorders>
            <w:noWrap w:val="0"/>
            <w:vAlign w:val="center"/>
          </w:tcPr>
          <w:p w14:paraId="3BEF1CAE">
            <w:pPr>
              <w:widowControl/>
              <w:jc w:val="center"/>
              <w:rPr>
                <w:rFonts w:hint="eastAsia" w:ascii="仿宋" w:hAnsi="仿宋" w:eastAsia="仿宋" w:cs="仿宋"/>
                <w:b/>
                <w:bCs/>
                <w:kern w:val="0"/>
                <w:sz w:val="24"/>
                <w:szCs w:val="24"/>
              </w:rPr>
            </w:pPr>
          </w:p>
        </w:tc>
        <w:tc>
          <w:tcPr>
            <w:tcW w:w="3865" w:type="dxa"/>
            <w:vMerge w:val="continue"/>
            <w:tcBorders>
              <w:top w:val="nil"/>
              <w:left w:val="single" w:color="auto" w:sz="4" w:space="0"/>
              <w:bottom w:val="single" w:color="auto" w:sz="4" w:space="0"/>
              <w:right w:val="single" w:color="auto" w:sz="4" w:space="0"/>
            </w:tcBorders>
            <w:noWrap w:val="0"/>
            <w:vAlign w:val="center"/>
          </w:tcPr>
          <w:p w14:paraId="4B8C03B8">
            <w:pPr>
              <w:widowControl/>
              <w:jc w:val="left"/>
              <w:rPr>
                <w:rFonts w:hint="eastAsia" w:ascii="仿宋" w:hAnsi="仿宋" w:eastAsia="仿宋" w:cs="仿宋"/>
                <w:kern w:val="0"/>
                <w:sz w:val="24"/>
                <w:szCs w:val="24"/>
              </w:rPr>
            </w:pPr>
          </w:p>
        </w:tc>
        <w:tc>
          <w:tcPr>
            <w:tcW w:w="1412" w:type="dxa"/>
            <w:vMerge w:val="continue"/>
            <w:tcBorders>
              <w:top w:val="nil"/>
              <w:left w:val="single" w:color="auto" w:sz="4" w:space="0"/>
              <w:bottom w:val="single" w:color="auto" w:sz="4" w:space="0"/>
              <w:right w:val="single" w:color="auto" w:sz="4" w:space="0"/>
            </w:tcBorders>
            <w:noWrap w:val="0"/>
            <w:vAlign w:val="center"/>
          </w:tcPr>
          <w:p w14:paraId="71B7D3EF">
            <w:pPr>
              <w:widowControl/>
              <w:jc w:val="both"/>
              <w:rPr>
                <w:rFonts w:hint="eastAsia" w:ascii="仿宋" w:hAnsi="仿宋" w:eastAsia="仿宋" w:cs="仿宋"/>
                <w:b/>
                <w:bCs/>
                <w:kern w:val="0"/>
                <w:sz w:val="24"/>
                <w:szCs w:val="24"/>
              </w:rPr>
            </w:pPr>
          </w:p>
        </w:tc>
        <w:tc>
          <w:tcPr>
            <w:tcW w:w="837" w:type="dxa"/>
            <w:vMerge w:val="continue"/>
            <w:tcBorders>
              <w:top w:val="nil"/>
              <w:left w:val="single" w:color="auto" w:sz="4" w:space="0"/>
              <w:bottom w:val="single" w:color="auto" w:sz="4" w:space="0"/>
              <w:right w:val="single" w:color="auto" w:sz="4" w:space="0"/>
            </w:tcBorders>
            <w:noWrap w:val="0"/>
            <w:vAlign w:val="center"/>
          </w:tcPr>
          <w:p w14:paraId="0A4B805C">
            <w:pPr>
              <w:widowControl/>
              <w:jc w:val="center"/>
              <w:rPr>
                <w:rFonts w:hint="eastAsia" w:ascii="仿宋" w:hAnsi="仿宋" w:eastAsia="仿宋" w:cs="仿宋"/>
                <w:b/>
                <w:bCs/>
                <w:kern w:val="0"/>
                <w:sz w:val="24"/>
                <w:szCs w:val="24"/>
              </w:rPr>
            </w:pPr>
          </w:p>
        </w:tc>
        <w:tc>
          <w:tcPr>
            <w:tcW w:w="1198" w:type="dxa"/>
            <w:vMerge w:val="continue"/>
            <w:tcBorders>
              <w:top w:val="nil"/>
              <w:left w:val="single" w:color="auto" w:sz="4" w:space="0"/>
              <w:bottom w:val="single" w:color="auto" w:sz="4" w:space="0"/>
              <w:right w:val="single" w:color="auto" w:sz="4" w:space="0"/>
            </w:tcBorders>
            <w:noWrap w:val="0"/>
            <w:vAlign w:val="center"/>
          </w:tcPr>
          <w:p w14:paraId="50A0F2FC">
            <w:pPr>
              <w:widowControl/>
              <w:jc w:val="center"/>
              <w:rPr>
                <w:rFonts w:hint="eastAsia" w:ascii="仿宋" w:hAnsi="仿宋" w:eastAsia="仿宋" w:cs="仿宋"/>
                <w:kern w:val="0"/>
                <w:sz w:val="24"/>
                <w:szCs w:val="24"/>
              </w:rPr>
            </w:pPr>
          </w:p>
        </w:tc>
      </w:tr>
      <w:tr w14:paraId="50FBFD31">
        <w:tblPrEx>
          <w:tblCellMar>
            <w:top w:w="0" w:type="dxa"/>
            <w:left w:w="108" w:type="dxa"/>
            <w:bottom w:w="0" w:type="dxa"/>
            <w:right w:w="108" w:type="dxa"/>
          </w:tblCellMar>
        </w:tblPrEx>
        <w:trPr>
          <w:trHeight w:val="882"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04BC37BB">
            <w:pPr>
              <w:widowControl/>
              <w:jc w:val="center"/>
              <w:rPr>
                <w:rFonts w:hint="eastAsia" w:ascii="仿宋" w:hAnsi="仿宋" w:eastAsia="仿宋" w:cs="仿宋"/>
                <w:b/>
                <w:bCs/>
                <w:kern w:val="0"/>
                <w:sz w:val="24"/>
                <w:szCs w:val="24"/>
              </w:rPr>
            </w:pPr>
          </w:p>
        </w:tc>
        <w:tc>
          <w:tcPr>
            <w:tcW w:w="842" w:type="dxa"/>
            <w:gridSpan w:val="2"/>
            <w:tcBorders>
              <w:top w:val="nil"/>
              <w:left w:val="single" w:color="auto" w:sz="4" w:space="0"/>
              <w:bottom w:val="single" w:color="auto" w:sz="4" w:space="0"/>
              <w:right w:val="single" w:color="auto" w:sz="4" w:space="0"/>
            </w:tcBorders>
            <w:noWrap w:val="0"/>
            <w:vAlign w:val="center"/>
          </w:tcPr>
          <w:p w14:paraId="49828B90">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人员配置</w:t>
            </w:r>
          </w:p>
        </w:tc>
        <w:tc>
          <w:tcPr>
            <w:tcW w:w="3865" w:type="dxa"/>
            <w:tcBorders>
              <w:top w:val="nil"/>
              <w:left w:val="nil"/>
              <w:bottom w:val="single" w:color="auto" w:sz="4" w:space="0"/>
              <w:right w:val="single" w:color="auto" w:sz="4" w:space="0"/>
            </w:tcBorders>
            <w:noWrap w:val="0"/>
            <w:vAlign w:val="center"/>
          </w:tcPr>
          <w:p w14:paraId="023A83EE">
            <w:pPr>
              <w:widowControl/>
              <w:rPr>
                <w:rFonts w:hint="eastAsia" w:ascii="仿宋" w:hAnsi="仿宋" w:eastAsia="仿宋" w:cs="仿宋"/>
                <w:kern w:val="0"/>
                <w:sz w:val="24"/>
                <w:szCs w:val="24"/>
              </w:rPr>
            </w:pPr>
            <w:r>
              <w:rPr>
                <w:rFonts w:hint="eastAsia" w:ascii="仿宋" w:hAnsi="仿宋" w:eastAsia="仿宋" w:cs="仿宋"/>
                <w:kern w:val="0"/>
                <w:sz w:val="24"/>
                <w:szCs w:val="24"/>
              </w:rPr>
              <w:t>专职保洁人员配置率达100%。</w:t>
            </w:r>
          </w:p>
        </w:tc>
        <w:tc>
          <w:tcPr>
            <w:tcW w:w="1412" w:type="dxa"/>
            <w:tcBorders>
              <w:top w:val="nil"/>
              <w:left w:val="single" w:color="auto" w:sz="4" w:space="0"/>
              <w:bottom w:val="single" w:color="auto" w:sz="4" w:space="0"/>
              <w:right w:val="single" w:color="auto" w:sz="4" w:space="0"/>
            </w:tcBorders>
            <w:noWrap w:val="0"/>
            <w:vAlign w:val="center"/>
          </w:tcPr>
          <w:p w14:paraId="160D66C2">
            <w:pPr>
              <w:widowControl/>
              <w:jc w:val="both"/>
              <w:rPr>
                <w:rFonts w:hint="eastAsia" w:ascii="仿宋" w:hAnsi="仿宋" w:eastAsia="仿宋" w:cs="仿宋"/>
                <w:b/>
                <w:bCs/>
                <w:kern w:val="0"/>
                <w:sz w:val="24"/>
                <w:szCs w:val="24"/>
              </w:rPr>
            </w:pPr>
            <w:r>
              <w:rPr>
                <w:rFonts w:hint="eastAsia" w:ascii="仿宋" w:hAnsi="仿宋" w:eastAsia="仿宋" w:cs="仿宋"/>
                <w:kern w:val="0"/>
                <w:sz w:val="24"/>
                <w:szCs w:val="24"/>
              </w:rPr>
              <w:t>缺岗人数超过1个月，每人扣0.5分</w:t>
            </w:r>
          </w:p>
        </w:tc>
        <w:tc>
          <w:tcPr>
            <w:tcW w:w="837" w:type="dxa"/>
            <w:tcBorders>
              <w:top w:val="nil"/>
              <w:left w:val="nil"/>
              <w:bottom w:val="single" w:color="auto" w:sz="4" w:space="0"/>
              <w:right w:val="single" w:color="auto" w:sz="4" w:space="0"/>
            </w:tcBorders>
            <w:noWrap w:val="0"/>
            <w:vAlign w:val="center"/>
          </w:tcPr>
          <w:p w14:paraId="0A072466">
            <w:pPr>
              <w:widowControl/>
              <w:jc w:val="center"/>
              <w:rPr>
                <w:rFonts w:hint="eastAsia" w:ascii="仿宋" w:hAnsi="仿宋" w:eastAsia="仿宋" w:cs="仿宋"/>
                <w:b/>
                <w:bCs/>
                <w:kern w:val="0"/>
                <w:sz w:val="24"/>
                <w:szCs w:val="24"/>
              </w:rPr>
            </w:pPr>
          </w:p>
        </w:tc>
        <w:tc>
          <w:tcPr>
            <w:tcW w:w="1198" w:type="dxa"/>
            <w:tcBorders>
              <w:top w:val="nil"/>
              <w:left w:val="nil"/>
              <w:bottom w:val="single" w:color="auto" w:sz="4" w:space="0"/>
              <w:right w:val="single" w:color="auto" w:sz="4" w:space="0"/>
            </w:tcBorders>
            <w:noWrap w:val="0"/>
            <w:vAlign w:val="center"/>
          </w:tcPr>
          <w:p w14:paraId="3D8D2BD1">
            <w:pPr>
              <w:widowControl/>
              <w:jc w:val="center"/>
              <w:rPr>
                <w:rFonts w:hint="eastAsia" w:ascii="仿宋" w:hAnsi="仿宋" w:eastAsia="仿宋" w:cs="仿宋"/>
                <w:kern w:val="0"/>
                <w:sz w:val="24"/>
                <w:szCs w:val="24"/>
              </w:rPr>
            </w:pPr>
          </w:p>
        </w:tc>
      </w:tr>
      <w:tr w14:paraId="172F6625">
        <w:tblPrEx>
          <w:tblCellMar>
            <w:top w:w="0" w:type="dxa"/>
            <w:left w:w="108" w:type="dxa"/>
            <w:bottom w:w="0" w:type="dxa"/>
            <w:right w:w="108" w:type="dxa"/>
          </w:tblCellMar>
        </w:tblPrEx>
        <w:trPr>
          <w:trHeight w:val="702"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1B4B87BE">
            <w:pPr>
              <w:widowControl/>
              <w:jc w:val="center"/>
              <w:rPr>
                <w:rFonts w:hint="eastAsia" w:ascii="仿宋" w:hAnsi="仿宋" w:eastAsia="仿宋" w:cs="仿宋"/>
                <w:b/>
                <w:bCs/>
                <w:kern w:val="0"/>
                <w:sz w:val="24"/>
                <w:szCs w:val="24"/>
              </w:rPr>
            </w:pPr>
          </w:p>
        </w:tc>
        <w:tc>
          <w:tcPr>
            <w:tcW w:w="842" w:type="dxa"/>
            <w:gridSpan w:val="2"/>
            <w:vMerge w:val="restart"/>
            <w:tcBorders>
              <w:top w:val="nil"/>
              <w:left w:val="single" w:color="auto" w:sz="4" w:space="0"/>
              <w:right w:val="single" w:color="auto" w:sz="4" w:space="0"/>
            </w:tcBorders>
            <w:noWrap w:val="0"/>
            <w:vAlign w:val="center"/>
          </w:tcPr>
          <w:p w14:paraId="6EFC7885">
            <w:pPr>
              <w:widowControl/>
              <w:jc w:val="center"/>
              <w:rPr>
                <w:rFonts w:hint="eastAsia" w:ascii="仿宋" w:hAnsi="仿宋" w:eastAsia="仿宋" w:cs="仿宋"/>
                <w:b/>
                <w:bCs/>
                <w:kern w:val="0"/>
                <w:sz w:val="24"/>
                <w:szCs w:val="24"/>
              </w:rPr>
            </w:pPr>
            <w:r>
              <w:rPr>
                <w:rFonts w:hint="eastAsia" w:ascii="仿宋" w:hAnsi="仿宋" w:eastAsia="仿宋" w:cs="仿宋"/>
                <w:b/>
                <w:bCs/>
                <w:sz w:val="24"/>
                <w:szCs w:val="24"/>
              </w:rPr>
              <w:t>大厅</w:t>
            </w:r>
          </w:p>
        </w:tc>
        <w:tc>
          <w:tcPr>
            <w:tcW w:w="3865" w:type="dxa"/>
            <w:tcBorders>
              <w:top w:val="nil"/>
              <w:left w:val="nil"/>
              <w:bottom w:val="single" w:color="auto" w:sz="4" w:space="0"/>
              <w:right w:val="single" w:color="auto" w:sz="4" w:space="0"/>
            </w:tcBorders>
            <w:noWrap w:val="0"/>
            <w:vAlign w:val="center"/>
          </w:tcPr>
          <w:p w14:paraId="712D6CB8">
            <w:pPr>
              <w:widowControl/>
              <w:rPr>
                <w:rFonts w:hint="eastAsia" w:ascii="仿宋" w:hAnsi="仿宋" w:eastAsia="仿宋" w:cs="仿宋"/>
                <w:kern w:val="0"/>
                <w:sz w:val="24"/>
                <w:szCs w:val="24"/>
              </w:rPr>
            </w:pPr>
            <w:r>
              <w:rPr>
                <w:rFonts w:hint="eastAsia" w:ascii="仿宋" w:hAnsi="仿宋" w:eastAsia="仿宋" w:cs="仿宋"/>
                <w:color w:val="000000"/>
                <w:sz w:val="24"/>
                <w:szCs w:val="24"/>
              </w:rPr>
              <w:t>地面无水渍、无污渍，无垃圾，无积尘，光亮。</w:t>
            </w:r>
          </w:p>
        </w:tc>
        <w:tc>
          <w:tcPr>
            <w:tcW w:w="1412" w:type="dxa"/>
            <w:vMerge w:val="restart"/>
            <w:tcBorders>
              <w:top w:val="nil"/>
              <w:left w:val="single" w:color="auto" w:sz="4" w:space="0"/>
              <w:right w:val="single" w:color="auto" w:sz="4" w:space="0"/>
            </w:tcBorders>
            <w:noWrap w:val="0"/>
            <w:vAlign w:val="center"/>
          </w:tcPr>
          <w:p w14:paraId="4B81FE4E">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vMerge w:val="restart"/>
            <w:tcBorders>
              <w:top w:val="nil"/>
              <w:left w:val="nil"/>
              <w:right w:val="single" w:color="auto" w:sz="4" w:space="0"/>
            </w:tcBorders>
            <w:noWrap w:val="0"/>
            <w:vAlign w:val="center"/>
          </w:tcPr>
          <w:p w14:paraId="7F3F094A">
            <w:pPr>
              <w:widowControl/>
              <w:jc w:val="center"/>
              <w:rPr>
                <w:rFonts w:hint="eastAsia" w:ascii="仿宋" w:hAnsi="仿宋" w:eastAsia="仿宋" w:cs="仿宋"/>
                <w:b/>
                <w:bCs/>
                <w:kern w:val="0"/>
                <w:sz w:val="24"/>
                <w:szCs w:val="24"/>
              </w:rPr>
            </w:pPr>
          </w:p>
        </w:tc>
        <w:tc>
          <w:tcPr>
            <w:tcW w:w="1198" w:type="dxa"/>
            <w:vMerge w:val="restart"/>
            <w:tcBorders>
              <w:top w:val="nil"/>
              <w:left w:val="nil"/>
              <w:right w:val="single" w:color="auto" w:sz="4" w:space="0"/>
            </w:tcBorders>
            <w:noWrap w:val="0"/>
            <w:vAlign w:val="center"/>
          </w:tcPr>
          <w:p w14:paraId="75C1A35F">
            <w:pPr>
              <w:widowControl/>
              <w:jc w:val="center"/>
              <w:rPr>
                <w:rFonts w:hint="eastAsia" w:ascii="仿宋" w:hAnsi="仿宋" w:eastAsia="仿宋" w:cs="仿宋"/>
                <w:kern w:val="0"/>
                <w:sz w:val="24"/>
                <w:szCs w:val="24"/>
              </w:rPr>
            </w:pPr>
          </w:p>
        </w:tc>
      </w:tr>
      <w:tr w14:paraId="0D87B7A6">
        <w:tblPrEx>
          <w:tblCellMar>
            <w:top w:w="0" w:type="dxa"/>
            <w:left w:w="108" w:type="dxa"/>
            <w:bottom w:w="0" w:type="dxa"/>
            <w:right w:w="108" w:type="dxa"/>
          </w:tblCellMar>
        </w:tblPrEx>
        <w:trPr>
          <w:trHeight w:val="702"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5FDDFD5A">
            <w:pPr>
              <w:widowControl/>
              <w:rPr>
                <w:rFonts w:hint="eastAsia" w:ascii="仿宋" w:hAnsi="仿宋" w:eastAsia="仿宋" w:cs="仿宋"/>
                <w:sz w:val="24"/>
                <w:szCs w:val="24"/>
              </w:rPr>
            </w:pPr>
          </w:p>
        </w:tc>
        <w:tc>
          <w:tcPr>
            <w:tcW w:w="842" w:type="dxa"/>
            <w:gridSpan w:val="2"/>
            <w:vMerge w:val="continue"/>
            <w:tcBorders>
              <w:left w:val="single" w:color="auto" w:sz="4" w:space="0"/>
              <w:right w:val="single" w:color="auto" w:sz="4" w:space="0"/>
            </w:tcBorders>
            <w:noWrap w:val="0"/>
            <w:vAlign w:val="center"/>
          </w:tcPr>
          <w:p w14:paraId="0FDF4B5E">
            <w:pPr>
              <w:widowControl/>
              <w:rPr>
                <w:rFonts w:hint="eastAsia" w:ascii="仿宋" w:hAnsi="仿宋" w:eastAsia="仿宋" w:cs="仿宋"/>
                <w:sz w:val="24"/>
                <w:szCs w:val="24"/>
              </w:rPr>
            </w:pPr>
          </w:p>
        </w:tc>
        <w:tc>
          <w:tcPr>
            <w:tcW w:w="3865" w:type="dxa"/>
            <w:tcBorders>
              <w:top w:val="nil"/>
              <w:left w:val="nil"/>
              <w:bottom w:val="single" w:color="auto" w:sz="4" w:space="0"/>
              <w:right w:val="single" w:color="auto" w:sz="4" w:space="0"/>
            </w:tcBorders>
            <w:noWrap w:val="0"/>
            <w:vAlign w:val="center"/>
          </w:tcPr>
          <w:p w14:paraId="3D6DEFCB">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墙面无灰尘、无污渍，光亮，墙角无蜘蛛网。</w:t>
            </w:r>
          </w:p>
        </w:tc>
        <w:tc>
          <w:tcPr>
            <w:tcW w:w="1412" w:type="dxa"/>
            <w:vMerge w:val="continue"/>
            <w:tcBorders>
              <w:left w:val="single" w:color="auto" w:sz="4" w:space="0"/>
              <w:right w:val="single" w:color="auto" w:sz="4" w:space="0"/>
            </w:tcBorders>
            <w:noWrap w:val="0"/>
            <w:vAlign w:val="center"/>
          </w:tcPr>
          <w:p w14:paraId="75A2CB3B">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4BD44767">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33B3446C">
            <w:pPr>
              <w:widowControl/>
              <w:rPr>
                <w:rFonts w:hint="eastAsia" w:ascii="仿宋" w:hAnsi="仿宋" w:eastAsia="仿宋" w:cs="仿宋"/>
                <w:color w:val="000000"/>
                <w:sz w:val="24"/>
                <w:szCs w:val="24"/>
              </w:rPr>
            </w:pPr>
          </w:p>
        </w:tc>
      </w:tr>
      <w:tr w14:paraId="20CD30E9">
        <w:tblPrEx>
          <w:tblCellMar>
            <w:top w:w="0" w:type="dxa"/>
            <w:left w:w="108" w:type="dxa"/>
            <w:bottom w:w="0" w:type="dxa"/>
            <w:right w:w="108" w:type="dxa"/>
          </w:tblCellMar>
        </w:tblPrEx>
        <w:trPr>
          <w:trHeight w:val="702"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145588B1">
            <w:pPr>
              <w:widowControl/>
              <w:rPr>
                <w:rFonts w:hint="eastAsia" w:ascii="仿宋" w:hAnsi="仿宋" w:eastAsia="仿宋" w:cs="仿宋"/>
                <w:color w:val="000000"/>
                <w:sz w:val="24"/>
                <w:szCs w:val="24"/>
              </w:rPr>
            </w:pPr>
          </w:p>
        </w:tc>
        <w:tc>
          <w:tcPr>
            <w:tcW w:w="842" w:type="dxa"/>
            <w:gridSpan w:val="2"/>
            <w:vMerge w:val="continue"/>
            <w:tcBorders>
              <w:left w:val="single" w:color="auto" w:sz="4" w:space="0"/>
              <w:right w:val="single" w:color="auto" w:sz="4" w:space="0"/>
            </w:tcBorders>
            <w:noWrap w:val="0"/>
            <w:vAlign w:val="center"/>
          </w:tcPr>
          <w:p w14:paraId="4624BE02">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6849F548">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公共设施表面无积尘、无污渍、光亮；不锈钢表面无手印，无积尘，无污渍、光亮。</w:t>
            </w:r>
          </w:p>
        </w:tc>
        <w:tc>
          <w:tcPr>
            <w:tcW w:w="1412" w:type="dxa"/>
            <w:vMerge w:val="continue"/>
            <w:tcBorders>
              <w:left w:val="single" w:color="auto" w:sz="4" w:space="0"/>
              <w:right w:val="single" w:color="auto" w:sz="4" w:space="0"/>
            </w:tcBorders>
            <w:noWrap w:val="0"/>
            <w:vAlign w:val="center"/>
          </w:tcPr>
          <w:p w14:paraId="12A444A7">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01C9C8D0">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11021AB8">
            <w:pPr>
              <w:widowControl/>
              <w:rPr>
                <w:rFonts w:hint="eastAsia" w:ascii="仿宋" w:hAnsi="仿宋" w:eastAsia="仿宋" w:cs="仿宋"/>
                <w:color w:val="000000"/>
                <w:sz w:val="24"/>
                <w:szCs w:val="24"/>
              </w:rPr>
            </w:pPr>
          </w:p>
        </w:tc>
      </w:tr>
      <w:tr w14:paraId="6BD8FEAF">
        <w:tblPrEx>
          <w:tblCellMar>
            <w:top w:w="0" w:type="dxa"/>
            <w:left w:w="108" w:type="dxa"/>
            <w:bottom w:w="0" w:type="dxa"/>
            <w:right w:w="108" w:type="dxa"/>
          </w:tblCellMar>
        </w:tblPrEx>
        <w:trPr>
          <w:trHeight w:val="702"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6CA5A7B0">
            <w:pPr>
              <w:widowControl/>
              <w:rPr>
                <w:rFonts w:hint="eastAsia" w:ascii="仿宋" w:hAnsi="仿宋" w:eastAsia="仿宋" w:cs="仿宋"/>
                <w:color w:val="000000"/>
                <w:sz w:val="24"/>
                <w:szCs w:val="24"/>
              </w:rPr>
            </w:pPr>
          </w:p>
        </w:tc>
        <w:tc>
          <w:tcPr>
            <w:tcW w:w="842" w:type="dxa"/>
            <w:gridSpan w:val="2"/>
            <w:vMerge w:val="continue"/>
            <w:tcBorders>
              <w:top w:val="nil"/>
              <w:left w:val="single" w:color="auto" w:sz="4" w:space="0"/>
              <w:bottom w:val="single" w:color="auto" w:sz="4" w:space="0"/>
              <w:right w:val="single" w:color="auto" w:sz="4" w:space="0"/>
            </w:tcBorders>
            <w:noWrap w:val="0"/>
            <w:vAlign w:val="center"/>
          </w:tcPr>
          <w:p w14:paraId="34C0601F">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2141656D">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玻璃上无手印，无积尘，无污渍、明亮；植物花盆无积尘，无污渍。</w:t>
            </w:r>
          </w:p>
        </w:tc>
        <w:tc>
          <w:tcPr>
            <w:tcW w:w="1412" w:type="dxa"/>
            <w:vMerge w:val="continue"/>
            <w:tcBorders>
              <w:top w:val="nil"/>
              <w:left w:val="single" w:color="auto" w:sz="4" w:space="0"/>
              <w:bottom w:val="single" w:color="auto" w:sz="4" w:space="0"/>
              <w:right w:val="single" w:color="auto" w:sz="4" w:space="0"/>
            </w:tcBorders>
            <w:noWrap w:val="0"/>
            <w:vAlign w:val="center"/>
          </w:tcPr>
          <w:p w14:paraId="5E34B4CF">
            <w:pPr>
              <w:widowControl/>
              <w:rPr>
                <w:rFonts w:hint="eastAsia" w:ascii="仿宋" w:hAnsi="仿宋" w:eastAsia="仿宋" w:cs="仿宋"/>
                <w:color w:val="000000"/>
                <w:sz w:val="24"/>
                <w:szCs w:val="24"/>
              </w:rPr>
            </w:pPr>
          </w:p>
        </w:tc>
        <w:tc>
          <w:tcPr>
            <w:tcW w:w="837" w:type="dxa"/>
            <w:vMerge w:val="continue"/>
            <w:tcBorders>
              <w:top w:val="nil"/>
              <w:left w:val="nil"/>
              <w:bottom w:val="single" w:color="auto" w:sz="4" w:space="0"/>
              <w:right w:val="single" w:color="auto" w:sz="4" w:space="0"/>
            </w:tcBorders>
            <w:noWrap w:val="0"/>
            <w:vAlign w:val="center"/>
          </w:tcPr>
          <w:p w14:paraId="5AB99A8C">
            <w:pPr>
              <w:widowControl/>
              <w:rPr>
                <w:rFonts w:hint="eastAsia" w:ascii="仿宋" w:hAnsi="仿宋" w:eastAsia="仿宋" w:cs="仿宋"/>
                <w:color w:val="000000"/>
                <w:sz w:val="24"/>
                <w:szCs w:val="24"/>
              </w:rPr>
            </w:pPr>
          </w:p>
        </w:tc>
        <w:tc>
          <w:tcPr>
            <w:tcW w:w="1198" w:type="dxa"/>
            <w:vMerge w:val="continue"/>
            <w:tcBorders>
              <w:top w:val="nil"/>
              <w:left w:val="nil"/>
              <w:bottom w:val="single" w:color="auto" w:sz="4" w:space="0"/>
              <w:right w:val="single" w:color="auto" w:sz="4" w:space="0"/>
            </w:tcBorders>
            <w:noWrap w:val="0"/>
            <w:vAlign w:val="center"/>
          </w:tcPr>
          <w:p w14:paraId="07DACF6B">
            <w:pPr>
              <w:widowControl/>
              <w:rPr>
                <w:rFonts w:hint="eastAsia" w:ascii="仿宋" w:hAnsi="仿宋" w:eastAsia="仿宋" w:cs="仿宋"/>
                <w:color w:val="000000"/>
                <w:sz w:val="24"/>
                <w:szCs w:val="24"/>
              </w:rPr>
            </w:pPr>
          </w:p>
        </w:tc>
      </w:tr>
      <w:tr w14:paraId="49196C45">
        <w:tblPrEx>
          <w:tblCellMar>
            <w:top w:w="0" w:type="dxa"/>
            <w:left w:w="108" w:type="dxa"/>
            <w:bottom w:w="0" w:type="dxa"/>
            <w:right w:w="108" w:type="dxa"/>
          </w:tblCellMar>
        </w:tblPrEx>
        <w:trPr>
          <w:trHeight w:val="62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14179E09">
            <w:pPr>
              <w:widowControl/>
              <w:jc w:val="center"/>
              <w:rPr>
                <w:rFonts w:hint="eastAsia" w:ascii="仿宋" w:hAnsi="仿宋" w:eastAsia="仿宋" w:cs="仿宋"/>
                <w:b/>
                <w:bCs/>
                <w:kern w:val="0"/>
                <w:sz w:val="24"/>
                <w:szCs w:val="24"/>
              </w:rPr>
            </w:pPr>
          </w:p>
        </w:tc>
        <w:tc>
          <w:tcPr>
            <w:tcW w:w="842" w:type="dxa"/>
            <w:gridSpan w:val="2"/>
            <w:vMerge w:val="restart"/>
            <w:tcBorders>
              <w:top w:val="nil"/>
              <w:left w:val="single" w:color="auto" w:sz="4" w:space="0"/>
              <w:right w:val="single" w:color="auto" w:sz="4" w:space="0"/>
            </w:tcBorders>
            <w:noWrap w:val="0"/>
            <w:vAlign w:val="center"/>
          </w:tcPr>
          <w:p w14:paraId="13EE50B8">
            <w:pPr>
              <w:widowControl/>
              <w:jc w:val="center"/>
              <w:rPr>
                <w:rFonts w:hint="eastAsia" w:ascii="仿宋" w:hAnsi="仿宋" w:eastAsia="仿宋" w:cs="仿宋"/>
                <w:b/>
                <w:bCs/>
                <w:sz w:val="24"/>
                <w:szCs w:val="24"/>
              </w:rPr>
            </w:pPr>
            <w:r>
              <w:rPr>
                <w:rFonts w:hint="eastAsia" w:ascii="仿宋" w:hAnsi="仿宋" w:eastAsia="仿宋" w:cs="仿宋"/>
                <w:b/>
                <w:bCs/>
                <w:sz w:val="24"/>
                <w:szCs w:val="24"/>
              </w:rPr>
              <w:t>楼道</w:t>
            </w:r>
          </w:p>
        </w:tc>
        <w:tc>
          <w:tcPr>
            <w:tcW w:w="3865" w:type="dxa"/>
            <w:tcBorders>
              <w:top w:val="nil"/>
              <w:left w:val="nil"/>
              <w:bottom w:val="single" w:color="auto" w:sz="4" w:space="0"/>
              <w:right w:val="single" w:color="auto" w:sz="4" w:space="0"/>
            </w:tcBorders>
            <w:noWrap w:val="0"/>
            <w:vAlign w:val="center"/>
          </w:tcPr>
          <w:p w14:paraId="4B3F9C8F">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地面无水渍、无污渍，无垃圾，无积尘，光亮墙面无灰尘、无污渍，光亮，墙角无蜘蛛网。</w:t>
            </w:r>
          </w:p>
        </w:tc>
        <w:tc>
          <w:tcPr>
            <w:tcW w:w="1412" w:type="dxa"/>
            <w:vMerge w:val="restart"/>
            <w:tcBorders>
              <w:top w:val="nil"/>
              <w:left w:val="single" w:color="auto" w:sz="4" w:space="0"/>
              <w:right w:val="single" w:color="auto" w:sz="4" w:space="0"/>
            </w:tcBorders>
            <w:noWrap w:val="0"/>
            <w:vAlign w:val="center"/>
          </w:tcPr>
          <w:p w14:paraId="6E0AA96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vMerge w:val="restart"/>
            <w:tcBorders>
              <w:top w:val="nil"/>
              <w:left w:val="nil"/>
              <w:right w:val="single" w:color="auto" w:sz="4" w:space="0"/>
            </w:tcBorders>
            <w:noWrap w:val="0"/>
            <w:vAlign w:val="center"/>
          </w:tcPr>
          <w:p w14:paraId="2AD6FC35">
            <w:pPr>
              <w:widowControl/>
              <w:jc w:val="left"/>
              <w:rPr>
                <w:rFonts w:hint="eastAsia" w:ascii="仿宋" w:hAnsi="仿宋" w:eastAsia="仿宋" w:cs="仿宋"/>
                <w:b/>
                <w:bCs/>
                <w:kern w:val="0"/>
                <w:sz w:val="24"/>
                <w:szCs w:val="24"/>
              </w:rPr>
            </w:pPr>
          </w:p>
        </w:tc>
        <w:tc>
          <w:tcPr>
            <w:tcW w:w="1198" w:type="dxa"/>
            <w:vMerge w:val="restart"/>
            <w:tcBorders>
              <w:top w:val="nil"/>
              <w:left w:val="nil"/>
              <w:right w:val="single" w:color="auto" w:sz="4" w:space="0"/>
            </w:tcBorders>
            <w:noWrap w:val="0"/>
            <w:vAlign w:val="center"/>
          </w:tcPr>
          <w:p w14:paraId="067C7BB8">
            <w:pPr>
              <w:widowControl/>
              <w:jc w:val="left"/>
              <w:rPr>
                <w:rFonts w:hint="eastAsia" w:ascii="仿宋" w:hAnsi="仿宋" w:eastAsia="仿宋" w:cs="仿宋"/>
                <w:kern w:val="0"/>
                <w:sz w:val="24"/>
                <w:szCs w:val="24"/>
              </w:rPr>
            </w:pPr>
          </w:p>
        </w:tc>
      </w:tr>
      <w:tr w14:paraId="68AF51AB">
        <w:tblPrEx>
          <w:tblCellMar>
            <w:top w:w="0" w:type="dxa"/>
            <w:left w:w="108" w:type="dxa"/>
            <w:bottom w:w="0" w:type="dxa"/>
            <w:right w:w="108" w:type="dxa"/>
          </w:tblCellMar>
        </w:tblPrEx>
        <w:trPr>
          <w:trHeight w:val="62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5E07087A">
            <w:pPr>
              <w:widowControl/>
              <w:rPr>
                <w:rFonts w:hint="eastAsia" w:ascii="仿宋" w:hAnsi="仿宋" w:eastAsia="仿宋" w:cs="仿宋"/>
                <w:sz w:val="24"/>
                <w:szCs w:val="24"/>
              </w:rPr>
            </w:pPr>
          </w:p>
        </w:tc>
        <w:tc>
          <w:tcPr>
            <w:tcW w:w="842" w:type="dxa"/>
            <w:gridSpan w:val="2"/>
            <w:vMerge w:val="continue"/>
            <w:tcBorders>
              <w:left w:val="single" w:color="auto" w:sz="4" w:space="0"/>
              <w:right w:val="single" w:color="auto" w:sz="4" w:space="0"/>
            </w:tcBorders>
            <w:noWrap w:val="0"/>
            <w:vAlign w:val="center"/>
          </w:tcPr>
          <w:p w14:paraId="303FE301">
            <w:pPr>
              <w:widowControl/>
              <w:rPr>
                <w:rFonts w:hint="eastAsia" w:ascii="仿宋" w:hAnsi="仿宋" w:eastAsia="仿宋" w:cs="仿宋"/>
                <w:sz w:val="24"/>
                <w:szCs w:val="24"/>
              </w:rPr>
            </w:pPr>
          </w:p>
        </w:tc>
        <w:tc>
          <w:tcPr>
            <w:tcW w:w="3865" w:type="dxa"/>
            <w:tcBorders>
              <w:top w:val="nil"/>
              <w:left w:val="nil"/>
              <w:bottom w:val="single" w:color="auto" w:sz="4" w:space="0"/>
              <w:right w:val="single" w:color="auto" w:sz="4" w:space="0"/>
            </w:tcBorders>
            <w:noWrap w:val="0"/>
            <w:vAlign w:val="center"/>
          </w:tcPr>
          <w:p w14:paraId="1BEE4C77">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公共设施表面无积尘、无污渍、光亮。</w:t>
            </w:r>
          </w:p>
        </w:tc>
        <w:tc>
          <w:tcPr>
            <w:tcW w:w="1412" w:type="dxa"/>
            <w:vMerge w:val="continue"/>
            <w:tcBorders>
              <w:left w:val="single" w:color="auto" w:sz="4" w:space="0"/>
              <w:right w:val="single" w:color="auto" w:sz="4" w:space="0"/>
            </w:tcBorders>
            <w:noWrap w:val="0"/>
            <w:vAlign w:val="center"/>
          </w:tcPr>
          <w:p w14:paraId="2F51F232">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381EB817">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7ABC4AF7">
            <w:pPr>
              <w:widowControl/>
              <w:rPr>
                <w:rFonts w:hint="eastAsia" w:ascii="仿宋" w:hAnsi="仿宋" w:eastAsia="仿宋" w:cs="仿宋"/>
                <w:color w:val="000000"/>
                <w:sz w:val="24"/>
                <w:szCs w:val="24"/>
              </w:rPr>
            </w:pPr>
          </w:p>
        </w:tc>
      </w:tr>
      <w:tr w14:paraId="173D314A">
        <w:tblPrEx>
          <w:tblCellMar>
            <w:top w:w="0" w:type="dxa"/>
            <w:left w:w="108" w:type="dxa"/>
            <w:bottom w:w="0" w:type="dxa"/>
            <w:right w:w="108" w:type="dxa"/>
          </w:tblCellMar>
        </w:tblPrEx>
        <w:trPr>
          <w:trHeight w:val="62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66BE267E">
            <w:pPr>
              <w:widowControl/>
              <w:rPr>
                <w:rFonts w:hint="eastAsia" w:ascii="仿宋" w:hAnsi="仿宋" w:eastAsia="仿宋" w:cs="仿宋"/>
                <w:color w:val="000000"/>
                <w:sz w:val="24"/>
                <w:szCs w:val="24"/>
              </w:rPr>
            </w:pPr>
          </w:p>
        </w:tc>
        <w:tc>
          <w:tcPr>
            <w:tcW w:w="842" w:type="dxa"/>
            <w:gridSpan w:val="2"/>
            <w:vMerge w:val="continue"/>
            <w:tcBorders>
              <w:left w:val="single" w:color="auto" w:sz="4" w:space="0"/>
              <w:right w:val="single" w:color="auto" w:sz="4" w:space="0"/>
            </w:tcBorders>
            <w:noWrap w:val="0"/>
            <w:vAlign w:val="center"/>
          </w:tcPr>
          <w:p w14:paraId="1DA9020A">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2CE32A2E">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不锈钢表面无手印，无积尘，无污渍、光亮。</w:t>
            </w:r>
          </w:p>
        </w:tc>
        <w:tc>
          <w:tcPr>
            <w:tcW w:w="1412" w:type="dxa"/>
            <w:vMerge w:val="continue"/>
            <w:tcBorders>
              <w:left w:val="single" w:color="auto" w:sz="4" w:space="0"/>
              <w:right w:val="single" w:color="auto" w:sz="4" w:space="0"/>
            </w:tcBorders>
            <w:noWrap w:val="0"/>
            <w:vAlign w:val="center"/>
          </w:tcPr>
          <w:p w14:paraId="19AF19AA">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05AAA751">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6A09D70D">
            <w:pPr>
              <w:widowControl/>
              <w:rPr>
                <w:rFonts w:hint="eastAsia" w:ascii="仿宋" w:hAnsi="仿宋" w:eastAsia="仿宋" w:cs="仿宋"/>
                <w:color w:val="000000"/>
                <w:sz w:val="24"/>
                <w:szCs w:val="24"/>
              </w:rPr>
            </w:pPr>
          </w:p>
        </w:tc>
      </w:tr>
      <w:tr w14:paraId="473DD918">
        <w:tblPrEx>
          <w:tblCellMar>
            <w:top w:w="0" w:type="dxa"/>
            <w:left w:w="108" w:type="dxa"/>
            <w:bottom w:w="0" w:type="dxa"/>
            <w:right w:w="108" w:type="dxa"/>
          </w:tblCellMar>
        </w:tblPrEx>
        <w:trPr>
          <w:trHeight w:val="62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2E5FAFB2">
            <w:pPr>
              <w:widowControl/>
              <w:rPr>
                <w:rFonts w:hint="eastAsia" w:ascii="仿宋" w:hAnsi="仿宋" w:eastAsia="仿宋" w:cs="仿宋"/>
                <w:color w:val="000000"/>
                <w:sz w:val="24"/>
                <w:szCs w:val="24"/>
              </w:rPr>
            </w:pPr>
          </w:p>
        </w:tc>
        <w:tc>
          <w:tcPr>
            <w:tcW w:w="842" w:type="dxa"/>
            <w:gridSpan w:val="2"/>
            <w:vMerge w:val="continue"/>
            <w:tcBorders>
              <w:top w:val="nil"/>
              <w:left w:val="single" w:color="auto" w:sz="4" w:space="0"/>
              <w:bottom w:val="single" w:color="auto" w:sz="4" w:space="0"/>
              <w:right w:val="single" w:color="auto" w:sz="4" w:space="0"/>
            </w:tcBorders>
            <w:noWrap w:val="0"/>
            <w:vAlign w:val="center"/>
          </w:tcPr>
          <w:p w14:paraId="4D68E798">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4B1366A8">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玻璃上无手印，无积尘，无污渍、明亮；窗台无积尘。</w:t>
            </w:r>
          </w:p>
        </w:tc>
        <w:tc>
          <w:tcPr>
            <w:tcW w:w="1412" w:type="dxa"/>
            <w:vMerge w:val="continue"/>
            <w:tcBorders>
              <w:top w:val="nil"/>
              <w:left w:val="single" w:color="auto" w:sz="4" w:space="0"/>
              <w:bottom w:val="single" w:color="auto" w:sz="4" w:space="0"/>
              <w:right w:val="single" w:color="auto" w:sz="4" w:space="0"/>
            </w:tcBorders>
            <w:noWrap w:val="0"/>
            <w:vAlign w:val="center"/>
          </w:tcPr>
          <w:p w14:paraId="5CFDB4E1">
            <w:pPr>
              <w:widowControl/>
              <w:rPr>
                <w:rFonts w:hint="eastAsia" w:ascii="仿宋" w:hAnsi="仿宋" w:eastAsia="仿宋" w:cs="仿宋"/>
                <w:color w:val="000000"/>
                <w:sz w:val="24"/>
                <w:szCs w:val="24"/>
              </w:rPr>
            </w:pPr>
          </w:p>
        </w:tc>
        <w:tc>
          <w:tcPr>
            <w:tcW w:w="837" w:type="dxa"/>
            <w:vMerge w:val="continue"/>
            <w:tcBorders>
              <w:top w:val="nil"/>
              <w:left w:val="nil"/>
              <w:bottom w:val="single" w:color="auto" w:sz="4" w:space="0"/>
              <w:right w:val="single" w:color="auto" w:sz="4" w:space="0"/>
            </w:tcBorders>
            <w:noWrap w:val="0"/>
            <w:vAlign w:val="center"/>
          </w:tcPr>
          <w:p w14:paraId="002FC8A7">
            <w:pPr>
              <w:widowControl/>
              <w:rPr>
                <w:rFonts w:hint="eastAsia" w:ascii="仿宋" w:hAnsi="仿宋" w:eastAsia="仿宋" w:cs="仿宋"/>
                <w:color w:val="000000"/>
                <w:sz w:val="24"/>
                <w:szCs w:val="24"/>
              </w:rPr>
            </w:pPr>
          </w:p>
        </w:tc>
        <w:tc>
          <w:tcPr>
            <w:tcW w:w="1198" w:type="dxa"/>
            <w:vMerge w:val="continue"/>
            <w:tcBorders>
              <w:top w:val="nil"/>
              <w:left w:val="nil"/>
              <w:bottom w:val="single" w:color="auto" w:sz="4" w:space="0"/>
              <w:right w:val="single" w:color="auto" w:sz="4" w:space="0"/>
            </w:tcBorders>
            <w:noWrap w:val="0"/>
            <w:vAlign w:val="center"/>
          </w:tcPr>
          <w:p w14:paraId="7608F4EF">
            <w:pPr>
              <w:widowControl/>
              <w:rPr>
                <w:rFonts w:hint="eastAsia" w:ascii="仿宋" w:hAnsi="仿宋" w:eastAsia="仿宋" w:cs="仿宋"/>
                <w:color w:val="000000"/>
                <w:sz w:val="24"/>
                <w:szCs w:val="24"/>
              </w:rPr>
            </w:pPr>
          </w:p>
        </w:tc>
      </w:tr>
      <w:tr w14:paraId="63CCBF65">
        <w:tblPrEx>
          <w:tblCellMar>
            <w:top w:w="0" w:type="dxa"/>
            <w:left w:w="108" w:type="dxa"/>
            <w:bottom w:w="0" w:type="dxa"/>
            <w:right w:w="108" w:type="dxa"/>
          </w:tblCellMar>
        </w:tblPrEx>
        <w:trPr>
          <w:trHeight w:val="260"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17FCFED5">
            <w:pPr>
              <w:widowControl/>
              <w:jc w:val="center"/>
              <w:rPr>
                <w:rFonts w:hint="eastAsia" w:ascii="仿宋" w:hAnsi="仿宋" w:eastAsia="仿宋" w:cs="仿宋"/>
                <w:b/>
                <w:bCs/>
                <w:kern w:val="0"/>
                <w:sz w:val="24"/>
                <w:szCs w:val="24"/>
              </w:rPr>
            </w:pPr>
          </w:p>
        </w:tc>
        <w:tc>
          <w:tcPr>
            <w:tcW w:w="842" w:type="dxa"/>
            <w:gridSpan w:val="2"/>
            <w:vMerge w:val="restart"/>
            <w:tcBorders>
              <w:top w:val="nil"/>
              <w:left w:val="single" w:color="auto" w:sz="4" w:space="0"/>
              <w:right w:val="single" w:color="auto" w:sz="4" w:space="0"/>
            </w:tcBorders>
            <w:noWrap w:val="0"/>
            <w:vAlign w:val="center"/>
          </w:tcPr>
          <w:p w14:paraId="2D554E6E">
            <w:pPr>
              <w:widowControl/>
              <w:jc w:val="center"/>
              <w:rPr>
                <w:rFonts w:hint="eastAsia" w:ascii="仿宋" w:hAnsi="仿宋" w:eastAsia="仿宋" w:cs="仿宋"/>
                <w:b/>
                <w:bCs/>
                <w:sz w:val="24"/>
                <w:szCs w:val="24"/>
              </w:rPr>
            </w:pPr>
            <w:r>
              <w:rPr>
                <w:rFonts w:hint="eastAsia" w:ascii="仿宋" w:hAnsi="仿宋" w:eastAsia="仿宋" w:cs="仿宋"/>
                <w:b/>
                <w:bCs/>
                <w:color w:val="000000"/>
                <w:sz w:val="24"/>
                <w:szCs w:val="24"/>
              </w:rPr>
              <w:t>公共卫生间、开水房</w:t>
            </w:r>
          </w:p>
        </w:tc>
        <w:tc>
          <w:tcPr>
            <w:tcW w:w="3865" w:type="dxa"/>
            <w:tcBorders>
              <w:top w:val="nil"/>
              <w:left w:val="nil"/>
              <w:bottom w:val="single" w:color="auto" w:sz="4" w:space="0"/>
              <w:right w:val="single" w:color="auto" w:sz="4" w:space="0"/>
            </w:tcBorders>
            <w:noWrap w:val="0"/>
            <w:vAlign w:val="center"/>
          </w:tcPr>
          <w:p w14:paraId="08DE3093">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卫生间无异味、厕坑便具洁净无黄渍</w:t>
            </w:r>
            <w:r>
              <w:rPr>
                <w:rFonts w:hint="eastAsia" w:ascii="仿宋" w:hAnsi="仿宋" w:eastAsia="仿宋" w:cs="仿宋"/>
                <w:color w:val="000000"/>
                <w:sz w:val="24"/>
                <w:szCs w:val="24"/>
                <w:lang w:eastAsia="zh-CN"/>
              </w:rPr>
              <w:t>。</w:t>
            </w:r>
          </w:p>
        </w:tc>
        <w:tc>
          <w:tcPr>
            <w:tcW w:w="1412" w:type="dxa"/>
            <w:vMerge w:val="restart"/>
            <w:tcBorders>
              <w:top w:val="nil"/>
              <w:left w:val="single" w:color="auto" w:sz="4" w:space="0"/>
              <w:right w:val="single" w:color="auto" w:sz="4" w:space="0"/>
            </w:tcBorders>
            <w:noWrap w:val="0"/>
            <w:vAlign w:val="center"/>
          </w:tcPr>
          <w:p w14:paraId="23C150B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vMerge w:val="restart"/>
            <w:tcBorders>
              <w:top w:val="nil"/>
              <w:left w:val="nil"/>
              <w:right w:val="single" w:color="auto" w:sz="4" w:space="0"/>
            </w:tcBorders>
            <w:noWrap w:val="0"/>
            <w:vAlign w:val="center"/>
          </w:tcPr>
          <w:p w14:paraId="1954B0FB">
            <w:pPr>
              <w:widowControl/>
              <w:jc w:val="left"/>
              <w:rPr>
                <w:rFonts w:hint="eastAsia" w:ascii="仿宋" w:hAnsi="仿宋" w:eastAsia="仿宋" w:cs="仿宋"/>
                <w:b/>
                <w:bCs/>
                <w:kern w:val="0"/>
                <w:sz w:val="24"/>
                <w:szCs w:val="24"/>
              </w:rPr>
            </w:pPr>
          </w:p>
        </w:tc>
        <w:tc>
          <w:tcPr>
            <w:tcW w:w="1198" w:type="dxa"/>
            <w:vMerge w:val="restart"/>
            <w:tcBorders>
              <w:top w:val="nil"/>
              <w:left w:val="nil"/>
              <w:right w:val="single" w:color="auto" w:sz="4" w:space="0"/>
            </w:tcBorders>
            <w:noWrap w:val="0"/>
            <w:vAlign w:val="center"/>
          </w:tcPr>
          <w:p w14:paraId="2DCADD11">
            <w:pPr>
              <w:widowControl/>
              <w:jc w:val="left"/>
              <w:rPr>
                <w:rFonts w:hint="eastAsia" w:ascii="仿宋" w:hAnsi="仿宋" w:eastAsia="仿宋" w:cs="仿宋"/>
                <w:kern w:val="0"/>
                <w:sz w:val="24"/>
                <w:szCs w:val="24"/>
              </w:rPr>
            </w:pPr>
          </w:p>
        </w:tc>
      </w:tr>
      <w:tr w14:paraId="51631670">
        <w:tblPrEx>
          <w:tblCellMar>
            <w:top w:w="0" w:type="dxa"/>
            <w:left w:w="108" w:type="dxa"/>
            <w:bottom w:w="0" w:type="dxa"/>
            <w:right w:w="108" w:type="dxa"/>
          </w:tblCellMar>
        </w:tblPrEx>
        <w:trPr>
          <w:trHeight w:val="260"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7E3058F7">
            <w:pPr>
              <w:widowControl/>
              <w:rPr>
                <w:rFonts w:hint="eastAsia" w:ascii="仿宋" w:hAnsi="仿宋" w:eastAsia="仿宋" w:cs="仿宋"/>
                <w:sz w:val="24"/>
                <w:szCs w:val="24"/>
              </w:rPr>
            </w:pPr>
          </w:p>
        </w:tc>
        <w:tc>
          <w:tcPr>
            <w:tcW w:w="842" w:type="dxa"/>
            <w:gridSpan w:val="2"/>
            <w:vMerge w:val="continue"/>
            <w:tcBorders>
              <w:left w:val="single" w:color="auto" w:sz="4" w:space="0"/>
              <w:right w:val="single" w:color="auto" w:sz="4" w:space="0"/>
            </w:tcBorders>
            <w:noWrap w:val="0"/>
            <w:vAlign w:val="center"/>
          </w:tcPr>
          <w:p w14:paraId="278C628C">
            <w:pPr>
              <w:widowControl/>
              <w:rPr>
                <w:rFonts w:hint="eastAsia" w:ascii="仿宋" w:hAnsi="仿宋" w:eastAsia="仿宋" w:cs="仿宋"/>
                <w:sz w:val="24"/>
                <w:szCs w:val="24"/>
              </w:rPr>
            </w:pPr>
          </w:p>
        </w:tc>
        <w:tc>
          <w:tcPr>
            <w:tcW w:w="3865" w:type="dxa"/>
            <w:tcBorders>
              <w:top w:val="nil"/>
              <w:left w:val="nil"/>
              <w:bottom w:val="single" w:color="auto" w:sz="4" w:space="0"/>
              <w:right w:val="single" w:color="auto" w:sz="4" w:space="0"/>
            </w:tcBorders>
            <w:noWrap w:val="0"/>
            <w:vAlign w:val="center"/>
          </w:tcPr>
          <w:p w14:paraId="3AD1832A">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镜面、水盆、台面无污点，光亮，纸篓随时清理。</w:t>
            </w:r>
          </w:p>
        </w:tc>
        <w:tc>
          <w:tcPr>
            <w:tcW w:w="1412" w:type="dxa"/>
            <w:vMerge w:val="continue"/>
            <w:tcBorders>
              <w:left w:val="single" w:color="auto" w:sz="4" w:space="0"/>
              <w:right w:val="single" w:color="auto" w:sz="4" w:space="0"/>
            </w:tcBorders>
            <w:noWrap w:val="0"/>
            <w:vAlign w:val="center"/>
          </w:tcPr>
          <w:p w14:paraId="5180C6B8">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274F0892">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4D62B8BC">
            <w:pPr>
              <w:widowControl/>
              <w:rPr>
                <w:rFonts w:hint="eastAsia" w:ascii="仿宋" w:hAnsi="仿宋" w:eastAsia="仿宋" w:cs="仿宋"/>
                <w:color w:val="000000"/>
                <w:sz w:val="24"/>
                <w:szCs w:val="24"/>
              </w:rPr>
            </w:pPr>
          </w:p>
        </w:tc>
      </w:tr>
      <w:tr w14:paraId="0282E25F">
        <w:tblPrEx>
          <w:tblCellMar>
            <w:top w:w="0" w:type="dxa"/>
            <w:left w:w="108" w:type="dxa"/>
            <w:bottom w:w="0" w:type="dxa"/>
            <w:right w:w="108" w:type="dxa"/>
          </w:tblCellMar>
        </w:tblPrEx>
        <w:trPr>
          <w:trHeight w:val="260"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492FF1F9">
            <w:pPr>
              <w:widowControl/>
              <w:rPr>
                <w:rFonts w:hint="eastAsia" w:ascii="仿宋" w:hAnsi="仿宋" w:eastAsia="仿宋" w:cs="仿宋"/>
                <w:color w:val="000000"/>
                <w:sz w:val="24"/>
                <w:szCs w:val="24"/>
              </w:rPr>
            </w:pPr>
          </w:p>
        </w:tc>
        <w:tc>
          <w:tcPr>
            <w:tcW w:w="842" w:type="dxa"/>
            <w:gridSpan w:val="2"/>
            <w:vMerge w:val="continue"/>
            <w:tcBorders>
              <w:left w:val="single" w:color="auto" w:sz="4" w:space="0"/>
              <w:right w:val="single" w:color="auto" w:sz="4" w:space="0"/>
            </w:tcBorders>
            <w:noWrap w:val="0"/>
            <w:vAlign w:val="center"/>
          </w:tcPr>
          <w:p w14:paraId="5B1F142B">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75906D9B">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墙面、天棚、墙角、灯具无积尘、无蜘蛛网</w:t>
            </w:r>
            <w:r>
              <w:rPr>
                <w:rFonts w:hint="eastAsia" w:ascii="仿宋" w:hAnsi="仿宋" w:eastAsia="仿宋" w:cs="仿宋"/>
                <w:color w:val="000000"/>
                <w:sz w:val="24"/>
                <w:szCs w:val="24"/>
                <w:lang w:eastAsia="zh-CN"/>
              </w:rPr>
              <w:t>。</w:t>
            </w:r>
          </w:p>
        </w:tc>
        <w:tc>
          <w:tcPr>
            <w:tcW w:w="1412" w:type="dxa"/>
            <w:vMerge w:val="continue"/>
            <w:tcBorders>
              <w:left w:val="single" w:color="auto" w:sz="4" w:space="0"/>
              <w:right w:val="single" w:color="auto" w:sz="4" w:space="0"/>
            </w:tcBorders>
            <w:noWrap w:val="0"/>
            <w:vAlign w:val="center"/>
          </w:tcPr>
          <w:p w14:paraId="0898DDB4">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6EDDCA24">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458A74E6">
            <w:pPr>
              <w:widowControl/>
              <w:rPr>
                <w:rFonts w:hint="eastAsia" w:ascii="仿宋" w:hAnsi="仿宋" w:eastAsia="仿宋" w:cs="仿宋"/>
                <w:color w:val="000000"/>
                <w:sz w:val="24"/>
                <w:szCs w:val="24"/>
              </w:rPr>
            </w:pPr>
          </w:p>
        </w:tc>
      </w:tr>
      <w:tr w14:paraId="2B19C3CA">
        <w:tblPrEx>
          <w:tblCellMar>
            <w:top w:w="0" w:type="dxa"/>
            <w:left w:w="108" w:type="dxa"/>
            <w:bottom w:w="0" w:type="dxa"/>
            <w:right w:w="108" w:type="dxa"/>
          </w:tblCellMar>
        </w:tblPrEx>
        <w:trPr>
          <w:trHeight w:val="260"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1D19C3AF">
            <w:pPr>
              <w:widowControl/>
              <w:rPr>
                <w:rFonts w:hint="eastAsia" w:ascii="仿宋" w:hAnsi="仿宋" w:eastAsia="仿宋" w:cs="仿宋"/>
                <w:color w:val="000000"/>
                <w:sz w:val="24"/>
                <w:szCs w:val="24"/>
              </w:rPr>
            </w:pPr>
          </w:p>
        </w:tc>
        <w:tc>
          <w:tcPr>
            <w:tcW w:w="842" w:type="dxa"/>
            <w:gridSpan w:val="2"/>
            <w:vMerge w:val="continue"/>
            <w:tcBorders>
              <w:left w:val="single" w:color="auto" w:sz="4" w:space="0"/>
              <w:right w:val="single" w:color="auto" w:sz="4" w:space="0"/>
            </w:tcBorders>
            <w:noWrap w:val="0"/>
            <w:vAlign w:val="center"/>
          </w:tcPr>
          <w:p w14:paraId="5A1AD4D1">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78ED98F9">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地面无水渍、无污渍，无垃圾</w:t>
            </w:r>
            <w:r>
              <w:rPr>
                <w:rFonts w:hint="eastAsia" w:ascii="仿宋" w:hAnsi="仿宋" w:eastAsia="仿宋" w:cs="仿宋"/>
                <w:color w:val="000000"/>
                <w:sz w:val="24"/>
                <w:szCs w:val="24"/>
                <w:lang w:eastAsia="zh-CN"/>
              </w:rPr>
              <w:t>。</w:t>
            </w:r>
          </w:p>
        </w:tc>
        <w:tc>
          <w:tcPr>
            <w:tcW w:w="1412" w:type="dxa"/>
            <w:vMerge w:val="continue"/>
            <w:tcBorders>
              <w:left w:val="single" w:color="auto" w:sz="4" w:space="0"/>
              <w:right w:val="single" w:color="auto" w:sz="4" w:space="0"/>
            </w:tcBorders>
            <w:noWrap w:val="0"/>
            <w:vAlign w:val="center"/>
          </w:tcPr>
          <w:p w14:paraId="12231839">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0FC2E566">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3096E2B5">
            <w:pPr>
              <w:widowControl/>
              <w:rPr>
                <w:rFonts w:hint="eastAsia" w:ascii="仿宋" w:hAnsi="仿宋" w:eastAsia="仿宋" w:cs="仿宋"/>
                <w:color w:val="000000"/>
                <w:sz w:val="24"/>
                <w:szCs w:val="24"/>
              </w:rPr>
            </w:pPr>
          </w:p>
        </w:tc>
      </w:tr>
      <w:tr w14:paraId="351A8B56">
        <w:tblPrEx>
          <w:tblCellMar>
            <w:top w:w="0" w:type="dxa"/>
            <w:left w:w="108" w:type="dxa"/>
            <w:bottom w:w="0" w:type="dxa"/>
            <w:right w:w="108" w:type="dxa"/>
          </w:tblCellMar>
        </w:tblPrEx>
        <w:trPr>
          <w:trHeight w:val="260"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26A8188B">
            <w:pPr>
              <w:widowControl/>
              <w:rPr>
                <w:rFonts w:hint="eastAsia" w:ascii="仿宋" w:hAnsi="仿宋" w:eastAsia="仿宋" w:cs="仿宋"/>
                <w:color w:val="000000"/>
                <w:sz w:val="24"/>
                <w:szCs w:val="24"/>
              </w:rPr>
            </w:pPr>
          </w:p>
        </w:tc>
        <w:tc>
          <w:tcPr>
            <w:tcW w:w="842" w:type="dxa"/>
            <w:gridSpan w:val="2"/>
            <w:vMerge w:val="continue"/>
            <w:tcBorders>
              <w:left w:val="single" w:color="auto" w:sz="4" w:space="0"/>
              <w:right w:val="single" w:color="auto" w:sz="4" w:space="0"/>
            </w:tcBorders>
            <w:noWrap w:val="0"/>
            <w:vAlign w:val="center"/>
          </w:tcPr>
          <w:p w14:paraId="24BEA2A4">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7FCE5DFC">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开水房达到卫生标准、安全可靠</w:t>
            </w:r>
            <w:r>
              <w:rPr>
                <w:rFonts w:hint="eastAsia" w:ascii="仿宋" w:hAnsi="仿宋" w:eastAsia="仿宋" w:cs="仿宋"/>
                <w:color w:val="000000"/>
                <w:sz w:val="24"/>
                <w:szCs w:val="24"/>
                <w:lang w:eastAsia="zh-CN"/>
              </w:rPr>
              <w:t>。</w:t>
            </w:r>
          </w:p>
        </w:tc>
        <w:tc>
          <w:tcPr>
            <w:tcW w:w="1412" w:type="dxa"/>
            <w:vMerge w:val="continue"/>
            <w:tcBorders>
              <w:left w:val="single" w:color="auto" w:sz="4" w:space="0"/>
              <w:right w:val="single" w:color="auto" w:sz="4" w:space="0"/>
            </w:tcBorders>
            <w:noWrap w:val="0"/>
            <w:vAlign w:val="center"/>
          </w:tcPr>
          <w:p w14:paraId="3F8A3355">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6138A1C8">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17342FBB">
            <w:pPr>
              <w:widowControl/>
              <w:rPr>
                <w:rFonts w:hint="eastAsia" w:ascii="仿宋" w:hAnsi="仿宋" w:eastAsia="仿宋" w:cs="仿宋"/>
                <w:color w:val="000000"/>
                <w:sz w:val="24"/>
                <w:szCs w:val="24"/>
              </w:rPr>
            </w:pPr>
          </w:p>
        </w:tc>
      </w:tr>
      <w:tr w14:paraId="34A96D6F">
        <w:tblPrEx>
          <w:tblCellMar>
            <w:top w:w="0" w:type="dxa"/>
            <w:left w:w="108" w:type="dxa"/>
            <w:bottom w:w="0" w:type="dxa"/>
            <w:right w:w="108" w:type="dxa"/>
          </w:tblCellMar>
        </w:tblPrEx>
        <w:trPr>
          <w:trHeight w:val="260"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6EEF4735">
            <w:pPr>
              <w:widowControl/>
              <w:rPr>
                <w:rFonts w:hint="eastAsia" w:ascii="仿宋" w:hAnsi="仿宋" w:eastAsia="仿宋" w:cs="仿宋"/>
                <w:color w:val="000000"/>
                <w:sz w:val="24"/>
                <w:szCs w:val="24"/>
              </w:rPr>
            </w:pPr>
          </w:p>
        </w:tc>
        <w:tc>
          <w:tcPr>
            <w:tcW w:w="842" w:type="dxa"/>
            <w:gridSpan w:val="2"/>
            <w:vMerge w:val="continue"/>
            <w:tcBorders>
              <w:top w:val="nil"/>
              <w:left w:val="single" w:color="auto" w:sz="4" w:space="0"/>
              <w:bottom w:val="single" w:color="auto" w:sz="4" w:space="0"/>
              <w:right w:val="single" w:color="auto" w:sz="4" w:space="0"/>
            </w:tcBorders>
            <w:noWrap w:val="0"/>
            <w:vAlign w:val="center"/>
          </w:tcPr>
          <w:p w14:paraId="44D940A2">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37C969C4">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保洁工具与保洁用品要统一放在指定地点。</w:t>
            </w:r>
          </w:p>
        </w:tc>
        <w:tc>
          <w:tcPr>
            <w:tcW w:w="1412" w:type="dxa"/>
            <w:vMerge w:val="continue"/>
            <w:tcBorders>
              <w:top w:val="nil"/>
              <w:left w:val="single" w:color="auto" w:sz="4" w:space="0"/>
              <w:bottom w:val="single" w:color="auto" w:sz="4" w:space="0"/>
              <w:right w:val="single" w:color="auto" w:sz="4" w:space="0"/>
            </w:tcBorders>
            <w:noWrap w:val="0"/>
            <w:vAlign w:val="center"/>
          </w:tcPr>
          <w:p w14:paraId="216637FD">
            <w:pPr>
              <w:widowControl/>
              <w:rPr>
                <w:rFonts w:hint="eastAsia" w:ascii="仿宋" w:hAnsi="仿宋" w:eastAsia="仿宋" w:cs="仿宋"/>
                <w:color w:val="000000"/>
                <w:sz w:val="24"/>
                <w:szCs w:val="24"/>
              </w:rPr>
            </w:pPr>
          </w:p>
        </w:tc>
        <w:tc>
          <w:tcPr>
            <w:tcW w:w="837" w:type="dxa"/>
            <w:vMerge w:val="continue"/>
            <w:tcBorders>
              <w:top w:val="nil"/>
              <w:left w:val="nil"/>
              <w:bottom w:val="single" w:color="auto" w:sz="4" w:space="0"/>
              <w:right w:val="single" w:color="auto" w:sz="4" w:space="0"/>
            </w:tcBorders>
            <w:noWrap w:val="0"/>
            <w:vAlign w:val="center"/>
          </w:tcPr>
          <w:p w14:paraId="7C1D08CF">
            <w:pPr>
              <w:widowControl/>
              <w:rPr>
                <w:rFonts w:hint="eastAsia" w:ascii="仿宋" w:hAnsi="仿宋" w:eastAsia="仿宋" w:cs="仿宋"/>
                <w:color w:val="000000"/>
                <w:sz w:val="24"/>
                <w:szCs w:val="24"/>
              </w:rPr>
            </w:pPr>
          </w:p>
        </w:tc>
        <w:tc>
          <w:tcPr>
            <w:tcW w:w="1198" w:type="dxa"/>
            <w:vMerge w:val="continue"/>
            <w:tcBorders>
              <w:top w:val="nil"/>
              <w:left w:val="nil"/>
              <w:bottom w:val="single" w:color="auto" w:sz="4" w:space="0"/>
              <w:right w:val="single" w:color="auto" w:sz="4" w:space="0"/>
            </w:tcBorders>
            <w:noWrap w:val="0"/>
            <w:vAlign w:val="center"/>
          </w:tcPr>
          <w:p w14:paraId="0F212CEB">
            <w:pPr>
              <w:widowControl/>
              <w:rPr>
                <w:rFonts w:hint="eastAsia" w:ascii="仿宋" w:hAnsi="仿宋" w:eastAsia="仿宋" w:cs="仿宋"/>
                <w:color w:val="000000"/>
                <w:sz w:val="24"/>
                <w:szCs w:val="24"/>
              </w:rPr>
            </w:pPr>
          </w:p>
        </w:tc>
      </w:tr>
      <w:tr w14:paraId="369030C2">
        <w:tblPrEx>
          <w:tblCellMar>
            <w:top w:w="0" w:type="dxa"/>
            <w:left w:w="108" w:type="dxa"/>
            <w:bottom w:w="0" w:type="dxa"/>
            <w:right w:w="108" w:type="dxa"/>
          </w:tblCellMar>
        </w:tblPrEx>
        <w:trPr>
          <w:trHeight w:val="62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3A70EF22">
            <w:pPr>
              <w:widowControl/>
              <w:jc w:val="center"/>
              <w:rPr>
                <w:rFonts w:hint="eastAsia" w:ascii="仿宋" w:hAnsi="仿宋" w:eastAsia="仿宋" w:cs="仿宋"/>
                <w:b/>
                <w:bCs/>
                <w:kern w:val="0"/>
                <w:sz w:val="24"/>
                <w:szCs w:val="24"/>
              </w:rPr>
            </w:pPr>
          </w:p>
        </w:tc>
        <w:tc>
          <w:tcPr>
            <w:tcW w:w="842" w:type="dxa"/>
            <w:gridSpan w:val="2"/>
            <w:vMerge w:val="restart"/>
            <w:tcBorders>
              <w:top w:val="nil"/>
              <w:left w:val="single" w:color="auto" w:sz="4" w:space="0"/>
              <w:right w:val="single" w:color="auto" w:sz="4" w:space="0"/>
            </w:tcBorders>
            <w:noWrap w:val="0"/>
            <w:vAlign w:val="center"/>
          </w:tcPr>
          <w:p w14:paraId="0BB7969B">
            <w:pPr>
              <w:widowControl/>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教室</w:t>
            </w:r>
          </w:p>
        </w:tc>
        <w:tc>
          <w:tcPr>
            <w:tcW w:w="3865" w:type="dxa"/>
            <w:tcBorders>
              <w:top w:val="nil"/>
              <w:left w:val="nil"/>
              <w:bottom w:val="single" w:color="auto" w:sz="4" w:space="0"/>
              <w:right w:val="single" w:color="auto" w:sz="4" w:space="0"/>
            </w:tcBorders>
            <w:noWrap w:val="0"/>
            <w:vAlign w:val="center"/>
          </w:tcPr>
          <w:p w14:paraId="3992AECF">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桌椅、讲台、窗台、黑板、地面、踏步、门楣、门套、墙面、墙角无积尘，光亮。</w:t>
            </w:r>
          </w:p>
        </w:tc>
        <w:tc>
          <w:tcPr>
            <w:tcW w:w="1412" w:type="dxa"/>
            <w:vMerge w:val="restart"/>
            <w:tcBorders>
              <w:top w:val="nil"/>
              <w:left w:val="single" w:color="auto" w:sz="4" w:space="0"/>
              <w:right w:val="single" w:color="auto" w:sz="4" w:space="0"/>
            </w:tcBorders>
            <w:noWrap w:val="0"/>
            <w:vAlign w:val="center"/>
          </w:tcPr>
          <w:p w14:paraId="2E43E46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vMerge w:val="restart"/>
            <w:tcBorders>
              <w:top w:val="nil"/>
              <w:left w:val="nil"/>
              <w:right w:val="single" w:color="auto" w:sz="4" w:space="0"/>
            </w:tcBorders>
            <w:noWrap w:val="0"/>
            <w:vAlign w:val="center"/>
          </w:tcPr>
          <w:p w14:paraId="05385110">
            <w:pPr>
              <w:widowControl/>
              <w:jc w:val="left"/>
              <w:rPr>
                <w:rFonts w:hint="eastAsia" w:ascii="仿宋" w:hAnsi="仿宋" w:eastAsia="仿宋" w:cs="仿宋"/>
                <w:b/>
                <w:bCs/>
                <w:kern w:val="0"/>
                <w:sz w:val="24"/>
                <w:szCs w:val="24"/>
              </w:rPr>
            </w:pPr>
          </w:p>
        </w:tc>
        <w:tc>
          <w:tcPr>
            <w:tcW w:w="1198" w:type="dxa"/>
            <w:vMerge w:val="restart"/>
            <w:tcBorders>
              <w:top w:val="nil"/>
              <w:left w:val="nil"/>
              <w:right w:val="single" w:color="auto" w:sz="4" w:space="0"/>
            </w:tcBorders>
            <w:noWrap w:val="0"/>
            <w:vAlign w:val="center"/>
          </w:tcPr>
          <w:p w14:paraId="7D0771C8">
            <w:pPr>
              <w:widowControl/>
              <w:jc w:val="left"/>
              <w:rPr>
                <w:rFonts w:hint="eastAsia" w:ascii="仿宋" w:hAnsi="仿宋" w:eastAsia="仿宋" w:cs="仿宋"/>
                <w:kern w:val="0"/>
                <w:sz w:val="24"/>
                <w:szCs w:val="24"/>
              </w:rPr>
            </w:pPr>
          </w:p>
        </w:tc>
      </w:tr>
      <w:tr w14:paraId="11A9C3E9">
        <w:tblPrEx>
          <w:tblCellMar>
            <w:top w:w="0" w:type="dxa"/>
            <w:left w:w="108" w:type="dxa"/>
            <w:bottom w:w="0" w:type="dxa"/>
            <w:right w:w="108" w:type="dxa"/>
          </w:tblCellMar>
        </w:tblPrEx>
        <w:trPr>
          <w:trHeight w:val="62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7DB49FC5">
            <w:pPr>
              <w:widowControl/>
              <w:rPr>
                <w:rFonts w:hint="eastAsia" w:ascii="仿宋" w:hAnsi="仿宋" w:eastAsia="仿宋" w:cs="仿宋"/>
                <w:sz w:val="24"/>
                <w:szCs w:val="24"/>
              </w:rPr>
            </w:pPr>
          </w:p>
        </w:tc>
        <w:tc>
          <w:tcPr>
            <w:tcW w:w="842" w:type="dxa"/>
            <w:gridSpan w:val="2"/>
            <w:vMerge w:val="continue"/>
            <w:tcBorders>
              <w:left w:val="single" w:color="auto" w:sz="4" w:space="0"/>
              <w:right w:val="single" w:color="auto" w:sz="4" w:space="0"/>
            </w:tcBorders>
            <w:noWrap w:val="0"/>
            <w:vAlign w:val="center"/>
          </w:tcPr>
          <w:p w14:paraId="2F29D62C">
            <w:pPr>
              <w:widowControl/>
              <w:rPr>
                <w:rFonts w:hint="eastAsia" w:ascii="仿宋" w:hAnsi="仿宋" w:eastAsia="仿宋" w:cs="仿宋"/>
                <w:sz w:val="24"/>
                <w:szCs w:val="24"/>
              </w:rPr>
            </w:pPr>
          </w:p>
        </w:tc>
        <w:tc>
          <w:tcPr>
            <w:tcW w:w="3865" w:type="dxa"/>
            <w:tcBorders>
              <w:top w:val="nil"/>
              <w:left w:val="nil"/>
              <w:bottom w:val="single" w:color="auto" w:sz="4" w:space="0"/>
              <w:right w:val="single" w:color="auto" w:sz="4" w:space="0"/>
            </w:tcBorders>
            <w:noWrap w:val="0"/>
            <w:vAlign w:val="center"/>
          </w:tcPr>
          <w:p w14:paraId="586FBD80">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桌兜内无杂质；黑板板面擦净，板槽内无粉末，黑板周围整洁。</w:t>
            </w:r>
          </w:p>
        </w:tc>
        <w:tc>
          <w:tcPr>
            <w:tcW w:w="1412" w:type="dxa"/>
            <w:vMerge w:val="continue"/>
            <w:tcBorders>
              <w:left w:val="single" w:color="auto" w:sz="4" w:space="0"/>
              <w:right w:val="single" w:color="auto" w:sz="4" w:space="0"/>
            </w:tcBorders>
            <w:noWrap w:val="0"/>
            <w:vAlign w:val="center"/>
          </w:tcPr>
          <w:p w14:paraId="269F1BF2">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61D29089">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59B52F19">
            <w:pPr>
              <w:widowControl/>
              <w:rPr>
                <w:rFonts w:hint="eastAsia" w:ascii="仿宋" w:hAnsi="仿宋" w:eastAsia="仿宋" w:cs="仿宋"/>
                <w:color w:val="000000"/>
                <w:sz w:val="24"/>
                <w:szCs w:val="24"/>
              </w:rPr>
            </w:pPr>
          </w:p>
        </w:tc>
      </w:tr>
      <w:tr w14:paraId="7BA3C513">
        <w:tblPrEx>
          <w:tblCellMar>
            <w:top w:w="0" w:type="dxa"/>
            <w:left w:w="108" w:type="dxa"/>
            <w:bottom w:w="0" w:type="dxa"/>
            <w:right w:w="108" w:type="dxa"/>
          </w:tblCellMar>
        </w:tblPrEx>
        <w:trPr>
          <w:trHeight w:val="62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5B703D39">
            <w:pPr>
              <w:widowControl/>
              <w:rPr>
                <w:rFonts w:hint="eastAsia" w:ascii="仿宋" w:hAnsi="仿宋" w:eastAsia="仿宋" w:cs="仿宋"/>
                <w:color w:val="000000"/>
                <w:sz w:val="24"/>
                <w:szCs w:val="24"/>
              </w:rPr>
            </w:pPr>
          </w:p>
        </w:tc>
        <w:tc>
          <w:tcPr>
            <w:tcW w:w="842" w:type="dxa"/>
            <w:gridSpan w:val="2"/>
            <w:vMerge w:val="continue"/>
            <w:tcBorders>
              <w:left w:val="single" w:color="auto" w:sz="4" w:space="0"/>
              <w:right w:val="single" w:color="auto" w:sz="4" w:space="0"/>
            </w:tcBorders>
            <w:noWrap w:val="0"/>
            <w:vAlign w:val="center"/>
          </w:tcPr>
          <w:p w14:paraId="0F8018E6">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0A8F38D3">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窗台无积尘，窗帘挂放整齐，室内无异味。</w:t>
            </w:r>
          </w:p>
        </w:tc>
        <w:tc>
          <w:tcPr>
            <w:tcW w:w="1412" w:type="dxa"/>
            <w:vMerge w:val="continue"/>
            <w:tcBorders>
              <w:left w:val="single" w:color="auto" w:sz="4" w:space="0"/>
              <w:right w:val="single" w:color="auto" w:sz="4" w:space="0"/>
            </w:tcBorders>
            <w:noWrap w:val="0"/>
            <w:vAlign w:val="center"/>
          </w:tcPr>
          <w:p w14:paraId="69E7790A">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166A2D6A">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111FD796">
            <w:pPr>
              <w:widowControl/>
              <w:rPr>
                <w:rFonts w:hint="eastAsia" w:ascii="仿宋" w:hAnsi="仿宋" w:eastAsia="仿宋" w:cs="仿宋"/>
                <w:color w:val="000000"/>
                <w:sz w:val="24"/>
                <w:szCs w:val="24"/>
              </w:rPr>
            </w:pPr>
          </w:p>
        </w:tc>
      </w:tr>
      <w:tr w14:paraId="3ECA4D9F">
        <w:tblPrEx>
          <w:tblCellMar>
            <w:top w:w="0" w:type="dxa"/>
            <w:left w:w="108" w:type="dxa"/>
            <w:bottom w:w="0" w:type="dxa"/>
            <w:right w:w="108" w:type="dxa"/>
          </w:tblCellMar>
        </w:tblPrEx>
        <w:trPr>
          <w:trHeight w:val="62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3DDF27B5">
            <w:pPr>
              <w:widowControl/>
              <w:rPr>
                <w:rFonts w:hint="eastAsia" w:ascii="仿宋" w:hAnsi="仿宋" w:eastAsia="仿宋" w:cs="仿宋"/>
                <w:color w:val="000000"/>
                <w:sz w:val="24"/>
                <w:szCs w:val="24"/>
              </w:rPr>
            </w:pPr>
          </w:p>
        </w:tc>
        <w:tc>
          <w:tcPr>
            <w:tcW w:w="842" w:type="dxa"/>
            <w:gridSpan w:val="2"/>
            <w:vMerge w:val="continue"/>
            <w:tcBorders>
              <w:left w:val="single" w:color="auto" w:sz="4" w:space="0"/>
              <w:right w:val="single" w:color="auto" w:sz="4" w:space="0"/>
            </w:tcBorders>
            <w:noWrap w:val="0"/>
            <w:vAlign w:val="center"/>
          </w:tcPr>
          <w:p w14:paraId="39616955">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5C8D40B5">
            <w:pPr>
              <w:widowControl/>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桌椅等设施设备摆放整齐。</w:t>
            </w:r>
          </w:p>
        </w:tc>
        <w:tc>
          <w:tcPr>
            <w:tcW w:w="1412" w:type="dxa"/>
            <w:vMerge w:val="continue"/>
            <w:tcBorders>
              <w:left w:val="single" w:color="auto" w:sz="4" w:space="0"/>
              <w:right w:val="single" w:color="auto" w:sz="4" w:space="0"/>
            </w:tcBorders>
            <w:noWrap w:val="0"/>
            <w:vAlign w:val="center"/>
          </w:tcPr>
          <w:p w14:paraId="698753C5">
            <w:pPr>
              <w:widowControl/>
              <w:rPr>
                <w:rFonts w:hint="eastAsia" w:ascii="仿宋" w:hAnsi="仿宋" w:eastAsia="仿宋" w:cs="仿宋"/>
                <w:color w:val="000000"/>
                <w:sz w:val="24"/>
                <w:szCs w:val="24"/>
              </w:rPr>
            </w:pPr>
          </w:p>
        </w:tc>
        <w:tc>
          <w:tcPr>
            <w:tcW w:w="837" w:type="dxa"/>
            <w:vMerge w:val="continue"/>
            <w:tcBorders>
              <w:left w:val="nil"/>
              <w:right w:val="single" w:color="auto" w:sz="4" w:space="0"/>
            </w:tcBorders>
            <w:noWrap w:val="0"/>
            <w:vAlign w:val="center"/>
          </w:tcPr>
          <w:p w14:paraId="0F9E3C6C">
            <w:pPr>
              <w:widowControl/>
              <w:rPr>
                <w:rFonts w:hint="eastAsia" w:ascii="仿宋" w:hAnsi="仿宋" w:eastAsia="仿宋" w:cs="仿宋"/>
                <w:color w:val="000000"/>
                <w:sz w:val="24"/>
                <w:szCs w:val="24"/>
              </w:rPr>
            </w:pPr>
          </w:p>
        </w:tc>
        <w:tc>
          <w:tcPr>
            <w:tcW w:w="1198" w:type="dxa"/>
            <w:vMerge w:val="continue"/>
            <w:tcBorders>
              <w:left w:val="nil"/>
              <w:right w:val="single" w:color="auto" w:sz="4" w:space="0"/>
            </w:tcBorders>
            <w:noWrap w:val="0"/>
            <w:vAlign w:val="center"/>
          </w:tcPr>
          <w:p w14:paraId="7AD25A4B">
            <w:pPr>
              <w:widowControl/>
              <w:rPr>
                <w:rFonts w:hint="eastAsia" w:ascii="仿宋" w:hAnsi="仿宋" w:eastAsia="仿宋" w:cs="仿宋"/>
                <w:color w:val="000000"/>
                <w:sz w:val="24"/>
                <w:szCs w:val="24"/>
              </w:rPr>
            </w:pPr>
          </w:p>
        </w:tc>
      </w:tr>
      <w:tr w14:paraId="4CED2FCD">
        <w:tblPrEx>
          <w:tblCellMar>
            <w:top w:w="0" w:type="dxa"/>
            <w:left w:w="108" w:type="dxa"/>
            <w:bottom w:w="0" w:type="dxa"/>
            <w:right w:w="108" w:type="dxa"/>
          </w:tblCellMar>
        </w:tblPrEx>
        <w:trPr>
          <w:trHeight w:val="624" w:hRule="atLeast"/>
          <w:jc w:val="center"/>
        </w:trPr>
        <w:tc>
          <w:tcPr>
            <w:tcW w:w="641" w:type="dxa"/>
            <w:vMerge w:val="continue"/>
            <w:tcBorders>
              <w:left w:val="single" w:color="auto" w:sz="4" w:space="0"/>
              <w:bottom w:val="single" w:color="auto" w:sz="4" w:space="0"/>
              <w:right w:val="single" w:color="auto" w:sz="4" w:space="0"/>
            </w:tcBorders>
            <w:noWrap w:val="0"/>
            <w:vAlign w:val="center"/>
          </w:tcPr>
          <w:p w14:paraId="0B293BA4">
            <w:pPr>
              <w:widowControl/>
              <w:rPr>
                <w:rFonts w:hint="eastAsia" w:ascii="仿宋" w:hAnsi="仿宋" w:eastAsia="仿宋" w:cs="仿宋"/>
                <w:color w:val="000000"/>
                <w:sz w:val="24"/>
                <w:szCs w:val="24"/>
              </w:rPr>
            </w:pPr>
          </w:p>
        </w:tc>
        <w:tc>
          <w:tcPr>
            <w:tcW w:w="842" w:type="dxa"/>
            <w:gridSpan w:val="2"/>
            <w:vMerge w:val="continue"/>
            <w:tcBorders>
              <w:left w:val="single" w:color="auto" w:sz="4" w:space="0"/>
              <w:bottom w:val="single" w:color="auto" w:sz="4" w:space="0"/>
              <w:right w:val="single" w:color="auto" w:sz="4" w:space="0"/>
            </w:tcBorders>
            <w:noWrap w:val="0"/>
            <w:vAlign w:val="center"/>
          </w:tcPr>
          <w:p w14:paraId="0933C851">
            <w:pPr>
              <w:widowControl/>
              <w:rPr>
                <w:rFonts w:hint="eastAsia" w:ascii="仿宋" w:hAnsi="仿宋" w:eastAsia="仿宋" w:cs="仿宋"/>
                <w:color w:val="000000"/>
                <w:sz w:val="24"/>
                <w:szCs w:val="24"/>
              </w:rPr>
            </w:pPr>
          </w:p>
        </w:tc>
        <w:tc>
          <w:tcPr>
            <w:tcW w:w="3865" w:type="dxa"/>
            <w:tcBorders>
              <w:top w:val="nil"/>
              <w:left w:val="nil"/>
              <w:bottom w:val="single" w:color="auto" w:sz="4" w:space="0"/>
              <w:right w:val="single" w:color="auto" w:sz="4" w:space="0"/>
            </w:tcBorders>
            <w:noWrap w:val="0"/>
            <w:vAlign w:val="center"/>
          </w:tcPr>
          <w:p w14:paraId="04FEE1C3">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捡拾物品及时上交楼管员做失物招领，不私自处理。</w:t>
            </w:r>
          </w:p>
        </w:tc>
        <w:tc>
          <w:tcPr>
            <w:tcW w:w="1412" w:type="dxa"/>
            <w:vMerge w:val="continue"/>
            <w:tcBorders>
              <w:left w:val="single" w:color="auto" w:sz="4" w:space="0"/>
              <w:bottom w:val="single" w:color="auto" w:sz="4" w:space="0"/>
              <w:right w:val="single" w:color="auto" w:sz="4" w:space="0"/>
            </w:tcBorders>
            <w:noWrap w:val="0"/>
            <w:vAlign w:val="center"/>
          </w:tcPr>
          <w:p w14:paraId="667DB493">
            <w:pPr>
              <w:widowControl/>
              <w:rPr>
                <w:rFonts w:hint="eastAsia" w:ascii="仿宋" w:hAnsi="仿宋" w:eastAsia="仿宋" w:cs="仿宋"/>
                <w:color w:val="000000"/>
                <w:sz w:val="24"/>
                <w:szCs w:val="24"/>
              </w:rPr>
            </w:pPr>
          </w:p>
        </w:tc>
        <w:tc>
          <w:tcPr>
            <w:tcW w:w="837" w:type="dxa"/>
            <w:vMerge w:val="continue"/>
            <w:tcBorders>
              <w:left w:val="nil"/>
              <w:bottom w:val="single" w:color="auto" w:sz="4" w:space="0"/>
              <w:right w:val="single" w:color="auto" w:sz="4" w:space="0"/>
            </w:tcBorders>
            <w:noWrap w:val="0"/>
            <w:vAlign w:val="center"/>
          </w:tcPr>
          <w:p w14:paraId="135ADD1F">
            <w:pPr>
              <w:widowControl/>
              <w:rPr>
                <w:rFonts w:hint="eastAsia" w:ascii="仿宋" w:hAnsi="仿宋" w:eastAsia="仿宋" w:cs="仿宋"/>
                <w:color w:val="000000"/>
                <w:sz w:val="24"/>
                <w:szCs w:val="24"/>
              </w:rPr>
            </w:pPr>
          </w:p>
        </w:tc>
        <w:tc>
          <w:tcPr>
            <w:tcW w:w="1198" w:type="dxa"/>
            <w:vMerge w:val="continue"/>
            <w:tcBorders>
              <w:left w:val="nil"/>
              <w:bottom w:val="single" w:color="auto" w:sz="4" w:space="0"/>
              <w:right w:val="single" w:color="auto" w:sz="4" w:space="0"/>
            </w:tcBorders>
            <w:noWrap w:val="0"/>
            <w:vAlign w:val="center"/>
          </w:tcPr>
          <w:p w14:paraId="317DF389">
            <w:pPr>
              <w:widowControl/>
              <w:rPr>
                <w:rFonts w:hint="eastAsia" w:ascii="仿宋" w:hAnsi="仿宋" w:eastAsia="仿宋" w:cs="仿宋"/>
                <w:color w:val="000000"/>
                <w:sz w:val="24"/>
                <w:szCs w:val="24"/>
              </w:rPr>
            </w:pPr>
          </w:p>
        </w:tc>
      </w:tr>
      <w:tr w14:paraId="783158B6">
        <w:tblPrEx>
          <w:tblCellMar>
            <w:top w:w="0" w:type="dxa"/>
            <w:left w:w="108" w:type="dxa"/>
            <w:bottom w:w="0" w:type="dxa"/>
            <w:right w:w="108" w:type="dxa"/>
          </w:tblCellMar>
        </w:tblPrEx>
        <w:trPr>
          <w:trHeight w:val="114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19AA49D2">
            <w:pPr>
              <w:widowControl/>
              <w:jc w:val="center"/>
              <w:rPr>
                <w:rFonts w:hint="eastAsia" w:ascii="仿宋" w:hAnsi="仿宋" w:eastAsia="仿宋" w:cs="仿宋"/>
                <w:b/>
                <w:bCs/>
                <w:kern w:val="0"/>
                <w:sz w:val="24"/>
                <w:szCs w:val="24"/>
              </w:rPr>
            </w:pPr>
          </w:p>
        </w:tc>
        <w:tc>
          <w:tcPr>
            <w:tcW w:w="842" w:type="dxa"/>
            <w:gridSpan w:val="2"/>
            <w:tcBorders>
              <w:top w:val="nil"/>
              <w:left w:val="single" w:color="auto" w:sz="4" w:space="0"/>
              <w:bottom w:val="single" w:color="auto" w:sz="4" w:space="0"/>
              <w:right w:val="single" w:color="auto" w:sz="4" w:space="0"/>
            </w:tcBorders>
            <w:noWrap w:val="0"/>
            <w:vAlign w:val="center"/>
          </w:tcPr>
          <w:p w14:paraId="71AF799A">
            <w:pPr>
              <w:widowControl/>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会议室和接待室</w:t>
            </w:r>
          </w:p>
          <w:p w14:paraId="3085BA06">
            <w:pPr>
              <w:widowControl/>
              <w:jc w:val="center"/>
              <w:rPr>
                <w:rFonts w:hint="eastAsia" w:ascii="仿宋" w:hAnsi="仿宋" w:eastAsia="仿宋" w:cs="仿宋"/>
                <w:b/>
                <w:bCs/>
                <w:sz w:val="24"/>
                <w:szCs w:val="24"/>
              </w:rPr>
            </w:pPr>
          </w:p>
        </w:tc>
        <w:tc>
          <w:tcPr>
            <w:tcW w:w="3865" w:type="dxa"/>
            <w:tcBorders>
              <w:top w:val="nil"/>
              <w:left w:val="nil"/>
              <w:bottom w:val="single" w:color="auto" w:sz="4" w:space="0"/>
              <w:right w:val="single" w:color="auto" w:sz="4" w:space="0"/>
            </w:tcBorders>
            <w:noWrap w:val="0"/>
            <w:vAlign w:val="center"/>
          </w:tcPr>
          <w:p w14:paraId="0C1D79F5">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会议桌椅、窗台、地面、门楣、门套、墙面、墙角无积尘，光亮；窗帘挂放整齐；室内无异味；茶具消毒达到卫生标准；地毯清洁卫生。</w:t>
            </w:r>
          </w:p>
        </w:tc>
        <w:tc>
          <w:tcPr>
            <w:tcW w:w="1412" w:type="dxa"/>
            <w:tcBorders>
              <w:top w:val="nil"/>
              <w:left w:val="single" w:color="auto" w:sz="4" w:space="0"/>
              <w:bottom w:val="single" w:color="auto" w:sz="4" w:space="0"/>
              <w:right w:val="single" w:color="auto" w:sz="4" w:space="0"/>
            </w:tcBorders>
            <w:noWrap w:val="0"/>
            <w:vAlign w:val="center"/>
          </w:tcPr>
          <w:p w14:paraId="3943CB51">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tcBorders>
              <w:top w:val="nil"/>
              <w:left w:val="nil"/>
              <w:bottom w:val="single" w:color="auto" w:sz="4" w:space="0"/>
              <w:right w:val="single" w:color="auto" w:sz="4" w:space="0"/>
            </w:tcBorders>
            <w:noWrap w:val="0"/>
            <w:vAlign w:val="center"/>
          </w:tcPr>
          <w:p w14:paraId="1BC5EE59">
            <w:pPr>
              <w:widowControl/>
              <w:jc w:val="left"/>
              <w:rPr>
                <w:rFonts w:hint="eastAsia" w:ascii="仿宋" w:hAnsi="仿宋" w:eastAsia="仿宋" w:cs="仿宋"/>
                <w:b/>
                <w:bCs/>
                <w:kern w:val="0"/>
                <w:sz w:val="24"/>
                <w:szCs w:val="24"/>
              </w:rPr>
            </w:pPr>
          </w:p>
        </w:tc>
        <w:tc>
          <w:tcPr>
            <w:tcW w:w="1198" w:type="dxa"/>
            <w:tcBorders>
              <w:top w:val="nil"/>
              <w:left w:val="nil"/>
              <w:bottom w:val="single" w:color="auto" w:sz="4" w:space="0"/>
              <w:right w:val="single" w:color="auto" w:sz="4" w:space="0"/>
            </w:tcBorders>
            <w:noWrap w:val="0"/>
            <w:vAlign w:val="center"/>
          </w:tcPr>
          <w:p w14:paraId="0137F599">
            <w:pPr>
              <w:widowControl/>
              <w:jc w:val="left"/>
              <w:rPr>
                <w:rFonts w:hint="eastAsia" w:ascii="仿宋" w:hAnsi="仿宋" w:eastAsia="仿宋" w:cs="仿宋"/>
                <w:kern w:val="0"/>
                <w:sz w:val="24"/>
                <w:szCs w:val="24"/>
              </w:rPr>
            </w:pPr>
          </w:p>
        </w:tc>
      </w:tr>
      <w:tr w14:paraId="59A3C520">
        <w:tblPrEx>
          <w:tblCellMar>
            <w:top w:w="0" w:type="dxa"/>
            <w:left w:w="108" w:type="dxa"/>
            <w:bottom w:w="0" w:type="dxa"/>
            <w:right w:w="108" w:type="dxa"/>
          </w:tblCellMar>
        </w:tblPrEx>
        <w:trPr>
          <w:trHeight w:val="114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4A64A2F7">
            <w:pPr>
              <w:widowControl/>
              <w:jc w:val="center"/>
              <w:rPr>
                <w:rFonts w:hint="eastAsia" w:ascii="仿宋" w:hAnsi="仿宋" w:eastAsia="仿宋" w:cs="仿宋"/>
                <w:b/>
                <w:bCs/>
                <w:kern w:val="0"/>
                <w:sz w:val="24"/>
                <w:szCs w:val="24"/>
              </w:rPr>
            </w:pPr>
          </w:p>
        </w:tc>
        <w:tc>
          <w:tcPr>
            <w:tcW w:w="842" w:type="dxa"/>
            <w:gridSpan w:val="2"/>
            <w:tcBorders>
              <w:top w:val="nil"/>
              <w:left w:val="single" w:color="auto" w:sz="4" w:space="0"/>
              <w:bottom w:val="single" w:color="auto" w:sz="4" w:space="0"/>
              <w:right w:val="single" w:color="auto" w:sz="4" w:space="0"/>
            </w:tcBorders>
            <w:noWrap w:val="0"/>
            <w:vAlign w:val="center"/>
          </w:tcPr>
          <w:p w14:paraId="029690CF">
            <w:pPr>
              <w:widowControl/>
              <w:jc w:val="center"/>
              <w:rPr>
                <w:rFonts w:hint="eastAsia" w:ascii="仿宋" w:hAnsi="仿宋" w:eastAsia="仿宋" w:cs="仿宋"/>
                <w:b/>
                <w:bCs/>
                <w:sz w:val="24"/>
                <w:szCs w:val="24"/>
                <w:lang w:val="en-US" w:eastAsia="zh-CN"/>
              </w:rPr>
            </w:pPr>
            <w:r>
              <w:rPr>
                <w:rFonts w:hint="eastAsia" w:ascii="仿宋" w:hAnsi="仿宋" w:eastAsia="仿宋" w:cs="仿宋"/>
                <w:b/>
                <w:bCs/>
                <w:color w:val="000000"/>
                <w:sz w:val="24"/>
                <w:szCs w:val="24"/>
              </w:rPr>
              <w:t>电梯</w:t>
            </w:r>
          </w:p>
        </w:tc>
        <w:tc>
          <w:tcPr>
            <w:tcW w:w="3865" w:type="dxa"/>
            <w:tcBorders>
              <w:top w:val="nil"/>
              <w:left w:val="nil"/>
              <w:bottom w:val="single" w:color="auto" w:sz="4" w:space="0"/>
              <w:right w:val="single" w:color="auto" w:sz="4" w:space="0"/>
            </w:tcBorders>
            <w:noWrap w:val="0"/>
            <w:vAlign w:val="center"/>
          </w:tcPr>
          <w:p w14:paraId="24656C0D">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电梯轿厢内无积尘、无污渍、无粘贴物；灯具、指示板明亮；厢内地面干净、无垃圾杂物；不锈钢表面无手印、无积尘，无污渍、光亮；电梯门槽内无垃圾杂物。</w:t>
            </w:r>
          </w:p>
        </w:tc>
        <w:tc>
          <w:tcPr>
            <w:tcW w:w="1412" w:type="dxa"/>
            <w:tcBorders>
              <w:top w:val="nil"/>
              <w:left w:val="single" w:color="auto" w:sz="4" w:space="0"/>
              <w:bottom w:val="single" w:color="auto" w:sz="4" w:space="0"/>
              <w:right w:val="single" w:color="auto" w:sz="4" w:space="0"/>
            </w:tcBorders>
            <w:noWrap w:val="0"/>
            <w:vAlign w:val="center"/>
          </w:tcPr>
          <w:p w14:paraId="4D482A0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tcBorders>
              <w:top w:val="nil"/>
              <w:left w:val="nil"/>
              <w:bottom w:val="single" w:color="auto" w:sz="4" w:space="0"/>
              <w:right w:val="single" w:color="auto" w:sz="4" w:space="0"/>
            </w:tcBorders>
            <w:noWrap w:val="0"/>
            <w:vAlign w:val="center"/>
          </w:tcPr>
          <w:p w14:paraId="795D77AA">
            <w:pPr>
              <w:widowControl/>
              <w:jc w:val="left"/>
              <w:rPr>
                <w:rFonts w:hint="eastAsia" w:ascii="仿宋" w:hAnsi="仿宋" w:eastAsia="仿宋" w:cs="仿宋"/>
                <w:b/>
                <w:bCs/>
                <w:kern w:val="0"/>
                <w:sz w:val="24"/>
                <w:szCs w:val="24"/>
              </w:rPr>
            </w:pPr>
          </w:p>
        </w:tc>
        <w:tc>
          <w:tcPr>
            <w:tcW w:w="1198" w:type="dxa"/>
            <w:tcBorders>
              <w:top w:val="nil"/>
              <w:left w:val="nil"/>
              <w:bottom w:val="single" w:color="auto" w:sz="4" w:space="0"/>
              <w:right w:val="single" w:color="auto" w:sz="4" w:space="0"/>
            </w:tcBorders>
            <w:noWrap w:val="0"/>
            <w:vAlign w:val="center"/>
          </w:tcPr>
          <w:p w14:paraId="019D3FDF">
            <w:pPr>
              <w:widowControl/>
              <w:jc w:val="left"/>
              <w:rPr>
                <w:rFonts w:hint="eastAsia" w:ascii="仿宋" w:hAnsi="仿宋" w:eastAsia="仿宋" w:cs="仿宋"/>
                <w:kern w:val="0"/>
                <w:sz w:val="24"/>
                <w:szCs w:val="24"/>
              </w:rPr>
            </w:pPr>
          </w:p>
        </w:tc>
      </w:tr>
      <w:tr w14:paraId="0EB98964">
        <w:tblPrEx>
          <w:tblCellMar>
            <w:top w:w="0" w:type="dxa"/>
            <w:left w:w="108" w:type="dxa"/>
            <w:bottom w:w="0" w:type="dxa"/>
            <w:right w:w="108" w:type="dxa"/>
          </w:tblCellMar>
        </w:tblPrEx>
        <w:trPr>
          <w:trHeight w:val="1144"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14:paraId="5895036A">
            <w:pPr>
              <w:widowControl/>
              <w:jc w:val="center"/>
              <w:rPr>
                <w:rFonts w:hint="eastAsia" w:ascii="仿宋" w:hAnsi="仿宋" w:eastAsia="仿宋" w:cs="仿宋"/>
                <w:b/>
                <w:bCs/>
                <w:kern w:val="0"/>
                <w:sz w:val="24"/>
                <w:szCs w:val="24"/>
              </w:rPr>
            </w:pPr>
          </w:p>
        </w:tc>
        <w:tc>
          <w:tcPr>
            <w:tcW w:w="842" w:type="dxa"/>
            <w:gridSpan w:val="2"/>
            <w:tcBorders>
              <w:top w:val="nil"/>
              <w:left w:val="single" w:color="auto" w:sz="4" w:space="0"/>
              <w:bottom w:val="single" w:color="auto" w:sz="4" w:space="0"/>
              <w:right w:val="single" w:color="auto" w:sz="4" w:space="0"/>
            </w:tcBorders>
            <w:noWrap w:val="0"/>
            <w:vAlign w:val="center"/>
          </w:tcPr>
          <w:p w14:paraId="40A24B8F">
            <w:pPr>
              <w:widowControl/>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教师休息室</w:t>
            </w:r>
          </w:p>
        </w:tc>
        <w:tc>
          <w:tcPr>
            <w:tcW w:w="3865" w:type="dxa"/>
            <w:tcBorders>
              <w:top w:val="nil"/>
              <w:left w:val="nil"/>
              <w:bottom w:val="single" w:color="auto" w:sz="4" w:space="0"/>
              <w:right w:val="single" w:color="auto" w:sz="4" w:space="0"/>
            </w:tcBorders>
            <w:noWrap w:val="0"/>
            <w:vAlign w:val="center"/>
          </w:tcPr>
          <w:p w14:paraId="2C430AD6">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准时开锁门；室内物品摆放有序；每天补充抽纸、咖啡、茶叶(由采购人提供)，并保证充足供应，规范管理，饮品干净卫生，地面洁静无杂物、烟头、污迹；桌椅柜摆放整齐、擦拭干静无灰 尘；室内空气清新芳香；门窗无污渍、无灰尘；灯具、空调、风扇、排风口等设施表面干净；玻璃干净明亮；墙面无印迹、无蛛网；开水供应充足及时；服务热情大方。</w:t>
            </w:r>
          </w:p>
        </w:tc>
        <w:tc>
          <w:tcPr>
            <w:tcW w:w="1412" w:type="dxa"/>
            <w:tcBorders>
              <w:top w:val="nil"/>
              <w:left w:val="single" w:color="auto" w:sz="4" w:space="0"/>
              <w:bottom w:val="single" w:color="auto" w:sz="4" w:space="0"/>
              <w:right w:val="single" w:color="auto" w:sz="4" w:space="0"/>
            </w:tcBorders>
            <w:noWrap w:val="0"/>
            <w:vAlign w:val="center"/>
          </w:tcPr>
          <w:p w14:paraId="614A313D">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tcBorders>
              <w:top w:val="nil"/>
              <w:left w:val="nil"/>
              <w:bottom w:val="single" w:color="auto" w:sz="4" w:space="0"/>
              <w:right w:val="single" w:color="auto" w:sz="4" w:space="0"/>
            </w:tcBorders>
            <w:noWrap w:val="0"/>
            <w:vAlign w:val="center"/>
          </w:tcPr>
          <w:p w14:paraId="7E3BE513">
            <w:pPr>
              <w:widowControl/>
              <w:jc w:val="left"/>
              <w:rPr>
                <w:rFonts w:hint="eastAsia" w:ascii="仿宋" w:hAnsi="仿宋" w:eastAsia="仿宋" w:cs="仿宋"/>
                <w:b/>
                <w:bCs/>
                <w:kern w:val="0"/>
                <w:sz w:val="24"/>
                <w:szCs w:val="24"/>
              </w:rPr>
            </w:pPr>
          </w:p>
        </w:tc>
        <w:tc>
          <w:tcPr>
            <w:tcW w:w="1198" w:type="dxa"/>
            <w:tcBorders>
              <w:top w:val="nil"/>
              <w:left w:val="nil"/>
              <w:bottom w:val="single" w:color="auto" w:sz="4" w:space="0"/>
              <w:right w:val="single" w:color="auto" w:sz="4" w:space="0"/>
            </w:tcBorders>
            <w:noWrap w:val="0"/>
            <w:vAlign w:val="center"/>
          </w:tcPr>
          <w:p w14:paraId="0BCDD36C">
            <w:pPr>
              <w:widowControl/>
              <w:jc w:val="left"/>
              <w:rPr>
                <w:rFonts w:hint="eastAsia" w:ascii="仿宋" w:hAnsi="仿宋" w:eastAsia="仿宋" w:cs="仿宋"/>
                <w:kern w:val="0"/>
                <w:sz w:val="24"/>
                <w:szCs w:val="24"/>
              </w:rPr>
            </w:pPr>
          </w:p>
        </w:tc>
      </w:tr>
      <w:tr w14:paraId="03E15C98">
        <w:tblPrEx>
          <w:tblCellMar>
            <w:top w:w="0" w:type="dxa"/>
            <w:left w:w="108" w:type="dxa"/>
            <w:bottom w:w="0" w:type="dxa"/>
            <w:right w:w="108" w:type="dxa"/>
          </w:tblCellMar>
        </w:tblPrEx>
        <w:trPr>
          <w:trHeight w:val="1144" w:hRule="atLeast"/>
          <w:jc w:val="center"/>
        </w:trPr>
        <w:tc>
          <w:tcPr>
            <w:tcW w:w="641" w:type="dxa"/>
            <w:vMerge w:val="restart"/>
            <w:tcBorders>
              <w:top w:val="nil"/>
              <w:left w:val="single" w:color="auto" w:sz="4" w:space="0"/>
              <w:right w:val="single" w:color="auto" w:sz="4" w:space="0"/>
            </w:tcBorders>
            <w:noWrap w:val="0"/>
            <w:vAlign w:val="center"/>
          </w:tcPr>
          <w:p w14:paraId="2CE97C60">
            <w:pPr>
              <w:widowControl/>
              <w:jc w:val="center"/>
              <w:rPr>
                <w:rFonts w:hint="default" w:ascii="仿宋" w:hAnsi="仿宋" w:eastAsia="仿宋" w:cs="仿宋"/>
                <w:b/>
                <w:bCs/>
                <w:kern w:val="0"/>
                <w:sz w:val="24"/>
                <w:szCs w:val="24"/>
                <w:lang w:val="en-US" w:eastAsia="zh-CN"/>
              </w:rPr>
            </w:pPr>
            <w:r>
              <w:rPr>
                <w:rFonts w:hint="eastAsia" w:ascii="仿宋" w:hAnsi="仿宋" w:eastAsia="仿宋" w:cs="仿宋"/>
                <w:b/>
                <w:bCs/>
                <w:color w:val="000000"/>
                <w:sz w:val="24"/>
                <w:szCs w:val="24"/>
                <w:lang w:val="en-US" w:eastAsia="zh-CN"/>
              </w:rPr>
              <w:t>室外清扫及</w:t>
            </w:r>
            <w:r>
              <w:rPr>
                <w:rFonts w:hint="eastAsia" w:ascii="仿宋" w:hAnsi="仿宋" w:eastAsia="仿宋" w:cs="仿宋"/>
                <w:b/>
                <w:bCs/>
                <w:color w:val="000000"/>
                <w:sz w:val="24"/>
                <w:szCs w:val="24"/>
                <w:lang w:eastAsia="zh-CN"/>
              </w:rPr>
              <w:t>设施维护维修</w:t>
            </w:r>
          </w:p>
        </w:tc>
        <w:tc>
          <w:tcPr>
            <w:tcW w:w="842" w:type="dxa"/>
            <w:gridSpan w:val="2"/>
            <w:tcBorders>
              <w:top w:val="nil"/>
              <w:left w:val="single" w:color="auto" w:sz="4" w:space="0"/>
              <w:bottom w:val="single" w:color="auto" w:sz="4" w:space="0"/>
              <w:right w:val="single" w:color="auto" w:sz="4" w:space="0"/>
            </w:tcBorders>
            <w:noWrap w:val="0"/>
            <w:vAlign w:val="center"/>
          </w:tcPr>
          <w:p w14:paraId="0FF6158D">
            <w:pPr>
              <w:widowControl/>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室外区域清扫</w:t>
            </w:r>
          </w:p>
        </w:tc>
        <w:tc>
          <w:tcPr>
            <w:tcW w:w="3865" w:type="dxa"/>
            <w:tcBorders>
              <w:top w:val="nil"/>
              <w:left w:val="nil"/>
              <w:bottom w:val="single" w:color="auto" w:sz="4" w:space="0"/>
              <w:right w:val="single" w:color="auto" w:sz="4" w:space="0"/>
            </w:tcBorders>
            <w:noWrap w:val="0"/>
            <w:vAlign w:val="center"/>
          </w:tcPr>
          <w:p w14:paraId="45A424F6">
            <w:pPr>
              <w:widowControl/>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每年教学期间的9个月内，于周末及节假日开展清扫作业；寒暑假期间，清扫频次调整为每2天开展一次。</w:t>
            </w:r>
            <w:r>
              <w:rPr>
                <w:rFonts w:hint="eastAsia" w:ascii="仿宋" w:hAnsi="仿宋" w:eastAsia="仿宋" w:cs="仿宋"/>
                <w:color w:val="000000"/>
                <w:sz w:val="24"/>
                <w:szCs w:val="24"/>
                <w:lang w:val="en-US" w:eastAsia="zh-CN"/>
              </w:rPr>
              <w:t>道路、广场干净整洁。</w:t>
            </w:r>
          </w:p>
        </w:tc>
        <w:tc>
          <w:tcPr>
            <w:tcW w:w="1412" w:type="dxa"/>
            <w:tcBorders>
              <w:top w:val="nil"/>
              <w:left w:val="single" w:color="auto" w:sz="4" w:space="0"/>
              <w:bottom w:val="single" w:color="auto" w:sz="4" w:space="0"/>
              <w:right w:val="single" w:color="auto" w:sz="4" w:space="0"/>
            </w:tcBorders>
            <w:noWrap w:val="0"/>
            <w:vAlign w:val="center"/>
          </w:tcPr>
          <w:p w14:paraId="011F07C0">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tcBorders>
              <w:top w:val="nil"/>
              <w:left w:val="nil"/>
              <w:bottom w:val="single" w:color="auto" w:sz="4" w:space="0"/>
              <w:right w:val="single" w:color="auto" w:sz="4" w:space="0"/>
            </w:tcBorders>
            <w:noWrap w:val="0"/>
            <w:vAlign w:val="center"/>
          </w:tcPr>
          <w:p w14:paraId="328C419B">
            <w:pPr>
              <w:widowControl/>
              <w:jc w:val="left"/>
              <w:rPr>
                <w:rFonts w:hint="eastAsia" w:ascii="仿宋" w:hAnsi="仿宋" w:eastAsia="仿宋" w:cs="仿宋"/>
                <w:b/>
                <w:bCs/>
                <w:kern w:val="0"/>
                <w:sz w:val="24"/>
                <w:szCs w:val="24"/>
              </w:rPr>
            </w:pPr>
          </w:p>
        </w:tc>
        <w:tc>
          <w:tcPr>
            <w:tcW w:w="1198" w:type="dxa"/>
            <w:tcBorders>
              <w:top w:val="nil"/>
              <w:left w:val="nil"/>
              <w:bottom w:val="single" w:color="auto" w:sz="4" w:space="0"/>
              <w:right w:val="single" w:color="auto" w:sz="4" w:space="0"/>
            </w:tcBorders>
            <w:noWrap w:val="0"/>
            <w:vAlign w:val="center"/>
          </w:tcPr>
          <w:p w14:paraId="2D4D7382">
            <w:pPr>
              <w:widowControl/>
              <w:jc w:val="left"/>
              <w:rPr>
                <w:rFonts w:hint="eastAsia" w:ascii="仿宋" w:hAnsi="仿宋" w:eastAsia="仿宋" w:cs="仿宋"/>
                <w:kern w:val="0"/>
                <w:sz w:val="24"/>
                <w:szCs w:val="24"/>
              </w:rPr>
            </w:pPr>
          </w:p>
          <w:p w14:paraId="670D861C">
            <w:pPr>
              <w:widowControl/>
              <w:jc w:val="left"/>
              <w:rPr>
                <w:rFonts w:hint="eastAsia" w:ascii="仿宋" w:hAnsi="仿宋" w:eastAsia="仿宋" w:cs="仿宋"/>
                <w:kern w:val="0"/>
                <w:sz w:val="24"/>
                <w:szCs w:val="24"/>
              </w:rPr>
            </w:pPr>
          </w:p>
        </w:tc>
      </w:tr>
      <w:tr w14:paraId="0EA9657D">
        <w:tblPrEx>
          <w:tblCellMar>
            <w:top w:w="0" w:type="dxa"/>
            <w:left w:w="108" w:type="dxa"/>
            <w:bottom w:w="0" w:type="dxa"/>
            <w:right w:w="108" w:type="dxa"/>
          </w:tblCellMar>
        </w:tblPrEx>
        <w:trPr>
          <w:trHeight w:val="1144" w:hRule="atLeast"/>
          <w:jc w:val="center"/>
        </w:trPr>
        <w:tc>
          <w:tcPr>
            <w:tcW w:w="641" w:type="dxa"/>
            <w:vMerge w:val="continue"/>
            <w:tcBorders>
              <w:left w:val="single" w:color="auto" w:sz="4" w:space="0"/>
              <w:right w:val="single" w:color="auto" w:sz="4" w:space="0"/>
            </w:tcBorders>
            <w:noWrap w:val="0"/>
            <w:vAlign w:val="center"/>
          </w:tcPr>
          <w:p w14:paraId="47ABAE02">
            <w:pPr>
              <w:widowControl/>
              <w:jc w:val="center"/>
              <w:rPr>
                <w:rFonts w:hint="eastAsia" w:ascii="仿宋" w:hAnsi="仿宋" w:eastAsia="仿宋" w:cs="仿宋"/>
                <w:b/>
                <w:bCs/>
                <w:kern w:val="0"/>
                <w:sz w:val="24"/>
                <w:szCs w:val="24"/>
                <w:lang w:val="en-US" w:eastAsia="zh-CN"/>
              </w:rPr>
            </w:pPr>
          </w:p>
        </w:tc>
        <w:tc>
          <w:tcPr>
            <w:tcW w:w="842" w:type="dxa"/>
            <w:gridSpan w:val="2"/>
            <w:tcBorders>
              <w:top w:val="nil"/>
              <w:left w:val="single" w:color="auto" w:sz="4" w:space="0"/>
              <w:bottom w:val="single" w:color="auto" w:sz="4" w:space="0"/>
              <w:right w:val="single" w:color="auto" w:sz="4" w:space="0"/>
            </w:tcBorders>
            <w:noWrap w:val="0"/>
            <w:vAlign w:val="center"/>
          </w:tcPr>
          <w:p w14:paraId="61CEFDF6">
            <w:pPr>
              <w:widowControl/>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设施维修</w:t>
            </w:r>
          </w:p>
        </w:tc>
        <w:tc>
          <w:tcPr>
            <w:tcW w:w="3865" w:type="dxa"/>
            <w:tcBorders>
              <w:top w:val="nil"/>
              <w:left w:val="nil"/>
              <w:bottom w:val="single" w:color="auto" w:sz="4" w:space="0"/>
              <w:right w:val="single" w:color="auto" w:sz="4" w:space="0"/>
            </w:tcBorders>
            <w:noWrap w:val="0"/>
            <w:vAlign w:val="center"/>
          </w:tcPr>
          <w:p w14:paraId="7266F214">
            <w:pPr>
              <w:widowControl/>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配合学校完成教学区域教学设备（桌椅、柜子、窗帘等家具类）和办公区域家具类设施的维修（材料由学校提供），安排专人负责维修。</w:t>
            </w:r>
          </w:p>
        </w:tc>
        <w:tc>
          <w:tcPr>
            <w:tcW w:w="1412" w:type="dxa"/>
            <w:tcBorders>
              <w:top w:val="nil"/>
              <w:left w:val="single" w:color="auto" w:sz="4" w:space="0"/>
              <w:bottom w:val="single" w:color="auto" w:sz="4" w:space="0"/>
              <w:right w:val="single" w:color="auto" w:sz="4" w:space="0"/>
            </w:tcBorders>
            <w:noWrap w:val="0"/>
            <w:vAlign w:val="center"/>
          </w:tcPr>
          <w:p w14:paraId="061ABFA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tcBorders>
              <w:top w:val="nil"/>
              <w:left w:val="nil"/>
              <w:bottom w:val="single" w:color="auto" w:sz="4" w:space="0"/>
              <w:right w:val="single" w:color="auto" w:sz="4" w:space="0"/>
            </w:tcBorders>
            <w:noWrap w:val="0"/>
            <w:vAlign w:val="center"/>
          </w:tcPr>
          <w:p w14:paraId="32B1D4D3">
            <w:pPr>
              <w:widowControl/>
              <w:jc w:val="left"/>
              <w:rPr>
                <w:rFonts w:hint="eastAsia" w:ascii="仿宋" w:hAnsi="仿宋" w:eastAsia="仿宋" w:cs="仿宋"/>
                <w:b/>
                <w:bCs/>
                <w:kern w:val="0"/>
                <w:sz w:val="24"/>
                <w:szCs w:val="24"/>
              </w:rPr>
            </w:pPr>
          </w:p>
        </w:tc>
        <w:tc>
          <w:tcPr>
            <w:tcW w:w="1198" w:type="dxa"/>
            <w:tcBorders>
              <w:top w:val="nil"/>
              <w:left w:val="nil"/>
              <w:bottom w:val="single" w:color="auto" w:sz="4" w:space="0"/>
              <w:right w:val="single" w:color="auto" w:sz="4" w:space="0"/>
            </w:tcBorders>
            <w:noWrap w:val="0"/>
            <w:vAlign w:val="center"/>
          </w:tcPr>
          <w:p w14:paraId="32F42F69">
            <w:pPr>
              <w:widowControl/>
              <w:jc w:val="left"/>
              <w:rPr>
                <w:rFonts w:hint="eastAsia" w:ascii="仿宋" w:hAnsi="仿宋" w:eastAsia="仿宋" w:cs="仿宋"/>
                <w:kern w:val="0"/>
                <w:sz w:val="24"/>
                <w:szCs w:val="24"/>
              </w:rPr>
            </w:pPr>
          </w:p>
        </w:tc>
      </w:tr>
      <w:tr w14:paraId="3F373290">
        <w:tblPrEx>
          <w:tblCellMar>
            <w:top w:w="0" w:type="dxa"/>
            <w:left w:w="108" w:type="dxa"/>
            <w:bottom w:w="0" w:type="dxa"/>
            <w:right w:w="108" w:type="dxa"/>
          </w:tblCellMar>
        </w:tblPrEx>
        <w:trPr>
          <w:trHeight w:val="1144" w:hRule="atLeast"/>
          <w:jc w:val="center"/>
        </w:trPr>
        <w:tc>
          <w:tcPr>
            <w:tcW w:w="641" w:type="dxa"/>
            <w:vMerge w:val="continue"/>
            <w:tcBorders>
              <w:left w:val="single" w:color="auto" w:sz="4" w:space="0"/>
              <w:right w:val="single" w:color="auto" w:sz="4" w:space="0"/>
            </w:tcBorders>
            <w:noWrap w:val="0"/>
            <w:vAlign w:val="center"/>
          </w:tcPr>
          <w:p w14:paraId="77390450">
            <w:pPr>
              <w:widowControl/>
              <w:jc w:val="center"/>
              <w:rPr>
                <w:rFonts w:hint="eastAsia" w:ascii="仿宋" w:hAnsi="仿宋" w:eastAsia="仿宋" w:cs="仿宋"/>
                <w:b/>
                <w:bCs/>
                <w:kern w:val="0"/>
                <w:sz w:val="24"/>
                <w:szCs w:val="24"/>
                <w:lang w:val="en-US" w:eastAsia="zh-CN"/>
              </w:rPr>
            </w:pPr>
          </w:p>
        </w:tc>
        <w:tc>
          <w:tcPr>
            <w:tcW w:w="842" w:type="dxa"/>
            <w:gridSpan w:val="2"/>
            <w:tcBorders>
              <w:top w:val="nil"/>
              <w:left w:val="single" w:color="auto" w:sz="4" w:space="0"/>
              <w:bottom w:val="single" w:color="auto" w:sz="4" w:space="0"/>
              <w:right w:val="single" w:color="auto" w:sz="4" w:space="0"/>
            </w:tcBorders>
            <w:noWrap w:val="0"/>
            <w:vAlign w:val="center"/>
          </w:tcPr>
          <w:p w14:paraId="79DE90DE">
            <w:pPr>
              <w:widowControl/>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电梯管理</w:t>
            </w:r>
          </w:p>
        </w:tc>
        <w:tc>
          <w:tcPr>
            <w:tcW w:w="3865" w:type="dxa"/>
            <w:tcBorders>
              <w:top w:val="nil"/>
              <w:left w:val="nil"/>
              <w:bottom w:val="single" w:color="auto" w:sz="4" w:space="0"/>
              <w:right w:val="single" w:color="auto" w:sz="4" w:space="0"/>
            </w:tcBorders>
            <w:noWrap w:val="0"/>
            <w:vAlign w:val="center"/>
          </w:tcPr>
          <w:p w14:paraId="650CE3B7">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负责校内电梯的日常开关运行管理和保洁工作，确保电梯安全使用，保证电梯轿厢、机房等环境干净整洁，禁止非工作人员进入机房重地；负责电梯高峰期时间段使用期间的秩序维护工作，负责配合学校电梯管理员和电梯维保单位做好年度电梯检查检验工作。</w:t>
            </w:r>
          </w:p>
        </w:tc>
        <w:tc>
          <w:tcPr>
            <w:tcW w:w="1412" w:type="dxa"/>
            <w:tcBorders>
              <w:top w:val="nil"/>
              <w:left w:val="single" w:color="auto" w:sz="4" w:space="0"/>
              <w:bottom w:val="single" w:color="auto" w:sz="4" w:space="0"/>
              <w:right w:val="single" w:color="auto" w:sz="4" w:space="0"/>
            </w:tcBorders>
            <w:noWrap w:val="0"/>
            <w:vAlign w:val="center"/>
          </w:tcPr>
          <w:p w14:paraId="1F3848C6">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tcBorders>
              <w:top w:val="nil"/>
              <w:left w:val="nil"/>
              <w:bottom w:val="single" w:color="auto" w:sz="4" w:space="0"/>
              <w:right w:val="single" w:color="auto" w:sz="4" w:space="0"/>
            </w:tcBorders>
            <w:noWrap w:val="0"/>
            <w:vAlign w:val="center"/>
          </w:tcPr>
          <w:p w14:paraId="765B089F">
            <w:pPr>
              <w:widowControl/>
              <w:jc w:val="left"/>
              <w:rPr>
                <w:rFonts w:hint="eastAsia" w:ascii="仿宋" w:hAnsi="仿宋" w:eastAsia="仿宋" w:cs="仿宋"/>
                <w:b/>
                <w:bCs/>
                <w:kern w:val="0"/>
                <w:sz w:val="24"/>
                <w:szCs w:val="24"/>
              </w:rPr>
            </w:pPr>
          </w:p>
        </w:tc>
        <w:tc>
          <w:tcPr>
            <w:tcW w:w="1198" w:type="dxa"/>
            <w:tcBorders>
              <w:top w:val="nil"/>
              <w:left w:val="nil"/>
              <w:bottom w:val="single" w:color="auto" w:sz="4" w:space="0"/>
              <w:right w:val="single" w:color="auto" w:sz="4" w:space="0"/>
            </w:tcBorders>
            <w:noWrap w:val="0"/>
            <w:vAlign w:val="center"/>
          </w:tcPr>
          <w:p w14:paraId="7365283B">
            <w:pPr>
              <w:widowControl/>
              <w:jc w:val="left"/>
              <w:rPr>
                <w:rFonts w:hint="eastAsia" w:ascii="仿宋" w:hAnsi="仿宋" w:eastAsia="仿宋" w:cs="仿宋"/>
                <w:kern w:val="0"/>
                <w:sz w:val="24"/>
                <w:szCs w:val="24"/>
              </w:rPr>
            </w:pPr>
          </w:p>
        </w:tc>
      </w:tr>
      <w:tr w14:paraId="526B8735">
        <w:tblPrEx>
          <w:tblCellMar>
            <w:top w:w="0" w:type="dxa"/>
            <w:left w:w="108" w:type="dxa"/>
            <w:bottom w:w="0" w:type="dxa"/>
            <w:right w:w="108" w:type="dxa"/>
          </w:tblCellMar>
        </w:tblPrEx>
        <w:trPr>
          <w:trHeight w:val="1144" w:hRule="atLeast"/>
          <w:jc w:val="center"/>
        </w:trPr>
        <w:tc>
          <w:tcPr>
            <w:tcW w:w="641" w:type="dxa"/>
            <w:vMerge w:val="continue"/>
            <w:tcBorders>
              <w:left w:val="single" w:color="auto" w:sz="4" w:space="0"/>
              <w:right w:val="single" w:color="auto" w:sz="4" w:space="0"/>
            </w:tcBorders>
            <w:noWrap w:val="0"/>
            <w:vAlign w:val="center"/>
          </w:tcPr>
          <w:p w14:paraId="23321028">
            <w:pPr>
              <w:widowControl/>
              <w:jc w:val="center"/>
              <w:rPr>
                <w:rFonts w:hint="eastAsia" w:ascii="仿宋" w:hAnsi="仿宋" w:eastAsia="仿宋" w:cs="仿宋"/>
                <w:b/>
                <w:bCs/>
                <w:kern w:val="0"/>
                <w:sz w:val="24"/>
                <w:szCs w:val="24"/>
                <w:lang w:val="en-US" w:eastAsia="zh-CN"/>
              </w:rPr>
            </w:pPr>
          </w:p>
        </w:tc>
        <w:tc>
          <w:tcPr>
            <w:tcW w:w="842" w:type="dxa"/>
            <w:gridSpan w:val="2"/>
            <w:tcBorders>
              <w:top w:val="nil"/>
              <w:left w:val="single" w:color="auto" w:sz="4" w:space="0"/>
              <w:bottom w:val="single" w:color="auto" w:sz="4" w:space="0"/>
              <w:right w:val="single" w:color="auto" w:sz="4" w:space="0"/>
            </w:tcBorders>
            <w:noWrap w:val="0"/>
            <w:vAlign w:val="center"/>
          </w:tcPr>
          <w:p w14:paraId="7D681408">
            <w:pPr>
              <w:widowControl/>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rPr>
              <w:t>高压冲洗车</w:t>
            </w:r>
            <w:r>
              <w:rPr>
                <w:rFonts w:hint="eastAsia" w:ascii="仿宋" w:hAnsi="仿宋" w:eastAsia="仿宋" w:cs="仿宋"/>
                <w:b/>
                <w:bCs/>
                <w:color w:val="000000"/>
                <w:sz w:val="24"/>
                <w:szCs w:val="24"/>
                <w:lang w:val="en-US" w:eastAsia="zh-CN"/>
              </w:rPr>
              <w:t>使用</w:t>
            </w:r>
          </w:p>
        </w:tc>
        <w:tc>
          <w:tcPr>
            <w:tcW w:w="3865" w:type="dxa"/>
            <w:tcBorders>
              <w:top w:val="nil"/>
              <w:left w:val="nil"/>
              <w:bottom w:val="single" w:color="auto" w:sz="4" w:space="0"/>
              <w:right w:val="single" w:color="auto" w:sz="4" w:space="0"/>
            </w:tcBorders>
            <w:noWrap w:val="0"/>
            <w:vAlign w:val="center"/>
          </w:tcPr>
          <w:p w14:paraId="60FAF26A">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按照学校要求，不定期对道路、墙面、卫生死角等处进行清洗，小型三轮高压冲洗车（1辆）由学校提供，安排专人负责管理，定期进行车辆保养，并不得将车辆用于其它用途。</w:t>
            </w:r>
          </w:p>
        </w:tc>
        <w:tc>
          <w:tcPr>
            <w:tcW w:w="1412" w:type="dxa"/>
            <w:tcBorders>
              <w:top w:val="nil"/>
              <w:left w:val="single" w:color="auto" w:sz="4" w:space="0"/>
              <w:bottom w:val="single" w:color="auto" w:sz="4" w:space="0"/>
              <w:right w:val="single" w:color="auto" w:sz="4" w:space="0"/>
            </w:tcBorders>
            <w:noWrap w:val="0"/>
            <w:vAlign w:val="center"/>
          </w:tcPr>
          <w:p w14:paraId="51ED52E4">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有1项不达标扣1分</w:t>
            </w:r>
          </w:p>
        </w:tc>
        <w:tc>
          <w:tcPr>
            <w:tcW w:w="837" w:type="dxa"/>
            <w:tcBorders>
              <w:top w:val="nil"/>
              <w:left w:val="nil"/>
              <w:bottom w:val="single" w:color="auto" w:sz="4" w:space="0"/>
              <w:right w:val="single" w:color="auto" w:sz="4" w:space="0"/>
            </w:tcBorders>
            <w:noWrap w:val="0"/>
            <w:vAlign w:val="center"/>
          </w:tcPr>
          <w:p w14:paraId="3EAEBF46">
            <w:pPr>
              <w:widowControl/>
              <w:jc w:val="left"/>
              <w:rPr>
                <w:rFonts w:hint="eastAsia" w:ascii="仿宋" w:hAnsi="仿宋" w:eastAsia="仿宋" w:cs="仿宋"/>
                <w:b/>
                <w:bCs/>
                <w:kern w:val="0"/>
                <w:sz w:val="24"/>
                <w:szCs w:val="24"/>
              </w:rPr>
            </w:pPr>
          </w:p>
        </w:tc>
        <w:tc>
          <w:tcPr>
            <w:tcW w:w="1198" w:type="dxa"/>
            <w:tcBorders>
              <w:top w:val="nil"/>
              <w:left w:val="nil"/>
              <w:bottom w:val="single" w:color="auto" w:sz="4" w:space="0"/>
              <w:right w:val="single" w:color="auto" w:sz="4" w:space="0"/>
            </w:tcBorders>
            <w:noWrap w:val="0"/>
            <w:vAlign w:val="center"/>
          </w:tcPr>
          <w:p w14:paraId="7D53F36D">
            <w:pPr>
              <w:widowControl/>
              <w:jc w:val="left"/>
              <w:rPr>
                <w:rFonts w:hint="eastAsia" w:ascii="仿宋" w:hAnsi="仿宋" w:eastAsia="仿宋" w:cs="仿宋"/>
                <w:kern w:val="0"/>
                <w:sz w:val="24"/>
                <w:szCs w:val="24"/>
              </w:rPr>
            </w:pPr>
          </w:p>
        </w:tc>
      </w:tr>
      <w:tr w14:paraId="02247C6C">
        <w:tblPrEx>
          <w:tblCellMar>
            <w:top w:w="0" w:type="dxa"/>
            <w:left w:w="108" w:type="dxa"/>
            <w:bottom w:w="0" w:type="dxa"/>
            <w:right w:w="108" w:type="dxa"/>
          </w:tblCellMar>
        </w:tblPrEx>
        <w:trPr>
          <w:trHeight w:val="678" w:hRule="atLeast"/>
          <w:jc w:val="center"/>
        </w:trPr>
        <w:tc>
          <w:tcPr>
            <w:tcW w:w="641" w:type="dxa"/>
            <w:vMerge w:val="restart"/>
            <w:tcBorders>
              <w:top w:val="single" w:color="auto" w:sz="4" w:space="0"/>
              <w:left w:val="single" w:color="auto" w:sz="4" w:space="0"/>
              <w:bottom w:val="single" w:color="auto" w:sz="4" w:space="0"/>
              <w:right w:val="single" w:color="auto" w:sz="4" w:space="0"/>
            </w:tcBorders>
            <w:noWrap w:val="0"/>
            <w:vAlign w:val="center"/>
          </w:tcPr>
          <w:p w14:paraId="1E91FCCB">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楼宇值班值勤</w:t>
            </w:r>
          </w:p>
        </w:tc>
        <w:tc>
          <w:tcPr>
            <w:tcW w:w="842" w:type="dxa"/>
            <w:gridSpan w:val="2"/>
            <w:vMerge w:val="restart"/>
            <w:tcBorders>
              <w:top w:val="nil"/>
              <w:left w:val="single" w:color="auto" w:sz="4" w:space="0"/>
              <w:right w:val="single" w:color="auto" w:sz="4" w:space="0"/>
            </w:tcBorders>
            <w:noWrap w:val="0"/>
            <w:vAlign w:val="center"/>
          </w:tcPr>
          <w:p w14:paraId="34F706B9">
            <w:pPr>
              <w:widowControl/>
              <w:jc w:val="center"/>
              <w:rPr>
                <w:rFonts w:hint="eastAsia" w:ascii="仿宋" w:hAnsi="仿宋" w:eastAsia="仿宋" w:cs="仿宋"/>
                <w:b/>
                <w:bCs/>
                <w:kern w:val="0"/>
                <w:sz w:val="24"/>
                <w:szCs w:val="24"/>
              </w:rPr>
            </w:pPr>
            <w:r>
              <w:rPr>
                <w:rFonts w:hint="eastAsia" w:ascii="仿宋" w:hAnsi="仿宋" w:eastAsia="仿宋" w:cs="仿宋"/>
                <w:b/>
                <w:bCs/>
                <w:sz w:val="24"/>
                <w:szCs w:val="24"/>
              </w:rPr>
              <w:t>辖区内安全防范</w:t>
            </w:r>
          </w:p>
        </w:tc>
        <w:tc>
          <w:tcPr>
            <w:tcW w:w="3865" w:type="dxa"/>
            <w:tcBorders>
              <w:top w:val="nil"/>
              <w:left w:val="nil"/>
              <w:bottom w:val="single" w:color="auto" w:sz="4" w:space="0"/>
              <w:right w:val="single" w:color="auto" w:sz="4" w:space="0"/>
            </w:tcBorders>
            <w:noWrap w:val="0"/>
            <w:vAlign w:val="center"/>
          </w:tcPr>
          <w:p w14:paraId="5F9DD352">
            <w:pPr>
              <w:widowControl/>
              <w:rPr>
                <w:rFonts w:hint="eastAsia" w:ascii="仿宋" w:hAnsi="仿宋" w:eastAsia="仿宋" w:cs="仿宋"/>
                <w:kern w:val="0"/>
                <w:sz w:val="24"/>
                <w:szCs w:val="24"/>
              </w:rPr>
            </w:pPr>
            <w:r>
              <w:rPr>
                <w:rFonts w:hint="eastAsia" w:ascii="仿宋" w:hAnsi="仿宋" w:eastAsia="仿宋" w:cs="仿宋"/>
                <w:kern w:val="0"/>
                <w:sz w:val="24"/>
                <w:szCs w:val="24"/>
              </w:rPr>
              <w:t>1.管理服务范围内公共区域和周边环境标识清楚，制度完善。</w:t>
            </w:r>
          </w:p>
        </w:tc>
        <w:tc>
          <w:tcPr>
            <w:tcW w:w="1412" w:type="dxa"/>
            <w:vMerge w:val="restart"/>
            <w:tcBorders>
              <w:top w:val="nil"/>
              <w:left w:val="single" w:color="auto" w:sz="4" w:space="0"/>
              <w:right w:val="single" w:color="auto" w:sz="4" w:space="0"/>
            </w:tcBorders>
            <w:noWrap w:val="0"/>
            <w:vAlign w:val="center"/>
          </w:tcPr>
          <w:p w14:paraId="60A20716">
            <w:pPr>
              <w:widowControl/>
              <w:jc w:val="center"/>
              <w:rPr>
                <w:rFonts w:hint="eastAsia" w:ascii="仿宋" w:hAnsi="仿宋" w:eastAsia="仿宋" w:cs="仿宋"/>
                <w:b/>
                <w:bCs/>
                <w:kern w:val="0"/>
                <w:sz w:val="24"/>
                <w:szCs w:val="24"/>
              </w:rPr>
            </w:pPr>
            <w:r>
              <w:rPr>
                <w:rFonts w:hint="eastAsia" w:ascii="仿宋" w:hAnsi="仿宋" w:eastAsia="仿宋" w:cs="仿宋"/>
                <w:kern w:val="0"/>
                <w:sz w:val="24"/>
                <w:szCs w:val="24"/>
              </w:rPr>
              <w:t>有1项不达标扣1分</w:t>
            </w:r>
          </w:p>
        </w:tc>
        <w:tc>
          <w:tcPr>
            <w:tcW w:w="837" w:type="dxa"/>
            <w:tcBorders>
              <w:top w:val="nil"/>
              <w:left w:val="nil"/>
              <w:bottom w:val="single" w:color="auto" w:sz="4" w:space="0"/>
              <w:right w:val="single" w:color="auto" w:sz="4" w:space="0"/>
            </w:tcBorders>
            <w:noWrap w:val="0"/>
            <w:vAlign w:val="center"/>
          </w:tcPr>
          <w:p w14:paraId="7BC456EC">
            <w:pPr>
              <w:widowControl/>
              <w:jc w:val="left"/>
              <w:rPr>
                <w:rFonts w:hint="eastAsia" w:ascii="仿宋" w:hAnsi="仿宋" w:eastAsia="仿宋" w:cs="仿宋"/>
                <w:kern w:val="0"/>
                <w:sz w:val="24"/>
                <w:szCs w:val="24"/>
              </w:rPr>
            </w:pPr>
          </w:p>
        </w:tc>
        <w:tc>
          <w:tcPr>
            <w:tcW w:w="1198" w:type="dxa"/>
            <w:tcBorders>
              <w:top w:val="nil"/>
              <w:left w:val="nil"/>
              <w:bottom w:val="single" w:color="auto" w:sz="4" w:space="0"/>
              <w:right w:val="single" w:color="auto" w:sz="4" w:space="0"/>
            </w:tcBorders>
            <w:noWrap w:val="0"/>
            <w:vAlign w:val="center"/>
          </w:tcPr>
          <w:p w14:paraId="29C3318D">
            <w:pPr>
              <w:widowControl/>
              <w:jc w:val="left"/>
              <w:rPr>
                <w:rFonts w:hint="eastAsia" w:ascii="仿宋" w:hAnsi="仿宋" w:eastAsia="仿宋" w:cs="仿宋"/>
                <w:kern w:val="0"/>
                <w:sz w:val="24"/>
                <w:szCs w:val="24"/>
              </w:rPr>
            </w:pPr>
          </w:p>
        </w:tc>
      </w:tr>
      <w:tr w14:paraId="465470C6">
        <w:tblPrEx>
          <w:tblCellMar>
            <w:top w:w="0" w:type="dxa"/>
            <w:left w:w="108" w:type="dxa"/>
            <w:bottom w:w="0" w:type="dxa"/>
            <w:right w:w="108" w:type="dxa"/>
          </w:tblCellMar>
        </w:tblPrEx>
        <w:trPr>
          <w:trHeight w:val="609" w:hRule="atLeast"/>
          <w:jc w:val="center"/>
        </w:trPr>
        <w:tc>
          <w:tcPr>
            <w:tcW w:w="641" w:type="dxa"/>
            <w:vMerge w:val="continue"/>
            <w:tcBorders>
              <w:top w:val="single" w:color="auto" w:sz="4" w:space="0"/>
              <w:left w:val="single" w:color="auto" w:sz="4" w:space="0"/>
              <w:bottom w:val="single" w:color="auto" w:sz="4" w:space="0"/>
              <w:right w:val="single" w:color="auto" w:sz="4" w:space="0"/>
            </w:tcBorders>
            <w:noWrap w:val="0"/>
            <w:vAlign w:val="center"/>
          </w:tcPr>
          <w:p w14:paraId="2DDACEDE">
            <w:pPr>
              <w:widowControl/>
              <w:jc w:val="left"/>
              <w:rPr>
                <w:rFonts w:hint="eastAsia" w:ascii="仿宋" w:hAnsi="仿宋" w:eastAsia="仿宋" w:cs="仿宋"/>
                <w:b/>
                <w:bCs/>
                <w:kern w:val="0"/>
                <w:sz w:val="24"/>
                <w:szCs w:val="24"/>
              </w:rPr>
            </w:pPr>
          </w:p>
        </w:tc>
        <w:tc>
          <w:tcPr>
            <w:tcW w:w="842" w:type="dxa"/>
            <w:gridSpan w:val="2"/>
            <w:vMerge w:val="continue"/>
            <w:tcBorders>
              <w:left w:val="single" w:color="auto" w:sz="4" w:space="0"/>
              <w:bottom w:val="single" w:color="auto" w:sz="4" w:space="0"/>
              <w:right w:val="single" w:color="auto" w:sz="4" w:space="0"/>
            </w:tcBorders>
            <w:noWrap w:val="0"/>
            <w:vAlign w:val="center"/>
          </w:tcPr>
          <w:p w14:paraId="4726F797">
            <w:pPr>
              <w:widowControl/>
              <w:jc w:val="left"/>
              <w:rPr>
                <w:rFonts w:hint="eastAsia" w:ascii="仿宋" w:hAnsi="仿宋" w:eastAsia="仿宋" w:cs="仿宋"/>
                <w:sz w:val="24"/>
                <w:szCs w:val="24"/>
              </w:rPr>
            </w:pPr>
          </w:p>
        </w:tc>
        <w:tc>
          <w:tcPr>
            <w:tcW w:w="3865" w:type="dxa"/>
            <w:tcBorders>
              <w:top w:val="single" w:color="auto" w:sz="4" w:space="0"/>
              <w:left w:val="nil"/>
              <w:bottom w:val="single" w:color="auto" w:sz="4" w:space="0"/>
              <w:right w:val="single" w:color="auto" w:sz="4" w:space="0"/>
            </w:tcBorders>
            <w:noWrap w:val="0"/>
            <w:vAlign w:val="center"/>
          </w:tcPr>
          <w:p w14:paraId="0DA2AFC1">
            <w:pPr>
              <w:widowControl/>
              <w:rPr>
                <w:rFonts w:hint="eastAsia" w:ascii="仿宋" w:hAnsi="仿宋" w:eastAsia="仿宋" w:cs="仿宋"/>
                <w:kern w:val="0"/>
                <w:sz w:val="24"/>
                <w:szCs w:val="24"/>
              </w:rPr>
            </w:pPr>
            <w:r>
              <w:rPr>
                <w:rFonts w:hint="eastAsia" w:ascii="仿宋" w:hAnsi="仿宋" w:eastAsia="仿宋" w:cs="仿宋"/>
                <w:kern w:val="0"/>
                <w:sz w:val="24"/>
                <w:szCs w:val="24"/>
              </w:rPr>
              <w:t>2.按规定着装、做好区域内的安全巡查工作。</w:t>
            </w:r>
          </w:p>
        </w:tc>
        <w:tc>
          <w:tcPr>
            <w:tcW w:w="1412" w:type="dxa"/>
            <w:vMerge w:val="continue"/>
            <w:tcBorders>
              <w:left w:val="single" w:color="auto" w:sz="4" w:space="0"/>
              <w:right w:val="single" w:color="auto" w:sz="4" w:space="0"/>
            </w:tcBorders>
            <w:noWrap w:val="0"/>
            <w:vAlign w:val="center"/>
          </w:tcPr>
          <w:p w14:paraId="4C479858">
            <w:pPr>
              <w:widowControl/>
              <w:jc w:val="left"/>
              <w:rPr>
                <w:rFonts w:hint="eastAsia" w:ascii="仿宋" w:hAnsi="仿宋" w:eastAsia="仿宋" w:cs="仿宋"/>
                <w:b/>
                <w:bCs/>
                <w:kern w:val="0"/>
                <w:sz w:val="24"/>
                <w:szCs w:val="24"/>
              </w:rPr>
            </w:pPr>
          </w:p>
        </w:tc>
        <w:tc>
          <w:tcPr>
            <w:tcW w:w="837" w:type="dxa"/>
            <w:tcBorders>
              <w:top w:val="single" w:color="auto" w:sz="4" w:space="0"/>
              <w:left w:val="nil"/>
              <w:bottom w:val="single" w:color="auto" w:sz="4" w:space="0"/>
              <w:right w:val="single" w:color="auto" w:sz="4" w:space="0"/>
            </w:tcBorders>
            <w:noWrap w:val="0"/>
            <w:vAlign w:val="center"/>
          </w:tcPr>
          <w:p w14:paraId="1218B9B4">
            <w:pPr>
              <w:widowControl/>
              <w:jc w:val="left"/>
              <w:rPr>
                <w:rFonts w:hint="eastAsia" w:ascii="仿宋" w:hAnsi="仿宋" w:eastAsia="仿宋" w:cs="仿宋"/>
                <w:kern w:val="0"/>
                <w:sz w:val="24"/>
                <w:szCs w:val="24"/>
              </w:rPr>
            </w:pPr>
          </w:p>
        </w:tc>
        <w:tc>
          <w:tcPr>
            <w:tcW w:w="1198" w:type="dxa"/>
            <w:tcBorders>
              <w:top w:val="single" w:color="auto" w:sz="4" w:space="0"/>
              <w:left w:val="nil"/>
              <w:bottom w:val="single" w:color="auto" w:sz="4" w:space="0"/>
              <w:right w:val="single" w:color="auto" w:sz="4" w:space="0"/>
            </w:tcBorders>
            <w:noWrap w:val="0"/>
            <w:vAlign w:val="center"/>
          </w:tcPr>
          <w:p w14:paraId="32F3A433">
            <w:pPr>
              <w:widowControl/>
              <w:jc w:val="left"/>
              <w:rPr>
                <w:rFonts w:hint="eastAsia" w:ascii="仿宋" w:hAnsi="仿宋" w:eastAsia="仿宋" w:cs="仿宋"/>
                <w:kern w:val="0"/>
                <w:sz w:val="24"/>
                <w:szCs w:val="24"/>
              </w:rPr>
            </w:pPr>
          </w:p>
        </w:tc>
      </w:tr>
      <w:tr w14:paraId="61AC4541">
        <w:tblPrEx>
          <w:tblCellMar>
            <w:top w:w="0" w:type="dxa"/>
            <w:left w:w="108" w:type="dxa"/>
            <w:bottom w:w="0" w:type="dxa"/>
            <w:right w:w="108" w:type="dxa"/>
          </w:tblCellMar>
        </w:tblPrEx>
        <w:trPr>
          <w:trHeight w:val="552" w:hRule="atLeast"/>
          <w:jc w:val="center"/>
        </w:trPr>
        <w:tc>
          <w:tcPr>
            <w:tcW w:w="641" w:type="dxa"/>
            <w:vMerge w:val="continue"/>
            <w:tcBorders>
              <w:top w:val="single" w:color="auto" w:sz="4" w:space="0"/>
              <w:left w:val="single" w:color="auto" w:sz="4" w:space="0"/>
              <w:bottom w:val="single" w:color="auto" w:sz="4" w:space="0"/>
              <w:right w:val="single" w:color="auto" w:sz="4" w:space="0"/>
            </w:tcBorders>
            <w:noWrap w:val="0"/>
            <w:vAlign w:val="center"/>
          </w:tcPr>
          <w:p w14:paraId="78E6077F">
            <w:pPr>
              <w:widowControl/>
              <w:jc w:val="left"/>
              <w:rPr>
                <w:rFonts w:hint="eastAsia" w:ascii="仿宋" w:hAnsi="仿宋" w:eastAsia="仿宋" w:cs="仿宋"/>
                <w:b/>
                <w:bCs/>
                <w:kern w:val="0"/>
                <w:sz w:val="24"/>
                <w:szCs w:val="24"/>
              </w:rPr>
            </w:pPr>
          </w:p>
        </w:tc>
        <w:tc>
          <w:tcPr>
            <w:tcW w:w="842" w:type="dxa"/>
            <w:gridSpan w:val="2"/>
            <w:vMerge w:val="continue"/>
            <w:tcBorders>
              <w:left w:val="single" w:color="auto" w:sz="4" w:space="0"/>
              <w:bottom w:val="single" w:color="auto" w:sz="4" w:space="0"/>
              <w:right w:val="single" w:color="auto" w:sz="4" w:space="0"/>
            </w:tcBorders>
            <w:noWrap w:val="0"/>
            <w:vAlign w:val="center"/>
          </w:tcPr>
          <w:p w14:paraId="3A1DCC38">
            <w:pPr>
              <w:widowControl/>
              <w:jc w:val="left"/>
              <w:rPr>
                <w:rFonts w:hint="eastAsia" w:ascii="仿宋" w:hAnsi="仿宋" w:eastAsia="仿宋" w:cs="仿宋"/>
                <w:sz w:val="24"/>
                <w:szCs w:val="24"/>
              </w:rPr>
            </w:pPr>
          </w:p>
        </w:tc>
        <w:tc>
          <w:tcPr>
            <w:tcW w:w="3865" w:type="dxa"/>
            <w:tcBorders>
              <w:top w:val="single" w:color="auto" w:sz="4" w:space="0"/>
              <w:left w:val="nil"/>
              <w:bottom w:val="single" w:color="auto" w:sz="4" w:space="0"/>
              <w:right w:val="single" w:color="auto" w:sz="4" w:space="0"/>
            </w:tcBorders>
            <w:noWrap w:val="0"/>
            <w:vAlign w:val="center"/>
          </w:tcPr>
          <w:p w14:paraId="38B80C20">
            <w:pPr>
              <w:widowControl/>
              <w:rPr>
                <w:rFonts w:hint="eastAsia" w:ascii="仿宋" w:hAnsi="仿宋" w:eastAsia="仿宋" w:cs="仿宋"/>
                <w:kern w:val="0"/>
                <w:sz w:val="24"/>
                <w:szCs w:val="24"/>
              </w:rPr>
            </w:pPr>
            <w:r>
              <w:rPr>
                <w:rFonts w:hint="eastAsia" w:ascii="仿宋" w:hAnsi="仿宋" w:eastAsia="仿宋" w:cs="仿宋"/>
                <w:kern w:val="0"/>
                <w:sz w:val="24"/>
                <w:szCs w:val="24"/>
              </w:rPr>
              <w:t>3.建立有安全防范制度和突发处理预案。</w:t>
            </w:r>
          </w:p>
        </w:tc>
        <w:tc>
          <w:tcPr>
            <w:tcW w:w="1412" w:type="dxa"/>
            <w:vMerge w:val="continue"/>
            <w:tcBorders>
              <w:left w:val="single" w:color="auto" w:sz="4" w:space="0"/>
              <w:right w:val="single" w:color="auto" w:sz="4" w:space="0"/>
            </w:tcBorders>
            <w:noWrap w:val="0"/>
            <w:vAlign w:val="center"/>
          </w:tcPr>
          <w:p w14:paraId="4CB3AF66">
            <w:pPr>
              <w:widowControl/>
              <w:jc w:val="left"/>
              <w:rPr>
                <w:rFonts w:hint="eastAsia" w:ascii="仿宋" w:hAnsi="仿宋" w:eastAsia="仿宋" w:cs="仿宋"/>
                <w:b/>
                <w:bCs/>
                <w:kern w:val="0"/>
                <w:sz w:val="24"/>
                <w:szCs w:val="24"/>
              </w:rPr>
            </w:pPr>
          </w:p>
        </w:tc>
        <w:tc>
          <w:tcPr>
            <w:tcW w:w="837" w:type="dxa"/>
            <w:tcBorders>
              <w:top w:val="single" w:color="auto" w:sz="4" w:space="0"/>
              <w:left w:val="nil"/>
              <w:bottom w:val="single" w:color="auto" w:sz="4" w:space="0"/>
              <w:right w:val="single" w:color="auto" w:sz="4" w:space="0"/>
            </w:tcBorders>
            <w:noWrap w:val="0"/>
            <w:vAlign w:val="center"/>
          </w:tcPr>
          <w:p w14:paraId="10266B00">
            <w:pPr>
              <w:widowControl/>
              <w:jc w:val="left"/>
              <w:rPr>
                <w:rFonts w:hint="eastAsia" w:ascii="仿宋" w:hAnsi="仿宋" w:eastAsia="仿宋" w:cs="仿宋"/>
                <w:kern w:val="0"/>
                <w:sz w:val="24"/>
                <w:szCs w:val="24"/>
              </w:rPr>
            </w:pPr>
          </w:p>
        </w:tc>
        <w:tc>
          <w:tcPr>
            <w:tcW w:w="1198" w:type="dxa"/>
            <w:tcBorders>
              <w:top w:val="single" w:color="auto" w:sz="4" w:space="0"/>
              <w:left w:val="nil"/>
              <w:bottom w:val="single" w:color="auto" w:sz="4" w:space="0"/>
              <w:right w:val="single" w:color="auto" w:sz="4" w:space="0"/>
            </w:tcBorders>
            <w:noWrap w:val="0"/>
            <w:vAlign w:val="center"/>
          </w:tcPr>
          <w:p w14:paraId="447A77C7">
            <w:pPr>
              <w:widowControl/>
              <w:jc w:val="left"/>
              <w:rPr>
                <w:rFonts w:hint="eastAsia" w:ascii="仿宋" w:hAnsi="仿宋" w:eastAsia="仿宋" w:cs="仿宋"/>
                <w:kern w:val="0"/>
                <w:sz w:val="24"/>
                <w:szCs w:val="24"/>
              </w:rPr>
            </w:pPr>
          </w:p>
        </w:tc>
      </w:tr>
      <w:tr w14:paraId="35130AEC">
        <w:tblPrEx>
          <w:tblCellMar>
            <w:top w:w="0" w:type="dxa"/>
            <w:left w:w="108" w:type="dxa"/>
            <w:bottom w:w="0" w:type="dxa"/>
            <w:right w:w="108" w:type="dxa"/>
          </w:tblCellMar>
        </w:tblPrEx>
        <w:trPr>
          <w:trHeight w:val="678" w:hRule="atLeast"/>
          <w:jc w:val="center"/>
        </w:trPr>
        <w:tc>
          <w:tcPr>
            <w:tcW w:w="641" w:type="dxa"/>
            <w:vMerge w:val="continue"/>
            <w:tcBorders>
              <w:top w:val="single" w:color="auto" w:sz="4" w:space="0"/>
              <w:left w:val="single" w:color="auto" w:sz="4" w:space="0"/>
              <w:bottom w:val="single" w:color="auto" w:sz="4" w:space="0"/>
              <w:right w:val="single" w:color="auto" w:sz="4" w:space="0"/>
            </w:tcBorders>
            <w:noWrap w:val="0"/>
            <w:vAlign w:val="center"/>
          </w:tcPr>
          <w:p w14:paraId="03EC2209">
            <w:pPr>
              <w:widowControl/>
              <w:jc w:val="left"/>
              <w:rPr>
                <w:rFonts w:hint="eastAsia" w:ascii="仿宋" w:hAnsi="仿宋" w:eastAsia="仿宋" w:cs="仿宋"/>
                <w:b/>
                <w:bCs/>
                <w:kern w:val="0"/>
                <w:sz w:val="24"/>
                <w:szCs w:val="24"/>
              </w:rPr>
            </w:pPr>
          </w:p>
        </w:tc>
        <w:tc>
          <w:tcPr>
            <w:tcW w:w="842" w:type="dxa"/>
            <w:gridSpan w:val="2"/>
            <w:vMerge w:val="continue"/>
            <w:tcBorders>
              <w:left w:val="single" w:color="auto" w:sz="4" w:space="0"/>
              <w:bottom w:val="single" w:color="auto" w:sz="4" w:space="0"/>
              <w:right w:val="single" w:color="auto" w:sz="4" w:space="0"/>
            </w:tcBorders>
            <w:noWrap w:val="0"/>
            <w:vAlign w:val="center"/>
          </w:tcPr>
          <w:p w14:paraId="35B06986">
            <w:pPr>
              <w:widowControl/>
              <w:jc w:val="left"/>
              <w:rPr>
                <w:rFonts w:hint="eastAsia" w:ascii="仿宋" w:hAnsi="仿宋" w:eastAsia="仿宋" w:cs="仿宋"/>
                <w:sz w:val="24"/>
                <w:szCs w:val="24"/>
              </w:rPr>
            </w:pPr>
          </w:p>
        </w:tc>
        <w:tc>
          <w:tcPr>
            <w:tcW w:w="3865" w:type="dxa"/>
            <w:tcBorders>
              <w:top w:val="single" w:color="auto" w:sz="4" w:space="0"/>
              <w:left w:val="nil"/>
              <w:bottom w:val="single" w:color="auto" w:sz="4" w:space="0"/>
              <w:right w:val="single" w:color="auto" w:sz="4" w:space="0"/>
            </w:tcBorders>
            <w:noWrap w:val="0"/>
            <w:vAlign w:val="center"/>
          </w:tcPr>
          <w:p w14:paraId="5CBDDED6">
            <w:pPr>
              <w:widowControl/>
              <w:rPr>
                <w:rFonts w:hint="eastAsia" w:ascii="仿宋" w:hAnsi="仿宋" w:eastAsia="仿宋" w:cs="仿宋"/>
                <w:kern w:val="0"/>
                <w:sz w:val="24"/>
                <w:szCs w:val="24"/>
              </w:rPr>
            </w:pPr>
            <w:r>
              <w:rPr>
                <w:rFonts w:hint="eastAsia" w:ascii="仿宋" w:hAnsi="仿宋" w:eastAsia="仿宋" w:cs="仿宋"/>
                <w:kern w:val="0"/>
                <w:sz w:val="24"/>
                <w:szCs w:val="24"/>
              </w:rPr>
              <w:t>4.建立外来人员登记制度，保证24小时内人员在岗在位。</w:t>
            </w:r>
          </w:p>
        </w:tc>
        <w:tc>
          <w:tcPr>
            <w:tcW w:w="1412" w:type="dxa"/>
            <w:vMerge w:val="continue"/>
            <w:tcBorders>
              <w:left w:val="single" w:color="auto" w:sz="4" w:space="0"/>
              <w:right w:val="single" w:color="auto" w:sz="4" w:space="0"/>
            </w:tcBorders>
            <w:noWrap w:val="0"/>
            <w:vAlign w:val="center"/>
          </w:tcPr>
          <w:p w14:paraId="3F3C2D2C">
            <w:pPr>
              <w:widowControl/>
              <w:jc w:val="left"/>
              <w:rPr>
                <w:rFonts w:hint="eastAsia" w:ascii="仿宋" w:hAnsi="仿宋" w:eastAsia="仿宋" w:cs="仿宋"/>
                <w:b/>
                <w:bCs/>
                <w:kern w:val="0"/>
                <w:sz w:val="24"/>
                <w:szCs w:val="24"/>
              </w:rPr>
            </w:pPr>
          </w:p>
        </w:tc>
        <w:tc>
          <w:tcPr>
            <w:tcW w:w="837" w:type="dxa"/>
            <w:tcBorders>
              <w:top w:val="single" w:color="auto" w:sz="4" w:space="0"/>
              <w:left w:val="nil"/>
              <w:bottom w:val="single" w:color="auto" w:sz="4" w:space="0"/>
              <w:right w:val="single" w:color="auto" w:sz="4" w:space="0"/>
            </w:tcBorders>
            <w:noWrap w:val="0"/>
            <w:vAlign w:val="center"/>
          </w:tcPr>
          <w:p w14:paraId="367B1447">
            <w:pPr>
              <w:widowControl/>
              <w:jc w:val="left"/>
              <w:rPr>
                <w:rFonts w:hint="eastAsia" w:ascii="仿宋" w:hAnsi="仿宋" w:eastAsia="仿宋" w:cs="仿宋"/>
                <w:kern w:val="0"/>
                <w:sz w:val="24"/>
                <w:szCs w:val="24"/>
              </w:rPr>
            </w:pPr>
          </w:p>
        </w:tc>
        <w:tc>
          <w:tcPr>
            <w:tcW w:w="1198" w:type="dxa"/>
            <w:tcBorders>
              <w:top w:val="single" w:color="auto" w:sz="4" w:space="0"/>
              <w:left w:val="nil"/>
              <w:bottom w:val="single" w:color="auto" w:sz="4" w:space="0"/>
              <w:right w:val="single" w:color="auto" w:sz="4" w:space="0"/>
            </w:tcBorders>
            <w:noWrap w:val="0"/>
            <w:vAlign w:val="center"/>
          </w:tcPr>
          <w:p w14:paraId="713C72C4">
            <w:pPr>
              <w:widowControl/>
              <w:jc w:val="left"/>
              <w:rPr>
                <w:rFonts w:hint="eastAsia" w:ascii="仿宋" w:hAnsi="仿宋" w:eastAsia="仿宋" w:cs="仿宋"/>
                <w:kern w:val="0"/>
                <w:sz w:val="24"/>
                <w:szCs w:val="24"/>
              </w:rPr>
            </w:pPr>
          </w:p>
        </w:tc>
      </w:tr>
      <w:tr w14:paraId="49AA1D04">
        <w:tblPrEx>
          <w:tblCellMar>
            <w:top w:w="0" w:type="dxa"/>
            <w:left w:w="108" w:type="dxa"/>
            <w:bottom w:w="0" w:type="dxa"/>
            <w:right w:w="108" w:type="dxa"/>
          </w:tblCellMar>
        </w:tblPrEx>
        <w:trPr>
          <w:trHeight w:val="632" w:hRule="atLeast"/>
          <w:jc w:val="center"/>
        </w:trPr>
        <w:tc>
          <w:tcPr>
            <w:tcW w:w="641" w:type="dxa"/>
            <w:vMerge w:val="continue"/>
            <w:tcBorders>
              <w:top w:val="single" w:color="auto" w:sz="4" w:space="0"/>
              <w:left w:val="single" w:color="auto" w:sz="4" w:space="0"/>
              <w:bottom w:val="single" w:color="auto" w:sz="4" w:space="0"/>
              <w:right w:val="single" w:color="auto" w:sz="4" w:space="0"/>
            </w:tcBorders>
            <w:noWrap w:val="0"/>
            <w:vAlign w:val="center"/>
          </w:tcPr>
          <w:p w14:paraId="3613FBD2">
            <w:pPr>
              <w:widowControl/>
              <w:jc w:val="left"/>
              <w:rPr>
                <w:rFonts w:hint="eastAsia" w:ascii="仿宋" w:hAnsi="仿宋" w:eastAsia="仿宋" w:cs="仿宋"/>
                <w:b/>
                <w:bCs/>
                <w:kern w:val="0"/>
                <w:sz w:val="24"/>
                <w:szCs w:val="24"/>
              </w:rPr>
            </w:pPr>
          </w:p>
        </w:tc>
        <w:tc>
          <w:tcPr>
            <w:tcW w:w="842" w:type="dxa"/>
            <w:gridSpan w:val="2"/>
            <w:vMerge w:val="restart"/>
            <w:tcBorders>
              <w:left w:val="single" w:color="auto" w:sz="4" w:space="0"/>
              <w:right w:val="single" w:color="auto" w:sz="4" w:space="0"/>
            </w:tcBorders>
            <w:noWrap w:val="0"/>
            <w:vAlign w:val="center"/>
          </w:tcPr>
          <w:p w14:paraId="0714CF9D">
            <w:pPr>
              <w:widowControl/>
              <w:jc w:val="center"/>
              <w:rPr>
                <w:rFonts w:hint="eastAsia" w:ascii="仿宋" w:hAnsi="仿宋" w:eastAsia="仿宋" w:cs="仿宋"/>
                <w:sz w:val="24"/>
                <w:szCs w:val="24"/>
              </w:rPr>
            </w:pPr>
            <w:r>
              <w:rPr>
                <w:rFonts w:hint="eastAsia" w:ascii="仿宋" w:hAnsi="仿宋" w:eastAsia="仿宋" w:cs="仿宋"/>
                <w:b/>
                <w:bCs/>
                <w:sz w:val="24"/>
                <w:szCs w:val="24"/>
              </w:rPr>
              <w:t>其他情况</w:t>
            </w:r>
          </w:p>
        </w:tc>
        <w:tc>
          <w:tcPr>
            <w:tcW w:w="3865" w:type="dxa"/>
            <w:tcBorders>
              <w:top w:val="single" w:color="auto" w:sz="4" w:space="0"/>
              <w:left w:val="nil"/>
              <w:bottom w:val="single" w:color="auto" w:sz="4" w:space="0"/>
              <w:right w:val="single" w:color="auto" w:sz="4" w:space="0"/>
            </w:tcBorders>
            <w:noWrap w:val="0"/>
            <w:vAlign w:val="center"/>
          </w:tcPr>
          <w:p w14:paraId="051D4A5E">
            <w:pPr>
              <w:widowControl/>
              <w:rPr>
                <w:rFonts w:hint="eastAsia" w:ascii="仿宋" w:hAnsi="仿宋" w:eastAsia="仿宋" w:cs="仿宋"/>
                <w:kern w:val="0"/>
                <w:sz w:val="24"/>
                <w:szCs w:val="24"/>
              </w:rPr>
            </w:pPr>
            <w:r>
              <w:rPr>
                <w:rFonts w:hint="eastAsia" w:ascii="仿宋" w:hAnsi="仿宋" w:eastAsia="仿宋" w:cs="仿宋"/>
                <w:kern w:val="0"/>
                <w:sz w:val="24"/>
                <w:szCs w:val="24"/>
              </w:rPr>
              <w:t>1.管理服务范围内不发生重大安全责任事故。</w:t>
            </w:r>
          </w:p>
        </w:tc>
        <w:tc>
          <w:tcPr>
            <w:tcW w:w="1412" w:type="dxa"/>
            <w:vMerge w:val="continue"/>
            <w:tcBorders>
              <w:left w:val="single" w:color="auto" w:sz="4" w:space="0"/>
              <w:right w:val="single" w:color="auto" w:sz="4" w:space="0"/>
            </w:tcBorders>
            <w:noWrap w:val="0"/>
            <w:vAlign w:val="center"/>
          </w:tcPr>
          <w:p w14:paraId="5BC083E8">
            <w:pPr>
              <w:widowControl/>
              <w:jc w:val="left"/>
              <w:rPr>
                <w:rFonts w:hint="eastAsia" w:ascii="仿宋" w:hAnsi="仿宋" w:eastAsia="仿宋" w:cs="仿宋"/>
                <w:b/>
                <w:bCs/>
                <w:kern w:val="0"/>
                <w:sz w:val="24"/>
                <w:szCs w:val="24"/>
              </w:rPr>
            </w:pPr>
          </w:p>
        </w:tc>
        <w:tc>
          <w:tcPr>
            <w:tcW w:w="2035" w:type="dxa"/>
            <w:gridSpan w:val="2"/>
            <w:vMerge w:val="restart"/>
            <w:tcBorders>
              <w:top w:val="single" w:color="auto" w:sz="4" w:space="0"/>
              <w:left w:val="nil"/>
              <w:right w:val="single" w:color="auto" w:sz="4" w:space="0"/>
            </w:tcBorders>
            <w:noWrap w:val="0"/>
            <w:vAlign w:val="center"/>
          </w:tcPr>
          <w:p w14:paraId="6C9E10FE">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若发生，则扣除10分。</w:t>
            </w:r>
          </w:p>
        </w:tc>
      </w:tr>
      <w:tr w14:paraId="43AD9318">
        <w:tblPrEx>
          <w:tblCellMar>
            <w:top w:w="0" w:type="dxa"/>
            <w:left w:w="108" w:type="dxa"/>
            <w:bottom w:w="0" w:type="dxa"/>
            <w:right w:w="108" w:type="dxa"/>
          </w:tblCellMar>
        </w:tblPrEx>
        <w:trPr>
          <w:trHeight w:val="610" w:hRule="atLeast"/>
          <w:jc w:val="center"/>
        </w:trPr>
        <w:tc>
          <w:tcPr>
            <w:tcW w:w="641" w:type="dxa"/>
            <w:vMerge w:val="continue"/>
            <w:tcBorders>
              <w:top w:val="single" w:color="auto" w:sz="4" w:space="0"/>
              <w:left w:val="single" w:color="auto" w:sz="4" w:space="0"/>
              <w:bottom w:val="single" w:color="auto" w:sz="4" w:space="0"/>
              <w:right w:val="single" w:color="auto" w:sz="4" w:space="0"/>
            </w:tcBorders>
            <w:noWrap w:val="0"/>
            <w:vAlign w:val="center"/>
          </w:tcPr>
          <w:p w14:paraId="7F182B36">
            <w:pPr>
              <w:widowControl/>
              <w:jc w:val="left"/>
              <w:rPr>
                <w:rFonts w:hint="eastAsia" w:ascii="仿宋" w:hAnsi="仿宋" w:eastAsia="仿宋" w:cs="仿宋"/>
                <w:b/>
                <w:bCs/>
                <w:kern w:val="0"/>
                <w:sz w:val="24"/>
                <w:szCs w:val="24"/>
              </w:rPr>
            </w:pPr>
          </w:p>
        </w:tc>
        <w:tc>
          <w:tcPr>
            <w:tcW w:w="842" w:type="dxa"/>
            <w:gridSpan w:val="2"/>
            <w:vMerge w:val="continue"/>
            <w:tcBorders>
              <w:left w:val="single" w:color="auto" w:sz="4" w:space="0"/>
              <w:bottom w:val="single" w:color="auto" w:sz="4" w:space="0"/>
              <w:right w:val="single" w:color="auto" w:sz="4" w:space="0"/>
            </w:tcBorders>
            <w:noWrap w:val="0"/>
            <w:vAlign w:val="center"/>
          </w:tcPr>
          <w:p w14:paraId="6A179A5D">
            <w:pPr>
              <w:widowControl/>
              <w:jc w:val="left"/>
              <w:rPr>
                <w:rFonts w:hint="eastAsia" w:ascii="仿宋" w:hAnsi="仿宋" w:eastAsia="仿宋" w:cs="仿宋"/>
                <w:sz w:val="24"/>
                <w:szCs w:val="24"/>
              </w:rPr>
            </w:pPr>
          </w:p>
        </w:tc>
        <w:tc>
          <w:tcPr>
            <w:tcW w:w="3865" w:type="dxa"/>
            <w:tcBorders>
              <w:top w:val="single" w:color="auto" w:sz="4" w:space="0"/>
              <w:left w:val="nil"/>
              <w:bottom w:val="single" w:color="auto" w:sz="4" w:space="0"/>
              <w:right w:val="single" w:color="auto" w:sz="4" w:space="0"/>
            </w:tcBorders>
            <w:noWrap w:val="0"/>
            <w:vAlign w:val="center"/>
          </w:tcPr>
          <w:p w14:paraId="143DD5CB">
            <w:pPr>
              <w:widowControl/>
              <w:rPr>
                <w:rFonts w:hint="eastAsia" w:ascii="仿宋" w:hAnsi="仿宋" w:eastAsia="仿宋" w:cs="仿宋"/>
                <w:kern w:val="0"/>
                <w:sz w:val="24"/>
                <w:szCs w:val="24"/>
              </w:rPr>
            </w:pPr>
            <w:r>
              <w:rPr>
                <w:rFonts w:hint="eastAsia" w:ascii="仿宋" w:hAnsi="仿宋" w:eastAsia="仿宋" w:cs="仿宋"/>
                <w:kern w:val="0"/>
                <w:sz w:val="24"/>
                <w:szCs w:val="24"/>
              </w:rPr>
              <w:t>2.管理服务范围内不发生重大火灾责任事故。</w:t>
            </w:r>
          </w:p>
        </w:tc>
        <w:tc>
          <w:tcPr>
            <w:tcW w:w="1412" w:type="dxa"/>
            <w:vMerge w:val="continue"/>
            <w:tcBorders>
              <w:left w:val="single" w:color="auto" w:sz="4" w:space="0"/>
              <w:bottom w:val="single" w:color="auto" w:sz="4" w:space="0"/>
              <w:right w:val="single" w:color="auto" w:sz="4" w:space="0"/>
            </w:tcBorders>
            <w:noWrap w:val="0"/>
            <w:vAlign w:val="center"/>
          </w:tcPr>
          <w:p w14:paraId="617E758B">
            <w:pPr>
              <w:widowControl/>
              <w:jc w:val="left"/>
              <w:rPr>
                <w:rFonts w:hint="eastAsia" w:ascii="仿宋" w:hAnsi="仿宋" w:eastAsia="仿宋" w:cs="仿宋"/>
                <w:b/>
                <w:bCs/>
                <w:kern w:val="0"/>
                <w:sz w:val="24"/>
                <w:szCs w:val="24"/>
              </w:rPr>
            </w:pPr>
          </w:p>
        </w:tc>
        <w:tc>
          <w:tcPr>
            <w:tcW w:w="2035" w:type="dxa"/>
            <w:gridSpan w:val="2"/>
            <w:vMerge w:val="continue"/>
            <w:tcBorders>
              <w:left w:val="nil"/>
              <w:bottom w:val="single" w:color="auto" w:sz="4" w:space="0"/>
              <w:right w:val="single" w:color="auto" w:sz="4" w:space="0"/>
            </w:tcBorders>
            <w:noWrap w:val="0"/>
            <w:vAlign w:val="center"/>
          </w:tcPr>
          <w:p w14:paraId="18AE0232">
            <w:pPr>
              <w:widowControl/>
              <w:jc w:val="left"/>
              <w:rPr>
                <w:rFonts w:hint="eastAsia" w:ascii="仿宋" w:hAnsi="仿宋" w:eastAsia="仿宋" w:cs="仿宋"/>
                <w:kern w:val="0"/>
                <w:sz w:val="24"/>
                <w:szCs w:val="24"/>
              </w:rPr>
            </w:pPr>
          </w:p>
        </w:tc>
      </w:tr>
      <w:tr w14:paraId="5CDDEA5A">
        <w:tblPrEx>
          <w:tblCellMar>
            <w:top w:w="0" w:type="dxa"/>
            <w:left w:w="108" w:type="dxa"/>
            <w:bottom w:w="0" w:type="dxa"/>
            <w:right w:w="108" w:type="dxa"/>
          </w:tblCellMar>
        </w:tblPrEx>
        <w:trPr>
          <w:trHeight w:val="660" w:hRule="atLeast"/>
          <w:jc w:val="center"/>
        </w:trPr>
        <w:tc>
          <w:tcPr>
            <w:tcW w:w="5348" w:type="dxa"/>
            <w:gridSpan w:val="4"/>
            <w:tcBorders>
              <w:top w:val="single" w:color="auto" w:sz="4" w:space="0"/>
              <w:left w:val="single" w:color="auto" w:sz="4" w:space="0"/>
              <w:bottom w:val="single" w:color="auto" w:sz="4" w:space="0"/>
              <w:right w:val="single" w:color="auto" w:sz="4" w:space="0"/>
            </w:tcBorders>
            <w:noWrap w:val="0"/>
            <w:vAlign w:val="center"/>
          </w:tcPr>
          <w:p w14:paraId="7CEE20A2">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满分值</w:t>
            </w:r>
          </w:p>
        </w:tc>
        <w:tc>
          <w:tcPr>
            <w:tcW w:w="1412" w:type="dxa"/>
            <w:tcBorders>
              <w:top w:val="nil"/>
              <w:left w:val="nil"/>
              <w:bottom w:val="single" w:color="auto" w:sz="4" w:space="0"/>
              <w:right w:val="single" w:color="auto" w:sz="4" w:space="0"/>
            </w:tcBorders>
            <w:noWrap w:val="0"/>
            <w:vAlign w:val="center"/>
          </w:tcPr>
          <w:p w14:paraId="1E97F588">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100分</w:t>
            </w:r>
          </w:p>
        </w:tc>
        <w:tc>
          <w:tcPr>
            <w:tcW w:w="837" w:type="dxa"/>
            <w:tcBorders>
              <w:top w:val="nil"/>
              <w:left w:val="nil"/>
              <w:bottom w:val="single" w:color="auto" w:sz="4" w:space="0"/>
              <w:right w:val="single" w:color="auto" w:sz="4" w:space="0"/>
            </w:tcBorders>
            <w:noWrap w:val="0"/>
            <w:vAlign w:val="center"/>
          </w:tcPr>
          <w:p w14:paraId="1F48E965">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198" w:type="dxa"/>
            <w:tcBorders>
              <w:top w:val="nil"/>
              <w:left w:val="nil"/>
              <w:bottom w:val="single" w:color="auto" w:sz="4" w:space="0"/>
              <w:right w:val="single" w:color="auto" w:sz="4" w:space="0"/>
            </w:tcBorders>
            <w:noWrap w:val="0"/>
            <w:vAlign w:val="center"/>
          </w:tcPr>
          <w:p w14:paraId="4678DCB4">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1C58B5B2">
        <w:tblPrEx>
          <w:tblCellMar>
            <w:top w:w="0" w:type="dxa"/>
            <w:left w:w="108" w:type="dxa"/>
            <w:bottom w:w="0" w:type="dxa"/>
            <w:right w:w="108" w:type="dxa"/>
          </w:tblCellMar>
        </w:tblPrEx>
        <w:trPr>
          <w:trHeight w:val="660" w:hRule="atLeast"/>
          <w:jc w:val="center"/>
        </w:trPr>
        <w:tc>
          <w:tcPr>
            <w:tcW w:w="10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15DED43">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加分项</w:t>
            </w:r>
          </w:p>
        </w:tc>
        <w:tc>
          <w:tcPr>
            <w:tcW w:w="4294" w:type="dxa"/>
            <w:gridSpan w:val="2"/>
            <w:vMerge w:val="restart"/>
            <w:tcBorders>
              <w:top w:val="nil"/>
              <w:left w:val="single" w:color="auto" w:sz="4" w:space="0"/>
              <w:bottom w:val="single" w:color="auto" w:sz="4" w:space="0"/>
              <w:right w:val="single" w:color="auto" w:sz="4" w:space="0"/>
            </w:tcBorders>
            <w:noWrap w:val="0"/>
            <w:vAlign w:val="center"/>
          </w:tcPr>
          <w:p w14:paraId="14FD381F">
            <w:pPr>
              <w:widowControl/>
              <w:spacing w:line="400" w:lineRule="exact"/>
              <w:jc w:val="left"/>
              <w:rPr>
                <w:rFonts w:hint="eastAsia" w:ascii="仿宋" w:hAnsi="仿宋" w:eastAsia="仿宋" w:cs="仿宋"/>
                <w:sz w:val="24"/>
                <w:szCs w:val="24"/>
              </w:rPr>
            </w:pPr>
            <w:r>
              <w:rPr>
                <w:rFonts w:hint="eastAsia" w:ascii="仿宋" w:hAnsi="仿宋" w:eastAsia="仿宋" w:cs="仿宋"/>
                <w:kern w:val="0"/>
                <w:sz w:val="24"/>
                <w:szCs w:val="24"/>
              </w:rPr>
              <w:t>（</w:t>
            </w:r>
            <w:r>
              <w:rPr>
                <w:rFonts w:hint="eastAsia" w:ascii="仿宋" w:hAnsi="仿宋" w:eastAsia="仿宋" w:cs="仿宋"/>
                <w:sz w:val="24"/>
                <w:szCs w:val="24"/>
              </w:rPr>
              <w:t>1）受到学</w:t>
            </w:r>
            <w:r>
              <w:rPr>
                <w:rFonts w:hint="eastAsia" w:ascii="仿宋" w:hAnsi="仿宋" w:eastAsia="仿宋" w:cs="仿宋"/>
                <w:sz w:val="24"/>
                <w:szCs w:val="24"/>
                <w:lang w:val="en-US" w:eastAsia="zh-CN"/>
              </w:rPr>
              <w:t>生</w:t>
            </w:r>
            <w:r>
              <w:rPr>
                <w:rFonts w:hint="eastAsia" w:ascii="仿宋" w:hAnsi="仿宋" w:eastAsia="仿宋" w:cs="仿宋"/>
                <w:sz w:val="24"/>
                <w:szCs w:val="24"/>
              </w:rPr>
              <w:t>、教职工或其他客人书面表扬的，每有1项加0.5分。</w:t>
            </w:r>
          </w:p>
          <w:p w14:paraId="1C2F28E0">
            <w:pPr>
              <w:widowControl/>
              <w:spacing w:line="400" w:lineRule="exact"/>
              <w:jc w:val="left"/>
              <w:rPr>
                <w:rFonts w:hint="eastAsia" w:ascii="仿宋" w:hAnsi="仿宋" w:eastAsia="仿宋" w:cs="仿宋"/>
                <w:sz w:val="24"/>
                <w:szCs w:val="24"/>
              </w:rPr>
            </w:pPr>
            <w:r>
              <w:rPr>
                <w:rFonts w:hint="eastAsia" w:ascii="仿宋" w:hAnsi="仿宋" w:eastAsia="仿宋" w:cs="仿宋"/>
                <w:sz w:val="24"/>
                <w:szCs w:val="24"/>
              </w:rPr>
              <w:t>（2）受到后勤服务中心表扬的，每有1项加1分。</w:t>
            </w:r>
          </w:p>
          <w:p w14:paraId="1DA00B94">
            <w:pPr>
              <w:widowControl/>
              <w:spacing w:line="400" w:lineRule="exact"/>
              <w:jc w:val="left"/>
              <w:rPr>
                <w:rFonts w:hint="eastAsia" w:ascii="仿宋" w:hAnsi="仿宋" w:eastAsia="仿宋" w:cs="仿宋"/>
                <w:sz w:val="24"/>
                <w:szCs w:val="24"/>
              </w:rPr>
            </w:pPr>
            <w:r>
              <w:rPr>
                <w:rFonts w:hint="eastAsia" w:ascii="仿宋" w:hAnsi="仿宋" w:eastAsia="仿宋" w:cs="仿宋"/>
                <w:sz w:val="24"/>
                <w:szCs w:val="24"/>
              </w:rPr>
              <w:t>（3）受到学校表扬的，每有1项加2分。</w:t>
            </w:r>
          </w:p>
          <w:p w14:paraId="070D5275">
            <w:pPr>
              <w:widowControl/>
              <w:jc w:val="left"/>
              <w:rPr>
                <w:rFonts w:hint="eastAsia" w:ascii="仿宋" w:hAnsi="仿宋" w:eastAsia="仿宋" w:cs="仿宋"/>
                <w:sz w:val="24"/>
                <w:szCs w:val="24"/>
              </w:rPr>
            </w:pPr>
            <w:r>
              <w:rPr>
                <w:rFonts w:hint="eastAsia" w:ascii="仿宋" w:hAnsi="仿宋" w:eastAsia="仿宋" w:cs="仿宋"/>
                <w:sz w:val="24"/>
                <w:szCs w:val="24"/>
              </w:rPr>
              <w:t>（4）受到学校上级部门表扬的，每有1项加3分</w:t>
            </w:r>
          </w:p>
        </w:tc>
        <w:tc>
          <w:tcPr>
            <w:tcW w:w="1412" w:type="dxa"/>
            <w:vMerge w:val="restart"/>
            <w:tcBorders>
              <w:top w:val="nil"/>
              <w:left w:val="single" w:color="auto" w:sz="4" w:space="0"/>
              <w:bottom w:val="single" w:color="auto" w:sz="4" w:space="0"/>
              <w:right w:val="single" w:color="auto" w:sz="4" w:space="0"/>
            </w:tcBorders>
            <w:noWrap w:val="0"/>
            <w:vAlign w:val="center"/>
          </w:tcPr>
          <w:p w14:paraId="0BE870EF">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w:t>
            </w:r>
          </w:p>
        </w:tc>
        <w:tc>
          <w:tcPr>
            <w:tcW w:w="837" w:type="dxa"/>
            <w:vMerge w:val="restart"/>
            <w:tcBorders>
              <w:top w:val="nil"/>
              <w:left w:val="single" w:color="auto" w:sz="4" w:space="0"/>
              <w:bottom w:val="single" w:color="auto" w:sz="4" w:space="0"/>
              <w:right w:val="single" w:color="auto" w:sz="4" w:space="0"/>
            </w:tcBorders>
            <w:noWrap w:val="0"/>
            <w:vAlign w:val="center"/>
          </w:tcPr>
          <w:p w14:paraId="23DB2981">
            <w:pPr>
              <w:widowControl/>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　</w:t>
            </w:r>
          </w:p>
        </w:tc>
        <w:tc>
          <w:tcPr>
            <w:tcW w:w="1198" w:type="dxa"/>
            <w:vMerge w:val="restart"/>
            <w:tcBorders>
              <w:top w:val="nil"/>
              <w:left w:val="single" w:color="auto" w:sz="4" w:space="0"/>
              <w:bottom w:val="single" w:color="auto" w:sz="4" w:space="0"/>
              <w:right w:val="single" w:color="auto" w:sz="4" w:space="0"/>
            </w:tcBorders>
            <w:noWrap w:val="0"/>
            <w:vAlign w:val="center"/>
          </w:tcPr>
          <w:p w14:paraId="421E72DB">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3F3F91E6">
        <w:tblPrEx>
          <w:tblCellMar>
            <w:top w:w="0" w:type="dxa"/>
            <w:left w:w="108" w:type="dxa"/>
            <w:bottom w:w="0" w:type="dxa"/>
            <w:right w:w="108" w:type="dxa"/>
          </w:tblCellMar>
        </w:tblPrEx>
        <w:trPr>
          <w:trHeight w:val="660" w:hRule="atLeast"/>
          <w:jc w:val="center"/>
        </w:trPr>
        <w:tc>
          <w:tcPr>
            <w:tcW w:w="10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E0E2D7">
            <w:pPr>
              <w:widowControl/>
              <w:jc w:val="center"/>
              <w:rPr>
                <w:rFonts w:hint="eastAsia" w:ascii="仿宋" w:hAnsi="仿宋" w:eastAsia="仿宋" w:cs="仿宋"/>
                <w:b/>
                <w:bCs/>
                <w:kern w:val="0"/>
                <w:sz w:val="24"/>
                <w:szCs w:val="24"/>
              </w:rPr>
            </w:pPr>
          </w:p>
        </w:tc>
        <w:tc>
          <w:tcPr>
            <w:tcW w:w="4294" w:type="dxa"/>
            <w:gridSpan w:val="2"/>
            <w:vMerge w:val="continue"/>
            <w:tcBorders>
              <w:top w:val="nil"/>
              <w:left w:val="single" w:color="auto" w:sz="4" w:space="0"/>
              <w:bottom w:val="single" w:color="auto" w:sz="4" w:space="0"/>
              <w:right w:val="single" w:color="auto" w:sz="4" w:space="0"/>
            </w:tcBorders>
            <w:noWrap w:val="0"/>
            <w:vAlign w:val="center"/>
          </w:tcPr>
          <w:p w14:paraId="0F026AC9">
            <w:pPr>
              <w:widowControl/>
              <w:spacing w:line="400" w:lineRule="exact"/>
              <w:jc w:val="left"/>
              <w:rPr>
                <w:rFonts w:hint="eastAsia" w:ascii="仿宋" w:hAnsi="仿宋" w:eastAsia="仿宋" w:cs="仿宋"/>
                <w:kern w:val="0"/>
                <w:sz w:val="24"/>
                <w:szCs w:val="24"/>
              </w:rPr>
            </w:pPr>
          </w:p>
        </w:tc>
        <w:tc>
          <w:tcPr>
            <w:tcW w:w="1412" w:type="dxa"/>
            <w:vMerge w:val="continue"/>
            <w:tcBorders>
              <w:top w:val="nil"/>
              <w:left w:val="single" w:color="auto" w:sz="4" w:space="0"/>
              <w:bottom w:val="single" w:color="auto" w:sz="4" w:space="0"/>
              <w:right w:val="single" w:color="auto" w:sz="4" w:space="0"/>
            </w:tcBorders>
            <w:noWrap w:val="0"/>
            <w:vAlign w:val="center"/>
          </w:tcPr>
          <w:p w14:paraId="0E595CEB">
            <w:pPr>
              <w:widowControl/>
              <w:jc w:val="center"/>
              <w:rPr>
                <w:rFonts w:hint="eastAsia" w:ascii="仿宋" w:hAnsi="仿宋" w:eastAsia="仿宋" w:cs="仿宋"/>
                <w:b/>
                <w:bCs/>
                <w:kern w:val="0"/>
                <w:sz w:val="24"/>
                <w:szCs w:val="24"/>
              </w:rPr>
            </w:pPr>
          </w:p>
        </w:tc>
        <w:tc>
          <w:tcPr>
            <w:tcW w:w="837" w:type="dxa"/>
            <w:vMerge w:val="continue"/>
            <w:tcBorders>
              <w:top w:val="nil"/>
              <w:left w:val="single" w:color="auto" w:sz="4" w:space="0"/>
              <w:bottom w:val="single" w:color="auto" w:sz="4" w:space="0"/>
              <w:right w:val="single" w:color="auto" w:sz="4" w:space="0"/>
            </w:tcBorders>
            <w:noWrap w:val="0"/>
            <w:vAlign w:val="center"/>
          </w:tcPr>
          <w:p w14:paraId="252AABC5">
            <w:pPr>
              <w:widowControl/>
              <w:jc w:val="left"/>
              <w:rPr>
                <w:rFonts w:hint="eastAsia" w:ascii="仿宋" w:hAnsi="仿宋" w:eastAsia="仿宋" w:cs="仿宋"/>
                <w:b/>
                <w:bCs/>
                <w:kern w:val="0"/>
                <w:sz w:val="24"/>
                <w:szCs w:val="24"/>
              </w:rPr>
            </w:pPr>
          </w:p>
        </w:tc>
        <w:tc>
          <w:tcPr>
            <w:tcW w:w="1198" w:type="dxa"/>
            <w:vMerge w:val="continue"/>
            <w:tcBorders>
              <w:top w:val="nil"/>
              <w:left w:val="single" w:color="auto" w:sz="4" w:space="0"/>
              <w:bottom w:val="single" w:color="auto" w:sz="4" w:space="0"/>
              <w:right w:val="single" w:color="auto" w:sz="4" w:space="0"/>
            </w:tcBorders>
            <w:noWrap w:val="0"/>
            <w:vAlign w:val="center"/>
          </w:tcPr>
          <w:p w14:paraId="2C040F7A">
            <w:pPr>
              <w:widowControl/>
              <w:jc w:val="left"/>
              <w:rPr>
                <w:rFonts w:hint="eastAsia" w:ascii="仿宋" w:hAnsi="仿宋" w:eastAsia="仿宋" w:cs="仿宋"/>
                <w:kern w:val="0"/>
                <w:sz w:val="24"/>
                <w:szCs w:val="24"/>
              </w:rPr>
            </w:pPr>
          </w:p>
        </w:tc>
      </w:tr>
      <w:tr w14:paraId="7B171CBE">
        <w:tblPrEx>
          <w:tblCellMar>
            <w:top w:w="0" w:type="dxa"/>
            <w:left w:w="108" w:type="dxa"/>
            <w:bottom w:w="0" w:type="dxa"/>
            <w:right w:w="108" w:type="dxa"/>
          </w:tblCellMar>
        </w:tblPrEx>
        <w:trPr>
          <w:trHeight w:val="578" w:hRule="atLeast"/>
          <w:jc w:val="center"/>
        </w:trPr>
        <w:tc>
          <w:tcPr>
            <w:tcW w:w="10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EC8A25">
            <w:pPr>
              <w:widowControl/>
              <w:jc w:val="left"/>
              <w:rPr>
                <w:rFonts w:hint="eastAsia" w:ascii="仿宋" w:hAnsi="仿宋" w:eastAsia="仿宋" w:cs="仿宋"/>
                <w:b/>
                <w:bCs/>
                <w:kern w:val="0"/>
                <w:sz w:val="24"/>
                <w:szCs w:val="24"/>
              </w:rPr>
            </w:pPr>
          </w:p>
        </w:tc>
        <w:tc>
          <w:tcPr>
            <w:tcW w:w="4294" w:type="dxa"/>
            <w:gridSpan w:val="2"/>
            <w:vMerge w:val="continue"/>
            <w:tcBorders>
              <w:top w:val="nil"/>
              <w:left w:val="single" w:color="auto" w:sz="4" w:space="0"/>
              <w:bottom w:val="single" w:color="auto" w:sz="4" w:space="0"/>
              <w:right w:val="single" w:color="auto" w:sz="4" w:space="0"/>
            </w:tcBorders>
            <w:noWrap w:val="0"/>
            <w:vAlign w:val="center"/>
          </w:tcPr>
          <w:p w14:paraId="07A0AB1C">
            <w:pPr>
              <w:widowControl/>
              <w:jc w:val="left"/>
              <w:rPr>
                <w:rFonts w:hint="eastAsia" w:ascii="仿宋" w:hAnsi="仿宋" w:eastAsia="仿宋" w:cs="仿宋"/>
                <w:kern w:val="0"/>
                <w:sz w:val="24"/>
                <w:szCs w:val="24"/>
              </w:rPr>
            </w:pPr>
          </w:p>
        </w:tc>
        <w:tc>
          <w:tcPr>
            <w:tcW w:w="1412" w:type="dxa"/>
            <w:vMerge w:val="continue"/>
            <w:tcBorders>
              <w:top w:val="nil"/>
              <w:left w:val="single" w:color="auto" w:sz="4" w:space="0"/>
              <w:bottom w:val="single" w:color="auto" w:sz="4" w:space="0"/>
              <w:right w:val="single" w:color="auto" w:sz="4" w:space="0"/>
            </w:tcBorders>
            <w:noWrap w:val="0"/>
            <w:vAlign w:val="center"/>
          </w:tcPr>
          <w:p w14:paraId="41AE8FB0">
            <w:pPr>
              <w:widowControl/>
              <w:jc w:val="left"/>
              <w:rPr>
                <w:rFonts w:hint="eastAsia" w:ascii="仿宋" w:hAnsi="仿宋" w:eastAsia="仿宋" w:cs="仿宋"/>
                <w:b/>
                <w:bCs/>
                <w:kern w:val="0"/>
                <w:sz w:val="24"/>
                <w:szCs w:val="24"/>
              </w:rPr>
            </w:pPr>
          </w:p>
        </w:tc>
        <w:tc>
          <w:tcPr>
            <w:tcW w:w="837" w:type="dxa"/>
            <w:vMerge w:val="continue"/>
            <w:tcBorders>
              <w:top w:val="nil"/>
              <w:left w:val="single" w:color="auto" w:sz="4" w:space="0"/>
              <w:bottom w:val="single" w:color="auto" w:sz="4" w:space="0"/>
              <w:right w:val="single" w:color="auto" w:sz="4" w:space="0"/>
            </w:tcBorders>
            <w:noWrap w:val="0"/>
            <w:vAlign w:val="center"/>
          </w:tcPr>
          <w:p w14:paraId="2F53015E">
            <w:pPr>
              <w:widowControl/>
              <w:jc w:val="left"/>
              <w:rPr>
                <w:rFonts w:hint="eastAsia" w:ascii="仿宋" w:hAnsi="仿宋" w:eastAsia="仿宋" w:cs="仿宋"/>
                <w:b/>
                <w:bCs/>
                <w:kern w:val="0"/>
                <w:sz w:val="24"/>
                <w:szCs w:val="24"/>
              </w:rPr>
            </w:pPr>
          </w:p>
        </w:tc>
        <w:tc>
          <w:tcPr>
            <w:tcW w:w="1198" w:type="dxa"/>
            <w:vMerge w:val="continue"/>
            <w:tcBorders>
              <w:top w:val="nil"/>
              <w:left w:val="single" w:color="auto" w:sz="4" w:space="0"/>
              <w:bottom w:val="single" w:color="auto" w:sz="4" w:space="0"/>
              <w:right w:val="single" w:color="auto" w:sz="4" w:space="0"/>
            </w:tcBorders>
            <w:noWrap w:val="0"/>
            <w:vAlign w:val="center"/>
          </w:tcPr>
          <w:p w14:paraId="5F535503">
            <w:pPr>
              <w:widowControl/>
              <w:jc w:val="left"/>
              <w:rPr>
                <w:rFonts w:hint="eastAsia" w:ascii="仿宋" w:hAnsi="仿宋" w:eastAsia="仿宋" w:cs="仿宋"/>
                <w:kern w:val="0"/>
                <w:sz w:val="24"/>
                <w:szCs w:val="24"/>
              </w:rPr>
            </w:pPr>
          </w:p>
        </w:tc>
      </w:tr>
      <w:tr w14:paraId="085BE11A">
        <w:tblPrEx>
          <w:tblCellMar>
            <w:top w:w="0" w:type="dxa"/>
            <w:left w:w="108" w:type="dxa"/>
            <w:bottom w:w="0" w:type="dxa"/>
            <w:right w:w="108" w:type="dxa"/>
          </w:tblCellMar>
        </w:tblPrEx>
        <w:trPr>
          <w:trHeight w:val="658" w:hRule="atLeast"/>
          <w:jc w:val="center"/>
        </w:trPr>
        <w:tc>
          <w:tcPr>
            <w:tcW w:w="1054" w:type="dxa"/>
            <w:gridSpan w:val="2"/>
            <w:tcBorders>
              <w:top w:val="single" w:color="auto" w:sz="4" w:space="0"/>
              <w:left w:val="single" w:color="auto" w:sz="4" w:space="0"/>
              <w:bottom w:val="single" w:color="auto" w:sz="4" w:space="0"/>
              <w:right w:val="single" w:color="auto" w:sz="4" w:space="0"/>
            </w:tcBorders>
            <w:noWrap w:val="0"/>
            <w:vAlign w:val="center"/>
          </w:tcPr>
          <w:p w14:paraId="03BD2ECD">
            <w:pPr>
              <w:jc w:val="left"/>
              <w:rPr>
                <w:rFonts w:hint="eastAsia" w:ascii="仿宋" w:hAnsi="仿宋" w:eastAsia="仿宋" w:cs="仿宋"/>
                <w:b/>
                <w:bCs/>
                <w:kern w:val="0"/>
                <w:sz w:val="24"/>
                <w:szCs w:val="24"/>
              </w:rPr>
            </w:pPr>
          </w:p>
        </w:tc>
        <w:tc>
          <w:tcPr>
            <w:tcW w:w="4294" w:type="dxa"/>
            <w:gridSpan w:val="2"/>
            <w:tcBorders>
              <w:top w:val="single" w:color="auto" w:sz="4" w:space="0"/>
              <w:left w:val="single" w:color="auto" w:sz="4" w:space="0"/>
              <w:bottom w:val="single" w:color="auto" w:sz="4" w:space="0"/>
              <w:right w:val="single" w:color="auto" w:sz="4" w:space="0"/>
            </w:tcBorders>
            <w:noWrap w:val="0"/>
            <w:vAlign w:val="center"/>
          </w:tcPr>
          <w:p w14:paraId="2271C719">
            <w:pPr>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本项得分</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4B1400E">
            <w:pPr>
              <w:jc w:val="left"/>
              <w:rPr>
                <w:rFonts w:hint="eastAsia" w:ascii="仿宋" w:hAnsi="仿宋" w:eastAsia="仿宋" w:cs="仿宋"/>
                <w:b/>
                <w:bCs/>
                <w:kern w:val="0"/>
                <w:sz w:val="24"/>
                <w:szCs w:val="24"/>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25C69014">
            <w:pPr>
              <w:jc w:val="left"/>
              <w:rPr>
                <w:rFonts w:hint="eastAsia" w:ascii="仿宋" w:hAnsi="仿宋" w:eastAsia="仿宋" w:cs="仿宋"/>
                <w:b/>
                <w:bCs/>
                <w:kern w:val="0"/>
                <w:sz w:val="24"/>
                <w:szCs w:val="24"/>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123E397B">
            <w:pPr>
              <w:jc w:val="left"/>
              <w:rPr>
                <w:rFonts w:hint="eastAsia" w:ascii="仿宋" w:hAnsi="仿宋" w:eastAsia="仿宋" w:cs="仿宋"/>
                <w:kern w:val="0"/>
                <w:sz w:val="24"/>
                <w:szCs w:val="24"/>
              </w:rPr>
            </w:pPr>
          </w:p>
        </w:tc>
      </w:tr>
      <w:tr w14:paraId="23B69141">
        <w:tblPrEx>
          <w:tblCellMar>
            <w:top w:w="0" w:type="dxa"/>
            <w:left w:w="108" w:type="dxa"/>
            <w:bottom w:w="0" w:type="dxa"/>
            <w:right w:w="108" w:type="dxa"/>
          </w:tblCellMar>
        </w:tblPrEx>
        <w:trPr>
          <w:trHeight w:val="425" w:hRule="atLeast"/>
          <w:jc w:val="center"/>
        </w:trPr>
        <w:tc>
          <w:tcPr>
            <w:tcW w:w="8795" w:type="dxa"/>
            <w:gridSpan w:val="7"/>
            <w:tcBorders>
              <w:top w:val="nil"/>
              <w:left w:val="nil"/>
              <w:bottom w:val="nil"/>
              <w:right w:val="nil"/>
            </w:tcBorders>
            <w:noWrap w:val="0"/>
            <w:vAlign w:val="center"/>
          </w:tcPr>
          <w:p w14:paraId="5C89EA80">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 xml:space="preserve">                                   </w:t>
            </w:r>
            <w:r>
              <w:rPr>
                <w:rFonts w:hint="eastAsia" w:ascii="仿宋" w:hAnsi="仿宋" w:eastAsia="仿宋" w:cs="仿宋"/>
                <w:b/>
                <w:bCs/>
                <w:kern w:val="0"/>
                <w:sz w:val="24"/>
                <w:szCs w:val="24"/>
              </w:rPr>
              <w:t xml:space="preserve">监管小组签名：     </w:t>
            </w:r>
          </w:p>
        </w:tc>
      </w:tr>
    </w:tbl>
    <w:p w14:paraId="04F8BE0D">
      <w:pPr>
        <w:spacing w:line="4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备注：</w:t>
      </w:r>
    </w:p>
    <w:p w14:paraId="609646E9">
      <w:pPr>
        <w:spacing w:line="4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1、此表内容在实际运行过程中，经</w:t>
      </w:r>
      <w:r>
        <w:rPr>
          <w:rFonts w:hint="eastAsia" w:ascii="仿宋" w:hAnsi="仿宋" w:eastAsia="仿宋" w:cs="仿宋"/>
          <w:sz w:val="24"/>
          <w:szCs w:val="24"/>
          <w:lang w:val="en-US" w:eastAsia="zh-CN"/>
        </w:rPr>
        <w:t>采购人</w:t>
      </w:r>
      <w:r>
        <w:rPr>
          <w:rFonts w:hint="eastAsia" w:ascii="仿宋" w:hAnsi="仿宋" w:eastAsia="仿宋" w:cs="仿宋"/>
          <w:sz w:val="24"/>
          <w:szCs w:val="24"/>
        </w:rPr>
        <w:t>同意可进一步修改完善。</w:t>
      </w:r>
    </w:p>
    <w:p w14:paraId="7FDE18BF">
      <w:pPr>
        <w:spacing w:line="4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2、服务标准中属于招标人硬件原因且及时报修的，不予扣分。</w:t>
      </w:r>
    </w:p>
    <w:p w14:paraId="6B90F2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6" w:firstLineChars="200"/>
        <w:textAlignment w:val="auto"/>
        <w:outlineLvl w:val="1"/>
        <w:rPr>
          <w:rFonts w:hint="eastAsia" w:ascii="仿宋" w:hAnsi="仿宋" w:eastAsia="仿宋" w:cs="仿宋"/>
          <w:b/>
          <w:bCs/>
          <w:sz w:val="22"/>
          <w:szCs w:val="22"/>
          <w:lang w:val="en-US" w:eastAsia="zh-CN"/>
        </w:rPr>
      </w:pPr>
      <w:r>
        <w:rPr>
          <w:rFonts w:hint="eastAsia" w:ascii="仿宋" w:hAnsi="仿宋" w:eastAsia="仿宋" w:cs="仿宋"/>
          <w:sz w:val="24"/>
          <w:szCs w:val="24"/>
        </w:rPr>
        <w:t>3、总分超过100分时，按100分计。</w:t>
      </w:r>
    </w:p>
    <w:p w14:paraId="0B9E7B87">
      <w:pPr>
        <w:rPr>
          <w:rFonts w:hint="eastAsia" w:ascii="仿宋" w:hAnsi="仿宋" w:eastAsia="仿宋" w:cs="仿宋"/>
          <w:b/>
          <w:bCs/>
          <w:highlight w:val="none"/>
          <w:lang w:val="en-US" w:eastAsia="zh-CN"/>
        </w:rPr>
        <w:sectPr>
          <w:headerReference r:id="rId7" w:type="default"/>
          <w:footerReference r:id="rId8" w:type="default"/>
          <w:pgSz w:w="11906" w:h="16838"/>
          <w:pgMar w:top="1417" w:right="1417" w:bottom="1417" w:left="1417" w:header="850" w:footer="794" w:gutter="0"/>
          <w:pgNumType w:fmt="decimal" w:start="1" w:chapStyle="1"/>
          <w:cols w:space="720" w:num="1"/>
          <w:docGrid w:type="linesAndChars" w:linePitch="381" w:charSpace="704"/>
        </w:sectPr>
      </w:pPr>
      <w:bookmarkStart w:id="453" w:name="_GoBack"/>
      <w:bookmarkEnd w:id="453"/>
    </w:p>
    <w:p w14:paraId="0DB2930B">
      <w:pPr>
        <w:pStyle w:val="3"/>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第五章  合同基本条款</w:t>
      </w:r>
      <w:bookmarkEnd w:id="248"/>
      <w:bookmarkEnd w:id="249"/>
      <w:bookmarkEnd w:id="250"/>
      <w:bookmarkEnd w:id="251"/>
      <w:bookmarkEnd w:id="252"/>
    </w:p>
    <w:p w14:paraId="4C03DFC9">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254" w:name="_Toc25553"/>
      <w:bookmarkStart w:id="255" w:name="_Toc14082139"/>
      <w:bookmarkStart w:id="256" w:name="_Toc4166"/>
      <w:bookmarkStart w:id="257" w:name="_Toc35871572"/>
      <w:bookmarkStart w:id="258" w:name="_Toc8274"/>
      <w:bookmarkStart w:id="259" w:name="_Toc9085"/>
      <w:bookmarkStart w:id="260" w:name="_Toc8760"/>
      <w:bookmarkStart w:id="261" w:name="_Toc4288"/>
      <w:bookmarkStart w:id="262" w:name="_Toc23541"/>
      <w:bookmarkStart w:id="263" w:name="_Toc12594"/>
      <w:bookmarkStart w:id="264" w:name="_Toc30955"/>
      <w:r>
        <w:rPr>
          <w:rFonts w:hint="eastAsia" w:ascii="仿宋" w:hAnsi="仿宋" w:eastAsia="仿宋" w:cs="仿宋"/>
          <w:color w:val="000000" w:themeColor="text1"/>
          <w:sz w:val="28"/>
          <w:szCs w:val="28"/>
          <w:highlight w:val="none"/>
          <w14:textFill>
            <w14:solidFill>
              <w14:schemeClr w14:val="tx1"/>
            </w14:solidFill>
          </w14:textFill>
        </w:rPr>
        <w:t>一、服务条件</w:t>
      </w:r>
      <w:bookmarkEnd w:id="254"/>
      <w:bookmarkEnd w:id="255"/>
      <w:bookmarkEnd w:id="256"/>
      <w:bookmarkEnd w:id="257"/>
      <w:bookmarkEnd w:id="258"/>
      <w:bookmarkEnd w:id="259"/>
      <w:bookmarkEnd w:id="260"/>
    </w:p>
    <w:p w14:paraId="7ABBD8CF">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（一）服务地点：采购人指定地点</w:t>
      </w:r>
    </w:p>
    <w:p w14:paraId="26CFD49F">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（二）服务期：合同签订后</w:t>
      </w:r>
      <w:r>
        <w:rPr>
          <w:rFonts w:hint="eastAsia" w:ascii="仿宋" w:hAnsi="仿宋" w:eastAsia="仿宋" w:cs="仿宋"/>
          <w:highlight w:val="none"/>
          <w:lang w:val="en-US" w:eastAsia="zh-CN"/>
        </w:rPr>
        <w:t>一年</w:t>
      </w:r>
    </w:p>
    <w:p w14:paraId="1CB78685">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根据《财政部关于推进和完善服务项目政府采购有关问题的通知》（财库〔2014〕37号）有关规定，本项目在合同期满前，采购人将对中标人进行考核，根据服务满意程度，采购人有权决定是否续签合同，累计合同履行期限不超过3年。</w:t>
      </w:r>
    </w:p>
    <w:p w14:paraId="13A920F0">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265" w:name="_Toc11302"/>
      <w:bookmarkStart w:id="266" w:name="_Toc21445"/>
      <w:r>
        <w:rPr>
          <w:rFonts w:hint="eastAsia" w:ascii="仿宋" w:hAnsi="仿宋" w:eastAsia="仿宋" w:cs="仿宋"/>
          <w:color w:val="000000" w:themeColor="text1"/>
          <w:sz w:val="28"/>
          <w:szCs w:val="28"/>
          <w:highlight w:val="none"/>
          <w14:textFill>
            <w14:solidFill>
              <w14:schemeClr w14:val="tx1"/>
            </w14:solidFill>
          </w14:textFill>
        </w:rPr>
        <w:t>二、合同价款</w:t>
      </w:r>
      <w:bookmarkEnd w:id="265"/>
      <w:bookmarkEnd w:id="266"/>
    </w:p>
    <w:p w14:paraId="63F2B7DA">
      <w:pPr>
        <w:widowControl w:val="0"/>
        <w:spacing w:line="500" w:lineRule="exact"/>
        <w:ind w:firstLine="566" w:firstLineChars="200"/>
        <w:rPr>
          <w:rFonts w:hint="eastAsia" w:ascii="仿宋" w:hAnsi="仿宋" w:eastAsia="仿宋" w:cs="仿宋"/>
          <w:highlight w:val="none"/>
        </w:rPr>
      </w:pPr>
      <w:bookmarkStart w:id="267" w:name="_Toc22625"/>
      <w:bookmarkStart w:id="268" w:name="_Toc107"/>
      <w:r>
        <w:rPr>
          <w:rFonts w:hint="eastAsia" w:ascii="仿宋" w:hAnsi="仿宋" w:eastAsia="仿宋" w:cs="仿宋"/>
          <w:highlight w:val="none"/>
          <w:lang w:val="en-US" w:eastAsia="zh-CN"/>
        </w:rPr>
        <w:t>（一）</w:t>
      </w:r>
      <w:r>
        <w:rPr>
          <w:rFonts w:hint="eastAsia" w:ascii="仿宋" w:hAnsi="仿宋" w:eastAsia="仿宋" w:cs="仿宋"/>
          <w:highlight w:val="none"/>
        </w:rPr>
        <w:t>合同总价一次性包死，不受市场价格变化因素的影响。</w:t>
      </w:r>
    </w:p>
    <w:p w14:paraId="7FF76B54">
      <w:pPr>
        <w:widowControl w:val="0"/>
        <w:spacing w:line="500" w:lineRule="exact"/>
        <w:ind w:firstLine="566"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（二）因校区搬迁，费用按照实际投入使用时间和面积计算。</w:t>
      </w:r>
    </w:p>
    <w:p w14:paraId="10FCEF81">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三、款项结算</w:t>
      </w:r>
      <w:bookmarkEnd w:id="267"/>
    </w:p>
    <w:p w14:paraId="79AC1D88">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（一）支付方式：银行转账</w:t>
      </w:r>
    </w:p>
    <w:p w14:paraId="60742BA0">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（二）货币单位：人民币</w:t>
      </w:r>
    </w:p>
    <w:p w14:paraId="2087B449">
      <w:pPr>
        <w:widowControl w:val="0"/>
        <w:spacing w:line="500" w:lineRule="exact"/>
        <w:ind w:firstLine="566"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（三）结算方式：</w:t>
      </w:r>
      <w:bookmarkStart w:id="269" w:name="_Toc18191"/>
      <w:bookmarkStart w:id="270" w:name="_Toc23738"/>
      <w:bookmarkStart w:id="271" w:name="_Toc21822"/>
      <w:bookmarkStart w:id="272" w:name="_Toc8934"/>
      <w:bookmarkStart w:id="273" w:name="_Toc16040"/>
      <w:bookmarkStart w:id="274" w:name="_Toc8545"/>
      <w:bookmarkStart w:id="275" w:name="_Toc11640"/>
    </w:p>
    <w:p w14:paraId="2213BB2A">
      <w:pPr>
        <w:pageBreakBefore w:val="0"/>
        <w:widowControl w:val="0"/>
        <w:kinsoku/>
        <w:wordWrap/>
        <w:overflowPunct/>
        <w:topLinePunct w:val="0"/>
        <w:autoSpaceDE/>
        <w:autoSpaceDN/>
        <w:bidi w:val="0"/>
        <w:adjustRightInd/>
        <w:snapToGrid/>
        <w:spacing w:line="480" w:lineRule="exact"/>
        <w:ind w:firstLine="566" w:firstLineChars="200"/>
        <w:textAlignment w:val="auto"/>
        <w:rPr>
          <w:rFonts w:hint="eastAsia" w:ascii="仿宋" w:hAnsi="仿宋" w:eastAsia="仿宋" w:cs="仿宋"/>
          <w:b/>
          <w:bCs/>
          <w:highlight w:val="none"/>
        </w:rPr>
      </w:pPr>
      <w:r>
        <w:rPr>
          <w:rFonts w:hint="eastAsia" w:ascii="仿宋" w:hAnsi="仿宋" w:eastAsia="仿宋" w:cs="仿宋"/>
          <w:highlight w:val="none"/>
          <w:lang w:val="en-US" w:eastAsia="zh-CN"/>
        </w:rPr>
        <w:t>物业</w:t>
      </w:r>
      <w:r>
        <w:rPr>
          <w:rFonts w:hint="eastAsia" w:ascii="仿宋" w:hAnsi="仿宋" w:eastAsia="仿宋" w:cs="仿宋"/>
          <w:highlight w:val="none"/>
        </w:rPr>
        <w:t>服务</w:t>
      </w:r>
      <w:r>
        <w:rPr>
          <w:rFonts w:hint="eastAsia" w:ascii="仿宋" w:hAnsi="仿宋" w:eastAsia="仿宋" w:cs="仿宋"/>
        </w:rPr>
        <w:t>费按月结算。每月末采购人根据考核结果，下一个月</w:t>
      </w:r>
      <w:r>
        <w:rPr>
          <w:rFonts w:hint="eastAsia" w:ascii="仿宋" w:hAnsi="仿宋" w:eastAsia="仿宋" w:cs="仿宋"/>
          <w:lang w:val="en-US" w:eastAsia="zh-CN"/>
        </w:rPr>
        <w:t>10</w:t>
      </w:r>
      <w:r>
        <w:rPr>
          <w:rFonts w:hint="eastAsia" w:ascii="仿宋" w:hAnsi="仿宋" w:eastAsia="仿宋" w:cs="仿宋"/>
        </w:rPr>
        <w:t>日之前（如遇节假日顺延）支付上一月</w:t>
      </w:r>
      <w:r>
        <w:rPr>
          <w:rFonts w:hint="eastAsia" w:ascii="仿宋" w:hAnsi="仿宋" w:eastAsia="仿宋" w:cs="仿宋"/>
          <w:lang w:val="en-US" w:eastAsia="zh-CN"/>
        </w:rPr>
        <w:t>保洁</w:t>
      </w:r>
      <w:r>
        <w:rPr>
          <w:rFonts w:hint="eastAsia" w:ascii="仿宋" w:hAnsi="仿宋" w:eastAsia="仿宋" w:cs="仿宋"/>
        </w:rPr>
        <w:t>服务费用，中标</w:t>
      </w:r>
      <w:r>
        <w:rPr>
          <w:rFonts w:hint="eastAsia" w:ascii="仿宋" w:hAnsi="仿宋" w:eastAsia="仿宋" w:cs="仿宋"/>
          <w:highlight w:val="none"/>
        </w:rPr>
        <w:t>人出具发票</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专票/普票</w:t>
      </w:r>
      <w:r>
        <w:rPr>
          <w:rFonts w:hint="eastAsia" w:ascii="仿宋" w:hAnsi="仿宋" w:eastAsia="仿宋" w:cs="仿宋"/>
          <w:highlight w:val="none"/>
          <w:lang w:eastAsia="zh-CN"/>
        </w:rPr>
        <w:t>）</w:t>
      </w:r>
      <w:r>
        <w:rPr>
          <w:rFonts w:hint="eastAsia" w:ascii="仿宋" w:hAnsi="仿宋" w:eastAsia="仿宋" w:cs="仿宋"/>
          <w:highlight w:val="none"/>
        </w:rPr>
        <w:t>，采购人通过银行</w:t>
      </w:r>
      <w:r>
        <w:rPr>
          <w:rFonts w:hint="eastAsia" w:ascii="仿宋" w:hAnsi="仿宋" w:eastAsia="仿宋" w:cs="仿宋"/>
          <w:highlight w:val="none"/>
          <w:lang w:val="en-US" w:eastAsia="zh-CN"/>
        </w:rPr>
        <w:t>转账的方式</w:t>
      </w:r>
      <w:r>
        <w:rPr>
          <w:rFonts w:hint="eastAsia" w:ascii="仿宋" w:hAnsi="仿宋" w:eastAsia="仿宋" w:cs="仿宋"/>
          <w:highlight w:val="none"/>
        </w:rPr>
        <w:t>付款。（</w:t>
      </w:r>
      <w:r>
        <w:rPr>
          <w:rFonts w:hint="eastAsia" w:ascii="仿宋" w:hAnsi="仿宋" w:eastAsia="仿宋" w:cs="仿宋"/>
          <w:b w:val="0"/>
          <w:bCs w:val="0"/>
          <w:color w:val="auto"/>
          <w:highlight w:val="none"/>
          <w:lang w:val="en-US" w:eastAsia="zh-CN"/>
        </w:rPr>
        <w:t>具体支付事宜由采购人与中标人商定</w:t>
      </w:r>
      <w:r>
        <w:rPr>
          <w:rFonts w:hint="eastAsia" w:ascii="仿宋" w:hAnsi="仿宋" w:eastAsia="仿宋" w:cs="仿宋"/>
          <w:highlight w:val="none"/>
        </w:rPr>
        <w:t>）。</w:t>
      </w:r>
    </w:p>
    <w:p w14:paraId="7E1BA4A4">
      <w:pPr>
        <w:widowControl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四、在签订合同前，中标人应按照招标文件第四章《招标内容及采购要求》中所有承诺事项要求落实，如未在规定时限内按要求完成所承诺事项的，则视为主动放弃中标资格。</w:t>
      </w:r>
    </w:p>
    <w:bookmarkEnd w:id="269"/>
    <w:p w14:paraId="71483D65">
      <w:pPr>
        <w:pStyle w:val="4"/>
        <w:keepNext w:val="0"/>
        <w:widowControl w:val="0"/>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bookmarkStart w:id="276" w:name="_Toc27799"/>
      <w:r>
        <w:rPr>
          <w:rFonts w:hint="eastAsia" w:ascii="仿宋" w:hAnsi="仿宋" w:eastAsia="仿宋" w:cs="仿宋"/>
          <w:color w:val="000000" w:themeColor="text1"/>
          <w:sz w:val="28"/>
          <w:szCs w:val="28"/>
          <w:highlight w:val="none"/>
          <w14:textFill>
            <w14:solidFill>
              <w14:schemeClr w14:val="tx1"/>
            </w14:solidFill>
          </w14:textFill>
        </w:rPr>
        <w:t>五、服务保证</w:t>
      </w:r>
    </w:p>
    <w:p w14:paraId="7E43B76F">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1、人员雇佣及工资标准</w:t>
      </w:r>
    </w:p>
    <w:p w14:paraId="3D50EC43">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（1）中标人须保障人员待遇不得低于采购人所在地最低工资标准和社保最低缴费额。</w:t>
      </w:r>
    </w:p>
    <w:p w14:paraId="26D0CECA">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（2）中标人须与员工签订劳动（务）合同，引起劳动关系问题由中标人负责。</w:t>
      </w:r>
    </w:p>
    <w:p w14:paraId="412ABFF0">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2、中标人提供服务时，服务要求应按不低于国家、省、市有关部门规定的质量标准执行。</w:t>
      </w:r>
    </w:p>
    <w:p w14:paraId="4D34A218">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3、中标人承诺与拟投入人员均有劳动（务）合同或聘用协议。</w:t>
      </w:r>
    </w:p>
    <w:p w14:paraId="738F86CB">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4、中标人承诺工作人员按招标文件落实，具体人员要求与采购人协商确定。</w:t>
      </w:r>
    </w:p>
    <w:bookmarkEnd w:id="268"/>
    <w:bookmarkEnd w:id="270"/>
    <w:bookmarkEnd w:id="271"/>
    <w:bookmarkEnd w:id="272"/>
    <w:bookmarkEnd w:id="273"/>
    <w:bookmarkEnd w:id="274"/>
    <w:bookmarkEnd w:id="275"/>
    <w:bookmarkEnd w:id="276"/>
    <w:p w14:paraId="35534970">
      <w:pPr>
        <w:spacing w:line="500" w:lineRule="exact"/>
        <w:ind w:firstLine="566" w:firstLineChars="200"/>
        <w:outlineLvl w:val="1"/>
        <w:rPr>
          <w:rStyle w:val="25"/>
          <w:rFonts w:ascii="仿宋" w:hAnsi="仿宋" w:eastAsia="仿宋" w:cs="仿宋"/>
          <w:color w:val="000000" w:themeColor="text1"/>
          <w:sz w:val="28"/>
          <w:szCs w:val="28"/>
          <w:highlight w:val="none"/>
          <w14:textFill>
            <w14:solidFill>
              <w14:schemeClr w14:val="tx1"/>
            </w14:solidFill>
          </w14:textFill>
        </w:rPr>
      </w:pPr>
      <w:bookmarkStart w:id="277" w:name="_Toc24576"/>
      <w:bookmarkStart w:id="278" w:name="_Toc29437"/>
      <w:bookmarkStart w:id="279" w:name="_Toc597"/>
      <w:bookmarkStart w:id="280" w:name="_Toc4397"/>
      <w:bookmarkStart w:id="281" w:name="_Toc1078"/>
      <w:bookmarkStart w:id="282" w:name="_Toc25497"/>
      <w:r>
        <w:rPr>
          <w:rStyle w:val="25"/>
          <w:rFonts w:hint="eastAsia" w:ascii="仿宋" w:hAnsi="仿宋" w:eastAsia="仿宋" w:cs="仿宋"/>
          <w:color w:val="000000" w:themeColor="text1"/>
          <w:sz w:val="28"/>
          <w:szCs w:val="28"/>
          <w:highlight w:val="none"/>
          <w14:textFill>
            <w14:solidFill>
              <w14:schemeClr w14:val="tx1"/>
            </w14:solidFill>
          </w14:textFill>
        </w:rPr>
        <w:t>六、服务承诺</w:t>
      </w:r>
      <w:bookmarkEnd w:id="277"/>
      <w:bookmarkEnd w:id="278"/>
      <w:bookmarkEnd w:id="279"/>
      <w:bookmarkEnd w:id="280"/>
      <w:bookmarkEnd w:id="281"/>
    </w:p>
    <w:bookmarkEnd w:id="282"/>
    <w:p w14:paraId="0E8BB19C">
      <w:pPr>
        <w:spacing w:line="500" w:lineRule="exact"/>
        <w:ind w:firstLine="566" w:firstLineChars="200"/>
        <w:rPr>
          <w:rFonts w:ascii="仿宋" w:hAnsi="仿宋" w:eastAsia="仿宋" w:cs="仿宋"/>
          <w:color w:val="000000" w:themeColor="text1"/>
          <w:highlight w:val="none"/>
          <w:lang w:bidi="ar"/>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以投标文件、澄清表（函）、合同和随服务的相关文件为准。</w:t>
      </w:r>
      <w:bookmarkEnd w:id="261"/>
      <w:bookmarkEnd w:id="262"/>
      <w:bookmarkEnd w:id="263"/>
      <w:bookmarkEnd w:id="264"/>
      <w:bookmarkStart w:id="283" w:name="_Toc14993"/>
      <w:bookmarkStart w:id="284" w:name="_Toc7063"/>
      <w:bookmarkStart w:id="285" w:name="_Toc26023"/>
      <w:bookmarkStart w:id="286" w:name="_Toc26163"/>
      <w:bookmarkStart w:id="287" w:name="_Toc19937"/>
      <w:bookmarkStart w:id="288" w:name="_Toc31591"/>
      <w:bookmarkStart w:id="289" w:name="_Toc19380"/>
      <w:bookmarkStart w:id="290" w:name="_Toc5554"/>
      <w:bookmarkStart w:id="291" w:name="_Toc495012823"/>
      <w:bookmarkStart w:id="292" w:name="_Toc27349"/>
      <w:bookmarkStart w:id="293" w:name="_Toc495014587"/>
      <w:bookmarkStart w:id="294" w:name="_Toc495012773"/>
      <w:bookmarkStart w:id="295" w:name="_Toc495014613"/>
      <w:bookmarkStart w:id="296" w:name="_Toc495014956"/>
      <w:bookmarkStart w:id="297" w:name="_Toc495014922"/>
      <w:bookmarkStart w:id="298" w:name="_Toc13809"/>
      <w:bookmarkStart w:id="299" w:name="_Toc495014651"/>
      <w:bookmarkStart w:id="300" w:name="_Toc445306495"/>
    </w:p>
    <w:p w14:paraId="73063D10">
      <w:pPr>
        <w:pStyle w:val="4"/>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七、违约责任</w:t>
      </w:r>
      <w:bookmarkEnd w:id="283"/>
      <w:bookmarkEnd w:id="284"/>
      <w:bookmarkEnd w:id="285"/>
      <w:bookmarkEnd w:id="286"/>
      <w:bookmarkEnd w:id="287"/>
      <w:bookmarkEnd w:id="288"/>
      <w:bookmarkEnd w:id="289"/>
    </w:p>
    <w:p w14:paraId="3C0DAFE5">
      <w:pPr>
        <w:spacing w:line="500" w:lineRule="exact"/>
        <w:ind w:firstLine="566" w:firstLineChars="200"/>
        <w:jc w:val="left"/>
        <w:rPr>
          <w:rFonts w:hint="eastAsia" w:ascii="仿宋" w:hAnsi="仿宋" w:eastAsia="仿宋" w:cs="仿宋"/>
          <w:sz w:val="28"/>
          <w:szCs w:val="28"/>
        </w:rPr>
      </w:pPr>
      <w:bookmarkStart w:id="301" w:name="_Toc956"/>
      <w:bookmarkStart w:id="302" w:name="_Toc14133"/>
      <w:bookmarkStart w:id="303" w:name="_Toc5100"/>
      <w:bookmarkStart w:id="304" w:name="_Toc11262"/>
      <w:r>
        <w:rPr>
          <w:rFonts w:hint="eastAsia" w:ascii="仿宋" w:hAnsi="仿宋" w:eastAsia="仿宋" w:cs="仿宋"/>
          <w:color w:val="000000"/>
          <w:sz w:val="28"/>
          <w:szCs w:val="28"/>
          <w:lang w:bidi="ar"/>
        </w:rPr>
        <w:t xml:space="preserve">（一）按《中华人民共和国民法典》中的相关条款执行。 </w:t>
      </w:r>
    </w:p>
    <w:p w14:paraId="30716DB4">
      <w:pPr>
        <w:spacing w:line="500" w:lineRule="exact"/>
        <w:ind w:firstLine="566" w:firstLineChars="200"/>
        <w:jc w:val="left"/>
        <w:rPr>
          <w:rFonts w:hint="eastAsia" w:ascii="仿宋" w:hAnsi="仿宋" w:eastAsia="仿宋" w:cs="仿宋"/>
          <w:sz w:val="28"/>
          <w:szCs w:val="28"/>
        </w:rPr>
      </w:pPr>
      <w:r>
        <w:rPr>
          <w:rFonts w:hint="eastAsia" w:ascii="仿宋" w:hAnsi="仿宋" w:eastAsia="仿宋" w:cs="仿宋"/>
          <w:color w:val="000000"/>
          <w:sz w:val="28"/>
          <w:szCs w:val="28"/>
          <w:lang w:bidi="ar"/>
        </w:rPr>
        <w:t xml:space="preserve">（二）未按合同要求提供服务或服务质量不能满足合同要求，采购人 </w:t>
      </w:r>
    </w:p>
    <w:p w14:paraId="43595BAA">
      <w:pPr>
        <w:spacing w:line="500" w:lineRule="exact"/>
        <w:ind w:firstLine="566" w:firstLineChars="200"/>
        <w:jc w:val="left"/>
        <w:rPr>
          <w:rFonts w:hint="eastAsia" w:ascii="仿宋" w:hAnsi="仿宋" w:eastAsia="仿宋" w:cs="仿宋"/>
          <w:sz w:val="28"/>
          <w:szCs w:val="28"/>
        </w:rPr>
      </w:pPr>
      <w:r>
        <w:rPr>
          <w:rFonts w:hint="eastAsia" w:ascii="仿宋" w:hAnsi="仿宋" w:eastAsia="仿宋" w:cs="仿宋"/>
          <w:color w:val="000000"/>
          <w:sz w:val="28"/>
          <w:szCs w:val="28"/>
          <w:lang w:bidi="ar"/>
        </w:rPr>
        <w:t>有权依据《中华人民共和国民法典》有关条款及合同约定终止合同，并要求</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承担违约责任。 </w:t>
      </w:r>
    </w:p>
    <w:p w14:paraId="2F124F40">
      <w:pPr>
        <w:spacing w:line="500" w:lineRule="exact"/>
        <w:ind w:firstLine="566" w:firstLineChars="200"/>
        <w:jc w:val="left"/>
        <w:rPr>
          <w:rFonts w:hint="eastAsia" w:ascii="仿宋" w:hAnsi="仿宋" w:eastAsia="仿宋" w:cs="仿宋"/>
          <w:sz w:val="28"/>
          <w:szCs w:val="28"/>
        </w:rPr>
      </w:pPr>
      <w:r>
        <w:rPr>
          <w:rFonts w:hint="eastAsia" w:ascii="仿宋" w:hAnsi="仿宋" w:eastAsia="仿宋" w:cs="仿宋"/>
          <w:color w:val="000000"/>
          <w:sz w:val="28"/>
          <w:szCs w:val="28"/>
          <w:lang w:bidi="ar"/>
        </w:rPr>
        <w:t>（三）采购人行为违约导致</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未能完成服务内容，</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有权要求采购人在一定期限内解决，逾期未解决造成</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经济损失的，采购人应予赔偿。</w:t>
      </w:r>
    </w:p>
    <w:p w14:paraId="16CF4A8D">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（四）</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提供的服务达不到合同约定标准，采购人有权要求</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限期整改，整改后仍达不到约定服务标准的，采购人有权解除合同。</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应向采购人支付违约金，并赔偿采购人损失。</w:t>
      </w:r>
    </w:p>
    <w:p w14:paraId="3ACA56C3">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（五）</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在采购人设立作业所。作业所在业务上受</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和采购人双重领导。</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派出一名主管负责人，负责日常保洁工作质量检查和保洁工作紧急情况的处理，并于每月25日之前将当月保洁工作总结和下月保洁工作计划以书面形式报告采购人。 </w:t>
      </w:r>
    </w:p>
    <w:p w14:paraId="3E71EFF0">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（六）</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要加强管理，提高管理水平。首先定岗、定责，然后要责任到人。将定岗定责人员情况以书面形式报采购人，以便采购人检查。</w:t>
      </w:r>
    </w:p>
    <w:p w14:paraId="203A561F">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（七）</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人员要统一着装，衣帽整洁，佩带本公司名牌，进入工作现场的出入证由采购人配发，遵守采购人各项规章制度，</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不得在采购人服务区域内未经采购人同意擅自承揽业务。 </w:t>
      </w:r>
    </w:p>
    <w:p w14:paraId="1307B4C5">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（八）为维护支持</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的保洁工作，凡有破坏环境卫生者由</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进行处罚（甲乙双方共同制定处罚细则）。 </w:t>
      </w:r>
    </w:p>
    <w:p w14:paraId="062E8358">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（九）</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应保证在采购人上班、开课之前，完成清洁工作。并保证留一定人员巡回流动保洁。 </w:t>
      </w:r>
    </w:p>
    <w:p w14:paraId="6CBAB34B">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（十）</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要根据学校清洁工作的需要，配备必需的清洁用具。 </w:t>
      </w:r>
    </w:p>
    <w:p w14:paraId="0FD636E8">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（十一）</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的员工住宿由</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自行在校外解决。 </w:t>
      </w:r>
    </w:p>
    <w:p w14:paraId="12B6BD36">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（十二）</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员工在工作期间发生工伤事故导致的全部费用由</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承担，</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用工应签订劳动合同，并办理各种用工手续。如因用工不当，给采购人造成损失由</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承担。 </w:t>
      </w:r>
    </w:p>
    <w:p w14:paraId="089A93F0">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（十三）</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员工在工作期间不得随意离开工作岗位，若</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主管负责人不在作业现场，</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临时负责人应接受采购人主管保洁负责人的监督指导，并按采购人的保洁工作标准进行检查。 </w:t>
      </w:r>
    </w:p>
    <w:p w14:paraId="27943724">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（十四）由于</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在日常保洁工作中不慎给采购人设施、材料及采购人客户、物品造成损失，</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应承担赔偿责任。 </w:t>
      </w:r>
    </w:p>
    <w:p w14:paraId="6DDE2226">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（十五）</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在承担的保洁工作范围内，采购人如因保洁工作未达到保洁质量标准，被有关政府职能部门（环卫、城管等）处罚，罚款由</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承担。 </w:t>
      </w:r>
    </w:p>
    <w:p w14:paraId="74335619">
      <w:pPr>
        <w:numPr>
          <w:ilvl w:val="0"/>
          <w:numId w:val="3"/>
        </w:num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应承担所有聘用人员的医疗、养老、失业、工伤、人身意外保险等各种社会保障费用，由</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承担因此造成的全部经济损失。</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在管理服务中应加强安全教育，因</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管理服务不到位导致发生重大安全事故（人身意外、火灾火险、踩踏事件等），由</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承担全部责任并赔偿采购人全部损失。采购人有权追究</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法律责任。</w:t>
      </w:r>
    </w:p>
    <w:p w14:paraId="0B20DEFB">
      <w:pPr>
        <w:numPr>
          <w:ilvl w:val="0"/>
          <w:numId w:val="3"/>
        </w:num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关于出现重大问题情况（因</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及雇员的责任导致的纠纷、事故、案件；因</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及雇员的责任对学生或采购人产生较大的负面影响；在采购人的重大活动中，因</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及雇员履行职责不力，产生较大不良影响；</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及雇员损坏采购人或学生财物达到一定数值；</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及雇员在校内从事合同约定以外的活动，特别是经营行为。），经后勤保障处研究，尚不构成终止合同的，每次给予10-30分的扣分，计入当月考核成绩；对构成终止合同的，采取一票否决，当月考核成绩计0分，报学校终止合同执行。</w:t>
      </w:r>
    </w:p>
    <w:p w14:paraId="6431B5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在合同期间及服务过程中，给采购人造成损失时，采购人有权从合同款项中直接扣除。造成重大责任事故或恶劣社会影响，采购人将通过法律程序维权并且可无条件终止合同。</w:t>
      </w:r>
    </w:p>
    <w:p w14:paraId="07083240">
      <w:pPr>
        <w:pStyle w:val="4"/>
        <w:keepNext w:val="0"/>
        <w:keepLines w:val="0"/>
        <w:widowControl w:val="0"/>
        <w:spacing w:line="50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、争议解决</w:t>
      </w:r>
      <w:bookmarkEnd w:id="301"/>
      <w:bookmarkEnd w:id="302"/>
      <w:bookmarkEnd w:id="303"/>
      <w:bookmarkEnd w:id="304"/>
    </w:p>
    <w:p w14:paraId="5D31B173">
      <w:pPr>
        <w:widowControl w:val="0"/>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执行本合同中产生纠纷，由采购人与中标人双方协商解决；协商不成，可向有管辖权的人民法院提起诉讼。</w:t>
      </w:r>
    </w:p>
    <w:p w14:paraId="6ECA1A61">
      <w:pPr>
        <w:pStyle w:val="4"/>
        <w:keepNext w:val="0"/>
        <w:widowControl w:val="0"/>
        <w:spacing w:line="460" w:lineRule="exact"/>
        <w:ind w:firstLine="566"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14:textFill>
            <w14:solidFill>
              <w14:schemeClr w14:val="tx1"/>
            </w14:solidFill>
          </w14:textFill>
        </w:rPr>
        <w:t>、采购人和中标人的权利义务</w:t>
      </w:r>
    </w:p>
    <w:p w14:paraId="00BF10AF">
      <w:pPr>
        <w:widowControl w:val="0"/>
        <w:spacing w:line="500" w:lineRule="exact"/>
        <w:ind w:firstLine="566" w:firstLineChars="200"/>
        <w:jc w:val="left"/>
        <w:rPr>
          <w:rFonts w:ascii="仿宋" w:hAnsi="仿宋" w:eastAsia="仿宋" w:cs="仿宋"/>
          <w:highlight w:val="none"/>
        </w:rPr>
      </w:pPr>
      <w:r>
        <w:rPr>
          <w:rFonts w:hint="eastAsia" w:ascii="仿宋" w:hAnsi="仿宋" w:eastAsia="仿宋" w:cs="仿宋"/>
          <w:highlight w:val="none"/>
        </w:rPr>
        <w:t>（一）采购人权利与义务</w:t>
      </w:r>
    </w:p>
    <w:p w14:paraId="6EB183C1">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1、监督</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制定并实施物业管理方案、制度及其它管理规定。 </w:t>
      </w:r>
    </w:p>
    <w:p w14:paraId="456FF525">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2、检查、监督、考核</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物业服务实施和管理制度的执行情况，并配合</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协调其与各部门的联系。 </w:t>
      </w:r>
    </w:p>
    <w:p w14:paraId="4422B232">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3、对</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在管理中的违约行为有权提出批评并加以制止，并要求</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采取补救措施。 </w:t>
      </w:r>
    </w:p>
    <w:p w14:paraId="3D752099">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4、每两个月对</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服务进行评分。 </w:t>
      </w:r>
    </w:p>
    <w:p w14:paraId="4E53EE3B">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5、应按照本合同约定时间及金额按时支付</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服务费。 </w:t>
      </w:r>
    </w:p>
    <w:p w14:paraId="4609699F">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6、采购人不参与</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正常的公司管理工作。 </w:t>
      </w:r>
    </w:p>
    <w:p w14:paraId="786EEE3F">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color w:val="000000"/>
          <w:sz w:val="28"/>
          <w:szCs w:val="28"/>
          <w:lang w:bidi="ar"/>
        </w:rPr>
        <w:t>（二）</w:t>
      </w:r>
      <w:r>
        <w:rPr>
          <w:rFonts w:hint="eastAsia" w:ascii="仿宋" w:hAnsi="仿宋" w:eastAsia="仿宋" w:cs="仿宋"/>
          <w:color w:val="000000"/>
          <w:sz w:val="28"/>
          <w:szCs w:val="28"/>
          <w:lang w:eastAsia="zh-CN" w:bidi="ar"/>
        </w:rPr>
        <w:t>中标人</w:t>
      </w:r>
      <w:r>
        <w:rPr>
          <w:rFonts w:hint="eastAsia" w:ascii="仿宋" w:hAnsi="仿宋" w:eastAsia="仿宋" w:cs="仿宋"/>
          <w:color w:val="000000"/>
          <w:sz w:val="28"/>
          <w:szCs w:val="28"/>
          <w:lang w:bidi="ar"/>
        </w:rPr>
        <w:t xml:space="preserve">的权利和义务 </w:t>
      </w:r>
    </w:p>
    <w:p w14:paraId="13EE3F8A">
      <w:pPr>
        <w:spacing w:line="500" w:lineRule="exact"/>
        <w:ind w:firstLine="566" w:firstLineChars="200"/>
        <w:jc w:val="left"/>
        <w:rPr>
          <w:rFonts w:hint="eastAsia"/>
        </w:rPr>
      </w:pPr>
      <w:r>
        <w:rPr>
          <w:rFonts w:hint="eastAsia" w:ascii="仿宋" w:hAnsi="仿宋" w:eastAsia="仿宋" w:cs="仿宋"/>
          <w:sz w:val="28"/>
          <w:szCs w:val="28"/>
          <w:lang w:bidi="ar"/>
        </w:rPr>
        <w:t>1、制定并履行服务合同、服务制度、服务标准和相关方案，未经采购人书面同意，不得转包、分包本合同项目（需要特殊资质的须经采购人同意和备案），不得将此次的服务合同责任转给第三方，否则采购人有权解除合同。</w:t>
      </w:r>
    </w:p>
    <w:p w14:paraId="5474E93A">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2、</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按照采购人服务要求，结合采购人的实际，制定相关的管理规章制度，组织实施管理工作。如因采购人维修材料供应不及时导致</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未能达到管理目标，</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有权要求采购人在一定期限内解决，</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不承担责任。</w:t>
      </w:r>
    </w:p>
    <w:p w14:paraId="5C1416FA">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3、</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负责服务人员的招聘、使用、管理、调配、辞退和薪酬决定，</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 xml:space="preserve">工作人员应遵纪守法，不得泄露机密，自觉接受审查。 </w:t>
      </w:r>
    </w:p>
    <w:p w14:paraId="5DF6F2B5">
      <w:pPr>
        <w:widowControl/>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4、</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 xml:space="preserve">应定期对员工进行培训及教育，遵守采购人的各项管理规定，提升员工素质，并不断提升物业服务水平。  </w:t>
      </w:r>
    </w:p>
    <w:p w14:paraId="249DFEC2">
      <w:pPr>
        <w:widowControl/>
        <w:spacing w:line="500" w:lineRule="exact"/>
        <w:ind w:firstLine="566" w:firstLineChars="200"/>
        <w:jc w:val="left"/>
        <w:rPr>
          <w:rFonts w:hint="eastAsia"/>
        </w:rPr>
      </w:pPr>
      <w:r>
        <w:rPr>
          <w:rFonts w:hint="eastAsia" w:ascii="仿宋" w:hAnsi="仿宋" w:eastAsia="仿宋" w:cs="仿宋"/>
          <w:sz w:val="28"/>
          <w:szCs w:val="28"/>
          <w:lang w:bidi="ar"/>
        </w:rPr>
        <w:t>5、因</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及聘用人员造成的人身伤亡事故及损失，由</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承担全部法律责任、采购人全部损失及第三方经济赔偿，采购人概不负责。</w:t>
      </w:r>
    </w:p>
    <w:p w14:paraId="5345F0E3">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6、</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 xml:space="preserve">在合同期内与外界发生的一切债权、债务等纠纷均与采购人无关。 </w:t>
      </w:r>
    </w:p>
    <w:p w14:paraId="752091B8">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7、本合同依法解除、协商解除、单方解除或者期满终止时，</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 xml:space="preserve">应当按照有关规定和本合同约定退出本物业的物业服务，并按有关规定和本合同约定办理移交手续。 </w:t>
      </w:r>
    </w:p>
    <w:p w14:paraId="09F234E5">
      <w:pPr>
        <w:spacing w:line="500" w:lineRule="exact"/>
        <w:ind w:firstLine="566" w:firstLineChars="200"/>
        <w:rPr>
          <w:rFonts w:hint="eastAsia" w:ascii="仿宋" w:hAnsi="仿宋" w:eastAsia="仿宋" w:cs="仿宋"/>
          <w:sz w:val="28"/>
          <w:szCs w:val="28"/>
          <w:lang w:bidi="ar"/>
        </w:rPr>
      </w:pPr>
      <w:r>
        <w:rPr>
          <w:rFonts w:hint="eastAsia" w:ascii="仿宋" w:hAnsi="仿宋" w:eastAsia="仿宋" w:cs="仿宋"/>
          <w:sz w:val="28"/>
          <w:szCs w:val="28"/>
          <w:lang w:bidi="ar"/>
        </w:rPr>
        <w:t>8、</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在履行本合同过程中，与其员工之间发生的劳动、劳务、员工社保等所有争议（</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应按规定办理员工社保等行业要求的福利待遇）</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应妥善处理，不得影响采购人的利益或者给采购人造成不良影响，且所有责任和费用由</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 xml:space="preserve">承担。 </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应严格遵守国家有关的法律、法规及行业标准。</w:t>
      </w:r>
    </w:p>
    <w:p w14:paraId="1B63DD96">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9、</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 xml:space="preserve">员工在履行本合同过程中，不得与采购人师生发生争吵，造成不良影响的，应赔偿师生损失。 </w:t>
      </w:r>
    </w:p>
    <w:p w14:paraId="26E44F1A">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10、</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须严格按照标准化的操作程序、完善的培训体系和质量控制体系完成本项目，以保证整个服务项目安全、高效、有序运转。在工作过程中，因</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原因造成采购人及校内相关的人员、财产损害及安全责任事故的，</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应承担全部赔偿责任,相应费用如由采购人代为支付的，从服务费中扣除，不足部分由</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另行支付。</w:t>
      </w:r>
    </w:p>
    <w:p w14:paraId="6A7C91D4">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11、</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自行准备清洁工具、清洁剂、洗涤剂、消毒剂、抹布、特殊物料（指84消毒液等）和地面保护材料，材料质量需符合国家和行业标准，并且向采购人提供产品质量合格证。</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保洁中,不得使用有损物体表面的高浓度酸性或碱性清洗材料,不得损坏校内的各种结构和设施,如因</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操作不当,造成校内设施损坏,金属、玻璃等变形、变色或失去色泽,采购人有权按相应物品价格扣除当月服务费抵偿经济损失。</w:t>
      </w:r>
    </w:p>
    <w:p w14:paraId="52D3F089">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12、</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应对聘用人员进行防火、防盗、防灾减灾、应急疏散等安全知识教育和培训，并向采购人提交培训记录。督促聘用人员认真遵守国家和学校关于防火、防盗、防灾减灾、应急疏散等事项的规章、规定，并进行有效的考核及检查。</w:t>
      </w:r>
    </w:p>
    <w:p w14:paraId="059452DA">
      <w:pPr>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13、</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工作人员统一着装，做到着装整洁，应遵纪守法，尽职尽责，遵守作息时间及工作流程、制度。并由</w:t>
      </w:r>
      <w:r>
        <w:rPr>
          <w:rFonts w:hint="eastAsia" w:ascii="仿宋" w:hAnsi="仿宋" w:eastAsia="仿宋" w:cs="仿宋"/>
          <w:sz w:val="28"/>
          <w:szCs w:val="28"/>
          <w:lang w:eastAsia="zh-CN" w:bidi="ar"/>
        </w:rPr>
        <w:t>中标人</w:t>
      </w:r>
      <w:r>
        <w:rPr>
          <w:rFonts w:hint="eastAsia" w:ascii="仿宋" w:hAnsi="仿宋" w:eastAsia="仿宋" w:cs="仿宋"/>
          <w:sz w:val="28"/>
          <w:szCs w:val="28"/>
          <w:lang w:bidi="ar"/>
        </w:rPr>
        <w:t>负责其员工工服配备和洗涤。</w:t>
      </w:r>
    </w:p>
    <w:p w14:paraId="60442854">
      <w:pPr>
        <w:widowControl/>
        <w:spacing w:line="500" w:lineRule="exact"/>
        <w:ind w:firstLine="566" w:firstLineChars="200"/>
        <w:jc w:val="left"/>
        <w:rPr>
          <w:rFonts w:hint="eastAsia" w:ascii="仿宋" w:hAnsi="仿宋" w:eastAsia="仿宋" w:cs="仿宋"/>
          <w:sz w:val="28"/>
          <w:szCs w:val="28"/>
          <w:lang w:bidi="ar"/>
        </w:rPr>
      </w:pPr>
      <w:r>
        <w:rPr>
          <w:rFonts w:hint="eastAsia" w:ascii="仿宋" w:hAnsi="仿宋" w:eastAsia="仿宋" w:cs="仿宋"/>
          <w:sz w:val="28"/>
          <w:szCs w:val="28"/>
          <w:lang w:bidi="ar"/>
        </w:rPr>
        <w:t>14、本次招标的服务费包含中标人为履行本合同产生的工作人员劳务支出、社会保险、劳保福利、人身意外保险费以及保洁设备和工具损耗费、保洁耗材物资费、管理费用等。</w:t>
      </w:r>
    </w:p>
    <w:p w14:paraId="3A0170C9">
      <w:pPr>
        <w:numPr>
          <w:ilvl w:val="0"/>
          <w:numId w:val="0"/>
        </w:numPr>
        <w:spacing w:line="500" w:lineRule="exact"/>
        <w:ind w:left="0" w:firstLine="566" w:firstLineChars="200"/>
        <w:rPr>
          <w:rFonts w:ascii="仿宋" w:hAnsi="仿宋" w:eastAsia="仿宋" w:cs="仿宋"/>
          <w:highlight w:val="none"/>
        </w:rPr>
      </w:pPr>
      <w:r>
        <w:rPr>
          <w:rFonts w:hint="eastAsia" w:ascii="仿宋" w:hAnsi="仿宋" w:eastAsia="仿宋" w:cs="仿宋"/>
          <w:sz w:val="28"/>
          <w:szCs w:val="28"/>
          <w:lang w:bidi="ar"/>
        </w:rPr>
        <w:t>15、按法律规定或经双方商定应由中标人承担的其他责任和义务。</w:t>
      </w:r>
    </w:p>
    <w:p w14:paraId="6FEFF172">
      <w:pPr>
        <w:spacing w:line="460" w:lineRule="exact"/>
        <w:ind w:firstLine="566" w:firstLineChars="200"/>
        <w:outlineLvl w:val="1"/>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十、合同生效及其他</w:t>
      </w:r>
    </w:p>
    <w:p w14:paraId="0D3A3661">
      <w:pPr>
        <w:spacing w:line="46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（一）</w:t>
      </w:r>
      <w:r>
        <w:rPr>
          <w:rFonts w:hint="eastAsia" w:ascii="仿宋" w:hAnsi="仿宋" w:eastAsia="仿宋" w:cs="仿宋"/>
          <w:color w:val="000000" w:themeColor="text1"/>
          <w:highlight w:val="none"/>
          <w14:textFill>
            <w14:solidFill>
              <w14:schemeClr w14:val="tx1"/>
            </w14:solidFill>
          </w14:textFill>
        </w:rPr>
        <w:t>本合同自签订之日起生效。</w:t>
      </w:r>
    </w:p>
    <w:p w14:paraId="4E35D693">
      <w:pPr>
        <w:spacing w:line="46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二</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合同份数由采购人和中标人具体商定。</w:t>
      </w:r>
    </w:p>
    <w:p w14:paraId="1AA4AD97">
      <w:pPr>
        <w:spacing w:line="46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三</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未尽事宜由双方在签订合同时具体明确。</w:t>
      </w:r>
    </w:p>
    <w:p w14:paraId="5D5162BD">
      <w:pPr>
        <w:pStyle w:val="3"/>
        <w:spacing w:line="500" w:lineRule="exact"/>
        <w:ind w:firstLine="566" w:firstLineChars="200"/>
        <w:outlineLvl w:val="0"/>
        <w:rPr>
          <w:rFonts w:ascii="仿宋" w:hAnsi="仿宋" w:cs="仿宋"/>
          <w:b w:val="0"/>
          <w:bCs w:val="0"/>
          <w:color w:val="000000" w:themeColor="text1"/>
          <w:sz w:val="32"/>
          <w:szCs w:val="32"/>
          <w:highlight w:val="none"/>
          <w14:textFill>
            <w14:solidFill>
              <w14:schemeClr w14:val="tx1"/>
            </w14:solidFill>
          </w14:textFill>
        </w:rPr>
      </w:pPr>
      <w:r>
        <w:rPr>
          <w:rFonts w:hint="eastAsia" w:ascii="仿宋" w:hAnsi="仿宋" w:cs="仿宋"/>
          <w:b w:val="0"/>
          <w:bCs w:val="0"/>
          <w:color w:val="000000" w:themeColor="text1"/>
          <w:sz w:val="28"/>
          <w:szCs w:val="28"/>
          <w:highlight w:val="none"/>
          <w14:textFill>
            <w14:solidFill>
              <w14:schemeClr w14:val="tx1"/>
            </w14:solidFill>
          </w14:textFill>
        </w:rPr>
        <w:br w:type="page"/>
      </w:r>
      <w:bookmarkStart w:id="305" w:name="_Toc3151"/>
      <w:r>
        <w:rPr>
          <w:rFonts w:hint="eastAsia" w:ascii="黑体" w:hAnsi="黑体" w:eastAsia="黑体" w:cs="黑体"/>
          <w:b w:val="0"/>
          <w:bCs w:val="0"/>
          <w:color w:val="000000" w:themeColor="text1"/>
          <w:sz w:val="32"/>
          <w:szCs w:val="32"/>
          <w:highlight w:val="none"/>
          <w14:textFill>
            <w14:solidFill>
              <w14:schemeClr w14:val="tx1"/>
            </w14:solidFill>
          </w14:textFill>
        </w:rPr>
        <w:t>第六章  投标文件构成及格式</w:t>
      </w:r>
      <w:bookmarkEnd w:id="290"/>
      <w:bookmarkEnd w:id="291"/>
      <w:bookmarkEnd w:id="292"/>
      <w:bookmarkEnd w:id="293"/>
      <w:bookmarkEnd w:id="294"/>
      <w:bookmarkEnd w:id="295"/>
      <w:bookmarkEnd w:id="296"/>
      <w:bookmarkEnd w:id="297"/>
      <w:bookmarkEnd w:id="298"/>
      <w:bookmarkEnd w:id="299"/>
      <w:bookmarkEnd w:id="300"/>
      <w:bookmarkEnd w:id="305"/>
    </w:p>
    <w:p w14:paraId="6CBEE63C">
      <w:pPr>
        <w:rPr>
          <w:rFonts w:ascii="仿宋" w:hAnsi="仿宋" w:eastAsia="仿宋" w:cs="仿宋"/>
          <w:color w:val="000000" w:themeColor="text1"/>
          <w:highlight w:val="none"/>
          <w14:textFill>
            <w14:solidFill>
              <w14:schemeClr w14:val="tx1"/>
            </w14:solidFill>
          </w14:textFill>
        </w:rPr>
      </w:pPr>
    </w:p>
    <w:p w14:paraId="4CCD96C8">
      <w:pPr>
        <w:rPr>
          <w:rFonts w:ascii="仿宋" w:hAnsi="仿宋" w:eastAsia="仿宋" w:cs="仿宋"/>
          <w:color w:val="000000" w:themeColor="text1"/>
          <w:highlight w:val="none"/>
          <w14:textFill>
            <w14:solidFill>
              <w14:schemeClr w14:val="tx1"/>
            </w14:solidFill>
          </w14:textFill>
        </w:rPr>
      </w:pPr>
    </w:p>
    <w:tbl>
      <w:tblPr>
        <w:tblStyle w:val="17"/>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0F48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14:paraId="7A665DD6">
            <w:pPr>
              <w:spacing w:before="12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注释：</w:t>
            </w:r>
          </w:p>
          <w:p w14:paraId="6454F869">
            <w:pPr>
              <w:spacing w:before="120" w:line="420" w:lineRule="exact"/>
              <w:ind w:firstLine="486"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1、本章分为三部分，是为方便投标人制作投标文件设计。第一、二部分应按要求或给定格式选择填报。</w:t>
            </w:r>
          </w:p>
          <w:p w14:paraId="02C9B966">
            <w:pPr>
              <w:spacing w:before="120" w:line="420" w:lineRule="exact"/>
              <w:ind w:firstLine="486"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2、第三部分投标方案格式仅供参考，投标人应根据项目特点，结合本次招标要求，对有关表格进行补充或修改，但不得对实质性文件的相关条款作出变动。</w:t>
            </w:r>
          </w:p>
        </w:tc>
      </w:tr>
    </w:tbl>
    <w:p w14:paraId="32885D77">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7C6AA28C">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57ABB154">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2F78D3AF">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3BA62445">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428400A1">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3635E122">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0660A801">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0A46CCBA">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4473375A">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2B01C32B">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7B9D8431">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7417F7D0">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52AB81FB">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61D607FF">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226E7023">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7BB2C457">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0E352F90">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257B3F69">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231D885C">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56E360D4">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11F260EC">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39846594">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6DADA6DA">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13F621A7">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p>
    <w:p w14:paraId="4447231C">
      <w:pPr>
        <w:pStyle w:val="26"/>
        <w:spacing w:line="240" w:lineRule="auto"/>
        <w:ind w:firstLine="0" w:firstLineChars="0"/>
        <w:rPr>
          <w:rFonts w:ascii="仿宋" w:hAnsi="仿宋" w:eastAsia="仿宋" w:cs="仿宋"/>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封面格式</w:t>
      </w:r>
    </w:p>
    <w:p w14:paraId="418AD7E8">
      <w:pPr>
        <w:pStyle w:val="26"/>
        <w:spacing w:line="240" w:lineRule="auto"/>
        <w:ind w:firstLine="253" w:firstLineChars="70"/>
        <w:jc w:val="center"/>
        <w:rPr>
          <w:rFonts w:ascii="仿宋" w:hAnsi="仿宋" w:eastAsia="仿宋" w:cs="仿宋"/>
          <w:color w:val="000000" w:themeColor="text1"/>
          <w:sz w:val="36"/>
          <w:szCs w:val="36"/>
          <w:highlight w:val="none"/>
          <w14:textFill>
            <w14:solidFill>
              <w14:schemeClr w14:val="tx1"/>
            </w14:solidFill>
          </w14:textFill>
        </w:rPr>
      </w:pPr>
    </w:p>
    <w:p w14:paraId="0464528C">
      <w:pPr>
        <w:spacing w:line="240" w:lineRule="auto"/>
        <w:jc w:val="center"/>
        <w:rPr>
          <w:rFonts w:ascii="仿宋" w:hAnsi="仿宋" w:eastAsia="仿宋" w:cs="仿宋"/>
          <w:color w:val="000000" w:themeColor="text1"/>
          <w:sz w:val="36"/>
          <w:szCs w:val="36"/>
          <w:highlight w:val="none"/>
          <w14:textFill>
            <w14:solidFill>
              <w14:schemeClr w14:val="tx1"/>
            </w14:solidFill>
          </w14:textFill>
        </w:rPr>
      </w:pPr>
      <w:r>
        <w:rPr>
          <w:rFonts w:hint="eastAsia" w:ascii="华文中宋" w:hAnsi="华文中宋" w:eastAsia="华文中宋" w:cs="华文中宋"/>
          <w:color w:val="000000" w:themeColor="text1"/>
          <w:sz w:val="60"/>
          <w:szCs w:val="60"/>
          <w:highlight w:val="none"/>
          <w14:textFill>
            <w14:solidFill>
              <w14:schemeClr w14:val="tx1"/>
            </w14:solidFill>
          </w14:textFill>
        </w:rPr>
        <w:t>陕西省政府采购服务项目</w:t>
      </w:r>
    </w:p>
    <w:p w14:paraId="08081BB1">
      <w:pPr>
        <w:spacing w:line="500" w:lineRule="exact"/>
        <w:ind w:right="11"/>
        <w:rPr>
          <w:rFonts w:ascii="仿宋" w:hAnsi="仿宋" w:eastAsia="仿宋" w:cs="仿宋"/>
          <w:color w:val="000000" w:themeColor="text1"/>
          <w:highlight w:val="none"/>
          <w:u w:val="single"/>
          <w14:textFill>
            <w14:solidFill>
              <w14:schemeClr w14:val="tx1"/>
            </w14:solidFill>
          </w14:textFill>
        </w:rPr>
      </w:pPr>
    </w:p>
    <w:p w14:paraId="4B9AE9B4">
      <w:pPr>
        <w:pStyle w:val="26"/>
        <w:spacing w:line="240" w:lineRule="auto"/>
        <w:ind w:firstLine="0" w:firstLineChars="0"/>
        <w:jc w:val="center"/>
        <w:rPr>
          <w:rFonts w:ascii="仿宋" w:hAnsi="仿宋" w:eastAsia="仿宋" w:cs="仿宋"/>
          <w:color w:val="000000" w:themeColor="text1"/>
          <w:sz w:val="96"/>
          <w:szCs w:val="96"/>
          <w:highlight w:val="none"/>
          <w14:textFill>
            <w14:solidFill>
              <w14:schemeClr w14:val="tx1"/>
            </w14:solidFill>
          </w14:textFill>
        </w:rPr>
      </w:pPr>
      <w:r>
        <w:rPr>
          <w:rFonts w:hint="eastAsia" w:ascii="华文中宋" w:hAnsi="华文中宋" w:eastAsia="华文中宋" w:cs="华文中宋"/>
          <w:color w:val="000000" w:themeColor="text1"/>
          <w:spacing w:val="323"/>
          <w:kern w:val="0"/>
          <w:sz w:val="96"/>
          <w:szCs w:val="96"/>
          <w:highlight w:val="none"/>
          <w14:textFill>
            <w14:solidFill>
              <w14:schemeClr w14:val="tx1"/>
            </w14:solidFill>
          </w14:textFill>
        </w:rPr>
        <w:t>投标文</w:t>
      </w:r>
      <w:r>
        <w:rPr>
          <w:rFonts w:hint="eastAsia" w:ascii="华文中宋" w:hAnsi="华文中宋" w:eastAsia="华文中宋" w:cs="华文中宋"/>
          <w:color w:val="000000" w:themeColor="text1"/>
          <w:kern w:val="0"/>
          <w:sz w:val="96"/>
          <w:szCs w:val="96"/>
          <w:highlight w:val="none"/>
          <w14:textFill>
            <w14:solidFill>
              <w14:schemeClr w14:val="tx1"/>
            </w14:solidFill>
          </w14:textFill>
        </w:rPr>
        <w:t>件</w:t>
      </w:r>
    </w:p>
    <w:p w14:paraId="58961FCE">
      <w:pPr>
        <w:pStyle w:val="26"/>
        <w:spacing w:line="240" w:lineRule="auto"/>
        <w:ind w:firstLine="0" w:firstLineChars="0"/>
        <w:jc w:val="center"/>
        <w:rPr>
          <w:rFonts w:ascii="仿宋" w:hAnsi="仿宋" w:eastAsia="仿宋" w:cs="仿宋"/>
          <w:color w:val="000000" w:themeColor="text1"/>
          <w:sz w:val="36"/>
          <w:szCs w:val="36"/>
          <w:highlight w:val="none"/>
          <w14:textFill>
            <w14:solidFill>
              <w14:schemeClr w14:val="tx1"/>
            </w14:solidFill>
          </w14:textFill>
        </w:rPr>
      </w:pPr>
    </w:p>
    <w:p w14:paraId="1A0552D4">
      <w:pPr>
        <w:pStyle w:val="26"/>
        <w:spacing w:line="240" w:lineRule="auto"/>
        <w:ind w:firstLine="0" w:firstLineChars="0"/>
        <w:jc w:val="center"/>
        <w:rPr>
          <w:rFonts w:ascii="仿宋" w:hAnsi="仿宋" w:eastAsia="仿宋" w:cs="仿宋"/>
          <w:color w:val="000000" w:themeColor="text1"/>
          <w:sz w:val="36"/>
          <w:szCs w:val="36"/>
          <w:highlight w:val="none"/>
          <w14:textFill>
            <w14:solidFill>
              <w14:schemeClr w14:val="tx1"/>
            </w14:solidFill>
          </w14:textFill>
        </w:rPr>
      </w:pPr>
    </w:p>
    <w:p w14:paraId="13C69C4D">
      <w:pPr>
        <w:pStyle w:val="26"/>
        <w:spacing w:line="240" w:lineRule="auto"/>
        <w:ind w:firstLine="0" w:firstLineChars="0"/>
        <w:jc w:val="center"/>
        <w:rPr>
          <w:rFonts w:ascii="仿宋" w:hAnsi="仿宋" w:eastAsia="仿宋" w:cs="仿宋"/>
          <w:color w:val="000000" w:themeColor="text1"/>
          <w:sz w:val="36"/>
          <w:szCs w:val="36"/>
          <w:highlight w:val="none"/>
          <w14:textFill>
            <w14:solidFill>
              <w14:schemeClr w14:val="tx1"/>
            </w14:solidFill>
          </w14:textFill>
        </w:rPr>
      </w:pPr>
    </w:p>
    <w:p w14:paraId="4FB71EE2">
      <w:pPr>
        <w:pStyle w:val="26"/>
        <w:spacing w:line="240" w:lineRule="auto"/>
        <w:ind w:firstLine="0" w:firstLineChars="0"/>
        <w:jc w:val="center"/>
        <w:rPr>
          <w:rFonts w:ascii="仿宋" w:hAnsi="仿宋" w:eastAsia="仿宋" w:cs="仿宋"/>
          <w:color w:val="000000" w:themeColor="text1"/>
          <w:sz w:val="36"/>
          <w:szCs w:val="36"/>
          <w:highlight w:val="none"/>
          <w14:textFill>
            <w14:solidFill>
              <w14:schemeClr w14:val="tx1"/>
            </w14:solidFill>
          </w14:textFill>
        </w:rPr>
      </w:pPr>
    </w:p>
    <w:p w14:paraId="227128B4">
      <w:pPr>
        <w:pStyle w:val="26"/>
        <w:spacing w:line="240" w:lineRule="auto"/>
        <w:ind w:firstLine="0" w:firstLineChars="0"/>
        <w:jc w:val="center"/>
        <w:rPr>
          <w:rFonts w:ascii="仿宋" w:hAnsi="仿宋" w:eastAsia="仿宋" w:cs="仿宋"/>
          <w:color w:val="000000" w:themeColor="text1"/>
          <w:sz w:val="36"/>
          <w:szCs w:val="36"/>
          <w:highlight w:val="none"/>
          <w14:textFill>
            <w14:solidFill>
              <w14:schemeClr w14:val="tx1"/>
            </w14:solidFill>
          </w14:textFill>
        </w:rPr>
      </w:pPr>
    </w:p>
    <w:p w14:paraId="354DF60C">
      <w:pPr>
        <w:pStyle w:val="26"/>
        <w:spacing w:line="240" w:lineRule="auto"/>
        <w:ind w:firstLine="1815" w:firstLineChars="500"/>
        <w:jc w:val="left"/>
        <w:rPr>
          <w:rFonts w:ascii="仿宋" w:hAnsi="仿宋" w:eastAsia="仿宋" w:cs="仿宋"/>
          <w:sz w:val="36"/>
          <w:szCs w:val="36"/>
          <w:highlight w:val="none"/>
          <w:u w:val="single"/>
        </w:rPr>
      </w:pPr>
      <w:r>
        <w:rPr>
          <w:rFonts w:hint="eastAsia" w:ascii="仿宋" w:hAnsi="仿宋" w:eastAsia="仿宋" w:cs="仿宋"/>
          <w:sz w:val="36"/>
          <w:szCs w:val="36"/>
          <w:highlight w:val="none"/>
        </w:rPr>
        <w:t>项目名称：</w:t>
      </w:r>
      <w:r>
        <w:rPr>
          <w:rFonts w:hint="eastAsia" w:ascii="仿宋" w:hAnsi="仿宋" w:eastAsia="仿宋" w:cs="仿宋"/>
          <w:sz w:val="36"/>
          <w:szCs w:val="36"/>
          <w:highlight w:val="none"/>
          <w:u w:val="single"/>
        </w:rPr>
        <w:t xml:space="preserve">              </w:t>
      </w:r>
    </w:p>
    <w:p w14:paraId="08D182EF">
      <w:pPr>
        <w:pStyle w:val="26"/>
        <w:spacing w:line="240" w:lineRule="auto"/>
        <w:ind w:firstLine="1815" w:firstLineChars="500"/>
        <w:rPr>
          <w:rFonts w:ascii="仿宋" w:hAnsi="仿宋" w:eastAsia="仿宋" w:cs="仿宋"/>
          <w:sz w:val="36"/>
          <w:szCs w:val="36"/>
          <w:highlight w:val="none"/>
          <w:u w:val="single"/>
        </w:rPr>
      </w:pPr>
      <w:r>
        <w:rPr>
          <w:rFonts w:hint="eastAsia" w:ascii="仿宋" w:hAnsi="仿宋" w:eastAsia="仿宋" w:cs="仿宋"/>
          <w:sz w:val="36"/>
          <w:szCs w:val="36"/>
          <w:highlight w:val="none"/>
        </w:rPr>
        <w:t>项目编号：</w:t>
      </w:r>
      <w:r>
        <w:rPr>
          <w:rFonts w:hint="eastAsia" w:ascii="仿宋" w:hAnsi="仿宋" w:eastAsia="仿宋" w:cs="仿宋"/>
          <w:sz w:val="36"/>
          <w:szCs w:val="36"/>
          <w:highlight w:val="none"/>
          <w:u w:val="single"/>
        </w:rPr>
        <w:t xml:space="preserve">              </w:t>
      </w:r>
    </w:p>
    <w:p w14:paraId="75B67562">
      <w:pPr>
        <w:pStyle w:val="26"/>
        <w:spacing w:line="240" w:lineRule="auto"/>
        <w:ind w:firstLine="1815" w:firstLineChars="500"/>
        <w:rPr>
          <w:rFonts w:ascii="仿宋" w:hAnsi="仿宋" w:eastAsia="仿宋" w:cs="仿宋"/>
          <w:sz w:val="36"/>
          <w:szCs w:val="36"/>
          <w:highlight w:val="none"/>
        </w:rPr>
      </w:pPr>
      <w:r>
        <w:rPr>
          <w:rFonts w:hint="eastAsia" w:ascii="仿宋" w:hAnsi="仿宋" w:eastAsia="仿宋" w:cs="仿宋"/>
          <w:sz w:val="36"/>
          <w:szCs w:val="36"/>
          <w:highlight w:val="none"/>
          <w:lang w:val="en-US" w:eastAsia="zh-CN"/>
        </w:rPr>
        <w:t>投 标 人</w:t>
      </w:r>
      <w:r>
        <w:rPr>
          <w:rFonts w:hint="eastAsia" w:ascii="仿宋" w:hAnsi="仿宋" w:eastAsia="仿宋" w:cs="仿宋"/>
          <w:sz w:val="36"/>
          <w:szCs w:val="36"/>
          <w:highlight w:val="none"/>
        </w:rPr>
        <w:t>：</w:t>
      </w:r>
      <w:r>
        <w:rPr>
          <w:rFonts w:hint="eastAsia" w:ascii="仿宋" w:hAnsi="仿宋" w:eastAsia="仿宋" w:cs="仿宋"/>
          <w:sz w:val="36"/>
          <w:szCs w:val="36"/>
          <w:highlight w:val="none"/>
          <w:u w:val="single"/>
        </w:rPr>
        <w:t xml:space="preserve">              </w:t>
      </w:r>
      <w:r>
        <w:rPr>
          <w:rFonts w:hint="eastAsia" w:ascii="仿宋" w:hAnsi="仿宋" w:eastAsia="仿宋" w:cs="仿宋"/>
          <w:sz w:val="36"/>
          <w:szCs w:val="36"/>
          <w:highlight w:val="none"/>
        </w:rPr>
        <w:t>（公章）</w:t>
      </w:r>
    </w:p>
    <w:p w14:paraId="12074E36">
      <w:pPr>
        <w:pStyle w:val="26"/>
        <w:spacing w:line="240" w:lineRule="auto"/>
        <w:ind w:firstLine="1815" w:firstLineChars="500"/>
        <w:rPr>
          <w:rFonts w:ascii="仿宋" w:hAnsi="仿宋" w:eastAsia="仿宋" w:cs="仿宋"/>
          <w:sz w:val="36"/>
          <w:szCs w:val="36"/>
          <w:highlight w:val="none"/>
          <w:u w:val="single"/>
        </w:rPr>
      </w:pPr>
      <w:r>
        <w:rPr>
          <w:rFonts w:hint="eastAsia" w:ascii="仿宋" w:hAnsi="仿宋" w:eastAsia="仿宋" w:cs="仿宋"/>
          <w:sz w:val="36"/>
          <w:szCs w:val="36"/>
          <w:highlight w:val="none"/>
        </w:rPr>
        <w:t>时　  间：</w:t>
      </w:r>
      <w:r>
        <w:rPr>
          <w:rFonts w:hint="eastAsia" w:ascii="仿宋" w:hAnsi="仿宋" w:eastAsia="仿宋" w:cs="仿宋"/>
          <w:sz w:val="36"/>
          <w:szCs w:val="36"/>
          <w:highlight w:val="none"/>
          <w:u w:val="single"/>
        </w:rPr>
        <w:t xml:space="preserve">              </w:t>
      </w:r>
    </w:p>
    <w:p w14:paraId="7D5BE14E">
      <w:pPr>
        <w:numPr>
          <w:ilvl w:val="255"/>
          <w:numId w:val="0"/>
        </w:numPr>
        <w:tabs>
          <w:tab w:val="right" w:leader="hyphen" w:pos="8504"/>
        </w:tabs>
        <w:spacing w:line="500" w:lineRule="exact"/>
        <w:ind w:firstLine="18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br w:type="page"/>
      </w:r>
    </w:p>
    <w:p w14:paraId="4A0739B4">
      <w:pPr>
        <w:tabs>
          <w:tab w:val="right" w:leader="hyphen" w:pos="8504"/>
        </w:tabs>
        <w:spacing w:line="500" w:lineRule="exact"/>
        <w:ind w:left="2381" w:leftChars="200" w:right="849" w:rightChars="300" w:hanging="1815" w:hangingChars="500"/>
        <w:jc w:val="center"/>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目  录</w:t>
      </w:r>
    </w:p>
    <w:p w14:paraId="34509191">
      <w:pPr>
        <w:tabs>
          <w:tab w:val="right" w:leader="hyphen" w:pos="8504"/>
        </w:tabs>
        <w:spacing w:line="500" w:lineRule="exact"/>
        <w:ind w:left="1981" w:leftChars="200" w:right="849" w:rightChars="300" w:hanging="1415" w:hangingChars="5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第一部分  资格证明文件</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14:textFill>
            <w14:solidFill>
              <w14:schemeClr w14:val="tx1"/>
            </w14:solidFill>
          </w14:textFill>
        </w:rPr>
        <w:t>X</w:t>
      </w:r>
    </w:p>
    <w:p w14:paraId="397ECB90">
      <w:pPr>
        <w:tabs>
          <w:tab w:val="right" w:leader="hyphen" w:pos="8504"/>
        </w:tabs>
        <w:spacing w:line="500" w:lineRule="exact"/>
        <w:ind w:left="1981" w:leftChars="200" w:right="849" w:rightChars="300" w:hanging="1415" w:hanging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一、营业执照等主体资格证明文件</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755DF946">
      <w:p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二、财务状况报告</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441A1436">
      <w:p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三、社保缴纳证明</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329F7EDC">
      <w:p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四、税收缴纳证明</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59A35766">
      <w:p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五、信用记录</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163F1A2D">
      <w:p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六、控股管理关系</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68C00C1B">
      <w:p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七、书面声明</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08F3204E">
      <w:pPr>
        <w:tabs>
          <w:tab w:val="right" w:leader="hyphen" w:pos="8504"/>
        </w:tabs>
        <w:spacing w:line="500" w:lineRule="exact"/>
        <w:ind w:left="1981" w:leftChars="200" w:right="849" w:rightChars="300" w:hanging="1415" w:hanging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八、法定代表人授权委托书</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6789EDD9">
      <w:pPr>
        <w:tabs>
          <w:tab w:val="right" w:leader="hyphen" w:pos="8504"/>
        </w:tabs>
        <w:spacing w:line="500" w:lineRule="exact"/>
        <w:ind w:left="1981" w:leftChars="500" w:right="849" w:rightChars="300" w:hanging="566" w:hanging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九</w:t>
      </w:r>
      <w:r>
        <w:rPr>
          <w:rFonts w:hint="eastAsia" w:ascii="仿宋" w:hAnsi="仿宋" w:eastAsia="仿宋" w:cs="仿宋"/>
          <w:color w:val="000000" w:themeColor="text1"/>
          <w:highlight w:val="none"/>
          <w14:textFill>
            <w14:solidFill>
              <w14:schemeClr w14:val="tx1"/>
            </w14:solidFill>
          </w14:textFill>
        </w:rPr>
        <w:t>、本项目不接受联合体投标，不允许分包</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47BFBC90">
      <w:pPr>
        <w:tabs>
          <w:tab w:val="right" w:leader="hyphen" w:pos="8504"/>
        </w:tabs>
        <w:spacing w:line="500" w:lineRule="exact"/>
        <w:ind w:left="1981" w:leftChars="200" w:right="849" w:rightChars="300" w:hanging="1415" w:hangingChars="5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第二部分  符合性证明文件</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14:textFill>
            <w14:solidFill>
              <w14:schemeClr w14:val="tx1"/>
            </w14:solidFill>
          </w14:textFill>
        </w:rPr>
        <w:t>X</w:t>
      </w:r>
    </w:p>
    <w:p w14:paraId="7A1109A1">
      <w:p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一、投标函格式</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7F694404">
      <w:pPr>
        <w:tabs>
          <w:tab w:val="right" w:leader="hyphen" w:pos="8504"/>
        </w:tabs>
        <w:spacing w:line="500" w:lineRule="exact"/>
        <w:ind w:left="1981" w:leftChars="500" w:right="849" w:rightChars="300" w:hanging="566" w:hanging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二、开标一览表</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245D5F3A">
      <w:pPr>
        <w:tabs>
          <w:tab w:val="right" w:leader="hyphen" w:pos="8504"/>
        </w:tabs>
        <w:spacing w:line="500" w:lineRule="exact"/>
        <w:ind w:left="1981" w:leftChars="200" w:right="849" w:rightChars="300" w:hanging="1415" w:hanging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分项报价表</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02DDC01A">
      <w:pPr>
        <w:numPr>
          <w:ilvl w:val="255"/>
          <w:numId w:val="0"/>
        </w:numPr>
        <w:tabs>
          <w:tab w:val="right" w:leader="hyphen" w:pos="8504"/>
        </w:tabs>
        <w:spacing w:line="500" w:lineRule="exact"/>
        <w:ind w:left="1415" w:right="849" w:rightChars="3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三、投标人承诺书</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75E07D15">
      <w:pPr>
        <w:tabs>
          <w:tab w:val="right" w:leader="hyphen" w:pos="8504"/>
        </w:tabs>
        <w:spacing w:line="500" w:lineRule="exact"/>
        <w:ind w:right="849" w:rightChars="300" w:firstLine="1981" w:firstLineChars="7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（一）质量安全责任承诺书</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76C17900">
      <w:pPr>
        <w:tabs>
          <w:tab w:val="right" w:leader="hyphen" w:pos="8504"/>
        </w:tabs>
        <w:spacing w:line="500" w:lineRule="exact"/>
        <w:ind w:right="849" w:rightChars="300" w:firstLine="1981" w:firstLineChars="7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（二）拒绝政府采购领域商业贿赂承诺书</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0F6C72AE">
      <w:p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w:t>
      </w:r>
      <w:r>
        <w:rPr>
          <w:rFonts w:hint="eastAsia" w:ascii="仿宋" w:hAnsi="仿宋" w:eastAsia="仿宋" w:cs="仿宋"/>
          <w:color w:val="000000"/>
          <w:highlight w:val="none"/>
        </w:rPr>
        <w:t>实质性条款响应</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185000E5">
      <w:pPr>
        <w:tabs>
          <w:tab w:val="right" w:leader="hyphen" w:pos="8504"/>
        </w:tabs>
        <w:spacing w:line="500" w:lineRule="exact"/>
        <w:ind w:left="1981" w:leftChars="500" w:right="849" w:rightChars="300" w:hanging="566" w:hanging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五、合同条款响应</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5A7A0BA8">
      <w:pPr>
        <w:tabs>
          <w:tab w:val="right" w:leader="hyphen" w:pos="8504"/>
        </w:tabs>
        <w:spacing w:line="500" w:lineRule="exact"/>
        <w:ind w:right="849" w:rightChars="300"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第三部分  投标方案</w:t>
      </w:r>
      <w:r>
        <w:rPr>
          <w:rFonts w:hint="eastAsia" w:ascii="仿宋" w:hAnsi="仿宋" w:eastAsia="仿宋" w:cs="仿宋"/>
          <w:b/>
          <w:bCs/>
          <w:color w:val="000000" w:themeColor="text1"/>
          <w:highlight w:val="none"/>
          <w14:textFill>
            <w14:solidFill>
              <w14:schemeClr w14:val="tx1"/>
            </w14:solidFill>
          </w14:textFill>
        </w:rPr>
        <w:tab/>
      </w:r>
      <w:r>
        <w:rPr>
          <w:rFonts w:hint="eastAsia" w:ascii="仿宋" w:hAnsi="仿宋" w:eastAsia="仿宋" w:cs="仿宋"/>
          <w:b/>
          <w:bCs/>
          <w:color w:val="000000" w:themeColor="text1"/>
          <w:highlight w:val="none"/>
          <w14:textFill>
            <w14:solidFill>
              <w14:schemeClr w14:val="tx1"/>
            </w14:solidFill>
          </w14:textFill>
        </w:rPr>
        <w:t>X</w:t>
      </w:r>
    </w:p>
    <w:p w14:paraId="2D1B7D86">
      <w:p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一、投标人性质及概况</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589CC10F">
      <w:pPr>
        <w:numPr>
          <w:ilvl w:val="255"/>
          <w:numId w:val="0"/>
        </w:num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二、投标方案</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3F55FDDB">
      <w:pPr>
        <w:numPr>
          <w:ilvl w:val="255"/>
          <w:numId w:val="0"/>
        </w:numPr>
        <w:tabs>
          <w:tab w:val="right" w:leader="hyphen" w:pos="8504"/>
        </w:tabs>
        <w:spacing w:line="500" w:lineRule="exact"/>
        <w:ind w:right="849" w:rightChars="300" w:firstLine="1415" w:firstLineChars="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三、参考样表</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14:paraId="1EA5EBA3">
      <w:pPr>
        <w:rPr>
          <w:rFonts w:ascii="仿宋" w:hAnsi="仿宋" w:eastAsia="仿宋" w:cs="仿宋"/>
          <w:color w:val="000000" w:themeColor="text1"/>
          <w:highlight w:val="none"/>
          <w14:textFill>
            <w14:solidFill>
              <w14:schemeClr w14:val="tx1"/>
            </w14:solidFill>
          </w14:textFill>
        </w:rPr>
      </w:pPr>
      <w:bookmarkStart w:id="306" w:name="_Toc6003"/>
      <w:bookmarkStart w:id="307" w:name="_Toc27546"/>
      <w:bookmarkStart w:id="308" w:name="_Toc12653"/>
      <w:r>
        <w:rPr>
          <w:rFonts w:hint="eastAsia" w:ascii="仿宋" w:hAnsi="仿宋" w:eastAsia="仿宋" w:cs="仿宋"/>
          <w:color w:val="000000" w:themeColor="text1"/>
          <w:highlight w:val="none"/>
          <w14:textFill>
            <w14:solidFill>
              <w14:schemeClr w14:val="tx1"/>
            </w14:solidFill>
          </w14:textFill>
        </w:rPr>
        <w:br w:type="page"/>
      </w:r>
    </w:p>
    <w:p w14:paraId="0CAEF2D3">
      <w:pPr>
        <w:pStyle w:val="27"/>
        <w:rPr>
          <w:rFonts w:ascii="仿宋" w:hAnsi="仿宋" w:eastAsia="仿宋" w:cs="仿宋"/>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第一部分  资格证明文件</w:t>
      </w:r>
      <w:bookmarkEnd w:id="306"/>
      <w:bookmarkEnd w:id="307"/>
      <w:bookmarkEnd w:id="308"/>
    </w:p>
    <w:p w14:paraId="540EEEB1">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投标人应按照招标文件第一章第十项所列“投标人资格要求”逐一提供全部资格证明文件。缺少其中任何一项，其投标文件将被视为无效文件。其中，《供应商信用记录书面声明函》</w:t>
      </w:r>
      <w:r>
        <w:rPr>
          <w:rFonts w:hint="eastAsia" w:ascii="仿宋" w:hAnsi="仿宋" w:eastAsia="仿宋" w:cs="仿宋"/>
          <w:color w:val="000000" w:themeColor="text1"/>
          <w:highlight w:val="none"/>
          <w:lang w:eastAsia="zh-CN"/>
          <w14:textFill>
            <w14:solidFill>
              <w14:schemeClr w14:val="tx1"/>
            </w14:solidFill>
          </w14:textFill>
        </w:rPr>
        <w:t>《控股管理关系》</w:t>
      </w:r>
      <w:r>
        <w:rPr>
          <w:rFonts w:hint="eastAsia" w:ascii="仿宋" w:hAnsi="仿宋" w:eastAsia="仿宋" w:cs="仿宋"/>
          <w:color w:val="000000" w:themeColor="text1"/>
          <w:highlight w:val="none"/>
          <w14:textFill>
            <w14:solidFill>
              <w14:schemeClr w14:val="tx1"/>
            </w14:solidFill>
          </w14:textFill>
        </w:rPr>
        <w:t>《书面声明》《法定代表人授权委托书》《非联合体不分包投标声明》须按下文给定格式填写。特别说明，法定代表人亲自参加投标的，可不提供法定代表人授权委托书，但须提供其本人身份证（正反面）复印件。</w:t>
      </w:r>
    </w:p>
    <w:p w14:paraId="07827A3C">
      <w:pPr>
        <w:spacing w:line="500" w:lineRule="exact"/>
        <w:ind w:firstLine="562"/>
        <w:outlineLvl w:val="2"/>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一、营业执照等主体资格证明文件</w:t>
      </w:r>
    </w:p>
    <w:p w14:paraId="6F4A1909">
      <w:pPr>
        <w:spacing w:line="500" w:lineRule="exact"/>
        <w:ind w:firstLine="562"/>
        <w:outlineLvl w:val="2"/>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二、财务状况报告</w:t>
      </w:r>
    </w:p>
    <w:p w14:paraId="1036CEDB">
      <w:pPr>
        <w:spacing w:line="500" w:lineRule="exact"/>
        <w:ind w:firstLine="562"/>
        <w:outlineLvl w:val="2"/>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三、社保缴纳证明</w:t>
      </w:r>
    </w:p>
    <w:p w14:paraId="6B2A2223">
      <w:pPr>
        <w:spacing w:line="500" w:lineRule="exact"/>
        <w:ind w:firstLine="562"/>
        <w:outlineLvl w:val="2"/>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四、税收缴纳证明</w:t>
      </w:r>
    </w:p>
    <w:p w14:paraId="155C44E6">
      <w:pPr>
        <w:spacing w:line="500" w:lineRule="exact"/>
        <w:ind w:firstLine="562"/>
        <w:outlineLvl w:val="2"/>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五、信用记录</w:t>
      </w:r>
    </w:p>
    <w:p w14:paraId="3706B759">
      <w:pPr>
        <w:pStyle w:val="28"/>
        <w:jc w:val="center"/>
        <w:outlineLvl w:val="9"/>
        <w:rPr>
          <w:rFonts w:ascii="仿宋" w:hAnsi="仿宋" w:eastAsia="仿宋" w:cs="仿宋"/>
          <w:color w:val="000000" w:themeColor="text1"/>
          <w:sz w:val="30"/>
          <w:szCs w:val="30"/>
          <w:highlight w:val="none"/>
          <w14:textFill>
            <w14:solidFill>
              <w14:schemeClr w14:val="tx1"/>
            </w14:solidFill>
          </w14:textFill>
        </w:rPr>
      </w:pPr>
      <w:bookmarkStart w:id="309" w:name="_Toc528596084"/>
      <w:bookmarkStart w:id="310" w:name="_Toc22518"/>
      <w:bookmarkStart w:id="311" w:name="_Toc726"/>
      <w:bookmarkStart w:id="312" w:name="_Toc9011"/>
    </w:p>
    <w:p w14:paraId="3C7A8F76">
      <w:pPr>
        <w:rPr>
          <w:rFonts w:ascii="仿宋" w:hAnsi="仿宋" w:eastAsia="仿宋" w:cs="仿宋"/>
          <w:color w:val="000000" w:themeColor="text1"/>
          <w:highlight w:val="none"/>
          <w14:textFill>
            <w14:solidFill>
              <w14:schemeClr w14:val="tx1"/>
            </w14:solidFill>
          </w14:textFill>
        </w:rPr>
      </w:pPr>
    </w:p>
    <w:p w14:paraId="697E6B84">
      <w:pPr>
        <w:pStyle w:val="28"/>
        <w:jc w:val="center"/>
        <w:outlineLvl w:val="9"/>
        <w:rPr>
          <w:rFonts w:ascii="仿宋" w:hAnsi="仿宋" w:eastAsia="仿宋" w:cs="仿宋"/>
          <w:color w:val="000000" w:themeColor="text1"/>
          <w:sz w:val="30"/>
          <w:szCs w:val="30"/>
          <w:highlight w:val="none"/>
          <w14:textFill>
            <w14:solidFill>
              <w14:schemeClr w14:val="tx1"/>
            </w14:solidFill>
          </w14:textFill>
        </w:rPr>
      </w:pPr>
      <w:bookmarkStart w:id="313" w:name="_Toc18549"/>
      <w:bookmarkStart w:id="314" w:name="_Toc28966"/>
      <w:bookmarkStart w:id="315" w:name="_Toc17677"/>
      <w:bookmarkStart w:id="316" w:name="_Toc2990"/>
      <w:bookmarkStart w:id="317" w:name="_Toc28457"/>
      <w:bookmarkStart w:id="318" w:name="_Toc28054"/>
      <w:bookmarkStart w:id="319" w:name="_Toc6424"/>
      <w:bookmarkStart w:id="320" w:name="_Toc2275"/>
      <w:bookmarkStart w:id="321" w:name="_Toc17411"/>
      <w:bookmarkStart w:id="322" w:name="_Toc19115"/>
      <w:bookmarkStart w:id="323" w:name="_Toc4199"/>
      <w:r>
        <w:rPr>
          <w:rFonts w:hint="eastAsia" w:ascii="仿宋" w:hAnsi="仿宋" w:eastAsia="仿宋" w:cs="仿宋"/>
          <w:color w:val="000000" w:themeColor="text1"/>
          <w:sz w:val="30"/>
          <w:szCs w:val="30"/>
          <w:highlight w:val="none"/>
          <w14:textFill>
            <w14:solidFill>
              <w14:schemeClr w14:val="tx1"/>
            </w14:solidFill>
          </w14:textFill>
        </w:rPr>
        <w:t>供应商信用记录书面声明函</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hint="eastAsia" w:ascii="仿宋" w:hAnsi="仿宋" w:eastAsia="仿宋" w:cs="仿宋"/>
          <w:color w:val="000000" w:themeColor="text1"/>
          <w:sz w:val="30"/>
          <w:szCs w:val="30"/>
          <w:highlight w:val="none"/>
          <w14:textFill>
            <w14:solidFill>
              <w14:schemeClr w14:val="tx1"/>
            </w14:solidFill>
          </w14:textFill>
        </w:rPr>
        <w:t>（格式）</w:t>
      </w:r>
    </w:p>
    <w:p w14:paraId="203E553C">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陕西省省级单位政府采购中心：</w:t>
      </w:r>
    </w:p>
    <w:p w14:paraId="5C18E94B">
      <w:pPr>
        <w:spacing w:line="500" w:lineRule="exact"/>
        <w:ind w:right="11"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我方作为《</w:t>
      </w:r>
      <w:r>
        <w:rPr>
          <w:rFonts w:hint="eastAsia" w:ascii="仿宋" w:hAnsi="仿宋" w:eastAsia="仿宋" w:cs="仿宋"/>
          <w:color w:val="000000" w:themeColor="text1"/>
          <w:highlight w:val="none"/>
          <w:u w:val="single"/>
          <w14:textFill>
            <w14:solidFill>
              <w14:schemeClr w14:val="tx1"/>
            </w14:solidFill>
          </w14:textFill>
        </w:rPr>
        <w:t>项目名称</w:t>
      </w: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）第</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标段的投标人，在此郑重声明：</w:t>
      </w:r>
    </w:p>
    <w:p w14:paraId="01DD3AB1">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1、在参加本次政府采购活动前3年内的经营活动中____（填“没有”或“有”）重大违法记录。</w:t>
      </w:r>
      <w:r>
        <w:rPr>
          <w:rFonts w:hint="eastAsia" w:ascii="仿宋" w:hAnsi="仿宋" w:eastAsia="仿宋" w:cs="仿宋"/>
          <w:b/>
          <w:bCs/>
          <w:color w:val="000000" w:themeColor="text1"/>
          <w:highlight w:val="none"/>
          <w14:textFill>
            <w14:solidFill>
              <w14:schemeClr w14:val="tx1"/>
            </w14:solidFill>
          </w14:textFill>
        </w:rPr>
        <w:t>投标人在参加政府采购活动前3年内因违法经营被禁止在一定期限内参加政府采购活动，期限届满的，可以参加政府采购活动，但应提供期限届满的证明材料。</w:t>
      </w:r>
    </w:p>
    <w:p w14:paraId="2040D8B3">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2、我方______（填“未被列入”或“被列入”）失信被执行人名单。</w:t>
      </w:r>
    </w:p>
    <w:p w14:paraId="2750AB7D">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3、我方______（填“未被列入”或“被列入”）重大税收违法案件当事人名单。</w:t>
      </w:r>
    </w:p>
    <w:p w14:paraId="5EA0245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4、我方______（填“未被列入”或“被列入”）政府采购严重违法失信行为记录名单。</w:t>
      </w:r>
    </w:p>
    <w:p w14:paraId="14F2FF9D">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如有不实，我方将无条件地退出本项目的采购活动，并遵照《政府采购法》有关“提供虚假材料的规定”接受处罚。</w:t>
      </w:r>
    </w:p>
    <w:p w14:paraId="182ADCA7">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特此声明。</w:t>
      </w:r>
    </w:p>
    <w:p w14:paraId="09BC7AEB">
      <w:pPr>
        <w:spacing w:line="500" w:lineRule="exact"/>
        <w:ind w:firstLine="4811" w:firstLineChars="17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1A40FA12">
      <w:pPr>
        <w:spacing w:line="500" w:lineRule="exact"/>
        <w:ind w:firstLine="5094" w:firstLineChars="18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1AF0768F">
      <w:pPr>
        <w:spacing w:line="500" w:lineRule="exact"/>
        <w:ind w:firstLine="426" w:firstLineChars="200"/>
        <w:rPr>
          <w:rFonts w:ascii="仿宋" w:hAnsi="仿宋" w:eastAsia="仿宋" w:cs="仿宋"/>
          <w:color w:val="000000" w:themeColor="text1"/>
          <w:sz w:val="21"/>
          <w:szCs w:val="21"/>
          <w:highlight w:val="none"/>
          <w14:textFill>
            <w14:solidFill>
              <w14:schemeClr w14:val="tx1"/>
            </w14:solidFill>
          </w14:textFill>
        </w:rPr>
      </w:pPr>
    </w:p>
    <w:p w14:paraId="7052A434">
      <w:pPr>
        <w:pStyle w:val="15"/>
        <w:ind w:firstLine="21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备注：项目不分标段的，第___标段空白处填写“/”。</w:t>
      </w:r>
    </w:p>
    <w:p w14:paraId="65C41D91">
      <w:pPr>
        <w:pStyle w:val="15"/>
        <w:ind w:firstLine="183"/>
        <w:rPr>
          <w:rFonts w:ascii="仿宋" w:hAnsi="仿宋" w:eastAsia="仿宋" w:cs="仿宋"/>
          <w:color w:val="000000" w:themeColor="text1"/>
          <w:highlight w:val="none"/>
          <w14:textFill>
            <w14:solidFill>
              <w14:schemeClr w14:val="tx1"/>
            </w14:solidFill>
          </w14:textFill>
        </w:rPr>
      </w:pPr>
    </w:p>
    <w:p w14:paraId="0C9B517F">
      <w:pPr>
        <w:pStyle w:val="15"/>
        <w:ind w:firstLine="183"/>
        <w:rPr>
          <w:rFonts w:ascii="仿宋" w:hAnsi="仿宋" w:eastAsia="仿宋" w:cs="仿宋"/>
          <w:color w:val="000000" w:themeColor="text1"/>
          <w:highlight w:val="none"/>
          <w14:textFill>
            <w14:solidFill>
              <w14:schemeClr w14:val="tx1"/>
            </w14:solidFill>
          </w14:textFill>
        </w:rPr>
      </w:pPr>
    </w:p>
    <w:p w14:paraId="4C5526A8">
      <w:pPr>
        <w:pStyle w:val="28"/>
        <w:outlineLvl w:val="9"/>
        <w:rPr>
          <w:rFonts w:ascii="仿宋" w:hAnsi="仿宋" w:eastAsia="仿宋" w:cs="仿宋"/>
          <w:color w:val="000000" w:themeColor="text1"/>
          <w:sz w:val="28"/>
          <w:szCs w:val="28"/>
          <w:highlight w:val="none"/>
          <w14:textFill>
            <w14:solidFill>
              <w14:schemeClr w14:val="tx1"/>
            </w14:solidFill>
          </w14:textFill>
        </w:rPr>
      </w:pPr>
      <w:bookmarkStart w:id="324" w:name="_Toc29757"/>
      <w:bookmarkStart w:id="325" w:name="_Toc9550"/>
    </w:p>
    <w:p w14:paraId="3FA31EE6">
      <w:pPr>
        <w:pStyle w:val="21"/>
        <w:ind w:firstLine="0" w:firstLineChars="0"/>
        <w:rPr>
          <w:rFonts w:ascii="仿宋" w:hAnsi="仿宋" w:eastAsia="仿宋" w:cs="仿宋"/>
          <w:color w:val="000000" w:themeColor="text1"/>
          <w:highlight w:val="none"/>
          <w14:textFill>
            <w14:solidFill>
              <w14:schemeClr w14:val="tx1"/>
            </w14:solidFill>
          </w14:textFill>
        </w:rPr>
      </w:pPr>
    </w:p>
    <w:p w14:paraId="4D20026E">
      <w:pPr>
        <w:pStyle w:val="21"/>
        <w:rPr>
          <w:rFonts w:ascii="仿宋" w:hAnsi="仿宋" w:eastAsia="仿宋" w:cs="仿宋"/>
          <w:color w:val="000000" w:themeColor="text1"/>
          <w:highlight w:val="none"/>
          <w14:textFill>
            <w14:solidFill>
              <w14:schemeClr w14:val="tx1"/>
            </w14:solidFill>
          </w14:textFill>
        </w:rPr>
      </w:pPr>
    </w:p>
    <w:p w14:paraId="481998EC">
      <w:pPr>
        <w:pStyle w:val="21"/>
        <w:ind w:firstLine="0" w:firstLineChars="0"/>
        <w:rPr>
          <w:rFonts w:ascii="仿宋" w:hAnsi="仿宋" w:eastAsia="仿宋" w:cs="仿宋"/>
          <w:color w:val="000000" w:themeColor="text1"/>
          <w:highlight w:val="none"/>
          <w14:textFill>
            <w14:solidFill>
              <w14:schemeClr w14:val="tx1"/>
            </w14:solidFill>
          </w14:textFill>
        </w:rPr>
      </w:pPr>
    </w:p>
    <w:p w14:paraId="6EB6C8D7">
      <w:pPr>
        <w:pStyle w:val="21"/>
        <w:ind w:firstLine="0" w:firstLineChars="0"/>
        <w:rPr>
          <w:rFonts w:ascii="仿宋" w:hAnsi="仿宋" w:eastAsia="仿宋" w:cs="仿宋"/>
          <w:color w:val="000000" w:themeColor="text1"/>
          <w:highlight w:val="none"/>
          <w14:textFill>
            <w14:solidFill>
              <w14:schemeClr w14:val="tx1"/>
            </w14:solidFill>
          </w14:textFill>
        </w:rPr>
      </w:pPr>
    </w:p>
    <w:p w14:paraId="176B83D9">
      <w:pPr>
        <w:pStyle w:val="21"/>
        <w:ind w:firstLine="0" w:firstLineChars="0"/>
        <w:rPr>
          <w:rFonts w:ascii="仿宋" w:hAnsi="仿宋" w:eastAsia="仿宋" w:cs="仿宋"/>
          <w:color w:val="000000" w:themeColor="text1"/>
          <w:highlight w:val="none"/>
          <w14:textFill>
            <w14:solidFill>
              <w14:schemeClr w14:val="tx1"/>
            </w14:solidFill>
          </w14:textFill>
        </w:rPr>
      </w:pPr>
    </w:p>
    <w:p w14:paraId="6638B52C">
      <w:pPr>
        <w:pStyle w:val="21"/>
        <w:ind w:firstLine="0" w:firstLineChars="0"/>
        <w:rPr>
          <w:rFonts w:ascii="仿宋" w:hAnsi="仿宋" w:eastAsia="仿宋" w:cs="仿宋"/>
          <w:color w:val="000000" w:themeColor="text1"/>
          <w:highlight w:val="none"/>
          <w14:textFill>
            <w14:solidFill>
              <w14:schemeClr w14:val="tx1"/>
            </w14:solidFill>
          </w14:textFill>
        </w:rPr>
      </w:pPr>
    </w:p>
    <w:p w14:paraId="6932A19B">
      <w:pPr>
        <w:pStyle w:val="21"/>
        <w:ind w:firstLine="0" w:firstLineChars="0"/>
        <w:rPr>
          <w:rFonts w:ascii="仿宋" w:hAnsi="仿宋" w:eastAsia="仿宋" w:cs="仿宋"/>
          <w:color w:val="000000" w:themeColor="text1"/>
          <w:highlight w:val="none"/>
          <w14:textFill>
            <w14:solidFill>
              <w14:schemeClr w14:val="tx1"/>
            </w14:solidFill>
          </w14:textFill>
        </w:rPr>
      </w:pPr>
    </w:p>
    <w:p w14:paraId="45BFF6EC">
      <w:pPr>
        <w:pStyle w:val="21"/>
        <w:ind w:firstLine="0" w:firstLineChars="0"/>
        <w:rPr>
          <w:rFonts w:ascii="仿宋" w:hAnsi="仿宋" w:eastAsia="仿宋" w:cs="仿宋"/>
          <w:color w:val="000000" w:themeColor="text1"/>
          <w:highlight w:val="none"/>
          <w14:textFill>
            <w14:solidFill>
              <w14:schemeClr w14:val="tx1"/>
            </w14:solidFill>
          </w14:textFill>
        </w:rPr>
      </w:pPr>
    </w:p>
    <w:p w14:paraId="06AA2496">
      <w:pPr>
        <w:pStyle w:val="21"/>
        <w:ind w:firstLine="0" w:firstLineChars="0"/>
        <w:rPr>
          <w:rFonts w:ascii="仿宋" w:hAnsi="仿宋" w:eastAsia="仿宋" w:cs="仿宋"/>
          <w:color w:val="000000" w:themeColor="text1"/>
          <w:highlight w:val="none"/>
          <w14:textFill>
            <w14:solidFill>
              <w14:schemeClr w14:val="tx1"/>
            </w14:solidFill>
          </w14:textFill>
        </w:rPr>
      </w:pPr>
    </w:p>
    <w:p w14:paraId="341F73B4">
      <w:pPr>
        <w:pStyle w:val="21"/>
        <w:ind w:firstLine="0" w:firstLineChars="0"/>
        <w:rPr>
          <w:rFonts w:ascii="仿宋" w:hAnsi="仿宋" w:eastAsia="仿宋" w:cs="仿宋"/>
          <w:color w:val="000000" w:themeColor="text1"/>
          <w:highlight w:val="none"/>
          <w14:textFill>
            <w14:solidFill>
              <w14:schemeClr w14:val="tx1"/>
            </w14:solidFill>
          </w14:textFill>
        </w:rPr>
      </w:pPr>
    </w:p>
    <w:p w14:paraId="677937C2">
      <w:pPr>
        <w:pStyle w:val="21"/>
        <w:ind w:firstLine="0" w:firstLineChars="0"/>
        <w:rPr>
          <w:rFonts w:ascii="仿宋" w:hAnsi="仿宋" w:eastAsia="仿宋" w:cs="仿宋"/>
          <w:color w:val="000000" w:themeColor="text1"/>
          <w:highlight w:val="none"/>
          <w14:textFill>
            <w14:solidFill>
              <w14:schemeClr w14:val="tx1"/>
            </w14:solidFill>
          </w14:textFill>
        </w:rPr>
      </w:pPr>
    </w:p>
    <w:p w14:paraId="7F285830">
      <w:pPr>
        <w:pStyle w:val="21"/>
        <w:ind w:firstLine="0" w:firstLineChars="0"/>
        <w:rPr>
          <w:rFonts w:ascii="仿宋" w:hAnsi="仿宋" w:eastAsia="仿宋" w:cs="仿宋"/>
          <w:color w:val="000000" w:themeColor="text1"/>
          <w:highlight w:val="none"/>
          <w14:textFill>
            <w14:solidFill>
              <w14:schemeClr w14:val="tx1"/>
            </w14:solidFill>
          </w14:textFill>
        </w:rPr>
      </w:pPr>
    </w:p>
    <w:p w14:paraId="0E4B36C6">
      <w:pPr>
        <w:pStyle w:val="21"/>
        <w:ind w:firstLine="0" w:firstLineChars="0"/>
        <w:rPr>
          <w:rFonts w:ascii="仿宋" w:hAnsi="仿宋" w:eastAsia="仿宋" w:cs="仿宋"/>
          <w:color w:val="000000" w:themeColor="text1"/>
          <w:highlight w:val="none"/>
          <w14:textFill>
            <w14:solidFill>
              <w14:schemeClr w14:val="tx1"/>
            </w14:solidFill>
          </w14:textFill>
        </w:rPr>
      </w:pPr>
    </w:p>
    <w:p w14:paraId="09F098C5">
      <w:pPr>
        <w:pStyle w:val="21"/>
        <w:ind w:firstLine="0" w:firstLineChars="0"/>
        <w:rPr>
          <w:rFonts w:ascii="仿宋" w:hAnsi="仿宋" w:eastAsia="仿宋" w:cs="仿宋"/>
          <w:color w:val="000000" w:themeColor="text1"/>
          <w:highlight w:val="none"/>
          <w14:textFill>
            <w14:solidFill>
              <w14:schemeClr w14:val="tx1"/>
            </w14:solidFill>
          </w14:textFill>
        </w:rPr>
      </w:pPr>
    </w:p>
    <w:p w14:paraId="624FE039">
      <w:pPr>
        <w:pStyle w:val="21"/>
        <w:ind w:firstLine="0" w:firstLineChars="0"/>
        <w:rPr>
          <w:rFonts w:ascii="仿宋" w:hAnsi="仿宋" w:eastAsia="仿宋" w:cs="仿宋"/>
          <w:color w:val="000000" w:themeColor="text1"/>
          <w:highlight w:val="none"/>
          <w14:textFill>
            <w14:solidFill>
              <w14:schemeClr w14:val="tx1"/>
            </w14:solidFill>
          </w14:textFill>
        </w:rPr>
      </w:pPr>
    </w:p>
    <w:p w14:paraId="6B5FE073">
      <w:pPr>
        <w:pStyle w:val="21"/>
        <w:ind w:firstLine="0" w:firstLineChars="0"/>
        <w:rPr>
          <w:rFonts w:ascii="仿宋" w:hAnsi="仿宋" w:eastAsia="仿宋" w:cs="仿宋"/>
          <w:color w:val="000000" w:themeColor="text1"/>
          <w:highlight w:val="none"/>
          <w14:textFill>
            <w14:solidFill>
              <w14:schemeClr w14:val="tx1"/>
            </w14:solidFill>
          </w14:textFill>
        </w:rPr>
      </w:pPr>
    </w:p>
    <w:p w14:paraId="52F31276">
      <w:pPr>
        <w:pStyle w:val="21"/>
        <w:ind w:firstLine="0" w:firstLineChars="0"/>
        <w:rPr>
          <w:rFonts w:ascii="仿宋" w:hAnsi="仿宋" w:eastAsia="仿宋" w:cs="仿宋"/>
          <w:color w:val="000000" w:themeColor="text1"/>
          <w:highlight w:val="none"/>
          <w14:textFill>
            <w14:solidFill>
              <w14:schemeClr w14:val="tx1"/>
            </w14:solidFill>
          </w14:textFill>
        </w:rPr>
      </w:pPr>
    </w:p>
    <w:p w14:paraId="5CB6579B">
      <w:pPr>
        <w:pStyle w:val="21"/>
        <w:ind w:firstLine="0" w:firstLineChars="0"/>
        <w:rPr>
          <w:rFonts w:ascii="仿宋" w:hAnsi="仿宋" w:eastAsia="仿宋" w:cs="仿宋"/>
          <w:color w:val="000000" w:themeColor="text1"/>
          <w:highlight w:val="none"/>
          <w14:textFill>
            <w14:solidFill>
              <w14:schemeClr w14:val="tx1"/>
            </w14:solidFill>
          </w14:textFill>
        </w:rPr>
      </w:pPr>
    </w:p>
    <w:p w14:paraId="7E691E15">
      <w:pPr>
        <w:pStyle w:val="21"/>
        <w:ind w:firstLine="0" w:firstLineChars="0"/>
        <w:rPr>
          <w:rFonts w:ascii="仿宋" w:hAnsi="仿宋" w:eastAsia="仿宋" w:cs="仿宋"/>
          <w:color w:val="000000" w:themeColor="text1"/>
          <w:highlight w:val="none"/>
          <w14:textFill>
            <w14:solidFill>
              <w14:schemeClr w14:val="tx1"/>
            </w14:solidFill>
          </w14:textFill>
        </w:rPr>
      </w:pPr>
    </w:p>
    <w:p w14:paraId="23B6A3FE">
      <w:pPr>
        <w:pStyle w:val="21"/>
        <w:ind w:firstLine="0" w:firstLineChars="0"/>
        <w:rPr>
          <w:rFonts w:ascii="仿宋" w:hAnsi="仿宋" w:eastAsia="仿宋" w:cs="仿宋"/>
          <w:color w:val="000000" w:themeColor="text1"/>
          <w:highlight w:val="none"/>
          <w14:textFill>
            <w14:solidFill>
              <w14:schemeClr w14:val="tx1"/>
            </w14:solidFill>
          </w14:textFill>
        </w:rPr>
      </w:pPr>
    </w:p>
    <w:p w14:paraId="7495F234">
      <w:pPr>
        <w:pStyle w:val="21"/>
        <w:ind w:firstLine="0" w:firstLineChars="0"/>
        <w:rPr>
          <w:rFonts w:ascii="仿宋" w:hAnsi="仿宋" w:eastAsia="仿宋" w:cs="仿宋"/>
          <w:color w:val="000000" w:themeColor="text1"/>
          <w:highlight w:val="none"/>
          <w14:textFill>
            <w14:solidFill>
              <w14:schemeClr w14:val="tx1"/>
            </w14:solidFill>
          </w14:textFill>
        </w:rPr>
      </w:pPr>
    </w:p>
    <w:p w14:paraId="061D43CC">
      <w:pPr>
        <w:pStyle w:val="15"/>
        <w:numPr>
          <w:ilvl w:val="-1"/>
          <w:numId w:val="0"/>
        </w:numPr>
        <w:ind w:left="0" w:firstLine="606" w:firstLineChars="200"/>
        <w:outlineLvl w:val="2"/>
        <w:rPr>
          <w:rFonts w:ascii="仿宋" w:hAnsi="仿宋" w:eastAsia="仿宋" w:cs="仿宋"/>
          <w:b/>
          <w:bCs/>
          <w:color w:val="000000" w:themeColor="text1"/>
          <w:sz w:val="30"/>
          <w:szCs w:val="30"/>
          <w:highlight w:val="none"/>
          <w14:textFill>
            <w14:solidFill>
              <w14:schemeClr w14:val="tx1"/>
            </w14:solidFill>
          </w14:textFill>
        </w:rPr>
      </w:pPr>
      <w:bookmarkStart w:id="326" w:name="_Toc5613"/>
      <w:bookmarkStart w:id="327" w:name="_Toc3475"/>
      <w:bookmarkStart w:id="328" w:name="_Toc14266"/>
      <w:bookmarkStart w:id="329" w:name="_Toc6319"/>
      <w:bookmarkStart w:id="330" w:name="_Toc14054"/>
      <w:bookmarkStart w:id="331" w:name="_Toc24508"/>
      <w:bookmarkStart w:id="332" w:name="_Toc28599"/>
      <w:bookmarkStart w:id="333" w:name="_Toc13686"/>
      <w:bookmarkStart w:id="334" w:name="_Toc27767"/>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六、</w:t>
      </w:r>
      <w:r>
        <w:rPr>
          <w:rFonts w:hint="eastAsia" w:ascii="仿宋" w:hAnsi="仿宋" w:eastAsia="仿宋" w:cs="仿宋"/>
          <w:b/>
          <w:bCs/>
          <w:color w:val="000000" w:themeColor="text1"/>
          <w:sz w:val="30"/>
          <w:szCs w:val="30"/>
          <w:highlight w:val="none"/>
          <w14:textFill>
            <w14:solidFill>
              <w14:schemeClr w14:val="tx1"/>
            </w14:solidFill>
          </w14:textFill>
        </w:rPr>
        <w:t>控股管理关系</w:t>
      </w:r>
      <w:bookmarkEnd w:id="326"/>
      <w:bookmarkEnd w:id="327"/>
      <w:bookmarkEnd w:id="328"/>
      <w:bookmarkEnd w:id="329"/>
      <w:bookmarkEnd w:id="330"/>
      <w:bookmarkEnd w:id="331"/>
    </w:p>
    <w:p w14:paraId="14338697">
      <w:pPr>
        <w:pStyle w:val="15"/>
        <w:ind w:firstLine="0" w:firstLineChars="0"/>
        <w:jc w:val="center"/>
        <w:rPr>
          <w:rFonts w:ascii="仿宋" w:hAnsi="仿宋" w:eastAsia="仿宋" w:cs="仿宋"/>
          <w:b/>
          <w:bCs/>
          <w:color w:val="000000" w:themeColor="text1"/>
          <w:sz w:val="28"/>
          <w:szCs w:val="28"/>
          <w:highlight w:val="none"/>
          <w14:textFill>
            <w14:solidFill>
              <w14:schemeClr w14:val="tx1"/>
            </w14:solidFill>
          </w14:textFill>
        </w:rPr>
      </w:pPr>
      <w:bookmarkStart w:id="335" w:name="_Toc952"/>
      <w:bookmarkStart w:id="336" w:name="_Toc26760"/>
      <w:bookmarkStart w:id="337" w:name="_Toc21260"/>
      <w:bookmarkStart w:id="338" w:name="_Toc27526"/>
      <w:bookmarkStart w:id="339" w:name="_Toc27988"/>
      <w:bookmarkStart w:id="340" w:name="_Toc15131"/>
      <w:bookmarkStart w:id="341" w:name="_Toc10651"/>
      <w:bookmarkStart w:id="342" w:name="_Toc12979"/>
      <w:bookmarkStart w:id="343" w:name="_Toc22023"/>
      <w:r>
        <w:rPr>
          <w:rFonts w:hint="eastAsia" w:ascii="仿宋" w:hAnsi="仿宋" w:eastAsia="仿宋" w:cs="仿宋"/>
          <w:b/>
          <w:bCs/>
          <w:color w:val="000000" w:themeColor="text1"/>
          <w:sz w:val="28"/>
          <w:szCs w:val="28"/>
          <w:highlight w:val="none"/>
          <w14:textFill>
            <w14:solidFill>
              <w14:schemeClr w14:val="tx1"/>
            </w14:solidFill>
          </w14:textFill>
        </w:rPr>
        <w:t>控股管理关系（样表）</w:t>
      </w:r>
      <w:bookmarkEnd w:id="335"/>
      <w:bookmarkEnd w:id="336"/>
      <w:bookmarkEnd w:id="337"/>
    </w:p>
    <w:p w14:paraId="42F178CF">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陕西省省级单位政府采购中心：</w:t>
      </w:r>
    </w:p>
    <w:p w14:paraId="1BFCEA41">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我方与以下投标人存在直接控股、管理关系：</w:t>
      </w:r>
    </w:p>
    <w:tbl>
      <w:tblPr>
        <w:tblStyle w:val="17"/>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2855"/>
        <w:gridCol w:w="2646"/>
        <w:gridCol w:w="1993"/>
      </w:tblGrid>
      <w:tr w14:paraId="69B330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4"/>
            <w:tcBorders>
              <w:left w:val="single" w:color="auto" w:sz="12" w:space="0"/>
              <w:right w:val="single" w:color="auto" w:sz="12" w:space="0"/>
            </w:tcBorders>
            <w:shd w:val="clear" w:color="auto" w:fill="F7CAAC"/>
            <w:vAlign w:val="center"/>
          </w:tcPr>
          <w:p w14:paraId="72CC2209">
            <w:pPr>
              <w:autoSpaceDE w:val="0"/>
              <w:autoSpaceDN w:val="0"/>
              <w:adjustRightInd w:val="0"/>
              <w:spacing w:line="32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存在直接控股、管理关系的相关投标人</w:t>
            </w:r>
          </w:p>
        </w:tc>
      </w:tr>
      <w:tr w14:paraId="590611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EA54D0A">
            <w:pPr>
              <w:autoSpaceDE w:val="0"/>
              <w:autoSpaceDN w:val="0"/>
              <w:adjustRightInd w:val="0"/>
              <w:spacing w:line="320" w:lineRule="exact"/>
              <w:jc w:val="center"/>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序号</w:t>
            </w:r>
          </w:p>
        </w:tc>
        <w:tc>
          <w:tcPr>
            <w:tcW w:w="2855" w:type="dxa"/>
            <w:tcBorders>
              <w:right w:val="single" w:color="auto" w:sz="4" w:space="0"/>
            </w:tcBorders>
            <w:vAlign w:val="center"/>
          </w:tcPr>
          <w:p w14:paraId="367865B8">
            <w:pPr>
              <w:autoSpaceDE w:val="0"/>
              <w:autoSpaceDN w:val="0"/>
              <w:adjustRightInd w:val="0"/>
              <w:spacing w:line="320" w:lineRule="exact"/>
              <w:jc w:val="center"/>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直接控股股东名称及出资比例</w:t>
            </w:r>
          </w:p>
        </w:tc>
        <w:tc>
          <w:tcPr>
            <w:tcW w:w="2646" w:type="dxa"/>
            <w:tcBorders>
              <w:left w:val="single" w:color="auto" w:sz="4" w:space="0"/>
              <w:right w:val="single" w:color="auto" w:sz="4" w:space="0"/>
            </w:tcBorders>
            <w:vAlign w:val="center"/>
          </w:tcPr>
          <w:p w14:paraId="73DF63D0">
            <w:pPr>
              <w:autoSpaceDE w:val="0"/>
              <w:autoSpaceDN w:val="0"/>
              <w:adjustRightInd w:val="0"/>
              <w:spacing w:line="320" w:lineRule="exact"/>
              <w:jc w:val="center"/>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直接管理关系单位</w:t>
            </w:r>
          </w:p>
          <w:p w14:paraId="5D1F8B12">
            <w:pPr>
              <w:autoSpaceDE w:val="0"/>
              <w:autoSpaceDN w:val="0"/>
              <w:adjustRightInd w:val="0"/>
              <w:spacing w:line="320" w:lineRule="exact"/>
              <w:jc w:val="center"/>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名称</w:t>
            </w:r>
          </w:p>
        </w:tc>
        <w:tc>
          <w:tcPr>
            <w:tcW w:w="1993" w:type="dxa"/>
            <w:tcBorders>
              <w:left w:val="single" w:color="auto" w:sz="4" w:space="0"/>
              <w:right w:val="single" w:color="auto" w:sz="12" w:space="0"/>
            </w:tcBorders>
            <w:vAlign w:val="center"/>
          </w:tcPr>
          <w:p w14:paraId="6DE197A8">
            <w:pPr>
              <w:autoSpaceDE w:val="0"/>
              <w:autoSpaceDN w:val="0"/>
              <w:adjustRightInd w:val="0"/>
              <w:spacing w:line="320" w:lineRule="exact"/>
              <w:jc w:val="center"/>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备注</w:t>
            </w:r>
          </w:p>
        </w:tc>
      </w:tr>
      <w:tr w14:paraId="40786A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C624527">
            <w:pPr>
              <w:autoSpaceDE w:val="0"/>
              <w:autoSpaceDN w:val="0"/>
              <w:adjustRightInd w:val="0"/>
              <w:spacing w:line="32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p>
        </w:tc>
        <w:tc>
          <w:tcPr>
            <w:tcW w:w="2855" w:type="dxa"/>
            <w:tcBorders>
              <w:right w:val="single" w:color="auto" w:sz="4" w:space="0"/>
            </w:tcBorders>
            <w:vAlign w:val="center"/>
          </w:tcPr>
          <w:p w14:paraId="24D782B7">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2646" w:type="dxa"/>
            <w:tcBorders>
              <w:left w:val="single" w:color="auto" w:sz="4" w:space="0"/>
              <w:right w:val="single" w:color="auto" w:sz="4" w:space="0"/>
            </w:tcBorders>
            <w:vAlign w:val="center"/>
          </w:tcPr>
          <w:p w14:paraId="20511AD2">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1993" w:type="dxa"/>
            <w:tcBorders>
              <w:left w:val="single" w:color="auto" w:sz="4" w:space="0"/>
              <w:right w:val="single" w:color="auto" w:sz="12" w:space="0"/>
            </w:tcBorders>
            <w:vAlign w:val="center"/>
          </w:tcPr>
          <w:p w14:paraId="6A625E1F">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r>
      <w:tr w14:paraId="6B95DB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391351">
            <w:pPr>
              <w:autoSpaceDE w:val="0"/>
              <w:autoSpaceDN w:val="0"/>
              <w:adjustRightInd w:val="0"/>
              <w:spacing w:line="32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w:t>
            </w:r>
          </w:p>
        </w:tc>
        <w:tc>
          <w:tcPr>
            <w:tcW w:w="2855" w:type="dxa"/>
            <w:tcBorders>
              <w:right w:val="single" w:color="auto" w:sz="4" w:space="0"/>
            </w:tcBorders>
            <w:vAlign w:val="center"/>
          </w:tcPr>
          <w:p w14:paraId="441C43A1">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2646" w:type="dxa"/>
            <w:tcBorders>
              <w:left w:val="single" w:color="auto" w:sz="4" w:space="0"/>
              <w:right w:val="single" w:color="auto" w:sz="4" w:space="0"/>
            </w:tcBorders>
            <w:vAlign w:val="center"/>
          </w:tcPr>
          <w:p w14:paraId="2239352B">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1993" w:type="dxa"/>
            <w:tcBorders>
              <w:left w:val="single" w:color="auto" w:sz="4" w:space="0"/>
              <w:right w:val="single" w:color="auto" w:sz="12" w:space="0"/>
            </w:tcBorders>
            <w:vAlign w:val="center"/>
          </w:tcPr>
          <w:p w14:paraId="48D5D4B2">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r>
      <w:tr w14:paraId="20704D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309F3E68">
            <w:pPr>
              <w:autoSpaceDE w:val="0"/>
              <w:autoSpaceDN w:val="0"/>
              <w:adjustRightInd w:val="0"/>
              <w:spacing w:line="32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w:t>
            </w:r>
          </w:p>
        </w:tc>
        <w:tc>
          <w:tcPr>
            <w:tcW w:w="2855" w:type="dxa"/>
            <w:tcBorders>
              <w:right w:val="single" w:color="auto" w:sz="4" w:space="0"/>
            </w:tcBorders>
            <w:vAlign w:val="center"/>
          </w:tcPr>
          <w:p w14:paraId="61D4567D">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2646" w:type="dxa"/>
            <w:tcBorders>
              <w:left w:val="single" w:color="auto" w:sz="4" w:space="0"/>
              <w:right w:val="single" w:color="auto" w:sz="4" w:space="0"/>
            </w:tcBorders>
            <w:vAlign w:val="center"/>
          </w:tcPr>
          <w:p w14:paraId="7DB0EFA8">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1993" w:type="dxa"/>
            <w:tcBorders>
              <w:left w:val="single" w:color="auto" w:sz="4" w:space="0"/>
              <w:right w:val="single" w:color="auto" w:sz="12" w:space="0"/>
            </w:tcBorders>
            <w:vAlign w:val="center"/>
          </w:tcPr>
          <w:p w14:paraId="6518B2FB">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r>
      <w:tr w14:paraId="5D8772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7FEC1913">
            <w:pPr>
              <w:autoSpaceDE w:val="0"/>
              <w:autoSpaceDN w:val="0"/>
              <w:adjustRightInd w:val="0"/>
              <w:spacing w:line="320" w:lineRule="exact"/>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p>
        </w:tc>
        <w:tc>
          <w:tcPr>
            <w:tcW w:w="2855" w:type="dxa"/>
            <w:tcBorders>
              <w:right w:val="single" w:color="auto" w:sz="4" w:space="0"/>
            </w:tcBorders>
            <w:vAlign w:val="center"/>
          </w:tcPr>
          <w:p w14:paraId="7B95AB55">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2646" w:type="dxa"/>
            <w:tcBorders>
              <w:left w:val="single" w:color="auto" w:sz="4" w:space="0"/>
              <w:right w:val="single" w:color="auto" w:sz="4" w:space="0"/>
            </w:tcBorders>
            <w:vAlign w:val="center"/>
          </w:tcPr>
          <w:p w14:paraId="664D82EE">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c>
          <w:tcPr>
            <w:tcW w:w="1993" w:type="dxa"/>
            <w:tcBorders>
              <w:left w:val="single" w:color="auto" w:sz="4" w:space="0"/>
              <w:right w:val="single" w:color="auto" w:sz="12" w:space="0"/>
            </w:tcBorders>
            <w:vAlign w:val="center"/>
          </w:tcPr>
          <w:p w14:paraId="160C6166">
            <w:pPr>
              <w:autoSpaceDE w:val="0"/>
              <w:autoSpaceDN w:val="0"/>
              <w:adjustRightInd w:val="0"/>
              <w:spacing w:line="320" w:lineRule="exact"/>
              <w:rPr>
                <w:rFonts w:ascii="仿宋" w:hAnsi="仿宋" w:eastAsia="仿宋" w:cs="仿宋"/>
                <w:bCs/>
                <w:color w:val="000000" w:themeColor="text1"/>
                <w:kern w:val="0"/>
                <w:sz w:val="24"/>
                <w:szCs w:val="24"/>
                <w:highlight w:val="none"/>
                <w14:textFill>
                  <w14:solidFill>
                    <w14:schemeClr w14:val="tx1"/>
                  </w14:solidFill>
                </w14:textFill>
              </w:rPr>
            </w:pPr>
          </w:p>
        </w:tc>
      </w:tr>
    </w:tbl>
    <w:p w14:paraId="03DDE39E">
      <w:pPr>
        <w:spacing w:line="500" w:lineRule="exact"/>
        <w:ind w:firstLine="4528" w:firstLineChars="1600"/>
        <w:rPr>
          <w:rFonts w:ascii="仿宋" w:hAnsi="仿宋" w:eastAsia="仿宋" w:cs="仿宋"/>
          <w:color w:val="000000" w:themeColor="text1"/>
          <w:highlight w:val="none"/>
          <w14:textFill>
            <w14:solidFill>
              <w14:schemeClr w14:val="tx1"/>
            </w14:solidFill>
          </w14:textFill>
        </w:rPr>
      </w:pPr>
    </w:p>
    <w:p w14:paraId="5EFF95D9">
      <w:pPr>
        <w:spacing w:line="500" w:lineRule="exact"/>
        <w:ind w:firstLine="4528" w:firstLineChars="16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投标人： </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230EB61F">
      <w:pPr>
        <w:spacing w:line="500" w:lineRule="exact"/>
        <w:ind w:firstLine="4528" w:firstLineChars="16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47EB6AA2">
      <w:pPr>
        <w:pStyle w:val="5"/>
        <w:rPr>
          <w:rFonts w:ascii="仿宋" w:hAnsi="仿宋" w:eastAsia="仿宋" w:cs="仿宋"/>
          <w:color w:val="000000" w:themeColor="text1"/>
          <w:highlight w:val="none"/>
          <w14:textFill>
            <w14:solidFill>
              <w14:schemeClr w14:val="tx1"/>
            </w14:solidFill>
          </w14:textFill>
        </w:rPr>
      </w:pPr>
    </w:p>
    <w:p w14:paraId="7F6FF70F">
      <w:pPr>
        <w:pStyle w:val="15"/>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3D26CC40">
      <w:pPr>
        <w:pStyle w:val="15"/>
        <w:numPr>
          <w:ilvl w:val="255"/>
          <w:numId w:val="0"/>
        </w:numPr>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9E9E40">
      <w:pPr>
        <w:pStyle w:val="15"/>
        <w:numPr>
          <w:ilvl w:val="255"/>
          <w:numId w:val="0"/>
        </w:numPr>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管理关系：是指不具有出资持股关系的其他单位之间存在的管理与被管理关系，如一些上下级关系的事业单位和团体组织。</w:t>
      </w:r>
    </w:p>
    <w:p w14:paraId="320C88DA">
      <w:pPr>
        <w:pStyle w:val="15"/>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本表所指的控股、管理关系仅限于直接控股、直接管理关系，不包括间接的控股或管理关系。公司实际控制人与公司之间的关系不属于本表所指的直接控股关系。</w:t>
      </w:r>
    </w:p>
    <w:p w14:paraId="208FB6CC">
      <w:pPr>
        <w:pStyle w:val="15"/>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投标人如不存在直接控股股东的，则在“直接控股股东名称及出资比例”处填写“无”或“/”。投标人不存在直接管理关系的，则在“直接管理关系单位名称”中填“无”或“/”。</w:t>
      </w:r>
    </w:p>
    <w:bookmarkEnd w:id="338"/>
    <w:bookmarkEnd w:id="339"/>
    <w:bookmarkEnd w:id="340"/>
    <w:bookmarkEnd w:id="341"/>
    <w:bookmarkEnd w:id="342"/>
    <w:bookmarkEnd w:id="343"/>
    <w:p w14:paraId="48615025">
      <w:pPr>
        <w:pStyle w:val="5"/>
        <w:rPr>
          <w:rFonts w:ascii="仿宋" w:hAnsi="仿宋" w:eastAsia="仿宋" w:cs="仿宋"/>
          <w:color w:val="000000" w:themeColor="text1"/>
          <w:highlight w:val="none"/>
          <w14:textFill>
            <w14:solidFill>
              <w14:schemeClr w14:val="tx1"/>
            </w14:solidFill>
          </w14:textFill>
        </w:rPr>
      </w:pPr>
    </w:p>
    <w:p w14:paraId="6975DC3E">
      <w:pPr>
        <w:pStyle w:val="5"/>
        <w:ind w:firstLine="0"/>
        <w:rPr>
          <w:rFonts w:ascii="仿宋" w:hAnsi="仿宋" w:eastAsia="仿宋" w:cs="仿宋"/>
          <w:color w:val="000000" w:themeColor="text1"/>
          <w:highlight w:val="none"/>
          <w14:textFill>
            <w14:solidFill>
              <w14:schemeClr w14:val="tx1"/>
            </w14:solidFill>
          </w14:textFill>
        </w:rPr>
      </w:pPr>
    </w:p>
    <w:p w14:paraId="7D796641">
      <w:pPr>
        <w:pStyle w:val="5"/>
        <w:ind w:firstLine="0"/>
        <w:rPr>
          <w:rFonts w:ascii="仿宋" w:hAnsi="仿宋" w:eastAsia="仿宋" w:cs="仿宋"/>
          <w:color w:val="000000" w:themeColor="text1"/>
          <w:highlight w:val="none"/>
          <w14:textFill>
            <w14:solidFill>
              <w14:schemeClr w14:val="tx1"/>
            </w14:solidFill>
          </w14:textFill>
        </w:rPr>
      </w:pPr>
    </w:p>
    <w:p w14:paraId="23E67A8A">
      <w:pPr>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br w:type="page"/>
      </w:r>
    </w:p>
    <w:p w14:paraId="45B260B8">
      <w:pPr>
        <w:pStyle w:val="15"/>
        <w:numPr>
          <w:ilvl w:val="-1"/>
          <w:numId w:val="0"/>
        </w:numPr>
        <w:ind w:left="0" w:firstLine="606" w:firstLineChars="200"/>
        <w:outlineLvl w:val="2"/>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七、</w:t>
      </w:r>
      <w:r>
        <w:rPr>
          <w:rFonts w:hint="eastAsia" w:ascii="仿宋" w:hAnsi="仿宋" w:eastAsia="仿宋" w:cs="仿宋"/>
          <w:b/>
          <w:bCs/>
          <w:color w:val="000000" w:themeColor="text1"/>
          <w:sz w:val="30"/>
          <w:szCs w:val="30"/>
          <w:highlight w:val="none"/>
          <w14:textFill>
            <w14:solidFill>
              <w14:schemeClr w14:val="tx1"/>
            </w14:solidFill>
          </w14:textFill>
        </w:rPr>
        <w:t>书面声明</w:t>
      </w:r>
    </w:p>
    <w:p w14:paraId="4AD551B9">
      <w:pPr>
        <w:spacing w:line="500" w:lineRule="exact"/>
        <w:jc w:val="center"/>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书面声明（格式）</w:t>
      </w:r>
    </w:p>
    <w:p w14:paraId="1CCB241C">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陕西省省级单位政府采购中心：</w:t>
      </w:r>
    </w:p>
    <w:p w14:paraId="50ABA065">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我方作为</w:t>
      </w:r>
      <w:r>
        <w:rPr>
          <w:rFonts w:hint="eastAsia" w:ascii="仿宋" w:hAnsi="仿宋" w:eastAsia="仿宋" w:cs="仿宋"/>
          <w:color w:val="000000" w:themeColor="text1"/>
          <w:highlight w:val="none"/>
          <w:u w:val="single"/>
          <w14:textFill>
            <w14:solidFill>
              <w14:schemeClr w14:val="tx1"/>
            </w14:solidFill>
          </w14:textFill>
        </w:rPr>
        <w:t>项目名称</w:t>
      </w: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）第</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标段的投标人，在此郑重声明：</w:t>
      </w:r>
    </w:p>
    <w:p w14:paraId="4A89BDBD">
      <w:pPr>
        <w:numPr>
          <w:ilvl w:val="0"/>
          <w:numId w:val="4"/>
        </w:num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我方具备履行合同所必须的设备和专业技术能力。</w:t>
      </w:r>
    </w:p>
    <w:p w14:paraId="654FC86B">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2、我方未为本项目提供整体设计、规范编制或者项目管理、监理、检测等服务。</w:t>
      </w:r>
    </w:p>
    <w:p w14:paraId="0B639FC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如有不实，我方将无条件地退出本项目的采购活动，并遵照《政府采购法》有关“提供虚假材料的规定”接受处罚。</w:t>
      </w:r>
    </w:p>
    <w:p w14:paraId="04498DC3">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特此声明。</w:t>
      </w:r>
    </w:p>
    <w:p w14:paraId="23CE0514">
      <w:pPr>
        <w:spacing w:line="500" w:lineRule="exact"/>
        <w:ind w:firstLine="4528" w:firstLineChars="16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131E6F32">
      <w:pPr>
        <w:spacing w:line="500" w:lineRule="exact"/>
        <w:ind w:firstLine="4528" w:firstLineChars="16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41349148">
      <w:pPr>
        <w:pStyle w:val="5"/>
        <w:rPr>
          <w:rFonts w:ascii="仿宋" w:hAnsi="仿宋" w:eastAsia="仿宋" w:cs="仿宋"/>
          <w:color w:val="000000" w:themeColor="text1"/>
          <w:highlight w:val="none"/>
          <w14:textFill>
            <w14:solidFill>
              <w14:schemeClr w14:val="tx1"/>
            </w14:solidFill>
          </w14:textFill>
        </w:rPr>
      </w:pPr>
    </w:p>
    <w:p w14:paraId="3EA1EBEC">
      <w:pPr>
        <w:pStyle w:val="5"/>
        <w:rPr>
          <w:rFonts w:ascii="仿宋" w:hAnsi="仿宋" w:eastAsia="仿宋" w:cs="仿宋"/>
          <w:color w:val="000000" w:themeColor="text1"/>
          <w:highlight w:val="none"/>
          <w14:textFill>
            <w14:solidFill>
              <w14:schemeClr w14:val="tx1"/>
            </w14:solidFill>
          </w14:textFill>
        </w:rPr>
      </w:pPr>
    </w:p>
    <w:p w14:paraId="41392DB0">
      <w:pPr>
        <w:spacing w:line="50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备注：项目不分标段的，第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标段空白处填写“/”。 </w:t>
      </w:r>
    </w:p>
    <w:p w14:paraId="1FDFE1E1">
      <w:pPr>
        <w:tabs>
          <w:tab w:val="right" w:pos="9070"/>
        </w:tabs>
        <w:spacing w:line="500" w:lineRule="exact"/>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ab/>
      </w:r>
    </w:p>
    <w:p w14:paraId="6D843EEE">
      <w:pPr>
        <w:tabs>
          <w:tab w:val="right" w:pos="9070"/>
        </w:tabs>
        <w:spacing w:line="500" w:lineRule="exact"/>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ab/>
      </w:r>
    </w:p>
    <w:p w14:paraId="078D7548">
      <w:pPr>
        <w:pStyle w:val="28"/>
        <w:spacing w:line="500" w:lineRule="exact"/>
        <w:ind w:firstLine="64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344" w:name="_Toc21964"/>
      <w:bookmarkStart w:id="345" w:name="_Toc29668"/>
      <w:bookmarkStart w:id="346" w:name="_Toc4405"/>
      <w:bookmarkStart w:id="347" w:name="_Toc24934"/>
      <w:bookmarkStart w:id="348" w:name="_Toc22384"/>
      <w:bookmarkStart w:id="349" w:name="_Toc28669"/>
      <w:r>
        <w:rPr>
          <w:rFonts w:hint="eastAsia" w:ascii="仿宋" w:hAnsi="仿宋" w:eastAsia="仿宋" w:cs="仿宋"/>
          <w:color w:val="000000" w:themeColor="text1"/>
          <w:sz w:val="30"/>
          <w:szCs w:val="30"/>
          <w:highlight w:val="none"/>
          <w14:textFill>
            <w14:solidFill>
              <w14:schemeClr w14:val="tx1"/>
            </w14:solidFill>
          </w14:textFill>
        </w:rPr>
        <w:t>八、法定代表人授权委托书</w:t>
      </w:r>
      <w:bookmarkEnd w:id="344"/>
      <w:bookmarkEnd w:id="345"/>
      <w:bookmarkEnd w:id="346"/>
      <w:bookmarkEnd w:id="347"/>
      <w:bookmarkEnd w:id="348"/>
      <w:bookmarkEnd w:id="349"/>
    </w:p>
    <w:p w14:paraId="729AB04D">
      <w:pPr>
        <w:pStyle w:val="28"/>
        <w:jc w:val="center"/>
        <w:outlineLvl w:val="9"/>
        <w:rPr>
          <w:rFonts w:ascii="仿宋" w:hAnsi="仿宋" w:eastAsia="仿宋" w:cs="仿宋"/>
          <w:color w:val="000000" w:themeColor="text1"/>
          <w:sz w:val="30"/>
          <w:szCs w:val="30"/>
          <w:highlight w:val="none"/>
          <w14:textFill>
            <w14:solidFill>
              <w14:schemeClr w14:val="tx1"/>
            </w14:solidFill>
          </w14:textFill>
        </w:rPr>
      </w:pPr>
      <w:bookmarkStart w:id="350" w:name="_Toc13312"/>
      <w:bookmarkStart w:id="351" w:name="_Toc17482"/>
      <w:bookmarkStart w:id="352" w:name="_Toc12408"/>
      <w:bookmarkStart w:id="353" w:name="_Toc7695"/>
      <w:bookmarkStart w:id="354" w:name="_Toc16636"/>
      <w:bookmarkStart w:id="355" w:name="_Toc1535"/>
      <w:r>
        <w:rPr>
          <w:rFonts w:hint="eastAsia" w:ascii="仿宋" w:hAnsi="仿宋" w:eastAsia="仿宋" w:cs="仿宋"/>
          <w:color w:val="000000" w:themeColor="text1"/>
          <w:sz w:val="30"/>
          <w:szCs w:val="30"/>
          <w:highlight w:val="none"/>
          <w14:textFill>
            <w14:solidFill>
              <w14:schemeClr w14:val="tx1"/>
            </w14:solidFill>
          </w14:textFill>
        </w:rPr>
        <w:t>法定代表人授权委托书</w:t>
      </w:r>
      <w:bookmarkEnd w:id="350"/>
      <w:bookmarkEnd w:id="351"/>
      <w:bookmarkEnd w:id="352"/>
      <w:r>
        <w:rPr>
          <w:rFonts w:hint="eastAsia" w:ascii="仿宋" w:hAnsi="仿宋" w:eastAsia="仿宋" w:cs="仿宋"/>
          <w:color w:val="000000" w:themeColor="text1"/>
          <w:sz w:val="30"/>
          <w:szCs w:val="30"/>
          <w:highlight w:val="none"/>
          <w14:textFill>
            <w14:solidFill>
              <w14:schemeClr w14:val="tx1"/>
            </w14:solidFill>
          </w14:textFill>
        </w:rPr>
        <w:t>（格式）</w:t>
      </w:r>
      <w:bookmarkEnd w:id="353"/>
      <w:bookmarkEnd w:id="354"/>
      <w:bookmarkEnd w:id="355"/>
    </w:p>
    <w:p w14:paraId="747B1457">
      <w:pPr>
        <w:snapToGrid w:val="0"/>
        <w:spacing w:after="190" w:afterLines="50"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陕西省省级单位政府采购中心：</w:t>
      </w:r>
    </w:p>
    <w:p w14:paraId="2308E9F5">
      <w:pPr>
        <w:spacing w:line="460" w:lineRule="exact"/>
        <w:ind w:right="11"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现委派（</w:t>
      </w:r>
      <w:r>
        <w:rPr>
          <w:rFonts w:hint="eastAsia" w:ascii="仿宋" w:hAnsi="仿宋" w:eastAsia="仿宋" w:cs="仿宋"/>
          <w:color w:val="000000" w:themeColor="text1"/>
          <w:highlight w:val="none"/>
          <w:u w:val="single"/>
          <w14:textFill>
            <w14:solidFill>
              <w14:schemeClr w14:val="tx1"/>
            </w14:solidFill>
          </w14:textFill>
        </w:rPr>
        <w:t>被授权代表姓名</w:t>
      </w:r>
      <w:r>
        <w:rPr>
          <w:rFonts w:hint="eastAsia" w:ascii="仿宋" w:hAnsi="仿宋" w:eastAsia="仿宋" w:cs="仿宋"/>
          <w:color w:val="000000" w:themeColor="text1"/>
          <w:highlight w:val="none"/>
          <w14:textFill>
            <w14:solidFill>
              <w14:schemeClr w14:val="tx1"/>
            </w14:solidFill>
          </w14:textFill>
        </w:rPr>
        <w:t>）（身份证号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）为本公司的被授权代表，参加贵中心组织的</w:t>
      </w:r>
      <w:r>
        <w:rPr>
          <w:rFonts w:hint="eastAsia" w:ascii="仿宋" w:hAnsi="仿宋" w:eastAsia="仿宋" w:cs="仿宋"/>
          <w:color w:val="000000" w:themeColor="text1"/>
          <w:highlight w:val="none"/>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950" cy="16192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116320D4"/>
                        </w:txbxContent>
                      </wps:txbx>
                      <wps:bodyPr vert="horz" wrap="none" lIns="0" tIns="0" rIns="0" bIns="0" anchor="t" upright="1">
                        <a:spAutoFit/>
                      </wps:bodyPr>
                    </wps:wsp>
                  </a:graphicData>
                </a:graphic>
              </wp:anchor>
            </w:drawing>
          </mc:Choice>
          <mc:Fallback>
            <w:pict>
              <v:shape id="文本框 3" o:spid="_x0000_s1026" o:spt="202" type="#_x0000_t202" style="position:absolute;left:0pt;margin-top:0pt;height:12.75pt;width:8.5pt;mso-position-horizontal:center;mso-position-horizontal-relative:margin;mso-wrap-style:none;z-index:251659264;mso-width-relative:page;mso-height-relative:page;" filled="f" stroked="f" coordsize="21600,21600" o:gfxdata="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CnVN0QAAAAMB&#10;AAAPAAAAAAAAAAEAIAAAACIAAABkcnMvZG93bnJldi54bWxQSwECFAAUAAAACACHTuJAYp7TiukB&#10;AADFAwAADgAAAAAAAAABACAAAAAgAQAAZHJzL2Uyb0RvYy54bWxQSwUGAAAAAAYABgBZAQAAewUA&#10;AAAA&#10;">
                <v:fill on="f" focussize="0,0"/>
                <v:stroke on="f" weight="0.5pt"/>
                <v:imagedata o:title=""/>
                <o:lock v:ext="edit" aspectratio="f"/>
                <v:textbox inset="0mm,0mm,0mm,0mm" style="mso-fit-shape-to-text:t;">
                  <w:txbxContent>
                    <w:p w14:paraId="116320D4"/>
                  </w:txbxContent>
                </v:textbox>
              </v:shape>
            </w:pict>
          </mc:Fallback>
        </mc:AlternateContent>
      </w:r>
      <w:r>
        <w:rPr>
          <w:rFonts w:hint="eastAsia" w:ascii="仿宋" w:hAnsi="仿宋" w:eastAsia="仿宋" w:cs="仿宋"/>
          <w:color w:val="000000" w:themeColor="text1"/>
          <w:highlight w:val="none"/>
          <w:u w:val="single"/>
          <w14:textFill>
            <w14:solidFill>
              <w14:schemeClr w14:val="tx1"/>
            </w14:solidFill>
          </w14:textFill>
        </w:rPr>
        <w:t>《项目名称》</w:t>
      </w: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）第</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标段政府采购活动，就该项目的投标及合同的执行和完成，以本公司的名义处理一切与之有关的事宜。本授权自开标之日起生效，有效期与投标文件有效期一致。</w:t>
      </w:r>
    </w:p>
    <w:p w14:paraId="7F1C1A8C">
      <w:pPr>
        <w:tabs>
          <w:tab w:val="left" w:pos="5245"/>
        </w:tabs>
        <w:snapToGrid w:val="0"/>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被授权代表姓名：______       性别：________________</w:t>
      </w:r>
    </w:p>
    <w:p w14:paraId="3892BE75">
      <w:pPr>
        <w:tabs>
          <w:tab w:val="left" w:pos="5245"/>
        </w:tabs>
        <w:snapToGrid w:val="0"/>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电话：__________通讯地址：______________</w:t>
      </w:r>
    </w:p>
    <w:tbl>
      <w:tblPr>
        <w:tblStyle w:val="17"/>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24FE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vAlign w:val="center"/>
          </w:tcPr>
          <w:p w14:paraId="32D47977">
            <w:pPr>
              <w:snapToGrid w:val="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法定代表人身份证复印件</w:t>
            </w:r>
          </w:p>
          <w:p w14:paraId="08FFDD50">
            <w:pPr>
              <w:snapToGrid w:val="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（有人像面）</w:t>
            </w:r>
          </w:p>
        </w:tc>
        <w:tc>
          <w:tcPr>
            <w:tcW w:w="4098" w:type="dxa"/>
            <w:vAlign w:val="center"/>
          </w:tcPr>
          <w:p w14:paraId="243AA042">
            <w:pPr>
              <w:snapToGrid w:val="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被授权代表身份证复印件</w:t>
            </w:r>
          </w:p>
          <w:p w14:paraId="2C3B079C">
            <w:pPr>
              <w:snapToGrid w:val="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（有人像面）</w:t>
            </w:r>
          </w:p>
        </w:tc>
      </w:tr>
      <w:tr w14:paraId="700D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2EE20864">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法定代表人身份证复印件</w:t>
            </w:r>
          </w:p>
          <w:p w14:paraId="6752E2A9">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（有国徽面）</w:t>
            </w:r>
          </w:p>
        </w:tc>
        <w:tc>
          <w:tcPr>
            <w:tcW w:w="4098" w:type="dxa"/>
            <w:vAlign w:val="center"/>
          </w:tcPr>
          <w:p w14:paraId="01433AC8">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被授权代表身份证复印件</w:t>
            </w:r>
          </w:p>
          <w:p w14:paraId="0376FC8F">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（有国徽面）</w:t>
            </w:r>
          </w:p>
        </w:tc>
      </w:tr>
    </w:tbl>
    <w:p w14:paraId="6DC20A80">
      <w:pPr>
        <w:tabs>
          <w:tab w:val="right" w:pos="8931"/>
        </w:tabs>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       法定代表人：（签字或盖章）</w:t>
      </w:r>
    </w:p>
    <w:p w14:paraId="5EA28EBC">
      <w:pPr>
        <w:spacing w:line="440" w:lineRule="exact"/>
        <w:ind w:firstLine="5789" w:firstLineChars="2046"/>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6F8146B5">
      <w:pPr>
        <w:spacing w:line="34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备注：1、项目不分标段的，第___标段空白处填写“/”。</w:t>
      </w:r>
    </w:p>
    <w:p w14:paraId="0494E234">
      <w:pPr>
        <w:pStyle w:val="15"/>
        <w:ind w:firstLine="585" w:firstLineChars="275"/>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2、法定代表人亲自参加投标的，无需提供该委托授权书，但须提供法定代表人本人身份证（正反面）复印件，并在复印件中注明联系方式。</w:t>
      </w:r>
    </w:p>
    <w:p w14:paraId="665AE8AF">
      <w:pPr>
        <w:pStyle w:val="15"/>
        <w:spacing w:line="340" w:lineRule="exact"/>
        <w:ind w:firstLine="639" w:firstLineChars="3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3、法定代表人签字或盖章可采用纸质签字或盖章后，上传至电子投标文件，也可使用法定代表人CA锁在电子投标文件制作软件中签章。</w:t>
      </w:r>
    </w:p>
    <w:p w14:paraId="4BA9D995">
      <w:pPr>
        <w:pStyle w:val="15"/>
        <w:spacing w:line="340" w:lineRule="exact"/>
        <w:ind w:firstLine="639"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4、法人的分支机构参与投标时，除提供《法定代表人授权委托书》外，还须同时提供法人给分支机构出具的授权书。授权书附此处。</w:t>
      </w:r>
    </w:p>
    <w:p w14:paraId="0AFFC924">
      <w:pPr>
        <w:ind w:firstLine="426" w:firstLineChars="200"/>
        <w:rPr>
          <w:rFonts w:ascii="仿宋" w:hAnsi="仿宋" w:eastAsia="仿宋" w:cs="仿宋"/>
          <w:b/>
          <w:bCs/>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End w:id="324"/>
      <w:bookmarkEnd w:id="325"/>
      <w:bookmarkEnd w:id="332"/>
      <w:bookmarkEnd w:id="333"/>
      <w:bookmarkEnd w:id="334"/>
      <w:bookmarkStart w:id="356" w:name="_Toc5624"/>
      <w:bookmarkStart w:id="357" w:name="_Toc7264"/>
      <w:bookmarkStart w:id="358" w:name="_Toc2556"/>
      <w:bookmarkStart w:id="359" w:name="_Toc3866"/>
      <w:bookmarkStart w:id="360" w:name="_Toc9402"/>
      <w:bookmarkStart w:id="361" w:name="_Toc1763"/>
      <w:bookmarkStart w:id="362" w:name="_Toc14776"/>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九</w:t>
      </w:r>
      <w:r>
        <w:rPr>
          <w:rFonts w:hint="eastAsia" w:ascii="仿宋" w:hAnsi="仿宋" w:eastAsia="仿宋" w:cs="仿宋"/>
          <w:b/>
          <w:bCs/>
          <w:color w:val="000000" w:themeColor="text1"/>
          <w:sz w:val="30"/>
          <w:szCs w:val="30"/>
          <w:highlight w:val="none"/>
          <w14:textFill>
            <w14:solidFill>
              <w14:schemeClr w14:val="tx1"/>
            </w14:solidFill>
          </w14:textFill>
        </w:rPr>
        <w:t>、本项目不接受联合体投标，不允许分包</w:t>
      </w:r>
      <w:bookmarkEnd w:id="356"/>
      <w:bookmarkEnd w:id="357"/>
      <w:bookmarkEnd w:id="358"/>
      <w:bookmarkEnd w:id="359"/>
      <w:bookmarkEnd w:id="360"/>
      <w:bookmarkEnd w:id="361"/>
    </w:p>
    <w:p w14:paraId="06C36256">
      <w:pPr>
        <w:rPr>
          <w:rFonts w:ascii="仿宋" w:hAnsi="仿宋" w:eastAsia="仿宋" w:cs="仿宋"/>
          <w:color w:val="000000" w:themeColor="text1"/>
          <w:highlight w:val="none"/>
          <w14:textFill>
            <w14:solidFill>
              <w14:schemeClr w14:val="tx1"/>
            </w14:solidFill>
          </w14:textFill>
        </w:rPr>
      </w:pPr>
    </w:p>
    <w:p w14:paraId="10FBB4C7">
      <w:pPr>
        <w:pStyle w:val="5"/>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非联合体不分包投标声明（格式）</w:t>
      </w:r>
    </w:p>
    <w:p w14:paraId="0EA1BFA4">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p>
    <w:p w14:paraId="1BB364B5">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本单位郑重声明，参加陕西省省级单位政府采购中心的</w:t>
      </w:r>
      <w:r>
        <w:rPr>
          <w:rFonts w:hint="eastAsia" w:ascii="仿宋" w:hAnsi="仿宋" w:eastAsia="仿宋" w:cs="仿宋"/>
          <w:color w:val="000000" w:themeColor="text1"/>
          <w:highlight w:val="none"/>
          <w:u w:val="single"/>
          <w14:textFill>
            <w14:solidFill>
              <w14:schemeClr w14:val="tx1"/>
            </w14:solidFill>
          </w14:textFill>
        </w:rPr>
        <w:t>项目名称</w:t>
      </w: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）第</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标段采购活动，为非联合体投标，本项目实施过程由本单位独立承担。</w:t>
      </w:r>
    </w:p>
    <w:p w14:paraId="452A4DFD">
      <w:pPr>
        <w:spacing w:line="500" w:lineRule="exact"/>
        <w:ind w:firstLine="566"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本单位对上述声明的真实性负责。如有虚假，将依法承担相应责任。</w:t>
      </w:r>
    </w:p>
    <w:p w14:paraId="149D98E7">
      <w:pPr>
        <w:spacing w:line="500" w:lineRule="exact"/>
        <w:ind w:firstLine="566" w:firstLineChars="200"/>
        <w:jc w:val="left"/>
        <w:rPr>
          <w:rFonts w:ascii="仿宋" w:hAnsi="仿宋" w:eastAsia="仿宋" w:cs="仿宋"/>
          <w:color w:val="000000" w:themeColor="text1"/>
          <w:highlight w:val="none"/>
          <w14:textFill>
            <w14:solidFill>
              <w14:schemeClr w14:val="tx1"/>
            </w14:solidFill>
          </w14:textFill>
        </w:rPr>
      </w:pPr>
    </w:p>
    <w:p w14:paraId="21DBFB6E">
      <w:pPr>
        <w:pStyle w:val="5"/>
        <w:rPr>
          <w:rFonts w:ascii="仿宋" w:hAnsi="仿宋" w:eastAsia="仿宋" w:cs="仿宋"/>
          <w:color w:val="000000" w:themeColor="text1"/>
          <w:highlight w:val="none"/>
          <w14:textFill>
            <w14:solidFill>
              <w14:schemeClr w14:val="tx1"/>
            </w14:solidFill>
          </w14:textFill>
        </w:rPr>
      </w:pPr>
    </w:p>
    <w:p w14:paraId="3D397739">
      <w:pPr>
        <w:spacing w:line="500" w:lineRule="exact"/>
        <w:ind w:firstLine="5094" w:firstLineChars="18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4DE19D44">
      <w:pPr>
        <w:tabs>
          <w:tab w:val="left" w:pos="5670"/>
        </w:tabs>
        <w:spacing w:line="500" w:lineRule="exact"/>
        <w:ind w:firstLine="5377" w:firstLineChars="19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2CBC2C2A">
      <w:pPr>
        <w:pStyle w:val="15"/>
        <w:ind w:firstLine="183"/>
        <w:rPr>
          <w:rFonts w:ascii="仿宋" w:hAnsi="仿宋" w:eastAsia="仿宋" w:cs="仿宋"/>
          <w:color w:val="000000" w:themeColor="text1"/>
          <w:highlight w:val="none"/>
          <w14:textFill>
            <w14:solidFill>
              <w14:schemeClr w14:val="tx1"/>
            </w14:solidFill>
          </w14:textFill>
        </w:rPr>
      </w:pPr>
    </w:p>
    <w:p w14:paraId="33280FE6">
      <w:pPr>
        <w:pStyle w:val="15"/>
        <w:spacing w:line="340" w:lineRule="exact"/>
        <w:ind w:firstLine="639" w:firstLineChars="3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备注：项目不分标段的，第___标段空白处填写“/”。</w:t>
      </w:r>
    </w:p>
    <w:p w14:paraId="632034EC">
      <w:pPr>
        <w:pStyle w:val="15"/>
        <w:ind w:firstLine="183"/>
        <w:rPr>
          <w:rFonts w:ascii="仿宋" w:hAnsi="仿宋" w:eastAsia="仿宋" w:cs="仿宋"/>
          <w:color w:val="000000" w:themeColor="text1"/>
          <w:highlight w:val="none"/>
          <w14:textFill>
            <w14:solidFill>
              <w14:schemeClr w14:val="tx1"/>
            </w14:solidFill>
          </w14:textFill>
        </w:rPr>
      </w:pPr>
    </w:p>
    <w:p w14:paraId="77C24B0D">
      <w:pPr>
        <w:pStyle w:val="15"/>
        <w:ind w:firstLine="183"/>
        <w:rPr>
          <w:rFonts w:ascii="仿宋" w:hAnsi="仿宋" w:eastAsia="仿宋" w:cs="仿宋"/>
          <w:color w:val="000000" w:themeColor="text1"/>
          <w:highlight w:val="none"/>
          <w14:textFill>
            <w14:solidFill>
              <w14:schemeClr w14:val="tx1"/>
            </w14:solidFill>
          </w14:textFill>
        </w:rPr>
      </w:pPr>
    </w:p>
    <w:p w14:paraId="341ABAD0">
      <w:pPr>
        <w:pStyle w:val="15"/>
        <w:ind w:firstLine="183"/>
        <w:rPr>
          <w:rFonts w:ascii="仿宋" w:hAnsi="仿宋" w:eastAsia="仿宋" w:cs="仿宋"/>
          <w:color w:val="000000" w:themeColor="text1"/>
          <w:highlight w:val="none"/>
          <w14:textFill>
            <w14:solidFill>
              <w14:schemeClr w14:val="tx1"/>
            </w14:solidFill>
          </w14:textFill>
        </w:rPr>
      </w:pPr>
    </w:p>
    <w:p w14:paraId="4E9DFDCC">
      <w:pPr>
        <w:pStyle w:val="15"/>
        <w:ind w:firstLine="183"/>
        <w:rPr>
          <w:rFonts w:ascii="仿宋" w:hAnsi="仿宋" w:eastAsia="仿宋" w:cs="仿宋"/>
          <w:color w:val="000000" w:themeColor="text1"/>
          <w:highlight w:val="none"/>
          <w14:textFill>
            <w14:solidFill>
              <w14:schemeClr w14:val="tx1"/>
            </w14:solidFill>
          </w14:textFill>
        </w:rPr>
      </w:pPr>
    </w:p>
    <w:p w14:paraId="3EFADF74">
      <w:pPr>
        <w:pStyle w:val="15"/>
        <w:ind w:firstLine="183"/>
        <w:rPr>
          <w:rFonts w:ascii="仿宋" w:hAnsi="仿宋" w:eastAsia="仿宋" w:cs="仿宋"/>
          <w:color w:val="000000" w:themeColor="text1"/>
          <w:highlight w:val="none"/>
          <w14:textFill>
            <w14:solidFill>
              <w14:schemeClr w14:val="tx1"/>
            </w14:solidFill>
          </w14:textFill>
        </w:rPr>
      </w:pPr>
    </w:p>
    <w:p w14:paraId="4B9997CF">
      <w:pPr>
        <w:pStyle w:val="15"/>
        <w:ind w:firstLine="183"/>
        <w:rPr>
          <w:rFonts w:ascii="仿宋" w:hAnsi="仿宋" w:eastAsia="仿宋" w:cs="仿宋"/>
          <w:color w:val="000000" w:themeColor="text1"/>
          <w:highlight w:val="none"/>
          <w14:textFill>
            <w14:solidFill>
              <w14:schemeClr w14:val="tx1"/>
            </w14:solidFill>
          </w14:textFill>
        </w:rPr>
      </w:pPr>
    </w:p>
    <w:p w14:paraId="4727E827">
      <w:pPr>
        <w:pStyle w:val="15"/>
        <w:ind w:firstLine="183"/>
        <w:rPr>
          <w:rFonts w:ascii="仿宋" w:hAnsi="仿宋" w:eastAsia="仿宋" w:cs="仿宋"/>
          <w:color w:val="000000" w:themeColor="text1"/>
          <w:highlight w:val="none"/>
          <w14:textFill>
            <w14:solidFill>
              <w14:schemeClr w14:val="tx1"/>
            </w14:solidFill>
          </w14:textFill>
        </w:rPr>
      </w:pPr>
    </w:p>
    <w:p w14:paraId="141462D2">
      <w:pPr>
        <w:pStyle w:val="15"/>
        <w:ind w:firstLine="183"/>
        <w:rPr>
          <w:rFonts w:ascii="仿宋" w:hAnsi="仿宋" w:eastAsia="仿宋" w:cs="仿宋"/>
          <w:color w:val="000000" w:themeColor="text1"/>
          <w:highlight w:val="none"/>
          <w14:textFill>
            <w14:solidFill>
              <w14:schemeClr w14:val="tx1"/>
            </w14:solidFill>
          </w14:textFill>
        </w:rPr>
      </w:pPr>
    </w:p>
    <w:p w14:paraId="7F3F9AF0">
      <w:pPr>
        <w:pStyle w:val="15"/>
        <w:ind w:firstLine="183"/>
        <w:rPr>
          <w:rFonts w:ascii="仿宋" w:hAnsi="仿宋" w:eastAsia="仿宋" w:cs="仿宋"/>
          <w:color w:val="000000" w:themeColor="text1"/>
          <w:highlight w:val="none"/>
          <w14:textFill>
            <w14:solidFill>
              <w14:schemeClr w14:val="tx1"/>
            </w14:solidFill>
          </w14:textFill>
        </w:rPr>
      </w:pPr>
    </w:p>
    <w:p w14:paraId="5E108094">
      <w:pPr>
        <w:pStyle w:val="15"/>
        <w:ind w:firstLine="183"/>
        <w:rPr>
          <w:rFonts w:ascii="仿宋" w:hAnsi="仿宋" w:eastAsia="仿宋" w:cs="仿宋"/>
          <w:color w:val="000000" w:themeColor="text1"/>
          <w:highlight w:val="none"/>
          <w14:textFill>
            <w14:solidFill>
              <w14:schemeClr w14:val="tx1"/>
            </w14:solidFill>
          </w14:textFill>
        </w:rPr>
      </w:pPr>
    </w:p>
    <w:p w14:paraId="35D74C9D">
      <w:pPr>
        <w:pStyle w:val="15"/>
        <w:ind w:firstLine="183"/>
        <w:rPr>
          <w:rFonts w:ascii="仿宋" w:hAnsi="仿宋" w:eastAsia="仿宋" w:cs="仿宋"/>
          <w:color w:val="000000" w:themeColor="text1"/>
          <w:highlight w:val="none"/>
          <w14:textFill>
            <w14:solidFill>
              <w14:schemeClr w14:val="tx1"/>
            </w14:solidFill>
          </w14:textFill>
        </w:rPr>
      </w:pPr>
    </w:p>
    <w:p w14:paraId="2EF3637F">
      <w:pPr>
        <w:pStyle w:val="15"/>
        <w:ind w:firstLine="183"/>
        <w:rPr>
          <w:rFonts w:ascii="仿宋" w:hAnsi="仿宋" w:eastAsia="仿宋" w:cs="仿宋"/>
          <w:color w:val="000000" w:themeColor="text1"/>
          <w:highlight w:val="none"/>
          <w14:textFill>
            <w14:solidFill>
              <w14:schemeClr w14:val="tx1"/>
            </w14:solidFill>
          </w14:textFill>
        </w:rPr>
      </w:pPr>
    </w:p>
    <w:p w14:paraId="38A5B8AD">
      <w:pPr>
        <w:pStyle w:val="15"/>
        <w:ind w:firstLine="183"/>
        <w:rPr>
          <w:rFonts w:ascii="仿宋" w:hAnsi="仿宋" w:eastAsia="仿宋" w:cs="仿宋"/>
          <w:color w:val="000000" w:themeColor="text1"/>
          <w:highlight w:val="none"/>
          <w14:textFill>
            <w14:solidFill>
              <w14:schemeClr w14:val="tx1"/>
            </w14:solidFill>
          </w14:textFill>
        </w:rPr>
      </w:pPr>
    </w:p>
    <w:p w14:paraId="2CEB29EF">
      <w:pPr>
        <w:pStyle w:val="15"/>
        <w:ind w:firstLine="183"/>
        <w:rPr>
          <w:rFonts w:ascii="仿宋" w:hAnsi="仿宋" w:eastAsia="仿宋" w:cs="仿宋"/>
          <w:color w:val="000000" w:themeColor="text1"/>
          <w:highlight w:val="none"/>
          <w14:textFill>
            <w14:solidFill>
              <w14:schemeClr w14:val="tx1"/>
            </w14:solidFill>
          </w14:textFill>
        </w:rPr>
      </w:pPr>
    </w:p>
    <w:p w14:paraId="409230C3">
      <w:pPr>
        <w:pStyle w:val="15"/>
        <w:ind w:firstLine="183"/>
        <w:rPr>
          <w:rFonts w:ascii="仿宋" w:hAnsi="仿宋" w:eastAsia="仿宋" w:cs="仿宋"/>
          <w:color w:val="000000" w:themeColor="text1"/>
          <w:highlight w:val="none"/>
          <w14:textFill>
            <w14:solidFill>
              <w14:schemeClr w14:val="tx1"/>
            </w14:solidFill>
          </w14:textFill>
        </w:rPr>
      </w:pPr>
    </w:p>
    <w:p w14:paraId="794DAA3A">
      <w:pPr>
        <w:pStyle w:val="15"/>
        <w:ind w:firstLine="183"/>
        <w:rPr>
          <w:rFonts w:ascii="仿宋" w:hAnsi="仿宋" w:eastAsia="仿宋" w:cs="仿宋"/>
          <w:color w:val="000000" w:themeColor="text1"/>
          <w:highlight w:val="none"/>
          <w14:textFill>
            <w14:solidFill>
              <w14:schemeClr w14:val="tx1"/>
            </w14:solidFill>
          </w14:textFill>
        </w:rPr>
      </w:pPr>
    </w:p>
    <w:p w14:paraId="13E8AF65">
      <w:pPr>
        <w:pStyle w:val="15"/>
        <w:ind w:firstLine="183"/>
        <w:rPr>
          <w:rFonts w:ascii="仿宋" w:hAnsi="仿宋" w:eastAsia="仿宋" w:cs="仿宋"/>
          <w:color w:val="000000" w:themeColor="text1"/>
          <w:highlight w:val="none"/>
          <w14:textFill>
            <w14:solidFill>
              <w14:schemeClr w14:val="tx1"/>
            </w14:solidFill>
          </w14:textFill>
        </w:rPr>
      </w:pPr>
    </w:p>
    <w:p w14:paraId="7D633FC4">
      <w:pPr>
        <w:pStyle w:val="15"/>
        <w:ind w:firstLine="0" w:firstLineChars="0"/>
        <w:rPr>
          <w:rFonts w:ascii="仿宋" w:hAnsi="仿宋" w:eastAsia="仿宋" w:cs="仿宋"/>
          <w:color w:val="000000" w:themeColor="text1"/>
          <w:highlight w:val="none"/>
          <w14:textFill>
            <w14:solidFill>
              <w14:schemeClr w14:val="tx1"/>
            </w14:solidFill>
          </w14:textFill>
        </w:rPr>
      </w:pPr>
    </w:p>
    <w:p w14:paraId="7FF7EC51">
      <w:pPr>
        <w:pStyle w:val="27"/>
        <w:rPr>
          <w:rFonts w:ascii="仿宋" w:hAnsi="仿宋" w:eastAsia="仿宋" w:cs="仿宋"/>
          <w:color w:val="000000" w:themeColor="text1"/>
          <w:highlight w:val="none"/>
          <w14:textFill>
            <w14:solidFill>
              <w14:schemeClr w14:val="tx1"/>
            </w14:solidFill>
          </w14:textFill>
        </w:rPr>
      </w:pPr>
      <w:bookmarkStart w:id="363" w:name="_Toc25329"/>
      <w:bookmarkStart w:id="364" w:name="_Toc23551"/>
      <w:r>
        <w:rPr>
          <w:rFonts w:hint="eastAsia" w:ascii="黑体" w:hAnsi="黑体" w:eastAsia="黑体" w:cs="黑体"/>
          <w:b w:val="0"/>
          <w:bCs w:val="0"/>
          <w:color w:val="000000" w:themeColor="text1"/>
          <w:highlight w:val="none"/>
          <w14:textFill>
            <w14:solidFill>
              <w14:schemeClr w14:val="tx1"/>
            </w14:solidFill>
          </w14:textFill>
        </w:rPr>
        <w:t>第二部分  符合性证明文件</w:t>
      </w:r>
      <w:bookmarkEnd w:id="362"/>
      <w:bookmarkEnd w:id="363"/>
      <w:bookmarkEnd w:id="364"/>
    </w:p>
    <w:p w14:paraId="531FD3FB">
      <w:pPr>
        <w:pStyle w:val="27"/>
        <w:spacing w:line="500" w:lineRule="exact"/>
        <w:ind w:firstLine="606" w:firstLineChars="200"/>
        <w:jc w:val="both"/>
        <w:outlineLvl w:val="2"/>
        <w:rPr>
          <w:rFonts w:ascii="仿宋" w:hAnsi="仿宋" w:eastAsia="仿宋" w:cs="仿宋"/>
          <w:color w:val="000000" w:themeColor="text1"/>
          <w:highlight w:val="none"/>
          <w14:textFill>
            <w14:solidFill>
              <w14:schemeClr w14:val="tx1"/>
            </w14:solidFill>
          </w14:textFill>
        </w:rPr>
      </w:pPr>
      <w:bookmarkStart w:id="365" w:name="_Toc1167"/>
      <w:bookmarkStart w:id="366" w:name="_Toc5204"/>
      <w:bookmarkStart w:id="367" w:name="_Toc30709"/>
      <w:bookmarkStart w:id="368" w:name="_Toc32108"/>
      <w:bookmarkStart w:id="369" w:name="_Toc17687"/>
      <w:bookmarkStart w:id="370" w:name="_Toc26252"/>
      <w:bookmarkStart w:id="371" w:name="_Toc30414"/>
      <w:bookmarkStart w:id="372" w:name="_Toc31044"/>
      <w:bookmarkStart w:id="373" w:name="_Toc26064"/>
      <w:bookmarkStart w:id="374" w:name="_Toc16590"/>
      <w:bookmarkStart w:id="375" w:name="_Toc9124"/>
      <w:bookmarkStart w:id="376" w:name="_Toc23035"/>
      <w:bookmarkStart w:id="377" w:name="_Toc4366"/>
      <w:bookmarkStart w:id="378" w:name="_Toc4834"/>
      <w:r>
        <w:rPr>
          <w:rFonts w:hint="eastAsia" w:ascii="仿宋" w:hAnsi="仿宋" w:eastAsia="仿宋" w:cs="仿宋"/>
          <w:color w:val="000000" w:themeColor="text1"/>
          <w:sz w:val="30"/>
          <w:szCs w:val="30"/>
          <w:highlight w:val="none"/>
          <w14:textFill>
            <w14:solidFill>
              <w14:schemeClr w14:val="tx1"/>
            </w14:solidFill>
          </w14:textFill>
        </w:rPr>
        <w:t>一、投标函格式</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15BA922">
      <w:pPr>
        <w:pStyle w:val="27"/>
        <w:spacing w:line="500" w:lineRule="exact"/>
        <w:outlineLvl w:val="9"/>
        <w:rPr>
          <w:rFonts w:ascii="仿宋" w:hAnsi="仿宋" w:eastAsia="仿宋" w:cs="仿宋"/>
          <w:b w:val="0"/>
          <w:bCs w:val="0"/>
          <w:color w:val="000000" w:themeColor="text1"/>
          <w:highlight w:val="none"/>
          <w14:textFill>
            <w14:solidFill>
              <w14:schemeClr w14:val="tx1"/>
            </w14:solidFill>
          </w14:textFill>
        </w:rPr>
      </w:pPr>
      <w:bookmarkStart w:id="379" w:name="_Toc12334"/>
      <w:bookmarkStart w:id="380" w:name="_Toc21850"/>
      <w:bookmarkStart w:id="381" w:name="_Toc2848"/>
      <w:bookmarkStart w:id="382" w:name="_Toc5467"/>
      <w:bookmarkStart w:id="383" w:name="_Toc17151"/>
      <w:bookmarkStart w:id="384" w:name="_Toc19672"/>
      <w:bookmarkStart w:id="385" w:name="_Toc528596088"/>
      <w:bookmarkStart w:id="386" w:name="_Toc18782"/>
      <w:bookmarkStart w:id="387" w:name="_Toc16608"/>
      <w:bookmarkStart w:id="388" w:name="_Toc29087"/>
      <w:bookmarkStart w:id="389" w:name="_Toc23313"/>
      <w:bookmarkStart w:id="390" w:name="_Toc20547"/>
      <w:bookmarkStart w:id="391" w:name="_Toc16759"/>
      <w:bookmarkStart w:id="392" w:name="_Toc18135"/>
      <w:bookmarkStart w:id="393" w:name="_Toc30597"/>
      <w:bookmarkStart w:id="394" w:name="_Toc23615"/>
      <w:bookmarkStart w:id="395" w:name="_Toc6798"/>
      <w:r>
        <w:rPr>
          <w:rFonts w:hint="eastAsia" w:ascii="仿宋" w:hAnsi="仿宋" w:eastAsia="仿宋" w:cs="仿宋"/>
          <w:color w:val="000000" w:themeColor="text1"/>
          <w:highlight w:val="none"/>
          <w14:textFill>
            <w14:solidFill>
              <w14:schemeClr w14:val="tx1"/>
            </w14:solidFill>
          </w14:textFill>
        </w:rPr>
        <w:t>投标函</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3084E366">
      <w:pPr>
        <w:pStyle w:val="26"/>
        <w:spacing w:line="500" w:lineRule="exact"/>
        <w:ind w:firstLine="0" w:firstLineChars="0"/>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陕西省省级单位政府采购中心</w:t>
      </w:r>
      <w:r>
        <w:rPr>
          <w:rFonts w:hint="eastAsia" w:ascii="仿宋" w:hAnsi="仿宋" w:eastAsia="仿宋" w:cs="仿宋"/>
          <w:color w:val="000000" w:themeColor="text1"/>
          <w:highlight w:val="none"/>
          <w:lang w:val="zh-CN"/>
          <w14:textFill>
            <w14:solidFill>
              <w14:schemeClr w14:val="tx1"/>
            </w14:solidFill>
          </w14:textFill>
        </w:rPr>
        <w:t>：</w:t>
      </w:r>
    </w:p>
    <w:p w14:paraId="45B84C99">
      <w:pPr>
        <w:spacing w:line="500" w:lineRule="exact"/>
        <w:ind w:right="11"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我方收到贵中心发布的《</w:t>
      </w:r>
      <w:r>
        <w:rPr>
          <w:rFonts w:hint="eastAsia" w:ascii="仿宋" w:hAnsi="仿宋" w:eastAsia="仿宋" w:cs="仿宋"/>
          <w:color w:val="000000" w:themeColor="text1"/>
          <w:highlight w:val="none"/>
          <w:u w:val="single"/>
          <w14:textFill>
            <w14:solidFill>
              <w14:schemeClr w14:val="tx1"/>
            </w14:solidFill>
          </w14:textFill>
        </w:rPr>
        <w:t>项目名称</w:t>
      </w: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）第</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标段招标文件，经详细研究，我方决定参加该项目第</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标段招标活动。为此，我方郑重声明以下诸点，并负法律责任。</w:t>
      </w:r>
    </w:p>
    <w:p w14:paraId="3DCEAD71">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一、我方已详细阅读了招标文件，完全理解并同意招标文件的所有事项及内容。</w:t>
      </w:r>
    </w:p>
    <w:p w14:paraId="316ECB3A">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14:paraId="7A2F5B0E">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三、我方同意向贵方提供与本投标有关的任何证明材料，保证所提交的证明材料真实、合法、有效。我方理解最低价不是中标的唯一条件，并尊重评标委员会的评审结果。</w:t>
      </w:r>
    </w:p>
    <w:p w14:paraId="03503799">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四、我方愿意按照招标文件中的一切要求，完成本项目合同责任和义务。</w:t>
      </w:r>
    </w:p>
    <w:p w14:paraId="1672986C">
      <w:pPr>
        <w:pStyle w:val="14"/>
        <w:wordWrap w:val="0"/>
        <w:spacing w:beforeAutospacing="0" w:afterAutospacing="0" w:line="500" w:lineRule="exact"/>
        <w:ind w:firstLine="566" w:firstLineChars="200"/>
        <w:rPr>
          <w:rFonts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五、按招标文件的规定，完成本项目采购内容并验收合格的投标报价以开标一览表为准。</w:t>
      </w:r>
    </w:p>
    <w:p w14:paraId="68657EA6">
      <w:pPr>
        <w:pStyle w:val="14"/>
        <w:wordWrap w:val="0"/>
        <w:spacing w:beforeAutospacing="0" w:afterAutospacing="0" w:line="390" w:lineRule="atLeast"/>
        <w:ind w:firstLine="566" w:firstLineChars="200"/>
        <w:rPr>
          <w:rFonts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六、我方提交的</w:t>
      </w:r>
      <w:r>
        <w:rPr>
          <w:rFonts w:hint="eastAsia" w:ascii="仿宋" w:hAnsi="仿宋" w:eastAsia="仿宋" w:cs="仿宋"/>
          <w:b/>
          <w:bCs/>
          <w:color w:val="000000" w:themeColor="text1"/>
          <w:kern w:val="2"/>
          <w:sz w:val="28"/>
          <w:szCs w:val="28"/>
          <w:highlight w:val="none"/>
          <w14:textFill>
            <w14:solidFill>
              <w14:schemeClr w14:val="tx1"/>
            </w14:solidFill>
          </w14:textFill>
        </w:rPr>
        <w:t>电子投标文件</w:t>
      </w:r>
      <w:r>
        <w:rPr>
          <w:rFonts w:hint="eastAsia" w:ascii="仿宋" w:hAnsi="仿宋" w:eastAsia="仿宋" w:cs="仿宋"/>
          <w:b/>
          <w:bCs/>
          <w:color w:val="000000" w:themeColor="text1"/>
          <w:kern w:val="2"/>
          <w:sz w:val="28"/>
          <w:szCs w:val="28"/>
          <w:highlight w:val="none"/>
          <w:u w:val="single"/>
          <w14:textFill>
            <w14:solidFill>
              <w14:schemeClr w14:val="tx1"/>
            </w14:solidFill>
          </w14:textFill>
        </w:rPr>
        <w:t>1</w:t>
      </w:r>
      <w:r>
        <w:rPr>
          <w:rFonts w:hint="eastAsia" w:ascii="仿宋" w:hAnsi="仿宋" w:eastAsia="仿宋" w:cs="仿宋"/>
          <w:b/>
          <w:bCs/>
          <w:color w:val="000000" w:themeColor="text1"/>
          <w:kern w:val="2"/>
          <w:sz w:val="28"/>
          <w:szCs w:val="28"/>
          <w:highlight w:val="none"/>
          <w14:textFill>
            <w14:solidFill>
              <w14:schemeClr w14:val="tx1"/>
            </w14:solidFill>
          </w14:textFill>
        </w:rPr>
        <w:t>份</w:t>
      </w:r>
      <w:r>
        <w:rPr>
          <w:rFonts w:hint="eastAsia" w:ascii="仿宋" w:hAnsi="仿宋" w:eastAsia="仿宋" w:cs="仿宋"/>
          <w:color w:val="000000" w:themeColor="text1"/>
          <w:kern w:val="2"/>
          <w:sz w:val="28"/>
          <w:szCs w:val="28"/>
          <w:highlight w:val="none"/>
          <w14:textFill>
            <w14:solidFill>
              <w14:schemeClr w14:val="tx1"/>
            </w14:solidFill>
          </w14:textFill>
        </w:rPr>
        <w:t>。</w:t>
      </w:r>
    </w:p>
    <w:p w14:paraId="04AB4D30">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七、开标后在规定的投标有效期内撤回投标，我们愿接受政府采购的有关处罚决定。</w:t>
      </w:r>
    </w:p>
    <w:p w14:paraId="5104A2C9">
      <w:pPr>
        <w:autoSpaceDE w:val="0"/>
        <w:autoSpaceDN w:val="0"/>
        <w:adjustRightInd w:val="0"/>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八、我方的投标文件在开标之日起</w:t>
      </w:r>
      <w:r>
        <w:rPr>
          <w:rFonts w:hint="eastAsia" w:ascii="仿宋" w:hAnsi="仿宋" w:eastAsia="仿宋" w:cs="仿宋"/>
          <w:b/>
          <w:bCs/>
          <w:color w:val="000000" w:themeColor="text1"/>
          <w:highlight w:val="none"/>
          <w:u w:val="single"/>
          <w14:textFill>
            <w14:solidFill>
              <w14:schemeClr w14:val="tx1"/>
            </w14:solidFill>
          </w14:textFill>
        </w:rPr>
        <w:t>90</w:t>
      </w:r>
      <w:r>
        <w:rPr>
          <w:rFonts w:hint="eastAsia" w:ascii="仿宋" w:hAnsi="仿宋" w:eastAsia="仿宋" w:cs="仿宋"/>
          <w:color w:val="000000" w:themeColor="text1"/>
          <w:highlight w:val="none"/>
          <w14:textFill>
            <w14:solidFill>
              <w14:schemeClr w14:val="tx1"/>
            </w14:solidFill>
          </w14:textFill>
        </w:rPr>
        <w:t>个日历日内有效，如中标，延长至合同执行完毕时止。</w:t>
      </w:r>
    </w:p>
    <w:p w14:paraId="65DD8A08">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九、所有关于此次招标活动的函电，请按下列地址联系：</w:t>
      </w:r>
    </w:p>
    <w:p w14:paraId="6FFBE1D8">
      <w:pPr>
        <w:pStyle w:val="26"/>
        <w:spacing w:line="500" w:lineRule="exact"/>
        <w:ind w:firstLine="567"/>
        <w:rPr>
          <w:rFonts w:ascii="仿宋" w:hAnsi="仿宋" w:eastAsia="仿宋" w:cs="仿宋"/>
          <w:color w:val="000000" w:themeColor="text1"/>
          <w:highlight w:val="none"/>
          <w14:textFill>
            <w14:solidFill>
              <w14:schemeClr w14:val="tx1"/>
            </w14:solidFill>
          </w14:textFill>
        </w:rPr>
      </w:pPr>
    </w:p>
    <w:p w14:paraId="50EF4C59">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2442650D">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w:t>
      </w:r>
    </w:p>
    <w:p w14:paraId="7210E645">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p>
    <w:p w14:paraId="0165A8D7">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账号：</w:t>
      </w:r>
    </w:p>
    <w:p w14:paraId="08A4AC61">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w:t>
      </w:r>
    </w:p>
    <w:p w14:paraId="7D036AF7">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传真：</w:t>
      </w:r>
    </w:p>
    <w:p w14:paraId="3BA3A4FF">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邮编：</w:t>
      </w:r>
    </w:p>
    <w:p w14:paraId="718A3821">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电子邮箱：</w:t>
      </w:r>
    </w:p>
    <w:p w14:paraId="20460B6B">
      <w:pPr>
        <w:pStyle w:val="26"/>
        <w:spacing w:line="500" w:lineRule="exact"/>
        <w:ind w:firstLine="56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7B71E6F1">
      <w:pPr>
        <w:pStyle w:val="26"/>
        <w:ind w:firstLine="0" w:firstLineChars="0"/>
        <w:rPr>
          <w:rFonts w:ascii="仿宋" w:hAnsi="仿宋" w:eastAsia="仿宋" w:cs="仿宋"/>
          <w:color w:val="000000" w:themeColor="text1"/>
          <w:sz w:val="36"/>
          <w:szCs w:val="36"/>
          <w:highlight w:val="none"/>
          <w14:textFill>
            <w14:solidFill>
              <w14:schemeClr w14:val="tx1"/>
            </w14:solidFill>
          </w14:textFill>
        </w:rPr>
      </w:pPr>
    </w:p>
    <w:p w14:paraId="36D14BF7">
      <w:pPr>
        <w:pStyle w:val="26"/>
        <w:ind w:firstLine="0" w:firstLineChars="0"/>
        <w:rPr>
          <w:rFonts w:ascii="仿宋" w:hAnsi="仿宋" w:eastAsia="仿宋" w:cs="仿宋"/>
          <w:color w:val="000000" w:themeColor="text1"/>
          <w:sz w:val="36"/>
          <w:szCs w:val="36"/>
          <w:highlight w:val="none"/>
          <w14:textFill>
            <w14:solidFill>
              <w14:schemeClr w14:val="tx1"/>
            </w14:solidFill>
          </w14:textFill>
        </w:rPr>
      </w:pPr>
    </w:p>
    <w:p w14:paraId="0CC992D2">
      <w:pPr>
        <w:pStyle w:val="26"/>
        <w:ind w:firstLine="0" w:firstLineChars="0"/>
        <w:rPr>
          <w:rFonts w:ascii="仿宋" w:hAnsi="仿宋" w:eastAsia="仿宋" w:cs="仿宋"/>
          <w:color w:val="000000" w:themeColor="text1"/>
          <w:sz w:val="36"/>
          <w:szCs w:val="36"/>
          <w:highlight w:val="none"/>
          <w14:textFill>
            <w14:solidFill>
              <w14:schemeClr w14:val="tx1"/>
            </w14:solidFill>
          </w14:textFill>
        </w:rPr>
      </w:pPr>
    </w:p>
    <w:p w14:paraId="7F856278">
      <w:pPr>
        <w:pStyle w:val="15"/>
        <w:spacing w:line="340" w:lineRule="exact"/>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58395448">
      <w:pPr>
        <w:pStyle w:val="15"/>
        <w:spacing w:line="340" w:lineRule="exact"/>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1、项目不分标段的，第___标段空白处填写“/”。</w:t>
      </w:r>
    </w:p>
    <w:p w14:paraId="3421CA7B">
      <w:pPr>
        <w:pStyle w:val="15"/>
        <w:spacing w:line="340" w:lineRule="exact"/>
        <w:ind w:firstLine="426"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2、除可填报项目外，对本投标函的任何实质性内容修改将被视为非实质性响应，在评审时将其视为无效响应。</w:t>
      </w:r>
    </w:p>
    <w:p w14:paraId="49B36484">
      <w:pPr>
        <w:pStyle w:val="26"/>
        <w:ind w:firstLine="0" w:firstLineChars="0"/>
        <w:rPr>
          <w:rFonts w:ascii="仿宋" w:hAnsi="仿宋" w:eastAsia="仿宋" w:cs="仿宋"/>
          <w:b/>
          <w:bCs/>
          <w:color w:val="000000" w:themeColor="text1"/>
          <w:sz w:val="21"/>
          <w:szCs w:val="21"/>
          <w:highlight w:val="none"/>
          <w14:textFill>
            <w14:solidFill>
              <w14:schemeClr w14:val="tx1"/>
            </w14:solidFill>
          </w14:textFill>
        </w:rPr>
      </w:pPr>
    </w:p>
    <w:p w14:paraId="67724AA2">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31DCF732">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11E630E2">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7F6642C1">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41EB8A33">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633352FF">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2B9C62B5">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311A20C4">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0EF57530">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26784DE2">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565322D9">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56D90CFB">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128CFF86">
      <w:pPr>
        <w:pStyle w:val="26"/>
        <w:ind w:firstLine="0" w:firstLineChars="0"/>
        <w:rPr>
          <w:rFonts w:ascii="仿宋" w:hAnsi="仿宋" w:eastAsia="仿宋" w:cs="仿宋"/>
          <w:color w:val="000000" w:themeColor="text1"/>
          <w:sz w:val="32"/>
          <w:szCs w:val="32"/>
          <w:highlight w:val="none"/>
          <w14:textFill>
            <w14:solidFill>
              <w14:schemeClr w14:val="tx1"/>
            </w14:solidFill>
          </w14:textFill>
        </w:rPr>
      </w:pPr>
    </w:p>
    <w:p w14:paraId="6F520A4C">
      <w:pPr>
        <w:rPr>
          <w:rFonts w:ascii="仿宋" w:hAnsi="仿宋" w:eastAsia="仿宋" w:cs="仿宋"/>
          <w:color w:val="000000" w:themeColor="text1"/>
          <w:highlight w:val="none"/>
          <w14:textFill>
            <w14:solidFill>
              <w14:schemeClr w14:val="tx1"/>
            </w14:solidFill>
          </w14:textFill>
        </w:rPr>
      </w:pPr>
      <w:bookmarkStart w:id="396" w:name="_Toc8061"/>
      <w:bookmarkStart w:id="397" w:name="_Toc940"/>
      <w:bookmarkStart w:id="398" w:name="_Toc28620"/>
      <w:bookmarkStart w:id="399" w:name="_Toc27965"/>
      <w:bookmarkStart w:id="400" w:name="_Toc6164"/>
      <w:bookmarkStart w:id="401" w:name="_Toc6674"/>
      <w:bookmarkStart w:id="402" w:name="_Toc15271"/>
      <w:bookmarkStart w:id="403" w:name="_Toc28261"/>
      <w:bookmarkStart w:id="404" w:name="_Toc28380"/>
      <w:bookmarkStart w:id="405" w:name="_Toc26017"/>
      <w:bookmarkStart w:id="406" w:name="_Toc5710"/>
      <w:bookmarkStart w:id="407" w:name="_Toc14393"/>
      <w:bookmarkStart w:id="408" w:name="_Toc28505"/>
      <w:bookmarkStart w:id="409" w:name="_Toc23720"/>
      <w:r>
        <w:rPr>
          <w:rFonts w:hint="eastAsia" w:ascii="仿宋" w:hAnsi="仿宋" w:eastAsia="仿宋" w:cs="仿宋"/>
          <w:color w:val="000000" w:themeColor="text1"/>
          <w:highlight w:val="none"/>
          <w14:textFill>
            <w14:solidFill>
              <w14:schemeClr w14:val="tx1"/>
            </w14:solidFill>
          </w14:textFill>
        </w:rPr>
        <w:br w:type="page"/>
      </w:r>
    </w:p>
    <w:p w14:paraId="205C2FD2">
      <w:pPr>
        <w:pStyle w:val="27"/>
        <w:ind w:firstLine="606" w:firstLineChars="200"/>
        <w:jc w:val="both"/>
        <w:outlineLvl w:val="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二、开标一览表</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0E9D230B">
      <w:pPr>
        <w:spacing w:line="600" w:lineRule="exact"/>
        <w:ind w:firstLine="566" w:firstLineChars="200"/>
        <w:jc w:val="left"/>
        <w:rPr>
          <w:rFonts w:ascii="仿宋" w:hAnsi="仿宋" w:eastAsia="仿宋" w:cs="仿宋"/>
          <w:highlight w:val="none"/>
        </w:rPr>
      </w:pPr>
      <w:r>
        <w:rPr>
          <w:rFonts w:hint="eastAsia" w:ascii="仿宋" w:hAnsi="仿宋" w:eastAsia="仿宋" w:cs="仿宋"/>
          <w:highlight w:val="none"/>
        </w:rPr>
        <w:t>项目编号：</w:t>
      </w:r>
    </w:p>
    <w:p w14:paraId="2BDCE695">
      <w:pPr>
        <w:spacing w:line="600" w:lineRule="exact"/>
        <w:ind w:firstLine="566" w:firstLineChars="200"/>
        <w:jc w:val="left"/>
        <w:rPr>
          <w:rFonts w:ascii="仿宋" w:hAnsi="仿宋" w:eastAsia="仿宋" w:cs="仿宋"/>
          <w:highlight w:val="none"/>
        </w:rPr>
      </w:pPr>
      <w:r>
        <w:rPr>
          <w:rFonts w:hint="eastAsia" w:ascii="仿宋" w:hAnsi="仿宋" w:eastAsia="仿宋" w:cs="仿宋"/>
          <w:highlight w:val="none"/>
        </w:rPr>
        <w:t>项目名称：</w:t>
      </w:r>
    </w:p>
    <w:tbl>
      <w:tblPr>
        <w:tblStyle w:val="1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65"/>
        <w:gridCol w:w="5752"/>
      </w:tblGrid>
      <w:tr w14:paraId="3DC4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2865" w:type="dxa"/>
            <w:vAlign w:val="center"/>
          </w:tcPr>
          <w:p w14:paraId="716D3AC7">
            <w:pPr>
              <w:pStyle w:val="5"/>
              <w:spacing w:line="360" w:lineRule="auto"/>
              <w:ind w:firstLine="0"/>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标题</w:t>
            </w:r>
          </w:p>
        </w:tc>
        <w:tc>
          <w:tcPr>
            <w:tcW w:w="5752" w:type="dxa"/>
            <w:vAlign w:val="center"/>
          </w:tcPr>
          <w:p w14:paraId="6A252644">
            <w:pPr>
              <w:autoSpaceDE w:val="0"/>
              <w:autoSpaceDN w:val="0"/>
              <w:spacing w:line="360" w:lineRule="auto"/>
              <w:jc w:val="center"/>
              <w:rPr>
                <w:rFonts w:ascii="仿宋" w:hAnsi="仿宋" w:eastAsia="仿宋" w:cs="仿宋"/>
                <w:color w:val="000000" w:themeColor="text1"/>
                <w:kern w:val="0"/>
                <w:highlight w:val="none"/>
                <w:lang w:val="zh-CN"/>
                <w14:textFill>
                  <w14:solidFill>
                    <w14:schemeClr w14:val="tx1"/>
                  </w14:solidFill>
                </w14:textFill>
              </w:rPr>
            </w:pPr>
            <w:r>
              <w:rPr>
                <w:rFonts w:hint="eastAsia" w:ascii="仿宋" w:hAnsi="仿宋" w:eastAsia="仿宋" w:cs="仿宋"/>
                <w:color w:val="000000" w:themeColor="text1"/>
                <w:kern w:val="0"/>
                <w:highlight w:val="none"/>
                <w:lang w:val="zh-CN"/>
                <w14:textFill>
                  <w14:solidFill>
                    <w14:schemeClr w14:val="tx1"/>
                  </w14:solidFill>
                </w14:textFill>
              </w:rPr>
              <w:t>内容</w:t>
            </w:r>
          </w:p>
        </w:tc>
      </w:tr>
      <w:tr w14:paraId="061D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atLeast"/>
          <w:jc w:val="center"/>
        </w:trPr>
        <w:tc>
          <w:tcPr>
            <w:tcW w:w="2865" w:type="dxa"/>
            <w:vAlign w:val="center"/>
          </w:tcPr>
          <w:p w14:paraId="47230982">
            <w:pPr>
              <w:pStyle w:val="5"/>
              <w:spacing w:line="360" w:lineRule="auto"/>
              <w:ind w:firstLine="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投标报价</w:t>
            </w:r>
          </w:p>
        </w:tc>
        <w:tc>
          <w:tcPr>
            <w:tcW w:w="5752" w:type="dxa"/>
            <w:vAlign w:val="center"/>
          </w:tcPr>
          <w:p w14:paraId="6CBAC840">
            <w:pPr>
              <w:autoSpaceDE w:val="0"/>
              <w:autoSpaceDN w:val="0"/>
              <w:spacing w:line="360" w:lineRule="auto"/>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小写：</w:t>
            </w:r>
          </w:p>
          <w:p w14:paraId="570A117A">
            <w:pPr>
              <w:pStyle w:val="5"/>
              <w:ind w:firstLine="0"/>
              <w:rPr>
                <w:lang w:val="zh-CN"/>
              </w:rPr>
            </w:pPr>
          </w:p>
          <w:p w14:paraId="1E7A64E5">
            <w:pPr>
              <w:pStyle w:val="2"/>
              <w:spacing w:after="0" w:afterLines="0"/>
              <w:ind w:firstLine="1215" w:firstLineChars="500"/>
              <w:jc w:val="both"/>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单位：元（</w:t>
            </w:r>
            <w:r>
              <w:rPr>
                <w:rFonts w:hint="eastAsia" w:ascii="仿宋" w:hAnsi="仿宋" w:eastAsia="仿宋" w:cs="仿宋"/>
                <w:color w:val="000000" w:themeColor="text1"/>
                <w:highlight w:val="none"/>
                <w:lang w:eastAsia="zh-CN"/>
                <w14:textFill>
                  <w14:solidFill>
                    <w14:schemeClr w14:val="tx1"/>
                  </w14:solidFill>
                </w14:textFill>
              </w:rPr>
              <w:t>报价最多保留至小数点后两位</w:t>
            </w:r>
            <w:r>
              <w:rPr>
                <w:rFonts w:hint="eastAsia" w:ascii="仿宋" w:hAnsi="仿宋" w:eastAsia="仿宋" w:cs="仿宋"/>
                <w:color w:val="000000" w:themeColor="text1"/>
                <w:highlight w:val="none"/>
                <w14:textFill>
                  <w14:solidFill>
                    <w14:schemeClr w14:val="tx1"/>
                  </w14:solidFill>
                </w14:textFill>
              </w:rPr>
              <w:t>）</w:t>
            </w:r>
          </w:p>
        </w:tc>
      </w:tr>
    </w:tbl>
    <w:p w14:paraId="51CEC25C">
      <w:pPr>
        <w:pStyle w:val="15"/>
        <w:spacing w:line="340" w:lineRule="exact"/>
        <w:ind w:firstLine="639" w:firstLineChars="3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r>
        <w:rPr>
          <w:rFonts w:hint="eastAsia" w:ascii="宋体" w:hAnsi="宋体" w:eastAsia="宋体" w:cs="宋体"/>
          <w:color w:val="000000" w:themeColor="text1"/>
          <w:sz w:val="21"/>
          <w:szCs w:val="21"/>
          <w:highlight w:val="none"/>
          <w:lang w:val="zh-CN"/>
          <w14:textFill>
            <w14:solidFill>
              <w14:schemeClr w14:val="tx1"/>
            </w14:solidFill>
          </w14:textFill>
        </w:rPr>
        <w:t>：“投标报价”为</w:t>
      </w:r>
      <w:r>
        <w:rPr>
          <w:rFonts w:hint="eastAsia" w:ascii="宋体" w:hAnsi="宋体" w:eastAsia="宋体" w:cs="宋体"/>
          <w:color w:val="000000" w:themeColor="text1"/>
          <w:sz w:val="21"/>
          <w:szCs w:val="21"/>
          <w:highlight w:val="none"/>
          <w14:textFill>
            <w14:solidFill>
              <w14:schemeClr w14:val="tx1"/>
            </w14:solidFill>
          </w14:textFill>
        </w:rPr>
        <w:t>投标总价</w:t>
      </w:r>
      <w:r>
        <w:rPr>
          <w:rFonts w:hint="eastAsia" w:ascii="宋体" w:hAnsi="宋体" w:eastAsia="宋体" w:cs="宋体"/>
          <w:color w:val="000000" w:themeColor="text1"/>
          <w:sz w:val="21"/>
          <w:szCs w:val="21"/>
          <w:highlight w:val="none"/>
          <w:lang w:val="zh-CN"/>
          <w14:textFill>
            <w14:solidFill>
              <w14:schemeClr w14:val="tx1"/>
            </w14:solidFill>
          </w14:textFill>
        </w:rPr>
        <w:t>。</w:t>
      </w:r>
      <w:bookmarkStart w:id="410" w:name="_Toc8006"/>
      <w:bookmarkStart w:id="411" w:name="_Toc29232"/>
      <w:bookmarkStart w:id="412" w:name="_Toc31114"/>
      <w:bookmarkStart w:id="413" w:name="_Toc26334"/>
      <w:bookmarkStart w:id="414" w:name="_Toc24699_WPSOffice_Level2"/>
      <w:bookmarkStart w:id="415" w:name="_Toc25597_WPSOffice_Level2"/>
      <w:bookmarkStart w:id="416" w:name="_Toc29740_WPSOffice_Level2"/>
      <w:bookmarkStart w:id="417" w:name="_Toc5592"/>
      <w:r>
        <w:rPr>
          <w:rFonts w:hint="eastAsia" w:ascii="宋体" w:hAnsi="宋体" w:eastAsia="宋体" w:cs="宋体"/>
          <w:color w:val="000000" w:themeColor="text1"/>
          <w:sz w:val="21"/>
          <w:szCs w:val="21"/>
          <w:highlight w:val="none"/>
          <w:lang w:val="zh-CN"/>
          <w14:textFill>
            <w14:solidFill>
              <w14:schemeClr w14:val="tx1"/>
            </w14:solidFill>
          </w14:textFill>
        </w:rPr>
        <w:t>投标报价必须包括本项目所需全部费用。</w:t>
      </w:r>
    </w:p>
    <w:bookmarkEnd w:id="410"/>
    <w:bookmarkEnd w:id="411"/>
    <w:bookmarkEnd w:id="412"/>
    <w:bookmarkEnd w:id="413"/>
    <w:bookmarkEnd w:id="414"/>
    <w:bookmarkEnd w:id="415"/>
    <w:bookmarkEnd w:id="416"/>
    <w:p w14:paraId="66FB4365">
      <w:pPr>
        <w:autoSpaceDE w:val="0"/>
        <w:autoSpaceDN w:val="0"/>
        <w:spacing w:before="190" w:beforeLines="50" w:line="500" w:lineRule="exact"/>
        <w:ind w:firstLine="5377" w:firstLineChars="1900"/>
        <w:rPr>
          <w:rFonts w:ascii="仿宋" w:hAnsi="仿宋" w:eastAsia="仿宋" w:cs="仿宋"/>
          <w:color w:val="000000" w:themeColor="text1"/>
          <w:highlight w:val="none"/>
          <w14:textFill>
            <w14:solidFill>
              <w14:schemeClr w14:val="tx1"/>
            </w14:solidFill>
          </w14:textFill>
        </w:rPr>
      </w:pPr>
    </w:p>
    <w:p w14:paraId="2530025E">
      <w:pPr>
        <w:autoSpaceDE w:val="0"/>
        <w:autoSpaceDN w:val="0"/>
        <w:spacing w:before="190" w:beforeLines="50" w:line="500" w:lineRule="exact"/>
        <w:ind w:firstLine="5377" w:firstLineChars="19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0671DC1A">
      <w:pPr>
        <w:spacing w:line="500" w:lineRule="exact"/>
        <w:ind w:firstLine="5660" w:firstLineChars="20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0D248200">
      <w:pPr>
        <w:spacing w:after="190" w:afterLines="50" w:line="500" w:lineRule="exact"/>
        <w:jc w:val="center"/>
        <w:rPr>
          <w:rFonts w:ascii="仿宋" w:hAnsi="仿宋" w:eastAsia="仿宋" w:cs="仿宋"/>
          <w:b/>
          <w:color w:val="000000" w:themeColor="text1"/>
          <w:highlight w:val="none"/>
          <w14:textFill>
            <w14:solidFill>
              <w14:schemeClr w14:val="tx1"/>
            </w14:solidFill>
          </w14:textFill>
        </w:rPr>
        <w:sectPr>
          <w:pgSz w:w="11906" w:h="16838"/>
          <w:pgMar w:top="1417" w:right="1417" w:bottom="1417" w:left="1417" w:header="850" w:footer="794" w:gutter="0"/>
          <w:pgNumType w:fmt="decimal" w:chapStyle="1"/>
          <w:cols w:space="720" w:num="1"/>
          <w:docGrid w:type="linesAndChars" w:linePitch="381" w:charSpace="704"/>
        </w:sectPr>
      </w:pPr>
    </w:p>
    <w:bookmarkEnd w:id="417"/>
    <w:p w14:paraId="67DE5A2E">
      <w:pPr>
        <w:spacing w:before="190" w:beforeLines="50" w:after="190" w:afterLines="50" w:line="500" w:lineRule="exact"/>
        <w:jc w:val="center"/>
        <w:rPr>
          <w:rFonts w:ascii="仿宋" w:hAnsi="仿宋" w:eastAsia="仿宋" w:cs="仿宋"/>
          <w:b/>
          <w:bCs/>
          <w:color w:val="000000" w:themeColor="text1"/>
          <w:sz w:val="32"/>
          <w:szCs w:val="32"/>
          <w:highlight w:val="none"/>
          <w14:textFill>
            <w14:solidFill>
              <w14:schemeClr w14:val="tx1"/>
            </w14:solidFill>
          </w14:textFill>
        </w:rPr>
      </w:pPr>
      <w:bookmarkStart w:id="418" w:name="_Toc4946"/>
      <w:bookmarkStart w:id="419" w:name="_Toc6005"/>
      <w:bookmarkStart w:id="420" w:name="_Toc15442"/>
      <w:bookmarkStart w:id="421" w:name="_Toc27481"/>
      <w:bookmarkStart w:id="422" w:name="_Toc2012"/>
      <w:bookmarkStart w:id="423" w:name="_Toc32030"/>
      <w:bookmarkStart w:id="424" w:name="_Toc30708"/>
      <w:bookmarkStart w:id="425" w:name="_Toc9028"/>
      <w:bookmarkStart w:id="426" w:name="_Toc10991"/>
      <w:bookmarkStart w:id="427" w:name="_Toc27127"/>
      <w:bookmarkStart w:id="428" w:name="_Toc21044"/>
      <w:r>
        <w:rPr>
          <w:rFonts w:hint="eastAsia" w:ascii="仿宋" w:hAnsi="仿宋" w:eastAsia="仿宋" w:cs="仿宋"/>
          <w:b/>
          <w:bCs/>
          <w:color w:val="000000" w:themeColor="text1"/>
          <w:sz w:val="32"/>
          <w:szCs w:val="32"/>
          <w:highlight w:val="none"/>
          <w14:textFill>
            <w14:solidFill>
              <w14:schemeClr w14:val="tx1"/>
            </w14:solidFill>
          </w14:textFill>
        </w:rPr>
        <w:t>分项报价表</w:t>
      </w:r>
    </w:p>
    <w:tbl>
      <w:tblPr>
        <w:tblStyle w:val="17"/>
        <w:tblW w:w="8854" w:type="dxa"/>
        <w:jc w:val="center"/>
        <w:tblLayout w:type="fixed"/>
        <w:tblCellMar>
          <w:top w:w="0" w:type="dxa"/>
          <w:left w:w="28" w:type="dxa"/>
          <w:bottom w:w="0" w:type="dxa"/>
          <w:right w:w="28" w:type="dxa"/>
        </w:tblCellMar>
      </w:tblPr>
      <w:tblGrid>
        <w:gridCol w:w="713"/>
        <w:gridCol w:w="1250"/>
        <w:gridCol w:w="1681"/>
        <w:gridCol w:w="1840"/>
        <w:gridCol w:w="1270"/>
        <w:gridCol w:w="1334"/>
        <w:gridCol w:w="766"/>
      </w:tblGrid>
      <w:tr w14:paraId="66D03EB9">
        <w:tblPrEx>
          <w:tblCellMar>
            <w:top w:w="0" w:type="dxa"/>
            <w:left w:w="28" w:type="dxa"/>
            <w:bottom w:w="0" w:type="dxa"/>
            <w:right w:w="28" w:type="dxa"/>
          </w:tblCellMar>
        </w:tblPrEx>
        <w:trPr>
          <w:trHeight w:val="1274" w:hRule="atLeast"/>
          <w:jc w:val="center"/>
        </w:trPr>
        <w:tc>
          <w:tcPr>
            <w:tcW w:w="713" w:type="dxa"/>
            <w:tcBorders>
              <w:top w:val="single" w:color="000000" w:sz="8" w:space="0"/>
              <w:left w:val="single" w:color="000000" w:sz="8" w:space="0"/>
              <w:bottom w:val="single" w:color="000000" w:sz="6" w:space="0"/>
              <w:right w:val="single" w:color="000000" w:sz="6" w:space="0"/>
            </w:tcBorders>
            <w:vAlign w:val="center"/>
          </w:tcPr>
          <w:p w14:paraId="2E04559F">
            <w:pPr>
              <w:widowControl w:val="0"/>
              <w:autoSpaceDE w:val="0"/>
              <w:autoSpaceDN w:val="0"/>
              <w:spacing w:line="240" w:lineRule="auto"/>
              <w:jc w:val="center"/>
              <w:rPr>
                <w:rFonts w:ascii="仿宋" w:hAnsi="仿宋" w:eastAsia="仿宋" w:cs="仿宋"/>
                <w:b/>
                <w:bCs/>
                <w:kern w:val="0"/>
                <w:sz w:val="24"/>
                <w:szCs w:val="24"/>
                <w:highlight w:val="none"/>
                <w:lang w:val="zh-CN"/>
              </w:rPr>
            </w:pPr>
            <w:r>
              <w:rPr>
                <w:rFonts w:hint="eastAsia" w:ascii="仿宋" w:hAnsi="仿宋" w:eastAsia="仿宋" w:cs="仿宋"/>
                <w:b/>
                <w:bCs/>
                <w:kern w:val="0"/>
                <w:sz w:val="24"/>
                <w:szCs w:val="24"/>
                <w:highlight w:val="none"/>
                <w:lang w:val="zh-CN"/>
              </w:rPr>
              <w:t>序号</w:t>
            </w:r>
          </w:p>
        </w:tc>
        <w:tc>
          <w:tcPr>
            <w:tcW w:w="1250" w:type="dxa"/>
            <w:tcBorders>
              <w:top w:val="single" w:color="000000" w:sz="8" w:space="0"/>
              <w:left w:val="single" w:color="000000" w:sz="6" w:space="0"/>
              <w:bottom w:val="single" w:color="000000" w:sz="6" w:space="0"/>
              <w:right w:val="single" w:color="000000" w:sz="6" w:space="0"/>
            </w:tcBorders>
            <w:vAlign w:val="center"/>
          </w:tcPr>
          <w:p w14:paraId="6DB27960">
            <w:pPr>
              <w:widowControl w:val="0"/>
              <w:autoSpaceDE w:val="0"/>
              <w:autoSpaceDN w:val="0"/>
              <w:spacing w:line="240" w:lineRule="auto"/>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服务名称</w:t>
            </w:r>
          </w:p>
        </w:tc>
        <w:tc>
          <w:tcPr>
            <w:tcW w:w="1681" w:type="dxa"/>
            <w:tcBorders>
              <w:top w:val="single" w:color="000000" w:sz="8" w:space="0"/>
              <w:left w:val="single" w:color="000000" w:sz="6" w:space="0"/>
              <w:bottom w:val="single" w:color="000000" w:sz="6" w:space="0"/>
              <w:right w:val="single" w:color="000000" w:sz="6" w:space="0"/>
            </w:tcBorders>
            <w:vAlign w:val="center"/>
          </w:tcPr>
          <w:p w14:paraId="36E5ECAF">
            <w:pPr>
              <w:pStyle w:val="27"/>
              <w:widowControl w:val="0"/>
              <w:rPr>
                <w:rFonts w:ascii="仿宋" w:hAnsi="仿宋" w:eastAsia="仿宋" w:cs="仿宋"/>
                <w:b w:val="0"/>
                <w:bCs w:val="0"/>
                <w:kern w:val="0"/>
                <w:sz w:val="24"/>
                <w:szCs w:val="24"/>
                <w:highlight w:val="none"/>
              </w:rPr>
            </w:pPr>
            <w:bookmarkStart w:id="429" w:name="_Toc4826"/>
            <w:r>
              <w:rPr>
                <w:rFonts w:hint="eastAsia" w:ascii="仿宋" w:hAnsi="仿宋" w:eastAsia="仿宋" w:cs="仿宋"/>
                <w:bCs w:val="0"/>
                <w:sz w:val="24"/>
                <w:szCs w:val="24"/>
                <w:highlight w:val="none"/>
              </w:rPr>
              <w:t>计量单位</w:t>
            </w:r>
            <w:bookmarkEnd w:id="429"/>
          </w:p>
        </w:tc>
        <w:tc>
          <w:tcPr>
            <w:tcW w:w="1840" w:type="dxa"/>
            <w:tcBorders>
              <w:top w:val="single" w:color="000000" w:sz="8" w:space="0"/>
              <w:left w:val="single" w:color="000000" w:sz="6" w:space="0"/>
              <w:bottom w:val="single" w:color="000000" w:sz="6" w:space="0"/>
              <w:right w:val="single" w:color="000000" w:sz="6" w:space="0"/>
            </w:tcBorders>
            <w:vAlign w:val="center"/>
          </w:tcPr>
          <w:p w14:paraId="5E150264">
            <w:pPr>
              <w:pStyle w:val="27"/>
              <w:widowControl w:val="0"/>
              <w:rPr>
                <w:rFonts w:ascii="仿宋" w:hAnsi="仿宋" w:eastAsia="仿宋" w:cs="仿宋"/>
                <w:b w:val="0"/>
                <w:bCs w:val="0"/>
                <w:kern w:val="0"/>
                <w:sz w:val="24"/>
                <w:szCs w:val="24"/>
                <w:highlight w:val="none"/>
                <w:lang w:val="zh-CN"/>
              </w:rPr>
            </w:pPr>
            <w:bookmarkStart w:id="430" w:name="_Toc19648"/>
            <w:r>
              <w:rPr>
                <w:rFonts w:hint="eastAsia" w:ascii="仿宋" w:hAnsi="仿宋" w:eastAsia="仿宋" w:cs="仿宋"/>
                <w:bCs w:val="0"/>
                <w:sz w:val="24"/>
                <w:szCs w:val="24"/>
                <w:highlight w:val="none"/>
              </w:rPr>
              <w:t>具体要求说明</w:t>
            </w:r>
            <w:bookmarkEnd w:id="430"/>
          </w:p>
        </w:tc>
        <w:tc>
          <w:tcPr>
            <w:tcW w:w="1270" w:type="dxa"/>
            <w:tcBorders>
              <w:top w:val="single" w:color="000000" w:sz="8" w:space="0"/>
              <w:left w:val="single" w:color="000000" w:sz="6" w:space="0"/>
              <w:bottom w:val="single" w:color="000000" w:sz="6" w:space="0"/>
              <w:right w:val="single" w:color="auto" w:sz="4" w:space="0"/>
            </w:tcBorders>
            <w:vAlign w:val="center"/>
          </w:tcPr>
          <w:p w14:paraId="295D84BB">
            <w:pPr>
              <w:pStyle w:val="27"/>
              <w:widowControl w:val="0"/>
              <w:rPr>
                <w:rFonts w:ascii="仿宋" w:hAnsi="仿宋" w:eastAsia="仿宋" w:cs="仿宋"/>
                <w:bCs w:val="0"/>
                <w:sz w:val="24"/>
                <w:szCs w:val="24"/>
                <w:highlight w:val="none"/>
              </w:rPr>
            </w:pPr>
            <w:bookmarkStart w:id="431" w:name="_Toc2637"/>
            <w:r>
              <w:rPr>
                <w:rFonts w:hint="eastAsia" w:ascii="仿宋" w:hAnsi="仿宋" w:eastAsia="仿宋" w:cs="仿宋"/>
                <w:bCs w:val="0"/>
                <w:sz w:val="24"/>
                <w:szCs w:val="24"/>
                <w:highlight w:val="none"/>
              </w:rPr>
              <w:t>数量</w:t>
            </w:r>
            <w:bookmarkEnd w:id="431"/>
          </w:p>
        </w:tc>
        <w:tc>
          <w:tcPr>
            <w:tcW w:w="1334" w:type="dxa"/>
            <w:tcBorders>
              <w:top w:val="single" w:color="000000" w:sz="8" w:space="0"/>
              <w:left w:val="single" w:color="auto" w:sz="4" w:space="0"/>
              <w:bottom w:val="single" w:color="000000" w:sz="6" w:space="0"/>
              <w:right w:val="single" w:color="000000" w:sz="6" w:space="0"/>
            </w:tcBorders>
            <w:vAlign w:val="center"/>
          </w:tcPr>
          <w:p w14:paraId="039BA91D">
            <w:pPr>
              <w:pStyle w:val="27"/>
              <w:widowControl w:val="0"/>
              <w:rPr>
                <w:rFonts w:ascii="仿宋" w:hAnsi="仿宋" w:eastAsia="仿宋" w:cs="仿宋"/>
                <w:bCs w:val="0"/>
                <w:sz w:val="24"/>
                <w:szCs w:val="24"/>
                <w:highlight w:val="none"/>
              </w:rPr>
            </w:pPr>
            <w:bookmarkStart w:id="432" w:name="_Toc13402"/>
            <w:r>
              <w:rPr>
                <w:rFonts w:hint="eastAsia" w:ascii="仿宋" w:hAnsi="仿宋" w:eastAsia="仿宋" w:cs="仿宋"/>
                <w:bCs w:val="0"/>
                <w:sz w:val="24"/>
                <w:szCs w:val="24"/>
                <w:highlight w:val="none"/>
              </w:rPr>
              <w:t>金额</w:t>
            </w:r>
            <w:bookmarkEnd w:id="432"/>
          </w:p>
        </w:tc>
        <w:tc>
          <w:tcPr>
            <w:tcW w:w="766" w:type="dxa"/>
            <w:tcBorders>
              <w:top w:val="single" w:color="000000" w:sz="8" w:space="0"/>
              <w:left w:val="single" w:color="000000" w:sz="6" w:space="0"/>
              <w:bottom w:val="single" w:color="000000" w:sz="6" w:space="0"/>
              <w:right w:val="single" w:color="000000" w:sz="8" w:space="0"/>
            </w:tcBorders>
            <w:vAlign w:val="center"/>
          </w:tcPr>
          <w:p w14:paraId="0F659B00">
            <w:pPr>
              <w:pStyle w:val="27"/>
              <w:widowControl w:val="0"/>
              <w:rPr>
                <w:rFonts w:ascii="仿宋" w:hAnsi="仿宋" w:eastAsia="仿宋" w:cs="仿宋"/>
                <w:b w:val="0"/>
                <w:bCs w:val="0"/>
                <w:sz w:val="24"/>
                <w:szCs w:val="24"/>
                <w:highlight w:val="none"/>
              </w:rPr>
            </w:pPr>
            <w:bookmarkStart w:id="433" w:name="_Toc24773"/>
            <w:r>
              <w:rPr>
                <w:rFonts w:hint="eastAsia" w:ascii="仿宋" w:hAnsi="仿宋" w:eastAsia="仿宋" w:cs="仿宋"/>
                <w:bCs w:val="0"/>
                <w:sz w:val="24"/>
                <w:szCs w:val="24"/>
                <w:highlight w:val="none"/>
              </w:rPr>
              <w:t>备注</w:t>
            </w:r>
            <w:bookmarkEnd w:id="433"/>
          </w:p>
        </w:tc>
      </w:tr>
      <w:tr w14:paraId="61ACD987">
        <w:tblPrEx>
          <w:tblCellMar>
            <w:top w:w="0" w:type="dxa"/>
            <w:left w:w="28" w:type="dxa"/>
            <w:bottom w:w="0" w:type="dxa"/>
            <w:right w:w="28" w:type="dxa"/>
          </w:tblCellMar>
        </w:tblPrEx>
        <w:trPr>
          <w:trHeight w:val="393"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126DDA22">
            <w:pPr>
              <w:autoSpaceDE w:val="0"/>
              <w:autoSpaceDN w:val="0"/>
              <w:spacing w:line="240" w:lineRule="auto"/>
              <w:jc w:val="center"/>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w:t>
            </w:r>
          </w:p>
        </w:tc>
        <w:tc>
          <w:tcPr>
            <w:tcW w:w="1250" w:type="dxa"/>
            <w:tcBorders>
              <w:top w:val="single" w:color="000000" w:sz="6" w:space="0"/>
              <w:left w:val="single" w:color="000000" w:sz="6" w:space="0"/>
              <w:bottom w:val="single" w:color="000000" w:sz="6" w:space="0"/>
              <w:right w:val="single" w:color="000000" w:sz="6" w:space="0"/>
            </w:tcBorders>
            <w:vAlign w:val="center"/>
          </w:tcPr>
          <w:p w14:paraId="6489A586">
            <w:pPr>
              <w:autoSpaceDE w:val="0"/>
              <w:autoSpaceDN w:val="0"/>
              <w:spacing w:line="240" w:lineRule="auto"/>
              <w:jc w:val="center"/>
              <w:rPr>
                <w:rFonts w:ascii="仿宋" w:hAnsi="仿宋" w:eastAsia="仿宋" w:cs="仿宋"/>
                <w:kern w:val="0"/>
                <w:sz w:val="24"/>
                <w:szCs w:val="24"/>
                <w:highlight w:val="none"/>
                <w:lang w:val="zh-CN"/>
              </w:rPr>
            </w:pPr>
          </w:p>
        </w:tc>
        <w:tc>
          <w:tcPr>
            <w:tcW w:w="1681" w:type="dxa"/>
            <w:tcBorders>
              <w:top w:val="single" w:color="000000" w:sz="6" w:space="0"/>
              <w:left w:val="single" w:color="000000" w:sz="6" w:space="0"/>
              <w:bottom w:val="single" w:color="000000" w:sz="6" w:space="0"/>
              <w:right w:val="single" w:color="000000" w:sz="6" w:space="0"/>
            </w:tcBorders>
            <w:vAlign w:val="center"/>
          </w:tcPr>
          <w:p w14:paraId="701E8907">
            <w:pPr>
              <w:autoSpaceDE w:val="0"/>
              <w:autoSpaceDN w:val="0"/>
              <w:spacing w:line="240" w:lineRule="auto"/>
              <w:jc w:val="center"/>
              <w:rPr>
                <w:rFonts w:ascii="仿宋" w:hAnsi="仿宋" w:eastAsia="仿宋" w:cs="仿宋"/>
                <w:kern w:val="0"/>
                <w:sz w:val="24"/>
                <w:szCs w:val="24"/>
                <w:highlight w:val="none"/>
              </w:rPr>
            </w:pPr>
          </w:p>
        </w:tc>
        <w:tc>
          <w:tcPr>
            <w:tcW w:w="1840" w:type="dxa"/>
            <w:tcBorders>
              <w:top w:val="single" w:color="000000" w:sz="6" w:space="0"/>
              <w:left w:val="single" w:color="000000" w:sz="6" w:space="0"/>
              <w:bottom w:val="single" w:color="000000" w:sz="6" w:space="0"/>
              <w:right w:val="single" w:color="000000" w:sz="6" w:space="0"/>
            </w:tcBorders>
            <w:vAlign w:val="center"/>
          </w:tcPr>
          <w:p w14:paraId="096630AB">
            <w:pPr>
              <w:autoSpaceDE w:val="0"/>
              <w:autoSpaceDN w:val="0"/>
              <w:spacing w:line="240" w:lineRule="auto"/>
              <w:jc w:val="center"/>
              <w:rPr>
                <w:rFonts w:ascii="仿宋" w:hAnsi="仿宋" w:eastAsia="仿宋" w:cs="仿宋"/>
                <w:kern w:val="0"/>
                <w:sz w:val="24"/>
                <w:szCs w:val="24"/>
                <w:highlight w:val="none"/>
                <w:lang w:val="zh-CN"/>
              </w:rPr>
            </w:pPr>
          </w:p>
        </w:tc>
        <w:tc>
          <w:tcPr>
            <w:tcW w:w="1270" w:type="dxa"/>
            <w:tcBorders>
              <w:top w:val="single" w:color="000000" w:sz="6" w:space="0"/>
              <w:left w:val="single" w:color="000000" w:sz="6" w:space="0"/>
              <w:bottom w:val="single" w:color="000000" w:sz="6" w:space="0"/>
              <w:right w:val="single" w:color="auto" w:sz="4" w:space="0"/>
            </w:tcBorders>
            <w:vAlign w:val="center"/>
          </w:tcPr>
          <w:p w14:paraId="59EDFA2B">
            <w:pPr>
              <w:autoSpaceDE w:val="0"/>
              <w:autoSpaceDN w:val="0"/>
              <w:spacing w:line="240" w:lineRule="auto"/>
              <w:jc w:val="center"/>
              <w:rPr>
                <w:rFonts w:ascii="仿宋" w:hAnsi="仿宋" w:eastAsia="仿宋" w:cs="仿宋"/>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5308C844">
            <w:pPr>
              <w:autoSpaceDE w:val="0"/>
              <w:autoSpaceDN w:val="0"/>
              <w:spacing w:line="240" w:lineRule="auto"/>
              <w:jc w:val="center"/>
              <w:rPr>
                <w:rFonts w:ascii="仿宋" w:hAnsi="仿宋" w:eastAsia="仿宋" w:cs="仿宋"/>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7164C826">
            <w:pPr>
              <w:autoSpaceDE w:val="0"/>
              <w:autoSpaceDN w:val="0"/>
              <w:spacing w:line="240" w:lineRule="auto"/>
              <w:jc w:val="center"/>
              <w:rPr>
                <w:rFonts w:ascii="仿宋" w:hAnsi="仿宋" w:eastAsia="仿宋" w:cs="仿宋"/>
                <w:kern w:val="0"/>
                <w:sz w:val="24"/>
                <w:szCs w:val="24"/>
                <w:highlight w:val="none"/>
                <w:lang w:val="zh-CN"/>
              </w:rPr>
            </w:pPr>
          </w:p>
        </w:tc>
      </w:tr>
      <w:tr w14:paraId="4B268984">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42888581">
            <w:pPr>
              <w:autoSpaceDE w:val="0"/>
              <w:autoSpaceDN w:val="0"/>
              <w:spacing w:line="240" w:lineRule="auto"/>
              <w:jc w:val="center"/>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p>
        </w:tc>
        <w:tc>
          <w:tcPr>
            <w:tcW w:w="1250" w:type="dxa"/>
            <w:tcBorders>
              <w:top w:val="single" w:color="000000" w:sz="6" w:space="0"/>
              <w:left w:val="single" w:color="000000" w:sz="6" w:space="0"/>
              <w:bottom w:val="single" w:color="000000" w:sz="6" w:space="0"/>
              <w:right w:val="single" w:color="000000" w:sz="6" w:space="0"/>
            </w:tcBorders>
            <w:vAlign w:val="center"/>
          </w:tcPr>
          <w:p w14:paraId="4DB363E7">
            <w:pPr>
              <w:autoSpaceDE w:val="0"/>
              <w:autoSpaceDN w:val="0"/>
              <w:spacing w:line="240" w:lineRule="auto"/>
              <w:jc w:val="center"/>
              <w:rPr>
                <w:rFonts w:ascii="仿宋" w:hAnsi="仿宋" w:eastAsia="仿宋" w:cs="仿宋"/>
                <w:kern w:val="0"/>
                <w:sz w:val="24"/>
                <w:szCs w:val="24"/>
                <w:highlight w:val="none"/>
                <w:lang w:val="zh-CN"/>
              </w:rPr>
            </w:pPr>
          </w:p>
        </w:tc>
        <w:tc>
          <w:tcPr>
            <w:tcW w:w="1681" w:type="dxa"/>
            <w:tcBorders>
              <w:top w:val="single" w:color="000000" w:sz="6" w:space="0"/>
              <w:left w:val="single" w:color="000000" w:sz="6" w:space="0"/>
              <w:bottom w:val="single" w:color="000000" w:sz="6" w:space="0"/>
              <w:right w:val="single" w:color="000000" w:sz="6" w:space="0"/>
            </w:tcBorders>
            <w:vAlign w:val="center"/>
          </w:tcPr>
          <w:p w14:paraId="14928E46">
            <w:pPr>
              <w:autoSpaceDE w:val="0"/>
              <w:autoSpaceDN w:val="0"/>
              <w:spacing w:line="240" w:lineRule="auto"/>
              <w:jc w:val="center"/>
              <w:rPr>
                <w:rFonts w:ascii="仿宋" w:hAnsi="仿宋" w:eastAsia="仿宋" w:cs="仿宋"/>
                <w:kern w:val="0"/>
                <w:sz w:val="24"/>
                <w:szCs w:val="24"/>
                <w:highlight w:val="none"/>
              </w:rPr>
            </w:pPr>
          </w:p>
        </w:tc>
        <w:tc>
          <w:tcPr>
            <w:tcW w:w="1840" w:type="dxa"/>
            <w:tcBorders>
              <w:top w:val="single" w:color="000000" w:sz="6" w:space="0"/>
              <w:left w:val="single" w:color="000000" w:sz="6" w:space="0"/>
              <w:bottom w:val="single" w:color="000000" w:sz="6" w:space="0"/>
              <w:right w:val="single" w:color="000000" w:sz="6" w:space="0"/>
            </w:tcBorders>
            <w:vAlign w:val="center"/>
          </w:tcPr>
          <w:p w14:paraId="5FA4E580">
            <w:pPr>
              <w:autoSpaceDE w:val="0"/>
              <w:autoSpaceDN w:val="0"/>
              <w:spacing w:line="240" w:lineRule="auto"/>
              <w:jc w:val="center"/>
              <w:rPr>
                <w:rFonts w:ascii="仿宋" w:hAnsi="仿宋" w:eastAsia="仿宋" w:cs="仿宋"/>
                <w:kern w:val="0"/>
                <w:sz w:val="24"/>
                <w:szCs w:val="24"/>
                <w:highlight w:val="none"/>
                <w:lang w:val="zh-CN"/>
              </w:rPr>
            </w:pPr>
          </w:p>
        </w:tc>
        <w:tc>
          <w:tcPr>
            <w:tcW w:w="1270" w:type="dxa"/>
            <w:tcBorders>
              <w:top w:val="single" w:color="000000" w:sz="6" w:space="0"/>
              <w:left w:val="single" w:color="000000" w:sz="6" w:space="0"/>
              <w:bottom w:val="single" w:color="000000" w:sz="6" w:space="0"/>
              <w:right w:val="single" w:color="auto" w:sz="4" w:space="0"/>
            </w:tcBorders>
            <w:vAlign w:val="center"/>
          </w:tcPr>
          <w:p w14:paraId="1DDBF88E">
            <w:pPr>
              <w:autoSpaceDE w:val="0"/>
              <w:autoSpaceDN w:val="0"/>
              <w:spacing w:line="240" w:lineRule="auto"/>
              <w:jc w:val="center"/>
              <w:rPr>
                <w:rFonts w:ascii="仿宋" w:hAnsi="仿宋" w:eastAsia="仿宋" w:cs="仿宋"/>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30820516">
            <w:pPr>
              <w:autoSpaceDE w:val="0"/>
              <w:autoSpaceDN w:val="0"/>
              <w:spacing w:line="240" w:lineRule="auto"/>
              <w:jc w:val="center"/>
              <w:rPr>
                <w:rFonts w:ascii="仿宋" w:hAnsi="仿宋" w:eastAsia="仿宋" w:cs="仿宋"/>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65EC92D8">
            <w:pPr>
              <w:autoSpaceDE w:val="0"/>
              <w:autoSpaceDN w:val="0"/>
              <w:spacing w:line="240" w:lineRule="auto"/>
              <w:jc w:val="center"/>
              <w:rPr>
                <w:rFonts w:ascii="仿宋" w:hAnsi="仿宋" w:eastAsia="仿宋" w:cs="仿宋"/>
                <w:kern w:val="0"/>
                <w:sz w:val="24"/>
                <w:szCs w:val="24"/>
                <w:highlight w:val="none"/>
                <w:lang w:val="zh-CN"/>
              </w:rPr>
            </w:pPr>
          </w:p>
        </w:tc>
      </w:tr>
      <w:tr w14:paraId="6B0257F0">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0196B4F6">
            <w:pPr>
              <w:autoSpaceDE w:val="0"/>
              <w:autoSpaceDN w:val="0"/>
              <w:spacing w:line="240" w:lineRule="auto"/>
              <w:jc w:val="center"/>
              <w:rPr>
                <w:rFonts w:ascii="仿宋" w:hAnsi="仿宋" w:eastAsia="仿宋" w:cs="仿宋"/>
                <w:kern w:val="0"/>
                <w:sz w:val="24"/>
                <w:szCs w:val="24"/>
                <w:highlight w:val="none"/>
              </w:rPr>
            </w:pPr>
            <w:r>
              <w:rPr>
                <w:rFonts w:hint="eastAsia" w:ascii="仿宋" w:hAnsi="仿宋" w:eastAsia="仿宋" w:cs="仿宋"/>
                <w:kern w:val="0"/>
                <w:sz w:val="21"/>
                <w:szCs w:val="21"/>
                <w:highlight w:val="none"/>
                <w:lang w:val="zh-CN"/>
              </w:rPr>
              <w:t>…</w:t>
            </w:r>
          </w:p>
        </w:tc>
        <w:tc>
          <w:tcPr>
            <w:tcW w:w="1250" w:type="dxa"/>
            <w:tcBorders>
              <w:top w:val="single" w:color="000000" w:sz="6" w:space="0"/>
              <w:left w:val="single" w:color="000000" w:sz="6" w:space="0"/>
              <w:bottom w:val="single" w:color="000000" w:sz="6" w:space="0"/>
              <w:right w:val="single" w:color="000000" w:sz="6" w:space="0"/>
            </w:tcBorders>
            <w:vAlign w:val="center"/>
          </w:tcPr>
          <w:p w14:paraId="11C65831">
            <w:pPr>
              <w:autoSpaceDE w:val="0"/>
              <w:autoSpaceDN w:val="0"/>
              <w:spacing w:line="240" w:lineRule="auto"/>
              <w:jc w:val="center"/>
              <w:rPr>
                <w:rFonts w:ascii="仿宋" w:hAnsi="仿宋" w:eastAsia="仿宋" w:cs="仿宋"/>
                <w:kern w:val="0"/>
                <w:sz w:val="24"/>
                <w:szCs w:val="24"/>
                <w:highlight w:val="none"/>
                <w:lang w:val="zh-CN"/>
              </w:rPr>
            </w:pPr>
          </w:p>
        </w:tc>
        <w:tc>
          <w:tcPr>
            <w:tcW w:w="1681" w:type="dxa"/>
            <w:tcBorders>
              <w:top w:val="single" w:color="000000" w:sz="6" w:space="0"/>
              <w:left w:val="single" w:color="000000" w:sz="6" w:space="0"/>
              <w:bottom w:val="single" w:color="000000" w:sz="6" w:space="0"/>
              <w:right w:val="single" w:color="000000" w:sz="6" w:space="0"/>
            </w:tcBorders>
            <w:vAlign w:val="center"/>
          </w:tcPr>
          <w:p w14:paraId="3FD6AC4F">
            <w:pPr>
              <w:autoSpaceDE w:val="0"/>
              <w:autoSpaceDN w:val="0"/>
              <w:spacing w:line="240" w:lineRule="auto"/>
              <w:jc w:val="center"/>
              <w:rPr>
                <w:rFonts w:ascii="仿宋" w:hAnsi="仿宋" w:eastAsia="仿宋" w:cs="仿宋"/>
                <w:kern w:val="0"/>
                <w:sz w:val="24"/>
                <w:szCs w:val="24"/>
                <w:highlight w:val="none"/>
              </w:rPr>
            </w:pPr>
          </w:p>
        </w:tc>
        <w:tc>
          <w:tcPr>
            <w:tcW w:w="1840" w:type="dxa"/>
            <w:tcBorders>
              <w:top w:val="single" w:color="000000" w:sz="6" w:space="0"/>
              <w:left w:val="single" w:color="000000" w:sz="6" w:space="0"/>
              <w:bottom w:val="single" w:color="000000" w:sz="6" w:space="0"/>
              <w:right w:val="single" w:color="000000" w:sz="6" w:space="0"/>
            </w:tcBorders>
            <w:vAlign w:val="center"/>
          </w:tcPr>
          <w:p w14:paraId="06088654">
            <w:pPr>
              <w:autoSpaceDE w:val="0"/>
              <w:autoSpaceDN w:val="0"/>
              <w:spacing w:line="240" w:lineRule="auto"/>
              <w:jc w:val="center"/>
              <w:rPr>
                <w:rFonts w:ascii="仿宋" w:hAnsi="仿宋" w:eastAsia="仿宋" w:cs="仿宋"/>
                <w:kern w:val="0"/>
                <w:sz w:val="24"/>
                <w:szCs w:val="24"/>
                <w:highlight w:val="none"/>
                <w:lang w:val="zh-CN"/>
              </w:rPr>
            </w:pPr>
          </w:p>
        </w:tc>
        <w:tc>
          <w:tcPr>
            <w:tcW w:w="1270" w:type="dxa"/>
            <w:tcBorders>
              <w:top w:val="single" w:color="000000" w:sz="6" w:space="0"/>
              <w:left w:val="single" w:color="000000" w:sz="6" w:space="0"/>
              <w:bottom w:val="single" w:color="000000" w:sz="6" w:space="0"/>
              <w:right w:val="single" w:color="auto" w:sz="4" w:space="0"/>
            </w:tcBorders>
            <w:vAlign w:val="center"/>
          </w:tcPr>
          <w:p w14:paraId="4DAEA092">
            <w:pPr>
              <w:autoSpaceDE w:val="0"/>
              <w:autoSpaceDN w:val="0"/>
              <w:spacing w:line="240" w:lineRule="auto"/>
              <w:jc w:val="center"/>
              <w:rPr>
                <w:rFonts w:ascii="仿宋" w:hAnsi="仿宋" w:eastAsia="仿宋" w:cs="仿宋"/>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40269333">
            <w:pPr>
              <w:autoSpaceDE w:val="0"/>
              <w:autoSpaceDN w:val="0"/>
              <w:spacing w:line="240" w:lineRule="auto"/>
              <w:jc w:val="center"/>
              <w:rPr>
                <w:rFonts w:ascii="仿宋" w:hAnsi="仿宋" w:eastAsia="仿宋" w:cs="仿宋"/>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5D24230F">
            <w:pPr>
              <w:autoSpaceDE w:val="0"/>
              <w:autoSpaceDN w:val="0"/>
              <w:spacing w:line="240" w:lineRule="auto"/>
              <w:jc w:val="center"/>
              <w:rPr>
                <w:rFonts w:ascii="仿宋" w:hAnsi="仿宋" w:eastAsia="仿宋" w:cs="仿宋"/>
                <w:kern w:val="0"/>
                <w:sz w:val="24"/>
                <w:szCs w:val="24"/>
                <w:highlight w:val="none"/>
                <w:lang w:val="zh-CN"/>
              </w:rPr>
            </w:pPr>
          </w:p>
        </w:tc>
      </w:tr>
      <w:tr w14:paraId="192285E3">
        <w:tblPrEx>
          <w:tblCellMar>
            <w:top w:w="0" w:type="dxa"/>
            <w:left w:w="28" w:type="dxa"/>
            <w:bottom w:w="0" w:type="dxa"/>
            <w:right w:w="28" w:type="dxa"/>
          </w:tblCellMar>
        </w:tblPrEx>
        <w:trPr>
          <w:trHeight w:val="801" w:hRule="atLeast"/>
          <w:jc w:val="center"/>
        </w:trPr>
        <w:tc>
          <w:tcPr>
            <w:tcW w:w="8854" w:type="dxa"/>
            <w:gridSpan w:val="7"/>
            <w:tcBorders>
              <w:top w:val="single" w:color="000000" w:sz="6" w:space="0"/>
              <w:left w:val="single" w:color="000000" w:sz="8" w:space="0"/>
              <w:bottom w:val="single" w:color="000000" w:sz="6" w:space="0"/>
              <w:right w:val="single" w:color="000000" w:sz="8" w:space="0"/>
            </w:tcBorders>
            <w:vAlign w:val="center"/>
          </w:tcPr>
          <w:p w14:paraId="33B886FB">
            <w:pPr>
              <w:autoSpaceDE w:val="0"/>
              <w:autoSpaceDN w:val="0"/>
              <w:spacing w:line="240" w:lineRule="auto"/>
              <w:jc w:val="left"/>
              <w:rPr>
                <w:rFonts w:ascii="仿宋" w:hAnsi="仿宋" w:eastAsia="仿宋" w:cs="仿宋"/>
                <w:kern w:val="0"/>
                <w:sz w:val="24"/>
                <w:szCs w:val="24"/>
                <w:highlight w:val="none"/>
              </w:rPr>
            </w:pPr>
            <w:r>
              <w:rPr>
                <w:rFonts w:hint="eastAsia" w:ascii="仿宋" w:hAnsi="仿宋" w:eastAsia="仿宋" w:cs="仿宋"/>
                <w:b/>
                <w:bCs/>
                <w:kern w:val="0"/>
                <w:sz w:val="24"/>
                <w:szCs w:val="24"/>
                <w:highlight w:val="none"/>
              </w:rPr>
              <w:t>合计（元）：</w:t>
            </w:r>
          </w:p>
        </w:tc>
      </w:tr>
      <w:tr w14:paraId="306C38D6">
        <w:tblPrEx>
          <w:tblCellMar>
            <w:top w:w="0" w:type="dxa"/>
            <w:left w:w="28" w:type="dxa"/>
            <w:bottom w:w="0" w:type="dxa"/>
            <w:right w:w="28" w:type="dxa"/>
          </w:tblCellMar>
        </w:tblPrEx>
        <w:trPr>
          <w:trHeight w:val="1570" w:hRule="atLeast"/>
          <w:jc w:val="center"/>
        </w:trPr>
        <w:tc>
          <w:tcPr>
            <w:tcW w:w="1963" w:type="dxa"/>
            <w:gridSpan w:val="2"/>
            <w:tcBorders>
              <w:top w:val="single" w:color="000000" w:sz="6" w:space="0"/>
              <w:left w:val="single" w:color="000000" w:sz="8" w:space="0"/>
              <w:bottom w:val="single" w:color="000000" w:sz="6" w:space="0"/>
              <w:right w:val="single" w:color="000000" w:sz="6" w:space="0"/>
            </w:tcBorders>
            <w:vAlign w:val="center"/>
          </w:tcPr>
          <w:p w14:paraId="43EECCC5">
            <w:pPr>
              <w:autoSpaceDE w:val="0"/>
              <w:autoSpaceDN w:val="0"/>
              <w:spacing w:line="240" w:lineRule="auto"/>
              <w:jc w:val="center"/>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rPr>
              <w:t>投标</w:t>
            </w:r>
            <w:r>
              <w:rPr>
                <w:rFonts w:hint="eastAsia" w:ascii="仿宋" w:hAnsi="仿宋" w:eastAsia="仿宋" w:cs="仿宋"/>
                <w:kern w:val="0"/>
                <w:sz w:val="24"/>
                <w:szCs w:val="24"/>
                <w:highlight w:val="none"/>
                <w:lang w:val="zh-CN"/>
              </w:rPr>
              <w:t>报价</w:t>
            </w:r>
          </w:p>
        </w:tc>
        <w:tc>
          <w:tcPr>
            <w:tcW w:w="6891" w:type="dxa"/>
            <w:gridSpan w:val="5"/>
            <w:tcBorders>
              <w:top w:val="single" w:color="000000" w:sz="6" w:space="0"/>
              <w:left w:val="single" w:color="000000" w:sz="6" w:space="0"/>
              <w:bottom w:val="single" w:color="000000" w:sz="6" w:space="0"/>
              <w:right w:val="single" w:color="000000" w:sz="8" w:space="0"/>
            </w:tcBorders>
            <w:vAlign w:val="center"/>
          </w:tcPr>
          <w:p w14:paraId="163F33B3">
            <w:pPr>
              <w:autoSpaceDE w:val="0"/>
              <w:autoSpaceDN w:val="0"/>
              <w:spacing w:before="190" w:beforeLines="50" w:line="24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小写：</w:t>
            </w:r>
          </w:p>
          <w:p w14:paraId="7B3395A7">
            <w:pPr>
              <w:autoSpaceDE w:val="0"/>
              <w:autoSpaceDN w:val="0"/>
              <w:spacing w:line="240" w:lineRule="auto"/>
              <w:jc w:val="right"/>
              <w:rPr>
                <w:rFonts w:ascii="仿宋" w:hAnsi="仿宋" w:eastAsia="仿宋" w:cs="仿宋"/>
                <w:kern w:val="0"/>
                <w:sz w:val="24"/>
                <w:szCs w:val="24"/>
                <w:highlight w:val="none"/>
              </w:rPr>
            </w:pPr>
            <w:r>
              <w:rPr>
                <w:rFonts w:hint="eastAsia" w:ascii="仿宋" w:hAnsi="仿宋" w:eastAsia="仿宋" w:cs="仿宋"/>
                <w:sz w:val="24"/>
                <w:szCs w:val="24"/>
                <w:highlight w:val="none"/>
              </w:rPr>
              <w:t>单位：元（</w:t>
            </w:r>
            <w:r>
              <w:rPr>
                <w:rFonts w:hint="eastAsia" w:ascii="仿宋" w:hAnsi="仿宋" w:eastAsia="仿宋" w:cs="仿宋"/>
                <w:sz w:val="24"/>
                <w:szCs w:val="24"/>
                <w:highlight w:val="none"/>
                <w:lang w:eastAsia="zh-CN"/>
              </w:rPr>
              <w:t>报价最多保留至小数点后两位</w:t>
            </w:r>
            <w:r>
              <w:rPr>
                <w:rFonts w:hint="eastAsia" w:ascii="仿宋" w:hAnsi="仿宋" w:eastAsia="仿宋" w:cs="仿宋"/>
                <w:sz w:val="24"/>
                <w:szCs w:val="24"/>
                <w:highlight w:val="none"/>
              </w:rPr>
              <w:t>）</w:t>
            </w:r>
          </w:p>
        </w:tc>
      </w:tr>
    </w:tbl>
    <w:p w14:paraId="142A7E95">
      <w:pPr>
        <w:tabs>
          <w:tab w:val="right" w:pos="9072"/>
        </w:tabs>
        <w:ind w:firstLine="426" w:firstLineChars="200"/>
        <w:rPr>
          <w:rFonts w:ascii="宋体" w:hAnsi="宋体" w:eastAsia="宋体" w:cs="Times New Roman"/>
          <w:color w:val="auto"/>
          <w:sz w:val="21"/>
          <w:szCs w:val="21"/>
        </w:rPr>
      </w:pPr>
      <w:r>
        <w:rPr>
          <w:rFonts w:hint="eastAsia" w:ascii="宋体" w:hAnsi="宋体" w:eastAsia="宋体" w:cs="宋体"/>
          <w:b w:val="0"/>
          <w:bCs w:val="0"/>
          <w:color w:val="auto"/>
          <w:kern w:val="2"/>
          <w:sz w:val="21"/>
          <w:szCs w:val="21"/>
          <w:highlight w:val="none"/>
          <w:lang w:val="en-US" w:eastAsia="zh-CN" w:bidi="ar-SA"/>
        </w:rPr>
        <w:t>备注：</w:t>
      </w:r>
      <w:r>
        <w:rPr>
          <w:rFonts w:ascii="宋体" w:hAnsi="宋体" w:eastAsia="宋体" w:cs="宋体"/>
          <w:color w:val="auto"/>
          <w:sz w:val="21"/>
          <w:szCs w:val="21"/>
        </w:rPr>
        <w:t>1</w:t>
      </w:r>
      <w:r>
        <w:rPr>
          <w:rFonts w:hint="eastAsia" w:ascii="宋体" w:hAnsi="宋体" w:eastAsia="宋体" w:cs="宋体"/>
          <w:color w:val="auto"/>
          <w:sz w:val="21"/>
          <w:szCs w:val="21"/>
        </w:rPr>
        <w:t>、本表“投标报价”金额应与“开标一览表”中的“投标报价”一致；</w:t>
      </w:r>
    </w:p>
    <w:p w14:paraId="25BD6920">
      <w:pPr>
        <w:tabs>
          <w:tab w:val="right" w:pos="9072"/>
        </w:tabs>
        <w:ind w:firstLine="1065" w:firstLineChars="500"/>
        <w:rPr>
          <w:rFonts w:ascii="华文仿宋" w:cs="Times New Roman"/>
          <w:color w:val="auto"/>
          <w:sz w:val="24"/>
          <w:szCs w:val="24"/>
        </w:rPr>
      </w:pPr>
      <w:r>
        <w:rPr>
          <w:rFonts w:ascii="宋体" w:hAnsi="宋体" w:eastAsia="宋体" w:cs="宋体"/>
          <w:color w:val="auto"/>
          <w:sz w:val="21"/>
          <w:szCs w:val="21"/>
        </w:rPr>
        <w:t>2</w:t>
      </w:r>
      <w:r>
        <w:rPr>
          <w:rFonts w:hint="eastAsia" w:ascii="宋体" w:hAnsi="宋体" w:eastAsia="宋体" w:cs="宋体"/>
          <w:color w:val="auto"/>
          <w:sz w:val="21"/>
          <w:szCs w:val="21"/>
        </w:rPr>
        <w:t>、本表为样表，仅供参考，投标人根据项目实际需求进行填写。</w:t>
      </w:r>
    </w:p>
    <w:p w14:paraId="0BE769F6">
      <w:pPr>
        <w:pStyle w:val="2"/>
        <w:spacing w:afterLines="0" w:line="400" w:lineRule="exact"/>
        <w:ind w:firstLine="639" w:firstLineChars="300"/>
        <w:rPr>
          <w:rFonts w:eastAsia="宋体"/>
          <w:b/>
          <w:bCs/>
          <w:color w:val="auto"/>
          <w:sz w:val="21"/>
          <w:szCs w:val="21"/>
          <w:highlight w:val="none"/>
        </w:rPr>
      </w:pPr>
    </w:p>
    <w:p w14:paraId="564AECB4">
      <w:pPr>
        <w:pStyle w:val="2"/>
        <w:spacing w:after="190"/>
        <w:rPr>
          <w:rFonts w:ascii="仿宋" w:hAnsi="仿宋" w:eastAsia="仿宋" w:cs="仿宋"/>
          <w:color w:val="000000" w:themeColor="text1"/>
          <w:highlight w:val="none"/>
          <w14:textFill>
            <w14:solidFill>
              <w14:schemeClr w14:val="tx1"/>
            </w14:solidFill>
          </w14:textFill>
        </w:rPr>
      </w:pPr>
    </w:p>
    <w:p w14:paraId="28CBA79E">
      <w:pPr>
        <w:widowControl w:val="0"/>
        <w:autoSpaceDE w:val="0"/>
        <w:autoSpaceDN w:val="0"/>
        <w:spacing w:line="240" w:lineRule="auto"/>
        <w:ind w:firstLine="1065" w:firstLineChars="500"/>
        <w:rPr>
          <w:rFonts w:ascii="仿宋" w:hAnsi="仿宋" w:eastAsia="仿宋" w:cs="仿宋"/>
          <w:color w:val="000000" w:themeColor="text1"/>
          <w:kern w:val="0"/>
          <w:sz w:val="21"/>
          <w:szCs w:val="21"/>
          <w:highlight w:val="none"/>
          <w14:textFill>
            <w14:solidFill>
              <w14:schemeClr w14:val="tx1"/>
            </w14:solidFill>
          </w14:textFill>
        </w:rPr>
      </w:pPr>
    </w:p>
    <w:p w14:paraId="144C91A8">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p>
    <w:p w14:paraId="51718D3E">
      <w:pPr>
        <w:pStyle w:val="2"/>
        <w:spacing w:after="190"/>
        <w:rPr>
          <w:rFonts w:ascii="仿宋" w:hAnsi="仿宋" w:eastAsia="仿宋" w:cs="仿宋"/>
          <w:color w:val="000000" w:themeColor="text1"/>
          <w:highlight w:val="none"/>
          <w14:textFill>
            <w14:solidFill>
              <w14:schemeClr w14:val="tx1"/>
            </w14:solidFill>
          </w14:textFill>
        </w:rPr>
      </w:pPr>
    </w:p>
    <w:p w14:paraId="1F338E48">
      <w:pPr>
        <w:pStyle w:val="2"/>
        <w:spacing w:after="190" w:line="500" w:lineRule="exact"/>
        <w:ind w:firstLine="5094" w:firstLineChars="1800"/>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投标人：</w:t>
      </w:r>
      <w:r>
        <w:rPr>
          <w:rFonts w:hint="eastAsia" w:ascii="仿宋" w:hAnsi="仿宋" w:eastAsia="仿宋" w:cs="仿宋"/>
          <w:color w:val="000000" w:themeColor="text1"/>
          <w:sz w:val="28"/>
          <w:szCs w:val="28"/>
          <w:highlight w:val="none"/>
          <w:u w:val="single"/>
          <w14:textFill>
            <w14:solidFill>
              <w14:schemeClr w14:val="tx1"/>
            </w14:solidFill>
          </w14:textFill>
        </w:rPr>
        <w:t>名称</w:t>
      </w:r>
      <w:r>
        <w:rPr>
          <w:rFonts w:hint="eastAsia" w:ascii="仿宋" w:hAnsi="仿宋" w:eastAsia="仿宋" w:cs="仿宋"/>
          <w:bCs/>
          <w:color w:val="000000" w:themeColor="text1"/>
          <w:sz w:val="28"/>
          <w:szCs w:val="28"/>
          <w:highlight w:val="none"/>
          <w14:textFill>
            <w14:solidFill>
              <w14:schemeClr w14:val="tx1"/>
            </w14:solidFill>
          </w14:textFill>
        </w:rPr>
        <w:t>（加盖公章）</w:t>
      </w:r>
      <w:r>
        <w:rPr>
          <w:rFonts w:hint="eastAsia" w:ascii="仿宋" w:hAnsi="仿宋" w:eastAsia="仿宋" w:cs="仿宋"/>
          <w:bCs/>
          <w:color w:val="000000" w:themeColor="text1"/>
          <w:sz w:val="28"/>
          <w:szCs w:val="28"/>
          <w:highlight w:val="none"/>
          <w14:textFill>
            <w14:solidFill>
              <w14:schemeClr w14:val="tx1"/>
            </w14:solidFill>
          </w14:textFill>
        </w:rPr>
        <w:tab/>
      </w:r>
    </w:p>
    <w:p w14:paraId="1F154B52">
      <w:pPr>
        <w:spacing w:line="500" w:lineRule="exact"/>
        <w:ind w:firstLine="5377" w:firstLineChars="1900"/>
        <w:rPr>
          <w:rFonts w:ascii="仿宋" w:hAnsi="仿宋" w:eastAsia="仿宋" w:cs="仿宋"/>
          <w:b/>
          <w:bCs/>
          <w:color w:val="000000" w:themeColor="text1"/>
          <w:highlight w:val="none"/>
          <w14:textFill>
            <w14:solidFill>
              <w14:schemeClr w14:val="tx1"/>
            </w14:solidFill>
          </w14:textFill>
        </w:rPr>
        <w:sectPr>
          <w:footerReference r:id="rId9" w:type="default"/>
          <w:pgSz w:w="11906" w:h="16838"/>
          <w:pgMar w:top="1417" w:right="1417" w:bottom="1417" w:left="1417" w:header="850" w:footer="992" w:gutter="0"/>
          <w:pgNumType w:fmt="decimal"/>
          <w:cols w:space="720" w:num="1"/>
          <w:docGrid w:type="linesAndChars" w:linePitch="381" w:charSpace="704"/>
        </w:sectPr>
      </w:pPr>
      <w:r>
        <w:rPr>
          <w:rFonts w:hint="eastAsia" w:ascii="仿宋" w:hAnsi="仿宋" w:eastAsia="仿宋" w:cs="仿宋"/>
          <w:color w:val="000000" w:themeColor="text1"/>
          <w:highlight w:val="none"/>
          <w14:textFill>
            <w14:solidFill>
              <w14:schemeClr w14:val="tx1"/>
            </w14:solidFill>
          </w14:textFill>
        </w:rPr>
        <w:t>日期：　年　月　 日</w:t>
      </w:r>
    </w:p>
    <w:p w14:paraId="4DCC985C">
      <w:pPr>
        <w:pStyle w:val="27"/>
        <w:spacing w:line="500" w:lineRule="exact"/>
        <w:ind w:firstLine="602" w:firstLineChars="200"/>
        <w:jc w:val="left"/>
        <w:outlineLvl w:val="2"/>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三、供应商承诺书</w:t>
      </w:r>
      <w:bookmarkEnd w:id="418"/>
      <w:bookmarkEnd w:id="419"/>
      <w:bookmarkEnd w:id="420"/>
      <w:bookmarkEnd w:id="421"/>
      <w:bookmarkEnd w:id="422"/>
      <w:bookmarkEnd w:id="423"/>
      <w:bookmarkEnd w:id="424"/>
      <w:bookmarkEnd w:id="425"/>
      <w:bookmarkEnd w:id="426"/>
      <w:bookmarkEnd w:id="427"/>
      <w:bookmarkEnd w:id="428"/>
    </w:p>
    <w:p w14:paraId="4BBF96DF">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未签署下列承诺书的，其责任由投标人自行承担。</w:t>
      </w:r>
    </w:p>
    <w:p w14:paraId="3634DE35">
      <w:pPr>
        <w:spacing w:line="500" w:lineRule="exact"/>
        <w:ind w:firstLine="562"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（一）质量安全责任承诺书</w:t>
      </w:r>
    </w:p>
    <w:p w14:paraId="4B9CB209">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为保证本采购项目顺利进行，作为投标人，现郑重承诺：</w:t>
      </w:r>
    </w:p>
    <w:p w14:paraId="5E888D29">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1、我方投标产品的生产（包括设计、制造、安装、改造、维修等）、投入使用的材料等均完全符合国家现行质量、安全、环保标准和要求。</w:t>
      </w:r>
    </w:p>
    <w:p w14:paraId="21A1B5FC">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2、我方将严格按照国家现行相关储存、运输、安装调试技术标准及规范、服务标准及规范、施工标准及规范，在规定的时限内，保质、保量完成项目全部内容，并向采购人交付合格产品。</w:t>
      </w:r>
    </w:p>
    <w:p w14:paraId="0A4C48E2">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3、对于因产品生产质量以及储存、运输、安装调试、服务、施工等过程中产生的任何安全事故，我方承担全部责任。</w:t>
      </w:r>
    </w:p>
    <w:p w14:paraId="297203B2">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4、我方提供的货物、工程、服务等符合现行的国家、行业、地区、企业标准及要求，标准不一致的，以更为严格的为准，我方对提供的货物、工程、服务等的质量、安全、环保等承担全部责任。</w:t>
      </w:r>
    </w:p>
    <w:p w14:paraId="31A2CC55">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p>
    <w:p w14:paraId="1B575E2D">
      <w:pPr>
        <w:spacing w:line="500" w:lineRule="exact"/>
        <w:ind w:firstLine="5040" w:firstLineChars="18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53FA4313">
      <w:pPr>
        <w:spacing w:line="500" w:lineRule="exact"/>
        <w:ind w:firstLine="5320" w:firstLineChars="19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49CD3E68">
      <w:pPr>
        <w:spacing w:line="500" w:lineRule="exact"/>
        <w:rPr>
          <w:rFonts w:ascii="仿宋" w:hAnsi="仿宋" w:eastAsia="仿宋" w:cs="仿宋"/>
          <w:color w:val="000000" w:themeColor="text1"/>
          <w:highlight w:val="none"/>
          <w14:textFill>
            <w14:solidFill>
              <w14:schemeClr w14:val="tx1"/>
            </w14:solidFill>
          </w14:textFill>
        </w:rPr>
      </w:pPr>
    </w:p>
    <w:p w14:paraId="33B8F507">
      <w:pPr>
        <w:spacing w:line="500" w:lineRule="exact"/>
        <w:rPr>
          <w:rFonts w:ascii="仿宋" w:hAnsi="仿宋" w:eastAsia="仿宋" w:cs="仿宋"/>
          <w:color w:val="000000" w:themeColor="text1"/>
          <w:highlight w:val="none"/>
          <w14:textFill>
            <w14:solidFill>
              <w14:schemeClr w14:val="tx1"/>
            </w14:solidFill>
          </w14:textFill>
        </w:rPr>
      </w:pPr>
    </w:p>
    <w:p w14:paraId="517CB267">
      <w:pPr>
        <w:spacing w:line="500" w:lineRule="exact"/>
        <w:rPr>
          <w:rFonts w:ascii="仿宋" w:hAnsi="仿宋" w:eastAsia="仿宋" w:cs="仿宋"/>
          <w:color w:val="000000" w:themeColor="text1"/>
          <w:highlight w:val="none"/>
          <w14:textFill>
            <w14:solidFill>
              <w14:schemeClr w14:val="tx1"/>
            </w14:solidFill>
          </w14:textFill>
        </w:rPr>
      </w:pPr>
    </w:p>
    <w:p w14:paraId="6CDD3773">
      <w:pPr>
        <w:spacing w:line="500" w:lineRule="exact"/>
        <w:rPr>
          <w:rFonts w:ascii="仿宋" w:hAnsi="仿宋" w:eastAsia="仿宋" w:cs="仿宋"/>
          <w:color w:val="000000" w:themeColor="text1"/>
          <w:highlight w:val="none"/>
          <w14:textFill>
            <w14:solidFill>
              <w14:schemeClr w14:val="tx1"/>
            </w14:solidFill>
          </w14:textFill>
        </w:rPr>
      </w:pPr>
    </w:p>
    <w:p w14:paraId="422C2763">
      <w:pPr>
        <w:spacing w:line="500" w:lineRule="exact"/>
        <w:rPr>
          <w:rFonts w:ascii="仿宋" w:hAnsi="仿宋" w:eastAsia="仿宋" w:cs="仿宋"/>
          <w:color w:val="000000" w:themeColor="text1"/>
          <w:highlight w:val="none"/>
          <w14:textFill>
            <w14:solidFill>
              <w14:schemeClr w14:val="tx1"/>
            </w14:solidFill>
          </w14:textFill>
        </w:rPr>
      </w:pPr>
    </w:p>
    <w:p w14:paraId="247C5852">
      <w:pPr>
        <w:pStyle w:val="15"/>
        <w:ind w:firstLine="183"/>
        <w:rPr>
          <w:rFonts w:ascii="仿宋" w:hAnsi="仿宋" w:eastAsia="仿宋" w:cs="仿宋"/>
          <w:color w:val="000000" w:themeColor="text1"/>
          <w:highlight w:val="none"/>
          <w14:textFill>
            <w14:solidFill>
              <w14:schemeClr w14:val="tx1"/>
            </w14:solidFill>
          </w14:textFill>
        </w:rPr>
      </w:pPr>
    </w:p>
    <w:p w14:paraId="22A1256B">
      <w:pPr>
        <w:pStyle w:val="15"/>
        <w:ind w:firstLine="183"/>
        <w:rPr>
          <w:rFonts w:ascii="仿宋" w:hAnsi="仿宋" w:eastAsia="仿宋" w:cs="仿宋"/>
          <w:color w:val="000000" w:themeColor="text1"/>
          <w:highlight w:val="none"/>
          <w14:textFill>
            <w14:solidFill>
              <w14:schemeClr w14:val="tx1"/>
            </w14:solidFill>
          </w14:textFill>
        </w:rPr>
      </w:pPr>
    </w:p>
    <w:p w14:paraId="792FF356">
      <w:pPr>
        <w:spacing w:line="500" w:lineRule="exact"/>
        <w:rPr>
          <w:rFonts w:ascii="仿宋" w:hAnsi="仿宋" w:eastAsia="仿宋" w:cs="仿宋"/>
          <w:color w:val="000000" w:themeColor="text1"/>
          <w:highlight w:val="none"/>
          <w14:textFill>
            <w14:solidFill>
              <w14:schemeClr w14:val="tx1"/>
            </w14:solidFill>
          </w14:textFill>
        </w:rPr>
      </w:pPr>
    </w:p>
    <w:p w14:paraId="2D824FF4">
      <w:pPr>
        <w:pStyle w:val="15"/>
        <w:ind w:firstLine="183"/>
        <w:rPr>
          <w:rFonts w:ascii="仿宋" w:hAnsi="仿宋" w:eastAsia="仿宋" w:cs="仿宋"/>
          <w:color w:val="000000" w:themeColor="text1"/>
          <w:highlight w:val="none"/>
          <w14:textFill>
            <w14:solidFill>
              <w14:schemeClr w14:val="tx1"/>
            </w14:solidFill>
          </w14:textFill>
        </w:rPr>
      </w:pPr>
    </w:p>
    <w:p w14:paraId="0272A12F">
      <w:pPr>
        <w:spacing w:before="190" w:beforeLines="50" w:line="500" w:lineRule="exact"/>
        <w:ind w:firstLine="562" w:firstLineChars="200"/>
        <w:rPr>
          <w:rFonts w:ascii="仿宋" w:hAnsi="仿宋" w:eastAsia="仿宋" w:cs="仿宋"/>
          <w:b/>
          <w:bCs/>
          <w:color w:val="000000" w:themeColor="text1"/>
          <w:highlight w:val="none"/>
          <w14:textFill>
            <w14:solidFill>
              <w14:schemeClr w14:val="tx1"/>
            </w14:solidFill>
          </w14:textFill>
        </w:rPr>
      </w:pPr>
    </w:p>
    <w:p w14:paraId="1E59285C">
      <w:pPr>
        <w:spacing w:before="190" w:beforeLines="50" w:line="500" w:lineRule="exact"/>
        <w:ind w:firstLine="562" w:firstLineChars="200"/>
        <w:rPr>
          <w:rFonts w:hint="eastAsia" w:ascii="仿宋" w:hAnsi="仿宋" w:eastAsia="仿宋" w:cs="仿宋"/>
          <w:b/>
          <w:bCs/>
          <w:color w:val="000000" w:themeColor="text1"/>
          <w:highlight w:val="none"/>
          <w14:textFill>
            <w14:solidFill>
              <w14:schemeClr w14:val="tx1"/>
            </w14:solidFill>
          </w14:textFill>
        </w:rPr>
      </w:pPr>
    </w:p>
    <w:p w14:paraId="6492D907">
      <w:pPr>
        <w:spacing w:before="190" w:beforeLines="50" w:line="500" w:lineRule="exact"/>
        <w:ind w:firstLine="562"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（二）拒绝政府采购领域商业贿赂承诺书</w:t>
      </w:r>
    </w:p>
    <w:p w14:paraId="5592FC4B">
      <w:pPr>
        <w:overflowPunct w:val="0"/>
        <w:topLinePunct/>
        <w:spacing w:line="44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（执行陕财办采管[2006]21号文件）</w:t>
      </w:r>
    </w:p>
    <w:p w14:paraId="04DB3307">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为响应党中央、国务院关于治理政府采购领域商业贿赂行为的号召，我公司在此庄严承诺：</w:t>
      </w:r>
    </w:p>
    <w:p w14:paraId="366025D4">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1、在参与政府采购活动中遵纪守法、诚信经营、公平竞标。</w:t>
      </w:r>
    </w:p>
    <w:p w14:paraId="7A8D78D7">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2、不向政府采购人、采购代理机构和政府采购评审专家进行任何形式的商业贿赂以谋取交易机会。</w:t>
      </w:r>
    </w:p>
    <w:p w14:paraId="01B26A17">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3、不向政府采购代理机构和采购人提供虚假资质文件或采用虚假应标方式参与政府采购市场竞争并谋取中标、成交。</w:t>
      </w:r>
    </w:p>
    <w:p w14:paraId="3D67DD57">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4、不采取“围标、陪标”等商业欺诈手段获得政府采购定单。</w:t>
      </w:r>
    </w:p>
    <w:p w14:paraId="6AE8DDDE">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5、不采取不正当手段诋毁、排挤其他投标人。</w:t>
      </w:r>
    </w:p>
    <w:p w14:paraId="460753DE">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6、不在提供商品和服务时“偷梁换柱、以次充好”损害采购人的合法权益。</w:t>
      </w:r>
    </w:p>
    <w:p w14:paraId="035CE1AF">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7、不与采购人、采购代理机构政府采购评审专家或其它投标人恶意串通，进行质疑和投诉，维护政府采购市场秩序。</w:t>
      </w:r>
    </w:p>
    <w:p w14:paraId="2EA223D0">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8、尊重和接受政府采购监督管理部门的监督和政府采购代理机构招标采购要求，承担因违约行为给采购人造成的损失。</w:t>
      </w:r>
    </w:p>
    <w:p w14:paraId="0F8730F4">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9、不发生其他有悖于政府采购公开、公平、公正和诚信原则的行为。</w:t>
      </w:r>
    </w:p>
    <w:p w14:paraId="0201B2F6">
      <w:pPr>
        <w:spacing w:line="500" w:lineRule="exact"/>
        <w:rPr>
          <w:rFonts w:ascii="仿宋" w:hAnsi="仿宋" w:eastAsia="仿宋" w:cs="仿宋"/>
          <w:color w:val="000000" w:themeColor="text1"/>
          <w:highlight w:val="none"/>
          <w14:textFill>
            <w14:solidFill>
              <w14:schemeClr w14:val="tx1"/>
            </w14:solidFill>
          </w14:textFill>
        </w:rPr>
      </w:pPr>
    </w:p>
    <w:p w14:paraId="5DCE5C0D">
      <w:pPr>
        <w:spacing w:line="500" w:lineRule="exact"/>
        <w:ind w:firstLine="5040" w:firstLineChars="18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5B7D4B2E">
      <w:pPr>
        <w:spacing w:line="500" w:lineRule="exact"/>
        <w:ind w:firstLine="5320" w:firstLineChars="19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1F573988">
      <w:pPr>
        <w:spacing w:line="500" w:lineRule="exact"/>
        <w:ind w:firstLine="560" w:firstLineChars="200"/>
        <w:outlineLvl w:val="2"/>
        <w:rPr>
          <w:rFonts w:ascii="仿宋" w:hAnsi="仿宋" w:eastAsia="仿宋" w:cs="仿宋"/>
          <w:b/>
          <w:color w:val="000000"/>
          <w:sz w:val="32"/>
          <w:szCs w:val="32"/>
          <w:highlight w:val="none"/>
        </w:rPr>
      </w:pPr>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b/>
          <w:color w:val="000000"/>
          <w:sz w:val="32"/>
          <w:szCs w:val="32"/>
          <w:highlight w:val="none"/>
        </w:rPr>
        <w:t>四、实质性条款响应</w:t>
      </w:r>
    </w:p>
    <w:p w14:paraId="63A42BB8">
      <w:pPr>
        <w:pStyle w:val="29"/>
        <w:spacing w:line="500" w:lineRule="exact"/>
        <w:ind w:firstLine="560" w:firstLineChars="200"/>
        <w:rPr>
          <w:rFonts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（一）按照招标文件第四章“招标内容及采购要求”中“★”内容要求，</w:t>
      </w:r>
      <w:r>
        <w:rPr>
          <w:rFonts w:hint="eastAsia" w:ascii="仿宋" w:hAnsi="仿宋" w:eastAsia="仿宋" w:cs="仿宋"/>
          <w:b w:val="0"/>
          <w:bCs w:val="0"/>
          <w:color w:val="000000"/>
          <w:sz w:val="28"/>
          <w:szCs w:val="28"/>
          <w:highlight w:val="none"/>
          <w:lang w:val="en-US" w:eastAsia="zh-CN"/>
        </w:rPr>
        <w:t>如须</w:t>
      </w:r>
      <w:r>
        <w:rPr>
          <w:rFonts w:hint="eastAsia" w:ascii="仿宋" w:hAnsi="仿宋" w:eastAsia="仿宋" w:cs="仿宋"/>
          <w:b w:val="0"/>
          <w:bCs w:val="0"/>
          <w:color w:val="000000"/>
          <w:sz w:val="28"/>
          <w:szCs w:val="28"/>
          <w:highlight w:val="none"/>
        </w:rPr>
        <w:t>提供相关承诺函</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投标人将承诺函附至此处。</w:t>
      </w:r>
    </w:p>
    <w:p w14:paraId="03C8650A">
      <w:pPr>
        <w:pStyle w:val="29"/>
        <w:spacing w:line="500" w:lineRule="exact"/>
        <w:ind w:firstLine="562" w:firstLineChars="200"/>
        <w:rPr>
          <w:rFonts w:ascii="仿宋" w:hAnsi="仿宋" w:eastAsia="仿宋" w:cs="仿宋"/>
          <w:b/>
          <w:bCs/>
          <w:color w:val="000000"/>
          <w:sz w:val="28"/>
          <w:szCs w:val="28"/>
          <w:highlight w:val="none"/>
        </w:rPr>
      </w:pPr>
    </w:p>
    <w:p w14:paraId="3849D104">
      <w:pPr>
        <w:pStyle w:val="29"/>
        <w:spacing w:line="500" w:lineRule="exact"/>
        <w:ind w:firstLine="562" w:firstLineChars="200"/>
        <w:rPr>
          <w:rFonts w:ascii="仿宋" w:hAnsi="仿宋" w:eastAsia="仿宋" w:cs="仿宋"/>
          <w:b/>
          <w:bCs/>
          <w:color w:val="000000"/>
          <w:sz w:val="28"/>
          <w:szCs w:val="28"/>
          <w:highlight w:val="none"/>
        </w:rPr>
      </w:pPr>
    </w:p>
    <w:p w14:paraId="232D3B7A">
      <w:pPr>
        <w:pStyle w:val="29"/>
        <w:spacing w:line="500" w:lineRule="exact"/>
        <w:ind w:firstLine="562" w:firstLineChars="200"/>
        <w:rPr>
          <w:rFonts w:ascii="仿宋" w:hAnsi="仿宋" w:eastAsia="仿宋" w:cs="仿宋"/>
          <w:b/>
          <w:bCs/>
          <w:color w:val="000000"/>
          <w:sz w:val="28"/>
          <w:szCs w:val="28"/>
          <w:highlight w:val="none"/>
        </w:rPr>
      </w:pPr>
    </w:p>
    <w:p w14:paraId="1DB665E4">
      <w:pPr>
        <w:pStyle w:val="29"/>
        <w:numPr>
          <w:ilvl w:val="255"/>
          <w:numId w:val="0"/>
        </w:numPr>
        <w:spacing w:line="500" w:lineRule="exact"/>
        <w:ind w:firstLine="562" w:firstLineChars="200"/>
        <w:rPr>
          <w:rFonts w:ascii="仿宋" w:hAnsi="仿宋" w:eastAsia="仿宋" w:cs="仿宋"/>
          <w:b/>
          <w:bCs/>
          <w:color w:val="000000"/>
          <w:sz w:val="28"/>
          <w:szCs w:val="28"/>
          <w:highlight w:val="none"/>
        </w:rPr>
      </w:pPr>
    </w:p>
    <w:p w14:paraId="574AD798">
      <w:pPr>
        <w:pStyle w:val="29"/>
        <w:numPr>
          <w:ilvl w:val="255"/>
          <w:numId w:val="0"/>
        </w:numPr>
        <w:spacing w:line="500" w:lineRule="exact"/>
        <w:ind w:firstLine="562" w:firstLineChars="200"/>
        <w:rPr>
          <w:rFonts w:ascii="仿宋" w:hAnsi="仿宋" w:eastAsia="仿宋" w:cs="仿宋"/>
          <w:b/>
          <w:bCs/>
          <w:color w:val="000000"/>
          <w:sz w:val="28"/>
          <w:szCs w:val="28"/>
          <w:highlight w:val="none"/>
        </w:rPr>
      </w:pPr>
    </w:p>
    <w:p w14:paraId="7256A4FB">
      <w:pPr>
        <w:pStyle w:val="29"/>
        <w:numPr>
          <w:ilvl w:val="255"/>
          <w:numId w:val="0"/>
        </w:numPr>
        <w:spacing w:line="500" w:lineRule="exact"/>
        <w:ind w:firstLine="560" w:firstLineChars="200"/>
        <w:rPr>
          <w:rFonts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（二）按照招标文件第四章“招标内容及采购要求”中“★”内容要求，</w:t>
      </w:r>
      <w:r>
        <w:rPr>
          <w:rFonts w:hint="eastAsia" w:ascii="仿宋" w:hAnsi="仿宋" w:eastAsia="仿宋" w:cs="仿宋"/>
          <w:b w:val="0"/>
          <w:bCs w:val="0"/>
          <w:color w:val="000000"/>
          <w:sz w:val="28"/>
          <w:szCs w:val="28"/>
          <w:highlight w:val="none"/>
          <w:lang w:val="en-US" w:eastAsia="zh-CN"/>
        </w:rPr>
        <w:t>如须</w:t>
      </w:r>
      <w:r>
        <w:rPr>
          <w:rFonts w:hint="eastAsia" w:ascii="仿宋" w:hAnsi="仿宋" w:eastAsia="仿宋" w:cs="仿宋"/>
          <w:b w:val="0"/>
          <w:bCs w:val="0"/>
          <w:color w:val="000000"/>
          <w:sz w:val="28"/>
          <w:szCs w:val="28"/>
          <w:highlight w:val="none"/>
        </w:rPr>
        <w:t>提供证书复印件等相关证明材料</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投标人将证书复印件附至此处。</w:t>
      </w:r>
    </w:p>
    <w:p w14:paraId="47634044">
      <w:pPr>
        <w:pStyle w:val="29"/>
        <w:numPr>
          <w:ilvl w:val="255"/>
          <w:numId w:val="0"/>
        </w:numPr>
        <w:spacing w:line="500" w:lineRule="exact"/>
        <w:rPr>
          <w:rFonts w:ascii="仿宋" w:hAnsi="仿宋" w:eastAsia="仿宋" w:cs="仿宋"/>
          <w:b/>
          <w:bCs/>
          <w:color w:val="000000"/>
          <w:sz w:val="28"/>
          <w:szCs w:val="28"/>
          <w:highlight w:val="none"/>
        </w:rPr>
      </w:pPr>
    </w:p>
    <w:p w14:paraId="44E0CC85">
      <w:pPr>
        <w:widowControl w:val="0"/>
        <w:ind w:firstLine="422" w:firstLineChars="200"/>
        <w:rPr>
          <w:rFonts w:ascii="仿宋" w:hAnsi="仿宋" w:eastAsia="仿宋" w:cs="仿宋"/>
          <w:b/>
          <w:bCs/>
          <w:color w:val="000000"/>
          <w:sz w:val="21"/>
          <w:szCs w:val="21"/>
          <w:highlight w:val="none"/>
        </w:rPr>
      </w:pPr>
    </w:p>
    <w:p w14:paraId="79877DCC">
      <w:pPr>
        <w:widowControl w:val="0"/>
        <w:ind w:firstLine="422" w:firstLineChars="200"/>
        <w:rPr>
          <w:rFonts w:ascii="仿宋" w:hAnsi="仿宋" w:eastAsia="仿宋" w:cs="仿宋"/>
          <w:b/>
          <w:bCs/>
          <w:color w:val="000000"/>
          <w:sz w:val="21"/>
          <w:szCs w:val="21"/>
          <w:highlight w:val="none"/>
        </w:rPr>
      </w:pPr>
    </w:p>
    <w:p w14:paraId="2D969C38">
      <w:pPr>
        <w:widowControl w:val="0"/>
        <w:ind w:firstLine="422" w:firstLineChars="200"/>
        <w:rPr>
          <w:rFonts w:ascii="仿宋" w:hAnsi="仿宋" w:eastAsia="仿宋" w:cs="仿宋"/>
          <w:b/>
          <w:bCs/>
          <w:color w:val="000000"/>
          <w:sz w:val="21"/>
          <w:szCs w:val="21"/>
          <w:highlight w:val="none"/>
        </w:rPr>
      </w:pPr>
    </w:p>
    <w:p w14:paraId="2457F2F4">
      <w:pPr>
        <w:widowControl w:val="0"/>
        <w:ind w:firstLine="422" w:firstLineChars="200"/>
        <w:rPr>
          <w:rFonts w:ascii="仿宋" w:hAnsi="仿宋" w:eastAsia="仿宋" w:cs="仿宋"/>
          <w:b/>
          <w:bCs/>
          <w:color w:val="000000"/>
          <w:sz w:val="21"/>
          <w:szCs w:val="21"/>
          <w:highlight w:val="none"/>
        </w:rPr>
      </w:pPr>
    </w:p>
    <w:p w14:paraId="0910BEA6">
      <w:pPr>
        <w:widowControl w:val="0"/>
        <w:spacing w:afterLines="0"/>
        <w:ind w:firstLine="420" w:firstLineChars="200"/>
        <w:rPr>
          <w:rFonts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备注：</w:t>
      </w:r>
    </w:p>
    <w:p w14:paraId="5C8DCBCD">
      <w:pPr>
        <w:widowControl w:val="0"/>
        <w:numPr>
          <w:ilvl w:val="255"/>
          <w:numId w:val="0"/>
        </w:numPr>
        <w:spacing w:afterLines="0"/>
        <w:ind w:firstLine="420" w:firstLineChars="200"/>
        <w:rPr>
          <w:rFonts w:ascii="宋体" w:hAnsi="宋体" w:eastAsia="宋体" w:cs="宋体"/>
          <w:highlight w:val="none"/>
        </w:rPr>
      </w:pPr>
      <w:r>
        <w:rPr>
          <w:rFonts w:hint="eastAsia" w:ascii="宋体" w:hAnsi="宋体" w:eastAsia="宋体" w:cs="宋体"/>
          <w:b w:val="0"/>
          <w:bCs w:val="0"/>
          <w:color w:val="000000"/>
          <w:sz w:val="21"/>
          <w:szCs w:val="21"/>
          <w:highlight w:val="none"/>
        </w:rPr>
        <w:t>1、投标人填写须以第四章“招标内容及采购要求”中“★”内容项为基本响应要求，须逐条响应，未逐条响应、有缺漏将被视为无效投标。</w:t>
      </w:r>
    </w:p>
    <w:p w14:paraId="321C11D2">
      <w:pPr>
        <w:pStyle w:val="2"/>
        <w:spacing w:after="0" w:afterLines="0" w:line="400" w:lineRule="exact"/>
        <w:ind w:firstLine="420" w:firstLineChars="200"/>
        <w:rPr>
          <w:rFonts w:eastAsia="宋体"/>
          <w:b w:val="0"/>
          <w:bCs w:val="0"/>
          <w:sz w:val="21"/>
          <w:szCs w:val="21"/>
          <w:highlight w:val="none"/>
        </w:rPr>
      </w:pPr>
      <w:r>
        <w:rPr>
          <w:rFonts w:hint="eastAsia" w:eastAsia="宋体"/>
          <w:b w:val="0"/>
          <w:bCs w:val="0"/>
          <w:sz w:val="21"/>
          <w:szCs w:val="21"/>
          <w:highlight w:val="none"/>
        </w:rPr>
        <w:t>2、承诺函、证书复印件等相关证明材料均须加盖投标人公章。</w:t>
      </w:r>
    </w:p>
    <w:p w14:paraId="1B1ABFEA">
      <w:pPr>
        <w:spacing w:line="500" w:lineRule="exact"/>
        <w:rPr>
          <w:rFonts w:ascii="仿宋" w:hAnsi="仿宋" w:eastAsia="仿宋" w:cs="仿宋"/>
          <w:b/>
          <w:bCs/>
          <w:color w:val="000000" w:themeColor="text1"/>
          <w:sz w:val="32"/>
          <w:szCs w:val="32"/>
          <w:highlight w:val="none"/>
          <w14:textFill>
            <w14:solidFill>
              <w14:schemeClr w14:val="tx1"/>
            </w14:solidFill>
          </w14:textFill>
        </w:rPr>
      </w:pPr>
    </w:p>
    <w:p w14:paraId="66C1C955">
      <w:pPr>
        <w:spacing w:line="5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br w:type="page"/>
      </w:r>
    </w:p>
    <w:p w14:paraId="305FE373">
      <w:pPr>
        <w:spacing w:line="500" w:lineRule="exact"/>
        <w:ind w:firstLine="602" w:firstLineChars="200"/>
        <w:outlineLvl w:val="2"/>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五、合同条款响应</w:t>
      </w:r>
    </w:p>
    <w:p w14:paraId="2C23D6DA">
      <w:pPr>
        <w:spacing w:line="500" w:lineRule="exact"/>
        <w:ind w:firstLine="56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完全理解并接受招标文件中“合同基本条款”要求。</w:t>
      </w:r>
    </w:p>
    <w:p w14:paraId="3AF5D1E8">
      <w:pPr>
        <w:spacing w:line="500" w:lineRule="exact"/>
        <w:ind w:firstLine="4760" w:firstLineChars="1700"/>
        <w:rPr>
          <w:rFonts w:ascii="仿宋" w:hAnsi="仿宋" w:eastAsia="仿宋" w:cs="仿宋"/>
          <w:color w:val="000000" w:themeColor="text1"/>
          <w:highlight w:val="none"/>
          <w14:textFill>
            <w14:solidFill>
              <w14:schemeClr w14:val="tx1"/>
            </w14:solidFill>
          </w14:textFill>
        </w:rPr>
      </w:pPr>
    </w:p>
    <w:p w14:paraId="4EABA385">
      <w:pPr>
        <w:pStyle w:val="2"/>
        <w:spacing w:after="190"/>
        <w:rPr>
          <w:rFonts w:ascii="仿宋" w:hAnsi="仿宋" w:eastAsia="仿宋" w:cs="仿宋"/>
          <w:color w:val="000000" w:themeColor="text1"/>
          <w:highlight w:val="none"/>
          <w14:textFill>
            <w14:solidFill>
              <w14:schemeClr w14:val="tx1"/>
            </w14:solidFill>
          </w14:textFill>
        </w:rPr>
      </w:pPr>
    </w:p>
    <w:p w14:paraId="1D3D6F41">
      <w:pPr>
        <w:pStyle w:val="2"/>
        <w:spacing w:afterLines="0" w:line="500" w:lineRule="exact"/>
        <w:ind w:firstLine="5320" w:firstLineChars="19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w:t>
      </w:r>
      <w:r>
        <w:rPr>
          <w:rFonts w:hint="eastAsia" w:ascii="仿宋" w:hAnsi="仿宋" w:eastAsia="仿宋" w:cs="仿宋"/>
          <w:color w:val="000000" w:themeColor="text1"/>
          <w:sz w:val="28"/>
          <w:szCs w:val="28"/>
          <w:highlight w:val="none"/>
          <w:u w:val="single"/>
          <w14:textFill>
            <w14:solidFill>
              <w14:schemeClr w14:val="tx1"/>
            </w14:solidFill>
          </w14:textFill>
        </w:rPr>
        <w:t>名称</w:t>
      </w:r>
      <w:r>
        <w:rPr>
          <w:rFonts w:hint="eastAsia" w:ascii="仿宋" w:hAnsi="仿宋" w:eastAsia="仿宋" w:cs="仿宋"/>
          <w:color w:val="000000" w:themeColor="text1"/>
          <w:sz w:val="28"/>
          <w:szCs w:val="28"/>
          <w:highlight w:val="none"/>
          <w14:textFill>
            <w14:solidFill>
              <w14:schemeClr w14:val="tx1"/>
            </w14:solidFill>
          </w14:textFill>
        </w:rPr>
        <w:t>（加盖公章）</w:t>
      </w:r>
      <w:r>
        <w:rPr>
          <w:rFonts w:hint="eastAsia" w:ascii="仿宋" w:hAnsi="仿宋" w:eastAsia="仿宋" w:cs="仿宋"/>
          <w:color w:val="000000" w:themeColor="text1"/>
          <w:highlight w:val="none"/>
          <w14:textFill>
            <w14:solidFill>
              <w14:schemeClr w14:val="tx1"/>
            </w14:solidFill>
          </w14:textFill>
        </w:rPr>
        <w:tab/>
      </w:r>
    </w:p>
    <w:p w14:paraId="498AF148">
      <w:pPr>
        <w:pStyle w:val="15"/>
        <w:spacing w:line="500" w:lineRule="exact"/>
        <w:ind w:firstLine="5600" w:firstLineChars="20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　年　月　日</w:t>
      </w:r>
    </w:p>
    <w:p w14:paraId="0A05DE69">
      <w:pPr>
        <w:pStyle w:val="15"/>
        <w:ind w:firstLine="183"/>
        <w:rPr>
          <w:rFonts w:ascii="仿宋" w:hAnsi="仿宋" w:eastAsia="仿宋" w:cs="仿宋"/>
          <w:color w:val="000000" w:themeColor="text1"/>
          <w:highlight w:val="none"/>
          <w14:textFill>
            <w14:solidFill>
              <w14:schemeClr w14:val="tx1"/>
            </w14:solidFill>
          </w14:textFill>
        </w:rPr>
      </w:pPr>
    </w:p>
    <w:p w14:paraId="1AB7259C">
      <w:pPr>
        <w:pStyle w:val="15"/>
        <w:ind w:firstLine="183"/>
        <w:rPr>
          <w:rFonts w:ascii="仿宋" w:hAnsi="仿宋" w:eastAsia="仿宋" w:cs="仿宋"/>
          <w:color w:val="000000" w:themeColor="text1"/>
          <w:highlight w:val="none"/>
          <w14:textFill>
            <w14:solidFill>
              <w14:schemeClr w14:val="tx1"/>
            </w14:solidFill>
          </w14:textFill>
        </w:rPr>
      </w:pPr>
    </w:p>
    <w:p w14:paraId="747A6C93">
      <w:pPr>
        <w:pStyle w:val="15"/>
        <w:ind w:firstLine="183"/>
        <w:rPr>
          <w:rFonts w:ascii="仿宋" w:hAnsi="仿宋" w:eastAsia="仿宋" w:cs="仿宋"/>
          <w:color w:val="000000" w:themeColor="text1"/>
          <w:highlight w:val="none"/>
          <w14:textFill>
            <w14:solidFill>
              <w14:schemeClr w14:val="tx1"/>
            </w14:solidFill>
          </w14:textFill>
        </w:rPr>
      </w:pPr>
    </w:p>
    <w:p w14:paraId="612B7E01">
      <w:pPr>
        <w:pStyle w:val="15"/>
        <w:ind w:firstLine="183"/>
        <w:rPr>
          <w:rFonts w:ascii="仿宋" w:hAnsi="仿宋" w:eastAsia="仿宋" w:cs="仿宋"/>
          <w:color w:val="000000" w:themeColor="text1"/>
          <w:highlight w:val="none"/>
          <w14:textFill>
            <w14:solidFill>
              <w14:schemeClr w14:val="tx1"/>
            </w14:solidFill>
          </w14:textFill>
        </w:rPr>
      </w:pPr>
    </w:p>
    <w:p w14:paraId="353C2DF4">
      <w:pPr>
        <w:pStyle w:val="15"/>
        <w:ind w:firstLine="183"/>
        <w:rPr>
          <w:rFonts w:ascii="仿宋" w:hAnsi="仿宋" w:eastAsia="仿宋" w:cs="仿宋"/>
          <w:color w:val="000000" w:themeColor="text1"/>
          <w:highlight w:val="none"/>
          <w14:textFill>
            <w14:solidFill>
              <w14:schemeClr w14:val="tx1"/>
            </w14:solidFill>
          </w14:textFill>
        </w:rPr>
      </w:pPr>
    </w:p>
    <w:p w14:paraId="21E0010B">
      <w:pPr>
        <w:pStyle w:val="15"/>
        <w:ind w:firstLine="183"/>
        <w:rPr>
          <w:rFonts w:ascii="仿宋" w:hAnsi="仿宋" w:eastAsia="仿宋" w:cs="仿宋"/>
          <w:color w:val="000000" w:themeColor="text1"/>
          <w:highlight w:val="none"/>
          <w14:textFill>
            <w14:solidFill>
              <w14:schemeClr w14:val="tx1"/>
            </w14:solidFill>
          </w14:textFill>
        </w:rPr>
      </w:pPr>
    </w:p>
    <w:p w14:paraId="32FE90EE">
      <w:pPr>
        <w:pStyle w:val="15"/>
        <w:ind w:firstLine="183"/>
        <w:rPr>
          <w:rFonts w:ascii="仿宋" w:hAnsi="仿宋" w:eastAsia="仿宋" w:cs="仿宋"/>
          <w:color w:val="000000" w:themeColor="text1"/>
          <w:highlight w:val="none"/>
          <w14:textFill>
            <w14:solidFill>
              <w14:schemeClr w14:val="tx1"/>
            </w14:solidFill>
          </w14:textFill>
        </w:rPr>
      </w:pPr>
    </w:p>
    <w:p w14:paraId="1F554CC4">
      <w:pPr>
        <w:pStyle w:val="15"/>
        <w:ind w:firstLine="183"/>
        <w:rPr>
          <w:rFonts w:ascii="仿宋" w:hAnsi="仿宋" w:eastAsia="仿宋" w:cs="仿宋"/>
          <w:color w:val="000000" w:themeColor="text1"/>
          <w:highlight w:val="none"/>
          <w14:textFill>
            <w14:solidFill>
              <w14:schemeClr w14:val="tx1"/>
            </w14:solidFill>
          </w14:textFill>
        </w:rPr>
      </w:pPr>
    </w:p>
    <w:p w14:paraId="1B6D6EE2">
      <w:pPr>
        <w:pStyle w:val="15"/>
        <w:ind w:firstLine="183"/>
        <w:rPr>
          <w:rFonts w:ascii="仿宋" w:hAnsi="仿宋" w:eastAsia="仿宋" w:cs="仿宋"/>
          <w:color w:val="000000" w:themeColor="text1"/>
          <w:highlight w:val="none"/>
          <w14:textFill>
            <w14:solidFill>
              <w14:schemeClr w14:val="tx1"/>
            </w14:solidFill>
          </w14:textFill>
        </w:rPr>
      </w:pPr>
    </w:p>
    <w:p w14:paraId="3626C26F">
      <w:pPr>
        <w:pStyle w:val="15"/>
        <w:ind w:firstLine="183"/>
        <w:rPr>
          <w:rFonts w:ascii="仿宋" w:hAnsi="仿宋" w:eastAsia="仿宋" w:cs="仿宋"/>
          <w:color w:val="000000" w:themeColor="text1"/>
          <w:highlight w:val="none"/>
          <w14:textFill>
            <w14:solidFill>
              <w14:schemeClr w14:val="tx1"/>
            </w14:solidFill>
          </w14:textFill>
        </w:rPr>
      </w:pPr>
    </w:p>
    <w:p w14:paraId="48BCAF91">
      <w:pPr>
        <w:pStyle w:val="15"/>
        <w:ind w:firstLine="183"/>
        <w:rPr>
          <w:rFonts w:ascii="仿宋" w:hAnsi="仿宋" w:eastAsia="仿宋" w:cs="仿宋"/>
          <w:color w:val="000000" w:themeColor="text1"/>
          <w:highlight w:val="none"/>
          <w14:textFill>
            <w14:solidFill>
              <w14:schemeClr w14:val="tx1"/>
            </w14:solidFill>
          </w14:textFill>
        </w:rPr>
      </w:pPr>
    </w:p>
    <w:p w14:paraId="4FC29AFC">
      <w:pPr>
        <w:pStyle w:val="15"/>
        <w:ind w:firstLine="183"/>
        <w:rPr>
          <w:rFonts w:ascii="仿宋" w:hAnsi="仿宋" w:eastAsia="仿宋" w:cs="仿宋"/>
          <w:color w:val="000000" w:themeColor="text1"/>
          <w:highlight w:val="none"/>
          <w14:textFill>
            <w14:solidFill>
              <w14:schemeClr w14:val="tx1"/>
            </w14:solidFill>
          </w14:textFill>
        </w:rPr>
      </w:pPr>
    </w:p>
    <w:p w14:paraId="4FA3DB24">
      <w:pPr>
        <w:pStyle w:val="15"/>
        <w:ind w:firstLine="183"/>
        <w:rPr>
          <w:rFonts w:ascii="仿宋" w:hAnsi="仿宋" w:eastAsia="仿宋" w:cs="仿宋"/>
          <w:color w:val="000000" w:themeColor="text1"/>
          <w:highlight w:val="none"/>
          <w14:textFill>
            <w14:solidFill>
              <w14:schemeClr w14:val="tx1"/>
            </w14:solidFill>
          </w14:textFill>
        </w:rPr>
      </w:pPr>
    </w:p>
    <w:p w14:paraId="45F88B00">
      <w:pPr>
        <w:pStyle w:val="15"/>
        <w:ind w:firstLine="183"/>
        <w:rPr>
          <w:rFonts w:ascii="仿宋" w:hAnsi="仿宋" w:eastAsia="仿宋" w:cs="仿宋"/>
          <w:color w:val="000000" w:themeColor="text1"/>
          <w:highlight w:val="none"/>
          <w14:textFill>
            <w14:solidFill>
              <w14:schemeClr w14:val="tx1"/>
            </w14:solidFill>
          </w14:textFill>
        </w:rPr>
      </w:pPr>
    </w:p>
    <w:p w14:paraId="59DC9489">
      <w:pPr>
        <w:pStyle w:val="15"/>
        <w:ind w:firstLine="183"/>
        <w:rPr>
          <w:rFonts w:ascii="仿宋" w:hAnsi="仿宋" w:eastAsia="仿宋" w:cs="仿宋"/>
          <w:color w:val="000000" w:themeColor="text1"/>
          <w:highlight w:val="none"/>
          <w14:textFill>
            <w14:solidFill>
              <w14:schemeClr w14:val="tx1"/>
            </w14:solidFill>
          </w14:textFill>
        </w:rPr>
      </w:pPr>
    </w:p>
    <w:p w14:paraId="37422F2C">
      <w:pPr>
        <w:pStyle w:val="15"/>
        <w:ind w:firstLine="183"/>
        <w:rPr>
          <w:rFonts w:ascii="仿宋" w:hAnsi="仿宋" w:eastAsia="仿宋" w:cs="仿宋"/>
          <w:color w:val="000000" w:themeColor="text1"/>
          <w:highlight w:val="none"/>
          <w14:textFill>
            <w14:solidFill>
              <w14:schemeClr w14:val="tx1"/>
            </w14:solidFill>
          </w14:textFill>
        </w:rPr>
      </w:pPr>
    </w:p>
    <w:p w14:paraId="2ED9E9A1">
      <w:pPr>
        <w:pStyle w:val="15"/>
        <w:ind w:firstLine="183"/>
        <w:rPr>
          <w:rFonts w:ascii="仿宋" w:hAnsi="仿宋" w:eastAsia="仿宋" w:cs="仿宋"/>
          <w:color w:val="000000" w:themeColor="text1"/>
          <w:highlight w:val="none"/>
          <w14:textFill>
            <w14:solidFill>
              <w14:schemeClr w14:val="tx1"/>
            </w14:solidFill>
          </w14:textFill>
        </w:rPr>
      </w:pPr>
    </w:p>
    <w:p w14:paraId="6CFC7926">
      <w:pPr>
        <w:pStyle w:val="27"/>
        <w:spacing w:line="200" w:lineRule="atLeast"/>
        <w:jc w:val="both"/>
        <w:outlineLvl w:val="9"/>
        <w:rPr>
          <w:rFonts w:ascii="仿宋" w:hAnsi="仿宋" w:eastAsia="仿宋" w:cs="仿宋"/>
          <w:b w:val="0"/>
          <w:bCs w:val="0"/>
          <w:color w:val="000000" w:themeColor="text1"/>
          <w:highlight w:val="none"/>
          <w14:textFill>
            <w14:solidFill>
              <w14:schemeClr w14:val="tx1"/>
            </w14:solidFill>
          </w14:textFill>
        </w:rPr>
      </w:pPr>
    </w:p>
    <w:p w14:paraId="7B944C5F">
      <w:pPr>
        <w:pStyle w:val="27"/>
        <w:spacing w:line="240" w:lineRule="exact"/>
        <w:jc w:val="both"/>
        <w:outlineLvl w:val="9"/>
        <w:rPr>
          <w:rFonts w:ascii="仿宋" w:hAnsi="仿宋" w:eastAsia="仿宋" w:cs="仿宋"/>
          <w:b w:val="0"/>
          <w:bCs w:val="0"/>
          <w:color w:val="000000" w:themeColor="text1"/>
          <w:highlight w:val="none"/>
          <w14:textFill>
            <w14:solidFill>
              <w14:schemeClr w14:val="tx1"/>
            </w14:solidFill>
          </w14:textFill>
        </w:rPr>
      </w:pPr>
    </w:p>
    <w:p w14:paraId="14804477">
      <w:pPr>
        <w:pStyle w:val="27"/>
        <w:spacing w:line="240" w:lineRule="exact"/>
        <w:jc w:val="both"/>
        <w:outlineLvl w:val="9"/>
        <w:rPr>
          <w:rFonts w:ascii="仿宋" w:hAnsi="仿宋" w:eastAsia="仿宋" w:cs="仿宋"/>
          <w:b w:val="0"/>
          <w:bCs w:val="0"/>
          <w:color w:val="000000" w:themeColor="text1"/>
          <w:highlight w:val="none"/>
          <w14:textFill>
            <w14:solidFill>
              <w14:schemeClr w14:val="tx1"/>
            </w14:solidFill>
          </w14:textFill>
        </w:rPr>
      </w:pPr>
    </w:p>
    <w:p w14:paraId="0E5ED32C">
      <w:pPr>
        <w:pStyle w:val="27"/>
        <w:spacing w:line="240" w:lineRule="exact"/>
        <w:jc w:val="both"/>
        <w:outlineLvl w:val="9"/>
        <w:rPr>
          <w:rFonts w:ascii="仿宋" w:hAnsi="仿宋" w:eastAsia="仿宋" w:cs="仿宋"/>
          <w:b w:val="0"/>
          <w:bCs w:val="0"/>
          <w:color w:val="000000" w:themeColor="text1"/>
          <w:highlight w:val="none"/>
          <w14:textFill>
            <w14:solidFill>
              <w14:schemeClr w14:val="tx1"/>
            </w14:solidFill>
          </w14:textFill>
        </w:rPr>
      </w:pPr>
    </w:p>
    <w:p w14:paraId="1D4DCBEC">
      <w:pPr>
        <w:pStyle w:val="27"/>
        <w:spacing w:line="240" w:lineRule="exact"/>
        <w:jc w:val="both"/>
        <w:outlineLvl w:val="9"/>
        <w:rPr>
          <w:rFonts w:ascii="仿宋" w:hAnsi="仿宋" w:eastAsia="仿宋" w:cs="仿宋"/>
          <w:b w:val="0"/>
          <w:bCs w:val="0"/>
          <w:color w:val="000000" w:themeColor="text1"/>
          <w:highlight w:val="none"/>
          <w14:textFill>
            <w14:solidFill>
              <w14:schemeClr w14:val="tx1"/>
            </w14:solidFill>
          </w14:textFill>
        </w:rPr>
      </w:pPr>
    </w:p>
    <w:p w14:paraId="2C963C1A">
      <w:pPr>
        <w:pStyle w:val="27"/>
        <w:spacing w:line="240" w:lineRule="exact"/>
        <w:jc w:val="both"/>
        <w:outlineLvl w:val="9"/>
        <w:rPr>
          <w:rFonts w:ascii="仿宋" w:hAnsi="仿宋" w:eastAsia="仿宋" w:cs="仿宋"/>
          <w:b w:val="0"/>
          <w:bCs w:val="0"/>
          <w:color w:val="000000" w:themeColor="text1"/>
          <w:highlight w:val="none"/>
          <w14:textFill>
            <w14:solidFill>
              <w14:schemeClr w14:val="tx1"/>
            </w14:solidFill>
          </w14:textFill>
        </w:rPr>
      </w:pPr>
    </w:p>
    <w:p w14:paraId="0D60A22B">
      <w:pPr>
        <w:pStyle w:val="27"/>
        <w:spacing w:line="240" w:lineRule="exact"/>
        <w:jc w:val="both"/>
        <w:outlineLvl w:val="9"/>
        <w:rPr>
          <w:rFonts w:ascii="仿宋" w:hAnsi="仿宋" w:eastAsia="仿宋" w:cs="仿宋"/>
          <w:b w:val="0"/>
          <w:bCs w:val="0"/>
          <w:color w:val="000000" w:themeColor="text1"/>
          <w:highlight w:val="none"/>
          <w14:textFill>
            <w14:solidFill>
              <w14:schemeClr w14:val="tx1"/>
            </w14:solidFill>
          </w14:textFill>
        </w:rPr>
      </w:pPr>
    </w:p>
    <w:p w14:paraId="7F5E3AF3">
      <w:pPr>
        <w:pStyle w:val="26"/>
        <w:ind w:firstLine="567"/>
        <w:rPr>
          <w:rFonts w:ascii="仿宋" w:hAnsi="仿宋" w:eastAsia="仿宋" w:cs="仿宋"/>
          <w:color w:val="000000" w:themeColor="text1"/>
          <w:highlight w:val="none"/>
          <w14:textFill>
            <w14:solidFill>
              <w14:schemeClr w14:val="tx1"/>
            </w14:solidFill>
          </w14:textFill>
        </w:rPr>
      </w:pPr>
    </w:p>
    <w:p w14:paraId="6A864D3C">
      <w:pPr>
        <w:pStyle w:val="26"/>
        <w:ind w:firstLine="567"/>
        <w:rPr>
          <w:rFonts w:ascii="仿宋" w:hAnsi="仿宋" w:eastAsia="仿宋" w:cs="仿宋"/>
          <w:color w:val="000000" w:themeColor="text1"/>
          <w:highlight w:val="none"/>
          <w14:textFill>
            <w14:solidFill>
              <w14:schemeClr w14:val="tx1"/>
            </w14:solidFill>
          </w14:textFill>
        </w:rPr>
      </w:pPr>
    </w:p>
    <w:p w14:paraId="6F81F0BF">
      <w:pPr>
        <w:pStyle w:val="26"/>
        <w:ind w:firstLine="567"/>
        <w:rPr>
          <w:rFonts w:ascii="仿宋" w:hAnsi="仿宋" w:eastAsia="仿宋" w:cs="仿宋"/>
          <w:color w:val="000000" w:themeColor="text1"/>
          <w:highlight w:val="none"/>
          <w14:textFill>
            <w14:solidFill>
              <w14:schemeClr w14:val="tx1"/>
            </w14:solidFill>
          </w14:textFill>
        </w:rPr>
      </w:pPr>
    </w:p>
    <w:p w14:paraId="67A55FF5">
      <w:pPr>
        <w:pStyle w:val="26"/>
        <w:ind w:firstLine="567"/>
        <w:rPr>
          <w:rFonts w:ascii="仿宋" w:hAnsi="仿宋" w:eastAsia="仿宋" w:cs="仿宋"/>
          <w:color w:val="000000" w:themeColor="text1"/>
          <w:highlight w:val="none"/>
          <w14:textFill>
            <w14:solidFill>
              <w14:schemeClr w14:val="tx1"/>
            </w14:solidFill>
          </w14:textFill>
        </w:rPr>
      </w:pPr>
    </w:p>
    <w:p w14:paraId="1D244DE7">
      <w:pPr>
        <w:pStyle w:val="26"/>
        <w:ind w:firstLine="567"/>
        <w:rPr>
          <w:rFonts w:ascii="仿宋" w:hAnsi="仿宋" w:eastAsia="仿宋" w:cs="仿宋"/>
          <w:color w:val="000000" w:themeColor="text1"/>
          <w:highlight w:val="none"/>
          <w14:textFill>
            <w14:solidFill>
              <w14:schemeClr w14:val="tx1"/>
            </w14:solidFill>
          </w14:textFill>
        </w:rPr>
      </w:pPr>
    </w:p>
    <w:p w14:paraId="7F7B2F4F">
      <w:pPr>
        <w:pStyle w:val="27"/>
        <w:rPr>
          <w:rFonts w:ascii="仿宋" w:hAnsi="仿宋" w:eastAsia="仿宋" w:cs="仿宋"/>
          <w:b w:val="0"/>
          <w:bCs w:val="0"/>
          <w:color w:val="000000" w:themeColor="text1"/>
          <w:highlight w:val="none"/>
          <w14:textFill>
            <w14:solidFill>
              <w14:schemeClr w14:val="tx1"/>
            </w14:solidFill>
          </w14:textFill>
        </w:rPr>
      </w:pPr>
      <w:bookmarkStart w:id="434" w:name="_Toc13676"/>
      <w:bookmarkStart w:id="435" w:name="_Toc20524"/>
      <w:bookmarkStart w:id="436" w:name="_Toc26612"/>
      <w:r>
        <w:rPr>
          <w:rFonts w:hint="eastAsia" w:ascii="黑体" w:hAnsi="黑体" w:eastAsia="黑体" w:cs="黑体"/>
          <w:b w:val="0"/>
          <w:bCs w:val="0"/>
          <w:color w:val="000000" w:themeColor="text1"/>
          <w:highlight w:val="none"/>
          <w14:textFill>
            <w14:solidFill>
              <w14:schemeClr w14:val="tx1"/>
            </w14:solidFill>
          </w14:textFill>
        </w:rPr>
        <w:t>第三部分  投标方案</w:t>
      </w:r>
      <w:bookmarkEnd w:id="434"/>
      <w:bookmarkEnd w:id="435"/>
      <w:bookmarkEnd w:id="436"/>
    </w:p>
    <w:p w14:paraId="472DF4A7">
      <w:pPr>
        <w:pStyle w:val="27"/>
        <w:spacing w:line="500" w:lineRule="exact"/>
        <w:ind w:firstLine="602" w:firstLineChars="200"/>
        <w:jc w:val="both"/>
        <w:outlineLvl w:val="2"/>
        <w:rPr>
          <w:rFonts w:ascii="仿宋" w:hAnsi="仿宋" w:eastAsia="仿宋" w:cs="仿宋"/>
          <w:color w:val="000000" w:themeColor="text1"/>
          <w:sz w:val="28"/>
          <w:szCs w:val="28"/>
          <w:highlight w:val="none"/>
          <w14:textFill>
            <w14:solidFill>
              <w14:schemeClr w14:val="tx1"/>
            </w14:solidFill>
          </w14:textFill>
        </w:rPr>
      </w:pPr>
      <w:bookmarkStart w:id="437" w:name="_Toc9535"/>
      <w:bookmarkStart w:id="438" w:name="_Toc11877"/>
      <w:bookmarkStart w:id="439" w:name="_Toc5596"/>
      <w:bookmarkStart w:id="440" w:name="_Toc23944"/>
      <w:bookmarkStart w:id="441" w:name="_Toc31882"/>
      <w:bookmarkStart w:id="442" w:name="_Toc4666"/>
      <w:bookmarkStart w:id="443" w:name="_Toc22123"/>
      <w:bookmarkStart w:id="444" w:name="_Toc26478"/>
      <w:bookmarkStart w:id="445" w:name="_Toc30676"/>
      <w:bookmarkStart w:id="446" w:name="_Toc59"/>
      <w:bookmarkStart w:id="447" w:name="_Toc7814"/>
      <w:bookmarkStart w:id="448" w:name="_Toc21184"/>
      <w:bookmarkStart w:id="449" w:name="_Toc32512"/>
      <w:bookmarkStart w:id="450" w:name="_Toc11480"/>
      <w:bookmarkStart w:id="451" w:name="_Toc9795"/>
      <w:r>
        <w:rPr>
          <w:rFonts w:hint="eastAsia" w:ascii="仿宋" w:hAnsi="仿宋" w:eastAsia="仿宋" w:cs="仿宋"/>
          <w:color w:val="000000" w:themeColor="text1"/>
          <w:sz w:val="30"/>
          <w:szCs w:val="30"/>
          <w:highlight w:val="none"/>
          <w14:textFill>
            <w14:solidFill>
              <w14:schemeClr w14:val="tx1"/>
            </w14:solidFill>
          </w14:textFill>
        </w:rPr>
        <w:t>一、投标人性质及概况</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7506F66A">
      <w:pPr>
        <w:spacing w:line="500" w:lineRule="exact"/>
        <w:ind w:firstLine="56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（一）投标人性质</w:t>
      </w:r>
    </w:p>
    <w:p w14:paraId="46620D70">
      <w:pPr>
        <w:pStyle w:val="28"/>
        <w:spacing w:line="500" w:lineRule="exact"/>
        <w:ind w:firstLine="560" w:firstLineChars="200"/>
        <w:jc w:val="both"/>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投标人为小型、微型企业的提供《小微企业声明函》，且小型、微型企业的划分标准所属行业为</w:t>
      </w:r>
      <w:r>
        <w:rPr>
          <w:rFonts w:hint="eastAsia" w:ascii="仿宋" w:hAnsi="仿宋" w:eastAsia="仿宋" w:cs="仿宋"/>
          <w:color w:val="000000" w:themeColor="text1"/>
          <w:sz w:val="28"/>
          <w:szCs w:val="28"/>
          <w:highlight w:val="none"/>
          <w:u w:val="none"/>
          <w14:textFill>
            <w14:solidFill>
              <w14:schemeClr w14:val="tx1"/>
            </w14:solidFill>
          </w14:textFill>
        </w:rPr>
        <w:t>物业管理</w:t>
      </w:r>
      <w:r>
        <w:rPr>
          <w:rFonts w:hint="eastAsia" w:ascii="仿宋" w:hAnsi="仿宋" w:eastAsia="仿宋" w:cs="仿宋"/>
          <w:b w:val="0"/>
          <w:bCs w:val="0"/>
          <w:color w:val="000000" w:themeColor="text1"/>
          <w:sz w:val="28"/>
          <w:szCs w:val="28"/>
          <w:highlight w:val="none"/>
          <w14:textFill>
            <w14:solidFill>
              <w14:schemeClr w14:val="tx1"/>
            </w14:solidFill>
          </w14:textFill>
        </w:rPr>
        <w:t>；投标人为监狱企业的，应提供监狱企业的证明文件；投标人为残疾人福利性单位的，应提供《残疾人福利性单位声明函》。未提供相关证明文件的不能享受招标文件规定的价格扣除。</w:t>
      </w:r>
    </w:p>
    <w:p w14:paraId="06CF3CDB">
      <w:pPr>
        <w:spacing w:line="500" w:lineRule="exact"/>
        <w:ind w:firstLine="56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各投标人可根据企业从业人员、营业收入、资产总额等指标，按照招标文件约定的采购标的对应的中小企业划分标准所属行业和《中小企业划型标准规定》（工信部联企业〔2011〕300号）进行自测，判断属于小型还是微型企业。也可在微信小程序中搜索中小企业规模类型自测小程序进行测算。</w:t>
      </w:r>
    </w:p>
    <w:p w14:paraId="77BA2BF4">
      <w:pPr>
        <w:spacing w:line="500" w:lineRule="exact"/>
        <w:ind w:firstLine="562"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特别提醒：中标人享受小微企业扶持政策的，中标人的《小微企业声明函》</w:t>
      </w:r>
      <w:r>
        <w:rPr>
          <w:rFonts w:hint="eastAsia" w:ascii="仿宋" w:hAnsi="仿宋" w:eastAsia="仿宋" w:cs="仿宋"/>
          <w:b/>
          <w:bCs/>
          <w:color w:val="000000" w:themeColor="text1"/>
          <w:highlight w:val="none"/>
          <w:lang w:val="en-US" w:eastAsia="zh-CN"/>
          <w14:textFill>
            <w14:solidFill>
              <w14:schemeClr w14:val="tx1"/>
            </w14:solidFill>
          </w14:textFill>
        </w:rPr>
        <w:t>或</w:t>
      </w:r>
      <w:r>
        <w:rPr>
          <w:rFonts w:hint="eastAsia" w:ascii="仿宋" w:hAnsi="仿宋" w:eastAsia="仿宋" w:cs="仿宋"/>
          <w:b/>
          <w:bCs/>
          <w:color w:val="000000" w:themeColor="text1"/>
          <w:highlight w:val="none"/>
          <w14:textFill>
            <w14:solidFill>
              <w14:schemeClr w14:val="tx1"/>
            </w14:solidFill>
          </w14:textFill>
        </w:rPr>
        <w:t>《残疾人福利性单位声明函》或监狱企业证明文件将随中标结果公告一同公布，接受社会监督。</w:t>
      </w:r>
    </w:p>
    <w:p w14:paraId="2EF90BA4">
      <w:pPr>
        <w:spacing w:line="500" w:lineRule="exact"/>
        <w:rPr>
          <w:rFonts w:ascii="仿宋" w:hAnsi="仿宋" w:eastAsia="仿宋" w:cs="仿宋"/>
          <w:b/>
          <w:bCs/>
          <w:color w:val="000000" w:themeColor="text1"/>
          <w:highlight w:val="none"/>
          <w14:textFill>
            <w14:solidFill>
              <w14:schemeClr w14:val="tx1"/>
            </w14:solidFill>
          </w14:textFill>
        </w:rPr>
      </w:pPr>
    </w:p>
    <w:p w14:paraId="76F1F352">
      <w:pPr>
        <w:spacing w:line="500" w:lineRule="exact"/>
        <w:rPr>
          <w:rFonts w:ascii="仿宋" w:hAnsi="仿宋" w:eastAsia="仿宋" w:cs="仿宋"/>
          <w:b/>
          <w:bCs/>
          <w:color w:val="000000" w:themeColor="text1"/>
          <w:highlight w:val="none"/>
          <w14:textFill>
            <w14:solidFill>
              <w14:schemeClr w14:val="tx1"/>
            </w14:solidFill>
          </w14:textFill>
        </w:rPr>
      </w:pPr>
    </w:p>
    <w:p w14:paraId="184AD546">
      <w:pPr>
        <w:rPr>
          <w:rFonts w:ascii="仿宋" w:hAnsi="仿宋" w:eastAsia="仿宋" w:cs="仿宋"/>
          <w:b/>
          <w:color w:val="000000" w:themeColor="text1"/>
          <w:kern w:val="0"/>
          <w:highlight w:val="none"/>
          <w14:textFill>
            <w14:solidFill>
              <w14:schemeClr w14:val="tx1"/>
            </w14:solidFill>
          </w14:textFill>
        </w:rPr>
      </w:pPr>
      <w:r>
        <w:rPr>
          <w:rFonts w:hint="eastAsia" w:ascii="仿宋" w:hAnsi="仿宋" w:eastAsia="仿宋" w:cs="仿宋"/>
          <w:b/>
          <w:color w:val="000000" w:themeColor="text1"/>
          <w:kern w:val="0"/>
          <w:highlight w:val="none"/>
          <w14:textFill>
            <w14:solidFill>
              <w14:schemeClr w14:val="tx1"/>
            </w14:solidFill>
          </w14:textFill>
        </w:rPr>
        <w:br w:type="page"/>
      </w:r>
    </w:p>
    <w:p w14:paraId="26D21887">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highlight w:val="none"/>
          <w14:textFill>
            <w14:solidFill>
              <w14:schemeClr w14:val="tx1"/>
            </w14:solidFill>
          </w14:textFill>
        </w:rPr>
        <w:t>小微企业声明函</w:t>
      </w:r>
    </w:p>
    <w:p w14:paraId="6F5AE775">
      <w:pPr>
        <w:spacing w:line="500" w:lineRule="exact"/>
        <w:ind w:firstLine="56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本公司郑重声明，根据《政府采购促进中小企业发展管理办法》（财库﹝2020﹞46号）的规定，本公司参加陕西省省级单位政府采购中心组织的</w:t>
      </w:r>
      <w:r>
        <w:rPr>
          <w:rFonts w:hint="eastAsia" w:ascii="仿宋" w:hAnsi="仿宋" w:eastAsia="仿宋" w:cs="仿宋"/>
          <w:iCs/>
          <w:color w:val="000000" w:themeColor="text1"/>
          <w:kern w:val="0"/>
          <w:highlight w:val="none"/>
          <w:u w:val="single"/>
          <w14:textFill>
            <w14:solidFill>
              <w14:schemeClr w14:val="tx1"/>
            </w14:solidFill>
          </w14:textFill>
        </w:rPr>
        <w:t>（项目名称）</w:t>
      </w:r>
      <w:r>
        <w:rPr>
          <w:rFonts w:hint="eastAsia" w:ascii="仿宋" w:hAnsi="仿宋" w:eastAsia="仿宋" w:cs="仿宋"/>
          <w:color w:val="000000" w:themeColor="text1"/>
          <w:kern w:val="0"/>
          <w:highlight w:val="none"/>
          <w14:textFill>
            <w14:solidFill>
              <w14:schemeClr w14:val="tx1"/>
            </w14:solidFill>
          </w14:textFill>
        </w:rPr>
        <w:t>采购活动，服务全部由符合政策要求的小微企业承接。相关企业的具体情况如下：</w:t>
      </w:r>
    </w:p>
    <w:p w14:paraId="2357A2A7">
      <w:pPr>
        <w:spacing w:line="500" w:lineRule="exact"/>
        <w:ind w:firstLine="560" w:firstLineChars="200"/>
        <w:jc w:val="lef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u w:val="single"/>
          <w14:textFill>
            <w14:solidFill>
              <w14:schemeClr w14:val="tx1"/>
            </w14:solidFill>
          </w14:textFill>
        </w:rPr>
        <w:t>（项目名称）</w:t>
      </w:r>
      <w:r>
        <w:rPr>
          <w:rFonts w:hint="eastAsia" w:ascii="仿宋" w:hAnsi="仿宋" w:eastAsia="仿宋" w:cs="仿宋"/>
          <w:color w:val="000000" w:themeColor="text1"/>
          <w:kern w:val="0"/>
          <w:highlight w:val="none"/>
          <w14:textFill>
            <w14:solidFill>
              <w14:schemeClr w14:val="tx1"/>
            </w14:solidFill>
          </w14:textFill>
        </w:rPr>
        <w:t>，属于</w:t>
      </w:r>
      <w:r>
        <w:rPr>
          <w:rFonts w:hint="eastAsia" w:ascii="仿宋" w:hAnsi="仿宋" w:eastAsia="仿宋" w:cs="仿宋"/>
          <w:color w:val="000000" w:themeColor="text1"/>
          <w:kern w:val="0"/>
          <w:highlight w:val="none"/>
          <w:u w:val="single"/>
          <w14:textFill>
            <w14:solidFill>
              <w14:schemeClr w14:val="tx1"/>
            </w14:solidFill>
          </w14:textFill>
        </w:rPr>
        <w:t xml:space="preserve">           </w:t>
      </w:r>
      <w:r>
        <w:rPr>
          <w:rFonts w:hint="eastAsia" w:ascii="仿宋" w:hAnsi="仿宋" w:eastAsia="仿宋" w:cs="仿宋"/>
          <w:color w:val="000000" w:themeColor="text1"/>
          <w:kern w:val="0"/>
          <w:highlight w:val="none"/>
          <w14:textFill>
            <w14:solidFill>
              <w14:schemeClr w14:val="tx1"/>
            </w14:solidFill>
          </w14:textFill>
        </w:rPr>
        <w:t>（招标文件中明确的所属行业）；承接企业为</w:t>
      </w:r>
      <w:r>
        <w:rPr>
          <w:rFonts w:hint="eastAsia" w:ascii="仿宋" w:hAnsi="仿宋" w:eastAsia="仿宋" w:cs="仿宋"/>
          <w:color w:val="000000" w:themeColor="text1"/>
          <w:kern w:val="0"/>
          <w:highlight w:val="none"/>
          <w:u w:val="single"/>
          <w14:textFill>
            <w14:solidFill>
              <w14:schemeClr w14:val="tx1"/>
            </w14:solidFill>
          </w14:textFill>
        </w:rPr>
        <w:t>（企业名称）</w:t>
      </w:r>
      <w:r>
        <w:rPr>
          <w:rFonts w:hint="eastAsia" w:ascii="仿宋" w:hAnsi="仿宋" w:eastAsia="仿宋" w:cs="仿宋"/>
          <w:color w:val="000000" w:themeColor="text1"/>
          <w:kern w:val="0"/>
          <w:highlight w:val="none"/>
          <w14:textFill>
            <w14:solidFill>
              <w14:schemeClr w14:val="tx1"/>
            </w14:solidFill>
          </w14:textFill>
        </w:rPr>
        <w:t>，从业人员</w:t>
      </w:r>
      <w:r>
        <w:rPr>
          <w:rFonts w:hint="eastAsia" w:ascii="仿宋" w:hAnsi="仿宋" w:eastAsia="仿宋" w:cs="仿宋"/>
          <w:color w:val="000000" w:themeColor="text1"/>
          <w:kern w:val="0"/>
          <w:highlight w:val="none"/>
          <w:u w:val="single"/>
          <w14:textFill>
            <w14:solidFill>
              <w14:schemeClr w14:val="tx1"/>
            </w14:solidFill>
          </w14:textFill>
        </w:rPr>
        <w:t xml:space="preserve">     </w:t>
      </w:r>
      <w:r>
        <w:rPr>
          <w:rFonts w:hint="eastAsia" w:ascii="仿宋" w:hAnsi="仿宋" w:eastAsia="仿宋" w:cs="仿宋"/>
          <w:color w:val="000000" w:themeColor="text1"/>
          <w:kern w:val="0"/>
          <w:highlight w:val="none"/>
          <w14:textFill>
            <w14:solidFill>
              <w14:schemeClr w14:val="tx1"/>
            </w14:solidFill>
          </w14:textFill>
        </w:rPr>
        <w:t>人，营业收入为</w:t>
      </w:r>
      <w:r>
        <w:rPr>
          <w:rFonts w:hint="eastAsia" w:ascii="仿宋" w:hAnsi="仿宋" w:eastAsia="仿宋" w:cs="仿宋"/>
          <w:color w:val="000000" w:themeColor="text1"/>
          <w:kern w:val="0"/>
          <w:highlight w:val="none"/>
          <w:u w:val="single"/>
          <w14:textFill>
            <w14:solidFill>
              <w14:schemeClr w14:val="tx1"/>
            </w14:solidFill>
          </w14:textFill>
        </w:rPr>
        <w:t xml:space="preserve">     </w:t>
      </w:r>
      <w:r>
        <w:rPr>
          <w:rFonts w:hint="eastAsia" w:ascii="仿宋" w:hAnsi="仿宋" w:eastAsia="仿宋" w:cs="仿宋"/>
          <w:color w:val="000000" w:themeColor="text1"/>
          <w:kern w:val="0"/>
          <w:highlight w:val="none"/>
          <w14:textFill>
            <w14:solidFill>
              <w14:schemeClr w14:val="tx1"/>
            </w14:solidFill>
          </w14:textFill>
        </w:rPr>
        <w:t>万元，资产总额为</w:t>
      </w:r>
      <w:r>
        <w:rPr>
          <w:rFonts w:hint="eastAsia" w:ascii="仿宋" w:hAnsi="仿宋" w:eastAsia="仿宋" w:cs="仿宋"/>
          <w:color w:val="000000" w:themeColor="text1"/>
          <w:kern w:val="0"/>
          <w:highlight w:val="none"/>
          <w:u w:val="single"/>
          <w14:textFill>
            <w14:solidFill>
              <w14:schemeClr w14:val="tx1"/>
            </w14:solidFill>
          </w14:textFill>
        </w:rPr>
        <w:t xml:space="preserve">      </w:t>
      </w:r>
      <w:r>
        <w:rPr>
          <w:rFonts w:hint="eastAsia" w:ascii="仿宋" w:hAnsi="仿宋" w:eastAsia="仿宋" w:cs="仿宋"/>
          <w:color w:val="000000" w:themeColor="text1"/>
          <w:kern w:val="0"/>
          <w:highlight w:val="none"/>
          <w14:textFill>
            <w14:solidFill>
              <w14:schemeClr w14:val="tx1"/>
            </w14:solidFill>
          </w14:textFill>
        </w:rPr>
        <w:t>万元，属于</w:t>
      </w:r>
      <w:r>
        <w:rPr>
          <w:rFonts w:hint="eastAsia" w:ascii="仿宋" w:hAnsi="仿宋" w:eastAsia="仿宋" w:cs="仿宋"/>
          <w:color w:val="000000" w:themeColor="text1"/>
          <w:kern w:val="0"/>
          <w:highlight w:val="none"/>
          <w:u w:val="single"/>
          <w14:textFill>
            <w14:solidFill>
              <w14:schemeClr w14:val="tx1"/>
            </w14:solidFill>
          </w14:textFill>
        </w:rPr>
        <w:t xml:space="preserve">         </w:t>
      </w:r>
      <w:r>
        <w:rPr>
          <w:rFonts w:hint="eastAsia" w:ascii="仿宋" w:hAnsi="仿宋" w:eastAsia="仿宋" w:cs="仿宋"/>
          <w:color w:val="000000" w:themeColor="text1"/>
          <w:kern w:val="0"/>
          <w:highlight w:val="none"/>
          <w14:textFill>
            <w14:solidFill>
              <w14:schemeClr w14:val="tx1"/>
            </w14:solidFill>
          </w14:textFill>
        </w:rPr>
        <w:t>（小型企业、微型企业）。</w:t>
      </w:r>
    </w:p>
    <w:p w14:paraId="49AA9D09">
      <w:pPr>
        <w:spacing w:line="500" w:lineRule="exact"/>
        <w:ind w:firstLine="560" w:firstLineChars="200"/>
        <w:jc w:val="lef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以上企业，不属于大企业的分支机构，不存在控股股东为大企业的情形，也不存在与大企业的负责人为同一人的情形。</w:t>
      </w:r>
    </w:p>
    <w:p w14:paraId="3726DE69">
      <w:pPr>
        <w:spacing w:line="500" w:lineRule="exact"/>
        <w:ind w:firstLine="560" w:firstLineChars="200"/>
        <w:jc w:val="lef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xml:space="preserve">本企业对上述声明内容的真实性负责。如有虚假，将依法承担相应责任。 </w:t>
      </w:r>
    </w:p>
    <w:p w14:paraId="005054ED">
      <w:pPr>
        <w:pStyle w:val="5"/>
        <w:rPr>
          <w:rFonts w:ascii="仿宋" w:hAnsi="仿宋" w:eastAsia="仿宋" w:cs="仿宋"/>
          <w:color w:val="000000" w:themeColor="text1"/>
          <w:highlight w:val="none"/>
          <w14:textFill>
            <w14:solidFill>
              <w14:schemeClr w14:val="tx1"/>
            </w14:solidFill>
          </w14:textFill>
        </w:rPr>
      </w:pPr>
    </w:p>
    <w:p w14:paraId="68EA972D">
      <w:pPr>
        <w:spacing w:line="500" w:lineRule="exac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投标人</w:t>
      </w:r>
      <w:r>
        <w:rPr>
          <w:rFonts w:hint="eastAsia" w:ascii="仿宋" w:hAnsi="仿宋" w:eastAsia="仿宋" w:cs="仿宋"/>
          <w:color w:val="000000" w:themeColor="text1"/>
          <w:kern w:val="0"/>
          <w:highlight w:val="none"/>
          <w14:textFill>
            <w14:solidFill>
              <w14:schemeClr w14:val="tx1"/>
            </w14:solidFill>
          </w14:textFill>
        </w:rPr>
        <w:t>：</w:t>
      </w:r>
      <w:r>
        <w:rPr>
          <w:rFonts w:hint="eastAsia" w:ascii="仿宋" w:hAnsi="仿宋" w:eastAsia="仿宋" w:cs="仿宋"/>
          <w:color w:val="000000" w:themeColor="text1"/>
          <w:kern w:val="0"/>
          <w:highlight w:val="none"/>
          <w:u w:val="single"/>
          <w14:textFill>
            <w14:solidFill>
              <w14:schemeClr w14:val="tx1"/>
            </w14:solidFill>
          </w14:textFill>
        </w:rPr>
        <w:t>名称</w:t>
      </w:r>
      <w:r>
        <w:rPr>
          <w:rFonts w:hint="eastAsia" w:ascii="仿宋" w:hAnsi="仿宋" w:eastAsia="仿宋" w:cs="仿宋"/>
          <w:color w:val="000000" w:themeColor="text1"/>
          <w:kern w:val="0"/>
          <w:highlight w:val="none"/>
          <w14:textFill>
            <w14:solidFill>
              <w14:schemeClr w14:val="tx1"/>
            </w14:solidFill>
          </w14:textFill>
        </w:rPr>
        <w:t>（加盖公章）</w:t>
      </w:r>
    </w:p>
    <w:p w14:paraId="1FFCC7DE">
      <w:pPr>
        <w:spacing w:line="500" w:lineRule="exact"/>
        <w:ind w:firstLine="560" w:firstLineChars="200"/>
        <w:jc w:val="center"/>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 xml:space="preserve">                      日期：    年  月  日</w:t>
      </w:r>
    </w:p>
    <w:p w14:paraId="52504847">
      <w:pPr>
        <w:pStyle w:val="15"/>
        <w:spacing w:line="3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11239882">
      <w:pPr>
        <w:pStyle w:val="15"/>
        <w:spacing w:line="340" w:lineRule="exact"/>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153B8902">
      <w:pPr>
        <w:pStyle w:val="15"/>
        <w:spacing w:line="340" w:lineRule="exact"/>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2、从业人员、营业收入、资产总额填报上一年度数据，无上一年度数据的新成立企业可不填报。</w:t>
      </w:r>
    </w:p>
    <w:p w14:paraId="5DBD4CE7">
      <w:pPr>
        <w:pStyle w:val="15"/>
        <w:spacing w:line="340" w:lineRule="exact"/>
        <w:ind w:firstLine="422" w:firstLineChars="200"/>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3、非小微企业不用填写此表。</w:t>
      </w:r>
    </w:p>
    <w:p w14:paraId="0027BE8C">
      <w:pPr>
        <w:pStyle w:val="15"/>
        <w:spacing w:line="340" w:lineRule="exact"/>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根据《工业和信息化部、国家统计局、国家发展和改革委员会、财政部关于印发中小企业划型标准规定的通知》（工信部联企业[2011]300号），本项目所属行业中小企业划型标准具体如下：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E1A7C8">
      <w:pPr>
        <w:rPr>
          <w:rFonts w:ascii="仿宋" w:hAnsi="仿宋" w:eastAsia="仿宋" w:cs="仿宋"/>
          <w:color w:val="000000" w:themeColor="text1"/>
          <w:highlight w:val="none"/>
          <w14:textFill>
            <w14:solidFill>
              <w14:schemeClr w14:val="tx1"/>
            </w14:solidFill>
          </w14:textFill>
        </w:rPr>
      </w:pPr>
    </w:p>
    <w:p w14:paraId="2E1868AD">
      <w:pPr>
        <w:spacing w:line="240" w:lineRule="auto"/>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br w:type="page"/>
      </w:r>
    </w:p>
    <w:p w14:paraId="44A5BD9D">
      <w:pPr>
        <w:tabs>
          <w:tab w:val="left" w:pos="5670"/>
        </w:tabs>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监狱企业证明函</w:t>
      </w:r>
    </w:p>
    <w:p w14:paraId="0E8FA92A">
      <w:pPr>
        <w:tabs>
          <w:tab w:val="left" w:pos="5670"/>
        </w:tabs>
        <w:spacing w:line="500" w:lineRule="exact"/>
        <w:ind w:firstLine="56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C731DE">
      <w:pPr>
        <w:spacing w:line="500" w:lineRule="exact"/>
        <w:ind w:firstLine="56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04F35D54">
      <w:pPr>
        <w:pStyle w:val="15"/>
        <w:ind w:firstLine="630" w:firstLineChars="300"/>
        <w:rPr>
          <w:rFonts w:ascii="仿宋" w:hAnsi="仿宋" w:eastAsia="仿宋" w:cs="仿宋"/>
          <w:color w:val="000000" w:themeColor="text1"/>
          <w:sz w:val="21"/>
          <w:szCs w:val="21"/>
          <w:highlight w:val="none"/>
          <w14:textFill>
            <w14:solidFill>
              <w14:schemeClr w14:val="tx1"/>
            </w14:solidFill>
          </w14:textFill>
        </w:rPr>
      </w:pPr>
    </w:p>
    <w:p w14:paraId="66269E2B">
      <w:pPr>
        <w:tabs>
          <w:tab w:val="left" w:pos="5670"/>
        </w:tabs>
        <w:spacing w:line="500" w:lineRule="exact"/>
        <w:ind w:firstLine="42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page"/>
      </w:r>
    </w:p>
    <w:p w14:paraId="22133CD1">
      <w:pPr>
        <w:tabs>
          <w:tab w:val="left" w:pos="5670"/>
        </w:tabs>
        <w:spacing w:after="190" w:afterLines="50" w:line="500" w:lineRule="exact"/>
        <w:jc w:val="center"/>
        <w:rPr>
          <w:rFonts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残疾人福利性单位声明函（格式）</w:t>
      </w:r>
    </w:p>
    <w:p w14:paraId="6E1174F0">
      <w:pPr>
        <w:spacing w:line="500" w:lineRule="exact"/>
        <w:ind w:firstLine="56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themeColor="text1"/>
          <w:highlight w:val="none"/>
          <w:u w:val="single"/>
          <w14:textFill>
            <w14:solidFill>
              <w14:schemeClr w14:val="tx1"/>
            </w14:solidFill>
          </w14:textFill>
        </w:rPr>
        <w:t>（项目名称）</w:t>
      </w: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）第</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标段采购活动提供本单位制造的货物（由本单位承担工程/提供服务），或者提供其他残疾人福利性单位制造的货物（不包括使用非残疾人福利性单位注册商标的货物）。</w:t>
      </w:r>
    </w:p>
    <w:p w14:paraId="2D95B84B">
      <w:pPr>
        <w:spacing w:line="500" w:lineRule="exact"/>
        <w:ind w:firstLine="56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本单位对上述声明的真实性负责。如有虚假，将依法承担相应责任。</w:t>
      </w:r>
    </w:p>
    <w:p w14:paraId="4962B310">
      <w:pPr>
        <w:spacing w:line="500" w:lineRule="exact"/>
        <w:ind w:firstLine="560" w:firstLineChars="200"/>
        <w:jc w:val="left"/>
        <w:rPr>
          <w:rFonts w:ascii="仿宋" w:hAnsi="仿宋" w:eastAsia="仿宋" w:cs="仿宋"/>
          <w:color w:val="000000" w:themeColor="text1"/>
          <w:highlight w:val="none"/>
          <w14:textFill>
            <w14:solidFill>
              <w14:schemeClr w14:val="tx1"/>
            </w14:solidFill>
          </w14:textFill>
        </w:rPr>
      </w:pPr>
    </w:p>
    <w:p w14:paraId="25A5ABA8">
      <w:pPr>
        <w:spacing w:line="500" w:lineRule="exact"/>
        <w:ind w:firstLine="5040" w:firstLineChars="18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4F7972BA">
      <w:pPr>
        <w:tabs>
          <w:tab w:val="left" w:pos="5670"/>
        </w:tabs>
        <w:spacing w:line="500" w:lineRule="exact"/>
        <w:ind w:firstLine="5320" w:firstLineChars="19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61CA2910">
      <w:pPr>
        <w:tabs>
          <w:tab w:val="left" w:pos="5670"/>
        </w:tabs>
        <w:spacing w:afterLines="0" w:line="240" w:lineRule="auto"/>
        <w:ind w:firstLine="422" w:firstLineChars="200"/>
        <w:jc w:val="left"/>
        <w:rPr>
          <w:rFonts w:hint="eastAsia" w:ascii="宋体" w:hAnsi="宋体" w:eastAsia="宋体" w:cs="宋体"/>
          <w:b/>
          <w:bCs/>
          <w:color w:val="000000" w:themeColor="text1"/>
          <w:sz w:val="21"/>
          <w:szCs w:val="21"/>
          <w:highlight w:val="none"/>
          <w14:textFill>
            <w14:solidFill>
              <w14:schemeClr w14:val="tx1"/>
            </w14:solidFill>
          </w14:textFill>
        </w:rPr>
      </w:pPr>
    </w:p>
    <w:p w14:paraId="47EF14F1">
      <w:pPr>
        <w:tabs>
          <w:tab w:val="left" w:pos="5670"/>
        </w:tabs>
        <w:spacing w:afterLines="0" w:line="240" w:lineRule="auto"/>
        <w:ind w:firstLine="422" w:firstLineChars="200"/>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备注：非残疾人福利性单位不用填写此表。</w:t>
      </w:r>
    </w:p>
    <w:p w14:paraId="629F2E2B">
      <w:pPr>
        <w:tabs>
          <w:tab w:val="left" w:pos="5670"/>
        </w:tabs>
        <w:spacing w:afterLines="0" w:line="240" w:lineRule="auto"/>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项目不分标段的，第___标段空白处填写“/”。</w:t>
      </w:r>
    </w:p>
    <w:p w14:paraId="41C83AEF">
      <w:pPr>
        <w:tabs>
          <w:tab w:val="left" w:pos="5670"/>
        </w:tabs>
        <w:spacing w:afterLines="0" w:line="240" w:lineRule="auto"/>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根据《财政部 民政部 中国残疾人联合会关于促进残疾人就业政府采购政策的通知》（财库〔2017〕141号）的规定：</w:t>
      </w:r>
    </w:p>
    <w:p w14:paraId="351B9F51">
      <w:pPr>
        <w:tabs>
          <w:tab w:val="left" w:pos="5670"/>
        </w:tabs>
        <w:spacing w:afterLines="0" w:line="240" w:lineRule="auto"/>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一、享受政府采购支持政策的残疾人福利性单位应当同时满足以下条件：</w:t>
      </w:r>
    </w:p>
    <w:p w14:paraId="00C99A3D">
      <w:pPr>
        <w:tabs>
          <w:tab w:val="left" w:pos="5670"/>
        </w:tabs>
        <w:spacing w:afterLines="0" w:line="240" w:lineRule="auto"/>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（一）安置的残疾人占本单位在职职工人数的比例不低于25%（含25%），并且安置的残疾人人数不少于10人（含10人）；</w:t>
      </w:r>
    </w:p>
    <w:p w14:paraId="4C73DC5A">
      <w:pPr>
        <w:tabs>
          <w:tab w:val="left" w:pos="5670"/>
        </w:tabs>
        <w:spacing w:afterLines="0" w:line="240" w:lineRule="auto"/>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（二）依法与安置的每位残疾人签订了一年以上（含一年）的劳动合同或服务协议；</w:t>
      </w:r>
    </w:p>
    <w:p w14:paraId="1917CB79">
      <w:pPr>
        <w:tabs>
          <w:tab w:val="left" w:pos="5670"/>
        </w:tabs>
        <w:spacing w:afterLines="0" w:line="240" w:lineRule="auto"/>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（三）为安置的每位残疾人按月足额缴纳了基本养老保险、基本医疗保险、失业保险、工伤保险和生育保险等社会保险费；</w:t>
      </w:r>
    </w:p>
    <w:p w14:paraId="29F891C1">
      <w:pPr>
        <w:tabs>
          <w:tab w:val="left" w:pos="5670"/>
        </w:tabs>
        <w:spacing w:afterLines="0" w:line="240" w:lineRule="auto"/>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（四）通过银行等金融机构向安置的每位残疾人，按月支付了不低于单位所在区县适用的经省级人民政府批准的月最低工资标准的工资；</w:t>
      </w:r>
    </w:p>
    <w:p w14:paraId="72938998">
      <w:pPr>
        <w:tabs>
          <w:tab w:val="left" w:pos="5670"/>
        </w:tabs>
        <w:spacing w:afterLines="0" w:line="240" w:lineRule="auto"/>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19BA80E3">
      <w:pPr>
        <w:tabs>
          <w:tab w:val="left" w:pos="5670"/>
        </w:tabs>
        <w:spacing w:afterLines="0" w:line="240" w:lineRule="auto"/>
        <w:ind w:firstLine="420" w:firstLineChars="20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D27340">
      <w:pPr>
        <w:pStyle w:val="15"/>
        <w:numPr>
          <w:ilvl w:val="255"/>
          <w:numId w:val="0"/>
        </w:numPr>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二、中标人为残疾人福利性单位的，采购人或者其委托的采购代理机构应当随中标结果同时公告其《残疾人福利性单位声明函》，接受社会监督。</w:t>
      </w:r>
    </w:p>
    <w:p w14:paraId="7759BDBB">
      <w:pPr>
        <w:numPr>
          <w:ilvl w:val="255"/>
          <w:numId w:val="0"/>
        </w:numPr>
        <w:spacing w:afterLines="0"/>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page"/>
      </w:r>
    </w:p>
    <w:p w14:paraId="2B798449">
      <w:pPr>
        <w:spacing w:line="500" w:lineRule="exact"/>
        <w:ind w:firstLine="562"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（二）投标人概况</w:t>
      </w:r>
    </w:p>
    <w:p w14:paraId="1ED646CA">
      <w:pPr>
        <w:spacing w:line="500" w:lineRule="exact"/>
        <w:ind w:firstLine="560"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包括但不限于成立时间、经营范围、股权变更、总公司分公司分布及经营状况、管理制度、人员配备、用户评价、正在实施的项目，评优获奖情况</w:t>
      </w:r>
      <w:r>
        <w:rPr>
          <w:rFonts w:hint="eastAsia" w:ascii="仿宋" w:hAnsi="仿宋" w:eastAsia="仿宋" w:cs="仿宋"/>
          <w:b/>
          <w:bCs/>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以及投标人认为有利于中标的其他情况说明。</w:t>
      </w:r>
    </w:p>
    <w:p w14:paraId="0C5A08E1">
      <w:pPr>
        <w:pStyle w:val="16"/>
        <w:ind w:left="567" w:firstLine="569"/>
        <w:rPr>
          <w:rFonts w:ascii="仿宋" w:hAnsi="仿宋" w:eastAsia="仿宋" w:cs="仿宋"/>
          <w:color w:val="000000" w:themeColor="text1"/>
          <w:highlight w:val="none"/>
          <w14:textFill>
            <w14:solidFill>
              <w14:schemeClr w14:val="tx1"/>
            </w14:solidFill>
          </w14:textFill>
        </w:rPr>
      </w:pPr>
    </w:p>
    <w:p w14:paraId="651F1423">
      <w:pPr>
        <w:rPr>
          <w:rFonts w:ascii="仿宋" w:hAnsi="仿宋" w:eastAsia="仿宋" w:cs="仿宋"/>
          <w:color w:val="000000" w:themeColor="text1"/>
          <w:highlight w:val="none"/>
          <w14:textFill>
            <w14:solidFill>
              <w14:schemeClr w14:val="tx1"/>
            </w14:solidFill>
          </w14:textFill>
        </w:rPr>
      </w:pPr>
    </w:p>
    <w:p w14:paraId="3192A826">
      <w:pPr>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br w:type="page"/>
      </w:r>
    </w:p>
    <w:p w14:paraId="13C2ECDF">
      <w:pPr>
        <w:pStyle w:val="27"/>
        <w:spacing w:line="500" w:lineRule="exact"/>
        <w:ind w:firstLine="602" w:firstLineChars="200"/>
        <w:jc w:val="both"/>
        <w:outlineLvl w:val="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二、</w:t>
      </w:r>
      <w:bookmarkStart w:id="452" w:name="_Toc13262"/>
      <w:r>
        <w:rPr>
          <w:rFonts w:hint="eastAsia" w:ascii="仿宋" w:hAnsi="仿宋" w:eastAsia="仿宋" w:cs="仿宋"/>
          <w:color w:val="000000" w:themeColor="text1"/>
          <w:highlight w:val="none"/>
          <w14:textFill>
            <w14:solidFill>
              <w14:schemeClr w14:val="tx1"/>
            </w14:solidFill>
          </w14:textFill>
        </w:rPr>
        <w:t>投标方案</w:t>
      </w:r>
      <w:bookmarkEnd w:id="452"/>
    </w:p>
    <w:p w14:paraId="0B94D6B9">
      <w:pPr>
        <w:spacing w:line="500" w:lineRule="exact"/>
        <w:ind w:firstLine="560"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参照招标文件第二章第八项《组织评标》各条款的要求，结合第四章《招标内容及采购要求》编制投标方案。</w:t>
      </w:r>
    </w:p>
    <w:p w14:paraId="1CEE385B">
      <w:pPr>
        <w:spacing w:line="500" w:lineRule="exact"/>
        <w:rPr>
          <w:rFonts w:ascii="仿宋" w:hAnsi="仿宋" w:eastAsia="仿宋" w:cs="仿宋"/>
          <w:b/>
          <w:bCs/>
          <w:color w:val="000000" w:themeColor="text1"/>
          <w:sz w:val="32"/>
          <w:szCs w:val="32"/>
          <w:highlight w:val="none"/>
          <w14:textFill>
            <w14:solidFill>
              <w14:schemeClr w14:val="tx1"/>
            </w14:solidFill>
          </w14:textFill>
        </w:rPr>
      </w:pPr>
    </w:p>
    <w:p w14:paraId="3BC831CC">
      <w:pPr>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page"/>
      </w:r>
    </w:p>
    <w:p w14:paraId="5C9E5F91">
      <w:pPr>
        <w:spacing w:line="500" w:lineRule="exact"/>
        <w:ind w:firstLine="602" w:firstLineChars="20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三、参考样表</w:t>
      </w:r>
    </w:p>
    <w:p w14:paraId="61150A56">
      <w:pPr>
        <w:spacing w:line="500" w:lineRule="exact"/>
        <w:ind w:firstLine="562" w:firstLineChars="200"/>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业绩合同样表（仅供参考）</w:t>
      </w:r>
    </w:p>
    <w:tbl>
      <w:tblPr>
        <w:tblStyle w:val="1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14:paraId="65AE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56DB5F9F">
            <w:pPr>
              <w:widowControl w:val="0"/>
              <w:adjustRightInd w:val="0"/>
              <w:snapToGrid w:val="0"/>
              <w:spacing w:line="440" w:lineRule="exact"/>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1736" w:type="dxa"/>
            <w:vAlign w:val="center"/>
          </w:tcPr>
          <w:p w14:paraId="1C376211">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采购单位名称</w:t>
            </w:r>
          </w:p>
        </w:tc>
        <w:tc>
          <w:tcPr>
            <w:tcW w:w="1701" w:type="dxa"/>
            <w:vAlign w:val="center"/>
          </w:tcPr>
          <w:p w14:paraId="2411F99F">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合同名称</w:t>
            </w:r>
          </w:p>
        </w:tc>
        <w:tc>
          <w:tcPr>
            <w:tcW w:w="2557" w:type="dxa"/>
            <w:vAlign w:val="center"/>
          </w:tcPr>
          <w:p w14:paraId="07D7FE9C">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合同起止时间</w:t>
            </w:r>
          </w:p>
        </w:tc>
        <w:tc>
          <w:tcPr>
            <w:tcW w:w="1984" w:type="dxa"/>
            <w:vAlign w:val="center"/>
          </w:tcPr>
          <w:p w14:paraId="419CDF72">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合同金额（万元）</w:t>
            </w:r>
          </w:p>
        </w:tc>
      </w:tr>
      <w:tr w14:paraId="3B12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58B1076F">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736" w:type="dxa"/>
            <w:vAlign w:val="center"/>
          </w:tcPr>
          <w:p w14:paraId="2F689374">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701" w:type="dxa"/>
            <w:vAlign w:val="center"/>
          </w:tcPr>
          <w:p w14:paraId="0DC04073">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557" w:type="dxa"/>
            <w:vAlign w:val="center"/>
          </w:tcPr>
          <w:p w14:paraId="2DC1098E">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984" w:type="dxa"/>
            <w:vAlign w:val="center"/>
          </w:tcPr>
          <w:p w14:paraId="7060732E">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r>
      <w:tr w14:paraId="3B90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44FA1C7B">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736" w:type="dxa"/>
            <w:vAlign w:val="center"/>
          </w:tcPr>
          <w:p w14:paraId="4D6D5226">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701" w:type="dxa"/>
            <w:vAlign w:val="center"/>
          </w:tcPr>
          <w:p w14:paraId="6CE929FD">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557" w:type="dxa"/>
            <w:vAlign w:val="center"/>
          </w:tcPr>
          <w:p w14:paraId="760188CC">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984" w:type="dxa"/>
            <w:vAlign w:val="center"/>
          </w:tcPr>
          <w:p w14:paraId="559EE4DB">
            <w:pPr>
              <w:widowControl w:val="0"/>
              <w:spacing w:line="440" w:lineRule="exact"/>
              <w:jc w:val="center"/>
              <w:rPr>
                <w:rFonts w:ascii="仿宋" w:hAnsi="仿宋" w:eastAsia="仿宋" w:cs="仿宋"/>
                <w:color w:val="000000" w:themeColor="text1"/>
                <w:sz w:val="24"/>
                <w:szCs w:val="24"/>
                <w:highlight w:val="none"/>
                <w14:textFill>
                  <w14:solidFill>
                    <w14:schemeClr w14:val="tx1"/>
                  </w14:solidFill>
                </w14:textFill>
              </w:rPr>
            </w:pPr>
          </w:p>
        </w:tc>
      </w:tr>
      <w:tr w14:paraId="352D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14:paraId="0DF078E6">
            <w:pPr>
              <w:widowControl w:val="0"/>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数量合计（个）</w:t>
            </w:r>
            <w:r>
              <w:rPr>
                <w:rFonts w:hint="eastAsia" w:ascii="仿宋" w:hAnsi="仿宋" w:eastAsia="仿宋" w:cs="仿宋"/>
                <w:color w:val="000000" w:themeColor="text1"/>
                <w:sz w:val="24"/>
                <w:szCs w:val="24"/>
                <w:highlight w:val="none"/>
                <w14:textFill>
                  <w14:solidFill>
                    <w14:schemeClr w14:val="tx1"/>
                  </w14:solidFill>
                </w14:textFill>
              </w:rPr>
              <w:t>：</w:t>
            </w:r>
          </w:p>
        </w:tc>
      </w:tr>
    </w:tbl>
    <w:p w14:paraId="20500D14">
      <w:pPr>
        <w:tabs>
          <w:tab w:val="right" w:pos="9070"/>
        </w:tabs>
        <w:snapToGrid w:val="0"/>
        <w:spacing w:line="480" w:lineRule="exact"/>
        <w:ind w:left="560" w:leftChars="200"/>
        <w:rPr>
          <w:rFonts w:ascii="仿宋" w:hAnsi="仿宋" w:eastAsia="仿宋" w:cs="仿宋"/>
          <w:b/>
          <w:bCs/>
          <w:color w:val="000000" w:themeColor="text1"/>
          <w:highlight w:val="none"/>
          <w14:textFill>
            <w14:solidFill>
              <w14:schemeClr w14:val="tx1"/>
            </w14:solidFill>
          </w14:textFill>
        </w:rPr>
      </w:pPr>
    </w:p>
    <w:p w14:paraId="1EA3F36C">
      <w:pPr>
        <w:rPr>
          <w:rFonts w:ascii="仿宋" w:hAnsi="仿宋" w:eastAsia="仿宋" w:cs="仿宋"/>
          <w:color w:val="000000" w:themeColor="text1"/>
          <w:highlight w:val="none"/>
          <w14:textFill>
            <w14:solidFill>
              <w14:schemeClr w14:val="tx1"/>
            </w14:solidFill>
          </w14:textFill>
        </w:rPr>
      </w:pPr>
    </w:p>
    <w:p w14:paraId="6E762DA1"/>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7606C7-39DB-4908-A8F1-AAF5E1ADAE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embedRegular r:id="rId2" w:fontKey="{7C08E825-DE9B-41BC-89F1-8C60AFD1727F}"/>
  </w:font>
  <w:font w:name="华文仿宋">
    <w:panose1 w:val="02010600040101010101"/>
    <w:charset w:val="86"/>
    <w:family w:val="auto"/>
    <w:pitch w:val="default"/>
    <w:sig w:usb0="00000287" w:usb1="080F0000" w:usb2="00000000" w:usb3="00000000" w:csb0="0004009F" w:csb1="DFD70000"/>
    <w:embedRegular r:id="rId3" w:fontKey="{4CA65201-3016-49EB-9C67-AC9758A2C03C}"/>
  </w:font>
  <w:font w:name="仿宋">
    <w:panose1 w:val="02010609060101010101"/>
    <w:charset w:val="86"/>
    <w:family w:val="modern"/>
    <w:pitch w:val="default"/>
    <w:sig w:usb0="800002BF" w:usb1="38CF7CFA" w:usb2="00000016" w:usb3="00000000" w:csb0="00040001" w:csb1="00000000"/>
    <w:embedRegular r:id="rId4" w:fontKey="{EF63749D-D706-4899-9626-EE025291FBCB}"/>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5" w:fontKey="{34B60500-1DB9-4530-99EF-852DDD60697D}"/>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BBF8">
    <w:pPr>
      <w:pStyle w:val="10"/>
      <w:jc w:val="center"/>
      <w:rPr>
        <w:sz w:val="21"/>
        <w:szCs w:val="21"/>
      </w:rPr>
    </w:pPr>
  </w:p>
  <w:p w14:paraId="6C3703C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4A44">
    <w:pPr>
      <w:pStyle w:val="10"/>
      <w:jc w:val="center"/>
      <w:rPr>
        <w:sz w:val="21"/>
        <w:szCs w:val="21"/>
      </w:rPr>
    </w:pPr>
  </w:p>
  <w:p w14:paraId="3D24A76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65C5">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AFAA8">
                          <w:pPr>
                            <w:pStyle w:val="10"/>
                          </w:pPr>
                          <w:r>
                            <w:t xml:space="preserve">第 </w:t>
                          </w:r>
                          <w:r>
                            <w:fldChar w:fldCharType="begin"/>
                          </w:r>
                          <w:r>
                            <w:instrText xml:space="preserve"> PAGE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2AFAA8">
                    <w:pPr>
                      <w:pStyle w:val="10"/>
                    </w:pPr>
                    <w:r>
                      <w:t xml:space="preserve">第 </w:t>
                    </w:r>
                    <w:r>
                      <w:fldChar w:fldCharType="begin"/>
                    </w:r>
                    <w:r>
                      <w:instrText xml:space="preserve"> PAGE  \* MERGEFORMAT </w:instrText>
                    </w:r>
                    <w:r>
                      <w:fldChar w:fldCharType="separate"/>
                    </w:r>
                    <w:r>
                      <w:t>75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2E8C8">
    <w:pPr>
      <w:pStyle w:val="10"/>
      <w:tabs>
        <w:tab w:val="center" w:pos="4536"/>
        <w:tab w:val="right" w:pos="10489"/>
        <w:tab w:val="clear" w:pos="4153"/>
        <w:tab w:val="clear" w:pos="8306"/>
      </w:tabs>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82104">
                          <w:pPr>
                            <w:pStyle w:val="10"/>
                          </w:pPr>
                          <w:r>
                            <w:t xml:space="preserve">第 </w:t>
                          </w:r>
                          <w:r>
                            <w:fldChar w:fldCharType="begin"/>
                          </w:r>
                          <w:r>
                            <w:instrText xml:space="preserve"> PAGE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E82104">
                    <w:pPr>
                      <w:pStyle w:val="10"/>
                    </w:pPr>
                    <w:r>
                      <w:t xml:space="preserve">第 </w:t>
                    </w:r>
                    <w:r>
                      <w:fldChar w:fldCharType="begin"/>
                    </w:r>
                    <w:r>
                      <w:instrText xml:space="preserve"> PAGE  \* MERGEFORMAT </w:instrText>
                    </w:r>
                    <w:r>
                      <w:fldChar w:fldCharType="separate"/>
                    </w:r>
                    <w:r>
                      <w:t>106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5B32">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899160</wp:posOffset>
              </wp:positionH>
              <wp:positionV relativeFrom="page">
                <wp:posOffset>729615</wp:posOffset>
              </wp:positionV>
              <wp:extent cx="5760720" cy="0"/>
              <wp:effectExtent l="0" t="4445" r="0" b="5080"/>
              <wp:wrapNone/>
              <wp:docPr id="2" name="直线 12"/>
              <wp:cNvGraphicFramePr/>
              <a:graphic xmlns:a="http://schemas.openxmlformats.org/drawingml/2006/main">
                <a:graphicData uri="http://schemas.microsoft.com/office/word/2010/wordprocessingShape">
                  <wps:wsp>
                    <wps:cNvCnPr/>
                    <wps:spPr>
                      <a:xfrm>
                        <a:off x="0" y="0"/>
                        <a:ext cx="576072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70.8pt;margin-top:57.45pt;height:0pt;width:453.6pt;mso-position-horizontal-relative:page;mso-position-vertical-relative:page;z-index:-251656192;mso-width-relative:page;mso-height-relative:page;" filled="f" stroked="t" coordsize="21600,21600" o:gfxdata="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PsqiDW&#10;AAAADAEAAA8AAAAAAAAAAQAgAAAAIgAAAGRycy9kb3ducmV2LnhtbFBLAQIUABQAAAAIAIdO4kD1&#10;LWDD6QEAANwDAAAOAAAAAAAAAAEAIAAAACUBAABkcnMvZTJvRG9jLnhtbFBLBQYAAAAABgAGAFkB&#10;AACABQ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2533650</wp:posOffset>
              </wp:positionH>
              <wp:positionV relativeFrom="page">
                <wp:posOffset>547370</wp:posOffset>
              </wp:positionV>
              <wp:extent cx="2491740" cy="158115"/>
              <wp:effectExtent l="0" t="0" r="0" b="0"/>
              <wp:wrapNone/>
              <wp:docPr id="5" name="文本框 13"/>
              <wp:cNvGraphicFramePr/>
              <a:graphic xmlns:a="http://schemas.openxmlformats.org/drawingml/2006/main">
                <a:graphicData uri="http://schemas.microsoft.com/office/word/2010/wordprocessingShape">
                  <wps:wsp>
                    <wps:cNvSpPr txBox="1"/>
                    <wps:spPr>
                      <a:xfrm>
                        <a:off x="0" y="0"/>
                        <a:ext cx="2491740" cy="158115"/>
                      </a:xfrm>
                      <a:prstGeom prst="rect">
                        <a:avLst/>
                      </a:prstGeom>
                      <a:noFill/>
                      <a:ln>
                        <a:noFill/>
                      </a:ln>
                    </wps:spPr>
                    <wps:txbx>
                      <w:txbxContent>
                        <w:p w14:paraId="4F94748C">
                          <w:pPr>
                            <w:spacing w:before="0" w:line="249" w:lineRule="exact"/>
                            <w:ind w:left="20" w:right="0" w:firstLine="0"/>
                            <w:jc w:val="left"/>
                            <w:rPr>
                              <w:spacing w:val="-10"/>
                              <w:sz w:val="21"/>
                            </w:rPr>
                          </w:pPr>
                          <w:r>
                            <w:rPr>
                              <w:rFonts w:hint="eastAsia"/>
                              <w:spacing w:val="-10"/>
                              <w:sz w:val="21"/>
                            </w:rPr>
                            <w:t>杨凌职业技术学院2026年物业服务项目</w:t>
                          </w:r>
                        </w:p>
                      </w:txbxContent>
                    </wps:txbx>
                    <wps:bodyPr lIns="0" tIns="0" rIns="0" bIns="0" upright="1"/>
                  </wps:wsp>
                </a:graphicData>
              </a:graphic>
            </wp:anchor>
          </w:drawing>
        </mc:Choice>
        <mc:Fallback>
          <w:pict>
            <v:shape id="文本框 13" o:spid="_x0000_s1026" o:spt="202" type="#_x0000_t202" style="position:absolute;left:0pt;margin-left:199.5pt;margin-top:43.1pt;height:12.45pt;width:196.2pt;mso-position-horizontal-relative:page;mso-position-vertical-relative:page;z-index:-251655168;mso-width-relative:page;mso-height-relative:page;" filled="f" stroked="f" coordsize="21600,21600" o:gfxdata="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yKIb2AAAAAoBAAAPAAAAAAAAAAEAIAAAACIAAABkcnMvZG93bnJldi54bWxQSwEC&#10;FAAUAAAACACHTuJASeuTUbsBAABzAwAADgAAAAAAAAABACAAAAAnAQAAZHJzL2Uyb0RvYy54bWxQ&#10;SwUGAAAAAAYABgBZAQAAVAUAAAAA&#10;">
              <v:fill on="f" focussize="0,0"/>
              <v:stroke on="f"/>
              <v:imagedata o:title=""/>
              <o:lock v:ext="edit" aspectratio="f"/>
              <v:textbox inset="0mm,0mm,0mm,0mm">
                <w:txbxContent>
                  <w:p w14:paraId="4F94748C">
                    <w:pPr>
                      <w:spacing w:before="0" w:line="249" w:lineRule="exact"/>
                      <w:ind w:left="20" w:right="0" w:firstLine="0"/>
                      <w:jc w:val="left"/>
                      <w:rPr>
                        <w:spacing w:val="-10"/>
                        <w:sz w:val="21"/>
                      </w:rPr>
                    </w:pPr>
                    <w:r>
                      <w:rPr>
                        <w:rFonts w:hint="eastAsia"/>
                        <w:spacing w:val="-10"/>
                        <w:sz w:val="21"/>
                      </w:rPr>
                      <w:t>杨凌职业技术学院2026年物业服务项目</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59649"/>
    <w:multiLevelType w:val="singleLevel"/>
    <w:tmpl w:val="F1859649"/>
    <w:lvl w:ilvl="0" w:tentative="0">
      <w:start w:val="1"/>
      <w:numFmt w:val="decimal"/>
      <w:suff w:val="nothing"/>
      <w:lvlText w:val="%1、"/>
      <w:lvlJc w:val="left"/>
    </w:lvl>
  </w:abstractNum>
  <w:abstractNum w:abstractNumId="1">
    <w:nsid w:val="FAC43190"/>
    <w:multiLevelType w:val="singleLevel"/>
    <w:tmpl w:val="FAC43190"/>
    <w:lvl w:ilvl="0" w:tentative="0">
      <w:start w:val="1"/>
      <w:numFmt w:val="decimal"/>
      <w:suff w:val="nothing"/>
      <w:lvlText w:val="%1、"/>
      <w:lvlJc w:val="left"/>
    </w:lvl>
  </w:abstractNum>
  <w:abstractNum w:abstractNumId="2">
    <w:nsid w:val="0CE9CCE5"/>
    <w:multiLevelType w:val="singleLevel"/>
    <w:tmpl w:val="0CE9CCE5"/>
    <w:lvl w:ilvl="0" w:tentative="0">
      <w:start w:val="16"/>
      <w:numFmt w:val="chineseCounting"/>
      <w:suff w:val="nothing"/>
      <w:lvlText w:val="（%1）"/>
      <w:lvlJc w:val="left"/>
      <w:rPr>
        <w:rFonts w:hint="eastAsia"/>
      </w:rPr>
    </w:lvl>
  </w:abstractNum>
  <w:abstractNum w:abstractNumId="3">
    <w:nsid w:val="5CC125A1"/>
    <w:multiLevelType w:val="singleLevel"/>
    <w:tmpl w:val="5CC125A1"/>
    <w:lvl w:ilvl="0" w:tentative="0">
      <w:start w:val="2"/>
      <w:numFmt w:val="decimal"/>
      <w:suff w:val="nothing"/>
      <w:lvlText w:val="%1、"/>
      <w:lvlJc w:val="left"/>
      <w:rPr>
        <w:rFonts w:hint="default" w:ascii="华文仿宋" w:hAnsi="华文仿宋" w:eastAsia="华文仿宋" w:cs="华文仿宋"/>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67769"/>
    <w:rsid w:val="00443541"/>
    <w:rsid w:val="0047478A"/>
    <w:rsid w:val="01457570"/>
    <w:rsid w:val="01D30C81"/>
    <w:rsid w:val="025B428E"/>
    <w:rsid w:val="02745B3E"/>
    <w:rsid w:val="046046C1"/>
    <w:rsid w:val="0462668B"/>
    <w:rsid w:val="060F2843"/>
    <w:rsid w:val="06982838"/>
    <w:rsid w:val="07EC0AAF"/>
    <w:rsid w:val="08071A24"/>
    <w:rsid w:val="080B0983"/>
    <w:rsid w:val="08772741"/>
    <w:rsid w:val="08907C6B"/>
    <w:rsid w:val="089805D5"/>
    <w:rsid w:val="09A877EA"/>
    <w:rsid w:val="09B90AFC"/>
    <w:rsid w:val="0ABE2142"/>
    <w:rsid w:val="0AD83203"/>
    <w:rsid w:val="0B2810AF"/>
    <w:rsid w:val="0B61144B"/>
    <w:rsid w:val="0B70168E"/>
    <w:rsid w:val="0C1163E6"/>
    <w:rsid w:val="0C3C3C66"/>
    <w:rsid w:val="0CBE7DA9"/>
    <w:rsid w:val="110D13B1"/>
    <w:rsid w:val="119D6F55"/>
    <w:rsid w:val="11E44B84"/>
    <w:rsid w:val="13427DB4"/>
    <w:rsid w:val="134E6759"/>
    <w:rsid w:val="137B2AD9"/>
    <w:rsid w:val="1457788F"/>
    <w:rsid w:val="14861F22"/>
    <w:rsid w:val="14E46C49"/>
    <w:rsid w:val="15323E58"/>
    <w:rsid w:val="15B03986"/>
    <w:rsid w:val="160A0507"/>
    <w:rsid w:val="16D525BF"/>
    <w:rsid w:val="19630A84"/>
    <w:rsid w:val="1A8C400A"/>
    <w:rsid w:val="1AC34381"/>
    <w:rsid w:val="1AFF29CD"/>
    <w:rsid w:val="1B446693"/>
    <w:rsid w:val="1E733517"/>
    <w:rsid w:val="1EB65EEE"/>
    <w:rsid w:val="1ED03A72"/>
    <w:rsid w:val="1EF51137"/>
    <w:rsid w:val="1F7312F5"/>
    <w:rsid w:val="20C938C2"/>
    <w:rsid w:val="220B7F0B"/>
    <w:rsid w:val="22647744"/>
    <w:rsid w:val="227E06DD"/>
    <w:rsid w:val="2355768F"/>
    <w:rsid w:val="23947CBC"/>
    <w:rsid w:val="24217571"/>
    <w:rsid w:val="24635DDC"/>
    <w:rsid w:val="2479115B"/>
    <w:rsid w:val="264D28A0"/>
    <w:rsid w:val="27010CE7"/>
    <w:rsid w:val="2705317A"/>
    <w:rsid w:val="29345FFE"/>
    <w:rsid w:val="29B906C4"/>
    <w:rsid w:val="29E17ECF"/>
    <w:rsid w:val="2A093A87"/>
    <w:rsid w:val="2B1E71B6"/>
    <w:rsid w:val="2B6E5792"/>
    <w:rsid w:val="2B8054C5"/>
    <w:rsid w:val="2C0B2FE1"/>
    <w:rsid w:val="2CFE66A2"/>
    <w:rsid w:val="2D3E2F42"/>
    <w:rsid w:val="2EF20488"/>
    <w:rsid w:val="2F7E7F6E"/>
    <w:rsid w:val="2F917CA1"/>
    <w:rsid w:val="300C557A"/>
    <w:rsid w:val="3133620C"/>
    <w:rsid w:val="31436D79"/>
    <w:rsid w:val="314B0E46"/>
    <w:rsid w:val="31C12394"/>
    <w:rsid w:val="31CF2D03"/>
    <w:rsid w:val="31D5585A"/>
    <w:rsid w:val="324803BF"/>
    <w:rsid w:val="32DC18F4"/>
    <w:rsid w:val="32FC0594"/>
    <w:rsid w:val="337C6572"/>
    <w:rsid w:val="34347919"/>
    <w:rsid w:val="34365044"/>
    <w:rsid w:val="34790279"/>
    <w:rsid w:val="34FB1589"/>
    <w:rsid w:val="36EB413B"/>
    <w:rsid w:val="36F823B4"/>
    <w:rsid w:val="36FD3E6E"/>
    <w:rsid w:val="38507FCD"/>
    <w:rsid w:val="38C22C79"/>
    <w:rsid w:val="3905525C"/>
    <w:rsid w:val="39653AC8"/>
    <w:rsid w:val="3AB24F6F"/>
    <w:rsid w:val="3AD57AD7"/>
    <w:rsid w:val="3AD849D6"/>
    <w:rsid w:val="3C6E4EC6"/>
    <w:rsid w:val="3C7F0E81"/>
    <w:rsid w:val="3DF338D5"/>
    <w:rsid w:val="3E75078E"/>
    <w:rsid w:val="3EE75890"/>
    <w:rsid w:val="40491ED2"/>
    <w:rsid w:val="405F16F6"/>
    <w:rsid w:val="40721429"/>
    <w:rsid w:val="41DB1428"/>
    <w:rsid w:val="42BC2E2F"/>
    <w:rsid w:val="43A538C3"/>
    <w:rsid w:val="44885B0E"/>
    <w:rsid w:val="45CA7DCF"/>
    <w:rsid w:val="477B5067"/>
    <w:rsid w:val="481F6BE4"/>
    <w:rsid w:val="492D2391"/>
    <w:rsid w:val="49E62540"/>
    <w:rsid w:val="4A4D0811"/>
    <w:rsid w:val="4A7C70FA"/>
    <w:rsid w:val="4B296B2D"/>
    <w:rsid w:val="4B2F1009"/>
    <w:rsid w:val="4B3C4B0D"/>
    <w:rsid w:val="4B7342A7"/>
    <w:rsid w:val="4B8B786F"/>
    <w:rsid w:val="4BE96317"/>
    <w:rsid w:val="4C456DEF"/>
    <w:rsid w:val="4DD70B1D"/>
    <w:rsid w:val="4E165AE9"/>
    <w:rsid w:val="4E557C94"/>
    <w:rsid w:val="4EA672BC"/>
    <w:rsid w:val="4EC57423"/>
    <w:rsid w:val="4EFB6A8D"/>
    <w:rsid w:val="516A1CA8"/>
    <w:rsid w:val="51A42299"/>
    <w:rsid w:val="51C951A8"/>
    <w:rsid w:val="51ED4DB3"/>
    <w:rsid w:val="52644984"/>
    <w:rsid w:val="526F3282"/>
    <w:rsid w:val="52CA7D2F"/>
    <w:rsid w:val="52F201A7"/>
    <w:rsid w:val="53A019B1"/>
    <w:rsid w:val="53D1600F"/>
    <w:rsid w:val="54C70340"/>
    <w:rsid w:val="57140F31"/>
    <w:rsid w:val="59305585"/>
    <w:rsid w:val="59A26483"/>
    <w:rsid w:val="5A691B01"/>
    <w:rsid w:val="5B027B34"/>
    <w:rsid w:val="5CCC1A69"/>
    <w:rsid w:val="5DA86032"/>
    <w:rsid w:val="5E257683"/>
    <w:rsid w:val="5EE67769"/>
    <w:rsid w:val="5F105C3D"/>
    <w:rsid w:val="5FDF3861"/>
    <w:rsid w:val="60570B09"/>
    <w:rsid w:val="60EC4488"/>
    <w:rsid w:val="61C34F67"/>
    <w:rsid w:val="62745B3B"/>
    <w:rsid w:val="64D42A46"/>
    <w:rsid w:val="66C37A39"/>
    <w:rsid w:val="67852F40"/>
    <w:rsid w:val="67E97973"/>
    <w:rsid w:val="685B5802"/>
    <w:rsid w:val="6B8A233D"/>
    <w:rsid w:val="6B916358"/>
    <w:rsid w:val="6D5D3C94"/>
    <w:rsid w:val="6E8421A4"/>
    <w:rsid w:val="6F751AEC"/>
    <w:rsid w:val="71973F9C"/>
    <w:rsid w:val="72895FDA"/>
    <w:rsid w:val="73ED2599"/>
    <w:rsid w:val="76F123A0"/>
    <w:rsid w:val="77644920"/>
    <w:rsid w:val="776B60B0"/>
    <w:rsid w:val="776E1C43"/>
    <w:rsid w:val="786A240A"/>
    <w:rsid w:val="78FD6DDA"/>
    <w:rsid w:val="79D57D57"/>
    <w:rsid w:val="7C5C02BC"/>
    <w:rsid w:val="7C647999"/>
    <w:rsid w:val="7C9064ED"/>
    <w:rsid w:val="7DF6029C"/>
    <w:rsid w:val="7EA81A99"/>
    <w:rsid w:val="7F842003"/>
    <w:rsid w:val="7FD837E3"/>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qFormat/>
    <w:uiPriority w:val="99"/>
    <w:pPr>
      <w:keepNext/>
      <w:keepLines/>
      <w:spacing w:line="240" w:lineRule="auto"/>
      <w:jc w:val="center"/>
      <w:outlineLvl w:val="0"/>
    </w:pPr>
    <w:rPr>
      <w:rFonts w:eastAsia="仿宋"/>
      <w:b/>
      <w:bCs/>
      <w:color w:val="000000"/>
      <w:kern w:val="44"/>
      <w:sz w:val="36"/>
      <w:szCs w:val="36"/>
    </w:rPr>
  </w:style>
  <w:style w:type="paragraph" w:styleId="4">
    <w:name w:val="heading 2"/>
    <w:basedOn w:val="1"/>
    <w:next w:val="5"/>
    <w:link w:val="25"/>
    <w:qFormat/>
    <w:uiPriority w:val="99"/>
    <w:pPr>
      <w:keepNext/>
      <w:keepLines/>
      <w:spacing w:line="240" w:lineRule="auto"/>
      <w:outlineLvl w:val="1"/>
    </w:pPr>
    <w:rPr>
      <w:rFonts w:ascii="Calibri" w:hAnsi="Calibri" w:cs="Calibri"/>
      <w:b/>
      <w:bCs/>
      <w:sz w:val="32"/>
      <w:szCs w:val="32"/>
    </w:rPr>
  </w:style>
  <w:style w:type="paragraph" w:styleId="6">
    <w:name w:val="heading 3"/>
    <w:basedOn w:val="1"/>
    <w:next w:val="1"/>
    <w:qFormat/>
    <w:uiPriority w:val="99"/>
    <w:pPr>
      <w:keepNext/>
      <w:keepLines/>
      <w:spacing w:line="400" w:lineRule="atLeast"/>
      <w:jc w:val="center"/>
      <w:outlineLvl w:val="2"/>
    </w:pPr>
    <w:rPr>
      <w:b/>
      <w:bCs/>
      <w:sz w:val="32"/>
      <w:szCs w:val="32"/>
      <w:u w:val="double"/>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Lines="50" w:line="360" w:lineRule="auto"/>
    </w:pPr>
    <w:rPr>
      <w:rFonts w:ascii="宋体" w:hAnsi="宋体" w:cs="宋体"/>
      <w:color w:val="000000"/>
      <w:sz w:val="24"/>
      <w:szCs w:val="24"/>
    </w:rPr>
  </w:style>
  <w:style w:type="paragraph" w:styleId="5">
    <w:name w:val="Normal Indent"/>
    <w:basedOn w:val="1"/>
    <w:qFormat/>
    <w:uiPriority w:val="99"/>
    <w:pPr>
      <w:ind w:firstLine="420"/>
    </w:pPr>
  </w:style>
  <w:style w:type="paragraph" w:styleId="7">
    <w:name w:val="annotation text"/>
    <w:basedOn w:val="1"/>
    <w:qFormat/>
    <w:uiPriority w:val="0"/>
    <w:pPr>
      <w:jc w:val="left"/>
    </w:pPr>
  </w:style>
  <w:style w:type="paragraph" w:styleId="8">
    <w:name w:val="Body Text Indent"/>
    <w:basedOn w:val="1"/>
    <w:next w:val="9"/>
    <w:unhideWhenUsed/>
    <w:qFormat/>
    <w:uiPriority w:val="99"/>
    <w:pPr>
      <w:spacing w:after="120"/>
      <w:ind w:left="420" w:leftChars="200"/>
    </w:pPr>
  </w:style>
  <w:style w:type="paragraph" w:styleId="9">
    <w:name w:val="envelope return"/>
    <w:basedOn w:val="1"/>
    <w:unhideWhenUsed/>
    <w:qFormat/>
    <w:uiPriority w:val="0"/>
    <w:pPr>
      <w:snapToGrid w:val="0"/>
    </w:pPr>
    <w:rPr>
      <w:rFonts w:ascii="Arial" w:hAnsi="Arial"/>
    </w:rPr>
  </w:style>
  <w:style w:type="paragraph" w:styleId="10">
    <w:name w:val="footer"/>
    <w:basedOn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11">
    <w:name w:val="header"/>
    <w:basedOn w:val="1"/>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12">
    <w:name w:val="toc 1"/>
    <w:basedOn w:val="1"/>
    <w:next w:val="1"/>
    <w:semiHidden/>
    <w:qFormat/>
    <w:uiPriority w:val="99"/>
  </w:style>
  <w:style w:type="paragraph" w:styleId="13">
    <w:name w:val="toc 2"/>
    <w:basedOn w:val="1"/>
    <w:next w:val="1"/>
    <w:semiHidden/>
    <w:qFormat/>
    <w:uiPriority w:val="99"/>
    <w:pPr>
      <w:ind w:left="420" w:leftChars="200"/>
    </w:pPr>
  </w:style>
  <w:style w:type="paragraph" w:styleId="14">
    <w:name w:val="Normal (Web)"/>
    <w:basedOn w:val="1"/>
    <w:qFormat/>
    <w:uiPriority w:val="99"/>
    <w:pPr>
      <w:spacing w:beforeAutospacing="1" w:afterAutospacing="1"/>
      <w:jc w:val="left"/>
    </w:pPr>
    <w:rPr>
      <w:kern w:val="0"/>
      <w:sz w:val="24"/>
      <w:szCs w:val="24"/>
    </w:rPr>
  </w:style>
  <w:style w:type="paragraph" w:styleId="15">
    <w:name w:val="Body Text First Indent"/>
    <w:basedOn w:val="2"/>
    <w:next w:val="16"/>
    <w:qFormat/>
    <w:uiPriority w:val="99"/>
    <w:pPr>
      <w:spacing w:afterLines="0" w:line="240" w:lineRule="auto"/>
      <w:ind w:firstLine="420" w:firstLineChars="100"/>
    </w:pPr>
    <w:rPr>
      <w:rFonts w:ascii="Times New Roman" w:hAnsi="Times New Roman" w:cs="Times New Roman"/>
      <w:color w:val="auto"/>
      <w:sz w:val="18"/>
      <w:szCs w:val="18"/>
    </w:rPr>
  </w:style>
  <w:style w:type="paragraph" w:styleId="16">
    <w:name w:val="Body Text First Indent 2"/>
    <w:basedOn w:val="8"/>
    <w:next w:val="1"/>
    <w:qFormat/>
    <w:uiPriority w:val="0"/>
    <w:pPr>
      <w:tabs>
        <w:tab w:val="left" w:pos="0"/>
      </w:tabs>
      <w:spacing w:line="240" w:lineRule="auto"/>
      <w:ind w:firstLine="420" w:firstLineChars="200"/>
    </w:pPr>
    <w:rPr>
      <w:rFonts w:eastAsia="楷体_GB2312"/>
      <w:b/>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00"/>
      <w:sz w:val="18"/>
      <w:szCs w:val="18"/>
      <w:u w:val="none"/>
    </w:rPr>
  </w:style>
  <w:style w:type="paragraph" w:customStyle="1" w:styleId="21">
    <w:name w:val="正文（缩进 4 字符）"/>
    <w:basedOn w:val="1"/>
    <w:qFormat/>
    <w:uiPriority w:val="99"/>
    <w:pPr>
      <w:ind w:firstLine="1134" w:firstLineChars="400"/>
    </w:pPr>
  </w:style>
  <w:style w:type="paragraph" w:customStyle="1" w:styleId="22">
    <w:name w:val="Other|1"/>
    <w:basedOn w:val="1"/>
    <w:qFormat/>
    <w:uiPriority w:val="0"/>
    <w:pPr>
      <w:widowControl w:val="0"/>
      <w:spacing w:line="384" w:lineRule="auto"/>
      <w:ind w:firstLine="400"/>
    </w:pPr>
    <w:rPr>
      <w:rFonts w:ascii="宋体" w:hAnsi="宋体" w:eastAsia="宋体" w:cs="宋体"/>
      <w:lang w:val="zh-TW" w:eastAsia="zh-TW" w:bidi="zh-TW"/>
    </w:rPr>
  </w:style>
  <w:style w:type="paragraph" w:customStyle="1" w:styleId="23">
    <w:name w:val="Table Paragraph"/>
    <w:basedOn w:val="1"/>
    <w:qFormat/>
    <w:uiPriority w:val="1"/>
    <w:pPr>
      <w:autoSpaceDE w:val="0"/>
      <w:autoSpaceDN w:val="0"/>
      <w:jc w:val="left"/>
    </w:pPr>
    <w:rPr>
      <w:rFonts w:ascii="仿宋" w:hAnsi="仿宋" w:eastAsia="仿宋" w:cs="仿宋"/>
      <w:kern w:val="0"/>
      <w:sz w:val="22"/>
      <w:szCs w:val="22"/>
    </w:rPr>
  </w:style>
  <w:style w:type="table" w:customStyle="1" w:styleId="24">
    <w:name w:val="Table Normal"/>
    <w:unhideWhenUsed/>
    <w:qFormat/>
    <w:uiPriority w:val="2"/>
    <w:tblPr>
      <w:tblCellMar>
        <w:top w:w="0" w:type="dxa"/>
        <w:left w:w="0" w:type="dxa"/>
        <w:bottom w:w="0" w:type="dxa"/>
        <w:right w:w="0" w:type="dxa"/>
      </w:tblCellMar>
    </w:tblPr>
  </w:style>
  <w:style w:type="character" w:customStyle="1" w:styleId="25">
    <w:name w:val="标题 2 字符"/>
    <w:link w:val="4"/>
    <w:qFormat/>
    <w:uiPriority w:val="9"/>
    <w:rPr>
      <w:rFonts w:ascii="Calibri" w:hAnsi="Calibri" w:cs="Calibri"/>
      <w:b/>
      <w:bCs/>
      <w:sz w:val="32"/>
      <w:szCs w:val="32"/>
    </w:rPr>
  </w:style>
  <w:style w:type="paragraph" w:customStyle="1" w:styleId="26">
    <w:name w:val="正文（缩进 2 字符）"/>
    <w:basedOn w:val="1"/>
    <w:qFormat/>
    <w:uiPriority w:val="99"/>
    <w:pPr>
      <w:ind w:firstLine="200" w:firstLineChars="200"/>
    </w:pPr>
  </w:style>
  <w:style w:type="paragraph" w:customStyle="1" w:styleId="27">
    <w:name w:val="标题 2（投标文件）"/>
    <w:basedOn w:val="4"/>
    <w:qFormat/>
    <w:uiPriority w:val="99"/>
    <w:pPr>
      <w:jc w:val="center"/>
    </w:pPr>
  </w:style>
  <w:style w:type="paragraph" w:customStyle="1" w:styleId="28">
    <w:name w:val="标题 3（投标文件）"/>
    <w:basedOn w:val="6"/>
    <w:qFormat/>
    <w:uiPriority w:val="99"/>
    <w:pPr>
      <w:jc w:val="left"/>
    </w:pPr>
    <w:rPr>
      <w:u w:val="none"/>
    </w:rPr>
  </w:style>
  <w:style w:type="paragraph" w:customStyle="1" w:styleId="29">
    <w:name w:val="正文文本 31"/>
    <w:basedOn w:val="1"/>
    <w:qFormat/>
    <w:uiPriority w:val="0"/>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14707</Words>
  <Characters>15671</Characters>
  <Lines>0</Lines>
  <Paragraphs>0</Paragraphs>
  <TotalTime>20</TotalTime>
  <ScaleCrop>false</ScaleCrop>
  <LinksUpToDate>false</LinksUpToDate>
  <CharactersWithSpaces>15744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2026-01-08T09:02:00Z</dcterms:created>
  <dc:creator>腼腆小马</dc:creator>
  <cp:lastModifiedBy>腼腆小马</cp:lastModifiedBy>
  <dcterms:modified xsi:type="dcterms:W3CDTF">2026-02-05T02:44:34Z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C3313F7A58B64238953B5A8D9F2639E8_13</vt:lpwstr>
  </property>
  <property fmtid="{D5CDD505-2E9C-101B-9397-08002B2CF9AE}" pid="4" name="KSOTemplateDocerSaveRecord">
    <vt:lpwstr>eyJoZGlkIjoiZTQ4Y2RkOTA1ZGE2MTQyMzIyZWY2NWQyNDA4MWRiMzUiLCJ1c2VySWQiOiIzNzMzMDk5MzUifQ==</vt:lpwstr>
  </property>
</Properties>
</file>