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0183">
      <w:pPr>
        <w:pStyle w:val="21"/>
        <w:spacing w:line="360" w:lineRule="auto"/>
        <w:ind w:firstLine="402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一、项目概况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：本次采购项目为西安市市场监督管理局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经开区分局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食堂食材采购及配送服务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10D983B8">
      <w:pPr>
        <w:pStyle w:val="21"/>
        <w:spacing w:line="360" w:lineRule="auto"/>
        <w:ind w:firstLine="402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二、服务人数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人（以实际就餐人数为准）。</w:t>
      </w:r>
    </w:p>
    <w:p w14:paraId="0B162B40">
      <w:pPr>
        <w:pStyle w:val="21"/>
        <w:spacing w:line="360" w:lineRule="auto"/>
        <w:ind w:firstLine="402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三、合同价款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：据实结算，不超过采购最高限价。</w:t>
      </w:r>
    </w:p>
    <w:p w14:paraId="27635B1B">
      <w:pPr>
        <w:pStyle w:val="21"/>
        <w:spacing w:line="360" w:lineRule="auto"/>
        <w:ind w:firstLine="402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四、工作目标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：为了进一步强化西安市市场监督管理局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经开区分局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食堂食品原料采购管理，促进食堂的规范化管理，确保就餐人员的安全、营养、健康。</w:t>
      </w:r>
    </w:p>
    <w:p w14:paraId="1E3A8551">
      <w:pPr>
        <w:pStyle w:val="21"/>
        <w:spacing w:line="360" w:lineRule="auto"/>
        <w:ind w:firstLine="402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五、配送原则与范围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：西安市市场监督管理局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经开区分局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食堂食材采购遵循公开透明、公平竞争、公正平等、诚实信用的原则，严格执行采购索证索票等溯源管理制度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能根据食堂要求的时间、准时配送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能应对临时加单、紧急需求等情况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配备专业的服务、配送、售后团队，沟通顺畅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按要求提供完整的随货单据、检验报告等文件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配合采购单位进行食材验收、库存管理、满意度调查等工作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遵守政府采购及合同管理的各项规定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60F24B22">
      <w:pPr>
        <w:pStyle w:val="21"/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  <w:lang w:eastAsia="zh-CN"/>
        </w:rPr>
        <w:t>●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/>
        </w:rPr>
        <w:t>具体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/>
        </w:rPr>
        <w:t>内容详见磋商文件。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8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8B5465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1C75CA"/>
    <w:rsid w:val="32863B5F"/>
    <w:rsid w:val="33E14065"/>
    <w:rsid w:val="34F44E31"/>
    <w:rsid w:val="35181061"/>
    <w:rsid w:val="36363D90"/>
    <w:rsid w:val="37011161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4BB11AC"/>
    <w:rsid w:val="554D5290"/>
    <w:rsid w:val="56296E24"/>
    <w:rsid w:val="569B4C2B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887601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6FE250E1"/>
    <w:rsid w:val="712227CC"/>
    <w:rsid w:val="72C930BC"/>
    <w:rsid w:val="72DF6A85"/>
    <w:rsid w:val="73AD0E78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spacing w:line="360" w:lineRule="auto"/>
      <w:jc w:val="both"/>
      <w:outlineLvl w:val="3"/>
    </w:pPr>
    <w:rPr>
      <w:rFonts w:ascii="仿宋" w:hAnsi="仿宋" w:cs="Arial"/>
      <w:b/>
      <w:snapToGrid w:val="0"/>
      <w:color w:val="000000"/>
      <w:szCs w:val="21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4">
    <w:name w:val="toc 1"/>
    <w:basedOn w:val="1"/>
    <w:next w:val="1"/>
    <w:qFormat/>
    <w:uiPriority w:val="0"/>
    <w:pPr>
      <w:spacing w:before="120" w:after="120"/>
    </w:pPr>
    <w:rPr>
      <w:rFonts w:ascii="仿宋" w:hAnsi="仿宋" w:eastAsia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7">
    <w:name w:val="标题 2 Char1"/>
    <w:link w:val="4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8">
    <w:name w:val="标题 3 Char"/>
    <w:basedOn w:val="16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1 Char"/>
    <w:basedOn w:val="16"/>
    <w:link w:val="3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20">
    <w:name w:val="标题 4 Char"/>
    <w:basedOn w:val="16"/>
    <w:link w:val="6"/>
    <w:qFormat/>
    <w:uiPriority w:val="0"/>
    <w:rPr>
      <w:rFonts w:ascii="宋体" w:hAnsi="宋体" w:eastAsia="宋体" w:cs="Arial"/>
      <w:b/>
      <w:snapToGrid w:val="0"/>
      <w:color w:val="000000"/>
      <w:kern w:val="0"/>
      <w:sz w:val="30"/>
      <w:szCs w:val="21"/>
      <w:u w:val="none"/>
      <w:lang w:val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356</Words>
  <Characters>358</Characters>
  <Lines>0</Lines>
  <Paragraphs>0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2026-03-10T09:42:51Z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