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蒲城县应急管理局渭北煤化工业园区重大安全风险防控项目网络安全等级测评、商用密码应用测评、第三方软件测评服务竞争性磋商公告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渭北煤化工业园区重大安全风险防控项目网络安全等级测评、商用密码应用测评、第三方软件测评服务</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2026年03月23日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项目编号：ZCXG-ZB-2026012</w:t>
      </w:r>
    </w:p>
    <w:p>
      <w:pPr>
        <w:pStyle w:val="null3"/>
      </w:pPr>
      <w:r>
        <w:rPr>
          <w:rFonts w:ascii="仿宋_GB2312" w:hAnsi="仿宋_GB2312" w:cs="仿宋_GB2312" w:eastAsia="仿宋_GB2312"/>
        </w:rPr>
        <w:t>项目名称：渭北煤化工业园区重大安全风险防控项目网络安全等级测评、商用密码应用测评、第三方软件测评服务</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预算金额：583,000.00元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采购包1：自合同签订后接到采购人通知之日起60日内。</w:t>
      </w:r>
    </w:p>
    <w:p>
      <w:pPr>
        <w:pStyle w:val="null3"/>
      </w:pPr>
      <w:r>
        <w:rPr>
          <w:rFonts w:ascii="仿宋_GB2312" w:hAnsi="仿宋_GB2312" w:cs="仿宋_GB2312" w:eastAsia="仿宋_GB2312"/>
        </w:rPr>
        <w:t>采购包2：自合同签订后接到采购人通知之日起60日内。</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pPr>
      <w:r>
        <w:rPr>
          <w:rFonts w:ascii="仿宋_GB2312" w:hAnsi="仿宋_GB2312" w:cs="仿宋_GB2312" w:eastAsia="仿宋_GB2312"/>
        </w:rPr>
        <w:t>采购包2：不接受联合体投标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合同包1(商用密码应用测评)落实政府采购政策需满足的资格要求如下: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合同包2(网络安全等级测评和第三方软件测评)落实政府采购政策需满足的资格要求如下: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合同包1(商用密码应用测评)特定资格要求如下:</w:t>
      </w:r>
    </w:p>
    <w:p>
      <w:pPr>
        <w:pStyle w:val="null3"/>
      </w:pPr>
      <w:r>
        <w:rPr>
          <w:rFonts w:ascii="仿宋_GB2312" w:hAnsi="仿宋_GB2312" w:cs="仿宋_GB2312" w:eastAsia="仿宋_GB2312"/>
        </w:rPr>
        <w:t>(1)具有独立承担民事责任能力的法人、其他组织或自然人 , 并出具合法有效的营业执照或事业单位法人证书等国家规定的相关证明， 自然人参与的提供其身份证明；</w:t>
      </w:r>
    </w:p>
    <w:p>
      <w:pPr>
        <w:pStyle w:val="null3"/>
      </w:pPr>
      <w:r>
        <w:rPr>
          <w:rFonts w:ascii="仿宋_GB2312" w:hAnsi="仿宋_GB2312" w:cs="仿宋_GB2312" w:eastAsia="仿宋_GB2312"/>
        </w:rPr>
        <w:t>(2)提供具有履行合同所必需的设备和专业技术能力的承诺；</w:t>
      </w:r>
    </w:p>
    <w:p>
      <w:pPr>
        <w:pStyle w:val="null3"/>
      </w:pPr>
      <w:r>
        <w:rPr>
          <w:rFonts w:ascii="仿宋_GB2312" w:hAnsi="仿宋_GB2312" w:cs="仿宋_GB2312" w:eastAsia="仿宋_GB2312"/>
        </w:rPr>
        <w:t>(3)参加政府采购活动前3年内，在经营活动中没有重大违法记录的书面声明；</w:t>
      </w:r>
    </w:p>
    <w:p>
      <w:pPr>
        <w:pStyle w:val="null3"/>
      </w:pPr>
      <w:r>
        <w:rPr>
          <w:rFonts w:ascii="仿宋_GB2312" w:hAnsi="仿宋_GB2312" w:cs="仿宋_GB2312" w:eastAsia="仿宋_GB2312"/>
        </w:rPr>
        <w:t>(4)提供响应时间前一年内已缴存的至少一个月的社会保障资金缴存单据或社保机构开具的社会保险参保缴费情况证明，依法不需要缴纳社会保障资金的单位应提供相关证明材料；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(5)提供响应时间前一年内已缴纳的至少一个月的纳税证明或完税证明，依法免税的单位应提供相关证明材料；</w:t>
      </w:r>
    </w:p>
    <w:p>
      <w:pPr>
        <w:pStyle w:val="null3"/>
      </w:pPr>
      <w:r>
        <w:rPr>
          <w:rFonts w:ascii="仿宋_GB2312" w:hAnsi="仿宋_GB2312" w:cs="仿宋_GB2312" w:eastAsia="仿宋_GB2312"/>
        </w:rPr>
        <w:t>(6)法定代表人授权书（附法定代表人、被授权人身份证复印件）（法定代表人直接参加的，须提供法定代表人身份证明），分支机构由负责人授权即可；</w:t>
      </w:r>
    </w:p>
    <w:p>
      <w:pPr>
        <w:pStyle w:val="null3"/>
      </w:pPr>
      <w:r>
        <w:rPr>
          <w:rFonts w:ascii="仿宋_GB2312" w:hAnsi="仿宋_GB2312" w:cs="仿宋_GB2312" w:eastAsia="仿宋_GB2312"/>
        </w:rPr>
        <w:t>(7)供应商须具有商用密码检测机构资质证书；</w:t>
      </w:r>
    </w:p>
    <w:p>
      <w:pPr>
        <w:pStyle w:val="null3"/>
      </w:pPr>
      <w:r>
        <w:rPr>
          <w:rFonts w:ascii="仿宋_GB2312" w:hAnsi="仿宋_GB2312" w:cs="仿宋_GB2312" w:eastAsia="仿宋_GB2312"/>
        </w:rPr>
        <w:t>(8)本项目不接受联合体。</w:t>
      </w:r>
    </w:p>
    <w:p>
      <w:pPr>
        <w:pStyle w:val="null3"/>
      </w:pPr>
      <w:r>
        <w:rPr>
          <w:rFonts w:ascii="仿宋_GB2312" w:hAnsi="仿宋_GB2312" w:cs="仿宋_GB2312" w:eastAsia="仿宋_GB2312"/>
        </w:rPr>
        <w:t>合同包2(网络安全等级测评和第三方软件测评)特定资格要求如下:</w:t>
      </w:r>
    </w:p>
    <w:p>
      <w:pPr>
        <w:pStyle w:val="null3"/>
      </w:pPr>
      <w:r>
        <w:rPr>
          <w:rFonts w:ascii="仿宋_GB2312" w:hAnsi="仿宋_GB2312" w:cs="仿宋_GB2312" w:eastAsia="仿宋_GB2312"/>
        </w:rPr>
        <w:t>(1)具有独立承担民事责任能力的法人、其他组织或自然人 , 并出具合法有效的营业执照或事业单位法人证书等国家规定的相关证明， 自然人参与的提供其身份证明；</w:t>
      </w:r>
    </w:p>
    <w:p>
      <w:pPr>
        <w:pStyle w:val="null3"/>
      </w:pPr>
      <w:r>
        <w:rPr>
          <w:rFonts w:ascii="仿宋_GB2312" w:hAnsi="仿宋_GB2312" w:cs="仿宋_GB2312" w:eastAsia="仿宋_GB2312"/>
        </w:rPr>
        <w:t>(2)提供具有履行合同所必需的设备和专业技术能力的承诺；</w:t>
      </w:r>
    </w:p>
    <w:p>
      <w:pPr>
        <w:pStyle w:val="null3"/>
      </w:pPr>
      <w:r>
        <w:rPr>
          <w:rFonts w:ascii="仿宋_GB2312" w:hAnsi="仿宋_GB2312" w:cs="仿宋_GB2312" w:eastAsia="仿宋_GB2312"/>
        </w:rPr>
        <w:t>(3)参加政府采购活动前3年内，在经营活动中没有重大违法记录的书面声明；</w:t>
      </w:r>
    </w:p>
    <w:p>
      <w:pPr>
        <w:pStyle w:val="null3"/>
      </w:pPr>
      <w:r>
        <w:rPr>
          <w:rFonts w:ascii="仿宋_GB2312" w:hAnsi="仿宋_GB2312" w:cs="仿宋_GB2312" w:eastAsia="仿宋_GB2312"/>
        </w:rPr>
        <w:t>(4)提供响应时间前一年内已缴存的至少一个月的社会保障资金缴存单据或社保机构开具的社会保险参保缴费情况证明，依法不需要缴纳社会保障资金的单位应提供相关证明材料；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(5)提供响应时间前一年内已缴纳的至少一个月的纳税证明或完税证明，依法免税的单位应提供相关证明材料；</w:t>
      </w:r>
    </w:p>
    <w:p>
      <w:pPr>
        <w:pStyle w:val="null3"/>
      </w:pPr>
      <w:r>
        <w:rPr>
          <w:rFonts w:ascii="仿宋_GB2312" w:hAnsi="仿宋_GB2312" w:cs="仿宋_GB2312" w:eastAsia="仿宋_GB2312"/>
        </w:rPr>
        <w:t>(6)法定代表人授权书（附法定代表人、被授权人身份证复印件）（法定代表人直接参加的，须提供法定代表人身份证明），分支机构由负责人授权即可；</w:t>
      </w:r>
    </w:p>
    <w:p>
      <w:pPr>
        <w:pStyle w:val="null3"/>
      </w:pPr>
      <w:r>
        <w:rPr>
          <w:rFonts w:ascii="仿宋_GB2312" w:hAnsi="仿宋_GB2312" w:cs="仿宋_GB2312" w:eastAsia="仿宋_GB2312"/>
        </w:rPr>
        <w:t>(7)供应商须具有网络安全等级测评与检测评估机构服务认证证书，提供市场监督管理部门颁发的《检验检测机构资质认定证书》(许可使用标志CMA)。</w:t>
      </w:r>
    </w:p>
    <w:p>
      <w:pPr>
        <w:pStyle w:val="null3"/>
      </w:pPr>
      <w:r>
        <w:rPr>
          <w:rFonts w:ascii="仿宋_GB2312" w:hAnsi="仿宋_GB2312" w:cs="仿宋_GB2312" w:eastAsia="仿宋_GB2312"/>
        </w:rPr>
        <w:t>(8)本项目不接受联合体。</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2026年03月11日 </w:t>
      </w:r>
      <w:r>
        <w:rPr>
          <w:rFonts w:ascii="仿宋_GB2312" w:hAnsi="仿宋_GB2312" w:cs="仿宋_GB2312" w:eastAsia="仿宋_GB2312"/>
        </w:rPr>
        <w:t>至</w:t>
      </w:r>
      <w:r>
        <w:rPr>
          <w:rFonts w:ascii="仿宋_GB2312" w:hAnsi="仿宋_GB2312" w:cs="仿宋_GB2312" w:eastAsia="仿宋_GB2312"/>
        </w:rPr>
        <w:t xml:space="preserve"> 2026年03月17日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2026年03月23日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2026年03月23日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落实的政府采购政策:(1)《政府采购促进中小企业发展管理办法》(财库(2020)46号)；(2)《财政部司法部关于政府采购支持监狱企业发展有关问题的通知》(财库 (2014] 68号)；(3)《国务院办公厅关于建立政府强制采购节能产品制度的通知》(国发办[2007)51号)；(4)《环境标志产品政府采购实施的意见》(财库(2006) 90号)；(5)《三部门联合发布关于促进残疾人就业政府采购政策的通知》(财库[2017) 141号)；(6)《财政部 发展改革委 生态环境部市场监管总局关于调整优化节能产品、环境标志产品政府采购执行机制的通知》(财库(2019) 9号)；(7) 陕西省财政厅关于印发《陕西省中小企业政府采购信用融资办法》(陕财办采(2018) 23号)；(8)《财政部农业农村部国家乡村振兴局关于运用政府采购政策支持乡村产业振兴的通知》(财库(2021)19号)；(9)《财政部 农业农村部 国家乡村振兴局中华全国供销合作总社关于印发&lt;关于深入开展政府采购脱贫地区农副产品工作推进乡村产业振兴的实施意见&gt;的通知》(财库[2021)20号)；(10)其他需要落实的政府采购政策，详见磋商文件。</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蒲城县应急管理局</w:t>
      </w:r>
    </w:p>
    <w:p>
      <w:pPr>
        <w:pStyle w:val="null3"/>
      </w:pPr>
      <w:r>
        <w:rPr>
          <w:rFonts w:ascii="仿宋_GB2312" w:hAnsi="仿宋_GB2312" w:cs="仿宋_GB2312" w:eastAsia="仿宋_GB2312"/>
        </w:rPr>
        <w:t>地址：</w:t>
      </w:r>
      <w:r>
        <w:rPr>
          <w:rFonts w:ascii="仿宋_GB2312" w:hAnsi="仿宋_GB2312" w:cs="仿宋_GB2312" w:eastAsia="仿宋_GB2312"/>
        </w:rPr>
        <w:t>渭南市蒲城县东环路长乐街东段</w:t>
      </w:r>
    </w:p>
    <w:p>
      <w:pPr>
        <w:pStyle w:val="null3"/>
      </w:pPr>
      <w:r>
        <w:rPr>
          <w:rFonts w:ascii="仿宋_GB2312" w:hAnsi="仿宋_GB2312" w:cs="仿宋_GB2312" w:eastAsia="仿宋_GB2312"/>
        </w:rPr>
        <w:t>联系方式：</w:t>
      </w:r>
      <w:r>
        <w:rPr>
          <w:rFonts w:ascii="仿宋_GB2312" w:hAnsi="仿宋_GB2312" w:cs="仿宋_GB2312" w:eastAsia="仿宋_GB2312"/>
        </w:rPr>
        <w:t>/</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陕西众诚项目管理有限公司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西安市雁塔区南二环路老三届世纪星大厦8层K座</w:t>
      </w:r>
    </w:p>
    <w:p>
      <w:pPr>
        <w:pStyle w:val="null3"/>
      </w:pPr>
      <w:r>
        <w:rPr>
          <w:rFonts w:ascii="仿宋_GB2312" w:hAnsi="仿宋_GB2312" w:cs="仿宋_GB2312" w:eastAsia="仿宋_GB2312"/>
        </w:rPr>
        <w:t>联系方式：</w:t>
      </w:r>
      <w:r>
        <w:rPr>
          <w:rFonts w:ascii="仿宋_GB2312" w:hAnsi="仿宋_GB2312" w:cs="仿宋_GB2312" w:eastAsia="仿宋_GB2312"/>
        </w:rPr>
        <w:t>029-88816603</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张航帆</w:t>
      </w:r>
    </w:p>
    <w:p>
      <w:pPr>
        <w:pStyle w:val="null3"/>
      </w:pPr>
      <w:r>
        <w:rPr>
          <w:rFonts w:ascii="仿宋_GB2312" w:hAnsi="仿宋_GB2312" w:cs="仿宋_GB2312" w:eastAsia="仿宋_GB2312"/>
        </w:rPr>
        <w:t>电话：</w:t>
      </w:r>
      <w:r>
        <w:rPr>
          <w:rFonts w:ascii="仿宋_GB2312" w:hAnsi="仿宋_GB2312" w:cs="仿宋_GB2312" w:eastAsia="仿宋_GB2312"/>
        </w:rPr>
        <w:t>029-88816603</w:t>
      </w:r>
    </w:p>
    <w:p>
      <w:pPr>
        <w:pStyle w:val="null3"/>
        <w:jc w:val="right"/>
      </w:pPr>
      <w:r>
        <w:rPr>
          <w:rFonts w:ascii="仿宋_GB2312" w:hAnsi="仿宋_GB2312" w:cs="仿宋_GB2312" w:eastAsia="仿宋_GB2312"/>
        </w:rPr>
        <w:t>陕西众诚项目管理有限公司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