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D2665">
      <w:pPr>
        <w:snapToGrid w:val="0"/>
        <w:spacing w:line="360" w:lineRule="auto"/>
        <w:jc w:val="center"/>
        <w:rPr>
          <w:rFonts w:hint="eastAsia" w:ascii="宋体" w:hAnsi="宋体" w:eastAsia="宋体" w:cs="宋体"/>
          <w:b/>
          <w:bCs/>
          <w:i w:val="0"/>
          <w:iCs w:val="0"/>
          <w:caps w:val="0"/>
          <w:color w:val="auto"/>
          <w:spacing w:val="0"/>
          <w:kern w:val="2"/>
          <w:sz w:val="32"/>
          <w:szCs w:val="32"/>
          <w:shd w:val="clear" w:color="auto" w:fill="FFFFFF"/>
          <w:lang w:val="en-US" w:eastAsia="zh-CN" w:bidi="ar-SA"/>
        </w:rPr>
      </w:pPr>
      <w:r>
        <w:rPr>
          <w:rFonts w:hint="eastAsia" w:ascii="宋体" w:hAnsi="宋体" w:eastAsia="宋体" w:cs="宋体"/>
          <w:b/>
          <w:bCs/>
          <w:i w:val="0"/>
          <w:iCs w:val="0"/>
          <w:caps w:val="0"/>
          <w:color w:val="auto"/>
          <w:spacing w:val="0"/>
          <w:kern w:val="2"/>
          <w:sz w:val="32"/>
          <w:szCs w:val="32"/>
          <w:shd w:val="clear" w:color="auto" w:fill="FFFFFF"/>
          <w:lang w:val="en-US" w:eastAsia="zh-CN" w:bidi="ar-SA"/>
        </w:rPr>
        <w:t>百米大道延伸段道路及管线工程前期服务</w:t>
      </w:r>
    </w:p>
    <w:p w14:paraId="19FFB7CB">
      <w:pPr>
        <w:snapToGrid w:val="0"/>
        <w:spacing w:line="360" w:lineRule="auto"/>
        <w:jc w:val="center"/>
        <w:rPr>
          <w:rFonts w:hint="eastAsia" w:ascii="宋体" w:hAnsi="宋体" w:eastAsia="宋体" w:cs="宋体"/>
          <w:b/>
          <w:bCs/>
          <w:i w:val="0"/>
          <w:iCs w:val="0"/>
          <w:caps w:val="0"/>
          <w:color w:val="auto"/>
          <w:spacing w:val="0"/>
          <w:kern w:val="2"/>
          <w:sz w:val="32"/>
          <w:szCs w:val="32"/>
          <w:shd w:val="clear" w:color="auto" w:fill="FFFFFF"/>
          <w:lang w:val="en-US" w:eastAsia="zh-CN" w:bidi="ar-SA"/>
        </w:rPr>
      </w:pPr>
      <w:r>
        <w:rPr>
          <w:rFonts w:hint="eastAsia" w:ascii="宋体" w:hAnsi="宋体" w:eastAsia="宋体" w:cs="宋体"/>
          <w:b/>
          <w:bCs/>
          <w:i w:val="0"/>
          <w:iCs w:val="0"/>
          <w:caps w:val="0"/>
          <w:color w:val="auto"/>
          <w:spacing w:val="0"/>
          <w:kern w:val="2"/>
          <w:sz w:val="32"/>
          <w:szCs w:val="32"/>
          <w:shd w:val="clear" w:color="auto" w:fill="FFFFFF"/>
          <w:lang w:val="en-US" w:eastAsia="zh-CN" w:bidi="ar-SA"/>
        </w:rPr>
        <w:t>技术报告编制(工程量清单编制)</w:t>
      </w:r>
    </w:p>
    <w:p w14:paraId="5F71F7CD">
      <w:pPr>
        <w:snapToGrid w:val="0"/>
        <w:spacing w:line="360" w:lineRule="auto"/>
        <w:jc w:val="center"/>
        <w:rPr>
          <w:rFonts w:hint="default" w:ascii="宋体" w:hAnsi="宋体" w:eastAsia="宋体" w:cs="宋体"/>
          <w:b/>
          <w:bCs/>
          <w:i w:val="0"/>
          <w:iCs w:val="0"/>
          <w:caps w:val="0"/>
          <w:color w:val="auto"/>
          <w:spacing w:val="0"/>
          <w:kern w:val="2"/>
          <w:sz w:val="32"/>
          <w:szCs w:val="32"/>
          <w:shd w:val="clear" w:color="auto" w:fill="FFFFFF"/>
          <w:lang w:val="en-US" w:eastAsia="zh-CN" w:bidi="ar-SA"/>
        </w:rPr>
      </w:pPr>
      <w:r>
        <w:rPr>
          <w:rFonts w:hint="eastAsia" w:ascii="宋体" w:hAnsi="宋体" w:cs="宋体"/>
          <w:b/>
          <w:bCs/>
          <w:i w:val="0"/>
          <w:iCs w:val="0"/>
          <w:caps w:val="0"/>
          <w:color w:val="auto"/>
          <w:spacing w:val="0"/>
          <w:kern w:val="2"/>
          <w:sz w:val="32"/>
          <w:szCs w:val="32"/>
          <w:shd w:val="clear" w:color="auto" w:fill="FFFFFF"/>
          <w:lang w:val="en-US" w:eastAsia="zh-CN" w:bidi="ar-SA"/>
        </w:rPr>
        <w:t>采购需求</w:t>
      </w:r>
    </w:p>
    <w:p w14:paraId="110E7982">
      <w:pPr>
        <w:snapToGrid w:val="0"/>
        <w:spacing w:line="360" w:lineRule="auto"/>
        <w:jc w:val="left"/>
        <w:rPr>
          <w:rFonts w:hint="eastAsia" w:ascii="宋体" w:hAnsi="宋体" w:eastAsia="宋体" w:cs="宋体"/>
          <w:b/>
          <w:bCs/>
          <w:i w:val="0"/>
          <w:iCs w:val="0"/>
          <w:caps w:val="0"/>
          <w:color w:val="auto"/>
          <w:spacing w:val="0"/>
          <w:kern w:val="2"/>
          <w:sz w:val="28"/>
          <w:szCs w:val="28"/>
          <w:shd w:val="clear" w:color="auto" w:fill="FFFFFF"/>
          <w:lang w:val="en-US" w:eastAsia="zh-CN" w:bidi="ar-SA"/>
        </w:rPr>
      </w:pPr>
      <w:r>
        <w:rPr>
          <w:rFonts w:hint="eastAsia" w:ascii="宋体" w:hAnsi="宋体" w:eastAsia="宋体" w:cs="宋体"/>
          <w:b/>
          <w:bCs/>
          <w:i w:val="0"/>
          <w:iCs w:val="0"/>
          <w:caps w:val="0"/>
          <w:color w:val="auto"/>
          <w:spacing w:val="0"/>
          <w:kern w:val="2"/>
          <w:sz w:val="28"/>
          <w:szCs w:val="28"/>
          <w:shd w:val="clear" w:color="auto" w:fill="FFFFFF"/>
          <w:lang w:val="en-US" w:eastAsia="zh-CN" w:bidi="ar-SA"/>
        </w:rPr>
        <w:t>一、采购内容</w:t>
      </w:r>
    </w:p>
    <w:p w14:paraId="1B2C12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kern w:val="0"/>
          <w:sz w:val="28"/>
          <w:szCs w:val="28"/>
          <w:lang w:val="en-US" w:eastAsia="zh-CN" w:bidi="ar"/>
        </w:rPr>
        <w:t>1、项目概况：</w:t>
      </w:r>
      <w:r>
        <w:rPr>
          <w:rFonts w:hint="eastAsia" w:ascii="宋体" w:hAnsi="宋体" w:eastAsia="宋体" w:cs="宋体"/>
          <w:color w:val="auto"/>
          <w:kern w:val="2"/>
          <w:sz w:val="28"/>
          <w:szCs w:val="28"/>
          <w:highlight w:val="none"/>
          <w:lang w:val="en-US" w:eastAsia="zh-CN" w:bidi="ar-SA"/>
        </w:rPr>
        <w:t>项目西起规划中纵4路(永泰路)，经东二十里铺机场后，止于延安新区站，主要与规划常青路、刘万家沟路、东华路、纵一路、站西路等道路相交，全长约3.8km，道路等级为城市主干路，设计速度50km/h，道路红线宽60m，横断面布置型式为“主线双向八车道+辅道双向两车道”。主要建设内</w:t>
      </w:r>
      <w:bookmarkStart w:id="0" w:name="_GoBack"/>
      <w:bookmarkEnd w:id="0"/>
      <w:r>
        <w:rPr>
          <w:rFonts w:hint="eastAsia" w:ascii="宋体" w:hAnsi="宋体" w:eastAsia="宋体" w:cs="宋体"/>
          <w:color w:val="auto"/>
          <w:kern w:val="2"/>
          <w:sz w:val="28"/>
          <w:szCs w:val="28"/>
          <w:highlight w:val="none"/>
          <w:lang w:val="en-US" w:eastAsia="zh-CN" w:bidi="ar-SA"/>
        </w:rPr>
        <w:t xml:space="preserve">容包括道路工程交通工程(含智能交通)、照明工程、绿化工程、综合管线、海绵城市工程等。 </w:t>
      </w:r>
    </w:p>
    <w:p w14:paraId="4177CD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2、服务范围：</w:t>
      </w:r>
      <w:r>
        <w:rPr>
          <w:rFonts w:hint="default" w:ascii="宋体" w:hAnsi="宋体" w:eastAsia="宋体" w:cs="宋体"/>
          <w:kern w:val="0"/>
          <w:sz w:val="28"/>
          <w:szCs w:val="28"/>
          <w:lang w:val="en-US" w:eastAsia="zh-CN" w:bidi="ar"/>
        </w:rPr>
        <w:t>百米大道延伸段道路及管线工程工程量清单和招标最高限价编制及其他相关服务工作</w:t>
      </w:r>
      <w:r>
        <w:rPr>
          <w:rFonts w:hint="eastAsia" w:ascii="宋体" w:hAnsi="宋体" w:eastAsia="宋体" w:cs="宋体"/>
          <w:kern w:val="0"/>
          <w:sz w:val="28"/>
          <w:szCs w:val="28"/>
          <w:lang w:val="en-US" w:eastAsia="zh-CN" w:bidi="ar"/>
        </w:rPr>
        <w:t>。</w:t>
      </w:r>
    </w:p>
    <w:p w14:paraId="60A485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3、建设投资含税为71387.57万元，工程费58267.37万元。</w:t>
      </w:r>
    </w:p>
    <w:p w14:paraId="441676B8">
      <w:pPr>
        <w:snapToGrid w:val="0"/>
        <w:spacing w:line="360" w:lineRule="auto"/>
        <w:jc w:val="left"/>
        <w:rPr>
          <w:rFonts w:hint="eastAsia" w:ascii="Times New Roman" w:hAnsi="Times New Roman" w:eastAsia="宋体" w:cs="Times New Roman"/>
          <w:bCs/>
          <w:color w:val="auto"/>
          <w:kern w:val="2"/>
          <w:sz w:val="28"/>
          <w:szCs w:val="21"/>
          <w:highlight w:val="none"/>
          <w:lang w:val="en-US" w:eastAsia="zh-CN" w:bidi="ar-SA"/>
        </w:rPr>
      </w:pPr>
      <w:r>
        <w:rPr>
          <w:rFonts w:hint="eastAsia"/>
          <w:b/>
          <w:bCs/>
          <w:color w:val="auto"/>
          <w:sz w:val="28"/>
          <w:szCs w:val="21"/>
          <w:highlight w:val="none"/>
        </w:rPr>
        <w:t>二、服务期限：</w:t>
      </w:r>
      <w:r>
        <w:rPr>
          <w:rFonts w:hint="eastAsia" w:ascii="Times New Roman" w:hAnsi="Times New Roman" w:eastAsia="宋体" w:cs="Times New Roman"/>
          <w:bCs/>
          <w:color w:val="auto"/>
          <w:kern w:val="2"/>
          <w:sz w:val="28"/>
          <w:szCs w:val="21"/>
          <w:highlight w:val="none"/>
          <w:lang w:val="en-US" w:eastAsia="zh-CN" w:bidi="ar-SA"/>
        </w:rPr>
        <w:t>自合同签订之日起90日历天。</w:t>
      </w:r>
    </w:p>
    <w:p w14:paraId="2FF44651">
      <w:pPr>
        <w:spacing w:line="360" w:lineRule="auto"/>
        <w:jc w:val="left"/>
        <w:rPr>
          <w:rFonts w:hint="eastAsia" w:ascii="Times New Roman" w:hAnsi="Times New Roman" w:eastAsia="宋体" w:cs="Times New Roman"/>
          <w:bCs/>
          <w:color w:val="auto"/>
          <w:kern w:val="2"/>
          <w:sz w:val="28"/>
          <w:szCs w:val="21"/>
          <w:highlight w:val="none"/>
          <w:lang w:val="en-US" w:eastAsia="zh-CN" w:bidi="ar-SA"/>
        </w:rPr>
      </w:pPr>
      <w:r>
        <w:rPr>
          <w:rFonts w:hint="eastAsia" w:ascii="Times New Roman" w:hAnsi="Times New Roman" w:eastAsia="宋体" w:cs="Times New Roman"/>
          <w:b/>
          <w:bCs w:val="0"/>
          <w:color w:val="auto"/>
          <w:kern w:val="2"/>
          <w:sz w:val="28"/>
          <w:szCs w:val="21"/>
          <w:highlight w:val="none"/>
          <w:lang w:val="en-US" w:eastAsia="zh-CN" w:bidi="ar-SA"/>
        </w:rPr>
        <w:t>三、质量标准：</w:t>
      </w:r>
      <w:r>
        <w:rPr>
          <w:rFonts w:hint="eastAsia" w:ascii="Times New Roman" w:hAnsi="Times New Roman" w:eastAsia="宋体" w:cs="Times New Roman"/>
          <w:bCs/>
          <w:color w:val="auto"/>
          <w:kern w:val="2"/>
          <w:sz w:val="28"/>
          <w:szCs w:val="21"/>
          <w:highlight w:val="none"/>
          <w:lang w:val="en-US" w:eastAsia="zh-CN" w:bidi="ar-SA"/>
        </w:rPr>
        <w:t>符合国家及行业相关标准。</w:t>
      </w:r>
    </w:p>
    <w:p w14:paraId="68D41BE1">
      <w:pPr>
        <w:rPr>
          <w:sz w:val="22"/>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C6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2026-03-19T08:00:58Z</dcterms:created>
  <dc:creator>aoc</dc:creator>
  <cp:lastModifiedBy>陕西七一项目管理有限公司</cp:lastModifiedBy>
  <dcterms:modified xsi:type="dcterms:W3CDTF">2026-03-19T08:02:07Z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eyJoZGlkIjoiNWMzMmMwMDJiZDAxNDIzYjZhOGMxNDI1Yzk3ZWZiYTMiLCJ1c2VySWQiOiIyNDgzOTAxODgifQ==</vt:lpwstr>
  </property>
  <property fmtid="{D5CDD505-2E9C-101B-9397-08002B2CF9AE}" pid="4" name="ICV">
    <vt:lpwstr>DE0E36985F7D4243B81A3CD98CC4082D_12</vt:lpwstr>
  </property>
</Properties>
</file>