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BC6DC">
      <w:pPr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采购需求</w:t>
      </w:r>
    </w:p>
    <w:p w14:paraId="6D8E6EF5">
      <w:pPr>
        <w:pStyle w:val="9"/>
        <w:jc w:val="both"/>
        <w:rPr>
          <w:rFonts w:hint="eastAsia" w:ascii="方正仿宋_GB2312" w:hAnsi="方正仿宋_GB2312" w:eastAsia="方正仿宋_GB2312" w:cs="方正仿宋_GB2312"/>
          <w:b/>
          <w:bCs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0"/>
          <w:szCs w:val="20"/>
        </w:rPr>
        <w:t>一、项目概况</w:t>
      </w:r>
    </w:p>
    <w:p w14:paraId="4AF398D7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朱雀大街作为古都长安（今西安）的核心历史轴线，其北段区域为唐长安城皇城与宫城周边重要遗存分布区，本项目对朱雀大街北段东侧危旧房屋连片改造清表工程进行采购。</w:t>
      </w:r>
    </w:p>
    <w:p w14:paraId="01D2C717">
      <w:pPr>
        <w:pStyle w:val="9"/>
        <w:ind w:firstLine="402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0"/>
          <w:szCs w:val="20"/>
        </w:rPr>
        <w:t>本项目所属行业为建筑业。</w:t>
      </w: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（营业收入80000万元以下或资产总额80000万元以下的为中小微型企业。其中，营业收入6000万元及以上，且资产总额5000万元及以上的为中型企业；营业收入300万元及以上，且资产总额300万元及以上的为小型企业；营业收入300万元以下或资产总额300万元以下的为微型企业）</w:t>
      </w:r>
    </w:p>
    <w:p w14:paraId="52BC8DA9">
      <w:pPr>
        <w:pStyle w:val="9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二、工程内容和施工地点、计划工期、缺陷责任期、质量保修期</w:t>
      </w:r>
    </w:p>
    <w:p w14:paraId="2A1B4D3E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（一）工程内容：</w:t>
      </w: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eastAsia="zh-CN"/>
        </w:rPr>
        <w:t>朱雀大街北段东侧危旧房屋连片改造清表工程</w:t>
      </w: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，具体详见工程量清单。</w:t>
      </w:r>
    </w:p>
    <w:p w14:paraId="48C88200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（二）工程地点：陕西省西安市碑林区朱雀大街北段东侧。</w:t>
      </w:r>
    </w:p>
    <w:p w14:paraId="69EFF636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highlight w:val="none"/>
        </w:rPr>
        <w:t>（三）计划工期：</w:t>
      </w:r>
      <w:r>
        <w:rPr>
          <w:rFonts w:ascii="方正仿宋_GB2312" w:hAnsi="方正仿宋_GB2312" w:eastAsia="方正仿宋_GB2312" w:cs="方正仿宋_GB2312"/>
          <w:sz w:val="20"/>
          <w:szCs w:val="20"/>
        </w:rPr>
        <w:t>自合同签订之日起7天。</w:t>
      </w:r>
    </w:p>
    <w:p w14:paraId="42DE4580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（四）缺陷责任期：2年。</w:t>
      </w:r>
    </w:p>
    <w:p w14:paraId="3DD44926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highlight w:val="none"/>
        </w:rPr>
        <w:t>（五）质量保修期：/</w:t>
      </w:r>
    </w:p>
    <w:p w14:paraId="63AD6B24">
      <w:pPr>
        <w:pStyle w:val="9"/>
        <w:jc w:val="both"/>
        <w:rPr>
          <w:rFonts w:hint="eastAsia" w:ascii="方正仿宋_GB2312" w:hAnsi="方正仿宋_GB2312" w:eastAsia="方正仿宋_GB2312" w:cs="方正仿宋_GB2312"/>
          <w:b/>
          <w:bCs/>
          <w:color w:val="auto"/>
          <w:sz w:val="20"/>
          <w:szCs w:val="2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0"/>
          <w:szCs w:val="20"/>
          <w:highlight w:val="none"/>
        </w:rPr>
        <w:t>三、工程量清单和编制依据</w:t>
      </w:r>
    </w:p>
    <w:p w14:paraId="6C103BD2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一</w:t>
      </w: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  <w:t>）编制范围及内容</w:t>
      </w:r>
    </w:p>
    <w:p w14:paraId="29929413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  <w:t>1.工程量：建设单位提供工程量，本项目工程量为暂定；</w:t>
      </w:r>
    </w:p>
    <w:p w14:paraId="26D2995E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  <w:t>2.清单计价：按相关规范及清单计价进行编制；</w:t>
      </w:r>
    </w:p>
    <w:p w14:paraId="33D10C6D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  <w:t>3.措施项目费：按分部分项工程量清单、相关规范及清单计价进行编制。</w:t>
      </w:r>
    </w:p>
    <w:p w14:paraId="55B69C0B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eastAsia="zh-CN"/>
        </w:rPr>
        <w:t>二</w:t>
      </w: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  <w:t>）编制依据</w:t>
      </w:r>
    </w:p>
    <w:p w14:paraId="54C39F6A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  <w:t>1.工程量依据图纸计算；</w:t>
      </w:r>
    </w:p>
    <w:p w14:paraId="2368DDFB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  <w:t>2.《陕西省建设工程工程量清单计价计算标准》【2025】</w:t>
      </w:r>
    </w:p>
    <w:p w14:paraId="1D632505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  <w:t>3.《陕西省建设工程费用规则》【2025】；</w:t>
      </w:r>
    </w:p>
    <w:p w14:paraId="06051789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  <w:t>4.正常施工组织设计及施工方法；</w:t>
      </w:r>
    </w:p>
    <w:p w14:paraId="2CF360E8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  <w:t>5.与建设工程项目有关的标准、规范、图集、技术资料；</w:t>
      </w:r>
    </w:p>
    <w:p w14:paraId="7EFB5800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  <w:t>6.电子版使用广联达云计价软件GCCP7.0（版本：7.5000.23.2）；（</w:t>
      </w: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eastAsia="zh-CN"/>
        </w:rPr>
        <w:t>三</w:t>
      </w: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val="en-US" w:eastAsia="zh-CN"/>
        </w:rPr>
        <w:t>）编制说明</w:t>
      </w:r>
    </w:p>
    <w:p w14:paraId="2581A474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1.工程量清单是工程项目的简单描述，报价时应结合技术规范等要求报价；</w:t>
      </w:r>
    </w:p>
    <w:p w14:paraId="26EF337F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2.本工程采用一般计税：组成税前工程造价的分部分项工程项目费、措施项目费、其他项目费均不包含进项税税额；</w:t>
      </w:r>
    </w:p>
    <w:p w14:paraId="5ACED945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3.垃圾外运价格包括建筑垃圾的运输、倾倒、填埋处置等费用；</w:t>
      </w:r>
    </w:p>
    <w:p w14:paraId="719C23DD">
      <w:pPr>
        <w:pStyle w:val="9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本工程建设单位不回收材料。</w:t>
      </w:r>
    </w:p>
    <w:p w14:paraId="6D13D171">
      <w:pPr>
        <w:pStyle w:val="9"/>
        <w:jc w:val="both"/>
        <w:rPr>
          <w:rFonts w:hint="eastAsia" w:ascii="方正仿宋_GB2312" w:hAnsi="方正仿宋_GB2312" w:eastAsia="方正仿宋_GB2312" w:cs="方正仿宋_GB2312"/>
          <w:b/>
          <w:bCs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0"/>
          <w:szCs w:val="20"/>
        </w:rPr>
        <w:t>四、施工要求</w:t>
      </w:r>
    </w:p>
    <w:p w14:paraId="309C20F5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1.需严格遵循行业规程，地层划分准确，清表工作完整，无遗漏、无破坏。</w:t>
      </w:r>
    </w:p>
    <w:p w14:paraId="1A36FD29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2.所有记录资料、图纸、影像需规范归档，编号统一，内容对应，能够完整反映全过程及成果；</w:t>
      </w:r>
    </w:p>
    <w:p w14:paraId="7F52DC6F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3.工作报告需符合行业编制规范，内容涵盖项目概况、清表过程等，经采购人组织专家评审合格后方可正式交付。</w:t>
      </w:r>
    </w:p>
    <w:p w14:paraId="0570C5FE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4.在施工期间，成交供应商必须注意人员安全，加强安全措施，并对施工人员进行安全教育，施工人员必须持证上岗。</w:t>
      </w:r>
    </w:p>
    <w:p w14:paraId="774FDB05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5.供应商根据工程实际情况编制施工方案，制定工期进度安排表。</w:t>
      </w:r>
    </w:p>
    <w:p w14:paraId="23826FFF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6.供应商在本工程中的项目负责人(项目经理)，要求技术水平高、组织能力强、有丰富的工程业绩和实践经验，懂管理、善于协调。施工人员中特殊工程人员要求有上岗证。施工队伍稳定，保证整个工程顺利完工。</w:t>
      </w:r>
    </w:p>
    <w:p w14:paraId="24DEA228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7.施工过程中，严格遵守建设单位的各种管理规定及规章制度，做到文明施工。发生工伤及意外事故由施工单位负责。</w:t>
      </w:r>
    </w:p>
    <w:p w14:paraId="179B63C1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8.严格按照国家和省上有关规定施工、规范施工，确保工程合格，如有更改须事先征得有关方面的同意，并在采购人落实后实施，并出具书面说明。</w:t>
      </w:r>
    </w:p>
    <w:p w14:paraId="7C374FDF">
      <w:pPr>
        <w:pStyle w:val="9"/>
        <w:jc w:val="both"/>
        <w:rPr>
          <w:rFonts w:hint="eastAsia" w:ascii="方正仿宋_GB2312" w:hAnsi="方正仿宋_GB2312" w:eastAsia="方正仿宋_GB2312" w:cs="方正仿宋_GB2312"/>
          <w:b/>
          <w:bCs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0"/>
          <w:szCs w:val="20"/>
        </w:rPr>
        <w:t>五、商务要求（如合同价款及结算方式等）</w:t>
      </w:r>
    </w:p>
    <w:p w14:paraId="1FC6EE89">
      <w:pPr>
        <w:pStyle w:val="9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款项结算：</w:t>
      </w:r>
    </w:p>
    <w:p w14:paraId="71E8E1B7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eastAsia="zh-CN"/>
        </w:rPr>
        <w:t>1.</w:t>
      </w: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付款条件说明：合同签订后 ，达到付款条件起15日内，支付合同总金额的40.00%。</w:t>
      </w:r>
    </w:p>
    <w:p w14:paraId="090C2B01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  <w:lang w:eastAsia="zh-CN"/>
        </w:rPr>
        <w:t>2.</w:t>
      </w:r>
      <w:r>
        <w:rPr>
          <w:rFonts w:hint="eastAsia" w:ascii="方正仿宋_GB2312" w:hAnsi="方正仿宋_GB2312" w:eastAsia="方正仿宋_GB2312" w:cs="方正仿宋_GB2312"/>
          <w:color w:val="auto"/>
          <w:sz w:val="20"/>
          <w:szCs w:val="20"/>
        </w:rPr>
        <w:t>付款条件说明：工程竣工验收合格后 ，达到付款条件起15日内，支付合同总金额的60.00%。</w:t>
      </w:r>
    </w:p>
    <w:p w14:paraId="57F2B6B1">
      <w:pPr>
        <w:pStyle w:val="9"/>
        <w:jc w:val="both"/>
        <w:rPr>
          <w:rFonts w:hint="eastAsia" w:ascii="方正仿宋_GB2312" w:hAnsi="方正仿宋_GB2312" w:eastAsia="方正仿宋_GB2312" w:cs="方正仿宋_GB2312"/>
          <w:b/>
          <w:bCs/>
          <w:color w:val="auto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0"/>
          <w:szCs w:val="20"/>
        </w:rPr>
        <w:t>六、本项目需要落实的政府采购政策</w:t>
      </w:r>
    </w:p>
    <w:p w14:paraId="0F71428A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1.中小企业发展政策：《关于进一步加大政府采购支持中小企业力度的通知》（财库〔2022〕19号）《政府采购促进中小企业发展管理办法》（财库〔2020〕46号）；《财政部、司法部关于政府采购支持监狱企业发展有关问题的通知》（财库〔2014〕68号）；《关于促进残疾人就业政府采购政策的通知》（财库〔2017〕141号）；《陕西省中小企业政府采购信用融资办法》（陕财办采〔2018〕23号）。</w:t>
      </w:r>
    </w:p>
    <w:p w14:paraId="335FECCB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2.绿色发展政策：《国务院办公厅关于建立政府强制采购节能产品制度的通知》（国办发〔2007〕51号）；《关于印发环境标志产品政府采购品目清单的通知》（财库〔2019〕18号）《关于印发节能产品政府采购品目清单的通知》（财库〔2019〕19号）；《财政部、国家发展改革委、生态环境部、市场监管总局关于调整优化节能产品、环境标志产品政府采购执行机制的通知》（财库〔2019〕9号）；《商品包装政府采购需求标准（试行）》和《快递包装政府采购需求标准（试行）》（财办库〔2020〕123号）。</w:t>
      </w:r>
    </w:p>
    <w:p w14:paraId="514626FD">
      <w:pPr>
        <w:pStyle w:val="9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3.支持本国产业政策：《财政部关于印发&lt;进口产品管理办法&gt;的通知》（财库〔2007〕119号）；《财政部办公厅关于政府采购进口产品管理有关问题的通知》（财办库〔2008〕248号）。</w:t>
      </w:r>
    </w:p>
    <w:p w14:paraId="06408E37">
      <w:pPr>
        <w:ind w:firstLine="400" w:firstLineChars="200"/>
        <w:jc w:val="both"/>
        <w:rPr>
          <w:rFonts w:hint="eastAsia"/>
          <w:b/>
          <w:bCs/>
          <w:lang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napToGrid/>
          <w:color w:val="auto"/>
          <w:kern w:val="0"/>
          <w:sz w:val="20"/>
          <w:szCs w:val="20"/>
          <w:lang w:val="en-US" w:eastAsia="zh-Hans"/>
        </w:rPr>
        <w:t>4.支持创新等政府采购政策。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809A832-8CF3-4F1B-8FBC-1D8CE455FA0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BDFF5FB-1268-4C47-A383-818FDABDBAB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7F1A4D"/>
    <w:multiLevelType w:val="singleLevel"/>
    <w:tmpl w:val="897F1A4D"/>
    <w:lvl w:ilvl="0" w:tentative="0">
      <w:start w:val="1"/>
      <w:numFmt w:val="chineseCounting"/>
      <w:pStyle w:val="4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C6B66"/>
    <w:rsid w:val="506E24DD"/>
    <w:rsid w:val="5272386B"/>
    <w:rsid w:val="5D726EE9"/>
    <w:rsid w:val="5D8B1CCD"/>
    <w:rsid w:val="66D51FC7"/>
    <w:rsid w:val="713248F1"/>
    <w:rsid w:val="786C6B66"/>
    <w:rsid w:val="79C00652"/>
    <w:rsid w:val="7A6B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8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  <w:rPr>
      <w:rFonts w:ascii="Arial" w:hAnsi="Arial" w:eastAsia="宋体"/>
      <w:sz w:val="24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numPr>
        <w:ilvl w:val="0"/>
        <w:numId w:val="1"/>
      </w:numPr>
      <w:spacing w:before="224" w:line="220" w:lineRule="auto"/>
      <w:jc w:val="left"/>
      <w:outlineLvl w:val="0"/>
    </w:pPr>
    <w:rPr>
      <w:rFonts w:ascii="宋体" w:hAnsi="宋体" w:eastAsia="宋体" w:cs="宋体"/>
      <w:b/>
      <w:bCs/>
      <w:snapToGrid w:val="0"/>
      <w:color w:val="000000"/>
      <w:spacing w:val="-5"/>
      <w:kern w:val="0"/>
      <w:sz w:val="28"/>
      <w:szCs w:val="28"/>
      <w:lang w:eastAsia="en-US"/>
    </w:rPr>
  </w:style>
  <w:style w:type="paragraph" w:customStyle="1" w:styleId="5">
    <w:name w:val="四级标题"/>
    <w:basedOn w:val="1"/>
    <w:uiPriority w:val="0"/>
    <w:pPr>
      <w:spacing w:before="180" w:line="220" w:lineRule="auto"/>
    </w:pPr>
    <w:rPr>
      <w:rFonts w:hint="eastAsia" w:ascii="宋体" w:hAnsi="宋体" w:eastAsia="宋体" w:cs="宋体"/>
      <w:b/>
      <w:snapToGrid w:val="0"/>
      <w:color w:val="000000"/>
      <w:spacing w:val="-2"/>
      <w:kern w:val="0"/>
      <w:sz w:val="24"/>
      <w:szCs w:val="24"/>
      <w:lang w:eastAsia="zh-CN"/>
    </w:rPr>
  </w:style>
  <w:style w:type="paragraph" w:customStyle="1" w:styleId="6">
    <w:name w:val="三级标题"/>
    <w:basedOn w:val="1"/>
    <w:qFormat/>
    <w:uiPriority w:val="0"/>
    <w:pPr>
      <w:spacing w:before="180" w:line="220" w:lineRule="auto"/>
    </w:pPr>
    <w:rPr>
      <w:rFonts w:hint="eastAsia" w:ascii="宋体" w:hAnsi="宋体" w:eastAsia="宋体" w:cs="宋体"/>
      <w:b/>
      <w:snapToGrid w:val="0"/>
      <w:color w:val="000000"/>
      <w:spacing w:val="-2"/>
      <w:kern w:val="0"/>
      <w:sz w:val="24"/>
      <w:szCs w:val="24"/>
      <w:lang w:eastAsia="zh-CN"/>
    </w:rPr>
  </w:style>
  <w:style w:type="paragraph" w:customStyle="1" w:styleId="7">
    <w:name w:val="二级标题"/>
    <w:basedOn w:val="1"/>
    <w:uiPriority w:val="0"/>
    <w:pPr>
      <w:spacing w:before="180" w:line="220" w:lineRule="auto"/>
      <w:ind w:left="496"/>
    </w:pPr>
    <w:rPr>
      <w:rFonts w:hint="eastAsia" w:ascii="宋体" w:hAnsi="宋体" w:cs="宋体"/>
      <w:b/>
      <w:spacing w:val="-2"/>
      <w:sz w:val="24"/>
      <w:szCs w:val="24"/>
      <w:lang w:eastAsia="zh-CN"/>
    </w:rPr>
  </w:style>
  <w:style w:type="paragraph" w:customStyle="1" w:styleId="8">
    <w:name w:val="三级标题."/>
    <w:basedOn w:val="1"/>
    <w:uiPriority w:val="0"/>
    <w:pPr>
      <w:spacing w:before="224" w:line="360" w:lineRule="auto"/>
      <w:outlineLvl w:val="2"/>
    </w:pPr>
    <w:rPr>
      <w:rFonts w:hint="eastAsia" w:ascii="宋体" w:hAnsi="宋体" w:eastAsia="宋体" w:cs="宋体"/>
      <w:b/>
      <w:bCs/>
      <w:spacing w:val="-5"/>
      <w:sz w:val="24"/>
      <w:szCs w:val="28"/>
      <w:lang w:eastAsia="zh-CN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2026-03-19T08:08:00Z</dcterms:created>
  <dc:creator>Lenovo</dc:creator>
  <cp:lastModifiedBy>Lenovo</cp:lastModifiedBy>
  <dcterms:modified xsi:type="dcterms:W3CDTF">2026-03-19T08:19:21Z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F6E9E0C0B7B6417A8913BB24B9FD81B5_11</vt:lpwstr>
  </property>
  <property fmtid="{D5CDD505-2E9C-101B-9397-08002B2CF9AE}" pid="4" name="KSOTemplateDocerSaveRecord">
    <vt:lpwstr>eyJoZGlkIjoiYTkwMWYyZDNhM2MyN2IxMWZiZjE3OGZiYjU1NjEyNWYiLCJ1c2VySWQiOiI0NDgyMTE1NDUifQ==</vt:lpwstr>
  </property>
</Properties>
</file>