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政府采购项目</w:t>
      </w:r>
    </w:p>
    <w:p>
      <w:pPr>
        <w:pStyle w:val="25"/>
        <w:widowControl/>
        <w:spacing w:line="450" w:lineRule="atLeast"/>
        <w:rPr>
          <w:rFonts w:hint="eastAsia" w:ascii="宋体" w:hAnsi="宋体" w:eastAsia="宋体" w:cs="宋体"/>
          <w:b/>
          <w:bCs/>
          <w:color w:val="auto"/>
          <w:sz w:val="30"/>
          <w:szCs w:val="30"/>
          <w:highlight w:val="none"/>
          <w:u w:val="single"/>
        </w:rPr>
      </w:pPr>
      <w:r>
        <w:rPr>
          <w:rFonts w:hint="eastAsia" w:ascii="宋体" w:hAnsi="宋体" w:eastAsia="宋体" w:cs="宋体"/>
          <w:b/>
          <w:bCs/>
          <w:color w:val="auto"/>
          <w:sz w:val="30"/>
          <w:szCs w:val="30"/>
          <w:highlight w:val="none"/>
          <w:lang w:val="zh-CN"/>
        </w:rPr>
        <w:t>采购项目编号：</w:t>
      </w:r>
      <w:r>
        <w:rPr>
          <w:rFonts w:hint="eastAsia" w:ascii="宋体" w:hAnsi="宋体" w:cs="宋体"/>
          <w:b/>
          <w:bCs/>
          <w:color w:val="auto"/>
          <w:sz w:val="30"/>
          <w:szCs w:val="30"/>
          <w:highlight w:val="none"/>
          <w:lang w:val="zh-CN" w:eastAsia="zh-CN"/>
        </w:rPr>
        <w:t>ZC2026-HW-054</w:t>
      </w:r>
    </w:p>
    <w:p>
      <w:pPr>
        <w:pStyle w:val="5"/>
        <w:rPr>
          <w:rFonts w:hint="eastAsia" w:ascii="宋体" w:hAnsi="宋体" w:eastAsia="宋体" w:cs="宋体"/>
          <w:color w:val="auto"/>
          <w:highlight w:val="none"/>
        </w:rPr>
      </w:pPr>
    </w:p>
    <w:p>
      <w:pPr>
        <w:tabs>
          <w:tab w:val="left" w:pos="5670"/>
        </w:tabs>
        <w:autoSpaceDE w:val="0"/>
        <w:autoSpaceDN w:val="0"/>
        <w:adjustRightInd w:val="0"/>
        <w:snapToGrid w:val="0"/>
        <w:spacing w:line="480" w:lineRule="auto"/>
        <w:rPr>
          <w:rFonts w:hint="eastAsia" w:ascii="宋体" w:hAnsi="宋体" w:eastAsia="宋体" w:cs="宋体"/>
          <w:b/>
          <w:bCs/>
          <w:color w:val="auto"/>
          <w:sz w:val="40"/>
          <w:szCs w:val="40"/>
          <w:highlight w:val="none"/>
        </w:rPr>
      </w:pPr>
    </w:p>
    <w:p>
      <w:pPr>
        <w:tabs>
          <w:tab w:val="left" w:pos="5670"/>
        </w:tabs>
        <w:autoSpaceDE w:val="0"/>
        <w:autoSpaceDN w:val="0"/>
        <w:adjustRightInd w:val="0"/>
        <w:snapToGrid w:val="0"/>
        <w:spacing w:line="480" w:lineRule="auto"/>
        <w:jc w:val="center"/>
        <w:rPr>
          <w:rFonts w:hint="eastAsia" w:ascii="宋体" w:hAnsi="宋体" w:eastAsia="宋体" w:cs="宋体"/>
          <w:b/>
          <w:bCs/>
          <w:color w:val="auto"/>
          <w:sz w:val="40"/>
          <w:szCs w:val="40"/>
          <w:highlight w:val="none"/>
          <w:u w:val="single"/>
          <w:lang w:val="zh-CN" w:eastAsia="zh-CN"/>
        </w:rPr>
      </w:pPr>
      <w:bookmarkStart w:id="0" w:name="OLE_LINK6"/>
      <w:r>
        <w:rPr>
          <w:rFonts w:hint="eastAsia" w:ascii="宋体" w:hAnsi="宋体" w:cs="宋体"/>
          <w:b/>
          <w:bCs/>
          <w:color w:val="auto"/>
          <w:sz w:val="48"/>
          <w:szCs w:val="48"/>
          <w:highlight w:val="none"/>
          <w:u w:val="none"/>
          <w:lang w:val="zh-CN" w:eastAsia="zh-CN"/>
        </w:rPr>
        <w:t>2026年眉县公安局智慧档案室建设</w:t>
      </w:r>
    </w:p>
    <w:bookmarkEnd w:id="0"/>
    <w:p>
      <w:pPr>
        <w:pStyle w:val="5"/>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tabs>
          <w:tab w:val="left" w:pos="5670"/>
        </w:tabs>
        <w:autoSpaceDE w:val="0"/>
        <w:autoSpaceDN w:val="0"/>
        <w:adjustRightInd w:val="0"/>
        <w:snapToGrid w:val="0"/>
        <w:spacing w:line="48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val="zh-CN"/>
        </w:rPr>
        <w:t>竞争性谈判文件</w:t>
      </w:r>
    </w:p>
    <w:p>
      <w:pPr>
        <w:pStyle w:val="5"/>
        <w:rPr>
          <w:rFonts w:hint="eastAsia" w:ascii="宋体" w:hAnsi="宋体" w:eastAsia="宋体" w:cs="宋体"/>
          <w:color w:val="auto"/>
          <w:highlight w:val="none"/>
        </w:rPr>
      </w:pPr>
      <w:bookmarkStart w:id="1" w:name="OLE_LINK5"/>
    </w:p>
    <w:bookmarkEnd w:id="1"/>
    <w:p>
      <w:pPr>
        <w:pStyle w:val="11"/>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drawing>
          <wp:anchor distT="0" distB="0" distL="114300" distR="114300" simplePos="0" relativeHeight="251659264" behindDoc="0" locked="0" layoutInCell="1" allowOverlap="1">
            <wp:simplePos x="0" y="0"/>
            <wp:positionH relativeFrom="column">
              <wp:posOffset>1868805</wp:posOffset>
            </wp:positionH>
            <wp:positionV relativeFrom="paragraph">
              <wp:posOffset>87630</wp:posOffset>
            </wp:positionV>
            <wp:extent cx="2057400" cy="2009775"/>
            <wp:effectExtent l="0" t="0" r="0" b="9525"/>
            <wp:wrapSquare wrapText="bothSides"/>
            <wp:docPr id="4" name="图片 2" descr="1590672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590672115(1)"/>
                    <pic:cNvPicPr>
                      <a:picLocks noChangeAspect="1"/>
                    </pic:cNvPicPr>
                  </pic:nvPicPr>
                  <pic:blipFill>
                    <a:blip r:embed="rId7"/>
                    <a:stretch>
                      <a:fillRect/>
                    </a:stretch>
                  </pic:blipFill>
                  <pic:spPr>
                    <a:xfrm>
                      <a:off x="0" y="0"/>
                      <a:ext cx="2057400" cy="2009775"/>
                    </a:xfrm>
                    <a:prstGeom prst="rect">
                      <a:avLst/>
                    </a:prstGeom>
                    <a:noFill/>
                    <a:ln>
                      <a:noFill/>
                    </a:ln>
                  </pic:spPr>
                </pic:pic>
              </a:graphicData>
            </a:graphic>
          </wp:anchor>
        </w:drawing>
      </w:r>
    </w:p>
    <w:p>
      <w:pPr>
        <w:tabs>
          <w:tab w:val="left" w:pos="5670"/>
        </w:tabs>
        <w:autoSpaceDE w:val="0"/>
        <w:autoSpaceDN w:val="0"/>
        <w:adjustRightInd w:val="0"/>
        <w:snapToGrid w:val="0"/>
        <w:spacing w:line="480" w:lineRule="auto"/>
        <w:jc w:val="center"/>
        <w:rPr>
          <w:rFonts w:hint="eastAsia" w:ascii="宋体" w:hAnsi="宋体" w:eastAsia="宋体" w:cs="宋体"/>
          <w:color w:val="auto"/>
          <w:highlight w:val="none"/>
        </w:rPr>
      </w:pPr>
    </w:p>
    <w:p>
      <w:pPr>
        <w:pStyle w:val="28"/>
        <w:ind w:firstLine="210"/>
        <w:rPr>
          <w:rFonts w:hint="eastAsia" w:ascii="宋体" w:hAnsi="宋体" w:eastAsia="宋体" w:cs="宋体"/>
          <w:color w:val="auto"/>
          <w:highlight w:val="none"/>
        </w:rPr>
      </w:pPr>
    </w:p>
    <w:p>
      <w:pPr>
        <w:pStyle w:val="28"/>
        <w:ind w:firstLine="210"/>
        <w:rPr>
          <w:rFonts w:hint="eastAsia" w:ascii="宋体" w:hAnsi="宋体" w:eastAsia="宋体" w:cs="宋体"/>
          <w:color w:val="auto"/>
          <w:highlight w:val="none"/>
        </w:rPr>
      </w:pPr>
    </w:p>
    <w:p>
      <w:pPr>
        <w:pStyle w:val="28"/>
        <w:ind w:firstLine="210"/>
        <w:rPr>
          <w:rFonts w:hint="eastAsia" w:ascii="宋体" w:hAnsi="宋体" w:eastAsia="宋体" w:cs="宋体"/>
          <w:color w:val="auto"/>
          <w:highlight w:val="none"/>
          <w:lang w:val="zh-CN"/>
        </w:rPr>
      </w:pPr>
    </w:p>
    <w:p>
      <w:pPr>
        <w:tabs>
          <w:tab w:val="left" w:pos="5670"/>
        </w:tabs>
        <w:autoSpaceDE w:val="0"/>
        <w:autoSpaceDN w:val="0"/>
        <w:adjustRightInd w:val="0"/>
        <w:snapToGrid w:val="0"/>
        <w:spacing w:line="480" w:lineRule="auto"/>
        <w:ind w:firstLine="600" w:firstLineChars="200"/>
        <w:rPr>
          <w:rFonts w:hint="eastAsia" w:ascii="宋体" w:hAnsi="宋体" w:eastAsia="宋体" w:cs="宋体"/>
          <w:b/>
          <w:bCs/>
          <w:color w:val="auto"/>
          <w:sz w:val="30"/>
          <w:szCs w:val="30"/>
          <w:highlight w:val="none"/>
        </w:rPr>
      </w:pPr>
    </w:p>
    <w:p>
      <w:pPr>
        <w:tabs>
          <w:tab w:val="left" w:pos="5670"/>
        </w:tabs>
        <w:autoSpaceDE w:val="0"/>
        <w:autoSpaceDN w:val="0"/>
        <w:adjustRightInd w:val="0"/>
        <w:snapToGrid w:val="0"/>
        <w:spacing w:line="480" w:lineRule="auto"/>
        <w:ind w:firstLine="600" w:firstLineChars="200"/>
        <w:rPr>
          <w:rFonts w:hint="eastAsia" w:ascii="宋体" w:hAnsi="宋体" w:eastAsia="宋体" w:cs="宋体"/>
          <w:b/>
          <w:bCs/>
          <w:color w:val="auto"/>
          <w:sz w:val="30"/>
          <w:szCs w:val="30"/>
          <w:highlight w:val="none"/>
        </w:rPr>
      </w:pPr>
    </w:p>
    <w:p>
      <w:pPr>
        <w:tabs>
          <w:tab w:val="left" w:pos="5670"/>
        </w:tabs>
        <w:autoSpaceDE w:val="0"/>
        <w:autoSpaceDN w:val="0"/>
        <w:adjustRightInd w:val="0"/>
        <w:snapToGrid w:val="0"/>
        <w:spacing w:line="480" w:lineRule="auto"/>
        <w:rPr>
          <w:rFonts w:hint="eastAsia" w:ascii="宋体" w:hAnsi="宋体" w:eastAsia="宋体" w:cs="宋体"/>
          <w:b/>
          <w:bCs/>
          <w:color w:val="auto"/>
          <w:sz w:val="30"/>
          <w:szCs w:val="30"/>
          <w:highlight w:val="none"/>
        </w:rPr>
      </w:pPr>
    </w:p>
    <w:p>
      <w:pPr>
        <w:tabs>
          <w:tab w:val="left" w:pos="5670"/>
        </w:tabs>
        <w:autoSpaceDE w:val="0"/>
        <w:autoSpaceDN w:val="0"/>
        <w:adjustRightInd w:val="0"/>
        <w:snapToGrid w:val="0"/>
        <w:spacing w:line="480" w:lineRule="auto"/>
        <w:ind w:firstLine="1800" w:firstLineChars="600"/>
        <w:rPr>
          <w:rFonts w:hint="eastAsia" w:ascii="宋体" w:hAnsi="宋体" w:eastAsia="宋体" w:cs="宋体"/>
          <w:b/>
          <w:color w:val="auto"/>
          <w:sz w:val="32"/>
          <w:szCs w:val="32"/>
          <w:highlight w:val="none"/>
          <w:u w:val="single"/>
          <w:lang w:eastAsia="zh-CN"/>
        </w:rPr>
      </w:pPr>
      <w:r>
        <w:rPr>
          <w:rFonts w:hint="eastAsia" w:ascii="宋体" w:hAnsi="宋体" w:eastAsia="宋体" w:cs="宋体"/>
          <w:b/>
          <w:bCs/>
          <w:color w:val="auto"/>
          <w:sz w:val="30"/>
          <w:szCs w:val="30"/>
          <w:highlight w:val="none"/>
        </w:rPr>
        <w:t>采   购   人：</w:t>
      </w:r>
      <w:r>
        <w:rPr>
          <w:rFonts w:hint="eastAsia" w:ascii="宋体" w:hAnsi="宋体" w:cs="宋体"/>
          <w:b/>
          <w:bCs/>
          <w:color w:val="auto"/>
          <w:sz w:val="30"/>
          <w:szCs w:val="30"/>
          <w:highlight w:val="none"/>
          <w:lang w:eastAsia="zh-CN"/>
        </w:rPr>
        <w:t>眉县公安局</w:t>
      </w:r>
    </w:p>
    <w:p>
      <w:pPr>
        <w:tabs>
          <w:tab w:val="left" w:pos="5670"/>
        </w:tabs>
        <w:autoSpaceDE w:val="0"/>
        <w:autoSpaceDN w:val="0"/>
        <w:adjustRightInd w:val="0"/>
        <w:snapToGrid w:val="0"/>
        <w:spacing w:line="480" w:lineRule="auto"/>
        <w:ind w:firstLine="1800" w:firstLineChars="600"/>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val="zh-CN"/>
        </w:rPr>
        <w:t>：陕西中采项目管理有限公司</w:t>
      </w:r>
    </w:p>
    <w:p>
      <w:pPr>
        <w:tabs>
          <w:tab w:val="left" w:pos="5670"/>
        </w:tabs>
        <w:autoSpaceDE w:val="0"/>
        <w:autoSpaceDN w:val="0"/>
        <w:adjustRightInd w:val="0"/>
        <w:snapToGrid w:val="0"/>
        <w:spacing w:line="480" w:lineRule="auto"/>
        <w:ind w:firstLine="1795" w:firstLineChars="561"/>
        <w:jc w:val="left"/>
        <w:rPr>
          <w:rFonts w:hint="eastAsia" w:ascii="宋体" w:hAnsi="宋体" w:eastAsia="宋体" w:cs="宋体"/>
          <w:b/>
          <w:bCs/>
          <w:color w:val="auto"/>
          <w:sz w:val="32"/>
          <w:szCs w:val="32"/>
          <w:highlight w:val="none"/>
        </w:rPr>
        <w:sectPr>
          <w:pgSz w:w="11905" w:h="16838"/>
          <w:pgMar w:top="1417" w:right="1417" w:bottom="1417" w:left="1417" w:header="850" w:footer="850" w:gutter="0"/>
          <w:pgNumType w:fmt="decimal"/>
          <w:cols w:space="720" w:num="1"/>
          <w:docGrid w:type="linesAndChars" w:linePitch="318" w:charSpace="0"/>
        </w:sectPr>
      </w:pPr>
      <w:r>
        <w:rPr>
          <w:rFonts w:hint="eastAsia" w:ascii="宋体" w:hAnsi="宋体" w:eastAsia="宋体" w:cs="宋体"/>
          <w:b/>
          <w:bCs/>
          <w:color w:val="auto"/>
          <w:sz w:val="32"/>
          <w:szCs w:val="32"/>
          <w:highlight w:val="none"/>
          <w:lang w:val="en-US" w:eastAsia="zh-CN"/>
        </w:rPr>
        <w:t>日       期：</w:t>
      </w:r>
      <w:r>
        <w:rPr>
          <w:rFonts w:hint="eastAsia" w:ascii="宋体" w:hAnsi="宋体" w:eastAsia="宋体" w:cs="宋体"/>
          <w:b/>
          <w:bCs/>
          <w:color w:val="auto"/>
          <w:sz w:val="32"/>
          <w:szCs w:val="32"/>
          <w:highlight w:val="none"/>
          <w:lang w:eastAsia="zh-CN"/>
        </w:rPr>
        <w:t>二○</w:t>
      </w:r>
      <w:r>
        <w:rPr>
          <w:rFonts w:hint="eastAsia" w:ascii="宋体" w:hAnsi="宋体" w:eastAsia="宋体" w:cs="宋体"/>
          <w:b/>
          <w:color w:val="auto"/>
          <w:sz w:val="32"/>
          <w:szCs w:val="32"/>
          <w:highlight w:val="none"/>
          <w:u w:val="none"/>
          <w:lang w:val="en-US" w:eastAsia="zh-CN"/>
        </w:rPr>
        <w:t>二</w:t>
      </w:r>
      <w:r>
        <w:rPr>
          <w:rFonts w:hint="eastAsia" w:ascii="宋体" w:hAnsi="宋体" w:cs="宋体"/>
          <w:b/>
          <w:color w:val="auto"/>
          <w:sz w:val="32"/>
          <w:szCs w:val="32"/>
          <w:highlight w:val="none"/>
          <w:u w:val="none"/>
          <w:lang w:val="en-US" w:eastAsia="zh-CN"/>
        </w:rPr>
        <w:t>六</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月</w:t>
      </w:r>
    </w:p>
    <w:p>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   录</w:t>
      </w:r>
    </w:p>
    <w:p>
      <w:pPr>
        <w:pStyle w:val="21"/>
        <w:tabs>
          <w:tab w:val="right" w:leader="dot" w:pos="9071"/>
        </w:tabs>
        <w:spacing w:line="48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_Toc27681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lang w:val="zh-CN"/>
        </w:rPr>
        <w:t>第一</w:t>
      </w:r>
      <w:r>
        <w:rPr>
          <w:rFonts w:hint="eastAsia" w:ascii="宋体" w:hAnsi="宋体" w:eastAsia="宋体" w:cs="宋体"/>
          <w:bCs/>
          <w:color w:val="auto"/>
          <w:sz w:val="28"/>
          <w:szCs w:val="28"/>
          <w:highlight w:val="none"/>
          <w:lang w:val="en-US" w:eastAsia="zh-CN"/>
        </w:rPr>
        <w:t>章</w:t>
      </w:r>
      <w:r>
        <w:rPr>
          <w:rFonts w:hint="eastAsia" w:ascii="宋体" w:hAnsi="宋体" w:eastAsia="宋体" w:cs="宋体"/>
          <w:bCs/>
          <w:color w:val="auto"/>
          <w:sz w:val="28"/>
          <w:szCs w:val="28"/>
          <w:highlight w:val="none"/>
          <w:lang w:val="zh-CN"/>
        </w:rPr>
        <w:t xml:space="preserve"> 竞争性谈判公告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_Toc27681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9071"/>
        </w:tabs>
        <w:spacing w:line="48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_Toc8037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lang w:val="zh-CN"/>
        </w:rPr>
        <w:t>第二</w:t>
      </w:r>
      <w:r>
        <w:rPr>
          <w:rFonts w:hint="eastAsia" w:ascii="宋体" w:hAnsi="宋体" w:eastAsia="宋体" w:cs="宋体"/>
          <w:bCs/>
          <w:color w:val="auto"/>
          <w:sz w:val="28"/>
          <w:szCs w:val="28"/>
          <w:highlight w:val="none"/>
          <w:lang w:val="en-US" w:eastAsia="zh-CN"/>
        </w:rPr>
        <w:t>章</w:t>
      </w:r>
      <w:r>
        <w:rPr>
          <w:rFonts w:hint="eastAsia" w:ascii="宋体" w:hAnsi="宋体" w:eastAsia="宋体" w:cs="宋体"/>
          <w:bCs/>
          <w:color w:val="auto"/>
          <w:sz w:val="28"/>
          <w:szCs w:val="28"/>
          <w:highlight w:val="none"/>
          <w:lang w:val="zh-CN"/>
        </w:rPr>
        <w:t xml:space="preserve">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_Toc8037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9071"/>
        </w:tabs>
        <w:spacing w:line="48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_Toc20315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第三</w:t>
      </w:r>
      <w:r>
        <w:rPr>
          <w:rFonts w:hint="eastAsia" w:ascii="宋体" w:hAnsi="宋体" w:eastAsia="宋体" w:cs="宋体"/>
          <w:bCs/>
          <w:color w:val="auto"/>
          <w:sz w:val="28"/>
          <w:szCs w:val="28"/>
          <w:highlight w:val="none"/>
          <w:lang w:val="en-US" w:eastAsia="zh-CN"/>
        </w:rPr>
        <w:t>章</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eastAsia="zh-CN"/>
        </w:rPr>
        <w:t>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_Toc20315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9071"/>
        </w:tabs>
        <w:spacing w:line="48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_Toc27626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第四</w:t>
      </w:r>
      <w:r>
        <w:rPr>
          <w:rFonts w:hint="eastAsia" w:ascii="宋体" w:hAnsi="宋体" w:eastAsia="宋体" w:cs="宋体"/>
          <w:bCs/>
          <w:color w:val="auto"/>
          <w:sz w:val="28"/>
          <w:szCs w:val="28"/>
          <w:highlight w:val="none"/>
          <w:lang w:val="en-US" w:eastAsia="zh-CN"/>
        </w:rPr>
        <w:t>章</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zh-CN"/>
        </w:rPr>
        <w:t>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_Toc27626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9071"/>
        </w:tabs>
        <w:spacing w:line="48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_Toc6168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val="en-US" w:eastAsia="zh-CN"/>
        </w:rPr>
        <w:t>五章</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en-US" w:eastAsia="zh-CN"/>
        </w:rPr>
        <w:t>采购内容及要求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_Toc6168 \h </w:instrText>
      </w:r>
      <w:r>
        <w:rPr>
          <w:color w:val="auto"/>
          <w:sz w:val="28"/>
          <w:szCs w:val="28"/>
          <w:highlight w:val="none"/>
        </w:rPr>
        <w:fldChar w:fldCharType="separate"/>
      </w:r>
      <w:r>
        <w:rPr>
          <w:color w:val="auto"/>
          <w:sz w:val="28"/>
          <w:szCs w:val="28"/>
          <w:highlight w:val="none"/>
        </w:rPr>
        <w:t>38</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9071"/>
        </w:tabs>
        <w:spacing w:line="480" w:lineRule="auto"/>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_Toc18267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lang w:val="zh-CN"/>
        </w:rPr>
        <w:t>第六章 竞争性谈判响应文件格式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_Toc18267 \h </w:instrText>
      </w:r>
      <w:r>
        <w:rPr>
          <w:color w:val="auto"/>
          <w:sz w:val="28"/>
          <w:szCs w:val="28"/>
          <w:highlight w:val="none"/>
        </w:rPr>
        <w:fldChar w:fldCharType="separate"/>
      </w:r>
      <w:r>
        <w:rPr>
          <w:color w:val="auto"/>
          <w:sz w:val="28"/>
          <w:szCs w:val="28"/>
          <w:highlight w:val="none"/>
        </w:rPr>
        <w:t>71</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spacing w:line="48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end"/>
      </w:r>
    </w:p>
    <w:p>
      <w:pPr>
        <w:rPr>
          <w:rFonts w:hint="eastAsia" w:ascii="宋体" w:hAnsi="宋体" w:eastAsia="宋体" w:cs="宋体"/>
          <w:color w:val="auto"/>
          <w:highlight w:val="none"/>
        </w:rPr>
      </w:pPr>
    </w:p>
    <w:p>
      <w:pPr>
        <w:tabs>
          <w:tab w:val="left" w:pos="3910"/>
        </w:tabs>
        <w:jc w:val="left"/>
        <w:rPr>
          <w:rFonts w:hint="eastAsia" w:ascii="宋体" w:hAnsi="宋体" w:eastAsia="宋体" w:cs="宋体"/>
          <w:color w:val="auto"/>
          <w:highlight w:val="none"/>
        </w:rPr>
        <w:sectPr>
          <w:footerReference r:id="rId3" w:type="first"/>
          <w:pgSz w:w="11905" w:h="16838"/>
          <w:pgMar w:top="1417" w:right="1417" w:bottom="1417" w:left="1417" w:header="850" w:footer="992" w:gutter="0"/>
          <w:pgNumType w:fmt="decimal"/>
          <w:cols w:space="0" w:num="1"/>
        </w:sectPr>
      </w:pPr>
      <w:r>
        <w:rPr>
          <w:rFonts w:hint="eastAsia" w:ascii="宋体" w:hAnsi="宋体" w:eastAsia="宋体" w:cs="宋体"/>
          <w:color w:val="auto"/>
          <w:highlight w:val="none"/>
        </w:rPr>
        <w:tab/>
      </w:r>
    </w:p>
    <w:p>
      <w:pPr>
        <w:rPr>
          <w:rFonts w:hint="eastAsia" w:ascii="宋体" w:hAnsi="宋体" w:eastAsia="宋体" w:cs="宋体"/>
          <w:color w:val="auto"/>
          <w:highlight w:val="none"/>
        </w:rPr>
      </w:pPr>
    </w:p>
    <w:p>
      <w:pPr>
        <w:snapToGrid w:val="0"/>
        <w:spacing w:line="360" w:lineRule="auto"/>
        <w:jc w:val="center"/>
        <w:outlineLvl w:val="0"/>
        <w:rPr>
          <w:rFonts w:hint="eastAsia" w:ascii="宋体" w:hAnsi="宋体" w:eastAsia="宋体" w:cs="宋体"/>
          <w:b/>
          <w:bCs/>
          <w:color w:val="auto"/>
          <w:sz w:val="24"/>
          <w:szCs w:val="24"/>
          <w:highlight w:val="none"/>
          <w:lang w:val="zh-CN"/>
        </w:rPr>
      </w:pPr>
      <w:bookmarkStart w:id="2" w:name="_Toc27681"/>
      <w:bookmarkStart w:id="3" w:name="_Toc27863"/>
      <w:bookmarkStart w:id="4" w:name="_Toc18711"/>
      <w:bookmarkStart w:id="5" w:name="_Toc12381"/>
      <w:bookmarkStart w:id="6" w:name="_Toc5281"/>
      <w:bookmarkStart w:id="7" w:name="_Toc32199_WPSOffice_Level1"/>
      <w:bookmarkStart w:id="8" w:name="_Toc25046_WPSOffice_Level1"/>
      <w:r>
        <w:rPr>
          <w:rFonts w:hint="eastAsia" w:ascii="宋体" w:hAnsi="宋体" w:eastAsia="宋体" w:cs="宋体"/>
          <w:b/>
          <w:bCs/>
          <w:color w:val="auto"/>
          <w:sz w:val="32"/>
          <w:szCs w:val="32"/>
          <w:highlight w:val="none"/>
          <w:lang w:val="zh-CN"/>
        </w:rPr>
        <w:t>第一</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lang w:val="zh-CN"/>
        </w:rPr>
        <w:t xml:space="preserve"> 竞争性谈判公告</w:t>
      </w:r>
      <w:bookmarkEnd w:id="2"/>
      <w:bookmarkEnd w:id="3"/>
      <w:bookmarkEnd w:id="4"/>
      <w:bookmarkEnd w:id="5"/>
      <w:bookmarkEnd w:id="6"/>
    </w:p>
    <w:bookmarkEnd w:id="7"/>
    <w:bookmarkEnd w:id="8"/>
    <w:p>
      <w:pPr>
        <w:autoSpaceDE w:val="0"/>
        <w:autoSpaceDN w:val="0"/>
        <w:adjustRightInd w:val="0"/>
        <w:spacing w:line="360" w:lineRule="auto"/>
        <w:rPr>
          <w:rFonts w:hint="eastAsia" w:ascii="宋体" w:hAnsi="宋体" w:eastAsia="宋体" w:cs="宋体"/>
          <w:b/>
          <w:bCs/>
          <w:color w:val="auto"/>
          <w:sz w:val="21"/>
          <w:szCs w:val="21"/>
          <w:highlight w:val="none"/>
          <w:lang w:val="zh-CN"/>
        </w:rPr>
      </w:pPr>
      <w:bookmarkStart w:id="9" w:name="_Toc520468904"/>
      <w:bookmarkStart w:id="10" w:name="_Toc4287"/>
      <w:r>
        <w:rPr>
          <w:rFonts w:hint="eastAsia" w:ascii="宋体" w:hAnsi="宋体" w:eastAsia="宋体" w:cs="宋体"/>
          <w:b/>
          <w:bCs/>
          <w:color w:val="auto"/>
          <w:sz w:val="21"/>
          <w:szCs w:val="21"/>
          <w:highlight w:val="none"/>
          <w:lang w:val="zh-CN"/>
        </w:rPr>
        <w:t>项目概况</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2026年眉县公安局智慧档案室建设的潜在供应商应在全国公共资源交易平台（陕西省·</w:t>
      </w:r>
      <w:r>
        <w:rPr>
          <w:rFonts w:hint="eastAsia" w:ascii="宋体" w:hAnsi="宋体" w:eastAsia="宋体" w:cs="宋体"/>
          <w:color w:val="auto"/>
          <w:sz w:val="21"/>
          <w:szCs w:val="21"/>
          <w:highlight w:val="none"/>
          <w:lang w:val="en-US" w:eastAsia="zh-CN"/>
        </w:rPr>
        <w:t>宝鸡市</w:t>
      </w:r>
      <w:r>
        <w:rPr>
          <w:rFonts w:hint="eastAsia" w:ascii="宋体" w:hAnsi="宋体" w:eastAsia="宋体" w:cs="宋体"/>
          <w:color w:val="auto"/>
          <w:sz w:val="21"/>
          <w:szCs w:val="21"/>
          <w:highlight w:val="none"/>
          <w:lang w:val="zh-CN"/>
        </w:rPr>
        <w:t>）网站〖首页〉电子交易平台〉陕西政府采购交易系统〉企业端〗获取采购文件，并于</w:t>
      </w:r>
      <w:r>
        <w:rPr>
          <w:rFonts w:hint="eastAsia" w:ascii="宋体" w:hAnsi="宋体" w:cs="宋体"/>
          <w:b w:val="0"/>
          <w:bCs w:val="0"/>
          <w:color w:val="auto"/>
          <w:sz w:val="21"/>
          <w:szCs w:val="21"/>
          <w:highlight w:val="none"/>
          <w:lang w:val="zh-CN"/>
        </w:rPr>
        <w:t>2026年03月18日09时00分</w:t>
      </w:r>
      <w:r>
        <w:rPr>
          <w:rFonts w:hint="eastAsia" w:ascii="宋体" w:hAnsi="宋体" w:eastAsia="宋体" w:cs="宋体"/>
          <w:color w:val="auto"/>
          <w:sz w:val="21"/>
          <w:szCs w:val="21"/>
          <w:highlight w:val="none"/>
          <w:lang w:val="zh-CN"/>
        </w:rPr>
        <w:t>（北京时间）前提交</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lang w:val="zh-CN"/>
        </w:rPr>
        <w:t>响应文件。</w:t>
      </w:r>
    </w:p>
    <w:p>
      <w:pPr>
        <w:autoSpaceDE w:val="0"/>
        <w:autoSpaceDN w:val="0"/>
        <w:adjustRightInd w:val="0"/>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一、项目基本情况</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项目编号：ZC2026-HW-054</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项目名称：2026年眉县公安局智慧档案室建设</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采购方式：竞争性谈判</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预算金额：1420000.00元</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采购需求：</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合同包1(2026年眉县公安局智慧档案室建设)</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合同包预算金额：1420000.00元</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合同包最高限价：1420000.00元</w:t>
      </w:r>
    </w:p>
    <w:tbl>
      <w:tblPr>
        <w:tblStyle w:val="31"/>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182"/>
        <w:gridCol w:w="1980"/>
        <w:gridCol w:w="972"/>
        <w:gridCol w:w="1364"/>
        <w:gridCol w:w="1382"/>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rPr>
              <w:t>品目号</w:t>
            </w:r>
          </w:p>
        </w:tc>
        <w:tc>
          <w:tcPr>
            <w:tcW w:w="1186"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rPr>
              <w:t>品目名称</w:t>
            </w:r>
          </w:p>
        </w:tc>
        <w:tc>
          <w:tcPr>
            <w:tcW w:w="199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rPr>
              <w:t>采购标的</w:t>
            </w:r>
          </w:p>
        </w:tc>
        <w:tc>
          <w:tcPr>
            <w:tcW w:w="974" w:type="dxa"/>
            <w:noWrap w:val="0"/>
            <w:vAlign w:val="center"/>
          </w:tcPr>
          <w:p>
            <w:pPr>
              <w:jc w:val="center"/>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数量</w:t>
            </w:r>
          </w:p>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rPr>
              <w:t>（单位）</w:t>
            </w:r>
          </w:p>
        </w:tc>
        <w:tc>
          <w:tcPr>
            <w:tcW w:w="137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rPr>
              <w:t>技术规格、参数及要求</w:t>
            </w:r>
          </w:p>
        </w:tc>
        <w:tc>
          <w:tcPr>
            <w:tcW w:w="138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rPr>
              <w:t>品目预算(元)</w:t>
            </w:r>
          </w:p>
        </w:tc>
        <w:tc>
          <w:tcPr>
            <w:tcW w:w="124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3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1-1</w:t>
            </w:r>
          </w:p>
        </w:tc>
        <w:tc>
          <w:tcPr>
            <w:tcW w:w="1186" w:type="dxa"/>
            <w:noWrap w:val="0"/>
            <w:vAlign w:val="center"/>
          </w:tcPr>
          <w:p>
            <w:pPr>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会议、广播及音乐欣赏系统</w:t>
            </w:r>
          </w:p>
        </w:tc>
        <w:tc>
          <w:tcPr>
            <w:tcW w:w="1990"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rPr>
              <w:t>2026年眉县公安局智慧档案室建设</w:t>
            </w:r>
          </w:p>
        </w:tc>
        <w:tc>
          <w:tcPr>
            <w:tcW w:w="97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1(项)</w:t>
            </w:r>
          </w:p>
        </w:tc>
        <w:tc>
          <w:tcPr>
            <w:tcW w:w="1370"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详见采购文件</w:t>
            </w:r>
          </w:p>
        </w:tc>
        <w:tc>
          <w:tcPr>
            <w:tcW w:w="1383" w:type="dxa"/>
            <w:noWrap w:val="0"/>
            <w:vAlign w:val="center"/>
          </w:tcPr>
          <w:p>
            <w:pPr>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 xml:space="preserve">1420000.00 </w:t>
            </w:r>
          </w:p>
        </w:tc>
        <w:tc>
          <w:tcPr>
            <w:tcW w:w="1241" w:type="dxa"/>
            <w:noWrap w:val="0"/>
            <w:vAlign w:val="center"/>
          </w:tcPr>
          <w:p>
            <w:pPr>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 xml:space="preserve">1420000.00 </w:t>
            </w:r>
          </w:p>
        </w:tc>
      </w:tr>
    </w:tbl>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本合同包接受联合体</w:t>
      </w:r>
      <w:r>
        <w:rPr>
          <w:rFonts w:hint="eastAsia" w:ascii="宋体" w:hAnsi="宋体" w:eastAsia="宋体" w:cs="宋体"/>
          <w:color w:val="auto"/>
          <w:sz w:val="21"/>
          <w:szCs w:val="21"/>
          <w:highlight w:val="none"/>
          <w:lang w:val="en-US" w:eastAsia="zh-CN"/>
        </w:rPr>
        <w:t>谈判</w:t>
      </w:r>
    </w:p>
    <w:p>
      <w:pPr>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合同履行期限：</w:t>
      </w:r>
      <w:r>
        <w:rPr>
          <w:rFonts w:hint="eastAsia" w:ascii="宋体" w:hAnsi="宋体" w:cs="宋体"/>
          <w:color w:val="auto"/>
          <w:sz w:val="21"/>
          <w:szCs w:val="21"/>
          <w:highlight w:val="none"/>
          <w:lang w:val="zh-CN"/>
        </w:rPr>
        <w:t>合同签订后60日历日内</w:t>
      </w:r>
    </w:p>
    <w:p>
      <w:pPr>
        <w:autoSpaceDE w:val="0"/>
        <w:autoSpaceDN w:val="0"/>
        <w:adjustRightInd w:val="0"/>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二、申请人的资格要求：</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1.满足《中华人民共和国政府釆购法》第二十二条规定；</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2.落实政府采购政策需满足的资格要求：</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本项目不属于专门面向中小企业采购项目</w:t>
      </w:r>
      <w:r>
        <w:rPr>
          <w:rFonts w:hint="eastAsia" w:ascii="宋体" w:hAnsi="宋体" w:eastAsia="宋体" w:cs="宋体"/>
          <w:color w:val="auto"/>
          <w:kern w:val="2"/>
          <w:sz w:val="21"/>
          <w:szCs w:val="21"/>
          <w:highlight w:val="none"/>
          <w:shd w:val="clear" w:color="auto" w:fill="FFFFFF"/>
          <w:lang w:val="en-US" w:eastAsia="zh-CN" w:bidi="ar-SA"/>
        </w:rPr>
        <w:t>。</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2.1落实的政府采购政策：</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合同包1(2026年眉县公安局智慧档案室建设)落实政府采购政策需满足的资格要求如下：</w:t>
      </w:r>
    </w:p>
    <w:p>
      <w:pPr>
        <w:shd w:val="clear" w:color="auto" w:fill="auto"/>
        <w:autoSpaceDE w:val="0"/>
        <w:autoSpaceDN w:val="0"/>
        <w:bidi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w:t>
      </w:r>
      <w:r>
        <w:rPr>
          <w:rFonts w:hint="eastAsia" w:ascii="宋体" w:hAnsi="宋体" w:eastAsia="宋体" w:cs="宋体"/>
          <w:color w:val="auto"/>
          <w:sz w:val="21"/>
          <w:szCs w:val="21"/>
          <w:highlight w:val="none"/>
          <w:lang w:val="zh-CN"/>
        </w:rPr>
        <w:t>）《政府采购促进中小企业发展管理办法》（财库〔2020〕46号）；</w:t>
      </w:r>
    </w:p>
    <w:p>
      <w:pPr>
        <w:shd w:val="clear" w:color="auto" w:fill="auto"/>
        <w:autoSpaceDE w:val="0"/>
        <w:autoSpaceDN w:val="0"/>
        <w:bidi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2</w:t>
      </w:r>
      <w:r>
        <w:rPr>
          <w:rFonts w:hint="eastAsia" w:ascii="宋体" w:hAnsi="宋体" w:eastAsia="宋体" w:cs="宋体"/>
          <w:color w:val="auto"/>
          <w:sz w:val="21"/>
          <w:szCs w:val="21"/>
          <w:highlight w:val="none"/>
          <w:lang w:val="zh-CN"/>
        </w:rPr>
        <w:t>）《财政部、司法部关于政府采购支持监狱企业发展有关问题的通知》（财库〔2014〕68号）；</w:t>
      </w:r>
    </w:p>
    <w:p>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）《财政部、民政部、中国残疾人联合会关于促进残疾人就业政府采购政策的通知》（财库[2017]141号）；</w:t>
      </w:r>
    </w:p>
    <w:p>
      <w:pPr>
        <w:widowControl w:val="0"/>
        <w:shd w:val="clear" w:color="auto" w:fill="auto"/>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）《财政部关于进一步加大政府采购支持中小企业力度的通知》（财库〔2022〕19号）；</w:t>
      </w:r>
    </w:p>
    <w:p>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）《陕西省财政厅关于</w:t>
      </w:r>
      <w:r>
        <w:rPr>
          <w:rFonts w:hint="eastAsia" w:ascii="宋体" w:hAnsi="宋体" w:eastAsia="宋体" w:cs="宋体"/>
          <w:color w:val="auto"/>
          <w:sz w:val="21"/>
          <w:szCs w:val="21"/>
          <w:highlight w:val="none"/>
          <w:lang w:val="en-US" w:eastAsia="zh-CN"/>
        </w:rPr>
        <w:t>落实政府采购支持中小企业政策有关事项的通知</w:t>
      </w:r>
      <w:r>
        <w:rPr>
          <w:rFonts w:hint="eastAsia" w:ascii="宋体" w:hAnsi="宋体" w:eastAsia="宋体" w:cs="宋体"/>
          <w:color w:val="auto"/>
          <w:sz w:val="21"/>
          <w:szCs w:val="21"/>
          <w:highlight w:val="none"/>
          <w:lang w:val="zh-CN"/>
        </w:rPr>
        <w:t>》（陕财办采〔202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号）；</w:t>
      </w:r>
    </w:p>
    <w:p>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）财政部、国家发展改革委关于印发《节能产品政府采购实施意见》的通知（财库[2004]185号）；</w:t>
      </w:r>
    </w:p>
    <w:p>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）《国务院办公厅关于建立政府强制采购节能产品制度的通知》（国办发〔2007〕51号）；</w:t>
      </w:r>
    </w:p>
    <w:p>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）《财政部、国家环保总局关于环境标志产品政府采购实施的意见》（财库[2006]90号）；</w:t>
      </w:r>
    </w:p>
    <w:p>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）《财政部、发展改革委、生态环境部、市场监管总局关于调整优化节能产品、环境标志产品政府采购执行机制的通知》（财库〔2019〕9号）；</w:t>
      </w:r>
    </w:p>
    <w:p>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）陕西省财政厅《关于进一步加强政府绿色采购有关问题的通知》（陕财办采〔2021〕29号）；</w:t>
      </w:r>
    </w:p>
    <w:p>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zh-CN"/>
        </w:rPr>
        <w:t>）《关于扩大政府采购支持绿色建材促进建筑品质提升政策实施范围的通知》财库〔2022〕35号；</w:t>
      </w:r>
    </w:p>
    <w:p>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）《关于运用政府采购政策支持乡村产业振兴的通知》（财库〔2021〕19号）；</w:t>
      </w:r>
    </w:p>
    <w:p>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val="zh-CN"/>
        </w:rPr>
        <w:t>）陕西省财政厅关于印发《陕西省中小企业政府采购信用融资办法》（陕财办采〔2018〕23号）；</w:t>
      </w:r>
    </w:p>
    <w:p>
      <w:pPr>
        <w:keepLines w:val="0"/>
        <w:pageBreakBefore w:val="0"/>
        <w:widowControl w:val="0"/>
        <w:shd w:val="clear" w:color="auto" w:fill="auto"/>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zh-CN"/>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zh-CN" w:eastAsia="zh-CN"/>
        </w:rPr>
        <w:t>）其他需要落实的政府采购政策。</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3.本项目的特定资格要求：</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合同包1(2026年眉县公安局智慧档案室建设)特定资格要求如下:</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zh-CN"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zh-CN" w:eastAsia="zh-CN"/>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（2）须具备省级及以上国家保密局颁发的《国家秘密载体印制资质》乙级或以上资质（内容包含“涉密档案数字化加工”类）</w:t>
      </w:r>
      <w:r>
        <w:rPr>
          <w:rFonts w:hint="eastAsia" w:ascii="宋体" w:hAnsi="宋体" w:cs="宋体"/>
          <w:b w:val="0"/>
          <w:bCs w:val="0"/>
          <w:color w:val="auto"/>
          <w:sz w:val="21"/>
          <w:szCs w:val="21"/>
          <w:highlight w:val="none"/>
          <w:lang w:val="zh-CN" w:eastAsia="zh-CN"/>
        </w:rPr>
        <w:t>；</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eastAsia="zh-CN"/>
        </w:rPr>
        <w:t>）</w:t>
      </w:r>
      <w:r>
        <w:rPr>
          <w:rFonts w:hint="eastAsia" w:ascii="宋体" w:hAnsi="宋体" w:cs="宋体"/>
          <w:b w:val="0"/>
          <w:bCs w:val="0"/>
          <w:color w:val="auto"/>
          <w:sz w:val="21"/>
          <w:szCs w:val="21"/>
          <w:highlight w:val="none"/>
          <w:lang w:val="zh-CN" w:eastAsia="zh-CN"/>
        </w:rPr>
        <w:t>供应商应具备建设行政主管部门颁发的工程设计综合甲级资质或建筑行业工程设计丙级</w:t>
      </w:r>
      <w:r>
        <w:rPr>
          <w:rFonts w:hint="eastAsia" w:ascii="宋体" w:hAnsi="宋体" w:eastAsia="宋体" w:cs="宋体"/>
          <w:b w:val="0"/>
          <w:bCs w:val="0"/>
          <w:color w:val="auto"/>
          <w:sz w:val="21"/>
          <w:szCs w:val="21"/>
          <w:highlight w:val="none"/>
          <w:lang w:val="zh-CN" w:eastAsia="zh-CN"/>
        </w:rPr>
        <w:t>及以上资质或建筑行业（建筑工程）设计丙级及以上资质</w:t>
      </w:r>
      <w:r>
        <w:rPr>
          <w:rFonts w:hint="eastAsia" w:ascii="宋体" w:hAnsi="宋体" w:cs="宋体"/>
          <w:b w:val="0"/>
          <w:bCs w:val="0"/>
          <w:color w:val="auto"/>
          <w:sz w:val="21"/>
          <w:szCs w:val="21"/>
          <w:highlight w:val="none"/>
          <w:lang w:val="zh-CN" w:eastAsia="zh-CN"/>
        </w:rPr>
        <w:t>，拟派设计项目负责人应具备二级及以上注册结构师执业资格或二级及以上注册建筑师执业资格；</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zh-CN" w:eastAsia="zh-CN"/>
        </w:rPr>
        <w:t>）供应商应具备应具备建设行政主管部门核发的建筑工程施工总承包三级及以上资质，并具有有效的安全生产许可证；供应商拟派</w:t>
      </w:r>
      <w:r>
        <w:rPr>
          <w:rFonts w:hint="eastAsia" w:ascii="宋体" w:hAnsi="宋体" w:cs="宋体"/>
          <w:b w:val="0"/>
          <w:bCs w:val="0"/>
          <w:color w:val="auto"/>
          <w:sz w:val="21"/>
          <w:szCs w:val="21"/>
          <w:highlight w:val="none"/>
          <w:lang w:val="en-US" w:eastAsia="zh-CN"/>
        </w:rPr>
        <w:t>施工</w:t>
      </w:r>
      <w:r>
        <w:rPr>
          <w:rFonts w:hint="eastAsia" w:ascii="宋体" w:hAnsi="宋体" w:eastAsia="宋体" w:cs="宋体"/>
          <w:b w:val="0"/>
          <w:bCs w:val="0"/>
          <w:color w:val="auto"/>
          <w:sz w:val="21"/>
          <w:szCs w:val="21"/>
          <w:highlight w:val="none"/>
          <w:lang w:val="zh-CN" w:eastAsia="zh-CN"/>
        </w:rPr>
        <w:t>项目负责人具有建筑工程专业二级及以上注册建造师执业资格，具有有效的安全生产考核合格证书（建安B证），在本单位注册，且未担任其他在建工程项目的项目负责人；</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zh-CN" w:eastAsia="zh-CN"/>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）本项目接受联合体</w:t>
      </w:r>
      <w:r>
        <w:rPr>
          <w:rFonts w:hint="eastAsia" w:ascii="宋体" w:hAnsi="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lang w:val="en-US" w:eastAsia="zh-CN"/>
        </w:rPr>
        <w:t>，联合体参加</w:t>
      </w:r>
      <w:r>
        <w:rPr>
          <w:rFonts w:hint="eastAsia" w:ascii="宋体" w:hAnsi="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lang w:val="en-US" w:eastAsia="zh-CN"/>
        </w:rPr>
        <w:t>的，应满足下列要求：</w:t>
      </w:r>
      <w:r>
        <w:rPr>
          <w:rFonts w:hint="eastAsia" w:ascii="宋体" w:hAnsi="宋体" w:cs="宋体"/>
          <w:b w:val="0"/>
          <w:bCs w:val="0"/>
          <w:color w:val="auto"/>
          <w:sz w:val="21"/>
          <w:szCs w:val="21"/>
          <w:highlight w:val="none"/>
          <w:lang w:val="en-US" w:eastAsia="zh-CN"/>
        </w:rPr>
        <w:t>联合体成员数量不得超过3家</w:t>
      </w:r>
      <w:r>
        <w:rPr>
          <w:rFonts w:hint="eastAsia" w:ascii="宋体" w:hAnsi="宋体" w:eastAsia="宋体" w:cs="宋体"/>
          <w:b w:val="0"/>
          <w:bCs w:val="0"/>
          <w:color w:val="auto"/>
          <w:sz w:val="21"/>
          <w:szCs w:val="21"/>
          <w:highlight w:val="none"/>
          <w:lang w:val="en-US" w:eastAsia="zh-CN"/>
        </w:rPr>
        <w:t>，联合体须由</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涉密档案数字化加工</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单位牵头，联合体牵头单位代表联合体各方办理本项目</w:t>
      </w:r>
      <w:r>
        <w:rPr>
          <w:rFonts w:hint="eastAsia" w:ascii="宋体" w:hAnsi="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lang w:val="en-US" w:eastAsia="zh-CN"/>
        </w:rPr>
        <w:t>活动过程中的一切事务。牵头单位和其法定代表人或其委托代理人的印章或签字代表联合体各成员单位相应的印章或签字。联合体各方不得再以自己的名义单独或参加其他联合体在本项目的</w:t>
      </w:r>
      <w:r>
        <w:rPr>
          <w:rFonts w:hint="eastAsia" w:ascii="宋体" w:hAnsi="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lang w:val="en-US" w:eastAsia="zh-CN"/>
        </w:rPr>
        <w:t>，否则</w:t>
      </w:r>
      <w:r>
        <w:rPr>
          <w:rFonts w:hint="eastAsia" w:ascii="宋体" w:hAnsi="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lang w:val="en-US" w:eastAsia="zh-CN"/>
        </w:rPr>
        <w:t>响应将被拒绝。以上证明资料涉及到联合体的，须同时提供联合体牵头人及联合体成员资料（联合体单位参加</w:t>
      </w:r>
      <w:r>
        <w:rPr>
          <w:rFonts w:hint="eastAsia" w:ascii="宋体" w:hAnsi="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lang w:val="en-US" w:eastAsia="zh-CN"/>
        </w:rPr>
        <w:t>的，证明资料中“法定代表人身份证明或法定代表人授权书”仅须由牵头单位出具）。</w:t>
      </w:r>
    </w:p>
    <w:p>
      <w:pPr>
        <w:autoSpaceDE w:val="0"/>
        <w:autoSpaceDN w:val="0"/>
        <w:adjustRightInd w:val="0"/>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三、获取采购文件</w:t>
      </w:r>
    </w:p>
    <w:p>
      <w:pPr>
        <w:autoSpaceDE w:val="0"/>
        <w:autoSpaceDN w:val="0"/>
        <w:adjustRightInd w:val="0"/>
        <w:spacing w:line="360" w:lineRule="auto"/>
        <w:ind w:firstLine="369" w:firstLineChars="175"/>
        <w:rPr>
          <w:rFonts w:hint="eastAsia" w:ascii="宋体" w:hAnsi="宋体" w:eastAsia="宋体" w:cs="宋体"/>
          <w:color w:val="auto"/>
          <w:sz w:val="21"/>
          <w:szCs w:val="21"/>
          <w:highlight w:val="none"/>
          <w:lang w:val="zh-CN" w:eastAsia="zh-CN"/>
        </w:rPr>
      </w:pPr>
      <w:r>
        <w:rPr>
          <w:rFonts w:hint="eastAsia" w:ascii="宋体" w:hAnsi="宋体" w:eastAsia="宋体" w:cs="宋体"/>
          <w:b/>
          <w:bCs/>
          <w:color w:val="auto"/>
          <w:sz w:val="21"/>
          <w:szCs w:val="21"/>
          <w:highlight w:val="none"/>
          <w:lang w:val="zh-CN"/>
        </w:rPr>
        <w:t xml:space="preserve">时间： </w:t>
      </w:r>
      <w:r>
        <w:rPr>
          <w:rFonts w:hint="eastAsia" w:ascii="宋体" w:hAnsi="宋体" w:eastAsia="宋体" w:cs="宋体"/>
          <w:b w:val="0"/>
          <w:bCs w:val="0"/>
          <w:color w:val="auto"/>
          <w:sz w:val="21"/>
          <w:szCs w:val="21"/>
          <w:highlight w:val="none"/>
          <w:lang w:val="zh-CN"/>
        </w:rPr>
        <w:t>2026年03月</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zh-CN"/>
        </w:rPr>
        <w:t>日至2026年03月</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zh-CN"/>
        </w:rPr>
        <w:t>日</w:t>
      </w:r>
      <w:r>
        <w:rPr>
          <w:rFonts w:hint="eastAsia" w:ascii="宋体" w:hAnsi="宋体" w:eastAsia="宋体" w:cs="宋体"/>
          <w:color w:val="auto"/>
          <w:sz w:val="21"/>
          <w:szCs w:val="21"/>
          <w:highlight w:val="none"/>
          <w:lang w:val="zh-CN"/>
        </w:rPr>
        <w:t>，每天上午00:00:00至12:00:00，下午12:00:00至23:59:59（北京时间）</w:t>
      </w:r>
    </w:p>
    <w:p>
      <w:pPr>
        <w:autoSpaceDE w:val="0"/>
        <w:autoSpaceDN w:val="0"/>
        <w:adjustRightInd w:val="0"/>
        <w:spacing w:line="360" w:lineRule="auto"/>
        <w:ind w:firstLine="422"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zh-CN" w:eastAsia="zh-CN"/>
        </w:rPr>
        <w:t>途径</w:t>
      </w:r>
      <w:r>
        <w:rPr>
          <w:rFonts w:hint="eastAsia" w:ascii="宋体" w:hAnsi="宋体" w:eastAsia="宋体" w:cs="宋体"/>
          <w:b/>
          <w:bCs/>
          <w:color w:val="auto"/>
          <w:sz w:val="21"/>
          <w:szCs w:val="21"/>
          <w:highlight w:val="none"/>
          <w:lang w:val="zh-CN"/>
        </w:rPr>
        <w:t>：</w:t>
      </w:r>
      <w:r>
        <w:rPr>
          <w:rFonts w:hint="eastAsia" w:ascii="宋体" w:hAnsi="宋体" w:eastAsia="宋体" w:cs="宋体"/>
          <w:b w:val="0"/>
          <w:bCs w:val="0"/>
          <w:color w:val="auto"/>
          <w:sz w:val="21"/>
          <w:szCs w:val="21"/>
          <w:highlight w:val="none"/>
          <w:lang w:val="zh-CN"/>
        </w:rPr>
        <w:t>全国公共资源交易平台（陕西省·</w:t>
      </w:r>
      <w:r>
        <w:rPr>
          <w:rFonts w:hint="eastAsia" w:ascii="宋体" w:hAnsi="宋体" w:eastAsia="宋体" w:cs="宋体"/>
          <w:b w:val="0"/>
          <w:bCs w:val="0"/>
          <w:color w:val="auto"/>
          <w:sz w:val="21"/>
          <w:szCs w:val="21"/>
          <w:highlight w:val="none"/>
          <w:lang w:val="en-US" w:eastAsia="zh-CN"/>
        </w:rPr>
        <w:t>宝鸡市</w:t>
      </w:r>
      <w:r>
        <w:rPr>
          <w:rFonts w:hint="eastAsia" w:ascii="宋体" w:hAnsi="宋体" w:eastAsia="宋体" w:cs="宋体"/>
          <w:b w:val="0"/>
          <w:bCs w:val="0"/>
          <w:color w:val="auto"/>
          <w:sz w:val="21"/>
          <w:szCs w:val="21"/>
          <w:highlight w:val="none"/>
          <w:lang w:val="zh-CN"/>
        </w:rPr>
        <w:t>）网站〖首页〉电子交易平台〉陕西政府采购交易系统〉企业端〗</w:t>
      </w:r>
    </w:p>
    <w:p>
      <w:pPr>
        <w:autoSpaceDE w:val="0"/>
        <w:autoSpaceDN w:val="0"/>
        <w:adjustRightInd w:val="0"/>
        <w:spacing w:line="360" w:lineRule="auto"/>
        <w:ind w:firstLine="422" w:firstLineChars="200"/>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bCs/>
          <w:color w:val="auto"/>
          <w:sz w:val="21"/>
          <w:szCs w:val="21"/>
          <w:highlight w:val="none"/>
          <w:lang w:val="zh-CN"/>
        </w:rPr>
        <w:t>方式：</w:t>
      </w:r>
      <w:r>
        <w:rPr>
          <w:rFonts w:hint="eastAsia" w:ascii="宋体" w:hAnsi="宋体" w:eastAsia="宋体" w:cs="宋体"/>
          <w:b w:val="0"/>
          <w:bCs w:val="0"/>
          <w:color w:val="auto"/>
          <w:sz w:val="21"/>
          <w:szCs w:val="21"/>
          <w:highlight w:val="none"/>
          <w:lang w:val="zh-CN"/>
        </w:rPr>
        <w:t>在线获取</w:t>
      </w:r>
      <w:r>
        <w:rPr>
          <w:rFonts w:hint="eastAsia" w:ascii="宋体" w:hAnsi="宋体" w:eastAsia="宋体" w:cs="宋体"/>
          <w:b w:val="0"/>
          <w:bCs w:val="0"/>
          <w:color w:val="auto"/>
          <w:sz w:val="21"/>
          <w:szCs w:val="21"/>
          <w:highlight w:val="none"/>
          <w:lang w:val="zh-CN" w:eastAsia="zh-CN"/>
        </w:rPr>
        <w:t xml:space="preserve">   </w:t>
      </w:r>
    </w:p>
    <w:p>
      <w:pPr>
        <w:autoSpaceDE w:val="0"/>
        <w:autoSpaceDN w:val="0"/>
        <w:adjustRightInd w:val="0"/>
        <w:spacing w:line="360" w:lineRule="auto"/>
        <w:ind w:firstLine="422"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zh-CN"/>
        </w:rPr>
        <w:t>售价：</w:t>
      </w:r>
      <w:r>
        <w:rPr>
          <w:rFonts w:hint="eastAsia" w:ascii="宋体" w:hAnsi="宋体" w:eastAsia="宋体" w:cs="宋体"/>
          <w:b w:val="0"/>
          <w:bCs w:val="0"/>
          <w:color w:val="auto"/>
          <w:sz w:val="21"/>
          <w:szCs w:val="21"/>
          <w:highlight w:val="none"/>
          <w:lang w:val="zh-CN"/>
        </w:rPr>
        <w:t>免费获取</w:t>
      </w:r>
    </w:p>
    <w:p>
      <w:pPr>
        <w:autoSpaceDE w:val="0"/>
        <w:autoSpaceDN w:val="0"/>
        <w:adjustRightInd w:val="0"/>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四、响应文件提交</w:t>
      </w:r>
    </w:p>
    <w:p>
      <w:pPr>
        <w:autoSpaceDE w:val="0"/>
        <w:autoSpaceDN w:val="0"/>
        <w:adjustRightInd w:val="0"/>
        <w:spacing w:line="360" w:lineRule="auto"/>
        <w:ind w:firstLine="422"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zh-CN"/>
        </w:rPr>
        <w:t>截止时间：</w:t>
      </w:r>
      <w:r>
        <w:rPr>
          <w:rFonts w:hint="eastAsia" w:ascii="宋体" w:hAnsi="宋体" w:eastAsia="宋体" w:cs="宋体"/>
          <w:b w:val="0"/>
          <w:bCs w:val="0"/>
          <w:color w:val="auto"/>
          <w:sz w:val="21"/>
          <w:szCs w:val="21"/>
          <w:highlight w:val="none"/>
          <w:lang w:val="zh-CN"/>
        </w:rPr>
        <w:t>2026年03月</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val="zh-CN"/>
        </w:rPr>
        <w:t>日09时00分00秒（北京时间）</w:t>
      </w:r>
    </w:p>
    <w:p>
      <w:pPr>
        <w:autoSpaceDE w:val="0"/>
        <w:autoSpaceDN w:val="0"/>
        <w:adjustRightInd w:val="0"/>
        <w:spacing w:line="360" w:lineRule="auto"/>
        <w:ind w:firstLine="422"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zh-CN"/>
        </w:rPr>
        <w:t>地点：</w:t>
      </w:r>
      <w:r>
        <w:rPr>
          <w:rFonts w:hint="eastAsia" w:ascii="宋体" w:hAnsi="宋体" w:eastAsia="宋体" w:cs="宋体"/>
          <w:b w:val="0"/>
          <w:bCs w:val="0"/>
          <w:color w:val="auto"/>
          <w:sz w:val="21"/>
          <w:szCs w:val="21"/>
          <w:highlight w:val="none"/>
          <w:lang w:val="zh-CN"/>
        </w:rPr>
        <w:t>全国公共资源交易平台（陕西省•宝鸡市）网站〖首页〉电子交易平台〉陕西政府采购交易系统〉企业端〗，在线提交</w:t>
      </w:r>
    </w:p>
    <w:p>
      <w:pPr>
        <w:autoSpaceDE w:val="0"/>
        <w:autoSpaceDN w:val="0"/>
        <w:adjustRightInd w:val="0"/>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五、开启</w:t>
      </w:r>
    </w:p>
    <w:p>
      <w:pPr>
        <w:autoSpaceDE w:val="0"/>
        <w:autoSpaceDN w:val="0"/>
        <w:adjustRightInd w:val="0"/>
        <w:spacing w:line="360" w:lineRule="auto"/>
        <w:ind w:firstLine="422"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zh-CN"/>
        </w:rPr>
        <w:t>时间：</w:t>
      </w:r>
      <w:r>
        <w:rPr>
          <w:rFonts w:hint="eastAsia" w:ascii="宋体" w:hAnsi="宋体" w:cs="宋体"/>
          <w:b w:val="0"/>
          <w:bCs w:val="0"/>
          <w:color w:val="auto"/>
          <w:sz w:val="21"/>
          <w:szCs w:val="21"/>
          <w:highlight w:val="none"/>
          <w:lang w:val="zh-CN"/>
        </w:rPr>
        <w:t>2026年03月18日09时00分</w:t>
      </w:r>
      <w:r>
        <w:rPr>
          <w:rFonts w:hint="eastAsia" w:ascii="宋体" w:hAnsi="宋体" w:eastAsia="宋体" w:cs="宋体"/>
          <w:b w:val="0"/>
          <w:bCs w:val="0"/>
          <w:color w:val="auto"/>
          <w:sz w:val="21"/>
          <w:szCs w:val="21"/>
          <w:highlight w:val="none"/>
          <w:lang w:val="zh-CN"/>
        </w:rPr>
        <w:t>00秒（北京时间）</w:t>
      </w:r>
    </w:p>
    <w:p>
      <w:pPr>
        <w:autoSpaceDE w:val="0"/>
        <w:autoSpaceDN w:val="0"/>
        <w:adjustRightInd w:val="0"/>
        <w:spacing w:line="360" w:lineRule="auto"/>
        <w:ind w:firstLine="422"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b/>
          <w:bCs/>
          <w:color w:val="auto"/>
          <w:sz w:val="21"/>
          <w:szCs w:val="21"/>
          <w:highlight w:val="none"/>
          <w:lang w:val="zh-CN"/>
        </w:rPr>
        <w:t>地点：</w:t>
      </w:r>
      <w:r>
        <w:rPr>
          <w:rFonts w:hint="eastAsia" w:ascii="宋体" w:hAnsi="宋体" w:eastAsia="宋体" w:cs="宋体"/>
          <w:b w:val="0"/>
          <w:bCs w:val="0"/>
          <w:color w:val="auto"/>
          <w:sz w:val="21"/>
          <w:szCs w:val="21"/>
          <w:highlight w:val="none"/>
          <w:lang w:val="zh-CN"/>
        </w:rPr>
        <w:t>全国公共资源交易平台（陕西省•宝鸡市）不见面开标大厅</w:t>
      </w:r>
    </w:p>
    <w:p>
      <w:pPr>
        <w:autoSpaceDE w:val="0"/>
        <w:autoSpaceDN w:val="0"/>
        <w:adjustRightInd w:val="0"/>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六、公告期限</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自本公告发布之日起3个工作日。</w:t>
      </w:r>
    </w:p>
    <w:p>
      <w:pPr>
        <w:autoSpaceDE w:val="0"/>
        <w:autoSpaceDN w:val="0"/>
        <w:adjustRightInd w:val="0"/>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val="zh-CN"/>
        </w:rPr>
        <w:t>、其他补充事宜</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1、供应商按照陕西省财政厅关于政府采购供应商注册登记有关事项的通知中的要求，通过陕西省政府采购网（http://www.ccgp-shaanxi.gov.cn/）注册登记成为陕西省政府采购注册供应商。</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2、供应商可登录全国公共资源交易平台（陕西省·宝鸡市），选择本项目点击“我要投标”，未完成网上投标成功的或未在规定时间内在平台上下载文件的，无法完成后续流程。</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本项目采用电子化投标及不见面方式（无需提供纸质版文件）的方式，相关操作流程详见全国公共资源交易平台（陕西省）网站[服务指南-下载专区]中的《陕西省公共资源交易中心政府采购项目投标指南》；因供应商自身设施故障或自身原因导致无法完成签到或投标的，由供应商自行承担后果。</w:t>
      </w:r>
    </w:p>
    <w:p>
      <w:pPr>
        <w:autoSpaceDE w:val="0"/>
        <w:autoSpaceDN w:val="0"/>
        <w:adjustRightIn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4、电子谈判文件技术支持：4009280095、4009980000。 </w:t>
      </w:r>
    </w:p>
    <w:p>
      <w:pPr>
        <w:autoSpaceDE w:val="0"/>
        <w:autoSpaceDN w:val="0"/>
        <w:adjustRightInd w:val="0"/>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val="zh-CN"/>
        </w:rPr>
        <w:t>、凡对本次采购提出询问，请按以下方式联系。</w:t>
      </w:r>
    </w:p>
    <w:p>
      <w:pPr>
        <w:widowControl/>
        <w:wordWrap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1.釆购人信息</w:t>
      </w:r>
    </w:p>
    <w:p>
      <w:pPr>
        <w:pStyle w:val="25"/>
        <w:widowControl/>
        <w:wordWrap w:val="0"/>
        <w:adjustRightInd w:val="0"/>
        <w:snapToGrid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val="en-US" w:eastAsia="zh-CN"/>
        </w:rPr>
        <w:t>眉县公安局</w:t>
      </w:r>
    </w:p>
    <w:p>
      <w:pPr>
        <w:pStyle w:val="25"/>
        <w:widowControl/>
        <w:wordWrap w:val="0"/>
        <w:adjustRightInd w:val="0"/>
        <w:snapToGrid w:val="0"/>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地址：眉县首善镇眉坞大道西段</w:t>
      </w:r>
    </w:p>
    <w:p>
      <w:pPr>
        <w:pStyle w:val="25"/>
        <w:widowControl/>
        <w:wordWrap w:val="0"/>
        <w:adjustRightInd w:val="0"/>
        <w:snapToGrid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联系方式：0917-5549130</w:t>
      </w:r>
    </w:p>
    <w:p>
      <w:pPr>
        <w:widowControl/>
        <w:wordWrap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2.釆购代理机构信息</w:t>
      </w:r>
    </w:p>
    <w:p>
      <w:pPr>
        <w:pStyle w:val="25"/>
        <w:widowControl/>
        <w:wordWrap w:val="0"/>
        <w:adjustRightInd w:val="0"/>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名称：陕西中采项目管理有限公司</w:t>
      </w:r>
    </w:p>
    <w:p>
      <w:pPr>
        <w:pStyle w:val="25"/>
        <w:widowControl/>
        <w:wordWrap w:val="0"/>
        <w:adjustRightInd w:val="0"/>
        <w:snapToGrid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西安市高新三路9号信息港大厦5层506号</w:t>
      </w:r>
    </w:p>
    <w:p>
      <w:pPr>
        <w:pStyle w:val="25"/>
        <w:widowControl/>
        <w:wordWrap w:val="0"/>
        <w:adjustRightInd w:val="0"/>
        <w:snapToGrid w:val="0"/>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029-88856058</w:t>
      </w:r>
    </w:p>
    <w:p>
      <w:pPr>
        <w:widowControl/>
        <w:wordWrap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pPr>
        <w:pStyle w:val="25"/>
        <w:widowControl/>
        <w:wordWrap w:val="0"/>
        <w:adjustRightInd w:val="0"/>
        <w:snapToGrid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符宇寒、刘静静</w:t>
      </w:r>
    </w:p>
    <w:p>
      <w:pPr>
        <w:pStyle w:val="25"/>
        <w:widowControl/>
        <w:wordWrap w:val="0"/>
        <w:adjustRightInd w:val="0"/>
        <w:snapToGrid w:val="0"/>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029-88856058</w:t>
      </w:r>
    </w:p>
    <w:p>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p>
      <w:pPr>
        <w:snapToGrid/>
        <w:spacing w:line="240" w:lineRule="auto"/>
        <w:jc w:val="left"/>
        <w:outlineLvl w:val="9"/>
        <w:rPr>
          <w:rFonts w:hint="eastAsia" w:ascii="宋体" w:hAnsi="宋体" w:eastAsia="宋体" w:cs="宋体"/>
          <w:b/>
          <w:bCs/>
          <w:color w:val="auto"/>
          <w:sz w:val="32"/>
          <w:szCs w:val="32"/>
          <w:highlight w:val="none"/>
          <w:lang w:val="en-US" w:eastAsia="zh-CN"/>
        </w:rPr>
      </w:pPr>
      <w:bookmarkStart w:id="11" w:name="_Toc18932"/>
      <w:bookmarkStart w:id="12" w:name="_Toc13141"/>
      <w:r>
        <w:rPr>
          <w:rFonts w:hint="eastAsia" w:ascii="宋体" w:hAnsi="宋体" w:eastAsia="宋体" w:cs="宋体"/>
          <w:b/>
          <w:bCs/>
          <w:color w:val="auto"/>
          <w:sz w:val="32"/>
          <w:szCs w:val="32"/>
          <w:highlight w:val="none"/>
          <w:lang w:val="zh-CN"/>
        </w:rPr>
        <w:br w:type="page"/>
      </w:r>
    </w:p>
    <w:p>
      <w:pPr>
        <w:snapToGrid w:val="0"/>
        <w:spacing w:line="360" w:lineRule="auto"/>
        <w:jc w:val="center"/>
        <w:outlineLvl w:val="0"/>
        <w:rPr>
          <w:rFonts w:hint="eastAsia" w:ascii="宋体" w:hAnsi="宋体" w:eastAsia="宋体" w:cs="宋体"/>
          <w:b/>
          <w:bCs/>
          <w:color w:val="auto"/>
          <w:sz w:val="32"/>
          <w:szCs w:val="32"/>
          <w:highlight w:val="none"/>
          <w:lang w:val="zh-CN"/>
        </w:rPr>
      </w:pPr>
      <w:bookmarkStart w:id="13" w:name="_Toc8037"/>
      <w:bookmarkStart w:id="14" w:name="_Toc26069"/>
      <w:r>
        <w:rPr>
          <w:rFonts w:hint="eastAsia" w:ascii="宋体" w:hAnsi="宋体" w:eastAsia="宋体" w:cs="宋体"/>
          <w:b/>
          <w:bCs/>
          <w:color w:val="auto"/>
          <w:sz w:val="32"/>
          <w:szCs w:val="32"/>
          <w:highlight w:val="none"/>
          <w:lang w:val="zh-CN"/>
        </w:rPr>
        <w:t>第二</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lang w:val="zh-CN"/>
        </w:rPr>
        <w:t xml:space="preserve"> 供应商须知</w:t>
      </w:r>
      <w:bookmarkEnd w:id="9"/>
      <w:bookmarkEnd w:id="10"/>
      <w:bookmarkEnd w:id="11"/>
      <w:bookmarkEnd w:id="12"/>
      <w:bookmarkEnd w:id="13"/>
      <w:bookmarkEnd w:id="14"/>
    </w:p>
    <w:p>
      <w:pPr>
        <w:spacing w:line="360" w:lineRule="auto"/>
        <w:jc w:val="center"/>
        <w:rPr>
          <w:rFonts w:hint="eastAsia" w:ascii="宋体" w:hAnsi="宋体" w:eastAsia="宋体" w:cs="宋体"/>
          <w:b/>
          <w:color w:val="auto"/>
          <w:sz w:val="24"/>
          <w:highlight w:val="none"/>
        </w:rPr>
      </w:pPr>
      <w:bookmarkStart w:id="15" w:name="_Toc520468905"/>
      <w:bookmarkStart w:id="16" w:name="_Toc10454"/>
      <w:bookmarkStart w:id="17" w:name="_Toc15068"/>
      <w:bookmarkStart w:id="18" w:name="_Toc29294"/>
      <w:bookmarkStart w:id="19" w:name="_Toc25106"/>
      <w:r>
        <w:rPr>
          <w:rFonts w:hint="eastAsia" w:ascii="宋体" w:hAnsi="宋体" w:eastAsia="宋体" w:cs="宋体"/>
          <w:b/>
          <w:color w:val="auto"/>
          <w:sz w:val="24"/>
          <w:highlight w:val="none"/>
        </w:rPr>
        <w:t>供应商须知前附表</w:t>
      </w:r>
    </w:p>
    <w:tbl>
      <w:tblPr>
        <w:tblStyle w:val="30"/>
        <w:tblW w:w="92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551"/>
        <w:gridCol w:w="56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2" w:type="dxa"/>
            <w:vAlign w:val="center"/>
          </w:tcPr>
          <w:p>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2551" w:type="dxa"/>
            <w:vAlign w:val="center"/>
          </w:tcPr>
          <w:p>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条款名称</w:t>
            </w:r>
          </w:p>
        </w:tc>
        <w:tc>
          <w:tcPr>
            <w:tcW w:w="5670" w:type="dxa"/>
            <w:vAlign w:val="center"/>
          </w:tcPr>
          <w:p>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1.1.2</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5670" w:type="dxa"/>
            <w:vAlign w:val="center"/>
          </w:tcPr>
          <w:p>
            <w:pPr>
              <w:spacing w:line="360" w:lineRule="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color w:val="auto"/>
                <w:highlight w:val="none"/>
              </w:rPr>
              <w:t>名</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称：</w:t>
            </w:r>
            <w:r>
              <w:rPr>
                <w:rFonts w:hint="eastAsia" w:ascii="宋体" w:hAnsi="宋体" w:cs="宋体"/>
                <w:color w:val="auto"/>
                <w:szCs w:val="24"/>
                <w:highlight w:val="none"/>
                <w:lang w:eastAsia="zh-CN"/>
              </w:rPr>
              <w:t>眉县公安局</w:t>
            </w:r>
          </w:p>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highlight w:val="none"/>
              </w:rPr>
              <w:t>地</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址：</w:t>
            </w:r>
            <w:r>
              <w:rPr>
                <w:rFonts w:hint="eastAsia" w:ascii="宋体" w:hAnsi="宋体" w:cs="宋体"/>
                <w:color w:val="auto"/>
                <w:szCs w:val="24"/>
                <w:highlight w:val="none"/>
                <w:lang w:eastAsia="zh-CN"/>
              </w:rPr>
              <w:t>眉县首善镇眉坞大道西段</w:t>
            </w:r>
          </w:p>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电</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话：0917-5549130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1.1.3</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采购代理机构</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名</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称：陕西中采项目管理有限公司</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址：西安市高新区高新三路9号新时代大厦西四楼</w:t>
            </w:r>
          </w:p>
          <w:p>
            <w:pPr>
              <w:widowControl/>
              <w:spacing w:line="360" w:lineRule="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color w:val="auto"/>
                <w:highlight w:val="none"/>
              </w:rPr>
              <w:t>联系人：符宇寒、刘静静、毛鑫</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电</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话：</w:t>
            </w:r>
            <w:r>
              <w:rPr>
                <w:rFonts w:hint="eastAsia" w:ascii="宋体" w:hAnsi="宋体" w:eastAsia="宋体" w:cs="宋体"/>
                <w:color w:val="auto"/>
                <w:szCs w:val="24"/>
                <w:highlight w:val="none"/>
                <w:lang w:eastAsia="zh-CN"/>
              </w:rPr>
              <w:t>029-88856058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1.1.4</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cs="宋体"/>
                <w:color w:val="auto"/>
                <w:highlight w:val="none"/>
                <w:lang w:val="zh-CN"/>
              </w:rPr>
              <w:t>2026年眉县公安局智慧档案室建设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资金来源及比例</w:t>
            </w:r>
          </w:p>
        </w:tc>
        <w:tc>
          <w:tcPr>
            <w:tcW w:w="5670" w:type="dxa"/>
            <w:vAlign w:val="center"/>
          </w:tcPr>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财政</w:t>
            </w:r>
            <w:r>
              <w:rPr>
                <w:rFonts w:hint="eastAsia" w:ascii="宋体" w:hAnsi="宋体" w:eastAsia="宋体" w:cs="宋体"/>
                <w:color w:val="auto"/>
                <w:highlight w:val="none"/>
              </w:rPr>
              <w:t>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资金落实情况</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项目资金已落实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采购范围</w:t>
            </w:r>
          </w:p>
        </w:tc>
        <w:tc>
          <w:tcPr>
            <w:tcW w:w="5670" w:type="dxa"/>
            <w:vAlign w:val="center"/>
          </w:tcPr>
          <w:p>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val="zh-CN" w:eastAsia="zh-CN"/>
              </w:rPr>
              <w:t>2026年眉县公安局智慧档案室建设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1.3.2</w:t>
            </w:r>
          </w:p>
        </w:tc>
        <w:tc>
          <w:tcPr>
            <w:tcW w:w="2551" w:type="dxa"/>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合同履约期</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cs="宋体"/>
                <w:color w:val="auto"/>
                <w:highlight w:val="none"/>
                <w:lang w:val="zh-CN"/>
              </w:rPr>
              <w:t>合同签订后60日历日内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2551" w:type="dxa"/>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实施地点</w:t>
            </w:r>
          </w:p>
        </w:tc>
        <w:tc>
          <w:tcPr>
            <w:tcW w:w="5670" w:type="dxa"/>
            <w:vAlign w:val="center"/>
          </w:tcPr>
          <w:p>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眉县公安局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1.3.5</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符合国家及行业质量验收合格标准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1.4.1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供应商资格要求</w:t>
            </w:r>
          </w:p>
        </w:tc>
        <w:tc>
          <w:tcPr>
            <w:tcW w:w="5670" w:type="dxa"/>
            <w:vAlign w:val="center"/>
          </w:tcPr>
          <w:p>
            <w:pPr>
              <w:numPr>
                <w:ilvl w:val="-1"/>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highlight w:val="none"/>
              </w:rPr>
              <w:t>基础资格要求：满足《中华人民共和国政府采购法》第二十二条规定。</w:t>
            </w:r>
          </w:p>
          <w:p>
            <w:pPr>
              <w:numPr>
                <w:ilvl w:val="-1"/>
                <w:numId w:val="0"/>
              </w:num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2.落实政府采购政策需满足的资格要求：</w:t>
            </w:r>
          </w:p>
          <w:p>
            <w:pPr>
              <w:numPr>
                <w:ilvl w:val="-1"/>
                <w:numId w:val="0"/>
              </w:numPr>
              <w:autoSpaceDE w:val="0"/>
              <w:autoSpaceDN w:val="0"/>
              <w:adjustRightIn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本项目不属于专门面向中小企业采购项目。</w:t>
            </w:r>
          </w:p>
          <w:p>
            <w:pPr>
              <w:numPr>
                <w:ilvl w:val="-1"/>
                <w:numId w:val="0"/>
              </w:num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highlight w:val="none"/>
              </w:rPr>
              <w:t>特定资格要求：</w:t>
            </w:r>
          </w:p>
          <w:p>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（2）须具备省级及以上国家保密局颁发的《国家秘密载体印制资质》乙级或以上资质（内容包含“涉密档案数字化加工”类）；</w:t>
            </w:r>
          </w:p>
          <w:p>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（3）供应商应具备建设行政主管部门颁发的工程设计综合甲级资质或建筑行业工程设计丙级及以上资质或建筑行业（建筑工程）设计丙级及以上资质，</w:t>
            </w:r>
            <w:r>
              <w:rPr>
                <w:rFonts w:hint="eastAsia" w:ascii="宋体" w:hAnsi="宋体" w:cs="宋体"/>
                <w:color w:val="auto"/>
                <w:highlight w:val="none"/>
                <w:lang w:eastAsia="zh-CN"/>
              </w:rPr>
              <w:t>拟派设计项目负责人应具备二级及以上注册结构师执业资格或二级及以上注册建筑师执业资格</w:t>
            </w:r>
            <w:r>
              <w:rPr>
                <w:rFonts w:hint="eastAsia" w:ascii="宋体" w:hAnsi="宋体" w:eastAsia="宋体" w:cs="宋体"/>
                <w:color w:val="auto"/>
                <w:highlight w:val="none"/>
              </w:rPr>
              <w:t>；</w:t>
            </w:r>
          </w:p>
          <w:p>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供应商应具备应具备建设行政主管部门核发的建筑工程施工总承包三级及以上资质，并具有有效的安全生产许可证；供应商拟派施工项目负责人具有建筑工程专业二级及以上注册建造师执业资格，具有有效的安全生产考核合格证书（建安B证），在本单位注册，且未担任其他在建工程项目的项目负责人；</w:t>
            </w:r>
          </w:p>
          <w:p>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1.4.2</w:t>
            </w:r>
          </w:p>
        </w:tc>
        <w:tc>
          <w:tcPr>
            <w:tcW w:w="2551" w:type="dxa"/>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是否接受</w:t>
            </w:r>
            <w:r>
              <w:rPr>
                <w:rFonts w:hint="eastAsia" w:ascii="宋体" w:hAnsi="宋体" w:eastAsia="宋体" w:cs="宋体"/>
                <w:color w:val="auto"/>
                <w:highlight w:val="none"/>
                <w:lang w:eastAsia="zh-CN"/>
              </w:rPr>
              <w:t>联合体谈判</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sym w:font="Wingdings" w:char="00A8"/>
            </w:r>
            <w:r>
              <w:rPr>
                <w:rFonts w:hint="eastAsia" w:ascii="宋体" w:hAnsi="宋体" w:eastAsia="宋体" w:cs="宋体"/>
                <w:color w:val="auto"/>
                <w:highlight w:val="none"/>
              </w:rPr>
              <w:t>不接受</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sym w:font="Wingdings" w:char="00FE"/>
            </w:r>
            <w:r>
              <w:rPr>
                <w:rFonts w:hint="eastAsia" w:ascii="宋体" w:hAnsi="宋体" w:eastAsia="宋体" w:cs="宋体"/>
                <w:color w:val="auto"/>
                <w:highlight w:val="none"/>
              </w:rPr>
              <w:t>接受，应满足下列要求：</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联合体参加谈判的，应满足下列要求：</w:t>
            </w:r>
            <w:r>
              <w:rPr>
                <w:rFonts w:hint="eastAsia" w:ascii="宋体" w:hAnsi="宋体" w:cs="宋体"/>
                <w:color w:val="auto"/>
                <w:highlight w:val="none"/>
                <w:lang w:eastAsia="zh-CN"/>
              </w:rPr>
              <w:t>联合体成员数量不得超过3家</w:t>
            </w:r>
            <w:r>
              <w:rPr>
                <w:rFonts w:hint="eastAsia" w:ascii="宋体" w:hAnsi="宋体" w:eastAsia="宋体" w:cs="宋体"/>
                <w:color w:val="auto"/>
                <w:highlight w:val="none"/>
              </w:rPr>
              <w:t>，联合体须由“涉密档案数字化加工”单位牵头，联合体牵头单位代表联合体各方办理本项目谈判活动过程中的一切事务。牵头单位和其法定代表人或其委托代理人的印章或签字代表联合体各成员单位相应的印章或签字。联合体各方不得再以自己的名义单独或参加其他联合体在本项目的谈判，否则谈判响应将被拒绝。以上证明资料涉及到联合体的，须同时提供联合体牵头人及联合体成员资料（联合体单位参加谈判的，证明资料中“法定代表人身份证明或法定代表人授权书”仅须由牵头单位出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1.9.3</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竞争性谈判文件</w:t>
            </w:r>
            <w:r>
              <w:rPr>
                <w:rFonts w:hint="eastAsia" w:ascii="宋体" w:hAnsi="宋体" w:eastAsia="宋体" w:cs="宋体"/>
                <w:color w:val="auto"/>
                <w:highlight w:val="none"/>
              </w:rPr>
              <w:t>澄清发出的形式</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书面形式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1.10.1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不允许</w:t>
            </w:r>
          </w:p>
          <w:p>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允许，分包内容要求：</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分包金额要求：</w:t>
            </w:r>
          </w:p>
          <w:p>
            <w:pPr>
              <w:spacing w:line="360" w:lineRule="auto"/>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t>对分包人的资质要求：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1.11.1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实质性要求和条件</w:t>
            </w:r>
          </w:p>
        </w:tc>
        <w:tc>
          <w:tcPr>
            <w:tcW w:w="5670" w:type="dxa"/>
            <w:vAlign w:val="center"/>
          </w:tcPr>
          <w:p>
            <w:pPr>
              <w:pStyle w:val="10"/>
              <w:topLinePunct/>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中“初步评审”的要求和条件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1.11.4</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偏差</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不允许</w:t>
            </w:r>
          </w:p>
          <w:p>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允许，偏差范围：除实质性条款和规定以外的内容</w:t>
            </w:r>
          </w:p>
          <w:p>
            <w:pPr>
              <w:spacing w:line="360" w:lineRule="auto"/>
              <w:ind w:firstLine="840" w:firstLineChars="4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最高项数：其他技术条款为负偏离≥</w:t>
            </w:r>
            <w:r>
              <w:rPr>
                <w:rFonts w:hint="eastAsia" w:ascii="宋体" w:hAnsi="宋体" w:cs="宋体"/>
                <w:color w:val="auto"/>
                <w:highlight w:val="none"/>
                <w:lang w:val="en-US" w:eastAsia="zh-CN"/>
              </w:rPr>
              <w:t>30</w:t>
            </w:r>
            <w:r>
              <w:rPr>
                <w:rFonts w:hint="eastAsia" w:ascii="宋体" w:hAnsi="宋体" w:eastAsia="宋体" w:cs="宋体"/>
                <w:color w:val="auto"/>
                <w:highlight w:val="none"/>
              </w:rPr>
              <w:t>项，则视为无效</w:t>
            </w:r>
            <w:r>
              <w:rPr>
                <w:rFonts w:hint="eastAsia" w:ascii="宋体" w:hAnsi="宋体" w:cs="宋体"/>
                <w:color w:val="auto"/>
                <w:highlight w:val="none"/>
                <w:lang w:val="en-US" w:eastAsia="zh-CN"/>
              </w:rPr>
              <w:t>谈判</w:t>
            </w:r>
            <w:r>
              <w:rPr>
                <w:rFonts w:hint="eastAsia" w:ascii="宋体" w:hAnsi="宋体" w:eastAsia="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构成</w:t>
            </w:r>
            <w:r>
              <w:rPr>
                <w:rFonts w:hint="eastAsia" w:ascii="宋体" w:hAnsi="宋体" w:eastAsia="宋体" w:cs="宋体"/>
                <w:color w:val="auto"/>
                <w:highlight w:val="none"/>
                <w:lang w:eastAsia="zh-CN"/>
              </w:rPr>
              <w:t>竞争性谈判文件</w:t>
            </w:r>
            <w:r>
              <w:rPr>
                <w:rFonts w:hint="eastAsia" w:ascii="宋体" w:hAnsi="宋体" w:eastAsia="宋体" w:cs="宋体"/>
                <w:color w:val="auto"/>
                <w:highlight w:val="none"/>
              </w:rPr>
              <w:t>的其他资料</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restar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2.2.1</w:t>
            </w:r>
          </w:p>
        </w:tc>
        <w:tc>
          <w:tcPr>
            <w:tcW w:w="2551" w:type="dxa"/>
            <w:vMerge w:val="restart"/>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供应商要求澄清</w:t>
            </w:r>
            <w:r>
              <w:rPr>
                <w:rFonts w:hint="eastAsia" w:ascii="宋体" w:hAnsi="宋体" w:eastAsia="宋体" w:cs="宋体"/>
                <w:color w:val="auto"/>
                <w:highlight w:val="none"/>
                <w:lang w:val="en-US" w:eastAsia="zh-CN"/>
              </w:rPr>
              <w:t>竞争性谈判文件</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w:t>
            </w:r>
            <w:r>
              <w:rPr>
                <w:rFonts w:hint="eastAsia" w:ascii="宋体" w:hAnsi="宋体" w:eastAsia="宋体" w:cs="宋体"/>
                <w:color w:val="auto"/>
                <w:highlight w:val="none"/>
                <w:lang w:eastAsia="zh-CN"/>
              </w:rPr>
              <w:t>谈判响应文件</w:t>
            </w:r>
            <w:r>
              <w:rPr>
                <w:rFonts w:hint="eastAsia" w:ascii="宋体" w:hAnsi="宋体" w:eastAsia="宋体" w:cs="宋体"/>
                <w:color w:val="auto"/>
                <w:highlight w:val="none"/>
              </w:rPr>
              <w:t>递交截止时间</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pPr>
              <w:spacing w:line="360" w:lineRule="auto"/>
              <w:jc w:val="center"/>
              <w:rPr>
                <w:rFonts w:hint="eastAsia" w:ascii="宋体" w:hAnsi="宋体" w:eastAsia="宋体" w:cs="宋体"/>
                <w:color w:val="auto"/>
                <w:highlight w:val="none"/>
              </w:rPr>
            </w:pPr>
          </w:p>
        </w:tc>
        <w:tc>
          <w:tcPr>
            <w:tcW w:w="2551" w:type="dxa"/>
            <w:vMerge w:val="continue"/>
            <w:vAlign w:val="center"/>
          </w:tcPr>
          <w:p>
            <w:pPr>
              <w:spacing w:line="360" w:lineRule="auto"/>
              <w:jc w:val="center"/>
              <w:rPr>
                <w:rFonts w:hint="eastAsia" w:ascii="宋体" w:hAnsi="宋体" w:eastAsia="宋体" w:cs="宋体"/>
                <w:color w:val="auto"/>
                <w:highlight w:val="none"/>
              </w:rPr>
            </w:pPr>
          </w:p>
        </w:tc>
        <w:tc>
          <w:tcPr>
            <w:tcW w:w="567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形式：</w:t>
            </w:r>
            <w:r>
              <w:rPr>
                <w:rFonts w:hint="eastAsia" w:ascii="宋体" w:hAnsi="宋体" w:eastAsia="宋体" w:cs="宋体"/>
                <w:color w:val="auto"/>
                <w:highlight w:val="none"/>
                <w:lang w:val="en-US" w:eastAsia="zh-CN"/>
              </w:rPr>
              <w:t>书面</w:t>
            </w:r>
            <w:r>
              <w:rPr>
                <w:rFonts w:hint="eastAsia" w:ascii="宋体" w:hAnsi="宋体" w:eastAsia="宋体" w:cs="宋体"/>
                <w:color w:val="auto"/>
                <w:highlight w:val="none"/>
              </w:rPr>
              <w:t>形式</w:t>
            </w:r>
            <w:r>
              <w:rPr>
                <w:rFonts w:hint="eastAsia" w:ascii="宋体" w:hAnsi="宋体" w:eastAsia="宋体" w:cs="宋体"/>
                <w:color w:val="auto"/>
                <w:highlight w:val="none"/>
                <w:lang w:val="en-US" w:eastAsia="zh-CN"/>
              </w:rPr>
              <w:t>提</w:t>
            </w:r>
            <w:r>
              <w:rPr>
                <w:rFonts w:hint="eastAsia" w:ascii="宋体" w:hAnsi="宋体" w:eastAsia="宋体" w:cs="宋体"/>
                <w:color w:val="auto"/>
                <w:highlight w:val="none"/>
              </w:rPr>
              <w:t>交至全国公共资源交易平台（陕西省·</w:t>
            </w:r>
            <w:r>
              <w:rPr>
                <w:rFonts w:hint="eastAsia" w:ascii="宋体" w:hAnsi="宋体" w:eastAsia="宋体" w:cs="宋体"/>
                <w:color w:val="auto"/>
                <w:highlight w:val="none"/>
                <w:lang w:val="en-US" w:eastAsia="zh-CN"/>
              </w:rPr>
              <w:t>宝鸡市</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平台</w:t>
            </w:r>
            <w:r>
              <w:rPr>
                <w:rFonts w:hint="eastAsia" w:ascii="宋体" w:hAnsi="宋体" w:eastAsia="宋体" w:cs="宋体"/>
                <w:color w:val="auto"/>
                <w:highlight w:val="none"/>
              </w:rPr>
              <w:t>，并将可编辑的电子版发送至邮箱：</w:t>
            </w:r>
            <w:r>
              <w:rPr>
                <w:rFonts w:hint="eastAsia" w:ascii="宋体" w:hAnsi="宋体" w:eastAsia="宋体" w:cs="宋体"/>
                <w:color w:val="auto"/>
                <w:highlight w:val="none"/>
                <w:lang w:val="en-US" w:eastAsia="zh-CN"/>
              </w:rPr>
              <w:t>33503469</w:t>
            </w:r>
            <w:r>
              <w:rPr>
                <w:rFonts w:hint="eastAsia" w:ascii="宋体" w:hAnsi="宋体" w:eastAsia="宋体" w:cs="宋体"/>
                <w:color w:val="auto"/>
                <w:highlight w:val="none"/>
              </w:rPr>
              <w:t>@qq.com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2.2.2</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竞争性谈判文件</w:t>
            </w:r>
            <w:r>
              <w:rPr>
                <w:rFonts w:hint="eastAsia" w:ascii="宋体" w:hAnsi="宋体" w:eastAsia="宋体" w:cs="宋体"/>
                <w:color w:val="auto"/>
                <w:highlight w:val="none"/>
              </w:rPr>
              <w:t>澄清发出的形式</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政府采购发布媒体上发布</w:t>
            </w:r>
            <w:r>
              <w:rPr>
                <w:rFonts w:hint="eastAsia" w:ascii="宋体" w:hAnsi="宋体" w:eastAsia="宋体" w:cs="宋体"/>
                <w:color w:val="auto"/>
                <w:highlight w:val="none"/>
                <w:lang w:val="en-US" w:eastAsia="zh-CN"/>
              </w:rPr>
              <w:t>更正</w:t>
            </w:r>
            <w:r>
              <w:rPr>
                <w:rFonts w:hint="eastAsia" w:ascii="宋体" w:hAnsi="宋体" w:eastAsia="宋体" w:cs="宋体"/>
                <w:color w:val="auto"/>
                <w:highlight w:val="none"/>
                <w:lang w:val="zh-CN"/>
              </w:rPr>
              <w:t>公告，并</w:t>
            </w:r>
            <w:r>
              <w:rPr>
                <w:rFonts w:hint="eastAsia" w:ascii="宋体" w:hAnsi="宋体" w:eastAsia="宋体" w:cs="宋体"/>
                <w:color w:val="auto"/>
                <w:highlight w:val="none"/>
                <w:lang w:val="en-US" w:eastAsia="zh-CN"/>
              </w:rPr>
              <w:t>通过</w:t>
            </w:r>
            <w:r>
              <w:rPr>
                <w:rFonts w:hint="eastAsia" w:ascii="宋体" w:hAnsi="宋体" w:eastAsia="宋体" w:cs="宋体"/>
                <w:color w:val="auto"/>
                <w:highlight w:val="none"/>
              </w:rPr>
              <w:t>全国公共资源交易平台（陕西省·</w:t>
            </w:r>
            <w:r>
              <w:rPr>
                <w:rFonts w:hint="eastAsia" w:ascii="宋体" w:hAnsi="宋体" w:eastAsia="宋体" w:cs="宋体"/>
                <w:color w:val="auto"/>
                <w:highlight w:val="none"/>
                <w:lang w:val="en-US" w:eastAsia="zh-CN"/>
              </w:rPr>
              <w:t>宝鸡市</w:t>
            </w:r>
            <w:r>
              <w:rPr>
                <w:rFonts w:hint="eastAsia" w:ascii="宋体" w:hAnsi="宋体" w:eastAsia="宋体" w:cs="宋体"/>
                <w:color w:val="auto"/>
                <w:highlight w:val="none"/>
              </w:rPr>
              <w:t>）</w:t>
            </w:r>
            <w:r>
              <w:rPr>
                <w:rFonts w:hint="eastAsia" w:ascii="宋体" w:hAnsi="宋体" w:eastAsia="宋体" w:cs="宋体"/>
                <w:color w:val="auto"/>
                <w:highlight w:val="none"/>
                <w:lang w:val="zh-CN"/>
              </w:rPr>
              <w:t>通知所有</w:t>
            </w:r>
            <w:r>
              <w:rPr>
                <w:rFonts w:hint="eastAsia" w:ascii="宋体" w:hAnsi="宋体" w:eastAsia="宋体" w:cs="宋体"/>
                <w:color w:val="auto"/>
                <w:highlight w:val="none"/>
                <w:lang w:val="en-US" w:eastAsia="zh-CN"/>
              </w:rPr>
              <w:t>谈判文件</w:t>
            </w:r>
            <w:r>
              <w:rPr>
                <w:rFonts w:hint="eastAsia" w:ascii="宋体" w:hAnsi="宋体" w:eastAsia="宋体" w:cs="宋体"/>
                <w:color w:val="auto"/>
                <w:highlight w:val="none"/>
                <w:lang w:val="zh-CN"/>
              </w:rPr>
              <w:t>领取人，且作为</w:t>
            </w:r>
            <w:r>
              <w:rPr>
                <w:rFonts w:hint="eastAsia" w:ascii="宋体" w:hAnsi="宋体" w:eastAsia="宋体" w:cs="宋体"/>
                <w:color w:val="auto"/>
                <w:highlight w:val="none"/>
                <w:lang w:val="en-US" w:eastAsia="zh-CN"/>
              </w:rPr>
              <w:t>谈判文件</w:t>
            </w:r>
            <w:r>
              <w:rPr>
                <w:rFonts w:hint="eastAsia" w:ascii="宋体" w:hAnsi="宋体" w:eastAsia="宋体" w:cs="宋体"/>
                <w:color w:val="auto"/>
                <w:highlight w:val="none"/>
                <w:lang w:val="zh-CN"/>
              </w:rPr>
              <w:t>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2.2.3</w:t>
            </w:r>
          </w:p>
        </w:tc>
        <w:tc>
          <w:tcPr>
            <w:tcW w:w="2551" w:type="dxa"/>
            <w:vMerge w:val="restar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供应商确认收到</w:t>
            </w:r>
            <w:r>
              <w:rPr>
                <w:rFonts w:hint="eastAsia" w:ascii="宋体" w:hAnsi="宋体" w:eastAsia="宋体" w:cs="宋体"/>
                <w:color w:val="auto"/>
                <w:highlight w:val="none"/>
                <w:lang w:eastAsia="zh-CN"/>
              </w:rPr>
              <w:t>竞争性谈判文件</w:t>
            </w:r>
            <w:r>
              <w:rPr>
                <w:rFonts w:hint="eastAsia" w:ascii="宋体" w:hAnsi="宋体" w:eastAsia="宋体" w:cs="宋体"/>
                <w:color w:val="auto"/>
                <w:highlight w:val="none"/>
              </w:rPr>
              <w:t>澄清</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时间：1日内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pPr>
              <w:spacing w:line="360" w:lineRule="auto"/>
              <w:jc w:val="center"/>
              <w:rPr>
                <w:rFonts w:hint="eastAsia" w:ascii="宋体" w:hAnsi="宋体" w:eastAsia="宋体" w:cs="宋体"/>
                <w:color w:val="auto"/>
                <w:highlight w:val="none"/>
              </w:rPr>
            </w:pPr>
          </w:p>
        </w:tc>
        <w:tc>
          <w:tcPr>
            <w:tcW w:w="2551" w:type="dxa"/>
            <w:vMerge w:val="continue"/>
            <w:vAlign w:val="center"/>
          </w:tcPr>
          <w:p>
            <w:pPr>
              <w:spacing w:line="360" w:lineRule="auto"/>
              <w:jc w:val="center"/>
              <w:rPr>
                <w:rFonts w:hint="eastAsia" w:ascii="宋体" w:hAnsi="宋体" w:eastAsia="宋体" w:cs="宋体"/>
                <w:color w:val="auto"/>
                <w:w w:val="99"/>
                <w:highlight w:val="none"/>
              </w:rPr>
            </w:pPr>
          </w:p>
        </w:tc>
        <w:tc>
          <w:tcPr>
            <w:tcW w:w="5670" w:type="dxa"/>
            <w:vAlign w:val="center"/>
          </w:tcPr>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形式：</w:t>
            </w:r>
            <w:r>
              <w:rPr>
                <w:rFonts w:hint="eastAsia" w:ascii="宋体" w:hAnsi="宋体" w:eastAsia="宋体" w:cs="宋体"/>
                <w:color w:val="auto"/>
                <w:highlight w:val="none"/>
                <w:lang w:val="en-US" w:eastAsia="zh-CN"/>
              </w:rPr>
              <w:t>通过</w:t>
            </w:r>
            <w:r>
              <w:rPr>
                <w:rFonts w:hint="eastAsia" w:ascii="宋体" w:hAnsi="宋体" w:eastAsia="宋体" w:cs="宋体"/>
                <w:color w:val="auto"/>
                <w:highlight w:val="none"/>
              </w:rPr>
              <w:t>全国公共资源交易平台（陕西省.</w:t>
            </w:r>
            <w:r>
              <w:rPr>
                <w:rFonts w:hint="eastAsia" w:ascii="宋体" w:hAnsi="宋体" w:eastAsia="宋体" w:cs="宋体"/>
                <w:color w:val="auto"/>
                <w:highlight w:val="none"/>
                <w:lang w:val="en-US" w:eastAsia="zh-CN"/>
              </w:rPr>
              <w:t>宝鸡市</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自行下载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2.3.1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竞争性谈判文件</w:t>
            </w:r>
            <w:r>
              <w:rPr>
                <w:rFonts w:hint="eastAsia" w:ascii="宋体" w:hAnsi="宋体" w:eastAsia="宋体" w:cs="宋体"/>
                <w:color w:val="auto"/>
                <w:highlight w:val="none"/>
              </w:rPr>
              <w:t>修改发出的形式</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zh-CN"/>
              </w:rPr>
              <w:t>政府采购发布媒体上发布</w:t>
            </w:r>
            <w:r>
              <w:rPr>
                <w:rFonts w:hint="eastAsia" w:ascii="宋体" w:hAnsi="宋体" w:eastAsia="宋体" w:cs="宋体"/>
                <w:color w:val="auto"/>
                <w:highlight w:val="none"/>
                <w:lang w:val="en-US" w:eastAsia="zh-CN"/>
              </w:rPr>
              <w:t>更正</w:t>
            </w:r>
            <w:r>
              <w:rPr>
                <w:rFonts w:hint="eastAsia" w:ascii="宋体" w:hAnsi="宋体" w:eastAsia="宋体" w:cs="宋体"/>
                <w:color w:val="auto"/>
                <w:highlight w:val="none"/>
                <w:lang w:val="zh-CN"/>
              </w:rPr>
              <w:t>公告，并</w:t>
            </w:r>
            <w:r>
              <w:rPr>
                <w:rFonts w:hint="eastAsia" w:ascii="宋体" w:hAnsi="宋体" w:eastAsia="宋体" w:cs="宋体"/>
                <w:color w:val="auto"/>
                <w:highlight w:val="none"/>
                <w:lang w:val="en-US" w:eastAsia="zh-CN"/>
              </w:rPr>
              <w:t>通过</w:t>
            </w:r>
            <w:r>
              <w:rPr>
                <w:rFonts w:hint="eastAsia" w:ascii="宋体" w:hAnsi="宋体" w:eastAsia="宋体" w:cs="宋体"/>
                <w:color w:val="auto"/>
                <w:highlight w:val="none"/>
              </w:rPr>
              <w:t>全国公共资源交易平台（陕西省·</w:t>
            </w:r>
            <w:r>
              <w:rPr>
                <w:rFonts w:hint="eastAsia" w:ascii="宋体" w:hAnsi="宋体" w:eastAsia="宋体" w:cs="宋体"/>
                <w:color w:val="auto"/>
                <w:highlight w:val="none"/>
                <w:lang w:val="en-US" w:eastAsia="zh-CN"/>
              </w:rPr>
              <w:t>宝鸡市</w:t>
            </w:r>
            <w:r>
              <w:rPr>
                <w:rFonts w:hint="eastAsia" w:ascii="宋体" w:hAnsi="宋体" w:eastAsia="宋体" w:cs="宋体"/>
                <w:color w:val="auto"/>
                <w:highlight w:val="none"/>
              </w:rPr>
              <w:t>）</w:t>
            </w:r>
            <w:r>
              <w:rPr>
                <w:rFonts w:hint="eastAsia" w:ascii="宋体" w:hAnsi="宋体" w:eastAsia="宋体" w:cs="宋体"/>
                <w:color w:val="auto"/>
                <w:highlight w:val="none"/>
                <w:lang w:val="zh-CN"/>
              </w:rPr>
              <w:t>通知所有</w:t>
            </w:r>
            <w:r>
              <w:rPr>
                <w:rFonts w:hint="eastAsia" w:ascii="宋体" w:hAnsi="宋体" w:eastAsia="宋体" w:cs="宋体"/>
                <w:color w:val="auto"/>
                <w:highlight w:val="none"/>
                <w:lang w:val="en-US" w:eastAsia="zh-CN"/>
              </w:rPr>
              <w:t>谈判文件</w:t>
            </w:r>
            <w:r>
              <w:rPr>
                <w:rFonts w:hint="eastAsia" w:ascii="宋体" w:hAnsi="宋体" w:eastAsia="宋体" w:cs="宋体"/>
                <w:color w:val="auto"/>
                <w:highlight w:val="none"/>
                <w:lang w:val="zh-CN"/>
              </w:rPr>
              <w:t>领取人，且作为</w:t>
            </w:r>
            <w:r>
              <w:rPr>
                <w:rFonts w:hint="eastAsia" w:ascii="宋体" w:hAnsi="宋体" w:eastAsia="宋体" w:cs="宋体"/>
                <w:color w:val="auto"/>
                <w:highlight w:val="none"/>
                <w:lang w:val="en-US" w:eastAsia="zh-CN"/>
              </w:rPr>
              <w:t>谈判文件</w:t>
            </w:r>
            <w:r>
              <w:rPr>
                <w:rFonts w:hint="eastAsia" w:ascii="宋体" w:hAnsi="宋体" w:eastAsia="宋体" w:cs="宋体"/>
                <w:color w:val="auto"/>
                <w:highlight w:val="none"/>
                <w:lang w:val="zh-CN"/>
              </w:rPr>
              <w:t>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restar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2.3.2</w:t>
            </w:r>
          </w:p>
        </w:tc>
        <w:tc>
          <w:tcPr>
            <w:tcW w:w="2551" w:type="dxa"/>
            <w:vMerge w:val="restart"/>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供应商确认收到</w:t>
            </w:r>
            <w:r>
              <w:rPr>
                <w:rFonts w:hint="eastAsia" w:ascii="宋体" w:hAnsi="宋体" w:eastAsia="宋体" w:cs="宋体"/>
                <w:color w:val="auto"/>
                <w:highlight w:val="none"/>
                <w:lang w:eastAsia="zh-CN"/>
              </w:rPr>
              <w:t>竞争性谈判文件</w:t>
            </w:r>
            <w:r>
              <w:rPr>
                <w:rFonts w:hint="eastAsia" w:ascii="宋体" w:hAnsi="宋体" w:eastAsia="宋体" w:cs="宋体"/>
                <w:color w:val="auto"/>
                <w:highlight w:val="none"/>
              </w:rPr>
              <w:t>修改</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时间：1日内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Merge w:val="continue"/>
            <w:vAlign w:val="center"/>
          </w:tcPr>
          <w:p>
            <w:pPr>
              <w:spacing w:line="360" w:lineRule="auto"/>
              <w:jc w:val="center"/>
              <w:rPr>
                <w:rFonts w:hint="eastAsia" w:ascii="宋体" w:hAnsi="宋体" w:eastAsia="宋体" w:cs="宋体"/>
                <w:color w:val="auto"/>
                <w:highlight w:val="none"/>
              </w:rPr>
            </w:pPr>
          </w:p>
        </w:tc>
        <w:tc>
          <w:tcPr>
            <w:tcW w:w="2551" w:type="dxa"/>
            <w:vMerge w:val="continue"/>
            <w:vAlign w:val="center"/>
          </w:tcPr>
          <w:p>
            <w:pPr>
              <w:spacing w:line="360" w:lineRule="auto"/>
              <w:jc w:val="center"/>
              <w:rPr>
                <w:rFonts w:hint="eastAsia" w:ascii="宋体" w:hAnsi="宋体" w:eastAsia="宋体" w:cs="宋体"/>
                <w:color w:val="auto"/>
                <w:highlight w:val="none"/>
              </w:rPr>
            </w:pP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形式：</w:t>
            </w:r>
            <w:r>
              <w:rPr>
                <w:rFonts w:hint="eastAsia" w:ascii="宋体" w:hAnsi="宋体" w:eastAsia="宋体" w:cs="宋体"/>
                <w:color w:val="auto"/>
                <w:highlight w:val="none"/>
                <w:lang w:val="en-US" w:eastAsia="zh-CN"/>
              </w:rPr>
              <w:t>通过</w:t>
            </w:r>
            <w:r>
              <w:rPr>
                <w:rFonts w:hint="eastAsia" w:ascii="宋体" w:hAnsi="宋体" w:eastAsia="宋体" w:cs="宋体"/>
                <w:color w:val="auto"/>
                <w:highlight w:val="none"/>
              </w:rPr>
              <w:t>全国公共资源交易平台（陕西省.</w:t>
            </w:r>
            <w:r>
              <w:rPr>
                <w:rFonts w:hint="eastAsia" w:ascii="宋体" w:hAnsi="宋体" w:eastAsia="宋体" w:cs="宋体"/>
                <w:color w:val="auto"/>
                <w:highlight w:val="none"/>
                <w:lang w:val="en-US" w:eastAsia="zh-CN"/>
              </w:rPr>
              <w:t>宝鸡市</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自行下载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3.1.1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构成</w:t>
            </w:r>
            <w:r>
              <w:rPr>
                <w:rFonts w:hint="eastAsia" w:ascii="宋体" w:hAnsi="宋体" w:eastAsia="宋体" w:cs="宋体"/>
                <w:color w:val="auto"/>
                <w:highlight w:val="none"/>
                <w:lang w:eastAsia="zh-CN"/>
              </w:rPr>
              <w:t>谈判响应文件</w:t>
            </w:r>
            <w:r>
              <w:rPr>
                <w:rFonts w:hint="eastAsia" w:ascii="宋体" w:hAnsi="宋体" w:eastAsia="宋体" w:cs="宋体"/>
                <w:color w:val="auto"/>
                <w:highlight w:val="none"/>
              </w:rPr>
              <w:t>的其他资料</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3.2.1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增值税税金的计算方法</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3.2.4</w:t>
            </w:r>
          </w:p>
        </w:tc>
        <w:tc>
          <w:tcPr>
            <w:tcW w:w="2551" w:type="dxa"/>
            <w:vAlign w:val="center"/>
          </w:tcPr>
          <w:p>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最高限价或采购预算</w:t>
            </w:r>
          </w:p>
        </w:tc>
        <w:tc>
          <w:tcPr>
            <w:tcW w:w="5670" w:type="dxa"/>
            <w:vAlign w:val="center"/>
          </w:tcPr>
          <w:p>
            <w:pPr>
              <w:spacing w:line="360" w:lineRule="auto"/>
              <w:jc w:val="left"/>
              <w:rPr>
                <w:rFonts w:hint="eastAsia" w:ascii="宋体" w:hAnsi="宋体" w:eastAsia="宋体" w:cs="宋体"/>
                <w:b/>
                <w:bCs/>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b/>
                <w:bCs/>
                <w:color w:val="auto"/>
                <w:highlight w:val="none"/>
              </w:rPr>
              <w:t>无</w:t>
            </w:r>
          </w:p>
          <w:p>
            <w:pPr>
              <w:spacing w:line="360" w:lineRule="auto"/>
              <w:jc w:val="left"/>
              <w:rPr>
                <w:rFonts w:hint="eastAsia" w:ascii="宋体" w:hAnsi="宋体" w:eastAsia="宋体" w:cs="宋体"/>
                <w:b/>
                <w:bCs/>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b/>
                <w:bCs/>
                <w:color w:val="auto"/>
                <w:highlight w:val="none"/>
              </w:rPr>
              <w:t>有，最高限价：人民币</w:t>
            </w:r>
            <w:r>
              <w:rPr>
                <w:rFonts w:hint="eastAsia" w:ascii="宋体" w:hAnsi="宋体" w:cs="宋体"/>
                <w:b/>
                <w:bCs w:val="0"/>
                <w:color w:val="auto"/>
                <w:kern w:val="2"/>
                <w:sz w:val="21"/>
                <w:szCs w:val="21"/>
                <w:highlight w:val="none"/>
                <w:u w:val="none"/>
                <w:lang w:val="en-US" w:eastAsia="zh-CN" w:bidi="ar-SA"/>
              </w:rPr>
              <w:t>壹佰肆拾贰万元整</w:t>
            </w:r>
            <w:r>
              <w:rPr>
                <w:rFonts w:hint="eastAsia" w:ascii="宋体" w:hAnsi="宋体" w:eastAsia="宋体" w:cs="宋体"/>
                <w:b/>
                <w:bCs w:val="0"/>
                <w:color w:val="auto"/>
                <w:kern w:val="2"/>
                <w:sz w:val="21"/>
                <w:szCs w:val="21"/>
                <w:highlight w:val="none"/>
                <w:u w:val="none"/>
                <w:lang w:val="en-US" w:eastAsia="zh-CN" w:bidi="ar-SA"/>
              </w:rPr>
              <w:t>（¥</w:t>
            </w:r>
            <w:r>
              <w:rPr>
                <w:rFonts w:hint="eastAsia" w:ascii="宋体" w:hAnsi="宋体" w:cs="宋体"/>
                <w:b/>
                <w:bCs w:val="0"/>
                <w:color w:val="auto"/>
                <w:kern w:val="2"/>
                <w:sz w:val="21"/>
                <w:szCs w:val="21"/>
                <w:highlight w:val="none"/>
                <w:u w:val="none"/>
                <w:lang w:val="en-US" w:eastAsia="zh-CN" w:bidi="ar-SA"/>
              </w:rPr>
              <w:t>1420000.00</w:t>
            </w:r>
            <w:r>
              <w:rPr>
                <w:rFonts w:hint="eastAsia" w:ascii="宋体" w:hAnsi="宋体" w:eastAsia="宋体" w:cs="宋体"/>
                <w:b/>
                <w:bCs w:val="0"/>
                <w:color w:val="auto"/>
                <w:kern w:val="2"/>
                <w:sz w:val="21"/>
                <w:szCs w:val="21"/>
                <w:highlight w:val="none"/>
                <w:u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3.2.</w:t>
            </w:r>
            <w:r>
              <w:rPr>
                <w:rFonts w:hint="eastAsia" w:ascii="宋体" w:hAnsi="宋体" w:eastAsia="宋体" w:cs="宋体"/>
                <w:color w:val="auto"/>
                <w:highlight w:val="none"/>
                <w:lang w:val="en-US" w:eastAsia="zh-CN"/>
              </w:rPr>
              <w:t>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响应报价的其他要求</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响应报价</w:t>
            </w:r>
            <w:r>
              <w:rPr>
                <w:rFonts w:hint="eastAsia" w:ascii="宋体" w:hAnsi="宋体" w:cs="宋体"/>
                <w:color w:val="auto"/>
                <w:highlight w:val="none"/>
                <w:lang w:val="en-US" w:eastAsia="zh-CN"/>
              </w:rPr>
              <w:t>包括</w:t>
            </w:r>
            <w:r>
              <w:rPr>
                <w:rFonts w:hint="eastAsia" w:ascii="宋体" w:hAnsi="宋体" w:eastAsia="宋体" w:cs="宋体"/>
                <w:color w:val="auto"/>
                <w:highlight w:val="none"/>
                <w:lang w:val="en-US" w:eastAsia="zh-CN"/>
              </w:rPr>
              <w:t>完成本项目所涉及的：</w:t>
            </w:r>
            <w:r>
              <w:rPr>
                <w:rFonts w:hint="eastAsia" w:ascii="宋体" w:hAnsi="宋体" w:eastAsia="宋体" w:cs="宋体"/>
                <w:color w:val="auto"/>
                <w:sz w:val="21"/>
                <w:szCs w:val="21"/>
                <w:highlight w:val="none"/>
              </w:rPr>
              <w:t>设计费、施工费、产品供应费、产品的包装、运输、装卸、安装、保险、培训、质保及售后服务、</w:t>
            </w:r>
            <w:r>
              <w:rPr>
                <w:rFonts w:hint="eastAsia" w:ascii="宋体" w:hAnsi="宋体" w:cs="宋体"/>
                <w:color w:val="auto"/>
                <w:sz w:val="21"/>
                <w:szCs w:val="21"/>
                <w:highlight w:val="none"/>
                <w:lang w:eastAsia="zh-CN"/>
              </w:rPr>
              <w:t>验收、管理费、</w:t>
            </w:r>
            <w:r>
              <w:rPr>
                <w:rFonts w:hint="eastAsia" w:ascii="宋体" w:hAnsi="宋体" w:eastAsia="宋体" w:cs="宋体"/>
                <w:color w:val="auto"/>
                <w:sz w:val="21"/>
                <w:szCs w:val="21"/>
                <w:highlight w:val="none"/>
                <w:lang w:val="en-US" w:eastAsia="zh-CN"/>
              </w:rPr>
              <w:t>代理服务费、</w:t>
            </w:r>
            <w:r>
              <w:rPr>
                <w:rFonts w:hint="eastAsia" w:ascii="宋体" w:hAnsi="宋体" w:eastAsia="宋体" w:cs="宋体"/>
                <w:color w:val="auto"/>
                <w:sz w:val="21"/>
                <w:szCs w:val="21"/>
                <w:highlight w:val="none"/>
              </w:rPr>
              <w:t>税金以及法律法规、合同和谈判文件等规定的一切相关的所有费用。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3.3.1</w:t>
            </w:r>
          </w:p>
        </w:tc>
        <w:tc>
          <w:tcPr>
            <w:tcW w:w="2551" w:type="dxa"/>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竞争性</w:t>
            </w:r>
            <w:r>
              <w:rPr>
                <w:rFonts w:hint="eastAsia" w:ascii="宋体" w:hAnsi="宋体" w:eastAsia="宋体" w:cs="宋体"/>
                <w:color w:val="auto"/>
                <w:highlight w:val="none"/>
                <w:lang w:eastAsia="zh-CN"/>
              </w:rPr>
              <w:t>谈判响应文件</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有效期</w:t>
            </w:r>
          </w:p>
        </w:tc>
        <w:tc>
          <w:tcPr>
            <w:tcW w:w="5670" w:type="dxa"/>
            <w:vAlign w:val="center"/>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之日起</w:t>
            </w:r>
            <w:r>
              <w:rPr>
                <w:rFonts w:hint="eastAsia" w:ascii="宋体" w:hAnsi="宋体" w:cs="宋体"/>
                <w:color w:val="auto"/>
                <w:highlight w:val="none"/>
                <w:lang w:val="en-US" w:eastAsia="zh-CN"/>
              </w:rPr>
              <w:t>120</w:t>
            </w:r>
            <w:r>
              <w:rPr>
                <w:rFonts w:hint="eastAsia" w:ascii="宋体" w:hAnsi="宋体" w:eastAsia="宋体" w:cs="宋体"/>
                <w:color w:val="auto"/>
                <w:highlight w:val="none"/>
              </w:rPr>
              <w:t>个日历</w:t>
            </w:r>
            <w:r>
              <w:rPr>
                <w:rFonts w:hint="eastAsia" w:ascii="宋体" w:hAnsi="宋体" w:eastAsia="宋体" w:cs="宋体"/>
                <w:color w:val="auto"/>
                <w:highlight w:val="none"/>
                <w:lang w:val="en-US"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3.4.1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保证金</w:t>
            </w:r>
          </w:p>
        </w:tc>
        <w:tc>
          <w:tcPr>
            <w:tcW w:w="5670" w:type="dxa"/>
            <w:vAlign w:val="center"/>
          </w:tcPr>
          <w:p>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3.4.4</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其他可以不予退还</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保证金的情形</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3.5</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资格审查资料的特殊要求</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无</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□有，具体要求：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3.6.1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是否允许递交备选</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响应方案</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不允许</w:t>
            </w:r>
          </w:p>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3.7.3（2）</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谈判响应文件的编制</w:t>
            </w:r>
          </w:p>
        </w:tc>
        <w:tc>
          <w:tcPr>
            <w:tcW w:w="5670" w:type="dxa"/>
            <w:vAlign w:val="center"/>
          </w:tcPr>
          <w:p>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（1）供应商必须按照采购代理机构提供的响应文件格式编制响应文件，本项目采购阶段无须提供纸质响应文件，供应商须在响应文件递交截止时间前上传加密电子响应文件（加密.SXSTF格式）。</w:t>
            </w:r>
          </w:p>
          <w:p>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（2）供应商在编制响应文件时，应依据谈判文件的要求和格式内容编写，对谈判文件作出实质性的响应，内容应包括：</w:t>
            </w:r>
          </w:p>
          <w:p>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（3）对谈判响应函、谈判报价表的内容响应。</w:t>
            </w:r>
          </w:p>
          <w:p>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（4）谈判报价表。响应货币用人民币，单位为元。谈判报价表应加盖公章并加盖法人章或由被授权人签字。</w:t>
            </w:r>
          </w:p>
          <w:p>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（5）供应商须出具的合格供应商要求证明文件，证明参加供应商具备采购活动要求的资格。</w:t>
            </w:r>
          </w:p>
          <w:p>
            <w:pPr>
              <w:spacing w:line="360"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（6）响应文件必须按要求加盖供应商单位公章和法定代表人（或其授权代表人）签字或盖章。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.1</w:t>
            </w:r>
          </w:p>
        </w:tc>
        <w:tc>
          <w:tcPr>
            <w:tcW w:w="2551" w:type="dxa"/>
            <w:vAlign w:val="center"/>
          </w:tcPr>
          <w:p>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lang w:eastAsia="zh-CN"/>
              </w:rPr>
              <w:t>谈判响应文件</w:t>
            </w:r>
            <w:r>
              <w:rPr>
                <w:rFonts w:hint="eastAsia" w:ascii="宋体" w:hAnsi="宋体" w:eastAsia="宋体" w:cs="宋体"/>
                <w:color w:val="auto"/>
                <w:highlight w:val="none"/>
                <w:u w:val="none"/>
              </w:rPr>
              <w:t>递交截止</w:t>
            </w:r>
          </w:p>
          <w:p>
            <w:pPr>
              <w:spacing w:line="360" w:lineRule="auto"/>
              <w:jc w:val="center"/>
              <w:rPr>
                <w:rFonts w:hint="eastAsia" w:ascii="宋体" w:hAnsi="宋体" w:eastAsia="宋体" w:cs="宋体"/>
                <w:color w:val="auto"/>
                <w:highlight w:val="none"/>
                <w:u w:val="none"/>
              </w:rPr>
            </w:pPr>
            <w:r>
              <w:rPr>
                <w:rFonts w:hint="eastAsia" w:ascii="宋体" w:hAnsi="宋体" w:eastAsia="宋体" w:cs="宋体"/>
                <w:color w:val="auto"/>
                <w:highlight w:val="none"/>
                <w:u w:val="none"/>
              </w:rPr>
              <w:t>时间</w:t>
            </w:r>
          </w:p>
        </w:tc>
        <w:tc>
          <w:tcPr>
            <w:tcW w:w="5670" w:type="dxa"/>
            <w:vAlign w:val="center"/>
          </w:tcPr>
          <w:p>
            <w:pPr>
              <w:spacing w:line="360" w:lineRule="auto"/>
              <w:rPr>
                <w:rFonts w:hint="eastAsia" w:ascii="宋体" w:hAnsi="宋体" w:eastAsia="宋体" w:cs="宋体"/>
                <w:color w:val="auto"/>
                <w:highlight w:val="none"/>
                <w:u w:val="none"/>
                <w:lang w:eastAsia="zh-CN"/>
              </w:rPr>
            </w:pPr>
            <w:r>
              <w:rPr>
                <w:rFonts w:hint="eastAsia" w:ascii="宋体" w:hAnsi="宋体" w:cs="宋体"/>
                <w:color w:val="auto"/>
                <w:highlight w:val="none"/>
                <w:u w:val="none"/>
                <w:lang w:eastAsia="zh-CN"/>
              </w:rPr>
              <w:t>2026年03月18日09时00分</w:t>
            </w:r>
            <w:r>
              <w:rPr>
                <w:rFonts w:hint="eastAsia" w:ascii="宋体" w:hAnsi="宋体" w:eastAsia="宋体" w:cs="宋体"/>
                <w:color w:val="auto"/>
                <w:highlight w:val="none"/>
                <w:u w:val="none"/>
                <w:lang w:eastAsia="zh-CN"/>
              </w:rPr>
              <w:t>00秒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.2</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递交</w:t>
            </w:r>
            <w:r>
              <w:rPr>
                <w:rFonts w:hint="eastAsia" w:ascii="宋体" w:hAnsi="宋体" w:eastAsia="宋体" w:cs="宋体"/>
                <w:color w:val="auto"/>
                <w:highlight w:val="none"/>
                <w:lang w:eastAsia="zh-CN"/>
              </w:rPr>
              <w:t>谈判响应文件</w:t>
            </w:r>
            <w:r>
              <w:rPr>
                <w:rFonts w:hint="eastAsia" w:ascii="宋体" w:hAnsi="宋体" w:eastAsia="宋体" w:cs="宋体"/>
                <w:color w:val="auto"/>
                <w:highlight w:val="none"/>
              </w:rPr>
              <w:t>地点</w:t>
            </w:r>
          </w:p>
        </w:tc>
        <w:tc>
          <w:tcPr>
            <w:tcW w:w="5670" w:type="dxa"/>
            <w:vAlign w:val="center"/>
          </w:tcPr>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u w:val="none"/>
                <w:lang w:val="zh-CN"/>
              </w:rPr>
              <w:t>全国公共资源交易平台（陕西省•宝鸡市）不见面开标大厅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开启时间和地点</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时间：同</w:t>
            </w:r>
            <w:r>
              <w:rPr>
                <w:rFonts w:hint="eastAsia" w:ascii="宋体" w:hAnsi="宋体" w:eastAsia="宋体" w:cs="宋体"/>
                <w:color w:val="auto"/>
                <w:highlight w:val="none"/>
                <w:lang w:eastAsia="zh-CN"/>
              </w:rPr>
              <w:t>谈判响应文件</w:t>
            </w:r>
            <w:r>
              <w:rPr>
                <w:rFonts w:hint="eastAsia" w:ascii="宋体" w:hAnsi="宋体" w:eastAsia="宋体" w:cs="宋体"/>
                <w:color w:val="auto"/>
                <w:highlight w:val="none"/>
              </w:rPr>
              <w:t>递交截止时间</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地点：同递交</w:t>
            </w:r>
            <w:r>
              <w:rPr>
                <w:rFonts w:hint="eastAsia" w:ascii="宋体" w:hAnsi="宋体" w:eastAsia="宋体" w:cs="宋体"/>
                <w:color w:val="auto"/>
                <w:highlight w:val="none"/>
                <w:lang w:eastAsia="zh-CN"/>
              </w:rPr>
              <w:t>谈判响应文件</w:t>
            </w:r>
            <w:r>
              <w:rPr>
                <w:rFonts w:hint="eastAsia" w:ascii="宋体" w:hAnsi="宋体" w:eastAsia="宋体" w:cs="宋体"/>
                <w:color w:val="auto"/>
                <w:highlight w:val="none"/>
              </w:rPr>
              <w:t>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6.1.1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小组的组建</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小组的构成：</w:t>
            </w:r>
            <w:r>
              <w:rPr>
                <w:rFonts w:hint="eastAsia" w:ascii="宋体" w:hAnsi="宋体" w:eastAsia="宋体" w:cs="宋体"/>
                <w:b w:val="0"/>
                <w:bCs/>
                <w:color w:val="auto"/>
                <w:kern w:val="2"/>
                <w:sz w:val="21"/>
                <w:szCs w:val="21"/>
                <w:highlight w:val="none"/>
                <w:u w:val="none"/>
                <w:lang w:val="en-US" w:eastAsia="zh-CN" w:bidi="ar-SA"/>
              </w:rPr>
              <w:t>3</w:t>
            </w:r>
            <w:r>
              <w:rPr>
                <w:rFonts w:hint="eastAsia" w:ascii="宋体" w:hAnsi="宋体" w:eastAsia="宋体" w:cs="宋体"/>
                <w:color w:val="auto"/>
                <w:highlight w:val="none"/>
              </w:rPr>
              <w:t>人，其中采购人代表</w:t>
            </w:r>
            <w:r>
              <w:rPr>
                <w:rFonts w:hint="eastAsia" w:ascii="宋体" w:hAnsi="宋体" w:eastAsia="宋体" w:cs="宋体"/>
                <w:b w:val="0"/>
                <w:bCs/>
                <w:color w:val="auto"/>
                <w:kern w:val="2"/>
                <w:sz w:val="21"/>
                <w:szCs w:val="21"/>
                <w:highlight w:val="none"/>
                <w:u w:val="none"/>
                <w:lang w:val="en-US" w:eastAsia="zh-CN" w:bidi="ar-SA"/>
              </w:rPr>
              <w:t>1</w:t>
            </w:r>
            <w:r>
              <w:rPr>
                <w:rFonts w:hint="eastAsia" w:ascii="宋体" w:hAnsi="宋体" w:eastAsia="宋体" w:cs="宋体"/>
                <w:color w:val="auto"/>
                <w:highlight w:val="none"/>
                <w:u w:val="none"/>
                <w:lang w:val="en-US" w:eastAsia="zh-CN"/>
              </w:rPr>
              <w:t>人</w:t>
            </w:r>
            <w:r>
              <w:rPr>
                <w:rFonts w:hint="eastAsia" w:ascii="宋体" w:hAnsi="宋体" w:eastAsia="宋体" w:cs="宋体"/>
                <w:color w:val="auto"/>
                <w:highlight w:val="none"/>
              </w:rPr>
              <w:t>。</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小组专家确定方式：按规定在政府采购专家库中随机抽取。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6.3.2</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小组推荐成交候选供应商数量</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7.1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成交结果公示媒介及期限</w:t>
            </w:r>
          </w:p>
        </w:tc>
        <w:tc>
          <w:tcPr>
            <w:tcW w:w="5670" w:type="dxa"/>
            <w:vAlign w:val="center"/>
          </w:tcPr>
          <w:p>
            <w:pPr>
              <w:spacing w:line="360" w:lineRule="auto"/>
              <w:rPr>
                <w:rFonts w:hint="eastAsia" w:ascii="宋体" w:hAnsi="宋体" w:eastAsia="宋体" w:cs="宋体"/>
                <w:color w:val="auto"/>
                <w:highlight w:val="none"/>
                <w:lang w:val="en-US"/>
              </w:rPr>
            </w:pPr>
            <w:r>
              <w:rPr>
                <w:rFonts w:hint="eastAsia" w:ascii="宋体" w:hAnsi="宋体" w:eastAsia="宋体" w:cs="宋体"/>
                <w:color w:val="auto"/>
                <w:highlight w:val="none"/>
              </w:rPr>
              <w:t>公示媒介：</w:t>
            </w:r>
            <w:r>
              <w:rPr>
                <w:rFonts w:hint="eastAsia" w:ascii="宋体" w:hAnsi="宋体" w:eastAsia="宋体" w:cs="宋体"/>
                <w:color w:val="auto"/>
                <w:highlight w:val="none"/>
                <w:lang w:val="en-US" w:eastAsia="zh-CN"/>
              </w:rPr>
              <w:t>《陕西省政府采购网》、《全国公共资源交易网（陕西省·宝鸡市）》</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公示期限：1个工作日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7.4.1</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是否授权</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小组确定成交供应商</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是；由</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小组确定排序第一的成交候选供应商为成交供应商；</w:t>
            </w:r>
          </w:p>
          <w:p>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否：由采购人根据</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小组推荐的成交候选供应商按顺序确定成交供应商。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是否要求成交供应商提交履约保证金：</w:t>
            </w:r>
          </w:p>
          <w:p>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要求</w:t>
            </w:r>
            <w:r>
              <w:rPr>
                <w:rStyle w:val="40"/>
                <w:rFonts w:hint="eastAsia" w:ascii="宋体" w:hAnsi="宋体" w:eastAsia="宋体" w:cs="宋体"/>
                <w:color w:val="auto"/>
                <w:highlight w:val="none"/>
              </w:rPr>
              <w:t>，金额及期限：银行转账或银行履约保函，合同总价的</w:t>
            </w:r>
            <w:r>
              <w:rPr>
                <w:rFonts w:hint="eastAsia" w:ascii="宋体" w:hAnsi="宋体" w:eastAsia="宋体" w:cs="宋体"/>
                <w:b w:val="0"/>
                <w:bCs/>
                <w:color w:val="auto"/>
                <w:kern w:val="2"/>
                <w:sz w:val="21"/>
                <w:szCs w:val="21"/>
                <w:highlight w:val="none"/>
                <w:u w:val="single"/>
                <w:lang w:val="en-US" w:eastAsia="zh-CN" w:bidi="ar-SA"/>
              </w:rPr>
              <w:t xml:space="preserve">     </w:t>
            </w:r>
            <w:r>
              <w:rPr>
                <w:rStyle w:val="40"/>
                <w:rFonts w:hint="eastAsia" w:ascii="宋体" w:hAnsi="宋体" w:eastAsia="宋体" w:cs="宋体"/>
                <w:color w:val="auto"/>
                <w:highlight w:val="none"/>
              </w:rPr>
              <w:t>%计取</w:t>
            </w:r>
            <w:r>
              <w:rPr>
                <w:rStyle w:val="40"/>
                <w:rFonts w:hint="eastAsia" w:ascii="宋体" w:hAnsi="宋体" w:eastAsia="宋体" w:cs="宋体"/>
                <w:color w:val="auto"/>
                <w:highlight w:val="none"/>
                <w:lang w:eastAsia="zh-CN"/>
              </w:rPr>
              <w:t>；</w:t>
            </w:r>
            <w:r>
              <w:rPr>
                <w:rStyle w:val="40"/>
                <w:rFonts w:hint="eastAsia" w:ascii="宋体" w:hAnsi="宋体" w:eastAsia="宋体" w:cs="宋体"/>
                <w:color w:val="auto"/>
                <w:highlight w:val="none"/>
                <w:lang w:val="en-US" w:eastAsia="zh-CN"/>
              </w:rPr>
              <w:t>合同签订前一次性</w:t>
            </w:r>
            <w:r>
              <w:rPr>
                <w:rFonts w:hint="eastAsia" w:ascii="宋体" w:hAnsi="宋体" w:eastAsia="宋体" w:cs="宋体"/>
                <w:color w:val="auto"/>
                <w:highlight w:val="none"/>
              </w:rPr>
              <w:t>足额</w:t>
            </w:r>
            <w:r>
              <w:rPr>
                <w:rStyle w:val="40"/>
                <w:rFonts w:hint="eastAsia" w:ascii="宋体" w:hAnsi="宋体" w:eastAsia="宋体" w:cs="宋体"/>
                <w:color w:val="auto"/>
                <w:highlight w:val="none"/>
                <w:lang w:val="en-US" w:eastAsia="zh-CN"/>
              </w:rPr>
              <w:t>提交</w:t>
            </w:r>
            <w:r>
              <w:rPr>
                <w:rStyle w:val="40"/>
                <w:rFonts w:hint="eastAsia" w:ascii="宋体" w:hAnsi="宋体" w:eastAsia="宋体" w:cs="宋体"/>
                <w:color w:val="auto"/>
                <w:highlight w:val="none"/>
              </w:rPr>
              <w:t>。</w:t>
            </w:r>
          </w:p>
          <w:p>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不要求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是否采用电子招标投标</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A8"/>
            </w:r>
            <w:r>
              <w:rPr>
                <w:rFonts w:hint="eastAsia" w:ascii="宋体" w:hAnsi="宋体" w:eastAsia="宋体" w:cs="宋体"/>
                <w:color w:val="auto"/>
                <w:highlight w:val="none"/>
              </w:rPr>
              <w:t>否</w:t>
            </w:r>
          </w:p>
          <w:p>
            <w:pPr>
              <w:spacing w:line="360" w:lineRule="auto"/>
              <w:rPr>
                <w:rFonts w:hint="eastAsia" w:ascii="宋体" w:hAnsi="宋体" w:eastAsia="宋体" w:cs="宋体"/>
                <w:color w:val="auto"/>
                <w:highlight w:val="none"/>
              </w:rPr>
            </w:pPr>
            <w:r>
              <w:rPr>
                <w:rFonts w:hint="eastAsia" w:ascii="宋体" w:hAnsi="宋体" w:eastAsia="宋体" w:cs="宋体"/>
                <w:color w:val="auto"/>
                <w:spacing w:val="1"/>
                <w:highlight w:val="none"/>
              </w:rPr>
              <w:sym w:font="Wingdings" w:char="00FE"/>
            </w:r>
            <w:r>
              <w:rPr>
                <w:rFonts w:hint="eastAsia" w:ascii="宋体" w:hAnsi="宋体" w:eastAsia="宋体" w:cs="宋体"/>
                <w:color w:val="auto"/>
                <w:highlight w:val="none"/>
              </w:rPr>
              <w:t>是，具体要求：本项目采用本项目采用“不见面开标”方式，无需到现场递交纸质文件，</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须使用数字认证证书对</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进行签封、加密、递交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解密等相关事宜。各</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可登录全国公共资源交易平台（陕西省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下载操作手册,并在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递交截止时间前通过全国公共资源交易平台（陕西省·</w:t>
            </w:r>
            <w:r>
              <w:rPr>
                <w:rFonts w:hint="eastAsia" w:ascii="宋体" w:hAnsi="宋体" w:eastAsia="宋体" w:cs="宋体"/>
                <w:color w:val="auto"/>
                <w:highlight w:val="none"/>
                <w:lang w:val="en-US" w:eastAsia="zh-CN"/>
              </w:rPr>
              <w:t>宝鸡市</w:t>
            </w:r>
            <w:r>
              <w:rPr>
                <w:rFonts w:hint="eastAsia" w:ascii="宋体" w:hAnsi="宋体" w:eastAsia="宋体" w:cs="宋体"/>
                <w:color w:val="auto"/>
                <w:highlight w:val="none"/>
              </w:rPr>
              <w:t>）递交电子</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eastAsia="zh-CN"/>
              </w:rPr>
              <w:t>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8221" w:type="dxa"/>
            <w:gridSpan w:val="2"/>
            <w:vAlign w:val="center"/>
          </w:tcPr>
          <w:p>
            <w:pPr>
              <w:pStyle w:val="78"/>
              <w:spacing w:line="360" w:lineRule="auto"/>
              <w:rPr>
                <w:rFonts w:hint="eastAsia" w:ascii="宋体" w:hAnsi="宋体" w:eastAsia="宋体" w:cs="宋体"/>
                <w:b/>
                <w:bCs/>
                <w:color w:val="auto"/>
                <w:highlight w:val="none"/>
              </w:rPr>
            </w:pPr>
            <w:r>
              <w:rPr>
                <w:rFonts w:hint="eastAsia" w:ascii="宋体" w:hAnsi="宋体" w:eastAsia="宋体" w:cs="宋体"/>
                <w:color w:val="auto"/>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10.1</w:t>
            </w:r>
          </w:p>
        </w:tc>
        <w:tc>
          <w:tcPr>
            <w:tcW w:w="2551" w:type="dxa"/>
            <w:vAlign w:val="center"/>
          </w:tcPr>
          <w:p>
            <w:pPr>
              <w:pStyle w:val="78"/>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项目属性及所属行业</w:t>
            </w:r>
          </w:p>
        </w:tc>
        <w:tc>
          <w:tcPr>
            <w:tcW w:w="5670" w:type="dxa"/>
            <w:vAlign w:val="center"/>
          </w:tcPr>
          <w:p>
            <w:pPr>
              <w:pStyle w:val="78"/>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本项目属性：</w:t>
            </w:r>
            <w:r>
              <w:rPr>
                <w:rFonts w:hint="eastAsia" w:ascii="宋体" w:hAnsi="宋体" w:eastAsia="宋体" w:cs="宋体"/>
                <w:color w:val="auto"/>
                <w:highlight w:val="none"/>
                <w:lang w:val="en-US" w:eastAsia="zh-CN"/>
              </w:rPr>
              <w:t>货物类</w:t>
            </w:r>
          </w:p>
          <w:p>
            <w:pPr>
              <w:pStyle w:val="78"/>
              <w:spacing w:line="360" w:lineRule="auto"/>
              <w:jc w:val="left"/>
              <w:rPr>
                <w:rFonts w:hint="eastAsia" w:ascii="宋体" w:hAnsi="宋体" w:eastAsia="宋体" w:cs="宋体"/>
                <w:color w:val="auto"/>
                <w:highlight w:val="none"/>
                <w:lang w:val="en-US"/>
              </w:rPr>
            </w:pPr>
            <w:r>
              <w:rPr>
                <w:rFonts w:hint="eastAsia" w:ascii="宋体" w:hAnsi="宋体" w:eastAsia="宋体" w:cs="宋体"/>
                <w:color w:val="auto"/>
                <w:highlight w:val="none"/>
              </w:rPr>
              <w:t>本项目采购标的所属行业为：</w:t>
            </w:r>
            <w:r>
              <w:rPr>
                <w:rFonts w:hint="eastAsia" w:ascii="宋体" w:hAnsi="宋体" w:eastAsia="宋体" w:cs="宋体"/>
                <w:b/>
                <w:bCs w:val="0"/>
                <w:color w:val="auto"/>
                <w:kern w:val="2"/>
                <w:sz w:val="21"/>
                <w:szCs w:val="21"/>
                <w:highlight w:val="none"/>
                <w:u w:val="none"/>
                <w:lang w:val="en-US" w:eastAsia="zh-CN" w:bidi="ar-SA"/>
              </w:rPr>
              <w:t>工业（制造业）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p>
        </w:tc>
        <w:tc>
          <w:tcPr>
            <w:tcW w:w="2551" w:type="dxa"/>
            <w:vAlign w:val="center"/>
          </w:tcPr>
          <w:p>
            <w:pPr>
              <w:pStyle w:val="78"/>
              <w:spacing w:line="460" w:lineRule="exact"/>
              <w:jc w:val="center"/>
              <w:rPr>
                <w:rFonts w:hint="default" w:ascii="宋体" w:hAnsi="宋体" w:eastAsia="宋体" w:cs="宋体"/>
                <w:b w:val="0"/>
                <w:bCs w:val="0"/>
                <w:color w:val="auto"/>
                <w:highlight w:val="none"/>
                <w:lang w:val="en-US" w:eastAsia="zh-CN"/>
              </w:rPr>
            </w:pPr>
            <w:r>
              <w:rPr>
                <w:rFonts w:hint="eastAsia" w:ascii="宋体" w:hAnsi="宋体" w:cs="宋体"/>
                <w:b w:val="0"/>
                <w:bCs w:val="0"/>
                <w:color w:val="auto"/>
                <w:highlight w:val="none"/>
                <w:u w:val="none"/>
                <w:lang w:val="en-US" w:eastAsia="zh-CN"/>
              </w:rPr>
              <w:t>核心产品</w:t>
            </w:r>
          </w:p>
        </w:tc>
        <w:tc>
          <w:tcPr>
            <w:tcW w:w="5670" w:type="dxa"/>
            <w:vAlign w:val="center"/>
          </w:tcPr>
          <w:p>
            <w:pPr>
              <w:pStyle w:val="78"/>
              <w:spacing w:line="460" w:lineRule="exact"/>
              <w:jc w:val="left"/>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本项目核心产品为：智能密集架</w:t>
            </w:r>
          </w:p>
          <w:p>
            <w:pPr>
              <w:pStyle w:val="78"/>
              <w:spacing w:line="460" w:lineRule="exact"/>
              <w:jc w:val="left"/>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u w:val="none"/>
              </w:rPr>
              <w:t>如通过初审的有效供应商拟供核心产品的品牌相同，按照《政府采购货物和服务招标投标管理办法》（第87号令）规定，提供相同品牌核心产品且通过资格审查、符合性审查的不同供应商参加同一合同项下</w:t>
            </w:r>
            <w:r>
              <w:rPr>
                <w:rFonts w:hint="eastAsia" w:ascii="宋体" w:hAnsi="宋体" w:cs="宋体"/>
                <w:b w:val="0"/>
                <w:bCs w:val="0"/>
                <w:color w:val="auto"/>
                <w:highlight w:val="none"/>
                <w:u w:val="none"/>
                <w:lang w:val="en-US" w:eastAsia="zh-CN"/>
              </w:rPr>
              <w:t>谈判</w:t>
            </w:r>
            <w:r>
              <w:rPr>
                <w:rFonts w:hint="eastAsia" w:ascii="宋体" w:hAnsi="宋体" w:eastAsia="宋体" w:cs="宋体"/>
                <w:b w:val="0"/>
                <w:bCs w:val="0"/>
                <w:color w:val="auto"/>
                <w:highlight w:val="none"/>
                <w:u w:val="none"/>
              </w:rPr>
              <w:t>的，按一家供应商计算，评审后</w:t>
            </w:r>
            <w:r>
              <w:rPr>
                <w:rFonts w:hint="eastAsia" w:ascii="宋体" w:hAnsi="宋体" w:eastAsia="宋体" w:cs="宋体"/>
                <w:b w:val="0"/>
                <w:bCs w:val="0"/>
                <w:color w:val="auto"/>
                <w:highlight w:val="none"/>
                <w:u w:val="none"/>
                <w:lang w:val="en-US" w:eastAsia="zh-CN"/>
              </w:rPr>
              <w:t>参评报价最低</w:t>
            </w:r>
            <w:r>
              <w:rPr>
                <w:rFonts w:hint="eastAsia" w:ascii="宋体" w:hAnsi="宋体" w:eastAsia="宋体" w:cs="宋体"/>
                <w:b w:val="0"/>
                <w:bCs w:val="0"/>
                <w:color w:val="auto"/>
                <w:highlight w:val="none"/>
                <w:u w:val="none"/>
              </w:rPr>
              <w:t>的同品牌供应商获得成交供应商推荐资格；</w:t>
            </w:r>
            <w:r>
              <w:rPr>
                <w:rFonts w:hint="eastAsia" w:ascii="宋体" w:hAnsi="宋体" w:eastAsia="宋体" w:cs="宋体"/>
                <w:b w:val="0"/>
                <w:bCs w:val="0"/>
                <w:color w:val="auto"/>
                <w:highlight w:val="none"/>
                <w:u w:val="none"/>
                <w:lang w:val="en-US" w:eastAsia="zh-CN"/>
              </w:rPr>
              <w:t>参评报价</w:t>
            </w:r>
            <w:r>
              <w:rPr>
                <w:rFonts w:hint="eastAsia" w:ascii="宋体" w:hAnsi="宋体" w:eastAsia="宋体" w:cs="宋体"/>
                <w:b w:val="0"/>
                <w:bCs w:val="0"/>
                <w:color w:val="auto"/>
                <w:highlight w:val="none"/>
                <w:u w:val="none"/>
              </w:rPr>
              <w:t>相同的，以核心产品价格</w:t>
            </w:r>
            <w:r>
              <w:rPr>
                <w:rFonts w:hint="eastAsia" w:ascii="宋体" w:hAnsi="宋体" w:cs="宋体"/>
                <w:b w:val="0"/>
                <w:bCs w:val="0"/>
                <w:color w:val="auto"/>
                <w:highlight w:val="none"/>
                <w:u w:val="none"/>
                <w:lang w:val="en-US" w:eastAsia="zh-CN"/>
              </w:rPr>
              <w:t>低的优先</w:t>
            </w:r>
            <w:r>
              <w:rPr>
                <w:rFonts w:hint="eastAsia" w:ascii="宋体" w:hAnsi="宋体" w:eastAsia="宋体" w:cs="宋体"/>
                <w:b w:val="0"/>
                <w:bCs w:val="0"/>
                <w:color w:val="auto"/>
                <w:highlight w:val="none"/>
                <w:u w:val="none"/>
              </w:rPr>
              <w:t>，</w:t>
            </w:r>
            <w:r>
              <w:rPr>
                <w:rFonts w:hint="eastAsia" w:ascii="宋体" w:hAnsi="宋体" w:cs="宋体"/>
                <w:b w:val="0"/>
                <w:bCs w:val="0"/>
                <w:color w:val="auto"/>
                <w:highlight w:val="none"/>
                <w:u w:val="none"/>
                <w:lang w:val="en-US" w:eastAsia="zh-CN"/>
              </w:rPr>
              <w:t>核心产品价格也相同的，按采购清单内产品顺序，直到无报价相同的，以价格低的优先，</w:t>
            </w:r>
            <w:r>
              <w:rPr>
                <w:rFonts w:hint="eastAsia" w:ascii="宋体" w:hAnsi="宋体" w:eastAsia="宋体" w:cs="宋体"/>
                <w:b w:val="0"/>
                <w:bCs w:val="0"/>
                <w:color w:val="auto"/>
                <w:highlight w:val="none"/>
                <w:u w:val="none"/>
              </w:rPr>
              <w:t>其他同品牌供应商不作为</w:t>
            </w:r>
            <w:r>
              <w:rPr>
                <w:rFonts w:hint="eastAsia" w:ascii="宋体" w:hAnsi="宋体" w:cs="宋体"/>
                <w:b w:val="0"/>
                <w:bCs w:val="0"/>
                <w:color w:val="auto"/>
                <w:highlight w:val="none"/>
                <w:u w:val="none"/>
                <w:lang w:val="en-US" w:eastAsia="zh-CN"/>
              </w:rPr>
              <w:t>成交</w:t>
            </w:r>
            <w:r>
              <w:rPr>
                <w:rFonts w:hint="eastAsia" w:ascii="宋体" w:hAnsi="宋体" w:eastAsia="宋体" w:cs="宋体"/>
                <w:b w:val="0"/>
                <w:bCs w:val="0"/>
                <w:color w:val="auto"/>
                <w:highlight w:val="none"/>
                <w:u w:val="none"/>
              </w:rPr>
              <w:t>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p>
        </w:tc>
        <w:tc>
          <w:tcPr>
            <w:tcW w:w="2551" w:type="dxa"/>
            <w:vAlign w:val="center"/>
          </w:tcPr>
          <w:p>
            <w:pPr>
              <w:pStyle w:val="78"/>
              <w:spacing w:line="360" w:lineRule="auto"/>
              <w:jc w:val="center"/>
              <w:rPr>
                <w:rFonts w:hint="eastAsia" w:ascii="宋体" w:hAnsi="宋体" w:eastAsia="宋体" w:cs="宋体"/>
                <w:color w:val="auto"/>
                <w:highlight w:val="none"/>
              </w:rPr>
            </w:pPr>
            <w:r>
              <w:rPr>
                <w:rFonts w:hint="eastAsia" w:ascii="宋体" w:hAnsi="宋体" w:eastAsia="宋体" w:cs="宋体"/>
                <w:b w:val="0"/>
                <w:bCs w:val="0"/>
                <w:color w:val="auto"/>
                <w:highlight w:val="none"/>
                <w:lang w:val="en-US" w:eastAsia="zh-CN"/>
              </w:rPr>
              <w:t>报价</w:t>
            </w:r>
            <w:r>
              <w:rPr>
                <w:rFonts w:hint="eastAsia" w:ascii="宋体" w:hAnsi="宋体" w:eastAsia="宋体" w:cs="宋体"/>
                <w:b w:val="0"/>
                <w:bCs w:val="0"/>
                <w:color w:val="auto"/>
                <w:highlight w:val="none"/>
              </w:rPr>
              <w:t>货币</w:t>
            </w:r>
          </w:p>
        </w:tc>
        <w:tc>
          <w:tcPr>
            <w:tcW w:w="5670" w:type="dxa"/>
            <w:vAlign w:val="center"/>
          </w:tcPr>
          <w:p>
            <w:pPr>
              <w:pStyle w:val="78"/>
              <w:spacing w:line="360" w:lineRule="auto"/>
              <w:jc w:val="left"/>
              <w:rPr>
                <w:rFonts w:hint="eastAsia" w:ascii="宋体" w:hAnsi="宋体" w:eastAsia="宋体" w:cs="宋体"/>
                <w:color w:val="auto"/>
                <w:highlight w:val="none"/>
              </w:rPr>
            </w:pPr>
            <w:r>
              <w:rPr>
                <w:rFonts w:hint="eastAsia" w:ascii="宋体" w:hAnsi="宋体" w:eastAsia="宋体" w:cs="宋体"/>
                <w:b w:val="0"/>
                <w:bCs w:val="0"/>
                <w:color w:val="auto"/>
                <w:highlight w:val="none"/>
              </w:rPr>
              <w:t>人民币（本项目不接受除人民币外的其它货币）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10.4</w:t>
            </w:r>
          </w:p>
        </w:tc>
        <w:tc>
          <w:tcPr>
            <w:tcW w:w="2551" w:type="dxa"/>
            <w:vAlign w:val="center"/>
          </w:tcPr>
          <w:p>
            <w:pPr>
              <w:pStyle w:val="78"/>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代理服务费收费标准</w:t>
            </w:r>
          </w:p>
        </w:tc>
        <w:tc>
          <w:tcPr>
            <w:tcW w:w="5670" w:type="dxa"/>
            <w:vAlign w:val="center"/>
          </w:tcPr>
          <w:p>
            <w:pPr>
              <w:pStyle w:val="78"/>
              <w:numPr>
                <w:ilvl w:val="0"/>
                <w:numId w:val="0"/>
              </w:num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代理服务费参照国家发展</w:t>
            </w:r>
            <w:r>
              <w:rPr>
                <w:rFonts w:hint="eastAsia" w:ascii="宋体" w:hAnsi="宋体" w:eastAsia="宋体" w:cs="宋体"/>
                <w:color w:val="auto"/>
                <w:highlight w:val="none"/>
                <w:lang w:val="en-US" w:eastAsia="zh-CN"/>
              </w:rPr>
              <w:t>和</w:t>
            </w:r>
            <w:r>
              <w:rPr>
                <w:rFonts w:hint="eastAsia" w:ascii="宋体" w:hAnsi="宋体" w:eastAsia="宋体" w:cs="宋体"/>
                <w:color w:val="auto"/>
                <w:highlight w:val="none"/>
              </w:rPr>
              <w:t>改革委员会《招标代理服务收费管理暂行办法》(计价格(2002)1980号)文件规定计取，由成交供应商在领取成交通知书前向代理机构一次性足额支付。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10.5</w:t>
            </w:r>
          </w:p>
        </w:tc>
        <w:tc>
          <w:tcPr>
            <w:tcW w:w="2551" w:type="dxa"/>
            <w:vAlign w:val="center"/>
          </w:tcPr>
          <w:p>
            <w:pPr>
              <w:pStyle w:val="78"/>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代理服务费缴纳账户</w:t>
            </w:r>
          </w:p>
        </w:tc>
        <w:tc>
          <w:tcPr>
            <w:tcW w:w="5670" w:type="dxa"/>
            <w:vAlign w:val="center"/>
          </w:tcPr>
          <w:p>
            <w:pPr>
              <w:pStyle w:val="78"/>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单位名称：陕西中采项目管理有限公司 </w:t>
            </w:r>
          </w:p>
          <w:p>
            <w:pPr>
              <w:pStyle w:val="78"/>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开户行名称：招商银行股份有限公司西安分行营业部</w:t>
            </w:r>
          </w:p>
          <w:p>
            <w:pPr>
              <w:pStyle w:val="78"/>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账号：129911536210906</w:t>
            </w:r>
          </w:p>
          <w:p>
            <w:pPr>
              <w:pStyle w:val="78"/>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联系人：万工/029-88811050</w:t>
            </w:r>
          </w:p>
          <w:p>
            <w:pPr>
              <w:pStyle w:val="78"/>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请成交供应商按照要求将服务费汇入以上指定账户，如因自身原因发生错误，产生的不利后果均由供应商自行承担。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pPr>
              <w:spacing w:line="360" w:lineRule="auto"/>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10.6</w:t>
            </w:r>
          </w:p>
        </w:tc>
        <w:tc>
          <w:tcPr>
            <w:tcW w:w="2551"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同义词语</w:t>
            </w:r>
          </w:p>
        </w:tc>
        <w:tc>
          <w:tcPr>
            <w:tcW w:w="5670" w:type="dxa"/>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构成</w:t>
            </w:r>
            <w:r>
              <w:rPr>
                <w:rFonts w:hint="eastAsia" w:ascii="宋体" w:hAnsi="宋体" w:eastAsia="宋体" w:cs="宋体"/>
                <w:color w:val="auto"/>
                <w:highlight w:val="none"/>
                <w:lang w:val="en-US" w:eastAsia="zh-CN"/>
              </w:rPr>
              <w:t>竞争性谈判文件</w:t>
            </w:r>
            <w:r>
              <w:rPr>
                <w:rFonts w:hint="eastAsia" w:ascii="宋体" w:hAnsi="宋体" w:eastAsia="宋体" w:cs="宋体"/>
                <w:color w:val="auto"/>
                <w:highlight w:val="none"/>
              </w:rPr>
              <w:t>组成部分的“合同条款”“</w:t>
            </w:r>
            <w:r>
              <w:rPr>
                <w:rFonts w:hint="eastAsia" w:ascii="宋体" w:hAnsi="宋体" w:eastAsia="宋体" w:cs="宋体"/>
                <w:color w:val="auto"/>
                <w:highlight w:val="none"/>
                <w:lang w:eastAsia="zh-CN"/>
              </w:rPr>
              <w:t>采购内容及要求</w:t>
            </w:r>
            <w:r>
              <w:rPr>
                <w:rFonts w:hint="eastAsia" w:ascii="宋体" w:hAnsi="宋体" w:eastAsia="宋体" w:cs="宋体"/>
                <w:color w:val="auto"/>
                <w:highlight w:val="none"/>
              </w:rPr>
              <w:t>”等章节中出现的措辞“发包人”和“承包人”，在</w:t>
            </w: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rPr>
              <w:t>阶段应当分别按“采购人”和“供应商”进行理解。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10.7</w:t>
            </w:r>
          </w:p>
        </w:tc>
        <w:tc>
          <w:tcPr>
            <w:tcW w:w="2551" w:type="dxa"/>
            <w:vAlign w:val="center"/>
          </w:tcPr>
          <w:p>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解释权</w:t>
            </w:r>
          </w:p>
        </w:tc>
        <w:tc>
          <w:tcPr>
            <w:tcW w:w="5670" w:type="dxa"/>
            <w:vAlign w:val="center"/>
          </w:tcPr>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构成本</w:t>
            </w:r>
            <w:r>
              <w:rPr>
                <w:rFonts w:hint="eastAsia" w:ascii="宋体" w:hAnsi="宋体" w:eastAsia="宋体" w:cs="宋体"/>
                <w:color w:val="auto"/>
                <w:highlight w:val="none"/>
                <w:lang w:val="en-US" w:eastAsia="zh-CN"/>
              </w:rPr>
              <w:t>谈判文件</w:t>
            </w:r>
            <w:r>
              <w:rPr>
                <w:rFonts w:hint="eastAsia" w:ascii="宋体" w:hAnsi="宋体" w:eastAsia="宋体" w:cs="宋体"/>
                <w:color w:val="auto"/>
                <w:highlight w:val="none"/>
              </w:rPr>
              <w:t>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auto"/>
                <w:highlight w:val="none"/>
                <w:lang w:val="en-US" w:eastAsia="zh-CN"/>
              </w:rPr>
              <w:t>谈判文件</w:t>
            </w:r>
            <w:r>
              <w:rPr>
                <w:rFonts w:hint="eastAsia" w:ascii="宋体" w:hAnsi="宋体" w:eastAsia="宋体" w:cs="宋体"/>
                <w:color w:val="auto"/>
                <w:highlight w:val="none"/>
              </w:rPr>
              <w:t>中有特别规定外，仅适用于采购阶段的规定，按</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w:t>
            </w:r>
            <w:r>
              <w:rPr>
                <w:rFonts w:hint="eastAsia" w:ascii="宋体" w:hAnsi="宋体" w:eastAsia="宋体" w:cs="宋体"/>
                <w:color w:val="auto"/>
                <w:highlight w:val="none"/>
                <w:lang w:eastAsia="zh-CN"/>
              </w:rPr>
              <w:t>评审办法</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竞争性谈判响应文件</w:t>
            </w:r>
            <w:r>
              <w:rPr>
                <w:rFonts w:hint="eastAsia" w:ascii="宋体" w:hAnsi="宋体" w:eastAsia="宋体" w:cs="宋体"/>
                <w:color w:val="auto"/>
                <w:highlight w:val="none"/>
              </w:rPr>
              <w:t>格式的先后顺序解释；按本款前述规定仍不能形成结论的，由</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负责解释。</w:t>
            </w:r>
          </w:p>
        </w:tc>
      </w:tr>
      <w:bookmarkEnd w:id="15"/>
      <w:bookmarkEnd w:id="16"/>
      <w:bookmarkEnd w:id="17"/>
      <w:bookmarkEnd w:id="18"/>
      <w:bookmarkEnd w:id="19"/>
    </w:tbl>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总则</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项目概况</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1.1.1根据《中华人民共和国政府采购法》、《中华人民共和国政府采购法实施条例》、《政府采购竞争性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采购方式管理暂行办法》等有关法律、法规和规章的规定，本项目已具备采购条件，现对本项目进行采购。</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采购人：见供应商须知前附表。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采购代理机构：见供应商须知前附表。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采购项目名称：见供应商须知前附表。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采购项目的资金来源和落实情况</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资金来源及比例：见供应商须知前附表。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资金落实情况：见供应商须知前附表。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1.3采购范围、交付时间、</w:t>
      </w:r>
      <w:r>
        <w:rPr>
          <w:rFonts w:hint="eastAsia" w:ascii="宋体" w:hAnsi="宋体" w:cs="宋体"/>
          <w:color w:val="auto"/>
          <w:sz w:val="21"/>
          <w:szCs w:val="21"/>
          <w:highlight w:val="none"/>
          <w:lang w:eastAsia="zh-CN"/>
        </w:rPr>
        <w:t>实施地点</w:t>
      </w:r>
      <w:r>
        <w:rPr>
          <w:rFonts w:hint="eastAsia" w:ascii="宋体" w:hAnsi="宋体" w:eastAsia="宋体" w:cs="宋体"/>
          <w:color w:val="auto"/>
          <w:sz w:val="21"/>
          <w:szCs w:val="21"/>
          <w:highlight w:val="none"/>
        </w:rPr>
        <w:t>和质量标准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采购范围：见供应商须知前附表。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 </w:t>
      </w:r>
      <w:r>
        <w:rPr>
          <w:rFonts w:hint="eastAsia" w:ascii="宋体" w:hAnsi="宋体" w:cs="宋体"/>
          <w:color w:val="auto"/>
          <w:sz w:val="21"/>
          <w:szCs w:val="21"/>
          <w:highlight w:val="none"/>
          <w:lang w:val="en-US" w:eastAsia="zh-CN"/>
        </w:rPr>
        <w:t>合同履约期</w:t>
      </w:r>
      <w:r>
        <w:rPr>
          <w:rFonts w:hint="eastAsia" w:ascii="宋体" w:hAnsi="宋体" w:eastAsia="宋体" w:cs="宋体"/>
          <w:color w:val="auto"/>
          <w:sz w:val="21"/>
          <w:szCs w:val="21"/>
          <w:highlight w:val="none"/>
        </w:rPr>
        <w:t>：见供应商须知前附表。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1.3.3 </w:t>
      </w:r>
      <w:r>
        <w:rPr>
          <w:rFonts w:hint="eastAsia" w:ascii="宋体" w:hAnsi="宋体" w:cs="宋体"/>
          <w:color w:val="auto"/>
          <w:sz w:val="21"/>
          <w:szCs w:val="21"/>
          <w:highlight w:val="none"/>
          <w:lang w:eastAsia="zh-CN"/>
        </w:rPr>
        <w:t>实施地点</w:t>
      </w:r>
      <w:r>
        <w:rPr>
          <w:rFonts w:hint="eastAsia" w:ascii="宋体" w:hAnsi="宋体" w:eastAsia="宋体" w:cs="宋体"/>
          <w:color w:val="auto"/>
          <w:sz w:val="21"/>
          <w:szCs w:val="21"/>
          <w:highlight w:val="none"/>
        </w:rPr>
        <w:t>：见供应商须知前附表。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质量标准：见供应商须知前附表。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1.4供应商资格要求</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供应商应具备承担本采购项目资格要求：见供应商须知前附表。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供应商须知前附表规定接受联合体的，联合体除应符合本章对供应商应具备承担本采购项目资格要求和供应商须知前附表的要求外，还应遵守以下规定：</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（1）联合体各方应按</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提供的格式签订联合体协议书，明确联合体牵头人和各方权利义务，并承诺就成交项目向采购人承担连带责任；</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（2）由同一专业的单位组成的联合体，按照资质等级较低的单位确定资质等级；</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（3）联合体各方不得再以自己名义单独或参加其他联合体在本采购项目中</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，否则各相关</w:t>
      </w:r>
      <w:r>
        <w:rPr>
          <w:rFonts w:hint="eastAsia" w:ascii="宋体" w:hAnsi="宋体" w:eastAsia="宋体" w:cs="宋体"/>
          <w:color w:val="auto"/>
          <w:sz w:val="21"/>
          <w:szCs w:val="21"/>
          <w:highlight w:val="none"/>
          <w:lang w:val="en-US" w:eastAsia="zh-CN"/>
        </w:rPr>
        <w:t>谈判响应</w:t>
      </w:r>
      <w:r>
        <w:rPr>
          <w:rFonts w:hint="eastAsia" w:ascii="宋体" w:hAnsi="宋体" w:eastAsia="宋体" w:cs="宋体"/>
          <w:color w:val="auto"/>
          <w:sz w:val="21"/>
          <w:szCs w:val="21"/>
          <w:highlight w:val="none"/>
        </w:rPr>
        <w:t>均无效。</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供应商不得存在下列情形之一：</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（1）为采购人不具有独立法人资格的附属机构（单位）；</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（2）与采购人（项目单位）存在利害关系且可能影响采购公正性；</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（3）与本采购项目的其他供应商为同一个单位负责人；</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（4）与本采购项目的其他供应商存在控股、管理关系；</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（5）为本采购项目的代建人；</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（6）为本采购项目的采购代理机构；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（7）与本采购项目的代建人或采购代理机构同为一个法定代表人；</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（8）与本采购项目的代建人或采购代理机构存在控股或参股关系；</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（9）被依法暂停或者取消投标资格；</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（10）被责令停产停业、暂扣或者吊销许可证、暂扣或者吊销执照；</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（11）进入清算程序，或被宣告破产，或其他丧失履约能力的情形；</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（12）在最近三年内发生重大质量问题（以相关行业主管部门的行政处罚决定或司法机关出具的有关法律文书为准）；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（13）被工商行政管理机关在国家企业信用信息公示系统中列入严重违法失信企业名单；</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（14）被最高人民法院在“信用中国”网站（www.creditchina.gov.cn）或各级信用信息共享平台中列入失信被执行人名单；</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（15）法律法规或供应商须知前附表规定的其他情形。</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单位负责人为同一人或者存在直接控股、管理关系的不同供应商，不得参加同一合同项下的政府采购活动。除单一来源采购项目外，为采购项目提供整体设计、规范编制或者项目管理、监理、检测等服务的供应商，不得再参加同一项目同一包号的其他采购活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费用承担</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供应商准备和参加</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活动发生的费用自理。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1.6保密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活动的各方应对</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中的商业和技术等秘密保密，否则应承担相应的法律责任。</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语言文字</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使用的语言文字为中文。专用术语使用外文的，应附有中文注释。</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1.8计量单位</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预备会</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供应商须知前附表规定召开</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预备会的，采购人按供应商须知前附表规定的时间和地点召开</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预备会，澄清供应商提出的问题。</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供应商应按供应商须知前附表规定的时间和形式将提出的问题送达采购人，以便采购人在会议期间澄清。</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1.9.3 </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预备会后，采购人将对供应商所提问题的澄清，以供应商须知前附表规定的形式通知所有获取</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的供应商。该澄清内容为</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的组成部分。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 分包</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本项目不允许分包。</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1.11响应和偏差</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应当对</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的实质性要求和条件作出满足性或更有利于采购人的响应，否则，供应商将被否决。实质性要求和条件见供应商须知前附表。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供应商须知前附表规定了可以偏差的范围和最高偏差项数的，偏差应当符合供应商须知前附表规定的偏差范围和最高项数，超出偏差范围和最高偏差项数的</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将被否决。</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的全部偏差，均应在</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的商务和技术偏差表中列明，除列明的内容外，视为供应商响应</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的全部要求。</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2. </w:t>
      </w:r>
      <w:r>
        <w:rPr>
          <w:rFonts w:hint="eastAsia" w:ascii="宋体" w:hAnsi="宋体" w:eastAsia="宋体" w:cs="宋体"/>
          <w:b/>
          <w:color w:val="auto"/>
          <w:sz w:val="21"/>
          <w:szCs w:val="21"/>
          <w:highlight w:val="none"/>
          <w:lang w:eastAsia="zh-CN"/>
        </w:rPr>
        <w:t>竞争性谈判文件</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的组成</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包括：</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公告；</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（2）供应商须知；</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办法；</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（4）采购内容及要求；</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（5）合同条款及格式；</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响应文件格式；</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根据本章规定对</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所作的澄清、修改，构成</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的组成部分。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的澄清</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供应商应仔细阅读和检查</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的全部内容。如发现缺页或附件不全，应及时向采购人提出，以便补齐。如有疑问，应按供应商须知前附表规定的时间和形式将提出的问题送达采购人，要求采购人对</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予以澄清。</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的澄清以供应商须知前附表规定的形式发给所有获取</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的供应商，但不指明澄清问题的来源。澄清发出的时间距本章规定的响应文件递交截止时间不足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日的，并且澄清内容可能影响</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编制的，将相应延长响应文件递交截止时间。</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供应商在收到澄清后，应按供应商须知前附表规定的时间和形式通知采购人，确认已收到该澄清。</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 除非采购人认为确有必要答复，否则，采购人有权拒绝回复供应商在本章规定的时间后的任何澄清要求。</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 </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的修改</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2.3.1采购人以供应商须知前附表规定的形式修改</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，并通知所有已获取</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的供应商。修改</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的时间距本章规定的</w:t>
      </w:r>
      <w:r>
        <w:rPr>
          <w:rFonts w:hint="eastAsia" w:ascii="宋体" w:hAnsi="宋体" w:eastAsia="宋体" w:cs="宋体"/>
          <w:color w:val="auto"/>
          <w:sz w:val="21"/>
          <w:szCs w:val="21"/>
          <w:highlight w:val="none"/>
          <w:lang w:val="en-US" w:eastAsia="zh-CN"/>
        </w:rPr>
        <w:t>谈判响应文件递交</w:t>
      </w:r>
      <w:r>
        <w:rPr>
          <w:rFonts w:hint="eastAsia" w:ascii="宋体" w:hAnsi="宋体" w:eastAsia="宋体" w:cs="宋体"/>
          <w:color w:val="auto"/>
          <w:sz w:val="21"/>
          <w:szCs w:val="21"/>
          <w:highlight w:val="none"/>
        </w:rPr>
        <w:t>截止时间不足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日的，并且修改内容可能影响</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编制的，将相应延长</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谈判时间）</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供应商收到修改内容后，应按供应商须知前附表规定的时间和形式通知采购人，确认已收到该修改。</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3. </w:t>
      </w:r>
      <w:r>
        <w:rPr>
          <w:rFonts w:hint="eastAsia" w:ascii="宋体" w:hAnsi="宋体" w:eastAsia="宋体" w:cs="宋体"/>
          <w:b/>
          <w:color w:val="auto"/>
          <w:sz w:val="21"/>
          <w:szCs w:val="21"/>
          <w:highlight w:val="none"/>
          <w:lang w:eastAsia="zh-CN"/>
        </w:rPr>
        <w:t>谈判响应文件</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的组成</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应包括下列内容：</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响应函</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技术偏差表；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法定代表人（单位负责人）身份证明或授权委托书</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资格审查资料</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供应商认为需要提供的其他资料</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过程中作出的符合法律法规和</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规定的澄清确认，构成</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的组成部分。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 </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3.2.1 本次</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采用两轮报价。第一次</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响应报价随</w:t>
      </w:r>
      <w:r>
        <w:rPr>
          <w:rFonts w:hint="eastAsia" w:ascii="宋体" w:hAnsi="宋体" w:eastAsia="宋体" w:cs="宋体"/>
          <w:b/>
          <w:bCs/>
          <w:color w:val="auto"/>
          <w:sz w:val="21"/>
          <w:szCs w:val="21"/>
          <w:highlight w:val="none"/>
          <w:lang w:eastAsia="zh-CN"/>
        </w:rPr>
        <w:t>谈判响应文件</w:t>
      </w:r>
      <w:r>
        <w:rPr>
          <w:rFonts w:hint="eastAsia" w:ascii="宋体" w:hAnsi="宋体" w:eastAsia="宋体" w:cs="宋体"/>
          <w:b/>
          <w:bCs/>
          <w:color w:val="auto"/>
          <w:sz w:val="21"/>
          <w:szCs w:val="21"/>
          <w:highlight w:val="none"/>
        </w:rPr>
        <w:t>提交。第二次</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响应总报价在</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后提交。若第二轮</w:t>
      </w:r>
      <w:r>
        <w:rPr>
          <w:rFonts w:hint="eastAsia" w:ascii="宋体" w:hAnsi="宋体" w:cs="宋体"/>
          <w:b/>
          <w:bCs/>
          <w:color w:val="auto"/>
          <w:sz w:val="21"/>
          <w:szCs w:val="21"/>
          <w:highlight w:val="none"/>
          <w:lang w:val="en-US" w:eastAsia="zh-CN"/>
        </w:rPr>
        <w:t>参评</w:t>
      </w:r>
      <w:r>
        <w:rPr>
          <w:rFonts w:hint="eastAsia" w:ascii="宋体" w:hAnsi="宋体" w:eastAsia="宋体" w:cs="宋体"/>
          <w:b/>
          <w:bCs/>
          <w:color w:val="auto"/>
          <w:sz w:val="21"/>
          <w:szCs w:val="21"/>
          <w:highlight w:val="none"/>
        </w:rPr>
        <w:t>报价出现相同最低</w:t>
      </w:r>
      <w:r>
        <w:rPr>
          <w:rFonts w:hint="eastAsia" w:ascii="宋体" w:hAnsi="宋体" w:cs="宋体"/>
          <w:b/>
          <w:bCs/>
          <w:color w:val="auto"/>
          <w:sz w:val="21"/>
          <w:szCs w:val="21"/>
          <w:highlight w:val="none"/>
          <w:lang w:val="en-US" w:eastAsia="zh-CN"/>
        </w:rPr>
        <w:t>参评</w:t>
      </w:r>
      <w:r>
        <w:rPr>
          <w:rFonts w:hint="eastAsia" w:ascii="宋体" w:hAnsi="宋体" w:eastAsia="宋体" w:cs="宋体"/>
          <w:b/>
          <w:bCs/>
          <w:color w:val="auto"/>
          <w:sz w:val="21"/>
          <w:szCs w:val="21"/>
          <w:highlight w:val="none"/>
        </w:rPr>
        <w:t>报价的，以核心产品价格低的优先，核心产品价格也相同的，按采购清单内产品顺序，直到无报价相同的，以价格低的优先，</w:t>
      </w:r>
      <w:r>
        <w:rPr>
          <w:rFonts w:hint="eastAsia" w:ascii="宋体" w:hAnsi="宋体" w:cs="宋体"/>
          <w:b/>
          <w:bCs/>
          <w:color w:val="auto"/>
          <w:sz w:val="21"/>
          <w:szCs w:val="21"/>
          <w:highlight w:val="none"/>
          <w:lang w:val="en-US" w:eastAsia="zh-CN"/>
        </w:rPr>
        <w:t>决定最终候选单位</w:t>
      </w:r>
      <w:r>
        <w:rPr>
          <w:rFonts w:hint="eastAsia" w:ascii="宋体" w:hAnsi="宋体" w:eastAsia="宋体" w:cs="宋体"/>
          <w:b/>
          <w:bCs/>
          <w:color w:val="auto"/>
          <w:sz w:val="21"/>
          <w:szCs w:val="21"/>
          <w:highlight w:val="none"/>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bookmarkStart w:id="20" w:name="OLE_LINK19"/>
      <w:r>
        <w:rPr>
          <w:rFonts w:hint="eastAsia" w:ascii="宋体" w:hAnsi="宋体" w:eastAsia="宋体" w:cs="宋体"/>
          <w:color w:val="auto"/>
          <w:sz w:val="21"/>
          <w:szCs w:val="21"/>
          <w:highlight w:val="none"/>
        </w:rPr>
        <w:t>3.2.2 凡因供应商对竞争性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文件阅读不深、理解不透、误解、疏漏、或因市场行情了解不清造成的后果和风险均由供应商自行负责。</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3.2.3 </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过程中所产生的一切费用由供应商自行承担。</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3.2.4 根据财政部《关于推动解决政府采购异常低价问题的通知》（财库〔2026〕2号）“政府采购评审中出现下列情形之一的，评审委员会应当启动异常低价投标（响应）审查程序”： </w:t>
      </w:r>
      <w:r>
        <w:rPr>
          <w:rFonts w:hint="eastAsia" w:ascii="宋体" w:hAnsi="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rPr>
        <w:t xml:space="preserve">投标（响应）报价低于全部通过符合性审查供应商投标（响应）报价平均值65%的，即投标（响应）报价&lt;全部通过符合性审查供应商投标（响应）报价平均值×65%； </w:t>
      </w:r>
      <w:r>
        <w:rPr>
          <w:rFonts w:hint="eastAsia" w:ascii="宋体" w:hAnsi="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rPr>
        <w:t xml:space="preserve">投标（响应）报价低于通过符合性审查的次低报价供应商投标（响应）报价65%的，即投标（响应）报价&lt;通过符合性审查的次低报价供应商投标（响应）报价×65%； </w:t>
      </w:r>
      <w:r>
        <w:rPr>
          <w:rFonts w:hint="eastAsia" w:ascii="宋体" w:hAnsi="宋体" w:cs="宋体"/>
          <w:b/>
          <w:bCs/>
          <w:color w:val="auto"/>
          <w:sz w:val="21"/>
          <w:szCs w:val="21"/>
          <w:highlight w:val="none"/>
          <w:lang w:val="en-US" w:eastAsia="zh-CN"/>
        </w:rPr>
        <w:t>③</w:t>
      </w:r>
      <w:r>
        <w:rPr>
          <w:rFonts w:hint="eastAsia" w:ascii="宋体" w:hAnsi="宋体" w:eastAsia="宋体" w:cs="宋体"/>
          <w:b/>
          <w:bCs/>
          <w:color w:val="auto"/>
          <w:sz w:val="21"/>
          <w:szCs w:val="21"/>
          <w:highlight w:val="none"/>
        </w:rPr>
        <w:t xml:space="preserve">投标（响应）报价低于采购项目最高限价65%的，即投标（响应）报价&lt;采购项目最高限价×65%； </w:t>
      </w:r>
      <w:r>
        <w:rPr>
          <w:rFonts w:hint="eastAsia" w:ascii="宋体" w:hAnsi="宋体" w:cs="宋体"/>
          <w:b/>
          <w:bCs/>
          <w:color w:val="auto"/>
          <w:sz w:val="21"/>
          <w:szCs w:val="21"/>
          <w:highlight w:val="none"/>
          <w:lang w:val="en-US" w:eastAsia="zh-CN"/>
        </w:rPr>
        <w:t>④</w:t>
      </w:r>
      <w:r>
        <w:rPr>
          <w:rFonts w:hint="eastAsia" w:ascii="宋体" w:hAnsi="宋体" w:eastAsia="宋体" w:cs="宋体"/>
          <w:b/>
          <w:bCs/>
          <w:color w:val="auto"/>
          <w:sz w:val="21"/>
          <w:szCs w:val="21"/>
          <w:highlight w:val="none"/>
        </w:rPr>
        <w:t xml:space="preserve">评审委员会基于专业判断，认为供应商报价过低，有可能影响产品质量或者不能诚信履约的其他情形。 </w:t>
      </w:r>
      <w:r>
        <w:rPr>
          <w:rFonts w:hint="eastAsia" w:ascii="宋体" w:hAnsi="宋体" w:cs="宋体"/>
          <w:b/>
          <w:bCs/>
          <w:color w:val="auto"/>
          <w:sz w:val="21"/>
          <w:szCs w:val="21"/>
          <w:highlight w:val="none"/>
          <w:lang w:val="en-US" w:eastAsia="zh-CN"/>
        </w:rPr>
        <w:t>⑤供应商</w:t>
      </w:r>
      <w:r>
        <w:rPr>
          <w:rFonts w:hint="eastAsia" w:ascii="宋体" w:hAnsi="宋体" w:eastAsia="宋体" w:cs="宋体"/>
          <w:b/>
          <w:bCs/>
          <w:color w:val="auto"/>
          <w:sz w:val="21"/>
          <w:szCs w:val="21"/>
          <w:highlight w:val="none"/>
        </w:rPr>
        <w:t>提交的相关说明和证明材料，应当加盖</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（法定名称）电子印章，相关供应商应于30分钟内（含30分钟）按评标委员会要求提供相应证明材料，通过项目电子化交易系统进行提交，否则提交的相关证明材料无效。</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不能证明其投标报价合理性的，评标委员会应当将其</w:t>
      </w:r>
      <w:r>
        <w:rPr>
          <w:rFonts w:hint="eastAsia" w:ascii="宋体" w:hAnsi="宋体" w:cs="宋体"/>
          <w:b/>
          <w:bCs/>
          <w:color w:val="auto"/>
          <w:sz w:val="21"/>
          <w:szCs w:val="21"/>
          <w:highlight w:val="none"/>
          <w:lang w:val="en-US" w:eastAsia="zh-CN"/>
        </w:rPr>
        <w:t>谈判响应</w:t>
      </w:r>
      <w:r>
        <w:rPr>
          <w:rFonts w:hint="eastAsia" w:ascii="宋体" w:hAnsi="宋体" w:eastAsia="宋体" w:cs="宋体"/>
          <w:b/>
          <w:bCs/>
          <w:color w:val="auto"/>
          <w:sz w:val="21"/>
          <w:szCs w:val="21"/>
          <w:highlight w:val="none"/>
        </w:rPr>
        <w:t>文件作为无效处理。</w:t>
      </w:r>
    </w:p>
    <w:bookmarkEnd w:id="20"/>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3.2.5 </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响应报价应包括国家规定的增值税税金，除供应商须知前附表另有规定外，增值税税金按一般计税方法计算。供应商应按第六章“</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响应文件格式”的要求在</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响应函中进行报价并填写分项报价表。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3.2.6 供应商应充分了解该项目的总体情况以及影响</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响应报价的其他要素。</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3.2.7 </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响应报价为各分项报价金额之和，</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响应报价与分项报价的合价不一致的，应以各分项合价累计数为准，修正</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响应报价。供应商在</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截止时间前修改</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响应函中的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响应报价总额，应同时修改</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响应文件“分项报价表”中的相应报价。此修改须符合本章规定的有关要求。</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3.2.8 采购人设有最高限价的，供应商的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响应报价不得超过最高限价，最高限价在供应商须知前附表中载明。</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3.2.9 </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响应报价的其他要求见供应商须知前附表。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3.3 </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有效期</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在</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有效期内，供应商撤销</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响应文件的，应承担竞争性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文件和法律规定的责任。</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出现特殊情况需要延长</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有效期的，采购人以书面形式通知所有供应商延长</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有效期。供应商应予以书面答复，同意延长的，应相应延长其</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保证金的有效期，但不得要求或被允许修改其</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响应文件；供应商拒绝延长的，其</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失效，但供应商有权收回其</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保证金及以现金或者支票形式递交的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保证金的银行同期存款利息。</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 </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供应商在递交</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的同时，应按供应商须知前附表规定的金额、形式和</w:t>
      </w: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格式”规定的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保证金格式递交</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保证金，并作为其</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的组成部分。境内供应商以现金或者支票形式提交的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保证金，应当从其对公账户转出。</w:t>
      </w:r>
      <w:r>
        <w:rPr>
          <w:rFonts w:hint="eastAsia" w:ascii="宋体" w:hAnsi="宋体" w:eastAsia="宋体" w:cs="宋体"/>
          <w:color w:val="auto"/>
          <w:sz w:val="21"/>
          <w:szCs w:val="21"/>
          <w:highlight w:val="none"/>
          <w:lang w:eastAsia="zh-CN"/>
        </w:rPr>
        <w:t>联合体谈判</w:t>
      </w:r>
      <w:r>
        <w:rPr>
          <w:rFonts w:hint="eastAsia" w:ascii="宋体" w:hAnsi="宋体" w:eastAsia="宋体" w:cs="宋体"/>
          <w:color w:val="auto"/>
          <w:sz w:val="21"/>
          <w:szCs w:val="21"/>
          <w:highlight w:val="none"/>
        </w:rPr>
        <w:t>的，其</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由牵头人递交，并应符合供应商须知前附表的规定。</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供应商</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按本章规定要求提交</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val="en-US" w:eastAsia="zh-CN"/>
        </w:rPr>
        <w:t>或未按要求在响应文件中附保证金交纳证明资料的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小组将否决其</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采购人应当自成交通知书发出之日起5个工作日内退还未成交供应商的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如有收取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，自采购合同签订之日起5个工作日内退还成交供应商的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 有下列情形之一的，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保证金将不予退还：</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有效期内撤销</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（2）成交供应商在收到成交通知书后，无正当理由不与采购人订立合同，在签订合同时向采购人提出附加条件，或者不按照</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要求提交履约保证金；</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阶段提弄虚作假或有其它违规行为，给采购人或采购代理机构造成损失。</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（4）发生供应商须知前附表规定的其他不予退还</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保证金的情形。</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资格审查资料</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备选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方案</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 除供应商须知前附表规定允许外，供应商不得递交备选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方案，否则其</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将被否决。</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3.6.2 允许供应商递交备选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方案的，只有成交供应商所递交的备选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方案方可予以考虑。</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小组认为成交供应商的备选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方案优于其按照</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要求编制的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方案的，采购人可以接受该备选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方案。</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 供应商提供两个或两个以上</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响应报价，或者在</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中提供一个报价，但同时提供两个或两个以上实施方案的，视为提供备选方案。</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 </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的编制</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3.7.1 </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第六章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格式”进行编写，如有必要，可以增加附页，作为</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的组成部分。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3.7.2 </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应当对</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有关</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有效期、</w:t>
      </w:r>
      <w:r>
        <w:rPr>
          <w:rFonts w:hint="eastAsia" w:ascii="宋体" w:hAnsi="宋体" w:cs="宋体"/>
          <w:b/>
          <w:bCs/>
          <w:color w:val="auto"/>
          <w:sz w:val="21"/>
          <w:szCs w:val="21"/>
          <w:highlight w:val="none"/>
          <w:lang w:val="en-US" w:eastAsia="zh-CN"/>
        </w:rPr>
        <w:t>合同履约期</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实施地点</w:t>
      </w:r>
      <w:r>
        <w:rPr>
          <w:rFonts w:hint="eastAsia" w:ascii="宋体" w:hAnsi="宋体" w:eastAsia="宋体" w:cs="宋体"/>
          <w:b/>
          <w:bCs/>
          <w:color w:val="auto"/>
          <w:sz w:val="21"/>
          <w:szCs w:val="21"/>
          <w:highlight w:val="none"/>
        </w:rPr>
        <w:t>、质量标准、</w:t>
      </w:r>
      <w:r>
        <w:rPr>
          <w:rFonts w:hint="eastAsia" w:ascii="宋体" w:hAnsi="宋体" w:eastAsia="宋体" w:cs="宋体"/>
          <w:b/>
          <w:bCs/>
          <w:color w:val="auto"/>
          <w:sz w:val="21"/>
          <w:szCs w:val="21"/>
          <w:highlight w:val="none"/>
          <w:lang w:val="en-US" w:eastAsia="zh-CN"/>
        </w:rPr>
        <w:t>采购内容及要求</w:t>
      </w:r>
      <w:r>
        <w:rPr>
          <w:rFonts w:hint="eastAsia" w:ascii="宋体" w:hAnsi="宋体" w:eastAsia="宋体" w:cs="宋体"/>
          <w:color w:val="auto"/>
          <w:sz w:val="21"/>
          <w:szCs w:val="21"/>
          <w:highlight w:val="none"/>
        </w:rPr>
        <w:t>等实质性内容作出响应。</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在满足</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实质性要求的基础上，可以提出比</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要求更有利于采购人的承诺。</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3.7.3（1）</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响应函及对</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w:t>
      </w:r>
      <w:r>
        <w:rPr>
          <w:rFonts w:hint="eastAsia" w:ascii="宋体" w:hAnsi="宋体" w:eastAsia="宋体" w:cs="宋体"/>
          <w:color w:val="auto"/>
          <w:sz w:val="21"/>
          <w:szCs w:val="21"/>
          <w:highlight w:val="none"/>
          <w:lang w:eastAsia="zh-CN"/>
        </w:rPr>
        <w:t>第六章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格式”的要求。</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应尽量避免涂改、行间插字或删除。如果出现上述情况，改动之处应由供应商加盖单位公章或其法定代表人（单位负责人）或其授权的代理人签字或盖章。</w:t>
      </w:r>
    </w:p>
    <w:p>
      <w:pPr>
        <w:keepNext w:val="0"/>
        <w:keepLines w:val="0"/>
        <w:pageBreakBefore w:val="0"/>
        <w:widowControl w:val="0"/>
        <w:numPr>
          <w:ilvl w:val="0"/>
          <w:numId w:val="0"/>
        </w:numPr>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（2）谈判响应文件的编制</w:t>
      </w:r>
      <w:r>
        <w:rPr>
          <w:rFonts w:hint="eastAsia" w:ascii="宋体" w:hAnsi="宋体" w:eastAsia="宋体" w:cs="宋体"/>
          <w:b/>
          <w:bCs/>
          <w:color w:val="auto"/>
          <w:sz w:val="21"/>
          <w:szCs w:val="21"/>
          <w:highlight w:val="none"/>
          <w:lang w:val="en-US" w:eastAsia="zh-CN"/>
        </w:rPr>
        <w:t>详</w:t>
      </w:r>
      <w:r>
        <w:rPr>
          <w:rFonts w:hint="eastAsia" w:ascii="宋体" w:hAnsi="宋体" w:eastAsia="宋体" w:cs="宋体"/>
          <w:b/>
          <w:bCs/>
          <w:color w:val="auto"/>
          <w:sz w:val="21"/>
          <w:szCs w:val="21"/>
          <w:highlight w:val="none"/>
        </w:rPr>
        <w:t>见供应商须知前附表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制作电子</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须在“全国公共资源交易平台（陕西省·</w:t>
      </w:r>
      <w:r>
        <w:rPr>
          <w:rFonts w:hint="eastAsia" w:ascii="宋体" w:hAnsi="宋体" w:eastAsia="宋体" w:cs="宋体"/>
          <w:color w:val="auto"/>
          <w:sz w:val="21"/>
          <w:szCs w:val="21"/>
          <w:highlight w:val="none"/>
          <w:lang w:val="en-US" w:eastAsia="zh-CN"/>
        </w:rPr>
        <w:t>宝鸡市</w:t>
      </w:r>
      <w:r>
        <w:rPr>
          <w:rFonts w:hint="eastAsia" w:ascii="宋体" w:hAnsi="宋体" w:eastAsia="宋体" w:cs="宋体"/>
          <w:color w:val="auto"/>
          <w:sz w:val="21"/>
          <w:szCs w:val="21"/>
          <w:highlight w:val="none"/>
        </w:rPr>
        <w:t>）”的“服务指南”栏目“下载专区”中，免费下载“陕西省公共资源交易平台政府采购电子标书制作工具”及“政府采购</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操作手册”，并使用电子标书制作工具制作电子</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，制作扩展名为“.SXSTF”的电子</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4. </w:t>
      </w:r>
      <w:r>
        <w:rPr>
          <w:rFonts w:hint="eastAsia" w:ascii="宋体" w:hAnsi="宋体" w:eastAsia="宋体" w:cs="宋体"/>
          <w:b/>
          <w:color w:val="auto"/>
          <w:sz w:val="21"/>
          <w:szCs w:val="21"/>
          <w:highlight w:val="none"/>
          <w:lang w:eastAsia="zh-CN"/>
        </w:rPr>
        <w:t>谈判</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的递交</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供应商应在供应商须知前附表规定的</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谈判时间）</w:t>
      </w:r>
      <w:r>
        <w:rPr>
          <w:rFonts w:hint="eastAsia" w:ascii="宋体" w:hAnsi="宋体" w:eastAsia="宋体" w:cs="宋体"/>
          <w:color w:val="auto"/>
          <w:sz w:val="21"/>
          <w:szCs w:val="21"/>
          <w:highlight w:val="none"/>
        </w:rPr>
        <w:t>前递交</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递交电子</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：登录全国公共资源交易平台（陕西省·</w:t>
      </w:r>
      <w:r>
        <w:rPr>
          <w:rFonts w:hint="eastAsia" w:ascii="宋体" w:hAnsi="宋体" w:eastAsia="宋体" w:cs="宋体"/>
          <w:color w:val="auto"/>
          <w:sz w:val="21"/>
          <w:szCs w:val="21"/>
          <w:highlight w:val="none"/>
          <w:lang w:val="en-US" w:eastAsia="zh-CN"/>
        </w:rPr>
        <w:t>宝鸡市</w:t>
      </w:r>
      <w:r>
        <w:rPr>
          <w:rFonts w:hint="eastAsia" w:ascii="宋体" w:hAnsi="宋体" w:eastAsia="宋体" w:cs="宋体"/>
          <w:color w:val="auto"/>
          <w:sz w:val="21"/>
          <w:szCs w:val="21"/>
          <w:highlight w:val="none"/>
        </w:rPr>
        <w:t>），选择“陕西省公共资源交易平台-电子交易平台-陕西政府采购交易系统”进行登录，登录后选择“交易乙方”身份进入，选择“上传</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”菜单页面，上传加密的电子</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。上传成功后，电子化平台将予以记录</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供应商递交</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的地点：见供应商须知前附表。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 除供应商须知前附表另有规定外，供应商所递交的</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不予退还。</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 逾期</w:t>
      </w:r>
      <w:r>
        <w:rPr>
          <w:rFonts w:hint="eastAsia" w:ascii="宋体" w:hAnsi="宋体" w:eastAsia="宋体" w:cs="宋体"/>
          <w:color w:val="auto"/>
          <w:sz w:val="21"/>
          <w:szCs w:val="21"/>
          <w:highlight w:val="none"/>
          <w:lang w:val="en-US" w:eastAsia="zh-CN"/>
        </w:rPr>
        <w:t>上传</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，采购人或采购代理机构将予以拒收。</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自身原因造成电子</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在规定的时间（60分钟）内无法解密或无法现场报价的，按无效</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对待。</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6 </w:t>
      </w:r>
      <w:r>
        <w:rPr>
          <w:rFonts w:hint="eastAsia" w:ascii="宋体" w:hAnsi="宋体" w:eastAsia="宋体" w:cs="宋体"/>
          <w:b/>
          <w:bCs/>
          <w:color w:val="auto"/>
          <w:sz w:val="21"/>
          <w:szCs w:val="21"/>
          <w:highlight w:val="none"/>
        </w:rPr>
        <w:t>本项目采用“不见面开标”方式，无需到现场递交纸质文件，</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须使用数字认证证书对</w:t>
      </w:r>
      <w:r>
        <w:rPr>
          <w:rFonts w:hint="eastAsia" w:ascii="宋体" w:hAnsi="宋体" w:eastAsia="宋体" w:cs="宋体"/>
          <w:b/>
          <w:bCs/>
          <w:color w:val="auto"/>
          <w:sz w:val="21"/>
          <w:szCs w:val="21"/>
          <w:highlight w:val="none"/>
          <w:lang w:eastAsia="zh-CN"/>
        </w:rPr>
        <w:t>谈判响应文件</w:t>
      </w:r>
      <w:r>
        <w:rPr>
          <w:rFonts w:hint="eastAsia" w:ascii="宋体" w:hAnsi="宋体" w:eastAsia="宋体" w:cs="宋体"/>
          <w:b/>
          <w:bCs/>
          <w:color w:val="auto"/>
          <w:sz w:val="21"/>
          <w:szCs w:val="21"/>
          <w:highlight w:val="none"/>
        </w:rPr>
        <w:t>进行签封、加密、递交</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解密等相关事宜。</w:t>
      </w: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可登录全国公共资源交易平台（陕西省·</w:t>
      </w:r>
      <w:r>
        <w:rPr>
          <w:rFonts w:hint="eastAsia" w:ascii="宋体" w:hAnsi="宋体" w:eastAsia="宋体" w:cs="宋体"/>
          <w:color w:val="auto"/>
          <w:sz w:val="21"/>
          <w:szCs w:val="21"/>
          <w:highlight w:val="none"/>
          <w:lang w:val="en-US" w:eastAsia="zh-CN"/>
        </w:rPr>
        <w:t>宝鸡市</w:t>
      </w:r>
      <w:r>
        <w:rPr>
          <w:rFonts w:hint="eastAsia" w:ascii="宋体" w:hAnsi="宋体" w:eastAsia="宋体" w:cs="宋体"/>
          <w:color w:val="auto"/>
          <w:sz w:val="21"/>
          <w:szCs w:val="21"/>
          <w:highlight w:val="none"/>
        </w:rPr>
        <w:t>）下载操作手册,并在</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递交截止时间前通过全国公共资源交易平台（陕西省·</w:t>
      </w:r>
      <w:r>
        <w:rPr>
          <w:rFonts w:hint="eastAsia" w:ascii="宋体" w:hAnsi="宋体" w:eastAsia="宋体" w:cs="宋体"/>
          <w:color w:val="auto"/>
          <w:sz w:val="21"/>
          <w:szCs w:val="21"/>
          <w:highlight w:val="none"/>
          <w:lang w:val="en-US" w:eastAsia="zh-CN"/>
        </w:rPr>
        <w:t>宝鸡市</w:t>
      </w:r>
      <w:r>
        <w:rPr>
          <w:rFonts w:hint="eastAsia" w:ascii="宋体" w:hAnsi="宋体" w:eastAsia="宋体" w:cs="宋体"/>
          <w:color w:val="auto"/>
          <w:sz w:val="21"/>
          <w:szCs w:val="21"/>
          <w:highlight w:val="none"/>
        </w:rPr>
        <w:t>）递交电子</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7 </w:t>
      </w:r>
      <w:r>
        <w:rPr>
          <w:rFonts w:hint="eastAsia" w:ascii="宋体" w:hAnsi="宋体" w:eastAsia="宋体" w:cs="宋体"/>
          <w:color w:val="auto"/>
          <w:sz w:val="21"/>
          <w:szCs w:val="21"/>
          <w:highlight w:val="none"/>
        </w:rPr>
        <w:t>在线参与</w:t>
      </w: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的方式：打开全国公共资源交易平台，点击【电子交易平台】--【不见面开标系统】进入不见面开标大厅登陆首页。在我的项目里面找到等待开标的项目，点击进入不见面开标会议室。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阅读开标流程，并在开标倒计时结束前完成在线签到。</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4.1.8 </w:t>
      </w:r>
      <w:r>
        <w:rPr>
          <w:rFonts w:hint="eastAsia" w:ascii="宋体" w:hAnsi="宋体" w:eastAsia="宋体" w:cs="宋体"/>
          <w:b/>
          <w:bCs/>
          <w:color w:val="auto"/>
          <w:sz w:val="21"/>
          <w:szCs w:val="21"/>
          <w:highlight w:val="none"/>
        </w:rPr>
        <w:t>不见面</w:t>
      </w:r>
      <w:r>
        <w:rPr>
          <w:rFonts w:hint="eastAsia" w:ascii="宋体" w:hAnsi="宋体" w:eastAsia="宋体" w:cs="宋体"/>
          <w:b/>
          <w:bCs/>
          <w:color w:val="auto"/>
          <w:sz w:val="21"/>
          <w:szCs w:val="21"/>
          <w:highlight w:val="none"/>
          <w:lang w:val="en-US" w:eastAsia="zh-CN"/>
        </w:rPr>
        <w:t>开标</w:t>
      </w:r>
      <w:r>
        <w:rPr>
          <w:rFonts w:hint="eastAsia" w:ascii="宋体" w:hAnsi="宋体" w:eastAsia="宋体" w:cs="宋体"/>
          <w:b/>
          <w:bCs/>
          <w:color w:val="auto"/>
          <w:sz w:val="21"/>
          <w:szCs w:val="21"/>
          <w:highlight w:val="none"/>
        </w:rPr>
        <w:t>注意事项：</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为顺利实现本项目</w:t>
      </w:r>
      <w:r>
        <w:rPr>
          <w:rFonts w:hint="eastAsia" w:ascii="宋体" w:hAnsi="宋体" w:eastAsia="宋体" w:cs="宋体"/>
          <w:b/>
          <w:bCs/>
          <w:color w:val="auto"/>
          <w:sz w:val="21"/>
          <w:szCs w:val="21"/>
          <w:highlight w:val="none"/>
          <w:lang w:val="en-US" w:eastAsia="zh-CN"/>
        </w:rPr>
        <w:t>开标</w:t>
      </w:r>
      <w:r>
        <w:rPr>
          <w:rFonts w:hint="eastAsia" w:ascii="宋体" w:hAnsi="宋体" w:eastAsia="宋体" w:cs="宋体"/>
          <w:b/>
          <w:bCs/>
          <w:color w:val="auto"/>
          <w:sz w:val="21"/>
          <w:szCs w:val="21"/>
          <w:highlight w:val="none"/>
        </w:rPr>
        <w:t>的远程交互，建议</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提前调试好硬件设备。</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需注意一定要提前准备好CA</w:t>
      </w:r>
      <w:r>
        <w:rPr>
          <w:rFonts w:hint="eastAsia" w:ascii="宋体" w:hAnsi="宋体" w:eastAsia="宋体" w:cs="宋体"/>
          <w:b/>
          <w:bCs/>
          <w:color w:val="auto"/>
          <w:sz w:val="21"/>
          <w:szCs w:val="21"/>
          <w:highlight w:val="none"/>
          <w:lang w:val="en-US" w:eastAsia="zh-CN"/>
        </w:rPr>
        <w:t>锁</w:t>
      </w:r>
      <w:r>
        <w:rPr>
          <w:rFonts w:hint="eastAsia" w:ascii="宋体" w:hAnsi="宋体" w:eastAsia="宋体" w:cs="宋体"/>
          <w:b/>
          <w:bCs/>
          <w:color w:val="auto"/>
          <w:sz w:val="21"/>
          <w:szCs w:val="21"/>
          <w:highlight w:val="none"/>
        </w:rPr>
        <w:t>，并确保CA锁</w:t>
      </w:r>
      <w:r>
        <w:rPr>
          <w:rFonts w:hint="eastAsia" w:ascii="宋体" w:hAnsi="宋体" w:eastAsia="宋体" w:cs="宋体"/>
          <w:b/>
          <w:bCs/>
          <w:color w:val="auto"/>
          <w:sz w:val="21"/>
          <w:szCs w:val="21"/>
          <w:highlight w:val="none"/>
          <w:lang w:val="en-US" w:eastAsia="zh-CN"/>
        </w:rPr>
        <w:t>与</w:t>
      </w:r>
      <w:r>
        <w:rPr>
          <w:rFonts w:hint="eastAsia" w:ascii="宋体" w:hAnsi="宋体" w:eastAsia="宋体" w:cs="宋体"/>
          <w:b/>
          <w:bCs/>
          <w:color w:val="auto"/>
          <w:sz w:val="21"/>
          <w:szCs w:val="21"/>
          <w:highlight w:val="none"/>
        </w:rPr>
        <w:t>制作</w:t>
      </w:r>
      <w:r>
        <w:rPr>
          <w:rFonts w:hint="eastAsia" w:ascii="宋体" w:hAnsi="宋体" w:eastAsia="宋体" w:cs="宋体"/>
          <w:b/>
          <w:bCs/>
          <w:color w:val="auto"/>
          <w:sz w:val="21"/>
          <w:szCs w:val="21"/>
          <w:highlight w:val="none"/>
          <w:lang w:eastAsia="zh-CN"/>
        </w:rPr>
        <w:t>谈判响应文件</w:t>
      </w:r>
      <w:r>
        <w:rPr>
          <w:rFonts w:hint="eastAsia" w:ascii="宋体" w:hAnsi="宋体" w:eastAsia="宋体" w:cs="宋体"/>
          <w:b/>
          <w:bCs/>
          <w:color w:val="auto"/>
          <w:sz w:val="21"/>
          <w:szCs w:val="21"/>
          <w:highlight w:val="none"/>
        </w:rPr>
        <w:t>的CA锁</w:t>
      </w:r>
      <w:r>
        <w:rPr>
          <w:rFonts w:hint="eastAsia" w:ascii="宋体" w:hAnsi="宋体" w:eastAsia="宋体" w:cs="宋体"/>
          <w:b/>
          <w:bCs/>
          <w:color w:val="auto"/>
          <w:sz w:val="21"/>
          <w:szCs w:val="21"/>
          <w:highlight w:val="none"/>
          <w:lang w:val="en-US" w:eastAsia="zh-CN"/>
        </w:rPr>
        <w:t>为同一把</w:t>
      </w:r>
      <w:r>
        <w:rPr>
          <w:rFonts w:hint="eastAsia" w:ascii="宋体" w:hAnsi="宋体" w:eastAsia="宋体" w:cs="宋体"/>
          <w:b/>
          <w:bCs/>
          <w:color w:val="auto"/>
          <w:sz w:val="21"/>
          <w:szCs w:val="21"/>
          <w:highlight w:val="none"/>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及时关注右侧公告及互动栏目信息，并尽快做出响应。</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本项目采用电子化招投标，</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递交的</w:t>
      </w:r>
      <w:r>
        <w:rPr>
          <w:rFonts w:hint="eastAsia" w:ascii="宋体" w:hAnsi="宋体" w:eastAsia="宋体" w:cs="宋体"/>
          <w:b/>
          <w:bCs/>
          <w:color w:val="auto"/>
          <w:sz w:val="21"/>
          <w:szCs w:val="21"/>
          <w:highlight w:val="none"/>
          <w:lang w:eastAsia="zh-CN"/>
        </w:rPr>
        <w:t>谈判响应文件</w:t>
      </w:r>
      <w:r>
        <w:rPr>
          <w:rFonts w:hint="eastAsia" w:ascii="宋体" w:hAnsi="宋体" w:eastAsia="宋体" w:cs="宋体"/>
          <w:b/>
          <w:bCs/>
          <w:color w:val="auto"/>
          <w:sz w:val="21"/>
          <w:szCs w:val="21"/>
          <w:highlight w:val="none"/>
        </w:rPr>
        <w:t>中电子印章与纸质印章影印件，电子签名与手写签名影印件，证明材料的复印件与扫描件均具备同等法律效力。</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的修改与撤回</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在本章规定的</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谈判时间）</w:t>
      </w:r>
      <w:r>
        <w:rPr>
          <w:rFonts w:hint="eastAsia" w:ascii="宋体" w:hAnsi="宋体" w:eastAsia="宋体" w:cs="宋体"/>
          <w:color w:val="auto"/>
          <w:sz w:val="21"/>
          <w:szCs w:val="21"/>
          <w:highlight w:val="none"/>
        </w:rPr>
        <w:t>前，供应商可以修改或撤回已递交的</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，但应以书面形式通知采购人或采购代理机构。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供应商撤回</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的，采购人或采购代理机构自收到供应商书面撤回通知之日起5日内退还已收取的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修改的内容为</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的组成部分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修改的</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应按照本章的规定进行编制、递交。</w:t>
      </w:r>
      <w:r>
        <w:rPr>
          <w:rFonts w:hint="eastAsia" w:ascii="宋体" w:hAnsi="宋体" w:eastAsia="宋体" w:cs="宋体"/>
          <w:color w:val="auto"/>
          <w:sz w:val="21"/>
          <w:szCs w:val="21"/>
          <w:highlight w:val="none"/>
          <w:lang w:val="en-US" w:eastAsia="zh-CN"/>
        </w:rPr>
        <w:t>供应商修改后的最终文件以</w:t>
      </w:r>
      <w:r>
        <w:rPr>
          <w:rFonts w:hint="eastAsia" w:ascii="宋体" w:hAnsi="宋体" w:eastAsia="宋体" w:cs="宋体"/>
          <w:color w:val="auto"/>
          <w:sz w:val="21"/>
          <w:szCs w:val="21"/>
          <w:highlight w:val="none"/>
        </w:rPr>
        <w:t>全国公共资源交易平台（陕西省·</w:t>
      </w:r>
      <w:r>
        <w:rPr>
          <w:rFonts w:hint="eastAsia" w:ascii="宋体" w:hAnsi="宋体" w:eastAsia="宋体" w:cs="宋体"/>
          <w:color w:val="auto"/>
          <w:sz w:val="21"/>
          <w:szCs w:val="21"/>
          <w:highlight w:val="none"/>
          <w:lang w:eastAsia="zh-CN"/>
        </w:rPr>
        <w:t>宝鸡市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上传终稿为准</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 xml:space="preserve">5. </w:t>
      </w:r>
      <w:r>
        <w:rPr>
          <w:rFonts w:hint="eastAsia" w:ascii="宋体" w:hAnsi="宋体" w:eastAsia="宋体" w:cs="宋体"/>
          <w:b/>
          <w:color w:val="auto"/>
          <w:sz w:val="21"/>
          <w:szCs w:val="21"/>
          <w:highlight w:val="none"/>
          <w:lang w:eastAsia="zh-CN"/>
        </w:rPr>
        <w:t>谈判</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5.1 </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时间和地点</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采购人或采购代理机构在本章规定的</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谈判时间）</w:t>
      </w:r>
      <w:r>
        <w:rPr>
          <w:rFonts w:hint="eastAsia" w:ascii="宋体" w:hAnsi="宋体" w:eastAsia="宋体" w:cs="宋体"/>
          <w:color w:val="auto"/>
          <w:sz w:val="21"/>
          <w:szCs w:val="21"/>
          <w:highlight w:val="none"/>
        </w:rPr>
        <w:t>和供应商须知前附表规定的地点公开</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，并邀请所有供应商的法定代表人（单位负责人）或其委托代理人准时参加。</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5.2 </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程序</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会议</w:t>
      </w:r>
      <w:r>
        <w:rPr>
          <w:rFonts w:hint="eastAsia" w:ascii="宋体" w:hAnsi="宋体" w:eastAsia="宋体" w:cs="宋体"/>
          <w:color w:val="auto"/>
          <w:sz w:val="21"/>
          <w:szCs w:val="21"/>
          <w:highlight w:val="none"/>
          <w:lang w:val="en-US" w:eastAsia="zh-CN"/>
        </w:rPr>
        <w:t>程序</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规定的时间和地点，由采购代理机构组织</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工作，供应商须委派代表参加，</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全国公共资源交易平台（陕西省·</w:t>
      </w:r>
      <w:r>
        <w:rPr>
          <w:rFonts w:hint="eastAsia" w:ascii="宋体" w:hAnsi="宋体" w:eastAsia="宋体" w:cs="宋体"/>
          <w:color w:val="auto"/>
          <w:sz w:val="21"/>
          <w:szCs w:val="21"/>
          <w:highlight w:val="none"/>
          <w:lang w:val="en-US" w:eastAsia="zh-CN"/>
        </w:rPr>
        <w:t>宝鸡市</w:t>
      </w:r>
      <w:r>
        <w:rPr>
          <w:rFonts w:hint="eastAsia" w:ascii="宋体" w:hAnsi="宋体" w:eastAsia="宋体" w:cs="宋体"/>
          <w:color w:val="auto"/>
          <w:sz w:val="21"/>
          <w:szCs w:val="21"/>
          <w:highlight w:val="none"/>
        </w:rPr>
        <w:t>）【不见面开标系统】</w:t>
      </w:r>
      <w:r>
        <w:rPr>
          <w:rFonts w:hint="eastAsia" w:ascii="宋体" w:hAnsi="宋体" w:eastAsia="宋体" w:cs="宋体"/>
          <w:color w:val="auto"/>
          <w:sz w:val="21"/>
          <w:szCs w:val="21"/>
          <w:highlight w:val="none"/>
          <w:lang w:val="en-US" w:eastAsia="zh-CN"/>
        </w:rPr>
        <w:t>签到</w:t>
      </w:r>
      <w:r>
        <w:rPr>
          <w:rFonts w:hint="eastAsia" w:ascii="宋体" w:hAnsi="宋体" w:eastAsia="宋体" w:cs="宋体"/>
          <w:color w:val="auto"/>
          <w:sz w:val="21"/>
          <w:szCs w:val="21"/>
          <w:highlight w:val="none"/>
        </w:rPr>
        <w:t>以证明其出席。</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②宣布开标纪律；</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③公布在</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谈判时间）前递交响应文件的供应商名称；</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③供应商对递交的电子谈判响应文件进行解密；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lang w:val="zh-CN"/>
        </w:rPr>
        <w:t>见面开标系统宣布开标会议结束</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供应商对</w:t>
      </w:r>
      <w:r>
        <w:rPr>
          <w:rFonts w:hint="eastAsia" w:ascii="宋体" w:hAnsi="宋体" w:eastAsia="宋体" w:cs="宋体"/>
          <w:color w:val="auto"/>
          <w:sz w:val="21"/>
          <w:szCs w:val="21"/>
          <w:highlight w:val="none"/>
          <w:lang w:val="en-US" w:eastAsia="zh-CN"/>
        </w:rPr>
        <w:t>谈判会议</w:t>
      </w:r>
      <w:r>
        <w:rPr>
          <w:rFonts w:hint="eastAsia" w:ascii="宋体" w:hAnsi="宋体" w:eastAsia="宋体" w:cs="宋体"/>
          <w:color w:val="auto"/>
          <w:sz w:val="21"/>
          <w:szCs w:val="21"/>
          <w:highlight w:val="none"/>
          <w:lang w:eastAsia="zh-CN"/>
        </w:rPr>
        <w:t>有异议的，应当在</w:t>
      </w:r>
      <w:r>
        <w:rPr>
          <w:rFonts w:hint="eastAsia" w:ascii="宋体" w:hAnsi="宋体" w:eastAsia="宋体" w:cs="宋体"/>
          <w:color w:val="auto"/>
          <w:sz w:val="21"/>
          <w:szCs w:val="21"/>
          <w:highlight w:val="none"/>
          <w:lang w:val="en-US" w:eastAsia="zh-CN"/>
        </w:rPr>
        <w:t>会议</w:t>
      </w:r>
      <w:r>
        <w:rPr>
          <w:rFonts w:hint="eastAsia" w:ascii="宋体" w:hAnsi="宋体" w:eastAsia="宋体" w:cs="宋体"/>
          <w:color w:val="auto"/>
          <w:sz w:val="21"/>
          <w:szCs w:val="21"/>
          <w:highlight w:val="none"/>
          <w:lang w:eastAsia="zh-CN"/>
        </w:rPr>
        <w:t>现场提出，采购代理机构或采购人当场作出答复，并制作记录。</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lang w:val="en-US" w:eastAsia="zh-CN"/>
        </w:rPr>
        <w:t>评审程序</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的资格性审查：依据法律法规和</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的规定，由</w:t>
      </w:r>
      <w:r>
        <w:rPr>
          <w:rFonts w:hint="eastAsia" w:ascii="宋体" w:hAnsi="宋体" w:eastAsia="宋体" w:cs="宋体"/>
          <w:b/>
          <w:bCs/>
          <w:color w:val="auto"/>
          <w:sz w:val="21"/>
          <w:szCs w:val="21"/>
          <w:highlight w:val="none"/>
          <w:u w:val="none"/>
          <w:lang w:val="en-US" w:eastAsia="zh-CN"/>
        </w:rPr>
        <w:t>谈判小组</w:t>
      </w:r>
      <w:r>
        <w:rPr>
          <w:rFonts w:hint="eastAsia" w:ascii="宋体" w:hAnsi="宋体" w:eastAsia="宋体" w:cs="宋体"/>
          <w:color w:val="auto"/>
          <w:sz w:val="21"/>
          <w:szCs w:val="21"/>
          <w:highlight w:val="none"/>
        </w:rPr>
        <w:t>代表对</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中的合格供应商证明文件进行审查，以确定供应商是否具备相应资格。</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符合性审查：依据</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的规定，由</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小组对</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的有效性、完整性和对</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的响应程度进行审查，以确定供应商是否具备相应资格。</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小组所有成员集中与单一供应商分别进行</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，并给所有参加</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供应商平等的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机会。</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④第二次谈判报价：</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结束后，有效响应供应商不少于三家。</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小组要求</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后通过资格及符合性审查的合格供应商在规定时间内提交第二次</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报价（最终</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报价），第二次</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报价是供应商响应文件的有效组成部分。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lang w:eastAsia="zh-CN"/>
        </w:rPr>
        <w:t>谈判响应文件</w:t>
      </w:r>
      <w:r>
        <w:rPr>
          <w:rFonts w:hint="eastAsia" w:ascii="宋体" w:hAnsi="宋体" w:cs="宋体"/>
          <w:color w:val="auto"/>
          <w:sz w:val="21"/>
          <w:szCs w:val="21"/>
          <w:highlight w:val="none"/>
          <w:lang w:val="en-US" w:eastAsia="zh-CN"/>
        </w:rPr>
        <w:t>价格</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lang w:val="en-US" w:eastAsia="zh-CN"/>
        </w:rPr>
        <w:t>谈判小组</w:t>
      </w: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规定的评审方法和标准，对</w:t>
      </w:r>
      <w:r>
        <w:rPr>
          <w:rFonts w:hint="eastAsia" w:ascii="宋体" w:hAnsi="宋体" w:eastAsia="宋体" w:cs="宋体"/>
          <w:color w:val="auto"/>
          <w:sz w:val="21"/>
          <w:szCs w:val="21"/>
          <w:highlight w:val="none"/>
          <w:lang w:val="en-US" w:eastAsia="zh-CN"/>
        </w:rPr>
        <w:t>通过初步评审供应商的响应文件</w:t>
      </w:r>
      <w:r>
        <w:rPr>
          <w:rFonts w:hint="eastAsia" w:ascii="宋体" w:hAnsi="宋体" w:eastAsia="宋体" w:cs="宋体"/>
          <w:color w:val="auto"/>
          <w:sz w:val="21"/>
          <w:szCs w:val="21"/>
          <w:highlight w:val="none"/>
        </w:rPr>
        <w:t>文件进行</w:t>
      </w:r>
      <w:r>
        <w:rPr>
          <w:rFonts w:hint="eastAsia" w:ascii="宋体" w:hAnsi="宋体" w:cs="宋体"/>
          <w:color w:val="auto"/>
          <w:sz w:val="21"/>
          <w:szCs w:val="21"/>
          <w:highlight w:val="none"/>
          <w:lang w:val="en-US" w:eastAsia="zh-CN"/>
        </w:rPr>
        <w:t>价格</w:t>
      </w:r>
      <w:r>
        <w:rPr>
          <w:rFonts w:hint="eastAsia" w:ascii="宋体" w:hAnsi="宋体" w:eastAsia="宋体" w:cs="宋体"/>
          <w:color w:val="auto"/>
          <w:sz w:val="21"/>
          <w:szCs w:val="21"/>
          <w:highlight w:val="none"/>
        </w:rPr>
        <w:t>评审，</w:t>
      </w:r>
      <w:r>
        <w:rPr>
          <w:rFonts w:hint="eastAsia" w:ascii="宋体" w:hAnsi="宋体" w:cs="宋体"/>
          <w:color w:val="auto"/>
          <w:sz w:val="21"/>
          <w:szCs w:val="21"/>
          <w:highlight w:val="none"/>
          <w:lang w:val="en-US" w:eastAsia="zh-CN"/>
        </w:rPr>
        <w:t>本项目为</w:t>
      </w:r>
      <w:r>
        <w:rPr>
          <w:rFonts w:hint="eastAsia" w:ascii="宋体" w:hAnsi="宋体" w:eastAsia="宋体" w:cs="宋体"/>
          <w:color w:val="auto"/>
          <w:highlight w:val="none"/>
          <w:u w:val="none"/>
        </w:rPr>
        <w:t>非专门面向中小企业采购项目，如供应商为</w:t>
      </w:r>
      <w:r>
        <w:rPr>
          <w:rFonts w:hint="eastAsia" w:ascii="宋体" w:hAnsi="宋体" w:cs="宋体"/>
          <w:color w:val="auto"/>
          <w:highlight w:val="none"/>
          <w:u w:val="none"/>
          <w:lang w:val="en-US" w:eastAsia="zh-CN"/>
        </w:rPr>
        <w:t>竞争性谈判</w:t>
      </w:r>
      <w:r>
        <w:rPr>
          <w:rFonts w:hint="eastAsia" w:ascii="宋体" w:hAnsi="宋体" w:eastAsia="宋体" w:cs="宋体"/>
          <w:color w:val="auto"/>
          <w:highlight w:val="none"/>
          <w:u w:val="none"/>
        </w:rPr>
        <w:t>文件规定的小微企业、监狱企业或残疾人福利性单位，则按照</w:t>
      </w:r>
      <w:r>
        <w:rPr>
          <w:rFonts w:hint="eastAsia" w:ascii="宋体" w:hAnsi="宋体" w:cs="宋体"/>
          <w:color w:val="auto"/>
          <w:highlight w:val="none"/>
          <w:u w:val="none"/>
          <w:lang w:val="en-US" w:eastAsia="zh-CN"/>
        </w:rPr>
        <w:t>竞争性谈判</w:t>
      </w:r>
      <w:r>
        <w:rPr>
          <w:rFonts w:hint="eastAsia" w:ascii="宋体" w:hAnsi="宋体" w:eastAsia="宋体" w:cs="宋体"/>
          <w:color w:val="auto"/>
          <w:highlight w:val="none"/>
          <w:u w:val="none"/>
        </w:rPr>
        <w:t>文件规定对供应商进行价格优惠</w:t>
      </w:r>
      <w:r>
        <w:rPr>
          <w:rFonts w:hint="eastAsia" w:ascii="宋体" w:hAnsi="宋体" w:cs="宋体"/>
          <w:color w:val="auto"/>
          <w:highlight w:val="none"/>
          <w:u w:val="none"/>
          <w:lang w:eastAsia="zh-CN"/>
        </w:rPr>
        <w:t>：</w:t>
      </w:r>
      <w:r>
        <w:rPr>
          <w:rFonts w:hint="eastAsia" w:ascii="宋体" w:hAnsi="宋体" w:eastAsia="宋体" w:cs="宋体"/>
          <w:color w:val="auto"/>
          <w:highlight w:val="none"/>
          <w:u w:val="none"/>
        </w:rPr>
        <w:t>享受价格</w:t>
      </w:r>
      <w:r>
        <w:rPr>
          <w:rFonts w:hint="eastAsia" w:ascii="宋体" w:hAnsi="宋体" w:cs="宋体"/>
          <w:color w:val="auto"/>
          <w:highlight w:val="none"/>
          <w:u w:val="none"/>
          <w:lang w:val="en-US" w:eastAsia="zh-CN"/>
        </w:rPr>
        <w:t>优惠</w:t>
      </w:r>
      <w:r>
        <w:rPr>
          <w:rFonts w:hint="eastAsia" w:ascii="宋体" w:hAnsi="宋体" w:eastAsia="宋体" w:cs="宋体"/>
          <w:color w:val="auto"/>
          <w:highlight w:val="none"/>
          <w:u w:val="none"/>
        </w:rPr>
        <w:t>扣除的：供应商参评价格=</w:t>
      </w:r>
      <w:r>
        <w:rPr>
          <w:rFonts w:hint="eastAsia" w:ascii="宋体" w:hAnsi="宋体" w:cs="宋体"/>
          <w:color w:val="auto"/>
          <w:highlight w:val="none"/>
          <w:u w:val="none"/>
          <w:lang w:val="en-US" w:eastAsia="zh-CN"/>
        </w:rPr>
        <w:t>响应</w:t>
      </w:r>
      <w:r>
        <w:rPr>
          <w:rFonts w:hint="eastAsia" w:ascii="宋体" w:hAnsi="宋体" w:eastAsia="宋体" w:cs="宋体"/>
          <w:color w:val="auto"/>
          <w:highlight w:val="none"/>
          <w:u w:val="none"/>
        </w:rPr>
        <w:t>报价*（1-价格扣除）</w:t>
      </w:r>
      <w:r>
        <w:rPr>
          <w:rFonts w:hint="eastAsia" w:ascii="宋体" w:hAnsi="宋体" w:cs="宋体"/>
          <w:color w:val="auto"/>
          <w:highlight w:val="none"/>
          <w:u w:val="none"/>
          <w:lang w:eastAsia="zh-CN"/>
        </w:rPr>
        <w:t>；</w:t>
      </w:r>
      <w:r>
        <w:rPr>
          <w:rFonts w:hint="eastAsia" w:ascii="宋体" w:hAnsi="宋体" w:eastAsia="宋体" w:cs="宋体"/>
          <w:color w:val="auto"/>
          <w:highlight w:val="none"/>
          <w:u w:val="none"/>
        </w:rPr>
        <w:t>不享受价格</w:t>
      </w:r>
      <w:r>
        <w:rPr>
          <w:rFonts w:hint="eastAsia" w:ascii="宋体" w:hAnsi="宋体" w:cs="宋体"/>
          <w:color w:val="auto"/>
          <w:highlight w:val="none"/>
          <w:u w:val="none"/>
          <w:lang w:val="en-US" w:eastAsia="zh-CN"/>
        </w:rPr>
        <w:t>优惠</w:t>
      </w:r>
      <w:r>
        <w:rPr>
          <w:rFonts w:hint="eastAsia" w:ascii="宋体" w:hAnsi="宋体" w:eastAsia="宋体" w:cs="宋体"/>
          <w:color w:val="auto"/>
          <w:highlight w:val="none"/>
          <w:u w:val="none"/>
        </w:rPr>
        <w:t>扣除的：供应商参评价格=</w:t>
      </w:r>
      <w:r>
        <w:rPr>
          <w:rFonts w:hint="eastAsia" w:ascii="宋体" w:hAnsi="宋体" w:cs="宋体"/>
          <w:color w:val="auto"/>
          <w:highlight w:val="none"/>
          <w:u w:val="none"/>
          <w:lang w:val="en-US" w:eastAsia="zh-CN"/>
        </w:rPr>
        <w:t>响应</w:t>
      </w:r>
      <w:r>
        <w:rPr>
          <w:rFonts w:hint="eastAsia" w:ascii="宋体" w:hAnsi="宋体" w:eastAsia="宋体" w:cs="宋体"/>
          <w:color w:val="auto"/>
          <w:highlight w:val="none"/>
          <w:u w:val="none"/>
        </w:rPr>
        <w:t>报价</w:t>
      </w:r>
      <w:r>
        <w:rPr>
          <w:rFonts w:hint="eastAsia" w:ascii="宋体" w:hAnsi="宋体" w:cs="宋体"/>
          <w:color w:val="auto"/>
          <w:highlight w:val="none"/>
          <w:u w:val="none"/>
          <w:lang w:eastAsia="zh-CN"/>
        </w:rPr>
        <w:t>，</w:t>
      </w:r>
      <w:r>
        <w:rPr>
          <w:rFonts w:hint="eastAsia" w:ascii="宋体" w:hAnsi="宋体" w:eastAsia="宋体" w:cs="宋体"/>
          <w:color w:val="auto"/>
          <w:highlight w:val="none"/>
          <w:u w:val="none"/>
        </w:rPr>
        <w:t>以优惠后的价格作为该供应商的参评价格</w:t>
      </w:r>
      <w:r>
        <w:rPr>
          <w:rFonts w:hint="eastAsia" w:ascii="宋体" w:hAnsi="宋体" w:cs="宋体"/>
          <w:color w:val="auto"/>
          <w:highlight w:val="none"/>
          <w:u w:val="none"/>
          <w:lang w:val="en-US" w:eastAsia="zh-CN"/>
        </w:rPr>
        <w:t>进行最终排序</w:t>
      </w:r>
      <w:r>
        <w:rPr>
          <w:rFonts w:hint="eastAsia" w:ascii="宋体" w:hAnsi="宋体" w:eastAsia="宋体" w:cs="宋体"/>
          <w:color w:val="auto"/>
          <w:highlight w:val="none"/>
          <w:u w:val="none"/>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其他：谈判过程中，谈判小组可以根据谈判文件和谈判情况实质性变动采购需求中的技术、服务要求以及合同草案条款，但不得变动谈判文件中的其他内容。对谈判文件作出的实质性变动是谈判文件的有效组成部分，谈判小组应当及时以书面形式同时通知所有参加谈判的供应商。实质性变动的内容，须经采购人代表确认，并成为竞争性谈判文件的有效组成部分。供应商应当按照竞争性谈判文件的变动情况和谈判小组的要求重新提交竞争性谈判响应文件，并由其法定代表人或授权代表签字或者加盖公章。由授权代表签字的，应当附法定代表人授权书。供应商为自然人的，应当由本人签字并附身份证明。</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rPr>
        <w:t>比较与评价</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小组在评审过程中，发现响应文件出现下列情况之一者，按以下原则修正：</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大写金额与小写金额不一致的，以大写金额为准；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总价金额与按单价汇总金额不一致的，以单价金额计算结果为准；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单价金额小数点有明显错位的，应以总价为准，并修改单价；</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对不同文字文本响应文件的解释发生异议的，以中文文本为准；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文字与图表不一致的，以文字为准；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评审</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 </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6.1.1 </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由采购人依法组建的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小组负责。</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小组由采购人或其委托的采购代理机构熟悉相关业务的代表，以及有关技术、经济等方面的专家组成。</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小组成员人数以及技术、经济等方面专家的确定方式见供应商须知前附表。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6.1.2 </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小组成员有下列情形之一的，应当回避：</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（1）参加采购活动前三年内,与供应商存在劳动关系,或者担任过供应商的董事、监事,或者是供应商的控股股东或实际控制人</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（2）与供应商的法定代表人或者负责人有夫妻、直系血亲、三代以内旁系血亲或者近姻亲关系</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（3）与供应商有其他可能影响政府采购活动公平、公正进行的关系。</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 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过程中，</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小组成员有回避事由、擅离职守或者因健康等原因不能继续</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的，采购人有权更换。被更换的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小组成员作出的评审结论无效，由更换后的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小组成员重新进行评审。</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原则</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活动遵循公平、公正、科学择优的原则。</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6.3 </w:t>
      </w:r>
      <w:r>
        <w:rPr>
          <w:rFonts w:hint="eastAsia" w:ascii="宋体" w:hAnsi="宋体" w:eastAsia="宋体" w:cs="宋体"/>
          <w:color w:val="auto"/>
          <w:sz w:val="21"/>
          <w:szCs w:val="21"/>
          <w:highlight w:val="none"/>
          <w:lang w:val="en-US" w:eastAsia="zh-CN"/>
        </w:rPr>
        <w:t>成交候选人</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完成后，</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小组应当向采购人提交书面</w:t>
      </w:r>
      <w:r>
        <w:rPr>
          <w:rFonts w:hint="eastAsia" w:ascii="宋体" w:hAnsi="宋体" w:eastAsia="宋体" w:cs="宋体"/>
          <w:color w:val="auto"/>
          <w:sz w:val="21"/>
          <w:szCs w:val="21"/>
          <w:highlight w:val="none"/>
          <w:lang w:eastAsia="zh-CN"/>
        </w:rPr>
        <w:t>评审报告</w:t>
      </w:r>
      <w:r>
        <w:rPr>
          <w:rFonts w:hint="eastAsia" w:ascii="宋体" w:hAnsi="宋体" w:eastAsia="宋体" w:cs="宋体"/>
          <w:color w:val="auto"/>
          <w:sz w:val="21"/>
          <w:szCs w:val="21"/>
          <w:highlight w:val="none"/>
        </w:rPr>
        <w:t>和成交候选供应商名单。</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小组推荐成交候选供应商的人数见供应商须知前附表。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合同授予</w:t>
      </w:r>
      <w:r>
        <w:rPr>
          <w:rFonts w:hint="eastAsia" w:ascii="宋体" w:hAnsi="宋体" w:eastAsia="宋体" w:cs="宋体"/>
          <w:b/>
          <w:color w:val="auto"/>
          <w:sz w:val="21"/>
          <w:szCs w:val="21"/>
          <w:highlight w:val="none"/>
        </w:rPr>
        <w:tab/>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成交结果公示</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采购人或者采购代理</w:t>
      </w:r>
      <w:r>
        <w:rPr>
          <w:rFonts w:hint="eastAsia" w:ascii="宋体" w:hAnsi="宋体" w:eastAsia="宋体" w:cs="宋体"/>
          <w:color w:val="auto"/>
          <w:sz w:val="21"/>
          <w:szCs w:val="21"/>
          <w:highlight w:val="none"/>
          <w:u w:val="none"/>
        </w:rPr>
        <w:t>机构应当自</w:t>
      </w:r>
      <w:r>
        <w:rPr>
          <w:rFonts w:hint="eastAsia" w:ascii="宋体" w:hAnsi="宋体" w:eastAsia="宋体" w:cs="宋体"/>
          <w:color w:val="auto"/>
          <w:sz w:val="21"/>
          <w:szCs w:val="21"/>
          <w:highlight w:val="none"/>
          <w:u w:val="none"/>
          <w:lang w:val="en-US" w:eastAsia="zh-CN"/>
        </w:rPr>
        <w:t>成交</w:t>
      </w:r>
      <w:r>
        <w:rPr>
          <w:rFonts w:hint="eastAsia" w:ascii="宋体" w:hAnsi="宋体" w:eastAsia="宋体" w:cs="宋体"/>
          <w:color w:val="auto"/>
          <w:sz w:val="21"/>
          <w:szCs w:val="21"/>
          <w:highlight w:val="none"/>
          <w:u w:val="none"/>
        </w:rPr>
        <w:t>供应商确定之日起</w:t>
      </w:r>
      <w:r>
        <w:rPr>
          <w:rFonts w:hint="eastAsia" w:ascii="宋体" w:hAnsi="宋体" w:eastAsia="宋体" w:cs="宋体"/>
          <w:b w:val="0"/>
          <w:bCs w:val="0"/>
          <w:color w:val="auto"/>
          <w:kern w:val="2"/>
          <w:sz w:val="21"/>
          <w:szCs w:val="21"/>
          <w:highlight w:val="none"/>
          <w:u w:val="none"/>
          <w:lang w:val="en-US" w:eastAsia="zh-CN" w:bidi="ar-SA"/>
        </w:rPr>
        <w:t>2个工作日内</w:t>
      </w:r>
      <w:r>
        <w:rPr>
          <w:rFonts w:hint="eastAsia" w:ascii="宋体" w:hAnsi="宋体" w:eastAsia="宋体" w:cs="宋体"/>
          <w:color w:val="auto"/>
          <w:sz w:val="21"/>
          <w:szCs w:val="21"/>
          <w:highlight w:val="none"/>
          <w:u w:val="none"/>
        </w:rPr>
        <w:t>，在省级以上财政部门指定的媒体上公告</w:t>
      </w:r>
      <w:r>
        <w:rPr>
          <w:rFonts w:hint="eastAsia" w:ascii="宋体" w:hAnsi="宋体" w:eastAsia="宋体" w:cs="宋体"/>
          <w:color w:val="auto"/>
          <w:sz w:val="21"/>
          <w:szCs w:val="21"/>
          <w:highlight w:val="none"/>
          <w:u w:val="none"/>
          <w:lang w:val="en-US" w:eastAsia="zh-CN"/>
        </w:rPr>
        <w:t>成交</w:t>
      </w:r>
      <w:r>
        <w:rPr>
          <w:rFonts w:hint="eastAsia" w:ascii="宋体" w:hAnsi="宋体" w:eastAsia="宋体" w:cs="宋体"/>
          <w:color w:val="auto"/>
          <w:sz w:val="21"/>
          <w:szCs w:val="21"/>
          <w:highlight w:val="none"/>
          <w:u w:val="none"/>
        </w:rPr>
        <w:t>结果，公示期不得少于</w:t>
      </w:r>
      <w:r>
        <w:rPr>
          <w:rFonts w:hint="eastAsia" w:ascii="宋体" w:hAnsi="宋体" w:eastAsia="宋体" w:cs="宋体"/>
          <w:b w:val="0"/>
          <w:bCs w:val="0"/>
          <w:color w:val="auto"/>
          <w:kern w:val="2"/>
          <w:sz w:val="21"/>
          <w:szCs w:val="21"/>
          <w:highlight w:val="none"/>
          <w:u w:val="none"/>
          <w:lang w:val="en-US" w:eastAsia="zh-CN" w:bidi="ar-SA"/>
        </w:rPr>
        <w:t>1个工作日</w:t>
      </w:r>
      <w:r>
        <w:rPr>
          <w:rFonts w:hint="eastAsia" w:ascii="宋体" w:hAnsi="宋体" w:eastAsia="宋体" w:cs="宋体"/>
          <w:color w:val="auto"/>
          <w:sz w:val="21"/>
          <w:szCs w:val="21"/>
          <w:highlight w:val="none"/>
          <w:u w:val="none"/>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成交候选供应商履约能力审查</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成交候选供应商的经营、财务状况发生较大变化或存在违法行为，采购人认为可能影响其履约能力的，将汇报同级财政部门并提请原</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小组按照</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规定的标准和方法进行审查确认。</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定标</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7.3.1除供应商须知前附表另有规定外，采购人应当自收到评标报告之日起5个工作日内，在评标报告确定的成交候选供应商名单中按顺序确定成交供应商。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成交通知</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在成交结果公告当天，以书面形式向成交供应商发出成交通知书，同时将成交结果通知未成交的供应商。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履约保证金</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供应商应按供应商须知前附表规定的形式、金额和</w:t>
      </w:r>
      <w:r>
        <w:rPr>
          <w:rFonts w:hint="eastAsia" w:ascii="宋体" w:hAnsi="宋体" w:eastAsia="宋体" w:cs="宋体"/>
          <w:color w:val="auto"/>
          <w:sz w:val="21"/>
          <w:szCs w:val="21"/>
          <w:highlight w:val="none"/>
          <w:lang w:val="en-US" w:eastAsia="zh-CN"/>
        </w:rPr>
        <w:t>竞争性谈判文件</w:t>
      </w:r>
      <w:r>
        <w:rPr>
          <w:rFonts w:hint="eastAsia" w:ascii="宋体" w:hAnsi="宋体" w:eastAsia="宋体" w:cs="宋体"/>
          <w:b w:val="0"/>
          <w:bCs/>
          <w:color w:val="auto"/>
          <w:kern w:val="2"/>
          <w:sz w:val="21"/>
          <w:szCs w:val="21"/>
          <w:highlight w:val="none"/>
          <w:u w:val="none"/>
          <w:lang w:val="en-US" w:eastAsia="zh-CN" w:bidi="ar-SA"/>
        </w:rPr>
        <w:t>第四章“合同主要条款”</w:t>
      </w:r>
      <w:r>
        <w:rPr>
          <w:rFonts w:hint="eastAsia" w:ascii="宋体" w:hAnsi="宋体" w:eastAsia="宋体" w:cs="宋体"/>
          <w:color w:val="auto"/>
          <w:sz w:val="21"/>
          <w:szCs w:val="21"/>
          <w:highlight w:val="none"/>
          <w:u w:val="none"/>
        </w:rPr>
        <w:t>规</w:t>
      </w:r>
      <w:r>
        <w:rPr>
          <w:rFonts w:hint="eastAsia" w:ascii="宋体" w:hAnsi="宋体" w:eastAsia="宋体" w:cs="宋体"/>
          <w:color w:val="auto"/>
          <w:sz w:val="21"/>
          <w:szCs w:val="21"/>
          <w:highlight w:val="none"/>
        </w:rPr>
        <w:t>定的或者事先经过采购人书面认可的履约保证金格式向采购人提交履约保证金。除供应商须知前附表另有规定外，履约保证金为</w:t>
      </w:r>
      <w:r>
        <w:rPr>
          <w:rFonts w:hint="eastAsia" w:ascii="宋体" w:hAnsi="宋体" w:eastAsia="宋体" w:cs="宋体"/>
          <w:color w:val="auto"/>
          <w:sz w:val="21"/>
          <w:szCs w:val="21"/>
          <w:highlight w:val="none"/>
          <w:lang w:val="en-US" w:eastAsia="zh-CN"/>
        </w:rPr>
        <w:t>签约</w:t>
      </w:r>
      <w:r>
        <w:rPr>
          <w:rFonts w:hint="eastAsia" w:ascii="宋体" w:hAnsi="宋体" w:eastAsia="宋体" w:cs="宋体"/>
          <w:color w:val="auto"/>
          <w:sz w:val="21"/>
          <w:szCs w:val="21"/>
          <w:highlight w:val="none"/>
        </w:rPr>
        <w:t>合同金额的10%。联合体</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的，其履约保证金以联合体各方或者联合体中牵头人的名义提交。</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供应商不能按本章规定要求提交履约保证金的，视为放弃</w:t>
      </w:r>
      <w:r>
        <w:rPr>
          <w:rFonts w:hint="eastAsia" w:ascii="宋体" w:hAnsi="宋体" w:eastAsia="宋体" w:cs="宋体"/>
          <w:color w:val="auto"/>
          <w:sz w:val="21"/>
          <w:szCs w:val="21"/>
          <w:highlight w:val="none"/>
          <w:lang w:val="en-US" w:eastAsia="zh-CN"/>
        </w:rPr>
        <w:t>成交资格</w:t>
      </w: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保证金采购人有权不予退还，给采购人造成的损失超过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保证金数额的，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还应当对超过部分予以赔偿。</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7.6 合同签订</w:t>
      </w:r>
      <w:r>
        <w:rPr>
          <w:rFonts w:hint="eastAsia" w:ascii="宋体" w:hAnsi="宋体" w:eastAsia="宋体" w:cs="宋体"/>
          <w:color w:val="auto"/>
          <w:sz w:val="21"/>
          <w:szCs w:val="21"/>
          <w:highlight w:val="none"/>
          <w:lang w:val="en-US" w:eastAsia="zh-CN"/>
        </w:rPr>
        <w:t>及公示</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 采购人和成交供应商应当在成交通知书发出之</w:t>
      </w:r>
      <w:r>
        <w:rPr>
          <w:rFonts w:hint="eastAsia" w:ascii="宋体" w:hAnsi="宋体" w:eastAsia="宋体" w:cs="宋体"/>
          <w:color w:val="auto"/>
          <w:sz w:val="21"/>
          <w:szCs w:val="21"/>
          <w:highlight w:val="none"/>
          <w:u w:val="none"/>
        </w:rPr>
        <w:t>日起30日</w:t>
      </w:r>
      <w:r>
        <w:rPr>
          <w:rFonts w:hint="eastAsia" w:ascii="宋体" w:hAnsi="宋体" w:eastAsia="宋体" w:cs="宋体"/>
          <w:color w:val="auto"/>
          <w:sz w:val="21"/>
          <w:szCs w:val="21"/>
          <w:highlight w:val="none"/>
        </w:rPr>
        <w:t>内，根据</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和成交供应商的</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订立书面合同。成交供应商无正当理由拒签合同，在签订合同时向采购人提出附加条件，或者不按照</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要求提交履约保证金的，采购人有权取消其成交资格，其</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有权不予退还；给采购人造成的损失超过</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保证金数额的，成交供应商还应当对超过部分予以赔偿。</w:t>
      </w:r>
      <w:r>
        <w:rPr>
          <w:rFonts w:hint="eastAsia" w:ascii="宋体" w:hAnsi="宋体" w:eastAsia="宋体" w:cs="宋体"/>
          <w:color w:val="auto"/>
          <w:sz w:val="21"/>
          <w:szCs w:val="21"/>
          <w:highlight w:val="none"/>
          <w:lang w:eastAsia="zh-CN"/>
        </w:rPr>
        <w:t>确定成交单位后，成交供应商因自身原因未按程序签订合同，采购人将取消其成交资格，同时报请监督机构备案。在此情况下，采购人可按评审结果顺序将合同授予下一成交候选供应商或重新采购。</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 发出成交通知书后，采购人无正当理由拒签合同，或者在签订合同时向成交供应商提出附加条件的，采购人向成交供应商退还</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保证金；给成交供应商造成损失的，</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应当赔偿损失。</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 联合体成交的，联合体各方应当共同与采购人签订合同，就成交项目向采购人承担连带责任。</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7.6.4 </w:t>
      </w:r>
      <w:r>
        <w:rPr>
          <w:rFonts w:hint="eastAsia" w:ascii="宋体" w:hAnsi="宋体" w:eastAsia="宋体" w:cs="宋体"/>
          <w:color w:val="auto"/>
          <w:sz w:val="21"/>
          <w:szCs w:val="21"/>
          <w:highlight w:val="none"/>
        </w:rPr>
        <w:t>采购人应在合同签订后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个工作日内将政府采购合同在省级以上人民政府财政部门指定的媒体上进行公告。但政府采购合同中涉及国家秘密、商业秘密的内容除外</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8.纪律和监督</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 对采购人的纪律要求</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采购人不得泄露采购</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活动中应当保密的情况和资料，不得与供应商串通损害国家利益、社会公共利益或者他人合法权益。</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对供应商的纪律要求</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供应商不得相互串通</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或者与采购人串通，不得向采购人或者</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小组成员行贿谋取成交，不得以他人名义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或者以其他方式弄虚作假骗取成交；供应商不得以任何方式干扰、影响</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工作。</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 对</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小组成员的纪律要求</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小组成员不得收受他人的财物或者其他好处，不得向他人透露对</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的评审和比较、成交候选供应商的推荐情况以及</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有关的其他情况。在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活动中，</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小组成员应当客观、公正地履行职责，遵守职业道德，不得擅离职守，影响</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程序正常进行，不得使用</w:t>
      </w:r>
      <w:r>
        <w:rPr>
          <w:rFonts w:hint="eastAsia" w:ascii="宋体" w:hAnsi="宋体" w:eastAsia="宋体" w:cs="宋体"/>
          <w:color w:val="auto"/>
          <w:sz w:val="21"/>
          <w:szCs w:val="21"/>
          <w:highlight w:val="none"/>
          <w:lang w:eastAsia="zh-CN"/>
        </w:rPr>
        <w:t>第三章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评审办法</w:t>
      </w:r>
      <w:r>
        <w:rPr>
          <w:rFonts w:hint="eastAsia" w:ascii="宋体" w:hAnsi="宋体" w:eastAsia="宋体" w:cs="宋体"/>
          <w:color w:val="auto"/>
          <w:sz w:val="21"/>
          <w:szCs w:val="21"/>
          <w:highlight w:val="none"/>
        </w:rPr>
        <w:t>”没有规定的评审因素和标准进行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对与</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活动有关的工作人员的纪律要求</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活动有关的工作人员不得收受他人的财物或者其他好处，不得向他人透露对</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的评审和比较、成交候选供应商的推荐情况以及</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有关的其他情况。在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活动中，与</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活动有关的工作人员不得擅离职守，影响</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程序正常进行。</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 是否采用电子采购</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需要补充的其他内容</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需要补充的其他内容：见供应商须知前附表。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 xml:space="preserve">11. </w:t>
      </w:r>
      <w:r>
        <w:rPr>
          <w:rFonts w:hint="eastAsia" w:ascii="宋体" w:hAnsi="宋体" w:eastAsia="宋体" w:cs="宋体"/>
          <w:b/>
          <w:bCs/>
          <w:color w:val="auto"/>
          <w:sz w:val="21"/>
          <w:szCs w:val="21"/>
          <w:highlight w:val="none"/>
          <w:lang w:val="en-US" w:eastAsia="zh-CN"/>
        </w:rPr>
        <w:t>无效响应、</w:t>
      </w:r>
      <w:r>
        <w:rPr>
          <w:rFonts w:hint="eastAsia" w:ascii="宋体" w:hAnsi="宋体" w:eastAsia="宋体" w:cs="宋体"/>
          <w:b/>
          <w:bCs/>
          <w:color w:val="auto"/>
          <w:sz w:val="21"/>
          <w:szCs w:val="21"/>
          <w:highlight w:val="none"/>
        </w:rPr>
        <w:t>废标与</w:t>
      </w:r>
      <w:r>
        <w:rPr>
          <w:rFonts w:hint="eastAsia" w:ascii="宋体" w:hAnsi="宋体" w:eastAsia="宋体" w:cs="宋体"/>
          <w:b/>
          <w:bCs/>
          <w:color w:val="auto"/>
          <w:sz w:val="21"/>
          <w:szCs w:val="21"/>
          <w:highlight w:val="none"/>
          <w:lang w:val="en-US" w:eastAsia="zh-CN"/>
        </w:rPr>
        <w:t>重新采购</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供应商有以下情形之一的，符合性不合格：</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（1）供应商未经过正常渠道获取竞争性谈判文件的或供应商名称与获取竞争性谈判文件单位的名称不一致的；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）未按照竞争性谈判文件规定交纳谈判保证金或未在谈判响应文件中附入谈判保证金交纳凭证的</w:t>
      </w:r>
      <w:r>
        <w:rPr>
          <w:rFonts w:hint="eastAsia" w:ascii="宋体" w:hAnsi="宋体" w:cs="宋体"/>
          <w:color w:val="auto"/>
          <w:sz w:val="21"/>
          <w:szCs w:val="21"/>
          <w:highlight w:val="none"/>
          <w:lang w:val="en-US" w:eastAsia="zh-CN"/>
        </w:rPr>
        <w:t>（如有）</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）未按照竞争性谈判文件规定和要求签署、盖章的；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）未按照竞争性谈判文件规定的格式要求编制的；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）采购内容及参数不实质响应竞争性谈判文件的；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）谈判小组需核查备查的原件（或资料）的未按要求时间及时提交合格原件（或资料）或所提交的原件不合格的；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）谈判响应文件对竞争性谈判文件的实质性条款响应不符合采购项目的要求；</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）供应商的谈判响应报价超过本项目最高限价的；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）谈判响应文件无有效期或有效期不符合竞争性谈判文件要求的；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）拒绝或不按谈判小组要求澄清、说明或补正的；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）谈判响应文件中附有采购人不能接受的条件；</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）谈判响应文件的关键内容字迹模糊和无法辨认的；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）谈判响应文件不符合竞争性谈判文件规定的，有其谈判将被否决的条款或其他无效情形的；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）谈判响应文件不符合法律、法规要求的；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）提供虚假证明，开具虚假资质，除按无效谈判响应文件处理外，还应由国家管理机关依据相关法律法规进行相应的处罚。</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12.废标与采购方式的变更</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12.1采购采购中，出现下列情形之一的，应予以废标：</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（1）符合专业条件的供应商或者对竞争性谈判文件作实质响应的供应商不足3家的；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（2）出现影响采购公正的违法、违规行为的；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（3）因重大变故，采购任务取消的。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12.2废标后，除采购任务取消情形外，按照以下方式处理：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（1）竞争性谈判文件存在不合理条款或者采购程序不符合规定的，采购人、采购代理机构改正后依法重新采购；</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（2）竞争性谈判文件没有不合理条款、采购程序符合规定，需要采用其他采购方式采购的，采购人应当依法报采购单位监督部门批准。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12.3出现下列情形之一的，采购人或者采购代理机构应当终止竞争性谈判采购活动，发布项目终止公告并说明原因，重新开展采购活动：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（1）因情况变化，不再符合规定的竞争性谈判采购方式适用情形的；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（2）出现影响采购公正的违法、违规行为的；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（3）除《政府采购竞争性谈判采购方式管理暂行办法》第二十一条第三款规定的情形外，在采购过程中符合要求的供应商或者报价未超过采购预算的供应商不足3家的。</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废标后，除采购任务取消情形外，应当重新组织招标；需要采取其他方式采购的，应当在采购活动开始前获得政府采购监督管理部门或者政府有关部门批准。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串标认定</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供应商有下列情形之一的，应认定为串通行为：</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响应文件由同一单位或者个人编制；</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事宜；</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（3）不同供应商的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响应文件载明的项目管理成员或者联系人员为同一人；</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响应文件异常一致或者</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响应报价呈规律性差异；</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响应文件相互混装；</w:t>
      </w:r>
    </w:p>
    <w:p>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保证金从同一单位或者个人的账户转出。</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质疑和投诉</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质疑、投诉的接收和处理严格按照《中华人共和国政府采购法》、《政府采购质疑和投诉办法》财政部令第94号、《财政部关于加强政府采购供应商投诉受理审查工作的通知》等的相关规定办理。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供应商认为</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采购过程和成交或者成交结果使自己的权益受到损害的，可以在知道或者应知其权益受到损害之日起七个工作日内，一次性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供应商应知其权益受到损害之日是指：</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提出质疑的，为收到</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之日；</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3）对成交结果提出质疑的，为成交结果公告发布之日。</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 质疑文件应当包括下列主要内容：</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1）质疑供应商和相关供应商的名称、地址、联系人及联系电话等；</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2）质疑项目及编号、质疑事项；</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3）认为</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、采购过程、成交或者成交结果使自己的合法权益受到损害的法律依据、事实依据、相关证明材料及证据来源；</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4）提出质疑的日期。</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14.1.2 质疑函应当署名。质疑供应商为自然人的，应当由本人签字；质疑供应商为法人或者其他组织的，应当由法定代表人或者主要负责人签字盖章并加盖公章。</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14.1.3 供应商质疑应当有明确的请求和必要的证明材料。质疑内容不得含有虚假、恶意成份。依照谁主张谁举证的原则，提出质疑者必须同时提交相关确凿的证据材料和注明证据的确切来源，证据来源必须合法，采购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有权将质疑</w:t>
      </w:r>
      <w:r>
        <w:rPr>
          <w:rFonts w:hint="eastAsia" w:ascii="宋体" w:hAnsi="宋体" w:eastAsia="宋体" w:cs="宋体"/>
          <w:color w:val="auto"/>
          <w:sz w:val="21"/>
          <w:szCs w:val="21"/>
          <w:highlight w:val="none"/>
          <w:lang w:val="en-US" w:eastAsia="zh-CN"/>
        </w:rPr>
        <w:t>内容告知</w:t>
      </w:r>
      <w:r>
        <w:rPr>
          <w:rFonts w:hint="eastAsia" w:ascii="宋体" w:hAnsi="宋体" w:eastAsia="宋体" w:cs="宋体"/>
          <w:color w:val="auto"/>
          <w:sz w:val="21"/>
          <w:szCs w:val="21"/>
          <w:highlight w:val="none"/>
        </w:rPr>
        <w:t>质疑事项各关联方，请其作出解释说明。对捏造事实、滥用维权扰乱采购秩序的恶意质疑者，</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将依法</w:t>
      </w:r>
      <w:r>
        <w:rPr>
          <w:rFonts w:hint="eastAsia" w:ascii="宋体" w:hAnsi="宋体" w:eastAsia="宋体" w:cs="宋体"/>
          <w:color w:val="auto"/>
          <w:sz w:val="21"/>
          <w:szCs w:val="21"/>
          <w:highlight w:val="none"/>
          <w:lang w:val="en-US" w:eastAsia="zh-CN"/>
        </w:rPr>
        <w:t>报告监督部门对其进行</w:t>
      </w:r>
      <w:r>
        <w:rPr>
          <w:rFonts w:hint="eastAsia" w:ascii="宋体" w:hAnsi="宋体" w:eastAsia="宋体" w:cs="宋体"/>
          <w:color w:val="auto"/>
          <w:sz w:val="21"/>
          <w:szCs w:val="21"/>
          <w:highlight w:val="none"/>
        </w:rPr>
        <w:t>处理。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14.1.4 质疑文件提交方式：</w:t>
      </w:r>
      <w:r>
        <w:rPr>
          <w:rFonts w:hint="eastAsia" w:ascii="宋体" w:hAnsi="宋体" w:eastAsia="宋体" w:cs="宋体"/>
          <w:color w:val="auto"/>
          <w:sz w:val="21"/>
          <w:szCs w:val="21"/>
          <w:highlight w:val="none"/>
          <w:lang w:val="en-US" w:eastAsia="zh-CN"/>
        </w:rPr>
        <w:t>根据参加谈判供应商的组织形式，</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rPr>
        <w:t>法定代表人或者主要负责人登录全国公共资源交易平台（陕西省·</w:t>
      </w:r>
      <w:r>
        <w:rPr>
          <w:rFonts w:hint="eastAsia" w:ascii="宋体" w:hAnsi="宋体" w:eastAsia="宋体" w:cs="宋体"/>
          <w:color w:val="auto"/>
          <w:sz w:val="21"/>
          <w:szCs w:val="21"/>
          <w:highlight w:val="none"/>
          <w:lang w:val="en-US" w:eastAsia="zh-CN"/>
        </w:rPr>
        <w:t>宝鸡市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在线提交，质疑人须同时</w:t>
      </w:r>
      <w:r>
        <w:rPr>
          <w:rFonts w:hint="eastAsia" w:ascii="宋体" w:hAnsi="宋体" w:eastAsia="宋体" w:cs="宋体"/>
          <w:color w:val="auto"/>
          <w:sz w:val="21"/>
          <w:szCs w:val="21"/>
          <w:highlight w:val="none"/>
        </w:rPr>
        <w:t>将质疑文件的可编辑电子版发送至</w:t>
      </w:r>
      <w:r>
        <w:rPr>
          <w:rFonts w:hint="eastAsia" w:ascii="宋体" w:hAnsi="宋体" w:eastAsia="宋体" w:cs="宋体"/>
          <w:color w:val="auto"/>
          <w:sz w:val="21"/>
          <w:szCs w:val="21"/>
          <w:highlight w:val="none"/>
          <w:u w:val="none"/>
          <w:lang w:val="en-US" w:eastAsia="zh-CN"/>
        </w:rPr>
        <w:t>33503469@qq.com</w:t>
      </w:r>
      <w:r>
        <w:rPr>
          <w:rFonts w:hint="eastAsia" w:ascii="宋体" w:hAnsi="宋体" w:eastAsia="宋体" w:cs="宋体"/>
          <w:color w:val="auto"/>
          <w:sz w:val="21"/>
          <w:szCs w:val="21"/>
          <w:highlight w:val="none"/>
        </w:rPr>
        <w:t>电子邮箱中。</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14.1.5 供应商在法定质疑期内</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一次性提出针对同一采购程序环节的质疑。</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14.1.6 潜在供应商已依法获取其可质疑的</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的（必须为从合法渠道获取</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的供应商），可以对该文件提出质疑。</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14.1.7 质疑受理部门：陕西中采项目管理有限公司采购部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14.1.8 提交质疑文件地点：陕西中采项目管理有限公司</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14.1.9 联系人及联系电话：</w:t>
      </w:r>
      <w:r>
        <w:rPr>
          <w:rFonts w:hint="eastAsia" w:ascii="宋体" w:hAnsi="宋体" w:eastAsia="宋体" w:cs="宋体"/>
          <w:color w:val="auto"/>
          <w:sz w:val="21"/>
          <w:szCs w:val="21"/>
          <w:highlight w:val="none"/>
          <w:u w:val="none"/>
          <w:lang w:val="en-US" w:eastAsia="zh-CN"/>
        </w:rPr>
        <w:t>符宇寒</w:t>
      </w:r>
      <w:r>
        <w:rPr>
          <w:rFonts w:hint="eastAsia" w:ascii="宋体" w:hAnsi="宋体" w:eastAsia="宋体" w:cs="宋体"/>
          <w:color w:val="auto"/>
          <w:sz w:val="21"/>
          <w:szCs w:val="21"/>
          <w:highlight w:val="none"/>
          <w:u w:val="none"/>
        </w:rPr>
        <w:t xml:space="preserve">  029-888</w:t>
      </w:r>
      <w:r>
        <w:rPr>
          <w:rFonts w:hint="eastAsia" w:ascii="宋体" w:hAnsi="宋体" w:eastAsia="宋体" w:cs="宋体"/>
          <w:color w:val="auto"/>
          <w:sz w:val="21"/>
          <w:szCs w:val="21"/>
          <w:highlight w:val="none"/>
          <w:u w:val="none"/>
          <w:lang w:val="en-US" w:eastAsia="zh-CN"/>
        </w:rPr>
        <w:t>56058</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14.1.10 采购人、采购代理机构不得拒收质疑供应商在法定质疑期内发出的质疑函，应当在收到质疑函后7个工作日内作出答复，并以书面形式通知质疑供应商和其他有关供应商。本次采购活动中，采购代理机构对质疑回复等文件的送达方式为全国公共资源交易平台（陕西省·</w:t>
      </w:r>
      <w:r>
        <w:rPr>
          <w:rFonts w:hint="eastAsia" w:ascii="宋体" w:hAnsi="宋体" w:eastAsia="宋体" w:cs="宋体"/>
          <w:color w:val="auto"/>
          <w:sz w:val="21"/>
          <w:szCs w:val="21"/>
          <w:highlight w:val="none"/>
          <w:lang w:val="en-US" w:eastAsia="zh-CN"/>
        </w:rPr>
        <w:t>宝鸡市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自行下载和</w:t>
      </w:r>
      <w:r>
        <w:rPr>
          <w:rFonts w:hint="eastAsia" w:ascii="宋体" w:hAnsi="宋体" w:eastAsia="宋体" w:cs="宋体"/>
          <w:color w:val="auto"/>
          <w:sz w:val="21"/>
          <w:szCs w:val="21"/>
          <w:highlight w:val="none"/>
        </w:rPr>
        <w:t>电子邮件</w:t>
      </w:r>
      <w:r>
        <w:rPr>
          <w:rFonts w:hint="eastAsia" w:ascii="宋体" w:hAnsi="宋体" w:eastAsia="宋体" w:cs="宋体"/>
          <w:color w:val="auto"/>
          <w:sz w:val="21"/>
          <w:szCs w:val="21"/>
          <w:highlight w:val="none"/>
          <w:lang w:val="en-US" w:eastAsia="zh-CN"/>
        </w:rPr>
        <w:t>送达</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14.1.11 质疑函应当使用中文。质疑函范本应使用财政规定范本格式。</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对捏造事实、提供虚假材料进行质疑的行为予以严肃处理：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对捏造事实诬告陷害他人、诽谤他人的法律适用：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《中华人民共和国刑法》第243条【诬告陷害罪】捏造事实诬告陷害他人，意图使他人受刑事追究，情节严重的，处三年以下有期徒刑、拘役或者管制；造成严重后果的，处三年以上十年以下有期徒刑。</w:t>
      </w:r>
    </w:p>
    <w:p>
      <w:pPr>
        <w:pStyle w:val="78"/>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《中华人民共和国刑法》第246条【侮辱罪、诽谤罪】以暴力或者其他方法公然侮辱他人或者捏造事实诽谤他人，情节严重的，处三年以下有期徒刑、拘役、管制或者剥夺政治权利。</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投诉</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14.4.1 质疑供应商对采购人、采购代理机构的答复不满意，或者采购人、采购代理机构未在规定时间内作出答复的，可以在答复期满后15个工作日内向财政部门提起投诉。投诉应当有明确的请求和必要的证明材料。</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投诉的事项不得超出已质疑事项的范围。</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14.4.3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14.4.4 供应商或者其他利害关系人对</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、开标和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结果提出投诉的，应当按照供应商须知的规定先向采购代理机构及采购人提出质疑。</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15. 需要落实的政府采购政策：</w:t>
      </w:r>
      <w:bookmarkStart w:id="21" w:name="_Toc10399"/>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15.1中小企业落实政府采购政策</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（1）《政府采购促进中小企业发展管理办法》（财库〔2020〕46号）；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（2）《财政部关于进一步加大政府采购支持中小企业力度的通知》（财库〔2022〕19号）；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（3）《陕西省财政厅关于落实政府采购支持中小企业政策有关事项的通知》（陕财办采〔2022〕10号）；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（4）小微企业价格优惠：对小型、微型企业的价格给予10%的扣除，用扣除后的价格参与评审，其参与评审价格=</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响应报价*（1-10%）。</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监狱企业落实政府采购政策</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（1）《财政部、司法部关于政府采购支持监狱企业发展有关问题的通知》（财库〔2014〕68号）；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狱企业价格优惠：在政府采购活动中，监狱企业视同小型、微型企业，享受预留份额、评审中价格扣除等政府采购促进中小企业发展的政府采购政策。对监狱企业产品的价格给予10%的扣除，用扣除后的价格参与评审，其参与评审价格=</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响应报价*（1-10%）。</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残疾人福利性单位落实政府采购政策</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（1）《财政部、民政部、中国残疾人联合会关于促进残疾人就业政府采购政策的通知》（财库[2017]141号）；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2）残疾人福利性单位价格优惠：在政府采购活动中，残疾人福利性单位视同小型、微型企业，享受预留份额、评审中价格扣除等政府采购促进中小企业发展的政府采购政策。对残疾人福利性单位产品的价格给予10%的扣除，用扣除后的价格参与评审，其参与评审价格=</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响应报价*（1-10%）。</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注：监狱企业、残疾人福利性单位视为小微企业。</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 节能产品、环境标志产品政策</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（1）节能产品、环境标志产品根据以下有关政策规定执行财政部、国家发展改革委关于印发《节能产品政府采购实施意见》的通知（财库【2004】185 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（2）《国务院办公厅关于建立政府强制采购节能产品制度的通知》（国办发〔2007〕51号）；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（3）《财政部、国家环保总局关于环境标志产品政府采购实施的意见》（财库[2006]90号）；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（4）《财政部、发展改革委、生态环境部、市场监管总局关于调整优化节能产品、环境标志产品政府采购执行机制的通知》（财库〔2019〕9 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（5）《关于印发节能产品政府采购品目清单的通知》（财库〔2019〕19 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（6）《关于印发环境标志产品政府采购品目清单的通知》（财库〔2019〕18 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（7）产品属于优先采购节能、环境标志产品范围的，应当优先采购节能、环境标志产品；产品符合政府采购强制采购政策的，实行强制采购；</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（8）文件中对所投产品为节能、环境标志产品品目清单中的产品，在报价时必须对此类产品单独分项报价；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（9）若节能、环境标志品目清单内的产品仅是构成所投产品的部件、组件或零件的，则该所投产品不享受鼓励优惠政策；</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（10）节能、环境标志产品部分计分只对属于品目清单内的非强制类产品进行计分，强制类产品不给予计分；</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（11）对于同时列入环保品目清单和节能品目清单的产品，应当优先于只列入其中一个清单的产品；</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 《关于运用政府采购政策支持乡村产业振兴的通知》（财库〔2021〕19号）；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 《关于扩大政府采购支持绿色建材促进建筑品质提升政策实施范围的通知》财库〔2022〕35号；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陕西省财政厅《关于进一步加强政府绿色采购有关问题的通知》（陕财办采〔2021〕29号）；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14.7 《关于运用政府采购政策支持乡村产业振兴的通知》（财库〔2021〕19号）；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14.8 陕西省财政厅关于印发《陕西省中小企业政府采购信用融资办法》（陕财办采〔2018〕23号）。</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pPr>
        <w:keepNext w:val="0"/>
        <w:keepLines w:val="0"/>
        <w:pageBreakBefore w:val="0"/>
        <w:widowControl w:val="0"/>
        <w:kinsoku/>
        <w:wordWrap/>
        <w:overflowPunct w:val="0"/>
        <w:topLinePunct/>
        <w:autoSpaceDE/>
        <w:autoSpaceDN/>
        <w:bidi w:val="0"/>
        <w:adjustRightInd w:val="0"/>
        <w:snapToGrid w:val="0"/>
        <w:spacing w:before="32" w:beforeLines="10" w:after="32" w:afterLines="10" w:line="360" w:lineRule="auto"/>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14.9 其他需要落实的政府采购政策。</w:t>
      </w: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pStyle w:val="25"/>
        <w:widowControl/>
        <w:spacing w:line="360" w:lineRule="auto"/>
        <w:jc w:val="center"/>
        <w:outlineLvl w:val="0"/>
        <w:rPr>
          <w:rFonts w:hint="eastAsia" w:ascii="宋体" w:hAnsi="宋体" w:eastAsia="宋体" w:cs="宋体"/>
          <w:b/>
          <w:bCs/>
          <w:color w:val="auto"/>
          <w:sz w:val="32"/>
          <w:szCs w:val="32"/>
          <w:highlight w:val="none"/>
          <w:lang w:val="zh-CN" w:eastAsia="zh-CN"/>
        </w:rPr>
      </w:pPr>
      <w:bookmarkStart w:id="22" w:name="_Toc7698"/>
      <w:bookmarkStart w:id="23" w:name="_Toc20315"/>
      <w:r>
        <w:rPr>
          <w:rFonts w:hint="eastAsia" w:ascii="宋体" w:hAnsi="宋体" w:eastAsia="宋体" w:cs="宋体"/>
          <w:b/>
          <w:bCs/>
          <w:color w:val="auto"/>
          <w:sz w:val="32"/>
          <w:szCs w:val="32"/>
          <w:highlight w:val="none"/>
        </w:rPr>
        <w:t>第三</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bookmarkEnd w:id="21"/>
      <w:r>
        <w:rPr>
          <w:rFonts w:hint="eastAsia" w:ascii="宋体" w:hAnsi="宋体" w:eastAsia="宋体" w:cs="宋体"/>
          <w:b/>
          <w:bCs/>
          <w:color w:val="auto"/>
          <w:sz w:val="32"/>
          <w:szCs w:val="32"/>
          <w:highlight w:val="none"/>
          <w:lang w:eastAsia="zh-CN"/>
        </w:rPr>
        <w:t>评审办法</w:t>
      </w:r>
      <w:bookmarkEnd w:id="22"/>
      <w:bookmarkEnd w:id="23"/>
    </w:p>
    <w:p>
      <w:pPr>
        <w:pStyle w:val="25"/>
        <w:widowControl/>
        <w:spacing w:line="360" w:lineRule="auto"/>
        <w:jc w:val="center"/>
        <w:outlineLvl w:val="1"/>
        <w:rPr>
          <w:rFonts w:hint="eastAsia" w:ascii="宋体" w:hAnsi="宋体" w:eastAsia="宋体" w:cs="宋体"/>
          <w:color w:val="auto"/>
          <w:szCs w:val="24"/>
          <w:highlight w:val="none"/>
        </w:rPr>
      </w:pPr>
      <w:bookmarkStart w:id="24" w:name="_Toc25831"/>
      <w:r>
        <w:rPr>
          <w:rFonts w:hint="eastAsia" w:ascii="宋体" w:hAnsi="宋体" w:eastAsia="宋体" w:cs="宋体"/>
          <w:b/>
          <w:bCs/>
          <w:color w:val="auto"/>
          <w:sz w:val="28"/>
          <w:szCs w:val="28"/>
          <w:highlight w:val="none"/>
          <w:lang w:eastAsia="zh-CN"/>
        </w:rPr>
        <w:t>评审办法</w:t>
      </w:r>
      <w:r>
        <w:rPr>
          <w:rFonts w:hint="eastAsia" w:ascii="宋体" w:hAnsi="宋体" w:eastAsia="宋体" w:cs="宋体"/>
          <w:b/>
          <w:bCs/>
          <w:color w:val="auto"/>
          <w:sz w:val="28"/>
          <w:szCs w:val="28"/>
          <w:highlight w:val="none"/>
        </w:rPr>
        <w:t>前附表</w:t>
      </w:r>
      <w:bookmarkEnd w:id="24"/>
    </w:p>
    <w:p>
      <w:pPr>
        <w:pStyle w:val="25"/>
        <w:widowControl/>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一、初步评审</w:t>
      </w:r>
    </w:p>
    <w:p>
      <w:pPr>
        <w:pStyle w:val="25"/>
        <w:keepNext w:val="0"/>
        <w:keepLines w:val="0"/>
        <w:pageBreakBefore w:val="0"/>
        <w:widowControl/>
        <w:kinsoku/>
        <w:wordWrap/>
        <w:overflowPunct/>
        <w:topLinePunct w:val="0"/>
        <w:bidi w:val="0"/>
        <w:spacing w:line="360" w:lineRule="auto"/>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评审办法及内容</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 评审方式：采用最低评标价法（最低评标价法，即在全部满足竞争性谈判文件实质性要求前提下，依据统一的价格要素评定最低报价，以最低报价的谈判供应商作为成交候选供应商并依次排序</w:t>
      </w:r>
      <w:r>
        <w:rPr>
          <w:rFonts w:hint="eastAsia" w:ascii="宋体" w:hAnsi="宋体" w:cs="宋体"/>
          <w:color w:val="auto"/>
          <w:sz w:val="21"/>
          <w:szCs w:val="21"/>
          <w:highlight w:val="none"/>
          <w:lang w:val="en-US" w:eastAsia="zh-CN"/>
        </w:rPr>
        <w:t>。对符合落实的政府采购政策供应商的报价以落实政府采购政策后的价格作为评审依据</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 初步评审</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lang w:val="zh-CN"/>
        </w:rPr>
        <w:t>谈判响应文件的资格性审查：依据谈判文件的规定，由</w:t>
      </w:r>
      <w:r>
        <w:rPr>
          <w:rFonts w:hint="eastAsia" w:ascii="宋体" w:hAnsi="宋体" w:cs="宋体"/>
          <w:color w:val="auto"/>
          <w:sz w:val="21"/>
          <w:szCs w:val="21"/>
          <w:highlight w:val="none"/>
          <w:lang w:val="en-US" w:eastAsia="zh-CN"/>
        </w:rPr>
        <w:t>谈判小组</w:t>
      </w:r>
      <w:r>
        <w:rPr>
          <w:rFonts w:hint="eastAsia" w:ascii="宋体" w:hAnsi="宋体" w:eastAsia="宋体" w:cs="宋体"/>
          <w:color w:val="auto"/>
          <w:sz w:val="21"/>
          <w:szCs w:val="21"/>
          <w:highlight w:val="none"/>
          <w:lang w:val="zh-CN"/>
        </w:rPr>
        <w:t>对谈判响应文件中的资格证明文件进行审查，以确保供应商是否具备相应资格。</w:t>
      </w:r>
    </w:p>
    <w:tbl>
      <w:tblPr>
        <w:tblStyle w:val="3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01"/>
        <w:gridCol w:w="1230"/>
        <w:gridCol w:w="5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lang w:val="zh-CN"/>
              </w:rPr>
              <w:br w:type="page"/>
            </w:r>
            <w:r>
              <w:rPr>
                <w:rFonts w:hint="eastAsia" w:ascii="宋体" w:hAnsi="宋体" w:eastAsia="宋体" w:cs="宋体"/>
                <w:b w:val="0"/>
                <w:bCs/>
                <w:color w:val="auto"/>
                <w:sz w:val="21"/>
                <w:szCs w:val="21"/>
                <w:highlight w:val="none"/>
                <w:lang w:bidi="ar"/>
              </w:rPr>
              <w:t>序号</w:t>
            </w:r>
          </w:p>
        </w:tc>
        <w:tc>
          <w:tcPr>
            <w:tcW w:w="795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kern w:val="28"/>
                <w:sz w:val="21"/>
                <w:szCs w:val="21"/>
                <w:highlight w:val="none"/>
              </w:rPr>
            </w:pPr>
            <w:r>
              <w:rPr>
                <w:rFonts w:hint="eastAsia" w:ascii="宋体" w:hAnsi="宋体" w:eastAsia="宋体" w:cs="宋体"/>
                <w:b w:val="0"/>
                <w:bCs/>
                <w:color w:val="auto"/>
                <w:sz w:val="21"/>
                <w:szCs w:val="21"/>
                <w:highlight w:val="none"/>
              </w:rPr>
              <w:t>资格性审查</w:t>
            </w:r>
            <w:r>
              <w:rPr>
                <w:rFonts w:hint="eastAsia" w:ascii="宋体" w:hAnsi="宋体" w:eastAsia="宋体" w:cs="宋体"/>
                <w:b w:val="0"/>
                <w:bCs/>
                <w:color w:val="auto"/>
                <w:sz w:val="21"/>
                <w:szCs w:val="21"/>
                <w:highlight w:val="none"/>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sz w:val="21"/>
                <w:szCs w:val="21"/>
                <w:highlight w:val="none"/>
                <w:lang w:bidi="ar"/>
              </w:rPr>
            </w:pPr>
            <w:r>
              <w:rPr>
                <w:rFonts w:hint="eastAsia" w:ascii="宋体" w:hAnsi="宋体" w:eastAsia="宋体" w:cs="宋体"/>
                <w:b w:val="0"/>
                <w:bCs/>
                <w:color w:val="auto"/>
                <w:sz w:val="21"/>
                <w:szCs w:val="21"/>
                <w:highlight w:val="none"/>
                <w:lang w:bidi="ar"/>
              </w:rPr>
              <w:t>1</w:t>
            </w:r>
          </w:p>
        </w:tc>
        <w:tc>
          <w:tcPr>
            <w:tcW w:w="2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kern w:val="28"/>
                <w:sz w:val="21"/>
                <w:szCs w:val="21"/>
                <w:highlight w:val="none"/>
                <w:lang w:bidi="ar"/>
              </w:rPr>
            </w:pPr>
            <w:r>
              <w:rPr>
                <w:rFonts w:hint="eastAsia" w:ascii="宋体" w:hAnsi="宋体" w:eastAsia="宋体" w:cs="宋体"/>
                <w:bCs/>
                <w:color w:val="auto"/>
                <w:sz w:val="21"/>
                <w:szCs w:val="21"/>
                <w:highlight w:val="none"/>
              </w:rPr>
              <w:t>基本资格条件</w:t>
            </w:r>
          </w:p>
        </w:tc>
        <w:tc>
          <w:tcPr>
            <w:tcW w:w="5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w:t>
            </w:r>
            <w:r>
              <w:rPr>
                <w:rFonts w:hint="eastAsia" w:ascii="宋体" w:hAnsi="宋体" w:eastAsia="宋体" w:cs="宋体"/>
                <w:b/>
                <w:bCs/>
                <w:color w:val="auto"/>
                <w:sz w:val="21"/>
                <w:szCs w:val="21"/>
                <w:highlight w:val="none"/>
                <w:lang w:eastAsia="zh-CN"/>
              </w:rPr>
              <w:t>谈判响应文件</w:t>
            </w:r>
            <w:r>
              <w:rPr>
                <w:rFonts w:hint="eastAsia" w:ascii="宋体" w:hAnsi="宋体" w:eastAsia="宋体" w:cs="宋体"/>
                <w:b/>
                <w:bCs/>
                <w:color w:val="auto"/>
                <w:sz w:val="21"/>
                <w:szCs w:val="21"/>
                <w:highlight w:val="none"/>
              </w:rPr>
              <w:t>中所附的加盖单位公章的承诺书为准。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sz w:val="21"/>
                <w:szCs w:val="21"/>
                <w:highlight w:val="none"/>
                <w:lang w:bidi="ar"/>
              </w:rPr>
            </w:pPr>
            <w:r>
              <w:rPr>
                <w:rFonts w:hint="eastAsia" w:ascii="宋体" w:hAnsi="宋体" w:eastAsia="宋体" w:cs="宋体"/>
                <w:b w:val="0"/>
                <w:bCs/>
                <w:color w:val="auto"/>
                <w:sz w:val="21"/>
                <w:szCs w:val="21"/>
                <w:highlight w:val="none"/>
                <w:lang w:bidi="ar"/>
              </w:rPr>
              <w:t>2</w:t>
            </w:r>
          </w:p>
        </w:tc>
        <w:tc>
          <w:tcPr>
            <w:tcW w:w="21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kern w:val="28"/>
                <w:sz w:val="21"/>
                <w:szCs w:val="21"/>
                <w:highlight w:val="none"/>
                <w:lang w:val="en-US" w:eastAsia="zh-CN" w:bidi="ar"/>
              </w:rPr>
            </w:pPr>
            <w:r>
              <w:rPr>
                <w:rFonts w:hint="eastAsia" w:ascii="宋体" w:hAnsi="宋体" w:eastAsia="宋体" w:cs="宋体"/>
                <w:bCs/>
                <w:color w:val="auto"/>
                <w:kern w:val="28"/>
                <w:sz w:val="21"/>
                <w:szCs w:val="21"/>
                <w:highlight w:val="none"/>
                <w:lang w:bidi="ar"/>
              </w:rPr>
              <w:t>落实政府采购政策需满足的资格要求</w:t>
            </w:r>
          </w:p>
        </w:tc>
        <w:tc>
          <w:tcPr>
            <w:tcW w:w="5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本项目不属于专门面向中小企业采购项目；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sz w:val="21"/>
                <w:szCs w:val="21"/>
                <w:highlight w:val="none"/>
                <w:lang w:val="en-US" w:eastAsia="zh-CN" w:bidi="ar"/>
              </w:rPr>
            </w:pPr>
            <w:r>
              <w:rPr>
                <w:rFonts w:hint="eastAsia" w:ascii="宋体" w:hAnsi="宋体" w:eastAsia="宋体" w:cs="宋体"/>
                <w:b w:val="0"/>
                <w:bCs/>
                <w:color w:val="auto"/>
                <w:sz w:val="21"/>
                <w:szCs w:val="21"/>
                <w:highlight w:val="none"/>
                <w:lang w:val="en-US" w:eastAsia="zh-CN" w:bidi="ar"/>
              </w:rPr>
              <w:t>3</w:t>
            </w:r>
          </w:p>
        </w:tc>
        <w:tc>
          <w:tcPr>
            <w:tcW w:w="90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kern w:val="28"/>
                <w:sz w:val="21"/>
                <w:szCs w:val="21"/>
                <w:highlight w:val="none"/>
                <w:lang w:val="en-US" w:eastAsia="zh-CN" w:bidi="ar-SA"/>
              </w:rPr>
            </w:pPr>
            <w:r>
              <w:rPr>
                <w:rFonts w:hint="eastAsia" w:ascii="宋体" w:hAnsi="宋体" w:eastAsia="宋体" w:cs="宋体"/>
                <w:b w:val="0"/>
                <w:bCs/>
                <w:color w:val="auto"/>
                <w:kern w:val="28"/>
                <w:sz w:val="21"/>
                <w:szCs w:val="21"/>
                <w:highlight w:val="none"/>
                <w:lang w:val="en-US" w:eastAsia="zh-CN" w:bidi="ar"/>
              </w:rPr>
              <w:t>特定资格要求</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kern w:val="28"/>
                <w:sz w:val="21"/>
                <w:szCs w:val="21"/>
                <w:highlight w:val="none"/>
                <w:lang w:bidi="ar"/>
              </w:rPr>
            </w:pPr>
            <w:r>
              <w:rPr>
                <w:rFonts w:hint="eastAsia" w:ascii="宋体" w:hAnsi="宋体" w:eastAsia="宋体" w:cs="宋体"/>
                <w:b w:val="0"/>
                <w:bCs/>
                <w:color w:val="auto"/>
                <w:kern w:val="28"/>
                <w:sz w:val="21"/>
                <w:szCs w:val="21"/>
                <w:highlight w:val="none"/>
                <w:lang w:bidi="ar"/>
              </w:rPr>
              <w:t>营业执照或其他证明资料</w:t>
            </w:r>
          </w:p>
        </w:tc>
        <w:tc>
          <w:tcPr>
            <w:tcW w:w="5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Cs/>
                <w:color w:val="auto"/>
                <w:kern w:val="28"/>
                <w:sz w:val="21"/>
                <w:szCs w:val="21"/>
                <w:highlight w:val="none"/>
              </w:rPr>
            </w:pPr>
            <w:r>
              <w:rPr>
                <w:rFonts w:hint="eastAsia" w:ascii="宋体" w:hAnsi="宋体" w:eastAsia="宋体" w:cs="宋体"/>
                <w:bCs/>
                <w:color w:val="auto"/>
                <w:kern w:val="28"/>
                <w:sz w:val="21"/>
                <w:szCs w:val="21"/>
                <w:highlight w:val="none"/>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val="0"/>
                <w:bCs/>
                <w:color w:val="auto"/>
                <w:kern w:val="28"/>
                <w:sz w:val="21"/>
                <w:szCs w:val="21"/>
                <w:highlight w:val="none"/>
                <w:lang w:eastAsia="zh-CN"/>
              </w:rPr>
            </w:pPr>
            <w:r>
              <w:rPr>
                <w:rFonts w:hint="eastAsia" w:ascii="宋体" w:hAnsi="宋体" w:eastAsia="宋体" w:cs="宋体"/>
                <w:b/>
                <w:bCs w:val="0"/>
                <w:color w:val="auto"/>
                <w:kern w:val="28"/>
                <w:sz w:val="21"/>
                <w:szCs w:val="21"/>
                <w:highlight w:val="none"/>
              </w:rPr>
              <w:t>注：以</w:t>
            </w:r>
            <w:r>
              <w:rPr>
                <w:rFonts w:hint="eastAsia" w:ascii="宋体" w:hAnsi="宋体" w:eastAsia="宋体" w:cs="宋体"/>
                <w:b/>
                <w:bCs w:val="0"/>
                <w:color w:val="auto"/>
                <w:kern w:val="28"/>
                <w:sz w:val="21"/>
                <w:szCs w:val="21"/>
                <w:highlight w:val="none"/>
                <w:lang w:eastAsia="zh-CN"/>
              </w:rPr>
              <w:t>谈判响应文件</w:t>
            </w:r>
            <w:r>
              <w:rPr>
                <w:rFonts w:hint="eastAsia" w:ascii="宋体" w:hAnsi="宋体" w:eastAsia="宋体" w:cs="宋体"/>
                <w:b/>
                <w:bCs w:val="0"/>
                <w:color w:val="auto"/>
                <w:kern w:val="28"/>
                <w:sz w:val="21"/>
                <w:szCs w:val="21"/>
                <w:highlight w:val="none"/>
                <w:lang w:val="en-US" w:eastAsia="zh-CN"/>
              </w:rPr>
              <w:t>中</w:t>
            </w:r>
            <w:r>
              <w:rPr>
                <w:rFonts w:hint="eastAsia" w:ascii="宋体" w:hAnsi="宋体" w:eastAsia="宋体" w:cs="宋体"/>
                <w:b/>
                <w:bCs w:val="0"/>
                <w:color w:val="auto"/>
                <w:kern w:val="28"/>
                <w:sz w:val="21"/>
                <w:szCs w:val="21"/>
                <w:highlight w:val="none"/>
              </w:rPr>
              <w:t>所附营业执照或其他证明资料复印件</w:t>
            </w:r>
            <w:r>
              <w:rPr>
                <w:rFonts w:hint="eastAsia" w:ascii="宋体" w:hAnsi="宋体" w:eastAsia="宋体" w:cs="宋体"/>
                <w:b/>
                <w:bCs w:val="0"/>
                <w:color w:val="auto"/>
                <w:kern w:val="28"/>
                <w:sz w:val="21"/>
                <w:szCs w:val="21"/>
                <w:highlight w:val="none"/>
                <w:lang w:val="en-US" w:eastAsia="zh-CN"/>
              </w:rPr>
              <w:t>加盖单位公章</w:t>
            </w:r>
            <w:r>
              <w:rPr>
                <w:rFonts w:hint="eastAsia" w:ascii="宋体" w:hAnsi="宋体" w:eastAsia="宋体" w:cs="宋体"/>
                <w:b/>
                <w:bCs w:val="0"/>
                <w:color w:val="auto"/>
                <w:kern w:val="28"/>
                <w:sz w:val="21"/>
                <w:szCs w:val="21"/>
                <w:highlight w:val="none"/>
              </w:rPr>
              <w:t>为准</w:t>
            </w:r>
            <w:r>
              <w:rPr>
                <w:rFonts w:hint="eastAsia" w:ascii="宋体" w:hAnsi="宋体" w:eastAsia="宋体" w:cs="宋体"/>
                <w:b/>
                <w:bCs w:val="0"/>
                <w:color w:val="auto"/>
                <w:kern w:val="28"/>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kern w:val="2"/>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kern w:val="28"/>
                <w:sz w:val="21"/>
                <w:szCs w:val="21"/>
                <w:highlight w:val="none"/>
                <w:lang w:val="en-US" w:eastAsia="zh-CN" w:bidi="ar"/>
              </w:rPr>
            </w:pPr>
            <w:r>
              <w:rPr>
                <w:rFonts w:hint="eastAsia" w:ascii="宋体" w:hAnsi="宋体" w:eastAsia="宋体" w:cs="宋体"/>
                <w:b w:val="0"/>
                <w:bCs/>
                <w:color w:val="auto"/>
                <w:kern w:val="28"/>
                <w:sz w:val="21"/>
                <w:szCs w:val="21"/>
                <w:highlight w:val="none"/>
                <w:lang w:val="en-US" w:eastAsia="zh-CN" w:bidi="ar"/>
              </w:rPr>
              <w:t>企业资质1</w:t>
            </w:r>
          </w:p>
        </w:tc>
        <w:tc>
          <w:tcPr>
            <w:tcW w:w="5827"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textAlignment w:val="auto"/>
              <w:rPr>
                <w:rFonts w:hint="eastAsia" w:ascii="宋体" w:hAnsi="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eastAsia="zh-CN"/>
              </w:rPr>
              <w:t>须具备省级及以上国家保密局颁发的《国家秘密载体印制资质》乙级或以上资质（内容包含“涉密档案数字化加工”类）</w:t>
            </w:r>
            <w:r>
              <w:rPr>
                <w:rFonts w:hint="eastAsia" w:ascii="宋体" w:hAnsi="宋体" w:cs="宋体"/>
                <w:b w:val="0"/>
                <w:bCs w:val="0"/>
                <w:color w:val="auto"/>
                <w:sz w:val="21"/>
                <w:szCs w:val="21"/>
                <w:highlight w:val="none"/>
                <w:lang w:val="zh-CN" w:eastAsia="zh-CN"/>
              </w:rPr>
              <w:t>；</w:t>
            </w:r>
          </w:p>
          <w:p>
            <w:pPr>
              <w:pStyle w:val="28"/>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textAlignment w:val="auto"/>
              <w:rPr>
                <w:rFonts w:hint="eastAsia" w:ascii="宋体" w:hAnsi="宋体" w:eastAsia="宋体" w:cs="宋体"/>
                <w:b/>
                <w:bCs w:val="0"/>
                <w:color w:val="auto"/>
                <w:kern w:val="28"/>
                <w:sz w:val="21"/>
                <w:szCs w:val="21"/>
                <w:highlight w:val="none"/>
              </w:rPr>
            </w:pPr>
            <w:r>
              <w:rPr>
                <w:rFonts w:hint="eastAsia" w:ascii="宋体" w:hAnsi="宋体" w:eastAsia="宋体" w:cs="宋体"/>
                <w:b/>
                <w:bCs w:val="0"/>
                <w:color w:val="auto"/>
                <w:kern w:val="28"/>
                <w:sz w:val="21"/>
                <w:szCs w:val="21"/>
                <w:highlight w:val="none"/>
              </w:rPr>
              <w:t>注：以</w:t>
            </w:r>
            <w:r>
              <w:rPr>
                <w:rFonts w:hint="eastAsia" w:ascii="宋体" w:hAnsi="宋体" w:eastAsia="宋体" w:cs="宋体"/>
                <w:b/>
                <w:bCs w:val="0"/>
                <w:color w:val="auto"/>
                <w:kern w:val="28"/>
                <w:sz w:val="21"/>
                <w:szCs w:val="21"/>
                <w:highlight w:val="none"/>
                <w:lang w:eastAsia="zh-CN"/>
              </w:rPr>
              <w:t>谈判响应文件</w:t>
            </w:r>
            <w:r>
              <w:rPr>
                <w:rFonts w:hint="eastAsia" w:ascii="宋体" w:hAnsi="宋体" w:eastAsia="宋体" w:cs="宋体"/>
                <w:b/>
                <w:bCs w:val="0"/>
                <w:color w:val="auto"/>
                <w:kern w:val="28"/>
                <w:sz w:val="21"/>
                <w:szCs w:val="21"/>
                <w:highlight w:val="none"/>
                <w:lang w:val="en-US" w:eastAsia="zh-CN"/>
              </w:rPr>
              <w:t>中</w:t>
            </w:r>
            <w:r>
              <w:rPr>
                <w:rFonts w:hint="eastAsia" w:ascii="宋体" w:hAnsi="宋体" w:eastAsia="宋体" w:cs="宋体"/>
                <w:b/>
                <w:bCs w:val="0"/>
                <w:color w:val="auto"/>
                <w:kern w:val="28"/>
                <w:sz w:val="21"/>
                <w:szCs w:val="21"/>
                <w:highlight w:val="none"/>
              </w:rPr>
              <w:t>所附</w:t>
            </w:r>
            <w:r>
              <w:rPr>
                <w:rFonts w:hint="eastAsia" w:ascii="宋体" w:hAnsi="宋体" w:eastAsia="宋体" w:cs="宋体"/>
                <w:b/>
                <w:bCs w:val="0"/>
                <w:color w:val="auto"/>
                <w:kern w:val="28"/>
                <w:sz w:val="21"/>
                <w:szCs w:val="21"/>
                <w:highlight w:val="none"/>
                <w:lang w:val="en-US" w:eastAsia="zh-CN"/>
              </w:rPr>
              <w:t>加盖单位公章的资质证书</w:t>
            </w:r>
            <w:r>
              <w:rPr>
                <w:rFonts w:hint="eastAsia" w:ascii="宋体" w:hAnsi="宋体" w:eastAsia="宋体" w:cs="宋体"/>
                <w:b/>
                <w:bCs w:val="0"/>
                <w:color w:val="auto"/>
                <w:kern w:val="28"/>
                <w:sz w:val="21"/>
                <w:szCs w:val="21"/>
                <w:highlight w:val="none"/>
              </w:rPr>
              <w:t>复印件为准</w:t>
            </w:r>
            <w:r>
              <w:rPr>
                <w:rFonts w:hint="eastAsia" w:ascii="宋体" w:hAnsi="宋体" w:eastAsia="宋体" w:cs="宋体"/>
                <w:b/>
                <w:bCs w:val="0"/>
                <w:color w:val="auto"/>
                <w:kern w:val="28"/>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kern w:val="2"/>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kern w:val="28"/>
                <w:sz w:val="21"/>
                <w:szCs w:val="21"/>
                <w:highlight w:val="none"/>
                <w:lang w:eastAsia="zh-CN" w:bidi="ar"/>
              </w:rPr>
            </w:pPr>
            <w:r>
              <w:rPr>
                <w:rFonts w:hint="eastAsia" w:ascii="宋体" w:hAnsi="宋体" w:eastAsia="宋体" w:cs="宋体"/>
                <w:b w:val="0"/>
                <w:bCs/>
                <w:color w:val="auto"/>
                <w:kern w:val="28"/>
                <w:sz w:val="21"/>
                <w:szCs w:val="21"/>
                <w:highlight w:val="none"/>
                <w:lang w:val="en-US" w:eastAsia="zh-CN" w:bidi="ar"/>
              </w:rPr>
              <w:t>企业资质</w:t>
            </w:r>
            <w:r>
              <w:rPr>
                <w:rFonts w:hint="eastAsia" w:ascii="宋体" w:hAnsi="宋体" w:cs="宋体"/>
                <w:b w:val="0"/>
                <w:bCs/>
                <w:color w:val="auto"/>
                <w:kern w:val="28"/>
                <w:sz w:val="21"/>
                <w:szCs w:val="21"/>
                <w:highlight w:val="none"/>
                <w:lang w:val="en-US" w:eastAsia="zh-CN" w:bidi="ar"/>
              </w:rPr>
              <w:t>2</w:t>
            </w:r>
          </w:p>
        </w:tc>
        <w:tc>
          <w:tcPr>
            <w:tcW w:w="5827"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textAlignment w:val="auto"/>
              <w:rPr>
                <w:rFonts w:hint="eastAsia" w:ascii="宋体" w:hAnsi="宋体" w:eastAsia="宋体" w:cs="宋体"/>
                <w:bCs/>
                <w:color w:val="auto"/>
                <w:kern w:val="28"/>
                <w:sz w:val="21"/>
                <w:szCs w:val="21"/>
                <w:highlight w:val="none"/>
                <w:lang w:val="en-US" w:eastAsia="zh-CN" w:bidi="ar-SA"/>
              </w:rPr>
            </w:pPr>
            <w:r>
              <w:rPr>
                <w:rFonts w:hint="eastAsia" w:ascii="宋体" w:hAnsi="宋体" w:cs="宋体"/>
                <w:b w:val="0"/>
                <w:bCs w:val="0"/>
                <w:color w:val="auto"/>
                <w:sz w:val="21"/>
                <w:szCs w:val="21"/>
                <w:highlight w:val="none"/>
                <w:lang w:val="zh-CN" w:eastAsia="zh-CN"/>
              </w:rPr>
              <w:t>供应商应具备建设行政主管部门颁发的工程设计综合甲级资质或建筑行业工程设计丙级</w:t>
            </w:r>
            <w:r>
              <w:rPr>
                <w:rFonts w:hint="eastAsia" w:ascii="宋体" w:hAnsi="宋体" w:eastAsia="宋体" w:cs="宋体"/>
                <w:b w:val="0"/>
                <w:bCs w:val="0"/>
                <w:color w:val="auto"/>
                <w:sz w:val="21"/>
                <w:szCs w:val="21"/>
                <w:highlight w:val="none"/>
                <w:lang w:val="zh-CN" w:eastAsia="zh-CN"/>
              </w:rPr>
              <w:t>及以上资质或建筑行业（建筑工程）设计丙级及以上资质</w:t>
            </w:r>
            <w:r>
              <w:rPr>
                <w:rFonts w:hint="eastAsia" w:ascii="宋体" w:hAnsi="宋体" w:cs="宋体"/>
                <w:b w:val="0"/>
                <w:bCs w:val="0"/>
                <w:color w:val="auto"/>
                <w:sz w:val="21"/>
                <w:szCs w:val="21"/>
                <w:highlight w:val="none"/>
                <w:lang w:val="zh-CN" w:eastAsia="zh-CN"/>
              </w:rPr>
              <w:t>，拟派设计项目负责人应具备二级及以上注册结构师执业资格或二级及以上注册建筑师执业资格</w:t>
            </w:r>
            <w:r>
              <w:rPr>
                <w:rFonts w:hint="eastAsia" w:ascii="宋体" w:hAnsi="宋体" w:eastAsia="宋体" w:cs="宋体"/>
                <w:bCs/>
                <w:color w:val="auto"/>
                <w:kern w:val="28"/>
                <w:sz w:val="21"/>
                <w:szCs w:val="21"/>
                <w:highlight w:val="none"/>
                <w:lang w:val="en-US" w:eastAsia="zh-CN" w:bidi="ar-SA"/>
              </w:rPr>
              <w:t>；</w:t>
            </w:r>
          </w:p>
          <w:p>
            <w:pPr>
              <w:pStyle w:val="28"/>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textAlignment w:val="auto"/>
              <w:rPr>
                <w:rFonts w:hint="eastAsia" w:ascii="宋体" w:hAnsi="宋体" w:eastAsia="宋体" w:cs="宋体"/>
                <w:bCs/>
                <w:color w:val="auto"/>
                <w:kern w:val="28"/>
                <w:sz w:val="21"/>
                <w:szCs w:val="21"/>
                <w:highlight w:val="none"/>
                <w:lang w:val="en-US" w:eastAsia="zh-CN" w:bidi="ar-SA"/>
              </w:rPr>
            </w:pPr>
            <w:r>
              <w:rPr>
                <w:rFonts w:hint="eastAsia" w:ascii="宋体" w:hAnsi="宋体" w:eastAsia="宋体" w:cs="宋体"/>
                <w:b/>
                <w:bCs w:val="0"/>
                <w:color w:val="auto"/>
                <w:kern w:val="28"/>
                <w:sz w:val="21"/>
                <w:szCs w:val="21"/>
                <w:highlight w:val="none"/>
              </w:rPr>
              <w:t>注：以</w:t>
            </w:r>
            <w:r>
              <w:rPr>
                <w:rFonts w:hint="eastAsia" w:ascii="宋体" w:hAnsi="宋体" w:eastAsia="宋体" w:cs="宋体"/>
                <w:b/>
                <w:bCs w:val="0"/>
                <w:color w:val="auto"/>
                <w:kern w:val="28"/>
                <w:sz w:val="21"/>
                <w:szCs w:val="21"/>
                <w:highlight w:val="none"/>
                <w:lang w:eastAsia="zh-CN"/>
              </w:rPr>
              <w:t>谈判响应文件</w:t>
            </w:r>
            <w:r>
              <w:rPr>
                <w:rFonts w:hint="eastAsia" w:ascii="宋体" w:hAnsi="宋体" w:eastAsia="宋体" w:cs="宋体"/>
                <w:b/>
                <w:bCs w:val="0"/>
                <w:color w:val="auto"/>
                <w:kern w:val="28"/>
                <w:sz w:val="21"/>
                <w:szCs w:val="21"/>
                <w:highlight w:val="none"/>
                <w:lang w:val="en-US" w:eastAsia="zh-CN"/>
              </w:rPr>
              <w:t>中</w:t>
            </w:r>
            <w:r>
              <w:rPr>
                <w:rFonts w:hint="eastAsia" w:ascii="宋体" w:hAnsi="宋体" w:eastAsia="宋体" w:cs="宋体"/>
                <w:b/>
                <w:bCs w:val="0"/>
                <w:color w:val="auto"/>
                <w:kern w:val="28"/>
                <w:sz w:val="21"/>
                <w:szCs w:val="21"/>
                <w:highlight w:val="none"/>
              </w:rPr>
              <w:t>所附</w:t>
            </w:r>
            <w:r>
              <w:rPr>
                <w:rFonts w:hint="eastAsia" w:ascii="宋体" w:hAnsi="宋体" w:eastAsia="宋体" w:cs="宋体"/>
                <w:b/>
                <w:bCs w:val="0"/>
                <w:color w:val="auto"/>
                <w:kern w:val="28"/>
                <w:sz w:val="21"/>
                <w:szCs w:val="21"/>
                <w:highlight w:val="none"/>
                <w:lang w:val="en-US" w:eastAsia="zh-CN"/>
              </w:rPr>
              <w:t>加盖单位公章的资质证书</w:t>
            </w:r>
            <w:r>
              <w:rPr>
                <w:rFonts w:hint="eastAsia" w:ascii="宋体" w:hAnsi="宋体" w:eastAsia="宋体" w:cs="宋体"/>
                <w:b/>
                <w:bCs w:val="0"/>
                <w:color w:val="auto"/>
                <w:kern w:val="28"/>
                <w:sz w:val="21"/>
                <w:szCs w:val="21"/>
                <w:highlight w:val="none"/>
              </w:rPr>
              <w:t>复印件为准</w:t>
            </w:r>
            <w:r>
              <w:rPr>
                <w:rFonts w:hint="eastAsia" w:ascii="宋体" w:hAnsi="宋体" w:eastAsia="宋体" w:cs="宋体"/>
                <w:b/>
                <w:bCs w:val="0"/>
                <w:color w:val="auto"/>
                <w:kern w:val="28"/>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kern w:val="2"/>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kern w:val="28"/>
                <w:sz w:val="21"/>
                <w:szCs w:val="21"/>
                <w:highlight w:val="none"/>
                <w:lang w:eastAsia="zh-CN" w:bidi="ar"/>
              </w:rPr>
            </w:pPr>
            <w:r>
              <w:rPr>
                <w:rFonts w:hint="eastAsia" w:ascii="宋体" w:hAnsi="宋体" w:eastAsia="宋体" w:cs="宋体"/>
                <w:b w:val="0"/>
                <w:bCs/>
                <w:color w:val="auto"/>
                <w:kern w:val="28"/>
                <w:sz w:val="21"/>
                <w:szCs w:val="21"/>
                <w:highlight w:val="none"/>
                <w:lang w:val="en-US" w:eastAsia="zh-CN" w:bidi="ar"/>
              </w:rPr>
              <w:t>企业资质</w:t>
            </w:r>
            <w:r>
              <w:rPr>
                <w:rFonts w:hint="eastAsia" w:ascii="宋体" w:hAnsi="宋体" w:cs="宋体"/>
                <w:b w:val="0"/>
                <w:bCs/>
                <w:color w:val="auto"/>
                <w:kern w:val="28"/>
                <w:sz w:val="21"/>
                <w:szCs w:val="21"/>
                <w:highlight w:val="none"/>
                <w:lang w:val="en-US" w:eastAsia="zh-CN" w:bidi="ar"/>
              </w:rPr>
              <w:t>3</w:t>
            </w:r>
          </w:p>
        </w:tc>
        <w:tc>
          <w:tcPr>
            <w:tcW w:w="5827"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textAlignment w:val="auto"/>
              <w:rPr>
                <w:rFonts w:hint="eastAsia" w:ascii="宋体" w:hAnsi="宋体" w:eastAsia="宋体" w:cs="宋体"/>
                <w:bCs/>
                <w:color w:val="auto"/>
                <w:kern w:val="28"/>
                <w:sz w:val="21"/>
                <w:szCs w:val="21"/>
                <w:highlight w:val="none"/>
                <w:lang w:val="en-US" w:eastAsia="zh-CN" w:bidi="ar-SA"/>
              </w:rPr>
            </w:pPr>
            <w:r>
              <w:rPr>
                <w:rFonts w:hint="eastAsia" w:ascii="宋体" w:hAnsi="宋体" w:eastAsia="宋体" w:cs="宋体"/>
                <w:bCs/>
                <w:color w:val="auto"/>
                <w:kern w:val="28"/>
                <w:sz w:val="21"/>
                <w:szCs w:val="21"/>
                <w:highlight w:val="none"/>
                <w:lang w:val="en-US" w:eastAsia="zh-CN" w:bidi="ar-SA"/>
              </w:rPr>
              <w:t>供应商应具备应具备建设行政主管部门核发的建筑工程施工总承包三级及以上资质，并具有有效的安全生产许可证；</w:t>
            </w:r>
            <w:r>
              <w:rPr>
                <w:rFonts w:hint="eastAsia" w:ascii="宋体" w:hAnsi="宋体" w:cs="宋体"/>
                <w:bCs/>
                <w:color w:val="auto"/>
                <w:kern w:val="28"/>
                <w:sz w:val="21"/>
                <w:szCs w:val="21"/>
                <w:highlight w:val="none"/>
                <w:lang w:val="en-US" w:eastAsia="zh-CN" w:bidi="ar-SA"/>
              </w:rPr>
              <w:t>拟派施工项目负责人具有建筑工程专业二级及以上注册建造师执业资格</w:t>
            </w:r>
            <w:r>
              <w:rPr>
                <w:rFonts w:hint="eastAsia" w:ascii="宋体" w:hAnsi="宋体" w:eastAsia="宋体" w:cs="宋体"/>
                <w:bCs/>
                <w:color w:val="auto"/>
                <w:kern w:val="28"/>
                <w:sz w:val="21"/>
                <w:szCs w:val="21"/>
                <w:highlight w:val="none"/>
                <w:lang w:val="en-US" w:eastAsia="zh-CN" w:bidi="ar-SA"/>
              </w:rPr>
              <w:t>，具有有效的安全生产考核合格证书（建安B证），在本单位注册，且未担任其他在建工程项目的项目负责人</w:t>
            </w:r>
          </w:p>
          <w:p>
            <w:pPr>
              <w:pStyle w:val="28"/>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28"/>
                <w:sz w:val="21"/>
                <w:szCs w:val="21"/>
                <w:highlight w:val="none"/>
              </w:rPr>
              <w:t>注：以</w:t>
            </w:r>
            <w:r>
              <w:rPr>
                <w:rFonts w:hint="eastAsia" w:ascii="宋体" w:hAnsi="宋体" w:eastAsia="宋体" w:cs="宋体"/>
                <w:b/>
                <w:bCs w:val="0"/>
                <w:color w:val="auto"/>
                <w:kern w:val="28"/>
                <w:sz w:val="21"/>
                <w:szCs w:val="21"/>
                <w:highlight w:val="none"/>
                <w:lang w:eastAsia="zh-CN"/>
              </w:rPr>
              <w:t>谈判响应文件</w:t>
            </w:r>
            <w:r>
              <w:rPr>
                <w:rFonts w:hint="eastAsia" w:ascii="宋体" w:hAnsi="宋体" w:eastAsia="宋体" w:cs="宋体"/>
                <w:b/>
                <w:bCs w:val="0"/>
                <w:color w:val="auto"/>
                <w:kern w:val="28"/>
                <w:sz w:val="21"/>
                <w:szCs w:val="21"/>
                <w:highlight w:val="none"/>
                <w:lang w:val="en-US" w:eastAsia="zh-CN"/>
              </w:rPr>
              <w:t>中</w:t>
            </w:r>
            <w:r>
              <w:rPr>
                <w:rFonts w:hint="eastAsia" w:ascii="宋体" w:hAnsi="宋体" w:eastAsia="宋体" w:cs="宋体"/>
                <w:b/>
                <w:bCs w:val="0"/>
                <w:color w:val="auto"/>
                <w:kern w:val="28"/>
                <w:sz w:val="21"/>
                <w:szCs w:val="21"/>
                <w:highlight w:val="none"/>
              </w:rPr>
              <w:t>所附</w:t>
            </w:r>
            <w:r>
              <w:rPr>
                <w:rFonts w:hint="eastAsia" w:ascii="宋体" w:hAnsi="宋体" w:eastAsia="宋体" w:cs="宋体"/>
                <w:b/>
                <w:bCs w:val="0"/>
                <w:color w:val="auto"/>
                <w:kern w:val="28"/>
                <w:sz w:val="21"/>
                <w:szCs w:val="21"/>
                <w:highlight w:val="none"/>
                <w:lang w:val="en-US" w:eastAsia="zh-CN"/>
              </w:rPr>
              <w:t>加盖单位公章的证明资料</w:t>
            </w:r>
            <w:r>
              <w:rPr>
                <w:rFonts w:hint="eastAsia" w:ascii="宋体" w:hAnsi="宋体" w:eastAsia="宋体" w:cs="宋体"/>
                <w:b/>
                <w:bCs w:val="0"/>
                <w:color w:val="auto"/>
                <w:kern w:val="28"/>
                <w:sz w:val="21"/>
                <w:szCs w:val="21"/>
                <w:highlight w:val="none"/>
              </w:rPr>
              <w:t>复印件</w:t>
            </w:r>
            <w:r>
              <w:rPr>
                <w:rFonts w:hint="eastAsia" w:ascii="宋体" w:hAnsi="宋体" w:eastAsia="宋体" w:cs="宋体"/>
                <w:b/>
                <w:bCs w:val="0"/>
                <w:color w:val="auto"/>
                <w:kern w:val="28"/>
                <w:sz w:val="21"/>
                <w:szCs w:val="21"/>
                <w:highlight w:val="none"/>
                <w:lang w:val="en-US" w:eastAsia="zh-CN"/>
              </w:rPr>
              <w:t>及无在建承诺书为准</w:t>
            </w:r>
            <w:r>
              <w:rPr>
                <w:rFonts w:hint="eastAsia" w:ascii="宋体" w:hAnsi="宋体" w:eastAsia="宋体" w:cs="宋体"/>
                <w:b/>
                <w:bCs w:val="0"/>
                <w:color w:val="auto"/>
                <w:kern w:val="28"/>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kern w:val="2"/>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kern w:val="28"/>
                <w:sz w:val="21"/>
                <w:szCs w:val="21"/>
                <w:highlight w:val="none"/>
                <w:lang w:eastAsia="zh-CN" w:bidi="ar"/>
              </w:rPr>
            </w:pPr>
            <w:r>
              <w:rPr>
                <w:rFonts w:hint="eastAsia" w:ascii="宋体" w:hAnsi="宋体" w:eastAsia="宋体" w:cs="宋体"/>
                <w:b w:val="0"/>
                <w:bCs/>
                <w:color w:val="auto"/>
                <w:kern w:val="28"/>
                <w:sz w:val="21"/>
                <w:szCs w:val="21"/>
                <w:highlight w:val="none"/>
                <w:lang w:eastAsia="zh-CN" w:bidi="ar"/>
              </w:rPr>
              <w:t>信用证明</w:t>
            </w:r>
          </w:p>
        </w:tc>
        <w:tc>
          <w:tcPr>
            <w:tcW w:w="5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pPr>
              <w:pStyle w:val="28"/>
              <w:keepNext w:val="0"/>
              <w:keepLines w:val="0"/>
              <w:pageBreakBefore w:val="0"/>
              <w:widowControl w:val="0"/>
              <w:kinsoku/>
              <w:wordWrap/>
              <w:overflowPunct/>
              <w:topLinePunct w:val="0"/>
              <w:autoSpaceDE/>
              <w:autoSpaceDN/>
              <w:bidi w:val="0"/>
              <w:adjustRightInd/>
              <w:snapToGrid w:val="0"/>
              <w:spacing w:after="0" w:line="44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val="0"/>
                <w:color w:val="auto"/>
                <w:sz w:val="21"/>
                <w:szCs w:val="21"/>
                <w:highlight w:val="none"/>
              </w:rPr>
              <w:t>注：以</w:t>
            </w:r>
            <w:r>
              <w:rPr>
                <w:rFonts w:hint="eastAsia" w:ascii="宋体" w:hAnsi="宋体" w:eastAsia="宋体" w:cs="宋体"/>
                <w:b/>
                <w:bCs w:val="0"/>
                <w:color w:val="auto"/>
                <w:sz w:val="21"/>
                <w:szCs w:val="21"/>
                <w:highlight w:val="none"/>
                <w:lang w:eastAsia="zh-CN"/>
              </w:rPr>
              <w:t>谈判响应文件</w:t>
            </w:r>
            <w:r>
              <w:rPr>
                <w:rFonts w:hint="eastAsia" w:ascii="宋体" w:hAnsi="宋体" w:eastAsia="宋体" w:cs="宋体"/>
                <w:b/>
                <w:bCs w:val="0"/>
                <w:color w:val="auto"/>
                <w:sz w:val="21"/>
                <w:szCs w:val="21"/>
                <w:highlight w:val="none"/>
              </w:rPr>
              <w:t>中所附的加盖单位公章的承诺书为准。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sz w:val="21"/>
                <w:szCs w:val="21"/>
                <w:highlight w:val="none"/>
                <w:lang w:val="en-US" w:eastAsia="zh-CN" w:bidi="ar"/>
              </w:rPr>
            </w:pPr>
          </w:p>
        </w:tc>
        <w:tc>
          <w:tcPr>
            <w:tcW w:w="9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jc w:val="center"/>
              <w:textAlignment w:val="auto"/>
              <w:rPr>
                <w:rFonts w:hint="eastAsia" w:ascii="宋体" w:hAnsi="宋体" w:eastAsia="宋体" w:cs="宋体"/>
                <w:b w:val="0"/>
                <w:bCs/>
                <w:color w:val="auto"/>
                <w:kern w:val="28"/>
                <w:sz w:val="21"/>
                <w:szCs w:val="21"/>
                <w:highlight w:val="none"/>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联合体</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谈判</w:t>
            </w:r>
          </w:p>
        </w:tc>
        <w:tc>
          <w:tcPr>
            <w:tcW w:w="5827"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rPr>
                <w:rFonts w:hint="eastAsia" w:ascii="宋体" w:hAnsi="宋体" w:eastAsia="宋体" w:cs="宋体"/>
                <w:color w:val="auto"/>
                <w:kern w:val="2"/>
                <w:sz w:val="21"/>
                <w:szCs w:val="21"/>
                <w:highlight w:val="none"/>
                <w:u w:val="none"/>
                <w:lang w:val="zh-CN" w:eastAsia="zh-CN" w:bidi="ar-SA"/>
              </w:rPr>
            </w:pPr>
            <w:r>
              <w:rPr>
                <w:rFonts w:hint="eastAsia" w:ascii="宋体" w:hAnsi="宋体" w:eastAsia="宋体" w:cs="宋体"/>
                <w:b w:val="0"/>
                <w:bCs w:val="0"/>
                <w:color w:val="auto"/>
                <w:sz w:val="21"/>
                <w:szCs w:val="21"/>
                <w:highlight w:val="none"/>
                <w:lang w:val="en-US" w:eastAsia="zh-CN"/>
              </w:rPr>
              <w:t>本项目接受联合体</w:t>
            </w:r>
            <w:r>
              <w:rPr>
                <w:rFonts w:hint="eastAsia" w:ascii="宋体" w:hAnsi="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lang w:val="en-US" w:eastAsia="zh-CN"/>
              </w:rPr>
              <w:t>，联合体参加</w:t>
            </w:r>
            <w:r>
              <w:rPr>
                <w:rFonts w:hint="eastAsia" w:ascii="宋体" w:hAnsi="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lang w:val="en-US" w:eastAsia="zh-CN"/>
              </w:rPr>
              <w:t>的，应满足下列要求：</w:t>
            </w:r>
            <w:r>
              <w:rPr>
                <w:rFonts w:hint="eastAsia" w:ascii="宋体" w:hAnsi="宋体" w:cs="宋体"/>
                <w:b w:val="0"/>
                <w:bCs w:val="0"/>
                <w:color w:val="auto"/>
                <w:sz w:val="21"/>
                <w:szCs w:val="21"/>
                <w:highlight w:val="none"/>
                <w:lang w:val="en-US" w:eastAsia="zh-CN"/>
              </w:rPr>
              <w:t>联合体成员数量不得超过3家</w:t>
            </w:r>
            <w:r>
              <w:rPr>
                <w:rFonts w:hint="eastAsia" w:ascii="宋体" w:hAnsi="宋体" w:eastAsia="宋体" w:cs="宋体"/>
                <w:b w:val="0"/>
                <w:bCs w:val="0"/>
                <w:color w:val="auto"/>
                <w:sz w:val="21"/>
                <w:szCs w:val="21"/>
                <w:highlight w:val="none"/>
                <w:lang w:val="en-US" w:eastAsia="zh-CN"/>
              </w:rPr>
              <w:t>，联合体须由</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涉密档案数字化加工</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单位牵头，联合体牵头单位代表联合体各方办理本项目</w:t>
            </w:r>
            <w:r>
              <w:rPr>
                <w:rFonts w:hint="eastAsia" w:ascii="宋体" w:hAnsi="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lang w:val="en-US" w:eastAsia="zh-CN"/>
              </w:rPr>
              <w:t>活动过程中的一切事务。牵头单位和其法定代表人或其委托代理人的印章或签字代表联合体各成员单位相应的印章或签字。联合体各方不得再以自己的名义单独或参加其他联合体在本项目的</w:t>
            </w:r>
            <w:r>
              <w:rPr>
                <w:rFonts w:hint="eastAsia" w:ascii="宋体" w:hAnsi="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lang w:val="en-US" w:eastAsia="zh-CN"/>
              </w:rPr>
              <w:t>，否则</w:t>
            </w:r>
            <w:r>
              <w:rPr>
                <w:rFonts w:hint="eastAsia" w:ascii="宋体" w:hAnsi="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lang w:val="en-US" w:eastAsia="zh-CN"/>
              </w:rPr>
              <w:t>响应将被拒绝。以上证明资料涉及到联合体的，须同时提供联合体牵头人及联合体成员资料（联合体单位参加</w:t>
            </w:r>
            <w:r>
              <w:rPr>
                <w:rFonts w:hint="eastAsia" w:ascii="宋体" w:hAnsi="宋体" w:cs="宋体"/>
                <w:b w:val="0"/>
                <w:bCs w:val="0"/>
                <w:color w:val="auto"/>
                <w:sz w:val="21"/>
                <w:szCs w:val="21"/>
                <w:highlight w:val="none"/>
                <w:lang w:val="en-US" w:eastAsia="zh-CN"/>
              </w:rPr>
              <w:t>谈判</w:t>
            </w:r>
            <w:r>
              <w:rPr>
                <w:rFonts w:hint="eastAsia" w:ascii="宋体" w:hAnsi="宋体" w:eastAsia="宋体" w:cs="宋体"/>
                <w:b w:val="0"/>
                <w:bCs w:val="0"/>
                <w:color w:val="auto"/>
                <w:sz w:val="21"/>
                <w:szCs w:val="21"/>
                <w:highlight w:val="none"/>
                <w:lang w:val="en-US" w:eastAsia="zh-CN"/>
              </w:rPr>
              <w:t>的，证明资料中“法定代表人身份证明或法定代表人授权书”仅须由牵头单位出具）。</w:t>
            </w:r>
          </w:p>
          <w:p>
            <w:pPr>
              <w:numPr>
                <w:ilvl w:val="0"/>
                <w:numId w:val="0"/>
              </w:numPr>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u w:val="none"/>
                <w:lang w:val="zh-CN" w:eastAsia="zh-CN" w:bidi="ar-SA"/>
              </w:rPr>
              <w:t>注：非联合体供应商以响应文件中所附加盖供应商单位公章的非联合体供应商书面声明为准；联合体供应商以响应文件中所附的加盖所有联合体成员单位公章的联合体协议为准。</w:t>
            </w:r>
          </w:p>
        </w:tc>
      </w:tr>
    </w:tbl>
    <w:p>
      <w:pPr>
        <w:keepNext w:val="0"/>
        <w:keepLines w:val="0"/>
        <w:pageBreakBefore w:val="0"/>
        <w:kinsoku/>
        <w:wordWrap/>
        <w:overflowPunct/>
        <w:topLinePunct w:val="0"/>
        <w:bidi w:val="0"/>
        <w:snapToGrid w:val="0"/>
        <w:textAlignment w:val="auto"/>
        <w:rPr>
          <w:rFonts w:hint="eastAsia" w:ascii="宋体" w:hAnsi="宋体" w:eastAsia="宋体" w:cs="宋体"/>
          <w:color w:val="auto"/>
          <w:sz w:val="21"/>
          <w:szCs w:val="21"/>
          <w:highlight w:val="none"/>
          <w:lang w:val="zh-CN"/>
        </w:rPr>
      </w:pP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谈判响应文件符合性审查：依据谈判文件的规定，</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w:t>
      </w:r>
      <w:r>
        <w:rPr>
          <w:rFonts w:hint="eastAsia" w:ascii="宋体" w:hAnsi="宋体" w:eastAsia="宋体" w:cs="宋体"/>
          <w:color w:val="auto"/>
          <w:sz w:val="21"/>
          <w:szCs w:val="21"/>
          <w:highlight w:val="none"/>
          <w:lang w:val="zh-CN"/>
        </w:rPr>
        <w:t>对谈判响应文件进行</w:t>
      </w:r>
      <w:r>
        <w:rPr>
          <w:rFonts w:hint="eastAsia" w:ascii="宋体" w:hAnsi="宋体" w:eastAsia="宋体" w:cs="宋体"/>
          <w:color w:val="auto"/>
          <w:sz w:val="21"/>
          <w:szCs w:val="21"/>
          <w:highlight w:val="none"/>
          <w:lang w:val="en-US" w:eastAsia="zh-CN"/>
        </w:rPr>
        <w:t>符合性</w:t>
      </w:r>
      <w:r>
        <w:rPr>
          <w:rFonts w:hint="eastAsia" w:ascii="宋体" w:hAnsi="宋体" w:eastAsia="宋体" w:cs="宋体"/>
          <w:color w:val="auto"/>
          <w:sz w:val="21"/>
          <w:szCs w:val="21"/>
          <w:highlight w:val="none"/>
          <w:lang w:val="zh-CN"/>
        </w:rPr>
        <w:t>审查，以确定是否对谈判文件的实质性内容做出响应。</w:t>
      </w:r>
    </w:p>
    <w:tbl>
      <w:tblPr>
        <w:tblStyle w:val="30"/>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2"/>
        <w:gridCol w:w="2331"/>
        <w:gridCol w:w="4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71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符合性审查标准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sz w:val="21"/>
                <w:szCs w:val="21"/>
                <w:highlight w:val="none"/>
                <w:lang w:val="en-US" w:eastAsia="zh-CN" w:bidi="ar"/>
              </w:rPr>
              <w:t>1</w:t>
            </w:r>
          </w:p>
        </w:tc>
        <w:tc>
          <w:tcPr>
            <w:tcW w:w="2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Cs/>
                <w:color w:val="auto"/>
                <w:sz w:val="21"/>
                <w:szCs w:val="21"/>
                <w:highlight w:val="none"/>
                <w:lang w:val="zh-CN" w:eastAsia="zh-CN" w:bidi="ar"/>
              </w:rPr>
            </w:pPr>
            <w:r>
              <w:rPr>
                <w:rFonts w:hint="eastAsia" w:ascii="宋体" w:hAnsi="宋体" w:eastAsia="宋体" w:cs="宋体"/>
                <w:bCs/>
                <w:color w:val="auto"/>
                <w:sz w:val="21"/>
                <w:szCs w:val="21"/>
                <w:highlight w:val="none"/>
                <w:lang w:eastAsia="zh-CN" w:bidi="ar"/>
              </w:rPr>
              <w:t>谈判响应文件</w:t>
            </w:r>
            <w:r>
              <w:rPr>
                <w:rFonts w:hint="eastAsia" w:ascii="宋体" w:hAnsi="宋体" w:eastAsia="宋体" w:cs="宋体"/>
                <w:bCs/>
                <w:color w:val="auto"/>
                <w:sz w:val="21"/>
                <w:szCs w:val="21"/>
                <w:highlight w:val="none"/>
                <w:lang w:bidi="ar"/>
              </w:rPr>
              <w:t>签章</w:t>
            </w:r>
          </w:p>
        </w:tc>
        <w:tc>
          <w:tcPr>
            <w:tcW w:w="4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按</w:t>
            </w:r>
            <w:r>
              <w:rPr>
                <w:rFonts w:hint="eastAsia" w:ascii="宋体" w:hAnsi="宋体" w:eastAsia="宋体" w:cs="宋体"/>
                <w:color w:val="auto"/>
                <w:sz w:val="21"/>
                <w:szCs w:val="21"/>
                <w:highlight w:val="none"/>
                <w:lang w:val="en-US" w:eastAsia="zh-CN"/>
              </w:rPr>
              <w:t>谈判文件</w:t>
            </w:r>
            <w:r>
              <w:rPr>
                <w:rFonts w:hint="eastAsia" w:ascii="宋体" w:hAnsi="宋体" w:eastAsia="宋体" w:cs="宋体"/>
                <w:color w:val="auto"/>
                <w:sz w:val="21"/>
                <w:szCs w:val="21"/>
                <w:highlight w:val="none"/>
                <w:lang w:val="zh-CN" w:eastAsia="zh-CN"/>
              </w:rPr>
              <w:t>要求签署、加盖印章。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3"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bCs/>
                <w:color w:val="auto"/>
                <w:sz w:val="21"/>
                <w:szCs w:val="21"/>
                <w:highlight w:val="none"/>
                <w:lang w:val="en-US" w:eastAsia="zh-CN" w:bidi="ar"/>
              </w:rPr>
            </w:pPr>
            <w:r>
              <w:rPr>
                <w:rFonts w:hint="eastAsia" w:ascii="宋体" w:hAnsi="宋体" w:cs="宋体"/>
                <w:bCs/>
                <w:color w:val="auto"/>
                <w:sz w:val="21"/>
                <w:szCs w:val="21"/>
                <w:highlight w:val="none"/>
                <w:lang w:val="en-US" w:eastAsia="zh-CN" w:bidi="ar"/>
              </w:rPr>
              <w:t>2</w:t>
            </w:r>
          </w:p>
        </w:tc>
        <w:tc>
          <w:tcPr>
            <w:tcW w:w="233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不正当竞争预防措施（实质性要求）</w:t>
            </w:r>
          </w:p>
        </w:tc>
        <w:tc>
          <w:tcPr>
            <w:tcW w:w="482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 xml:space="preserve">根据财政部《关于推动解决政府采购异常低价问题的通知》（财库〔2026〕2号）“政府采购评审中出现下列情形之一的，评审委员会应当启动异常低价投标（响应）审查程序”： </w:t>
            </w:r>
            <w:r>
              <w:rPr>
                <w:rFonts w:hint="eastAsia" w:ascii="宋体" w:hAnsi="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rPr>
              <w:t xml:space="preserve">投标（响应）报价低于全部通过符合性审查供应商投标（响应）报价平均值65%的，即投标（响应）报价&lt;全部通过符合性审查供应商投标（响应）报价平均值×65%； </w:t>
            </w:r>
            <w:r>
              <w:rPr>
                <w:rFonts w:hint="eastAsia" w:ascii="宋体" w:hAnsi="宋体" w:cs="宋体"/>
                <w:b/>
                <w:bCs/>
                <w:color w:val="auto"/>
                <w:sz w:val="21"/>
                <w:szCs w:val="21"/>
                <w:highlight w:val="none"/>
                <w:lang w:val="en-US" w:eastAsia="zh-CN"/>
              </w:rPr>
              <w:t>②</w:t>
            </w:r>
            <w:r>
              <w:rPr>
                <w:rFonts w:hint="eastAsia" w:ascii="宋体" w:hAnsi="宋体" w:eastAsia="宋体" w:cs="宋体"/>
                <w:b/>
                <w:bCs/>
                <w:color w:val="auto"/>
                <w:sz w:val="21"/>
                <w:szCs w:val="21"/>
                <w:highlight w:val="none"/>
              </w:rPr>
              <w:t xml:space="preserve">投标（响应）报价低于通过符合性审查的次低报价供应商投标（响应）报价65%的，即投标（响应）报价&lt;通过符合性审查的次低报价供应商投标（响应）报价×65%； </w:t>
            </w:r>
            <w:r>
              <w:rPr>
                <w:rFonts w:hint="eastAsia" w:ascii="宋体" w:hAnsi="宋体" w:cs="宋体"/>
                <w:b/>
                <w:bCs/>
                <w:color w:val="auto"/>
                <w:sz w:val="21"/>
                <w:szCs w:val="21"/>
                <w:highlight w:val="none"/>
                <w:lang w:val="en-US" w:eastAsia="zh-CN"/>
              </w:rPr>
              <w:t>③</w:t>
            </w:r>
            <w:r>
              <w:rPr>
                <w:rFonts w:hint="eastAsia" w:ascii="宋体" w:hAnsi="宋体" w:eastAsia="宋体" w:cs="宋体"/>
                <w:b/>
                <w:bCs/>
                <w:color w:val="auto"/>
                <w:sz w:val="21"/>
                <w:szCs w:val="21"/>
                <w:highlight w:val="none"/>
              </w:rPr>
              <w:t xml:space="preserve">投标（响应）报价低于采购项目最高限价65%的，即投标（响应）报价&lt;采购项目最高限价×65%； </w:t>
            </w:r>
            <w:r>
              <w:rPr>
                <w:rFonts w:hint="eastAsia" w:ascii="宋体" w:hAnsi="宋体" w:cs="宋体"/>
                <w:b/>
                <w:bCs/>
                <w:color w:val="auto"/>
                <w:sz w:val="21"/>
                <w:szCs w:val="21"/>
                <w:highlight w:val="none"/>
                <w:lang w:val="en-US" w:eastAsia="zh-CN"/>
              </w:rPr>
              <w:t>④</w:t>
            </w:r>
            <w:r>
              <w:rPr>
                <w:rFonts w:hint="eastAsia" w:ascii="宋体" w:hAnsi="宋体" w:eastAsia="宋体" w:cs="宋体"/>
                <w:b/>
                <w:bCs/>
                <w:color w:val="auto"/>
                <w:sz w:val="21"/>
                <w:szCs w:val="21"/>
                <w:highlight w:val="none"/>
              </w:rPr>
              <w:t xml:space="preserve">评审委员会基于专业判断，认为供应商报价过低，有可能影响产品质量或者不能诚信履约的其他情形。 </w:t>
            </w:r>
            <w:r>
              <w:rPr>
                <w:rFonts w:hint="eastAsia" w:ascii="宋体" w:hAnsi="宋体" w:cs="宋体"/>
                <w:b/>
                <w:bCs/>
                <w:color w:val="auto"/>
                <w:sz w:val="21"/>
                <w:szCs w:val="21"/>
                <w:highlight w:val="none"/>
                <w:lang w:val="en-US" w:eastAsia="zh-CN"/>
              </w:rPr>
              <w:t>⑤供应商</w:t>
            </w:r>
            <w:r>
              <w:rPr>
                <w:rFonts w:hint="eastAsia" w:ascii="宋体" w:hAnsi="宋体" w:eastAsia="宋体" w:cs="宋体"/>
                <w:b/>
                <w:bCs/>
                <w:color w:val="auto"/>
                <w:sz w:val="21"/>
                <w:szCs w:val="21"/>
                <w:highlight w:val="none"/>
              </w:rPr>
              <w:t>提交的相关说明和证明材料，应当加盖</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（法定名称）电子印章，相关供应商应于30分钟内（含30分钟）按评标委员会要求提供相应证明材料，通过项目电子化交易系统进行提交，否则提交的相关证明材料无效。</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不能证明其投标报价合理性的，评标委员会应当将其</w:t>
            </w:r>
            <w:r>
              <w:rPr>
                <w:rFonts w:hint="eastAsia" w:ascii="宋体" w:hAnsi="宋体" w:cs="宋体"/>
                <w:b/>
                <w:bCs/>
                <w:color w:val="auto"/>
                <w:sz w:val="21"/>
                <w:szCs w:val="21"/>
                <w:highlight w:val="none"/>
                <w:lang w:val="en-US" w:eastAsia="zh-CN"/>
              </w:rPr>
              <w:t>谈判响应</w:t>
            </w:r>
            <w:r>
              <w:rPr>
                <w:rFonts w:hint="eastAsia" w:ascii="宋体" w:hAnsi="宋体" w:eastAsia="宋体" w:cs="宋体"/>
                <w:b/>
                <w:bCs/>
                <w:color w:val="auto"/>
                <w:sz w:val="21"/>
                <w:szCs w:val="21"/>
                <w:highlight w:val="none"/>
              </w:rPr>
              <w:t>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3"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sz w:val="21"/>
                <w:szCs w:val="21"/>
                <w:highlight w:val="none"/>
                <w:lang w:val="en-US" w:eastAsia="zh-CN"/>
              </w:rPr>
              <w:t>3</w:t>
            </w:r>
          </w:p>
        </w:tc>
        <w:tc>
          <w:tcPr>
            <w:tcW w:w="2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Cs/>
                <w:color w:val="auto"/>
                <w:kern w:val="28"/>
                <w:sz w:val="21"/>
                <w:szCs w:val="21"/>
                <w:highlight w:val="none"/>
                <w:lang w:val="en-US" w:eastAsia="zh-CN" w:bidi="ar"/>
              </w:rPr>
            </w:pPr>
            <w:r>
              <w:rPr>
                <w:rFonts w:hint="eastAsia" w:ascii="宋体" w:hAnsi="宋体" w:eastAsia="宋体" w:cs="宋体"/>
                <w:bCs/>
                <w:color w:val="auto"/>
                <w:kern w:val="28"/>
                <w:sz w:val="21"/>
                <w:szCs w:val="21"/>
                <w:highlight w:val="none"/>
                <w:lang w:bidi="ar"/>
              </w:rPr>
              <w:t>法定代表人</w:t>
            </w:r>
            <w:r>
              <w:rPr>
                <w:rFonts w:hint="eastAsia" w:ascii="宋体" w:hAnsi="宋体" w:eastAsia="宋体" w:cs="宋体"/>
                <w:bCs/>
                <w:color w:val="auto"/>
                <w:kern w:val="28"/>
                <w:sz w:val="21"/>
                <w:szCs w:val="21"/>
                <w:highlight w:val="none"/>
                <w:lang w:val="en-US" w:eastAsia="zh-CN" w:bidi="ar"/>
              </w:rPr>
              <w:t>身份证明</w:t>
            </w:r>
            <w:r>
              <w:rPr>
                <w:rFonts w:hint="eastAsia" w:ascii="宋体" w:hAnsi="宋体" w:eastAsia="宋体" w:cs="宋体"/>
                <w:bCs/>
                <w:color w:val="auto"/>
                <w:kern w:val="28"/>
                <w:sz w:val="21"/>
                <w:szCs w:val="21"/>
                <w:highlight w:val="none"/>
                <w:lang w:bidi="ar"/>
              </w:rPr>
              <w:t>或法定代表人授权</w:t>
            </w:r>
            <w:r>
              <w:rPr>
                <w:rFonts w:hint="eastAsia" w:ascii="宋体" w:hAnsi="宋体" w:eastAsia="宋体" w:cs="宋体"/>
                <w:bCs/>
                <w:color w:val="auto"/>
                <w:kern w:val="28"/>
                <w:sz w:val="21"/>
                <w:szCs w:val="21"/>
                <w:highlight w:val="none"/>
                <w:lang w:val="en-US" w:eastAsia="zh-CN" w:bidi="ar"/>
              </w:rPr>
              <w:t>委托</w:t>
            </w:r>
            <w:r>
              <w:rPr>
                <w:rFonts w:hint="eastAsia" w:ascii="宋体" w:hAnsi="宋体" w:eastAsia="宋体" w:cs="宋体"/>
                <w:bCs/>
                <w:color w:val="auto"/>
                <w:kern w:val="28"/>
                <w:sz w:val="21"/>
                <w:szCs w:val="21"/>
                <w:highlight w:val="none"/>
                <w:lang w:bidi="ar"/>
              </w:rPr>
              <w:t>书</w:t>
            </w:r>
          </w:p>
        </w:tc>
        <w:tc>
          <w:tcPr>
            <w:tcW w:w="4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供应商应授权合法的人员参加</w:t>
            </w: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全过程，其中法定代表人直接参加</w:t>
            </w: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的，须出具</w:t>
            </w:r>
            <w:r>
              <w:rPr>
                <w:rFonts w:hint="eastAsia" w:ascii="宋体" w:hAnsi="宋体" w:eastAsia="宋体" w:cs="宋体"/>
                <w:bCs/>
                <w:color w:val="auto"/>
                <w:sz w:val="21"/>
                <w:szCs w:val="21"/>
                <w:highlight w:val="none"/>
                <w:lang w:val="en-US" w:eastAsia="zh-CN"/>
              </w:rPr>
              <w:t>法定代表人</w:t>
            </w:r>
            <w:r>
              <w:rPr>
                <w:rFonts w:hint="eastAsia" w:ascii="宋体" w:hAnsi="宋体" w:eastAsia="宋体" w:cs="宋体"/>
                <w:bCs/>
                <w:color w:val="auto"/>
                <w:sz w:val="21"/>
                <w:szCs w:val="21"/>
                <w:highlight w:val="none"/>
              </w:rPr>
              <w:t>身份证</w:t>
            </w:r>
            <w:r>
              <w:rPr>
                <w:rFonts w:hint="eastAsia" w:ascii="宋体" w:hAnsi="宋体" w:eastAsia="宋体" w:cs="宋体"/>
                <w:bCs/>
                <w:color w:val="auto"/>
                <w:sz w:val="21"/>
                <w:szCs w:val="21"/>
                <w:highlight w:val="none"/>
                <w:lang w:val="en-US" w:eastAsia="zh-CN"/>
              </w:rPr>
              <w:t>明</w:t>
            </w:r>
            <w:r>
              <w:rPr>
                <w:rFonts w:hint="eastAsia" w:ascii="宋体" w:hAnsi="宋体" w:eastAsia="宋体" w:cs="宋体"/>
                <w:bCs/>
                <w:color w:val="auto"/>
                <w:sz w:val="21"/>
                <w:szCs w:val="21"/>
                <w:highlight w:val="none"/>
              </w:rPr>
              <w:t>，且</w:t>
            </w:r>
            <w:r>
              <w:rPr>
                <w:rFonts w:hint="eastAsia" w:ascii="宋体" w:hAnsi="宋体" w:eastAsia="宋体" w:cs="宋体"/>
                <w:bCs/>
                <w:color w:val="auto"/>
                <w:sz w:val="21"/>
                <w:szCs w:val="21"/>
                <w:highlight w:val="none"/>
                <w:lang w:val="en-US" w:eastAsia="zh-CN"/>
              </w:rPr>
              <w:t>身份信息</w:t>
            </w:r>
            <w:r>
              <w:rPr>
                <w:rFonts w:hint="eastAsia" w:ascii="宋体" w:hAnsi="宋体" w:eastAsia="宋体" w:cs="宋体"/>
                <w:bCs/>
                <w:color w:val="auto"/>
                <w:sz w:val="21"/>
                <w:szCs w:val="21"/>
                <w:highlight w:val="none"/>
              </w:rPr>
              <w:t>与营业执照上</w:t>
            </w:r>
            <w:r>
              <w:rPr>
                <w:rFonts w:hint="eastAsia" w:ascii="宋体" w:hAnsi="宋体" w:eastAsia="宋体" w:cs="宋体"/>
                <w:bCs/>
                <w:color w:val="auto"/>
                <w:sz w:val="21"/>
                <w:szCs w:val="21"/>
                <w:highlight w:val="none"/>
                <w:lang w:val="en-US" w:eastAsia="zh-CN"/>
              </w:rPr>
              <w:t>对应</w:t>
            </w:r>
            <w:r>
              <w:rPr>
                <w:rFonts w:hint="eastAsia" w:ascii="宋体" w:hAnsi="宋体" w:eastAsia="宋体" w:cs="宋体"/>
                <w:bCs/>
                <w:color w:val="auto"/>
                <w:sz w:val="21"/>
                <w:szCs w:val="21"/>
                <w:highlight w:val="none"/>
              </w:rPr>
              <w:t>信息一致。法定代表人授权代表参加</w:t>
            </w: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的，须出具法定代表人授权</w:t>
            </w:r>
            <w:r>
              <w:rPr>
                <w:rFonts w:hint="eastAsia" w:ascii="宋体" w:hAnsi="宋体" w:eastAsia="宋体" w:cs="宋体"/>
                <w:bCs/>
                <w:color w:val="auto"/>
                <w:sz w:val="21"/>
                <w:szCs w:val="21"/>
                <w:highlight w:val="none"/>
                <w:lang w:val="en-US" w:eastAsia="zh-CN"/>
              </w:rPr>
              <w:t>委托</w:t>
            </w:r>
            <w:r>
              <w:rPr>
                <w:rFonts w:hint="eastAsia" w:ascii="宋体" w:hAnsi="宋体" w:eastAsia="宋体" w:cs="宋体"/>
                <w:bCs/>
                <w:color w:val="auto"/>
                <w:sz w:val="21"/>
                <w:szCs w:val="21"/>
                <w:highlight w:val="none"/>
              </w:rPr>
              <w:t>书及授权代表身份证</w:t>
            </w:r>
            <w:r>
              <w:rPr>
                <w:rFonts w:hint="eastAsia" w:ascii="宋体" w:hAnsi="宋体" w:eastAsia="宋体" w:cs="宋体"/>
                <w:bCs/>
                <w:color w:val="auto"/>
                <w:sz w:val="21"/>
                <w:szCs w:val="21"/>
                <w:highlight w:val="none"/>
                <w:lang w:val="en-US" w:eastAsia="zh-CN"/>
              </w:rPr>
              <w:t>复印件</w:t>
            </w:r>
            <w:r>
              <w:rPr>
                <w:rFonts w:hint="eastAsia" w:ascii="宋体" w:hAnsi="宋体" w:eastAsia="宋体" w:cs="宋体"/>
                <w:bCs/>
                <w:color w:val="auto"/>
                <w:sz w:val="21"/>
                <w:szCs w:val="21"/>
                <w:highlight w:val="none"/>
              </w:rPr>
              <w:t>；自然人参加</w:t>
            </w: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的须提供身份证复印件；</w:t>
            </w:r>
          </w:p>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sz w:val="21"/>
                <w:szCs w:val="21"/>
                <w:highlight w:val="none"/>
              </w:rPr>
              <w:t>注：以</w:t>
            </w:r>
            <w:r>
              <w:rPr>
                <w:rFonts w:hint="eastAsia" w:ascii="宋体" w:hAnsi="宋体" w:eastAsia="宋体" w:cs="宋体"/>
                <w:b/>
                <w:bCs w:val="0"/>
                <w:color w:val="auto"/>
                <w:sz w:val="21"/>
                <w:szCs w:val="21"/>
                <w:highlight w:val="none"/>
                <w:lang w:eastAsia="zh-CN"/>
              </w:rPr>
              <w:t>谈判响应文件</w:t>
            </w:r>
            <w:r>
              <w:rPr>
                <w:rFonts w:hint="eastAsia" w:ascii="宋体" w:hAnsi="宋体" w:eastAsia="宋体" w:cs="宋体"/>
                <w:b/>
                <w:bCs w:val="0"/>
                <w:color w:val="auto"/>
                <w:sz w:val="21"/>
                <w:szCs w:val="21"/>
                <w:highlight w:val="none"/>
              </w:rPr>
              <w:t>中所附签章齐全的</w:t>
            </w:r>
            <w:r>
              <w:rPr>
                <w:rFonts w:hint="eastAsia" w:ascii="宋体" w:hAnsi="宋体" w:eastAsia="宋体" w:cs="宋体"/>
                <w:b/>
                <w:bCs w:val="0"/>
                <w:color w:val="auto"/>
                <w:sz w:val="21"/>
                <w:szCs w:val="21"/>
                <w:highlight w:val="none"/>
                <w:lang w:val="en-US" w:eastAsia="zh-CN"/>
              </w:rPr>
              <w:t>法定代表人</w:t>
            </w:r>
            <w:r>
              <w:rPr>
                <w:rFonts w:hint="eastAsia" w:ascii="宋体" w:hAnsi="宋体" w:eastAsia="宋体" w:cs="宋体"/>
                <w:b/>
                <w:bCs w:val="0"/>
                <w:color w:val="auto"/>
                <w:sz w:val="21"/>
                <w:szCs w:val="21"/>
                <w:highlight w:val="none"/>
              </w:rPr>
              <w:t>身份证明或法定代表人授权</w:t>
            </w:r>
            <w:r>
              <w:rPr>
                <w:rFonts w:hint="eastAsia" w:ascii="宋体" w:hAnsi="宋体" w:eastAsia="宋体" w:cs="宋体"/>
                <w:b/>
                <w:bCs w:val="0"/>
                <w:color w:val="auto"/>
                <w:sz w:val="21"/>
                <w:szCs w:val="21"/>
                <w:highlight w:val="none"/>
                <w:lang w:val="en-US" w:eastAsia="zh-CN"/>
              </w:rPr>
              <w:t>委托</w:t>
            </w:r>
            <w:r>
              <w:rPr>
                <w:rFonts w:hint="eastAsia" w:ascii="宋体" w:hAnsi="宋体" w:eastAsia="宋体" w:cs="宋体"/>
                <w:b/>
                <w:bCs w:val="0"/>
                <w:color w:val="auto"/>
                <w:sz w:val="21"/>
                <w:szCs w:val="21"/>
                <w:highlight w:val="none"/>
              </w:rPr>
              <w:t>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4</w:t>
            </w:r>
          </w:p>
        </w:tc>
        <w:tc>
          <w:tcPr>
            <w:tcW w:w="2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default" w:ascii="宋体" w:hAnsi="宋体" w:eastAsia="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商务要求</w:t>
            </w:r>
          </w:p>
        </w:tc>
        <w:tc>
          <w:tcPr>
            <w:tcW w:w="4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符合竞争性谈判文件</w:t>
            </w:r>
            <w:r>
              <w:rPr>
                <w:rFonts w:hint="eastAsia" w:ascii="宋体" w:hAnsi="宋体" w:cs="宋体"/>
                <w:color w:val="auto"/>
                <w:sz w:val="21"/>
                <w:szCs w:val="21"/>
                <w:highlight w:val="none"/>
                <w:lang w:val="en-US" w:eastAsia="zh-CN"/>
              </w:rPr>
              <w:t>第五章所列商务要求</w:t>
            </w:r>
            <w:r>
              <w:rPr>
                <w:rFonts w:hint="eastAsia" w:ascii="宋体" w:hAnsi="宋体" w:eastAsia="宋体" w:cs="宋体"/>
                <w:color w:val="auto"/>
                <w:sz w:val="21"/>
                <w:szCs w:val="21"/>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5</w:t>
            </w:r>
          </w:p>
        </w:tc>
        <w:tc>
          <w:tcPr>
            <w:tcW w:w="2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bidi="ar"/>
              </w:rPr>
              <w:t>响应文件有效期</w:t>
            </w:r>
          </w:p>
        </w:tc>
        <w:tc>
          <w:tcPr>
            <w:tcW w:w="4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符合竞争性谈判文件要求。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6</w:t>
            </w:r>
          </w:p>
        </w:tc>
        <w:tc>
          <w:tcPr>
            <w:tcW w:w="2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Cs w:val="0"/>
                <w:color w:val="auto"/>
                <w:kern w:val="2"/>
                <w:sz w:val="21"/>
                <w:szCs w:val="21"/>
                <w:highlight w:val="none"/>
                <w:lang w:val="en-US" w:eastAsia="zh-CN" w:bidi="ar"/>
              </w:rPr>
            </w:pPr>
            <w:r>
              <w:rPr>
                <w:rFonts w:hint="eastAsia" w:ascii="宋体" w:hAnsi="宋体" w:eastAsia="宋体" w:cs="宋体"/>
                <w:bCs w:val="0"/>
                <w:color w:val="auto"/>
                <w:sz w:val="21"/>
                <w:szCs w:val="21"/>
                <w:highlight w:val="none"/>
                <w:lang w:val="en-US" w:eastAsia="zh-CN" w:bidi="ar"/>
              </w:rPr>
              <w:t>不存在禁止谈判的情形</w:t>
            </w:r>
          </w:p>
        </w:tc>
        <w:tc>
          <w:tcPr>
            <w:tcW w:w="4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t>不存在第二章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w:t>
            </w:r>
            <w:r>
              <w:rPr>
                <w:rFonts w:hint="eastAsia" w:ascii="宋体" w:hAnsi="宋体" w:eastAsia="宋体" w:cs="宋体"/>
                <w:b w:val="0"/>
                <w:bCs w:val="0"/>
                <w:color w:val="auto"/>
                <w:kern w:val="2"/>
                <w:sz w:val="21"/>
                <w:szCs w:val="21"/>
                <w:highlight w:val="none"/>
                <w:u w:val="none"/>
                <w:lang w:val="en-US" w:eastAsia="zh-CN" w:bidi="ar-SA"/>
              </w:rPr>
              <w:t>1.4.3项</w:t>
            </w:r>
            <w:r>
              <w:rPr>
                <w:rFonts w:hint="eastAsia" w:ascii="宋体" w:hAnsi="宋体" w:eastAsia="宋体" w:cs="宋体"/>
                <w:color w:val="auto"/>
                <w:sz w:val="21"/>
                <w:szCs w:val="21"/>
                <w:highlight w:val="none"/>
              </w:rPr>
              <w:t>规定的任何一种情形</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7</w:t>
            </w:r>
          </w:p>
        </w:tc>
        <w:tc>
          <w:tcPr>
            <w:tcW w:w="23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leftChars="0" w:right="0" w:rightChars="0"/>
              <w:jc w:val="both"/>
              <w:rPr>
                <w:rFonts w:hint="eastAsia" w:ascii="宋体" w:hAnsi="宋体" w:eastAsia="宋体" w:cs="宋体"/>
                <w:bCs/>
                <w:color w:val="auto"/>
                <w:sz w:val="21"/>
                <w:szCs w:val="21"/>
                <w:highlight w:val="none"/>
                <w:lang w:eastAsia="zh-CN" w:bidi="ar"/>
              </w:rPr>
            </w:pPr>
            <w:r>
              <w:rPr>
                <w:rFonts w:hint="eastAsia" w:ascii="宋体" w:hAnsi="宋体" w:eastAsia="宋体" w:cs="宋体"/>
                <w:color w:val="auto"/>
                <w:highlight w:val="none"/>
                <w:u w:val="none"/>
                <w:lang w:val="en-US" w:eastAsia="zh-CN"/>
              </w:rPr>
              <w:t>技术参数</w:t>
            </w:r>
          </w:p>
        </w:tc>
        <w:tc>
          <w:tcPr>
            <w:tcW w:w="48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leftChars="0" w:right="0" w:rightChars="0"/>
              <w:rPr>
                <w:rFonts w:hint="eastAsia" w:ascii="宋体" w:hAnsi="宋体" w:eastAsia="宋体" w:cs="宋体"/>
                <w:b/>
                <w:bCs/>
                <w:color w:val="auto"/>
                <w:sz w:val="21"/>
                <w:szCs w:val="21"/>
                <w:highlight w:val="none"/>
                <w:lang w:eastAsia="zh-CN"/>
              </w:rPr>
            </w:pPr>
            <w:r>
              <w:rPr>
                <w:rFonts w:hint="eastAsia" w:ascii="宋体" w:hAnsi="宋体" w:cs="宋体"/>
                <w:color w:val="auto"/>
                <w:highlight w:val="none"/>
                <w:u w:val="none"/>
                <w:lang w:val="en-US" w:eastAsia="zh-CN"/>
              </w:rPr>
              <w:t>符合</w:t>
            </w:r>
            <w:r>
              <w:rPr>
                <w:rFonts w:hint="eastAsia" w:ascii="宋体" w:hAnsi="宋体" w:eastAsia="宋体" w:cs="宋体"/>
                <w:color w:val="auto"/>
                <w:highlight w:val="none"/>
                <w:u w:val="none"/>
                <w:lang w:val="en-US" w:eastAsia="zh-CN"/>
              </w:rPr>
              <w:t>第五章“采购内容及要求”中标★项技术参数要求，不得出现负偏离。</w:t>
            </w:r>
            <w:r>
              <w:rPr>
                <w:rFonts w:hint="eastAsia" w:ascii="宋体" w:hAnsi="宋体" w:eastAsia="宋体" w:cs="宋体"/>
                <w:color w:val="auto"/>
                <w:highlight w:val="none"/>
              </w:rPr>
              <w:t>其他技术条款为负偏离</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30</w:t>
            </w:r>
            <w:r>
              <w:rPr>
                <w:rFonts w:hint="eastAsia" w:ascii="宋体" w:hAnsi="宋体" w:eastAsia="宋体" w:cs="宋体"/>
                <w:color w:val="auto"/>
                <w:highlight w:val="none"/>
              </w:rPr>
              <w:t>项</w:t>
            </w:r>
            <w:r>
              <w:rPr>
                <w:rFonts w:hint="eastAsia" w:ascii="宋体" w:hAnsi="宋体" w:eastAsia="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6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2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eastAsia="zh-CN" w:bidi="ar"/>
              </w:rPr>
              <w:t>谈判</w:t>
            </w:r>
            <w:r>
              <w:rPr>
                <w:rFonts w:hint="eastAsia" w:ascii="宋体" w:hAnsi="宋体" w:eastAsia="宋体" w:cs="宋体"/>
                <w:bCs/>
                <w:color w:val="auto"/>
                <w:sz w:val="21"/>
                <w:szCs w:val="21"/>
                <w:highlight w:val="none"/>
                <w:lang w:val="en-US" w:eastAsia="zh-CN" w:bidi="ar"/>
              </w:rPr>
              <w:t>总</w:t>
            </w:r>
            <w:r>
              <w:rPr>
                <w:rFonts w:hint="eastAsia" w:ascii="宋体" w:hAnsi="宋体" w:eastAsia="宋体" w:cs="宋体"/>
                <w:bCs/>
                <w:color w:val="auto"/>
                <w:sz w:val="21"/>
                <w:szCs w:val="21"/>
                <w:highlight w:val="none"/>
                <w:lang w:bidi="ar"/>
              </w:rPr>
              <w:t>报价</w:t>
            </w:r>
          </w:p>
        </w:tc>
        <w:tc>
          <w:tcPr>
            <w:tcW w:w="4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总报价</w:t>
            </w:r>
            <w:r>
              <w:rPr>
                <w:rFonts w:hint="eastAsia" w:ascii="宋体" w:hAnsi="宋体" w:eastAsia="宋体" w:cs="宋体"/>
                <w:color w:val="auto"/>
                <w:sz w:val="21"/>
                <w:szCs w:val="21"/>
                <w:highlight w:val="none"/>
                <w:lang w:val="en-US" w:eastAsia="zh-CN"/>
              </w:rPr>
              <w:t>唯一且</w:t>
            </w:r>
            <w:r>
              <w:rPr>
                <w:rFonts w:hint="eastAsia" w:ascii="宋体" w:hAnsi="宋体" w:eastAsia="宋体" w:cs="宋体"/>
                <w:color w:val="auto"/>
                <w:sz w:val="21"/>
                <w:szCs w:val="21"/>
                <w:highlight w:val="none"/>
              </w:rPr>
              <w:t>未超过最高限价；</w:t>
            </w:r>
          </w:p>
          <w:p>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注：本项目最高限价为人民币</w:t>
            </w:r>
            <w:r>
              <w:rPr>
                <w:rFonts w:hint="eastAsia" w:ascii="宋体" w:hAnsi="宋体" w:cs="宋体"/>
                <w:b/>
                <w:bCs/>
                <w:color w:val="auto"/>
                <w:sz w:val="21"/>
                <w:szCs w:val="21"/>
                <w:highlight w:val="none"/>
                <w:u w:val="none"/>
                <w:lang w:val="en-US" w:eastAsia="zh-CN"/>
              </w:rPr>
              <w:t>壹佰肆拾贰万元整</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zh-CN"/>
              </w:rPr>
              <w:t>1420000.00</w:t>
            </w:r>
            <w:r>
              <w:rPr>
                <w:rFonts w:hint="eastAsia" w:ascii="宋体" w:hAnsi="宋体" w:eastAsia="宋体" w:cs="宋体"/>
                <w:b/>
                <w:bCs/>
                <w:color w:val="auto"/>
                <w:sz w:val="21"/>
                <w:szCs w:val="21"/>
                <w:highlight w:val="none"/>
              </w:rPr>
              <w:t>）。</w:t>
            </w:r>
          </w:p>
        </w:tc>
      </w:tr>
    </w:tbl>
    <w:p>
      <w:pPr>
        <w:keepNext w:val="0"/>
        <w:keepLines w:val="0"/>
        <w:pageBreakBefore w:val="0"/>
        <w:kinsoku/>
        <w:wordWrap/>
        <w:overflowPunct/>
        <w:topLinePunct w:val="0"/>
        <w:bidi w:val="0"/>
        <w:snapToGrid w:val="0"/>
        <w:jc w:val="center"/>
        <w:textAlignment w:val="auto"/>
        <w:rPr>
          <w:rFonts w:hint="eastAsia" w:ascii="宋体" w:hAnsi="宋体" w:eastAsia="宋体" w:cs="宋体"/>
          <w:color w:val="auto"/>
          <w:sz w:val="21"/>
          <w:szCs w:val="21"/>
          <w:highlight w:val="none"/>
          <w:lang w:val="zh-CN"/>
        </w:rPr>
      </w:pPr>
    </w:p>
    <w:p>
      <w:pPr>
        <w:adjustRightInd w:val="0"/>
        <w:snapToGrid w:val="0"/>
        <w:spacing w:line="360" w:lineRule="auto"/>
        <w:rPr>
          <w:rFonts w:hint="eastAsia" w:ascii="宋体" w:hAnsi="宋体" w:eastAsia="宋体" w:cs="宋体"/>
          <w:color w:val="auto"/>
          <w:szCs w:val="21"/>
          <w:highlight w:val="none"/>
        </w:rPr>
      </w:pPr>
      <w:bookmarkStart w:id="25" w:name="_Toc23851"/>
      <w:r>
        <w:rPr>
          <w:rFonts w:hint="eastAsia" w:ascii="宋体" w:hAnsi="宋体" w:eastAsia="宋体" w:cs="宋体"/>
          <w:b/>
          <w:bCs/>
          <w:color w:val="auto"/>
          <w:szCs w:val="21"/>
          <w:highlight w:val="none"/>
        </w:rPr>
        <w:t>1、评审办法</w:t>
      </w:r>
    </w:p>
    <w:p>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本次评审釆用最低价法。评审小组对满足采购文件实质性要求的响应文件，</w:t>
      </w:r>
      <w:r>
        <w:rPr>
          <w:rFonts w:hint="eastAsia" w:ascii="宋体" w:hAnsi="宋体" w:cs="宋体"/>
          <w:color w:val="auto"/>
          <w:sz w:val="21"/>
          <w:szCs w:val="21"/>
          <w:highlight w:val="none"/>
          <w:lang w:val="en-US" w:eastAsia="zh-CN"/>
        </w:rPr>
        <w:t>以</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最终</w:t>
      </w:r>
      <w:r>
        <w:rPr>
          <w:rFonts w:hint="eastAsia" w:ascii="宋体" w:hAnsi="宋体" w:eastAsia="宋体" w:cs="宋体"/>
          <w:color w:val="auto"/>
          <w:sz w:val="21"/>
          <w:szCs w:val="21"/>
          <w:highlight w:val="none"/>
          <w:lang w:val="en-US" w:eastAsia="zh-CN"/>
        </w:rPr>
        <w:t>响应报价的评审价格</w:t>
      </w:r>
      <w:r>
        <w:rPr>
          <w:rFonts w:hint="eastAsia" w:ascii="宋体" w:hAnsi="宋体" w:cs="宋体"/>
          <w:color w:val="auto"/>
          <w:sz w:val="21"/>
          <w:szCs w:val="21"/>
          <w:highlight w:val="none"/>
          <w:lang w:val="en-US" w:eastAsia="zh-CN"/>
        </w:rPr>
        <w:t>为基础</w:t>
      </w:r>
      <w:r>
        <w:rPr>
          <w:rFonts w:hint="eastAsia" w:ascii="宋体" w:hAnsi="宋体" w:eastAsia="宋体" w:cs="宋体"/>
          <w:color w:val="auto"/>
          <w:sz w:val="21"/>
          <w:szCs w:val="21"/>
          <w:highlight w:val="none"/>
          <w:lang w:val="en-US" w:eastAsia="zh-CN"/>
        </w:rPr>
        <w:t>，按照</w:t>
      </w:r>
      <w:r>
        <w:rPr>
          <w:rFonts w:hint="eastAsia" w:ascii="宋体" w:hAnsi="宋体" w:cs="宋体"/>
          <w:color w:val="auto"/>
          <w:sz w:val="21"/>
          <w:szCs w:val="21"/>
          <w:highlight w:val="none"/>
          <w:lang w:val="en-US" w:eastAsia="zh-CN"/>
        </w:rPr>
        <w:t>评审价格</w:t>
      </w:r>
      <w:r>
        <w:rPr>
          <w:rFonts w:hint="eastAsia" w:ascii="宋体" w:hAnsi="宋体" w:eastAsia="宋体" w:cs="宋体"/>
          <w:color w:val="auto"/>
          <w:sz w:val="21"/>
          <w:szCs w:val="21"/>
          <w:highlight w:val="none"/>
          <w:lang w:val="en-US" w:eastAsia="zh-CN"/>
        </w:rPr>
        <w:t>由低到高的顺序推荐候选成交供应商。</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评审标准</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初步评审标准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资格性审查标准：见评审办法前附表。</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符合性审查标准：见评审办法前附表。</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评标程序</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初步评审</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由</w:t>
      </w:r>
      <w:r>
        <w:rPr>
          <w:rFonts w:hint="eastAsia" w:ascii="宋体" w:hAnsi="宋体" w:cs="宋体"/>
          <w:color w:val="auto"/>
          <w:szCs w:val="21"/>
          <w:highlight w:val="none"/>
          <w:lang w:val="en-US" w:eastAsia="zh-CN"/>
        </w:rPr>
        <w:t>谈判小组</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响应文件进行资格性审查，响应文件有一项不符合评审标准的，</w:t>
      </w:r>
      <w:r>
        <w:rPr>
          <w:rFonts w:hint="eastAsia" w:ascii="宋体" w:hAnsi="宋体" w:cs="宋体"/>
          <w:color w:val="auto"/>
          <w:szCs w:val="21"/>
          <w:highlight w:val="none"/>
          <w:lang w:val="en-US" w:eastAsia="zh-CN"/>
        </w:rPr>
        <w:t>谈判小组</w:t>
      </w:r>
      <w:r>
        <w:rPr>
          <w:rFonts w:hint="eastAsia" w:ascii="宋体" w:hAnsi="宋体" w:eastAsia="宋体" w:cs="宋体"/>
          <w:color w:val="auto"/>
          <w:szCs w:val="21"/>
          <w:highlight w:val="none"/>
        </w:rPr>
        <w:t>应当否决其</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响应。未通过资格性审查的供应商不进入下一步评审程序。</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小组对</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响应文件进行符合性审查</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有一项不符合评审标准的，</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小组应当否决其</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响应。未通过符合性审查的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不再进行下一轮报价，按无效响应处理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谈判原则上实行两轮报价。</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响应文件的澄清</w:t>
      </w:r>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3.3.1 在评审过程中，</w:t>
      </w:r>
      <w:r>
        <w:rPr>
          <w:rFonts w:hint="eastAsia" w:ascii="宋体" w:hAnsi="宋体" w:eastAsia="宋体" w:cs="宋体"/>
          <w:color w:val="auto"/>
          <w:szCs w:val="21"/>
          <w:highlight w:val="none"/>
          <w:lang w:eastAsia="zh-CN"/>
        </w:rPr>
        <w:t>响应文件中有含义不明确、同类问题表述不一致或有明显文字和计算错误的内容，评审小组可要求供应商在规定时间内进行澄清、说明和补正。供应商澄清、说明和补正的内容应由法定代表人或其授权的代理人签字或加盖单位章。澄清、说明和补正不得超岀响应文件的范围且不得改变响应文件的实质性内容，并构成响应文件的组成部分。</w:t>
      </w:r>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响应报价有算术错误及其他错误的，评审小组按以下原则要求供应商对响应报价进行修正，并要求供应商书面澄清确认。供应商拒不澄清确认的，其响应文件将被视为无效：</w:t>
      </w:r>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(1)大写金额与小写金额不一致的，以大写金额为准；</w:t>
      </w:r>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(2)总价金额与单价金额不一致的，以单价金额为准，但单价金额小数点有明显错误的除外；</w:t>
      </w:r>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(3)报价表合计报价与分项报价的合计不一致的，以各分项报价的合价累计数为准；</w:t>
      </w:r>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(4)如果分项报价中存在缺漏项，且缺漏项内容不属于实质性偏差的，则视为缺漏项内容的价格已包含在其他分项报价之中。</w:t>
      </w:r>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3.3.2</w:t>
      </w:r>
      <w:r>
        <w:rPr>
          <w:rFonts w:hint="eastAsia" w:ascii="宋体" w:hAnsi="宋体" w:eastAsia="宋体" w:cs="宋体"/>
          <w:color w:val="auto"/>
          <w:szCs w:val="21"/>
          <w:highlight w:val="none"/>
          <w:lang w:eastAsia="zh-CN"/>
        </w:rPr>
        <w:t>供应商有串通、弄虚作假、行贿等违法行为的，其响应文件将被视为无效。</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3.4核心产品品牌相同供应商的推荐方法：</w:t>
      </w:r>
      <w:r>
        <w:rPr>
          <w:rFonts w:hint="eastAsia" w:ascii="宋体" w:hAnsi="宋体" w:cs="宋体"/>
          <w:color w:val="auto"/>
          <w:szCs w:val="21"/>
          <w:highlight w:val="none"/>
        </w:rPr>
        <w:t>如通过初审的有效供应商拟供核心产品的品牌相同，按照《政府采购货物和服务招标投标管理办法》（第87号令）规定，提供相同品牌核心产品且通过资格审查、符合性审查的不同供应商参加同一合同项下谈判的，按一家供应商计算，评审后参评报价最低的同品牌供应商获得成交供应商推荐资格；参评报价相同的，</w:t>
      </w:r>
      <w:r>
        <w:rPr>
          <w:rFonts w:hint="eastAsia" w:ascii="宋体" w:hAnsi="宋体" w:eastAsia="宋体" w:cs="宋体"/>
          <w:b w:val="0"/>
          <w:bCs w:val="0"/>
          <w:color w:val="auto"/>
          <w:highlight w:val="none"/>
          <w:u w:val="none"/>
        </w:rPr>
        <w:t>以核心产品价格</w:t>
      </w:r>
      <w:r>
        <w:rPr>
          <w:rFonts w:hint="eastAsia" w:ascii="宋体" w:hAnsi="宋体" w:cs="宋体"/>
          <w:b w:val="0"/>
          <w:bCs w:val="0"/>
          <w:color w:val="auto"/>
          <w:highlight w:val="none"/>
          <w:u w:val="none"/>
          <w:lang w:val="en-US" w:eastAsia="zh-CN"/>
        </w:rPr>
        <w:t>低的优先</w:t>
      </w:r>
      <w:r>
        <w:rPr>
          <w:rFonts w:hint="eastAsia" w:ascii="宋体" w:hAnsi="宋体" w:eastAsia="宋体" w:cs="宋体"/>
          <w:b w:val="0"/>
          <w:bCs w:val="0"/>
          <w:color w:val="auto"/>
          <w:highlight w:val="none"/>
          <w:u w:val="none"/>
        </w:rPr>
        <w:t>，</w:t>
      </w:r>
      <w:r>
        <w:rPr>
          <w:rFonts w:hint="eastAsia" w:ascii="宋体" w:hAnsi="宋体" w:cs="宋体"/>
          <w:b w:val="0"/>
          <w:bCs w:val="0"/>
          <w:color w:val="auto"/>
          <w:highlight w:val="none"/>
          <w:u w:val="none"/>
          <w:lang w:val="en-US" w:eastAsia="zh-CN"/>
        </w:rPr>
        <w:t>核心产品价格也相同的，按采购清单内产品顺序，直到无报价相同的，以价格低的优先，</w:t>
      </w:r>
      <w:r>
        <w:rPr>
          <w:rFonts w:hint="eastAsia" w:ascii="宋体" w:hAnsi="宋体" w:cs="宋体"/>
          <w:color w:val="auto"/>
          <w:szCs w:val="21"/>
          <w:highlight w:val="none"/>
        </w:rPr>
        <w:t>其他同品牌供应商不作为成交候选人。</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评审结果</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除第二章“供应商须知”前附表授权</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小组直接确定成交供应商外，</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小组按照得分高到低的顺序推荐成交候选供应商。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3.4.2 </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小组完成评审后，应当向采购人提交书面评审报告和成交候选供应商名单。</w:t>
      </w:r>
    </w:p>
    <w:p>
      <w:pPr>
        <w:pStyle w:val="7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其他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评审过程中，若出现特殊情况时，由</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小组决定暂停评审的，应提出具体处理意见。</w:t>
      </w:r>
    </w:p>
    <w:p>
      <w:pPr>
        <w:keepNext w:val="0"/>
        <w:keepLines w:val="0"/>
        <w:pageBreakBefore w:val="0"/>
        <w:kinsoku/>
        <w:wordWrap/>
        <w:overflowPunct/>
        <w:topLinePunct w:val="0"/>
        <w:bidi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结果</w:t>
      </w:r>
    </w:p>
    <w:p>
      <w:pPr>
        <w:keepNext w:val="0"/>
        <w:keepLines w:val="0"/>
        <w:pageBreakBefore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除第二章“供应商须知”前附表授权</w:t>
      </w:r>
      <w:r>
        <w:rPr>
          <w:rFonts w:hint="eastAsia" w:ascii="宋体" w:hAnsi="宋体" w:eastAsia="宋体" w:cs="宋体"/>
          <w:color w:val="auto"/>
          <w:sz w:val="21"/>
          <w:szCs w:val="21"/>
          <w:highlight w:val="none"/>
          <w:lang w:val="en-US" w:eastAsia="zh-CN"/>
        </w:rPr>
        <w:t>谈判小组</w:t>
      </w:r>
      <w:r>
        <w:rPr>
          <w:rFonts w:hint="eastAsia" w:ascii="宋体" w:hAnsi="宋体" w:eastAsia="宋体" w:cs="宋体"/>
          <w:color w:val="auto"/>
          <w:sz w:val="21"/>
          <w:szCs w:val="21"/>
          <w:highlight w:val="none"/>
        </w:rPr>
        <w:t>直接确定</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供应商外，</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按照得分高到低的顺序推荐</w:t>
      </w:r>
      <w:r>
        <w:rPr>
          <w:rFonts w:hint="eastAsia" w:ascii="宋体" w:hAnsi="宋体" w:eastAsia="宋体" w:cs="宋体"/>
          <w:color w:val="auto"/>
          <w:sz w:val="21"/>
          <w:szCs w:val="21"/>
          <w:highlight w:val="none"/>
          <w:lang w:val="en-US" w:eastAsia="zh-CN"/>
        </w:rPr>
        <w:t>成交候选供应商</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后，应当向采购人提交书面</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报告和</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候选供应商</w:t>
      </w:r>
      <w:r>
        <w:rPr>
          <w:rFonts w:hint="eastAsia" w:ascii="宋体" w:hAnsi="宋体" w:eastAsia="宋体" w:cs="宋体"/>
          <w:color w:val="auto"/>
          <w:sz w:val="21"/>
          <w:szCs w:val="21"/>
          <w:highlight w:val="none"/>
          <w:lang w:val="en-US" w:eastAsia="zh-CN"/>
        </w:rPr>
        <w:t>名单</w:t>
      </w:r>
      <w:r>
        <w:rPr>
          <w:rFonts w:hint="eastAsia" w:ascii="宋体" w:hAnsi="宋体" w:eastAsia="宋体" w:cs="宋体"/>
          <w:color w:val="auto"/>
          <w:sz w:val="21"/>
          <w:szCs w:val="21"/>
          <w:highlight w:val="none"/>
        </w:rPr>
        <w:t>。</w:t>
      </w:r>
    </w:p>
    <w:p>
      <w:pPr>
        <w:pStyle w:val="78"/>
        <w:keepNext w:val="0"/>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其他</w:t>
      </w:r>
    </w:p>
    <w:p>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过程中，若出现特殊情况时，由</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决定暂停</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的，应提出具体处理意见。</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.评审结果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.1采购代理机构应在评审结束后2个工作日内，将评审报告送采购人确定成交单位。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.2采购人在收到评审报告后5个工作日内，根据评审报告对评审过程及结果进行严格审核后确定成交供应商，复函采购代理机构。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.3采购代理机构在接到采购人的成交复函后，</w:t>
      </w:r>
      <w:r>
        <w:rPr>
          <w:rFonts w:hint="eastAsia" w:ascii="宋体" w:hAnsi="宋体" w:eastAsia="宋体" w:cs="宋体"/>
          <w:color w:val="auto"/>
          <w:szCs w:val="21"/>
          <w:highlight w:val="none"/>
          <w:lang w:val="en-US" w:eastAsia="zh-CN"/>
        </w:rPr>
        <w:t>以书面形式通知供应商</w:t>
      </w:r>
      <w:r>
        <w:rPr>
          <w:rFonts w:hint="eastAsia" w:ascii="宋体" w:hAnsi="宋体" w:eastAsia="宋体" w:cs="宋体"/>
          <w:color w:val="auto"/>
          <w:szCs w:val="21"/>
          <w:highlight w:val="none"/>
        </w:rPr>
        <w:t>，并向成交供应商发出“成交通知书”。</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lang w:val="en-US" w:eastAsia="zh-CN"/>
        </w:rPr>
        <w:t>4</w:t>
      </w:r>
      <w:r>
        <w:rPr>
          <w:rFonts w:hint="eastAsia" w:ascii="宋体" w:hAnsi="宋体" w:eastAsia="宋体" w:cs="宋体"/>
          <w:b/>
          <w:bCs/>
          <w:color w:val="auto"/>
          <w:sz w:val="21"/>
          <w:szCs w:val="21"/>
          <w:highlight w:val="none"/>
          <w:u w:val="none"/>
        </w:rPr>
        <w:t>．评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办法前附表与评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办法正文及附件规定不一致时，以评</w:t>
      </w:r>
      <w:r>
        <w:rPr>
          <w:rFonts w:hint="eastAsia" w:ascii="宋体" w:hAnsi="宋体" w:eastAsia="宋体" w:cs="宋体"/>
          <w:b/>
          <w:bCs/>
          <w:color w:val="auto"/>
          <w:sz w:val="21"/>
          <w:szCs w:val="21"/>
          <w:highlight w:val="none"/>
          <w:u w:val="none"/>
          <w:lang w:val="en-US" w:eastAsia="zh-CN"/>
        </w:rPr>
        <w:t>审</w:t>
      </w:r>
      <w:r>
        <w:rPr>
          <w:rFonts w:hint="eastAsia" w:ascii="宋体" w:hAnsi="宋体" w:eastAsia="宋体" w:cs="宋体"/>
          <w:b/>
          <w:bCs/>
          <w:color w:val="auto"/>
          <w:sz w:val="21"/>
          <w:szCs w:val="21"/>
          <w:highlight w:val="none"/>
          <w:u w:val="none"/>
        </w:rPr>
        <w:t>办法前附表规定为准。</w:t>
      </w: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numPr>
          <w:ilvl w:val="255"/>
          <w:numId w:val="0"/>
        </w:numPr>
        <w:jc w:val="center"/>
        <w:outlineLvl w:val="0"/>
        <w:rPr>
          <w:rFonts w:hint="eastAsia" w:ascii="宋体" w:hAnsi="宋体" w:eastAsia="宋体" w:cs="宋体"/>
          <w:b/>
          <w:bCs/>
          <w:color w:val="auto"/>
          <w:sz w:val="32"/>
          <w:szCs w:val="32"/>
          <w:highlight w:val="none"/>
          <w:lang w:val="zh-CN"/>
        </w:rPr>
      </w:pPr>
      <w:bookmarkStart w:id="26" w:name="_Toc11585"/>
      <w:bookmarkStart w:id="27" w:name="_Toc27626"/>
      <w:bookmarkStart w:id="28" w:name="_Toc21050"/>
      <w:r>
        <w:rPr>
          <w:rFonts w:hint="eastAsia" w:ascii="宋体" w:hAnsi="宋体" w:eastAsia="宋体" w:cs="宋体"/>
          <w:b/>
          <w:bCs/>
          <w:color w:val="auto"/>
          <w:sz w:val="32"/>
          <w:szCs w:val="32"/>
          <w:highlight w:val="none"/>
        </w:rPr>
        <w:t>第四</w:t>
      </w:r>
      <w:r>
        <w:rPr>
          <w:rFonts w:hint="eastAsia" w:ascii="宋体" w:hAnsi="宋体" w:eastAsia="宋体" w:cs="宋体"/>
          <w:b/>
          <w:bCs/>
          <w:color w:val="auto"/>
          <w:sz w:val="32"/>
          <w:szCs w:val="32"/>
          <w:highlight w:val="none"/>
          <w:lang w:val="en-US" w:eastAsia="zh-CN"/>
        </w:rPr>
        <w:t>章</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合同条款及格式</w:t>
      </w:r>
      <w:bookmarkEnd w:id="25"/>
      <w:bookmarkEnd w:id="26"/>
      <w:bookmarkEnd w:id="27"/>
      <w:bookmarkEnd w:id="28"/>
    </w:p>
    <w:p>
      <w:pPr>
        <w:tabs>
          <w:tab w:val="left" w:pos="5040"/>
        </w:tabs>
        <w:spacing w:line="480" w:lineRule="atLeast"/>
        <w:jc w:val="center"/>
        <w:rPr>
          <w:rFonts w:hint="eastAsia" w:ascii="宋体" w:hAnsi="宋体" w:eastAsia="宋体" w:cs="宋体"/>
          <w:color w:val="auto"/>
          <w:sz w:val="28"/>
          <w:szCs w:val="28"/>
          <w:highlight w:val="none"/>
        </w:rPr>
      </w:pPr>
      <w:bookmarkStart w:id="29" w:name="_Toc26030"/>
      <w:bookmarkStart w:id="30" w:name="_Toc31932"/>
      <w:bookmarkStart w:id="31" w:name="_Toc520468909"/>
      <w:r>
        <w:rPr>
          <w:rFonts w:hint="eastAsia" w:ascii="宋体" w:hAnsi="宋体" w:eastAsia="宋体" w:cs="宋体"/>
          <w:color w:val="auto"/>
          <w:sz w:val="28"/>
          <w:szCs w:val="28"/>
          <w:highlight w:val="none"/>
        </w:rPr>
        <w:t>(最终以甲乙双方实际协商签订协议为准)</w:t>
      </w:r>
    </w:p>
    <w:p>
      <w:pPr>
        <w:rPr>
          <w:rFonts w:hint="eastAsia" w:ascii="宋体" w:hAnsi="宋体" w:eastAsia="宋体" w:cs="宋体"/>
          <w:b/>
          <w:color w:val="auto"/>
          <w:spacing w:val="26"/>
          <w:sz w:val="28"/>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政府采购项目</w:t>
      </w:r>
    </w:p>
    <w:p>
      <w:pP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28"/>
          <w:szCs w:val="28"/>
          <w:highlight w:val="none"/>
        </w:rPr>
      </w:pP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合同编号：</w:t>
      </w:r>
    </w:p>
    <w:p>
      <w:pPr>
        <w:ind w:firstLine="964"/>
        <w:jc w:val="center"/>
        <w:rPr>
          <w:rFonts w:hint="eastAsia" w:ascii="宋体" w:hAnsi="宋体" w:eastAsia="宋体" w:cs="宋体"/>
          <w:b/>
          <w:snapToGrid w:val="0"/>
          <w:color w:val="auto"/>
          <w:sz w:val="48"/>
          <w:szCs w:val="48"/>
          <w:highlight w:val="none"/>
        </w:rPr>
      </w:pPr>
    </w:p>
    <w:p>
      <w:pPr>
        <w:pStyle w:val="28"/>
        <w:rPr>
          <w:rFonts w:hint="eastAsia" w:ascii="宋体" w:hAnsi="宋体" w:eastAsia="宋体" w:cs="宋体"/>
          <w:color w:val="auto"/>
          <w:highlight w:val="none"/>
        </w:rPr>
      </w:pPr>
    </w:p>
    <w:p>
      <w:pPr>
        <w:tabs>
          <w:tab w:val="left" w:pos="5670"/>
        </w:tabs>
        <w:autoSpaceDE w:val="0"/>
        <w:autoSpaceDN w:val="0"/>
        <w:adjustRightInd w:val="0"/>
        <w:snapToGrid w:val="0"/>
        <w:spacing w:line="480" w:lineRule="auto"/>
        <w:jc w:val="center"/>
        <w:rPr>
          <w:rFonts w:hint="eastAsia" w:ascii="宋体" w:hAnsi="宋体" w:eastAsia="宋体" w:cs="宋体"/>
          <w:b/>
          <w:bCs/>
          <w:color w:val="auto"/>
          <w:sz w:val="40"/>
          <w:szCs w:val="40"/>
          <w:highlight w:val="none"/>
          <w:u w:val="single"/>
          <w:lang w:val="zh-CN" w:eastAsia="zh-CN"/>
        </w:rPr>
      </w:pPr>
      <w:r>
        <w:rPr>
          <w:rFonts w:hint="eastAsia" w:ascii="宋体" w:hAnsi="宋体" w:cs="宋体"/>
          <w:b/>
          <w:bCs/>
          <w:color w:val="auto"/>
          <w:sz w:val="48"/>
          <w:szCs w:val="48"/>
          <w:highlight w:val="none"/>
          <w:u w:val="none"/>
          <w:lang w:val="zh-CN" w:eastAsia="zh-CN"/>
        </w:rPr>
        <w:t>2026年眉县公安局智慧档案室建设</w:t>
      </w:r>
    </w:p>
    <w:p>
      <w:pPr>
        <w:pStyle w:val="78"/>
        <w:rPr>
          <w:rFonts w:hint="eastAsia" w:ascii="宋体" w:hAnsi="宋体" w:eastAsia="宋体" w:cs="宋体"/>
          <w:b/>
          <w:snapToGrid w:val="0"/>
          <w:color w:val="auto"/>
          <w:sz w:val="48"/>
          <w:szCs w:val="48"/>
          <w:highlight w:val="none"/>
        </w:rPr>
      </w:pPr>
    </w:p>
    <w:p>
      <w:pPr>
        <w:pStyle w:val="78"/>
        <w:rPr>
          <w:rFonts w:hint="eastAsia" w:ascii="宋体" w:hAnsi="宋体" w:eastAsia="宋体" w:cs="宋体"/>
          <w:b/>
          <w:snapToGrid w:val="0"/>
          <w:color w:val="auto"/>
          <w:sz w:val="48"/>
          <w:szCs w:val="48"/>
          <w:highlight w:val="none"/>
        </w:rPr>
      </w:pPr>
    </w:p>
    <w:p>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合 同</w:t>
      </w:r>
    </w:p>
    <w:p>
      <w:pPr>
        <w:ind w:firstLine="600"/>
        <w:jc w:val="center"/>
        <w:rPr>
          <w:rFonts w:hint="eastAsia" w:ascii="宋体" w:hAnsi="宋体" w:eastAsia="宋体" w:cs="宋体"/>
          <w:color w:val="auto"/>
          <w:sz w:val="30"/>
          <w:szCs w:val="30"/>
          <w:highlight w:val="none"/>
        </w:rPr>
      </w:pPr>
    </w:p>
    <w:p>
      <w:pPr>
        <w:pStyle w:val="19"/>
        <w:rPr>
          <w:rFonts w:hint="eastAsia" w:ascii="宋体" w:hAnsi="宋体" w:eastAsia="宋体" w:cs="宋体"/>
          <w:color w:val="auto"/>
          <w:sz w:val="30"/>
          <w:szCs w:val="30"/>
          <w:highlight w:val="none"/>
        </w:rPr>
      </w:pPr>
    </w:p>
    <w:p>
      <w:pPr>
        <w:pStyle w:val="19"/>
        <w:rPr>
          <w:rFonts w:hint="eastAsia" w:ascii="宋体" w:hAnsi="宋体" w:eastAsia="宋体" w:cs="宋体"/>
          <w:color w:val="auto"/>
          <w:sz w:val="30"/>
          <w:szCs w:val="30"/>
          <w:highlight w:val="none"/>
        </w:rPr>
      </w:pPr>
    </w:p>
    <w:p>
      <w:pPr>
        <w:pStyle w:val="19"/>
        <w:rPr>
          <w:rFonts w:hint="eastAsia" w:ascii="宋体" w:hAnsi="宋体" w:eastAsia="宋体" w:cs="宋体"/>
          <w:color w:val="auto"/>
          <w:sz w:val="30"/>
          <w:szCs w:val="30"/>
          <w:highlight w:val="none"/>
        </w:rPr>
      </w:pPr>
    </w:p>
    <w:p>
      <w:pPr>
        <w:pStyle w:val="19"/>
        <w:rPr>
          <w:rFonts w:hint="eastAsia" w:ascii="宋体" w:hAnsi="宋体" w:eastAsia="宋体" w:cs="宋体"/>
          <w:color w:val="auto"/>
          <w:sz w:val="30"/>
          <w:szCs w:val="30"/>
          <w:highlight w:val="none"/>
        </w:rPr>
      </w:pPr>
    </w:p>
    <w:p>
      <w:pPr>
        <w:pStyle w:val="19"/>
        <w:rPr>
          <w:rFonts w:hint="eastAsia" w:ascii="宋体" w:hAnsi="宋体" w:eastAsia="宋体" w:cs="宋体"/>
          <w:color w:val="auto"/>
          <w:sz w:val="30"/>
          <w:szCs w:val="30"/>
          <w:highlight w:val="none"/>
        </w:rPr>
      </w:pPr>
    </w:p>
    <w:p>
      <w:pPr>
        <w:pStyle w:val="19"/>
        <w:rPr>
          <w:rFonts w:hint="eastAsia" w:ascii="宋体" w:hAnsi="宋体" w:eastAsia="宋体" w:cs="宋体"/>
          <w:color w:val="auto"/>
          <w:sz w:val="30"/>
          <w:szCs w:val="30"/>
          <w:highlight w:val="none"/>
        </w:rPr>
      </w:pPr>
    </w:p>
    <w:p>
      <w:pPr>
        <w:ind w:firstLine="960" w:firstLineChars="3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甲  方： </w:t>
      </w:r>
    </w:p>
    <w:p>
      <w:pPr>
        <w:tabs>
          <w:tab w:val="left" w:pos="480"/>
        </w:tabs>
        <w:ind w:firstLine="960" w:firstLineChars="3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乙  方：</w:t>
      </w: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w:t>
      </w:r>
    </w:p>
    <w:p>
      <w:pPr>
        <w:adjustRightInd w:val="0"/>
        <w:snapToGrid w:val="0"/>
        <w:spacing w:line="360" w:lineRule="auto"/>
        <w:jc w:val="center"/>
        <w:rPr>
          <w:rFonts w:hint="eastAsia" w:ascii="宋体" w:hAnsi="宋体" w:eastAsia="宋体" w:cs="宋体"/>
          <w:b/>
          <w:bCs/>
          <w:color w:val="auto"/>
          <w:highlight w:val="none"/>
        </w:rPr>
      </w:pPr>
      <w:bookmarkStart w:id="32" w:name="_Hlk121769220"/>
    </w:p>
    <w:p>
      <w:pPr>
        <w:spacing w:line="336" w:lineRule="auto"/>
        <w:rPr>
          <w:rFonts w:hint="eastAsia" w:ascii="宋体" w:hAnsi="宋体" w:eastAsia="宋体" w:cs="宋体"/>
          <w:b/>
          <w:color w:val="auto"/>
          <w:highlight w:val="none"/>
        </w:rPr>
      </w:pPr>
      <w:r>
        <w:rPr>
          <w:rFonts w:hint="eastAsia" w:ascii="宋体" w:hAnsi="宋体" w:eastAsia="宋体" w:cs="宋体"/>
          <w:b/>
          <w:bCs/>
          <w:color w:val="auto"/>
          <w:highlight w:val="none"/>
        </w:rPr>
        <w:br w:type="page"/>
      </w:r>
      <w:bookmarkEnd w:id="32"/>
    </w:p>
    <w:p>
      <w:pPr>
        <w:keepNext w:val="0"/>
        <w:keepLines w:val="0"/>
        <w:pageBreakBefore w:val="0"/>
        <w:widowControl w:val="0"/>
        <w:tabs>
          <w:tab w:val="left" w:pos="5040"/>
        </w:tabs>
        <w:kinsoku/>
        <w:wordWrap/>
        <w:overflowPunct w:val="0"/>
        <w:topLinePunct/>
        <w:autoSpaceDE/>
        <w:autoSpaceDN/>
        <w:bidi w:val="0"/>
        <w:snapToGrid w:val="0"/>
        <w:spacing w:line="360" w:lineRule="auto"/>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甲方：</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lang w:val="zh-CN"/>
        </w:rPr>
        <w:t>（采购人）</w:t>
      </w:r>
    </w:p>
    <w:p>
      <w:pPr>
        <w:keepNext w:val="0"/>
        <w:keepLines w:val="0"/>
        <w:pageBreakBefore w:val="0"/>
        <w:widowControl w:val="0"/>
        <w:kinsoku/>
        <w:wordWrap/>
        <w:overflowPunct w:val="0"/>
        <w:topLinePunct/>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乙方：</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lang w:val="zh-CN"/>
        </w:rPr>
        <w:t>供应商名称）</w:t>
      </w:r>
    </w:p>
    <w:p>
      <w:pPr>
        <w:keepNext w:val="0"/>
        <w:keepLines w:val="0"/>
        <w:pageBreakBefore w:val="0"/>
        <w:widowControl w:val="0"/>
        <w:kinsoku/>
        <w:wordWrap/>
        <w:overflowPunct w:val="0"/>
        <w:topLinePunct/>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1、签订合同应遵守《中华人民共和国政府采购法》、《</w:t>
      </w:r>
      <w:r>
        <w:rPr>
          <w:rFonts w:hint="eastAsia" w:ascii="宋体" w:hAnsi="宋体" w:eastAsia="宋体" w:cs="宋体"/>
          <w:color w:val="auto"/>
          <w:sz w:val="21"/>
          <w:szCs w:val="21"/>
          <w:highlight w:val="none"/>
          <w:lang w:val="en-US" w:eastAsia="zh-CN"/>
        </w:rPr>
        <w:t>中华人民共和国</w:t>
      </w:r>
      <w:r>
        <w:rPr>
          <w:rFonts w:hint="eastAsia" w:ascii="宋体" w:hAnsi="宋体" w:eastAsia="宋体" w:cs="宋体"/>
          <w:color w:val="auto"/>
          <w:sz w:val="21"/>
          <w:szCs w:val="21"/>
          <w:highlight w:val="none"/>
        </w:rPr>
        <w:t>民法典》。</w:t>
      </w:r>
    </w:p>
    <w:p>
      <w:pPr>
        <w:keepNext w:val="0"/>
        <w:keepLines w:val="0"/>
        <w:pageBreakBefore w:val="0"/>
        <w:widowControl w:val="0"/>
        <w:kinsoku/>
        <w:wordWrap/>
        <w:overflowPunct w:val="0"/>
        <w:topLinePunct/>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2、签订合同时，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应结合</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规定填列相应内容。</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已有规定的，双方均不得变更或调整；</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未作规定的，双方可通过友好协商进行约定。</w:t>
      </w:r>
    </w:p>
    <w:p>
      <w:pPr>
        <w:keepNext w:val="0"/>
        <w:keepLines w:val="0"/>
        <w:pageBreakBefore w:val="0"/>
        <w:widowControl w:val="0"/>
        <w:kinsoku/>
        <w:wordWrap/>
        <w:overflowPunct w:val="0"/>
        <w:topLinePunct/>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3、本合同仅为参考，经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协商一致确定合同文本。</w:t>
      </w:r>
    </w:p>
    <w:p>
      <w:pPr>
        <w:pStyle w:val="25"/>
        <w:keepNext w:val="0"/>
        <w:keepLines w:val="0"/>
        <w:pageBreakBefore w:val="0"/>
        <w:widowControl w:val="0"/>
        <w:shd w:val="clear" w:color="auto" w:fill="auto"/>
        <w:kinsoku/>
        <w:wordWrap/>
        <w:overflowPunct w:val="0"/>
        <w:topLinePunct/>
        <w:autoSpaceDE/>
        <w:autoSpaceDN/>
        <w:bidi w:val="0"/>
        <w:adjustRightInd/>
        <w:snapToGrid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采购人</w:t>
      </w:r>
      <w:r>
        <w:rPr>
          <w:rFonts w:hint="eastAsia" w:ascii="宋体" w:hAnsi="宋体" w:eastAsia="宋体" w:cs="宋体"/>
          <w:color w:val="auto"/>
          <w:sz w:val="21"/>
          <w:szCs w:val="21"/>
          <w:highlight w:val="none"/>
          <w:u w:val="single"/>
        </w:rPr>
        <w:t>全称）</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成交供应商</w:t>
      </w:r>
      <w:r>
        <w:rPr>
          <w:rFonts w:hint="eastAsia" w:ascii="宋体" w:hAnsi="宋体" w:eastAsia="宋体" w:cs="宋体"/>
          <w:color w:val="auto"/>
          <w:sz w:val="21"/>
          <w:szCs w:val="21"/>
          <w:highlight w:val="none"/>
          <w:u w:val="single"/>
        </w:rPr>
        <w:t>全称）</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根据招标编号为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（填写“项目名称”）</w:t>
      </w:r>
      <w:r>
        <w:rPr>
          <w:rFonts w:hint="eastAsia" w:ascii="宋体" w:hAnsi="宋体" w:eastAsia="宋体" w:cs="宋体"/>
          <w:color w:val="auto"/>
          <w:sz w:val="21"/>
          <w:szCs w:val="21"/>
          <w:highlight w:val="none"/>
        </w:rPr>
        <w:t>项目（以下简称：“本项目”）的招标结果，乙方为</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。现经甲乙双方友好协商，就以下事项达成一致并签订本合同：</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1、下列合同文件是构成本合同不可分割的部分：</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1.1合同条款；</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、乙方的</w:t>
      </w:r>
      <w:r>
        <w:rPr>
          <w:rFonts w:hint="eastAsia" w:ascii="宋体" w:hAnsi="宋体" w:eastAsia="宋体" w:cs="宋体"/>
          <w:color w:val="auto"/>
          <w:sz w:val="21"/>
          <w:szCs w:val="21"/>
          <w:highlight w:val="none"/>
          <w:lang w:eastAsia="zh-CN"/>
        </w:rPr>
        <w:t>谈判响应文件</w:t>
      </w:r>
      <w:r>
        <w:rPr>
          <w:rFonts w:hint="eastAsia" w:ascii="宋体" w:hAnsi="宋体" w:eastAsia="宋体" w:cs="宋体"/>
          <w:color w:val="auto"/>
          <w:sz w:val="21"/>
          <w:szCs w:val="21"/>
          <w:highlight w:val="none"/>
        </w:rPr>
        <w:t>；</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1.3其他文件或材料：□无。□</w:t>
      </w:r>
      <w:r>
        <w:rPr>
          <w:rFonts w:hint="eastAsia" w:ascii="宋体" w:hAnsi="宋体" w:eastAsia="宋体" w:cs="宋体"/>
          <w:color w:val="auto"/>
          <w:sz w:val="21"/>
          <w:szCs w:val="21"/>
          <w:highlight w:val="none"/>
          <w:u w:val="single"/>
        </w:rPr>
        <w:t>（按照实际情况编制填写需要增加的内容）</w:t>
      </w:r>
      <w:r>
        <w:rPr>
          <w:rFonts w:hint="eastAsia" w:ascii="宋体" w:hAnsi="宋体" w:eastAsia="宋体" w:cs="宋体"/>
          <w:color w:val="auto"/>
          <w:sz w:val="21"/>
          <w:szCs w:val="21"/>
          <w:highlight w:val="none"/>
        </w:rPr>
        <w:t>。</w:t>
      </w:r>
    </w:p>
    <w:p>
      <w:pPr>
        <w:pStyle w:val="25"/>
        <w:keepNext w:val="0"/>
        <w:keepLines w:val="0"/>
        <w:pageBreakBefore w:val="0"/>
        <w:widowControl w:val="0"/>
        <w:numPr>
          <w:ilvl w:val="0"/>
          <w:numId w:val="0"/>
        </w:numPr>
        <w:kinsoku/>
        <w:wordWrap/>
        <w:overflowPunct w:val="0"/>
        <w:topLinePunct/>
        <w:autoSpaceDE/>
        <w:autoSpaceDN/>
        <w:bidi w:val="0"/>
        <w:adjustRightInd/>
        <w:snapToGrid w:val="0"/>
        <w:spacing w:beforeAutospacing="0" w:afterAutospacing="0" w:line="360" w:lineRule="auto"/>
        <w:ind w:firstLine="48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SA"/>
        </w:rPr>
        <w:t>2、</w:t>
      </w:r>
      <w:r>
        <w:rPr>
          <w:rFonts w:hint="eastAsia" w:ascii="宋体" w:hAnsi="宋体" w:eastAsia="宋体" w:cs="宋体"/>
          <w:b/>
          <w:bCs/>
          <w:color w:val="auto"/>
          <w:sz w:val="21"/>
          <w:szCs w:val="21"/>
          <w:highlight w:val="none"/>
        </w:rPr>
        <w:t>合同标的</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cs="宋体"/>
          <w:color w:val="auto"/>
          <w:sz w:val="21"/>
          <w:szCs w:val="21"/>
          <w:highlight w:val="none"/>
          <w:lang w:val="en-US" w:eastAsia="zh-CN"/>
        </w:rPr>
        <w:t>第一部分</w:t>
      </w:r>
    </w:p>
    <w:tbl>
      <w:tblPr>
        <w:tblStyle w:val="30"/>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41"/>
        <w:gridCol w:w="1142"/>
        <w:gridCol w:w="1805"/>
        <w:gridCol w:w="1164"/>
        <w:gridCol w:w="690"/>
        <w:gridCol w:w="1050"/>
        <w:gridCol w:w="810"/>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57"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1"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w:t>
            </w:r>
            <w:r>
              <w:rPr>
                <w:rFonts w:hint="eastAsia" w:ascii="宋体" w:hAnsi="宋体" w:eastAsia="宋体" w:cs="宋体"/>
                <w:color w:val="auto"/>
                <w:sz w:val="21"/>
                <w:szCs w:val="21"/>
                <w:highlight w:val="none"/>
                <w:lang w:val="en-US" w:eastAsia="zh-CN"/>
              </w:rPr>
              <w:t>名称</w:t>
            </w:r>
          </w:p>
        </w:tc>
        <w:tc>
          <w:tcPr>
            <w:tcW w:w="1142"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805"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164"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生产厂商</w:t>
            </w:r>
          </w:p>
        </w:tc>
        <w:tc>
          <w:tcPr>
            <w:tcW w:w="690"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数量</w:t>
            </w:r>
          </w:p>
        </w:tc>
        <w:tc>
          <w:tcPr>
            <w:tcW w:w="1050"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810"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小计</w:t>
            </w:r>
            <w:r>
              <w:rPr>
                <w:rFonts w:hint="eastAsia" w:ascii="宋体" w:hAnsi="宋体" w:eastAsia="宋体" w:cs="宋体"/>
                <w:color w:val="auto"/>
                <w:sz w:val="21"/>
                <w:szCs w:val="21"/>
                <w:highlight w:val="none"/>
              </w:rPr>
              <w:t>（元）</w:t>
            </w:r>
          </w:p>
        </w:tc>
        <w:tc>
          <w:tcPr>
            <w:tcW w:w="898"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57"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41"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142"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805"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164"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69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05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81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898"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57"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41"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142"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805"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164"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69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05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81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898"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57"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41"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142"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805"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164"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69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05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81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898"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57"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合计</w:t>
            </w:r>
          </w:p>
        </w:tc>
        <w:tc>
          <w:tcPr>
            <w:tcW w:w="8800" w:type="dxa"/>
            <w:gridSpan w:val="8"/>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8800" w:type="dxa"/>
            <w:gridSpan w:val="8"/>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保留小数点后两位</w:t>
            </w:r>
            <w:r>
              <w:rPr>
                <w:rFonts w:hint="eastAsia" w:ascii="宋体" w:hAnsi="宋体" w:eastAsia="宋体" w:cs="宋体"/>
                <w:color w:val="auto"/>
                <w:sz w:val="21"/>
                <w:szCs w:val="21"/>
                <w:highlight w:val="none"/>
                <w:lang w:eastAsia="zh-CN"/>
              </w:rPr>
              <w:t>。</w:t>
            </w:r>
          </w:p>
        </w:tc>
      </w:tr>
    </w:tbl>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cs="宋体"/>
          <w:color w:val="auto"/>
          <w:sz w:val="21"/>
          <w:szCs w:val="21"/>
          <w:highlight w:val="none"/>
          <w:lang w:val="en-US" w:eastAsia="zh-CN"/>
        </w:rPr>
        <w:t>第二部分</w:t>
      </w:r>
    </w:p>
    <w:tbl>
      <w:tblPr>
        <w:tblStyle w:val="30"/>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41"/>
        <w:gridCol w:w="1500"/>
        <w:gridCol w:w="3161"/>
        <w:gridCol w:w="1470"/>
        <w:gridCol w:w="1425"/>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764" w:hRule="atLeast"/>
          <w:jc w:val="center"/>
        </w:trPr>
        <w:tc>
          <w:tcPr>
            <w:tcW w:w="757"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41"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p>
        </w:tc>
        <w:tc>
          <w:tcPr>
            <w:tcW w:w="1500"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3161"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470"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小计</w:t>
            </w:r>
            <w:r>
              <w:rPr>
                <w:rFonts w:hint="eastAsia" w:ascii="宋体" w:hAnsi="宋体" w:eastAsia="宋体" w:cs="宋体"/>
                <w:color w:val="auto"/>
                <w:sz w:val="21"/>
                <w:szCs w:val="21"/>
                <w:highlight w:val="none"/>
              </w:rPr>
              <w:t>（元）</w:t>
            </w:r>
          </w:p>
        </w:tc>
        <w:tc>
          <w:tcPr>
            <w:tcW w:w="1425"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52" w:hRule="atLeast"/>
          <w:jc w:val="center"/>
        </w:trPr>
        <w:tc>
          <w:tcPr>
            <w:tcW w:w="757"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41"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50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3161"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47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425"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37" w:hRule="atLeast"/>
          <w:jc w:val="center"/>
        </w:trPr>
        <w:tc>
          <w:tcPr>
            <w:tcW w:w="757"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41"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50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3161"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47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425"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67" w:hRule="atLeast"/>
          <w:jc w:val="center"/>
        </w:trPr>
        <w:tc>
          <w:tcPr>
            <w:tcW w:w="757"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41"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50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3161"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470"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c>
          <w:tcPr>
            <w:tcW w:w="1425" w:type="dxa"/>
            <w:noWrap w:val="0"/>
            <w:vAlign w:val="top"/>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57"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合计</w:t>
            </w:r>
          </w:p>
        </w:tc>
        <w:tc>
          <w:tcPr>
            <w:tcW w:w="8800" w:type="dxa"/>
            <w:gridSpan w:val="6"/>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8800" w:type="dxa"/>
            <w:gridSpan w:val="6"/>
            <w:noWrap w:val="0"/>
            <w:vAlign w:val="center"/>
          </w:tcPr>
          <w:p>
            <w:pPr>
              <w:keepNext w:val="0"/>
              <w:keepLines w:val="0"/>
              <w:pageBreakBefore w:val="0"/>
              <w:widowControl w:val="0"/>
              <w:suppressLineNumbers w:val="0"/>
              <w:kinsoku/>
              <w:wordWrap/>
              <w:overflowPunct w:val="0"/>
              <w:topLinePunct/>
              <w:autoSpaceDE/>
              <w:autoSpaceDN/>
              <w:bidi w:val="0"/>
              <w:snapToGrid w:val="0"/>
              <w:spacing w:beforeAutospacing="0" w:afterAutospacing="0" w:line="360" w:lineRule="auto"/>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保留小数点后两位</w:t>
            </w:r>
            <w:r>
              <w:rPr>
                <w:rFonts w:hint="eastAsia" w:ascii="宋体" w:hAnsi="宋体" w:eastAsia="宋体" w:cs="宋体"/>
                <w:color w:val="auto"/>
                <w:sz w:val="21"/>
                <w:szCs w:val="21"/>
                <w:highlight w:val="none"/>
                <w:lang w:eastAsia="zh-CN"/>
              </w:rPr>
              <w:t>。</w:t>
            </w:r>
          </w:p>
        </w:tc>
      </w:tr>
    </w:tbl>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color w:val="auto"/>
          <w:sz w:val="21"/>
          <w:szCs w:val="21"/>
          <w:highlight w:val="none"/>
          <w:lang w:val="en-US" w:eastAsia="zh-CN"/>
        </w:rPr>
      </w:pP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负责按以上确定的产品规格、型号及配套内容进行供货，及时运到甲方指定交货地点安装调试，确保所有产品达到最佳运行状态，负责对甲方操作、维护人员进行培训，指导操作、使用和维修保养，做好售后服务工作。</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3、合同价款及付款方式</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合同总价：人民币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元（¥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合同价格包括：完成本项目所涉及的：设计费、施工费、产品供应费、产品的包装、运输、装卸、安装、保险、培训、质保及售后服务、</w:t>
      </w:r>
      <w:r>
        <w:rPr>
          <w:rFonts w:hint="eastAsia" w:ascii="宋体" w:hAnsi="宋体" w:cs="宋体"/>
          <w:color w:val="auto"/>
          <w:sz w:val="21"/>
          <w:szCs w:val="21"/>
          <w:highlight w:val="none"/>
          <w:lang w:eastAsia="zh-CN"/>
        </w:rPr>
        <w:t>验收、管理费、</w:t>
      </w:r>
      <w:r>
        <w:rPr>
          <w:rFonts w:hint="eastAsia" w:ascii="宋体" w:hAnsi="宋体" w:eastAsia="宋体" w:cs="宋体"/>
          <w:color w:val="auto"/>
          <w:sz w:val="21"/>
          <w:szCs w:val="21"/>
          <w:highlight w:val="none"/>
        </w:rPr>
        <w:t>税金以及法律法规、合同和谈判文件等规定的一切相关的所有费用。</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为固定总价合同</w:t>
      </w:r>
      <w:r>
        <w:rPr>
          <w:rFonts w:hint="eastAsia" w:ascii="宋体" w:hAnsi="宋体" w:eastAsia="宋体" w:cs="宋体"/>
          <w:color w:val="auto"/>
          <w:sz w:val="21"/>
          <w:szCs w:val="21"/>
          <w:highlight w:val="none"/>
        </w:rPr>
        <w:t>，不受市场价变化的影响。</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Hans"/>
        </w:rPr>
        <w:t>付款方式：</w:t>
      </w:r>
      <w:r>
        <w:rPr>
          <w:rFonts w:hint="eastAsia" w:ascii="宋体" w:hAnsi="宋体" w:cs="宋体"/>
          <w:color w:val="auto"/>
          <w:sz w:val="21"/>
          <w:szCs w:val="21"/>
          <w:highlight w:val="none"/>
          <w:u w:val="single"/>
          <w:lang w:val="en-US" w:eastAsia="zh-CN"/>
        </w:rPr>
        <w:t>（1）合同签订生效后3个工作日内支付合同总价款的30%；</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u w:val="single"/>
          <w:lang w:val="en-US" w:eastAsia="zh-CN"/>
        </w:rPr>
        <w:t>（2）货物到达甲方指定场地后3个工作日内支付合同总价款的30%；</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i w:val="0"/>
          <w:iCs w:val="0"/>
          <w:color w:val="auto"/>
          <w:sz w:val="21"/>
          <w:szCs w:val="21"/>
          <w:highlight w:val="none"/>
          <w:u w:val="single"/>
          <w:lang w:eastAsia="zh-CN"/>
        </w:rPr>
      </w:pPr>
      <w:r>
        <w:rPr>
          <w:rFonts w:hint="eastAsia" w:ascii="宋体" w:hAnsi="宋体" w:cs="宋体"/>
          <w:color w:val="auto"/>
          <w:sz w:val="21"/>
          <w:szCs w:val="21"/>
          <w:highlight w:val="none"/>
          <w:u w:val="single"/>
          <w:lang w:val="en-US" w:eastAsia="zh-CN"/>
        </w:rPr>
        <w:t>（3）项目验收合格后3个工作日内支付合同剩余总价款的40%</w:t>
      </w:r>
      <w:r>
        <w:rPr>
          <w:rFonts w:hint="eastAsia" w:ascii="宋体" w:hAnsi="宋体" w:eastAsia="宋体" w:cs="宋体"/>
          <w:i w:val="0"/>
          <w:iCs w:val="0"/>
          <w:color w:val="auto"/>
          <w:sz w:val="21"/>
          <w:szCs w:val="21"/>
          <w:highlight w:val="none"/>
          <w:u w:val="single"/>
          <w:lang w:val="en-US" w:eastAsia="zh-CN"/>
        </w:rPr>
        <w:t>。</w:t>
      </w:r>
    </w:p>
    <w:p>
      <w:pPr>
        <w:keepNext w:val="0"/>
        <w:keepLines w:val="0"/>
        <w:pageBreakBefore w:val="0"/>
        <w:widowControl w:val="0"/>
        <w:kinsoku/>
        <w:wordWrap/>
        <w:overflowPunct w:val="0"/>
        <w:topLinePunct/>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rPr>
        <w:t>结算方式：银行转账。</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结算单位：由采购人负责结算，乙方开具合同总</w:t>
      </w:r>
      <w:r>
        <w:rPr>
          <w:rFonts w:hint="eastAsia" w:ascii="宋体" w:hAnsi="宋体" w:eastAsia="宋体" w:cs="宋体"/>
          <w:color w:val="auto"/>
          <w:sz w:val="21"/>
          <w:szCs w:val="21"/>
          <w:highlight w:val="none"/>
          <w:lang w:val="en-US" w:eastAsia="zh-CN"/>
        </w:rPr>
        <w:t>价款</w:t>
      </w:r>
      <w:r>
        <w:rPr>
          <w:rFonts w:hint="eastAsia" w:ascii="宋体" w:hAnsi="宋体" w:eastAsia="宋体" w:cs="宋体"/>
          <w:color w:val="auto"/>
          <w:sz w:val="21"/>
          <w:szCs w:val="21"/>
          <w:highlight w:val="none"/>
        </w:rPr>
        <w:t>的全额发票（增值税发票）交甲方。</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交付</w:t>
      </w:r>
      <w:r>
        <w:rPr>
          <w:rFonts w:hint="eastAsia" w:ascii="宋体" w:hAnsi="宋体" w:eastAsia="宋体" w:cs="宋体"/>
          <w:b/>
          <w:bCs/>
          <w:color w:val="auto"/>
          <w:sz w:val="21"/>
          <w:szCs w:val="21"/>
          <w:highlight w:val="none"/>
          <w:lang w:val="en-US" w:eastAsia="zh-CN"/>
        </w:rPr>
        <w:t>条件</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lang w:val="en-US" w:eastAsia="zh-CN"/>
        </w:rPr>
        <w:t>4.1实施</w:t>
      </w:r>
      <w:r>
        <w:rPr>
          <w:rFonts w:hint="eastAsia" w:ascii="宋体" w:hAnsi="宋体" w:eastAsia="宋体" w:cs="宋体"/>
          <w:color w:val="auto"/>
          <w:sz w:val="21"/>
          <w:szCs w:val="21"/>
          <w:highlight w:val="none"/>
          <w:lang w:val="en-US" w:eastAsia="zh-CN"/>
        </w:rPr>
        <w:t>地点：</w:t>
      </w:r>
      <w:r>
        <w:rPr>
          <w:rFonts w:hint="eastAsia" w:ascii="宋体" w:hAnsi="宋体" w:cs="宋体"/>
          <w:color w:val="auto"/>
          <w:sz w:val="21"/>
          <w:szCs w:val="21"/>
          <w:highlight w:val="none"/>
          <w:u w:val="single"/>
          <w:lang w:val="en-US" w:eastAsia="zh-CN"/>
        </w:rPr>
        <w:t xml:space="preserve"> 眉县公安局</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4.2合同履约期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4.3</w:t>
      </w:r>
      <w:r>
        <w:rPr>
          <w:rFonts w:hint="eastAsia" w:ascii="宋体" w:hAnsi="宋体" w:eastAsia="宋体" w:cs="宋体"/>
          <w:color w:val="auto"/>
          <w:sz w:val="21"/>
          <w:szCs w:val="21"/>
          <w:highlight w:val="none"/>
          <w:lang w:val="en-US" w:eastAsia="zh-CN"/>
        </w:rPr>
        <w:t>交付条件</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（1）乙方提供货物必须是原厂制造，符合</w:t>
      </w:r>
      <w:r>
        <w:rPr>
          <w:rFonts w:hint="eastAsia" w:ascii="宋体" w:hAnsi="宋体" w:cs="宋体"/>
          <w:color w:val="auto"/>
          <w:sz w:val="21"/>
          <w:szCs w:val="21"/>
          <w:highlight w:val="none"/>
          <w:lang w:val="en-US" w:eastAsia="zh-CN"/>
        </w:rPr>
        <w:t>谈判文件及谈判响应</w:t>
      </w:r>
      <w:r>
        <w:rPr>
          <w:rFonts w:hint="eastAsia" w:ascii="宋体" w:hAnsi="宋体" w:eastAsia="宋体" w:cs="宋体"/>
          <w:color w:val="auto"/>
          <w:sz w:val="21"/>
          <w:szCs w:val="21"/>
          <w:highlight w:val="none"/>
          <w:lang w:val="en-US" w:eastAsia="zh-CN"/>
        </w:rPr>
        <w:t>文件约定的产品。</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（2）所供货物必须是经过办理正常手续的全新产品。</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（3）所供货物是经过国家法定检验、注册、准许市场销售的合法产品。</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（4）货物性能稳定、具有较好的使用效果，质量保证措施完善，符合国家相关标准。</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（5）货物的质保期严格按</w:t>
      </w:r>
      <w:r>
        <w:rPr>
          <w:rFonts w:hint="eastAsia" w:ascii="宋体" w:hAnsi="宋体" w:cs="宋体"/>
          <w:color w:val="auto"/>
          <w:sz w:val="21"/>
          <w:szCs w:val="21"/>
          <w:highlight w:val="none"/>
          <w:lang w:val="en-US" w:eastAsia="zh-CN"/>
        </w:rPr>
        <w:t>谈判响应</w:t>
      </w:r>
      <w:r>
        <w:rPr>
          <w:rFonts w:hint="eastAsia" w:ascii="宋体" w:hAnsi="宋体" w:eastAsia="宋体" w:cs="宋体"/>
          <w:color w:val="auto"/>
          <w:sz w:val="21"/>
          <w:szCs w:val="21"/>
          <w:highlight w:val="none"/>
          <w:lang w:val="en-US" w:eastAsia="zh-CN"/>
        </w:rPr>
        <w:t>文件规定的质保期执行，质保期内产生的质量问题由乙方负责维修、更换。</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（6）乙方应保证甲方在使用该货物或其任何一部分时免受第三方提出侵犯其各类知识产权包括专利权、著作权、商标权及其他知识产权的起诉。</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（7）负责与使用单位信息化系统予以连接，并负责对软件系统终身免费升级。</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（8）操作系统安装经授权的正版产品。</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（9）加固及装修</w:t>
      </w:r>
      <w:r>
        <w:rPr>
          <w:rFonts w:hint="eastAsia" w:ascii="宋体" w:hAnsi="宋体" w:eastAsia="宋体" w:cs="宋体"/>
          <w:color w:val="auto"/>
          <w:sz w:val="21"/>
          <w:szCs w:val="21"/>
          <w:highlight w:val="none"/>
          <w:lang w:val="en-US" w:eastAsia="zh-CN"/>
        </w:rPr>
        <w:t>符合国家相关标准。</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运输方式</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根据产品特性，由乙方在保证产品质量的前提下，自行选择运输及包装方式。</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6、验收</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6.1本项目验收遵循“规范验收、分阶段核验、整体验收”原则，各阶段验收合格后方可进入下一工序施工；任一阶段验收不合格，乙方需在规定时限内整改，整改后重新验收，整改费用由乙方承担，且不得顺延工期（除不可抗力外）。</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乙方完成</w:t>
      </w:r>
      <w:r>
        <w:rPr>
          <w:rFonts w:hint="eastAsia" w:ascii="宋体" w:hAnsi="宋体" w:cs="宋体"/>
          <w:color w:val="auto"/>
          <w:sz w:val="21"/>
          <w:szCs w:val="21"/>
          <w:highlight w:val="none"/>
          <w:lang w:val="en-US" w:eastAsia="zh-CN"/>
        </w:rPr>
        <w:t>加固及装修</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应进行自检，自检合格后准备验收文件，并书面通知甲方进行验收。</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（2）甲方收到乙方的阶段验收申请后，应聘请相关专家组织验收，专家组验收合格方可实施货物的交货及安装调试。</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（3）乙方在货物出厂前，应按产品技术标准规定的检验项目和检验方法进行全面检验，随同产品物出具产地证书、出厂检验报告和产品质量合格证等。</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（4）产品到货后，甲方及设备使用人根据合同要求对产品进行外观验收、确认产品名称、规格、型号、数量及原产地或生产厂家。</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（5）乙方完成所有设备安装调试后，应进行自检，自检合格后准备验收文件，并书面通知甲方。</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（6）甲方收到乙方的验收申请后，应聘请相关专家组织验收，专家组验收合格作为产品的最终认可。</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（7）验收合格后，填写政府采购项目验收单，并向甲方提交相关资料。</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6.2验收依据：</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（1）合同；</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（2）国内相应的标准、规范；</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（3）竞争性谈判文件以及乙方的谈判响应文件；</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技术服务</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7.1</w:t>
      </w:r>
      <w:r>
        <w:rPr>
          <w:rFonts w:hint="eastAsia" w:ascii="宋体" w:hAnsi="宋体" w:eastAsia="宋体" w:cs="宋体"/>
          <w:color w:val="auto"/>
          <w:sz w:val="21"/>
          <w:szCs w:val="21"/>
          <w:highlight w:val="none"/>
          <w:lang w:val="en-US" w:eastAsia="zh-CN"/>
        </w:rPr>
        <w:t>技术资料：</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（1）产品合格证及检验报告；</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（2）产品使用说明书（中文）；</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（3）设计成果文件</w:t>
      </w:r>
      <w:r>
        <w:rPr>
          <w:rFonts w:hint="eastAsia" w:ascii="宋体" w:hAnsi="宋体" w:cs="宋体"/>
          <w:color w:val="auto"/>
          <w:sz w:val="21"/>
          <w:szCs w:val="21"/>
          <w:highlight w:val="none"/>
          <w:lang w:val="en-US" w:eastAsia="zh-CN"/>
        </w:rPr>
        <w:t>；</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其它资料。</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7.2</w:t>
      </w:r>
      <w:r>
        <w:rPr>
          <w:rFonts w:hint="eastAsia" w:ascii="宋体" w:hAnsi="宋体" w:eastAsia="宋体" w:cs="宋体"/>
          <w:color w:val="auto"/>
          <w:sz w:val="21"/>
          <w:szCs w:val="21"/>
          <w:highlight w:val="none"/>
          <w:lang w:val="en-US" w:eastAsia="zh-CN"/>
        </w:rPr>
        <w:t>技术培训：免费为采购人培训设备操作及维护人员。</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（1）培训内容：</w:t>
      </w:r>
      <w:r>
        <w:rPr>
          <w:rFonts w:hint="eastAsia" w:ascii="宋体" w:hAnsi="宋体" w:cs="宋体"/>
          <w:color w:val="auto"/>
          <w:sz w:val="21"/>
          <w:szCs w:val="21"/>
          <w:highlight w:val="none"/>
          <w:u w:val="single"/>
          <w:lang w:val="en-US" w:eastAsia="zh-CN"/>
        </w:rPr>
        <w:t xml:space="preserve"> 设备基本操作及维护 </w:t>
      </w:r>
      <w:r>
        <w:rPr>
          <w:rFonts w:hint="eastAsia" w:ascii="宋体" w:hAnsi="宋体" w:eastAsia="宋体" w:cs="宋体"/>
          <w:color w:val="auto"/>
          <w:sz w:val="21"/>
          <w:szCs w:val="21"/>
          <w:highlight w:val="none"/>
          <w:lang w:val="en-US" w:eastAsia="zh-CN"/>
        </w:rPr>
        <w:t>；</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（2）培训地点：</w:t>
      </w:r>
      <w:r>
        <w:rPr>
          <w:rFonts w:hint="eastAsia" w:ascii="宋体" w:hAnsi="宋体" w:cs="宋体"/>
          <w:color w:val="auto"/>
          <w:sz w:val="21"/>
          <w:szCs w:val="21"/>
          <w:highlight w:val="none"/>
          <w:u w:val="single"/>
          <w:lang w:val="en-US" w:eastAsia="zh-CN"/>
        </w:rPr>
        <w:t xml:space="preserve"> 眉县公安局 </w:t>
      </w:r>
      <w:r>
        <w:rPr>
          <w:rFonts w:hint="eastAsia" w:ascii="宋体" w:hAnsi="宋体" w:eastAsia="宋体" w:cs="宋体"/>
          <w:color w:val="auto"/>
          <w:sz w:val="21"/>
          <w:szCs w:val="21"/>
          <w:highlight w:val="none"/>
          <w:lang w:val="en-US" w:eastAsia="zh-CN"/>
        </w:rPr>
        <w:t>；</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（3）培训次数：</w:t>
      </w:r>
      <w:r>
        <w:rPr>
          <w:rFonts w:hint="eastAsia" w:ascii="宋体" w:hAnsi="宋体" w:eastAsia="宋体" w:cs="宋体"/>
          <w:color w:val="auto"/>
          <w:sz w:val="21"/>
          <w:szCs w:val="21"/>
          <w:highlight w:val="none"/>
          <w:u w:val="single"/>
          <w:lang w:val="en-US" w:eastAsia="zh-CN"/>
        </w:rPr>
        <w:t>2次以上</w:t>
      </w:r>
      <w:r>
        <w:rPr>
          <w:rFonts w:hint="eastAsia" w:ascii="宋体" w:hAnsi="宋体" w:eastAsia="宋体" w:cs="宋体"/>
          <w:color w:val="auto"/>
          <w:sz w:val="21"/>
          <w:szCs w:val="21"/>
          <w:highlight w:val="none"/>
          <w:lang w:val="en-US" w:eastAsia="zh-CN"/>
        </w:rPr>
        <w:t>；</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（4）培训人数：</w:t>
      </w:r>
      <w:r>
        <w:rPr>
          <w:rFonts w:hint="eastAsia" w:ascii="宋体" w:hAnsi="宋体" w:cs="宋体"/>
          <w:color w:val="auto"/>
          <w:sz w:val="21"/>
          <w:szCs w:val="21"/>
          <w:highlight w:val="none"/>
          <w:u w:val="single"/>
          <w:lang w:val="en-US" w:eastAsia="zh-CN"/>
        </w:rPr>
        <w:t xml:space="preserve">       </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（5）培训费用已包含在合同总价中。</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质保及售后服务</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8.1</w:t>
      </w:r>
      <w:r>
        <w:rPr>
          <w:rFonts w:hint="eastAsia" w:ascii="宋体" w:hAnsi="宋体" w:eastAsia="宋体" w:cs="宋体"/>
          <w:color w:val="auto"/>
          <w:sz w:val="21"/>
          <w:szCs w:val="21"/>
          <w:highlight w:val="none"/>
          <w:lang w:val="en-US" w:eastAsia="zh-CN"/>
        </w:rPr>
        <w:t>质保期：</w:t>
      </w:r>
      <w:r>
        <w:rPr>
          <w:rFonts w:hint="eastAsia" w:ascii="宋体" w:hAnsi="宋体" w:eastAsia="宋体" w:cs="宋体"/>
          <w:color w:val="auto"/>
          <w:sz w:val="21"/>
          <w:szCs w:val="21"/>
          <w:highlight w:val="none"/>
          <w:u w:val="single"/>
          <w:lang w:val="en-US" w:eastAsia="zh-CN"/>
        </w:rPr>
        <w:t xml:space="preserve"> 自验收合格之日起1年，如有国家及行业规定的，按国家及行业规定执行</w:t>
      </w:r>
      <w:r>
        <w:rPr>
          <w:rFonts w:hint="eastAsia" w:ascii="宋体" w:hAnsi="宋体" w:eastAsia="宋体" w:cs="宋体"/>
          <w:color w:val="auto"/>
          <w:sz w:val="21"/>
          <w:szCs w:val="21"/>
          <w:highlight w:val="none"/>
          <w:lang w:val="en-US" w:eastAsia="zh-CN"/>
        </w:rPr>
        <w:t>。</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8.2</w:t>
      </w:r>
      <w:r>
        <w:rPr>
          <w:rFonts w:hint="eastAsia" w:ascii="宋体" w:hAnsi="宋体" w:eastAsia="宋体" w:cs="宋体"/>
          <w:color w:val="auto"/>
          <w:sz w:val="21"/>
          <w:szCs w:val="21"/>
          <w:highlight w:val="none"/>
          <w:lang w:val="en-US" w:eastAsia="zh-CN"/>
        </w:rPr>
        <w:t>乙方在接到甲方故障通知后，应在 0.5 小时内响应， 24 小时内排除故障，如不能按期排除故障，需将产品返厂维修</w:t>
      </w:r>
      <w:r>
        <w:rPr>
          <w:rFonts w:hint="eastAsia" w:ascii="宋体" w:hAnsi="宋体" w:cs="宋体"/>
          <w:color w:val="auto"/>
          <w:sz w:val="21"/>
          <w:szCs w:val="21"/>
          <w:highlight w:val="none"/>
          <w:lang w:val="en-US" w:eastAsia="zh-CN"/>
        </w:rPr>
        <w:t>或维护</w:t>
      </w:r>
      <w:r>
        <w:rPr>
          <w:rFonts w:hint="eastAsia" w:ascii="宋体" w:hAnsi="宋体" w:eastAsia="宋体" w:cs="宋体"/>
          <w:color w:val="auto"/>
          <w:sz w:val="21"/>
          <w:szCs w:val="21"/>
          <w:highlight w:val="none"/>
          <w:lang w:val="en-US" w:eastAsia="zh-CN"/>
        </w:rPr>
        <w:t>的，乙方应提供备用</w:t>
      </w:r>
      <w:r>
        <w:rPr>
          <w:rFonts w:hint="eastAsia" w:ascii="宋体" w:hAnsi="宋体" w:cs="宋体"/>
          <w:color w:val="auto"/>
          <w:sz w:val="21"/>
          <w:szCs w:val="21"/>
          <w:highlight w:val="none"/>
          <w:lang w:val="en-US" w:eastAsia="zh-CN"/>
        </w:rPr>
        <w:t>产品</w:t>
      </w:r>
      <w:r>
        <w:rPr>
          <w:rFonts w:hint="eastAsia" w:ascii="宋体" w:hAnsi="宋体" w:eastAsia="宋体" w:cs="宋体"/>
          <w:color w:val="auto"/>
          <w:sz w:val="21"/>
          <w:szCs w:val="21"/>
          <w:highlight w:val="none"/>
          <w:lang w:val="en-US" w:eastAsia="zh-CN"/>
        </w:rPr>
        <w:t>，并承担相关全部费用。</w:t>
      </w:r>
      <w:r>
        <w:rPr>
          <w:rFonts w:hint="eastAsia" w:ascii="宋体" w:hAnsi="宋体" w:cs="宋体"/>
          <w:color w:val="auto"/>
          <w:sz w:val="21"/>
          <w:szCs w:val="21"/>
          <w:highlight w:val="none"/>
          <w:lang w:val="en-US" w:eastAsia="zh-CN"/>
        </w:rPr>
        <w:t>质保期内产品发生故障次数达到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次及以上的，</w:t>
      </w:r>
      <w:r>
        <w:rPr>
          <w:rFonts w:hint="eastAsia" w:ascii="宋体" w:hAnsi="宋体" w:eastAsia="宋体" w:cs="宋体"/>
          <w:color w:val="auto"/>
          <w:sz w:val="21"/>
          <w:szCs w:val="21"/>
          <w:highlight w:val="none"/>
          <w:lang w:val="en-US" w:eastAsia="zh-CN"/>
        </w:rPr>
        <w:t>甲方有权要求更换全新产品或单方解除合同，并要求乙方承担设备总价款 20 %的违约金。</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伴随服务</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lang w:val="en-US" w:eastAsia="zh-CN"/>
        </w:rPr>
        <w:t>乙方应随同每套货物提供相应的中文的技术文件。</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lang w:val="en-US" w:eastAsia="zh-CN"/>
        </w:rPr>
        <w:t>完整的操作使用手册和维护、修理技术文件，图纸、保修卡等。</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9.3</w:t>
      </w:r>
      <w:r>
        <w:rPr>
          <w:rFonts w:hint="eastAsia" w:ascii="宋体" w:hAnsi="宋体" w:eastAsia="宋体" w:cs="宋体"/>
          <w:color w:val="auto"/>
          <w:sz w:val="21"/>
          <w:szCs w:val="21"/>
          <w:highlight w:val="none"/>
          <w:lang w:val="en-US" w:eastAsia="zh-CN"/>
        </w:rPr>
        <w:t>制造厂的检验、测试报告、设备检验合格证书，计量合格等级证书，质量保证书等文件须随设备装箱提供。</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9.4</w:t>
      </w:r>
      <w:r>
        <w:rPr>
          <w:rFonts w:hint="eastAsia" w:ascii="宋体" w:hAnsi="宋体" w:eastAsia="宋体" w:cs="宋体"/>
          <w:color w:val="auto"/>
          <w:sz w:val="21"/>
          <w:szCs w:val="21"/>
          <w:highlight w:val="none"/>
          <w:lang w:val="en-US" w:eastAsia="zh-CN"/>
        </w:rPr>
        <w:t>必须的其它技术资料。</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9.5</w:t>
      </w:r>
      <w:r>
        <w:rPr>
          <w:rFonts w:hint="eastAsia" w:ascii="宋体" w:hAnsi="宋体" w:eastAsia="宋体" w:cs="宋体"/>
          <w:color w:val="auto"/>
          <w:sz w:val="21"/>
          <w:szCs w:val="21"/>
          <w:highlight w:val="none"/>
          <w:lang w:val="en-US" w:eastAsia="zh-CN"/>
        </w:rPr>
        <w:t>伴随服务的费用已含在合同价中，不单独进行支付。</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知识产权</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10.1</w:t>
      </w:r>
      <w:r>
        <w:rPr>
          <w:rFonts w:hint="eastAsia" w:ascii="宋体" w:hAnsi="宋体" w:eastAsia="宋体" w:cs="宋体"/>
          <w:color w:val="auto"/>
          <w:sz w:val="21"/>
          <w:szCs w:val="21"/>
          <w:highlight w:val="none"/>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.2若乙方提供的采购标的不符合国家知识产权法律、法规的规定或被有关主管机关认定为假冒伪劣品，则乙方中标资格将被取消。</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违约责任</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11.1</w:t>
      </w:r>
      <w:r>
        <w:rPr>
          <w:rFonts w:hint="eastAsia" w:ascii="宋体" w:hAnsi="宋体" w:eastAsia="宋体" w:cs="宋体"/>
          <w:color w:val="auto"/>
          <w:sz w:val="21"/>
          <w:szCs w:val="21"/>
          <w:highlight w:val="none"/>
          <w:lang w:val="en-US" w:eastAsia="zh-CN"/>
        </w:rPr>
        <w:t>按《中华人民共和国民法典》中的相关条款执行。</w:t>
      </w:r>
    </w:p>
    <w:p>
      <w:pPr>
        <w:keepNext w:val="0"/>
        <w:keepLines w:val="0"/>
        <w:pageBreakBefore w:val="0"/>
        <w:widowControl w:val="0"/>
        <w:kinsoku/>
        <w:wordWrap/>
        <w:overflowPunct w:val="0"/>
        <w:topLine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11.2其他</w:t>
      </w:r>
    </w:p>
    <w:p>
      <w:pPr>
        <w:keepNext w:val="0"/>
        <w:keepLines w:val="0"/>
        <w:pageBreakBefore w:val="0"/>
        <w:widowControl w:val="0"/>
        <w:kinsoku/>
        <w:wordWrap/>
        <w:overflowPunct w:val="0"/>
        <w:topLine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乙方所供货物品种、型号、规格、质量、技术指标等不符合本合同、本合同项下技术协议、</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文件、响应文件规定的，甲方有权拒收货物，乙方应向甲方支付</w:t>
      </w:r>
      <w:r>
        <w:rPr>
          <w:rFonts w:hint="eastAsia" w:ascii="宋体" w:hAnsi="宋体" w:eastAsia="宋体" w:cs="宋体"/>
          <w:color w:val="auto"/>
          <w:sz w:val="21"/>
          <w:szCs w:val="21"/>
          <w:highlight w:val="none"/>
          <w:lang w:eastAsia="zh-CN"/>
        </w:rPr>
        <w:t>合同总价款</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0%的违约金，并承担甲方因此产生的所有损失。</w:t>
      </w:r>
    </w:p>
    <w:p>
      <w:pPr>
        <w:pStyle w:val="12"/>
        <w:keepNext w:val="0"/>
        <w:keepLines w:val="0"/>
        <w:pageBreakBefore w:val="0"/>
        <w:widowControl w:val="0"/>
        <w:numPr>
          <w:ilvl w:val="0"/>
          <w:numId w:val="0"/>
        </w:numPr>
        <w:shd w:val="clear" w:color="auto" w:fill="auto"/>
        <w:kinsoku/>
        <w:wordWrap/>
        <w:overflowPunct w:val="0"/>
        <w:topLinePunct/>
        <w:autoSpaceDE/>
        <w:autoSpaceDN/>
        <w:bidi w:val="0"/>
        <w:adjustRightInd w:val="0"/>
        <w:snapToGrid w:val="0"/>
        <w:spacing w:line="360" w:lineRule="auto"/>
        <w:ind w:firstLine="420" w:firstLineChars="200"/>
        <w:textAlignment w:val="auto"/>
        <w:rPr>
          <w:rFonts w:hint="default"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2）乙方未按本合同约定逾期交付符合本合同约定的货物，则须按合同总价款的5%/天向甲方支付逾期违约金。逾期10天仍不能交货的，甲方有权单方解除本合同。本合同自甲方向乙方发出解除通知之日解除，乙方除支付上述逾期违约金外，应退还甲方已支付的全部货款及费用并向甲方支付合同总价款10%的解除违约金及承担甲方因此造成的所有损失。因不可抗力不能如期履约的，由双方共同协商决定。</w:t>
      </w:r>
    </w:p>
    <w:p>
      <w:pPr>
        <w:keepNext w:val="0"/>
        <w:keepLines w:val="0"/>
        <w:pageBreakBefore w:val="0"/>
        <w:widowControl w:val="0"/>
        <w:kinsoku/>
        <w:wordWrap/>
        <w:overflowPunct w:val="0"/>
        <w:topLine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（3）在履行合同过程中，如果乙方遇到可能妨碍其按时</w:t>
      </w:r>
      <w:r>
        <w:rPr>
          <w:rFonts w:hint="eastAsia" w:ascii="宋体" w:hAnsi="宋体" w:cs="宋体"/>
          <w:color w:val="auto"/>
          <w:sz w:val="21"/>
          <w:szCs w:val="21"/>
          <w:highlight w:val="none"/>
          <w:lang w:val="en-US" w:eastAsia="zh-CN"/>
        </w:rPr>
        <w:t>完成项目</w:t>
      </w:r>
      <w:r>
        <w:rPr>
          <w:rFonts w:hint="eastAsia" w:ascii="宋体" w:hAnsi="宋体" w:eastAsia="宋体" w:cs="宋体"/>
          <w:color w:val="auto"/>
          <w:sz w:val="21"/>
          <w:szCs w:val="21"/>
          <w:highlight w:val="none"/>
          <w:lang w:val="en-US" w:eastAsia="zh-CN"/>
        </w:rPr>
        <w:t>的情况，应以书面形式将拖延的事实，可能拖延的期限和理由通知采购人。甲方在收到乙方通知后，应尽快对情况进行评价，并确定是否通过修改合同，酌情延长交货时间或对乙方加收逾期交货违约金。逾期交货违约金以</w:t>
      </w:r>
      <w:r>
        <w:rPr>
          <w:rFonts w:hint="eastAsia" w:ascii="宋体" w:hAnsi="宋体" w:cs="宋体"/>
          <w:color w:val="auto"/>
          <w:sz w:val="21"/>
          <w:szCs w:val="21"/>
          <w:highlight w:val="none"/>
          <w:lang w:val="en-US" w:eastAsia="zh-CN"/>
        </w:rPr>
        <w:t>合同价款</w:t>
      </w:r>
      <w:r>
        <w:rPr>
          <w:rFonts w:hint="eastAsia" w:ascii="宋体" w:hAnsi="宋体" w:eastAsia="宋体" w:cs="宋体"/>
          <w:color w:val="auto"/>
          <w:sz w:val="21"/>
          <w:szCs w:val="21"/>
          <w:highlight w:val="none"/>
          <w:lang w:val="en-US" w:eastAsia="zh-CN"/>
        </w:rPr>
        <w:t>为基数，按每日</w:t>
      </w:r>
      <w:r>
        <w:rPr>
          <w:rFonts w:hint="eastAsia" w:ascii="宋体" w:hAnsi="宋体" w:eastAsia="宋体" w:cs="宋体"/>
          <w:color w:val="auto"/>
          <w:sz w:val="21"/>
          <w:szCs w:val="21"/>
          <w:highlight w:val="none"/>
          <w:u w:val="single"/>
          <w:lang w:val="en-US" w:eastAsia="zh-CN"/>
        </w:rPr>
        <w:t xml:space="preserve"> 1 </w:t>
      </w:r>
      <w:r>
        <w:rPr>
          <w:rFonts w:hint="eastAsia" w:ascii="宋体" w:hAnsi="宋体" w:eastAsia="宋体" w:cs="宋体"/>
          <w:color w:val="auto"/>
          <w:sz w:val="21"/>
          <w:szCs w:val="21"/>
          <w:highlight w:val="none"/>
          <w:lang w:val="en-US" w:eastAsia="zh-CN"/>
        </w:rPr>
        <w:t>‰计算。</w:t>
      </w:r>
    </w:p>
    <w:p>
      <w:pPr>
        <w:keepNext w:val="0"/>
        <w:keepLines w:val="0"/>
        <w:pageBreakBefore w:val="0"/>
        <w:widowControl w:val="0"/>
        <w:kinsoku/>
        <w:wordWrap/>
        <w:overflowPunct w:val="0"/>
        <w:topLine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（4）乙方在货物质保期内未按合同约定履行保修义务和责任，乙方应向甲方支付合同总价款10%的违约金，同时承担甲方因此造成的所有损失。</w:t>
      </w:r>
    </w:p>
    <w:p>
      <w:pPr>
        <w:keepNext w:val="0"/>
        <w:keepLines w:val="0"/>
        <w:pageBreakBefore w:val="0"/>
        <w:widowControl w:val="0"/>
        <w:kinsoku/>
        <w:wordWrap/>
        <w:overflowPunct w:val="0"/>
        <w:topLine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不配合甲方采购验收工作、相关工作人员操作失误、货物延迟交付、施工或货物存在瑕疵或者安装调试不到位，在质保期内未按合同约定及时响应甲方要求、怠于沟通解决货物问题等非因甲方原因，乙方应承担货物运输、安装、调试或使用过程中造成的所有损失。同时承担甲方因此造成的所有损失。</w:t>
      </w:r>
    </w:p>
    <w:p>
      <w:pPr>
        <w:keepNext w:val="0"/>
        <w:keepLines w:val="0"/>
        <w:pageBreakBefore w:val="0"/>
        <w:widowControl w:val="0"/>
        <w:kinsoku/>
        <w:wordWrap/>
        <w:overflowPunct w:val="0"/>
        <w:topLine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（6）乙方应承担其产品存在的权利瑕疵、质量瑕疵造成甲方的所有损失。</w:t>
      </w:r>
    </w:p>
    <w:p>
      <w:pPr>
        <w:keepNext w:val="0"/>
        <w:keepLines w:val="0"/>
        <w:pageBreakBefore w:val="0"/>
        <w:widowControl w:val="0"/>
        <w:kinsoku/>
        <w:wordWrap/>
        <w:overflowPunct w:val="0"/>
        <w:topLine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（7）本协议中的损失包含并不限于一切人身损害、财产损失等，以及守约方为了弥补损失或维权所产生的一切费用（包括但不限于律师费、诉讼费、鉴定费、交通费、误工费等）。</w:t>
      </w:r>
    </w:p>
    <w:p>
      <w:pPr>
        <w:keepNext w:val="0"/>
        <w:keepLines w:val="0"/>
        <w:pageBreakBefore w:val="0"/>
        <w:widowControl w:val="0"/>
        <w:kinsoku/>
        <w:wordWrap/>
        <w:overflowPunct w:val="0"/>
        <w:topLine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（8）甲方依据本合同相关约定解除合同，解除通知自送达乙方时，本合同解除。合同解除，乙方必须无条件退回已经支付的全部货款，赔偿甲方所有损失及因主张权利而产生的一切损失。</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、不可抗力</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.2本合同中的不可抗力指不能预见、不能避免、不能克服的客观情况，包括但不限于：自然灾害如地震、台风、洪水、火灾及政府行为、法律规定或其适用的变化或其他任何无法预见、避免或控制的事件。</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lang w:val="en-US" w:eastAsia="zh-CN"/>
        </w:rPr>
        <w:t>合同争议的解决：</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合同一经签订，不得随意变更、中止或终止。对确需变更、调整或者中止、终止合同的，应按规定履行相应的手续。</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合同执行中发生争议的，甲、乙双方应协商解决，协商达不成一致时，可向甲方所在地人民法院提请诉讼。</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14、</w:t>
      </w:r>
      <w:r>
        <w:rPr>
          <w:rFonts w:hint="eastAsia" w:ascii="宋体" w:hAnsi="宋体" w:eastAsia="宋体" w:cs="宋体"/>
          <w:b/>
          <w:bCs/>
          <w:color w:val="auto"/>
          <w:sz w:val="21"/>
          <w:szCs w:val="21"/>
          <w:highlight w:val="none"/>
          <w:lang w:val="en-US" w:eastAsia="zh-CN"/>
        </w:rPr>
        <w:t>其它事项</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12.1</w:t>
      </w:r>
      <w:r>
        <w:rPr>
          <w:rFonts w:hint="eastAsia" w:ascii="宋体" w:hAnsi="宋体" w:eastAsia="宋体" w:cs="宋体"/>
          <w:color w:val="auto"/>
          <w:sz w:val="21"/>
          <w:szCs w:val="21"/>
          <w:highlight w:val="none"/>
          <w:lang w:val="en-US" w:eastAsia="zh-CN"/>
        </w:rPr>
        <w:t>甲、乙双方做为合同执行的主体，有义务及时完全履行合同。</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12.2</w:t>
      </w:r>
      <w:r>
        <w:rPr>
          <w:rFonts w:hint="eastAsia" w:ascii="宋体" w:hAnsi="宋体" w:eastAsia="宋体" w:cs="宋体"/>
          <w:color w:val="auto"/>
          <w:sz w:val="21"/>
          <w:szCs w:val="21"/>
          <w:highlight w:val="none"/>
          <w:lang w:val="en-US" w:eastAsia="zh-CN"/>
        </w:rPr>
        <w:t>合同未尽事宜，由甲、乙双方协商，协商方案作为本合同不可分割的组成部分，与本合同具有同等法律效力。</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12.3</w:t>
      </w:r>
      <w:r>
        <w:rPr>
          <w:rFonts w:hint="eastAsia" w:ascii="宋体" w:hAnsi="宋体" w:eastAsia="宋体" w:cs="宋体"/>
          <w:color w:val="auto"/>
          <w:sz w:val="21"/>
          <w:szCs w:val="21"/>
          <w:highlight w:val="none"/>
          <w:lang w:val="en-US" w:eastAsia="zh-CN"/>
        </w:rPr>
        <w:t>招标文件和乙方的投标文件以及合同附件均为合同不可分割的部分。</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12.4</w:t>
      </w:r>
      <w:r>
        <w:rPr>
          <w:rFonts w:hint="eastAsia" w:ascii="宋体" w:hAnsi="宋体" w:eastAsia="宋体" w:cs="宋体"/>
          <w:color w:val="auto"/>
          <w:sz w:val="21"/>
          <w:szCs w:val="21"/>
          <w:highlight w:val="none"/>
          <w:lang w:val="en-US" w:eastAsia="zh-CN"/>
        </w:rPr>
        <w:t>合同一式</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份，甲方持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份、乙方持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份。双方签字盖章后生效。</w:t>
      </w:r>
    </w:p>
    <w:p>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甲方名称（盖章）: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乙方名称（盖章）:</w:t>
      </w:r>
    </w:p>
    <w:p>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地址：</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地址：</w:t>
      </w:r>
    </w:p>
    <w:p>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代表人（签字）：</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代表人（签字）：</w:t>
      </w:r>
    </w:p>
    <w:p>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电话：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电话：</w:t>
      </w:r>
    </w:p>
    <w:p>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开户银行：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开户银行：</w:t>
      </w:r>
    </w:p>
    <w:p>
      <w:pPr>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账</w:t>
      </w:r>
      <w:r>
        <w:rPr>
          <w:rFonts w:hint="eastAsia" w:ascii="宋体" w:hAnsi="宋体" w:eastAsia="宋体" w:cs="宋体"/>
          <w:color w:val="auto"/>
          <w:sz w:val="21"/>
          <w:szCs w:val="21"/>
          <w:highlight w:val="none"/>
          <w:lang w:val="zh-CN"/>
        </w:rPr>
        <w:t>号：</w:t>
      </w:r>
      <w:r>
        <w:rPr>
          <w:rFonts w:hint="eastAsia" w:ascii="宋体" w:hAnsi="宋体" w:eastAsia="宋体" w:cs="宋体"/>
          <w:color w:val="auto"/>
          <w:sz w:val="21"/>
          <w:szCs w:val="21"/>
          <w:highlight w:val="none"/>
        </w:rPr>
        <w:t xml:space="preserve">                                          账</w:t>
      </w:r>
      <w:r>
        <w:rPr>
          <w:rFonts w:hint="eastAsia" w:ascii="宋体" w:hAnsi="宋体" w:eastAsia="宋体" w:cs="宋体"/>
          <w:color w:val="auto"/>
          <w:sz w:val="21"/>
          <w:szCs w:val="21"/>
          <w:highlight w:val="none"/>
          <w:lang w:val="zh-CN"/>
        </w:rPr>
        <w:t>号：</w:t>
      </w: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bookmarkEnd w:id="29"/>
    <w:p>
      <w:pPr>
        <w:numPr>
          <w:ilvl w:val="255"/>
          <w:numId w:val="0"/>
        </w:numPr>
        <w:spacing w:line="360" w:lineRule="auto"/>
        <w:jc w:val="center"/>
        <w:outlineLvl w:val="0"/>
        <w:rPr>
          <w:rFonts w:hint="eastAsia" w:ascii="宋体" w:hAnsi="宋体" w:eastAsia="宋体" w:cs="宋体"/>
          <w:b/>
          <w:bCs/>
          <w:color w:val="auto"/>
          <w:sz w:val="32"/>
          <w:szCs w:val="32"/>
          <w:highlight w:val="none"/>
          <w:lang w:val="en-US" w:eastAsia="zh-CN"/>
        </w:rPr>
      </w:pPr>
      <w:bookmarkStart w:id="33" w:name="_Toc14927"/>
      <w:bookmarkStart w:id="34" w:name="_Toc6168"/>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五章</w:t>
      </w:r>
      <w:r>
        <w:rPr>
          <w:rFonts w:hint="eastAsia" w:ascii="宋体" w:hAnsi="宋体" w:eastAsia="宋体" w:cs="宋体"/>
          <w:b/>
          <w:bCs/>
          <w:color w:val="auto"/>
          <w:sz w:val="32"/>
          <w:szCs w:val="32"/>
          <w:highlight w:val="none"/>
        </w:rPr>
        <w:t xml:space="preserve"> </w:t>
      </w:r>
      <w:bookmarkEnd w:id="33"/>
      <w:r>
        <w:rPr>
          <w:rFonts w:hint="eastAsia" w:ascii="宋体" w:hAnsi="宋体" w:eastAsia="宋体" w:cs="宋体"/>
          <w:b/>
          <w:bCs/>
          <w:color w:val="auto"/>
          <w:sz w:val="32"/>
          <w:szCs w:val="32"/>
          <w:highlight w:val="none"/>
          <w:lang w:val="en-US" w:eastAsia="zh-CN"/>
        </w:rPr>
        <w:t>采购内容及要求</w:t>
      </w:r>
      <w:bookmarkEnd w:id="34"/>
    </w:p>
    <w:p>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lang w:val="en-US" w:eastAsia="zh-CN"/>
        </w:rPr>
        <w:t>技术要求</w:t>
      </w:r>
    </w:p>
    <w:p>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1.采购清单</w:t>
      </w:r>
    </w:p>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第一部分</w:t>
      </w:r>
    </w:p>
    <w:tbl>
      <w:tblPr>
        <w:tblStyle w:val="3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6"/>
        <w:gridCol w:w="5484"/>
        <w:gridCol w:w="1378"/>
        <w:gridCol w:w="1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9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29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智能密集架</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智能密集架控制系统</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防磁柜</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书车书梯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档案数字化加工</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档案整理</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档案著录</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档案打印复印机</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档案扫描仪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2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密集架拆装、档案上下架</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二、档案库房安全环境信息化建设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4258" w:type="pct"/>
            <w:gridSpan w:val="3"/>
            <w:tcBorders>
              <w:top w:val="single" w:color="000000" w:sz="4" w:space="0"/>
              <w:left w:val="single" w:color="000000" w:sz="4" w:space="0"/>
              <w:bottom w:val="single" w:color="000000" w:sz="4" w:space="0"/>
              <w:right w:val="single" w:color="000000" w:sz="4" w:space="0"/>
            </w:tcBorders>
            <w:shd w:val="clear" w:color="auto" w:fill="BEBEBE"/>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中央控制中心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w:t>
            </w:r>
          </w:p>
        </w:tc>
        <w:tc>
          <w:tcPr>
            <w:tcW w:w="2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智慧档案馆（库）一体化管理平台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档案库房环境管理主机</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2.1.3</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2.1.4</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中央控制展示系统</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2.1.5</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嵌入式采集EMU</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智能区域控制屏</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短信报警云服务平台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2.1.8</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短信报警器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信号传输模块</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2.1.10</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网络机柜</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2.1.11</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4258" w:type="pct"/>
            <w:gridSpan w:val="3"/>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恒温监控系统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空调控制器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智能空调控制系统软件接口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4258" w:type="pct"/>
            <w:gridSpan w:val="3"/>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恒湿监控系统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2.3.1</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智能恒湿净化一体机</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2.3.2</w:t>
            </w:r>
          </w:p>
        </w:tc>
        <w:tc>
          <w:tcPr>
            <w:tcW w:w="2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移动水车</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恒湿控制模块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2.3.4</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智能恒湿控制系统软件接口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258" w:type="pct"/>
            <w:gridSpan w:val="3"/>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漏水监测系统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2.4.1</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漏水传感器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智能漏水控制模块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2.4.3</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智能漏水控制系统软件接口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4258" w:type="pct"/>
            <w:gridSpan w:val="3"/>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温湿度监测系统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2.5.1</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温湿度模块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温湿度控制系统接口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4258" w:type="pct"/>
            <w:gridSpan w:val="3"/>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空气质量监控系统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2.6.1</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空气质量云测仪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智能空气质量监控系统软件接口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4258" w:type="pct"/>
            <w:gridSpan w:val="3"/>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有害生物驱控系统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智能驱鼠控制终端</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智能驱鼠监控软件接口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4258" w:type="pct"/>
            <w:gridSpan w:val="3"/>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门禁管制系统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2.8.1</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开关按钮</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2.8.2</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AC/DC模块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指纹人脸识别门禁控制器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2.8.4</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门禁锁（双开门）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智能安全门禁监控系统软件接口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4258" w:type="pct"/>
            <w:gridSpan w:val="3"/>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视频图像监控系统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2.9.1</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红外半球摄像头</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2.9.2</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硬盘录像机</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2.9.3</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硬盘</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2.9.4</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智能安全视频监控系统软件接口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POE交换机</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2.9.6</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4258" w:type="pct"/>
            <w:gridSpan w:val="3"/>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红外监测系统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红外报警模块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2.10.2</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声光报警模块</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2.10.3</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数据巡检仪</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2.10.4</w:t>
            </w:r>
          </w:p>
        </w:tc>
        <w:tc>
          <w:tcPr>
            <w:tcW w:w="29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入侵报警控制系统软件接口</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r>
    </w:tbl>
    <w:p>
      <w:pPr>
        <w:spacing w:line="360" w:lineRule="auto"/>
        <w:jc w:val="center"/>
        <w:rPr>
          <w:rFonts w:hint="eastAsia" w:ascii="宋体" w:hAnsi="宋体" w:cs="宋体"/>
          <w:b/>
          <w:bCs/>
          <w:color w:val="auto"/>
          <w:sz w:val="24"/>
          <w:szCs w:val="24"/>
          <w:highlight w:val="none"/>
          <w:lang w:val="en-US" w:eastAsia="zh-CN"/>
        </w:rPr>
      </w:pPr>
    </w:p>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第二部分</w:t>
      </w:r>
    </w:p>
    <w:tbl>
      <w:tblPr>
        <w:tblStyle w:val="3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9"/>
        <w:gridCol w:w="5479"/>
        <w:gridCol w:w="1372"/>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一、装修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1.1</w:t>
            </w:r>
          </w:p>
        </w:tc>
        <w:tc>
          <w:tcPr>
            <w:tcW w:w="2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装修</w:t>
            </w:r>
            <w:r>
              <w:rPr>
                <w:rFonts w:hint="eastAsia" w:ascii="宋体" w:hAnsi="宋体" w:cs="宋体"/>
                <w:b/>
                <w:bCs/>
                <w:i w:val="0"/>
                <w:iCs w:val="0"/>
                <w:color w:val="auto"/>
                <w:kern w:val="0"/>
                <w:sz w:val="21"/>
                <w:szCs w:val="21"/>
                <w:highlight w:val="none"/>
                <w:u w:val="none"/>
                <w:lang w:val="en-US" w:eastAsia="zh-CN" w:bidi="ar"/>
              </w:rPr>
              <w:t>（工程量详见附件一）</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w:t>
            </w:r>
          </w:p>
        </w:tc>
        <w:tc>
          <w:tcPr>
            <w:tcW w:w="2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辅材及线路安装</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1.3</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软硬件集成</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二</w:t>
            </w:r>
            <w:r>
              <w:rPr>
                <w:rFonts w:hint="eastAsia" w:ascii="宋体" w:hAnsi="宋体" w:eastAsia="宋体" w:cs="宋体"/>
                <w:b/>
                <w:bCs/>
                <w:i w:val="0"/>
                <w:iCs w:val="0"/>
                <w:color w:val="auto"/>
                <w:kern w:val="0"/>
                <w:sz w:val="21"/>
                <w:szCs w:val="21"/>
                <w:highlight w:val="none"/>
                <w:u w:val="none"/>
                <w:lang w:val="en-US" w:eastAsia="zh-CN" w:bidi="ar"/>
              </w:rPr>
              <w:t>、消防监控系统设备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1</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柜式七氟丙烷气体灭火装置</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245.3</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2</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泄压装置</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3</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点型光电感烟探测器</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4</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火灾监控探测器</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5</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声光报警器</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6</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紧急启停按钮</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7</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放气指示灯</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8</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气体灭火控制器</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9</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输入输出模块</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三</w:t>
            </w:r>
            <w:r>
              <w:rPr>
                <w:rFonts w:hint="eastAsia" w:ascii="宋体" w:hAnsi="宋体" w:eastAsia="宋体" w:cs="宋体"/>
                <w:b/>
                <w:bCs/>
                <w:i w:val="0"/>
                <w:iCs w:val="0"/>
                <w:color w:val="auto"/>
                <w:kern w:val="0"/>
                <w:sz w:val="21"/>
                <w:szCs w:val="21"/>
                <w:highlight w:val="none"/>
                <w:u w:val="none"/>
                <w:lang w:val="en-US" w:eastAsia="zh-CN" w:bidi="ar"/>
              </w:rPr>
              <w:t>、地面加固工程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.1</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沉降注浆加固</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混凝土垫层+配筋面层</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.3</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垫层地基拆除</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5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地面深挖回填土夯实</w:t>
            </w: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autoSpaceDE/>
              <w:autoSpaceDN/>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四</w:t>
            </w:r>
            <w:r>
              <w:rPr>
                <w:rFonts w:hint="eastAsia" w:ascii="宋体" w:hAnsi="宋体" w:eastAsia="宋体" w:cs="宋体"/>
                <w:b/>
                <w:bCs/>
                <w:i w:val="0"/>
                <w:iCs w:val="0"/>
                <w:color w:val="auto"/>
                <w:kern w:val="0"/>
                <w:sz w:val="21"/>
                <w:szCs w:val="21"/>
                <w:highlight w:val="none"/>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.1</w:t>
            </w:r>
          </w:p>
        </w:tc>
        <w:tc>
          <w:tcPr>
            <w:tcW w:w="29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设计费</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r>
    </w:tbl>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附件一：</w:t>
      </w:r>
    </w:p>
    <w:p>
      <w:pPr>
        <w:jc w:val="center"/>
        <w:rPr>
          <w:rFonts w:hint="default" w:eastAsiaTheme="minorEastAsia"/>
          <w:color w:val="auto"/>
          <w:highlight w:val="none"/>
          <w:lang w:val="en-US" w:eastAsia="zh-CN"/>
        </w:rPr>
      </w:pPr>
      <w:r>
        <w:rPr>
          <w:rFonts w:hint="eastAsia"/>
          <w:b/>
          <w:bCs/>
          <w:color w:val="auto"/>
          <w:sz w:val="36"/>
          <w:szCs w:val="44"/>
          <w:highlight w:val="none"/>
          <w:lang w:val="en-US" w:eastAsia="zh-CN"/>
        </w:rPr>
        <w:t>装修清单</w:t>
      </w:r>
    </w:p>
    <w:p>
      <w:pPr>
        <w:rPr>
          <w:color w:val="auto"/>
          <w:highlight w:val="none"/>
        </w:rPr>
      </w:pP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7"/>
        <w:gridCol w:w="4547"/>
        <w:gridCol w:w="1557"/>
        <w:gridCol w:w="1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序号</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顶面吊顶及线路拆除</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地砖拆除</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地砖铺贴</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开门洞</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封门洞</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拆除踢脚线</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踢脚线铺贴</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定制全遮光阻燃窗帘</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墙面界面剂</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墙面批刮腻子</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墙面乳胶漆</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矿棉板吊顶</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LED600*600mm灯</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强电改造</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平米</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单开防火门</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樘</w:t>
            </w:r>
          </w:p>
        </w:tc>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单开防盗门</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樘</w:t>
            </w:r>
          </w:p>
        </w:tc>
        <w:tc>
          <w:tcPr>
            <w:tcW w:w="8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空开、电箱、开关、插座、应急照明</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垃圾外运</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材料运输费</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成品保护及保洁</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措施费</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r>
    </w:tbl>
    <w:p>
      <w:pPr>
        <w:rPr>
          <w:color w:val="auto"/>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p>
    <w:p>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pPr>
        <w:numPr>
          <w:ilvl w:val="0"/>
          <w:numId w:val="0"/>
        </w:num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 w:val="21"/>
          <w:szCs w:val="21"/>
          <w:highlight w:val="none"/>
          <w:lang w:val="en-US" w:eastAsia="zh-CN"/>
        </w:rPr>
        <w:t>技术参数</w:t>
      </w:r>
    </w:p>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第一部分</w:t>
      </w:r>
    </w:p>
    <w:tbl>
      <w:tblPr>
        <w:tblStyle w:val="3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853"/>
        <w:gridCol w:w="7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41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详细参数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auto"/>
                <w:sz w:val="21"/>
                <w:szCs w:val="21"/>
                <w:highlight w:val="none"/>
                <w:u w:val="none"/>
              </w:rPr>
            </w:pPr>
          </w:p>
        </w:tc>
        <w:tc>
          <w:tcPr>
            <w:tcW w:w="41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一、库房实体存放设备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智能密集架</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rtl w:val="0"/>
                <w:lang w:val="zh-CN" w:eastAsia="zh-CN" w:bidi="ar"/>
              </w:rPr>
              <w:t>★</w:t>
            </w:r>
            <w:r>
              <w:rPr>
                <w:rFonts w:hint="eastAsia" w:ascii="宋体" w:hAnsi="宋体" w:eastAsia="宋体" w:cs="宋体"/>
                <w:b/>
                <w:bCs/>
                <w:i w:val="0"/>
                <w:color w:val="auto"/>
                <w:kern w:val="0"/>
                <w:sz w:val="21"/>
                <w:szCs w:val="21"/>
                <w:highlight w:val="none"/>
                <w:u w:val="none"/>
                <w:rtl w:val="0"/>
                <w:lang w:val="en-US" w:eastAsia="zh-CN" w:bidi="ar"/>
              </w:rPr>
              <w:t>提供</w:t>
            </w:r>
            <w:r>
              <w:rPr>
                <w:rFonts w:hint="eastAsia" w:ascii="宋体" w:hAnsi="宋体" w:cs="宋体"/>
                <w:b/>
                <w:bCs/>
                <w:i w:val="0"/>
                <w:color w:val="auto"/>
                <w:kern w:val="0"/>
                <w:sz w:val="21"/>
                <w:szCs w:val="21"/>
                <w:highlight w:val="none"/>
                <w:u w:val="none"/>
                <w:rtl w:val="0"/>
                <w:lang w:val="en-US" w:eastAsia="zh-CN" w:bidi="ar"/>
              </w:rPr>
              <w:t>（立柱、层板、挂板）</w:t>
            </w:r>
            <w:r>
              <w:rPr>
                <w:rFonts w:hint="eastAsia" w:ascii="宋体" w:hAnsi="宋体" w:eastAsia="宋体" w:cs="宋体"/>
                <w:b/>
                <w:bCs/>
                <w:i w:val="0"/>
                <w:color w:val="auto"/>
                <w:kern w:val="0"/>
                <w:sz w:val="21"/>
                <w:szCs w:val="21"/>
                <w:highlight w:val="none"/>
                <w:u w:val="none"/>
                <w:rtl w:val="0"/>
                <w:lang w:val="en-US" w:eastAsia="zh-CN" w:bidi="ar"/>
              </w:rPr>
              <w:t>第三方国家认可机构出具的检测报告，检测报告抽样基数≥1000件，检测项目包含但不限于：①符合国家GB/T13667.1-2015中6.3.1.5，标准；耐腐蚀≥</w:t>
            </w:r>
            <w:r>
              <w:rPr>
                <w:rFonts w:hint="eastAsia" w:ascii="宋体" w:hAnsi="宋体" w:cs="宋体"/>
                <w:b/>
                <w:bCs/>
                <w:i w:val="0"/>
                <w:color w:val="auto"/>
                <w:kern w:val="0"/>
                <w:sz w:val="21"/>
                <w:szCs w:val="21"/>
                <w:highlight w:val="none"/>
                <w:u w:val="none"/>
                <w:rtl w:val="0"/>
                <w:lang w:val="en-US" w:eastAsia="zh-CN" w:bidi="ar"/>
              </w:rPr>
              <w:t>100</w:t>
            </w:r>
            <w:r>
              <w:rPr>
                <w:rFonts w:hint="eastAsia" w:ascii="宋体" w:hAnsi="宋体" w:eastAsia="宋体" w:cs="宋体"/>
                <w:b/>
                <w:bCs/>
                <w:i w:val="0"/>
                <w:color w:val="auto"/>
                <w:kern w:val="0"/>
                <w:sz w:val="21"/>
                <w:szCs w:val="21"/>
                <w:highlight w:val="none"/>
                <w:u w:val="none"/>
                <w:rtl w:val="0"/>
                <w:lang w:val="en-US" w:eastAsia="zh-CN" w:bidi="ar"/>
              </w:rPr>
              <w:t>h后划道两侧3mm外，无锈迹、剥落、起皱、变色和失光等现象；符合国家GB/T35607-2024中附录D标准；甲醛释放量绿色产品值应≤0.003mg/m³；②符合国家GB/T9286-2021标准，附着力：≤0级；③理化性能要求：符合国家GB/T6739-2022标准，硬度：≥6H，应无塑性变形和内聚破坏；符合国家GB/T9754-2007标准，光泽度：≥</w:t>
            </w:r>
            <w:r>
              <w:rPr>
                <w:rFonts w:hint="eastAsia" w:ascii="宋体" w:hAnsi="宋体" w:cs="宋体"/>
                <w:b/>
                <w:bCs/>
                <w:i w:val="0"/>
                <w:color w:val="auto"/>
                <w:kern w:val="0"/>
                <w:sz w:val="21"/>
                <w:szCs w:val="21"/>
                <w:highlight w:val="none"/>
                <w:u w:val="none"/>
                <w:rtl w:val="0"/>
                <w:lang w:val="en-US" w:eastAsia="zh-CN" w:bidi="ar"/>
              </w:rPr>
              <w:t>55</w:t>
            </w:r>
            <w:r>
              <w:rPr>
                <w:rFonts w:hint="eastAsia" w:ascii="宋体" w:hAnsi="宋体" w:eastAsia="宋体" w:cs="宋体"/>
                <w:b/>
                <w:bCs/>
                <w:i w:val="0"/>
                <w:color w:val="auto"/>
                <w:kern w:val="0"/>
                <w:sz w:val="21"/>
                <w:szCs w:val="21"/>
                <w:highlight w:val="none"/>
                <w:u w:val="none"/>
                <w:rtl w:val="0"/>
                <w:lang w:val="en-US" w:eastAsia="zh-CN" w:bidi="ar"/>
              </w:rPr>
              <w:t>GU；④符合国家GB/T1740-2007标准，耐湿热≥200h后应无生锈、起泡、变色、开裂或其他破坏现象；符合国家GB/T4957-2003标准，漆膜厚度≥70µm</w:t>
            </w:r>
            <w:r>
              <w:rPr>
                <w:rFonts w:hint="eastAsia" w:ascii="宋体" w:hAnsi="宋体" w:eastAsia="宋体" w:cs="宋体"/>
                <w:b/>
                <w:bCs/>
                <w:i w:val="0"/>
                <w:color w:val="auto"/>
                <w:kern w:val="0"/>
                <w:sz w:val="21"/>
                <w:szCs w:val="21"/>
                <w:highlight w:val="none"/>
                <w:u w:val="none"/>
                <w:lang w:val="en-US" w:eastAsia="zh-CN" w:bidi="ar"/>
              </w:rPr>
              <w:t>。</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1.材质：冷/热轧钢板，表面处理及质量符合钢铁工件涂前磷化处理技术条件。</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2.结构：结构由底盘、架体、传动机构、防护装置四大部分组成。</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3.制动装置：每一组合团体</w:t>
            </w:r>
            <w:r>
              <w:rPr>
                <w:rFonts w:hint="eastAsia" w:ascii="宋体" w:hAnsi="宋体" w:cs="宋体"/>
                <w:b w:val="0"/>
                <w:bCs w:val="0"/>
                <w:i w:val="0"/>
                <w:color w:val="auto"/>
                <w:kern w:val="0"/>
                <w:sz w:val="21"/>
                <w:szCs w:val="21"/>
                <w:highlight w:val="none"/>
                <w:u w:val="none"/>
                <w:lang w:val="en-US" w:eastAsia="zh-CN" w:bidi="ar"/>
              </w:rPr>
              <w:t>具</w:t>
            </w:r>
            <w:r>
              <w:rPr>
                <w:rFonts w:hint="eastAsia" w:ascii="宋体" w:hAnsi="宋体" w:eastAsia="宋体" w:cs="宋体"/>
                <w:b w:val="0"/>
                <w:bCs w:val="0"/>
                <w:i w:val="0"/>
                <w:color w:val="auto"/>
                <w:kern w:val="0"/>
                <w:sz w:val="21"/>
                <w:szCs w:val="21"/>
                <w:highlight w:val="none"/>
                <w:u w:val="none"/>
                <w:lang w:val="en-US" w:eastAsia="zh-CN" w:bidi="ar"/>
              </w:rPr>
              <w:t>有总锁装置</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4.密封装置：每列的接触面有缓冲及密封装置，由橡胶密封条组成。顶部</w:t>
            </w:r>
            <w:r>
              <w:rPr>
                <w:rFonts w:hint="eastAsia" w:ascii="宋体" w:hAnsi="宋体" w:cs="宋体"/>
                <w:b w:val="0"/>
                <w:bCs w:val="0"/>
                <w:i w:val="0"/>
                <w:color w:val="auto"/>
                <w:kern w:val="0"/>
                <w:sz w:val="21"/>
                <w:szCs w:val="21"/>
                <w:highlight w:val="none"/>
                <w:u w:val="none"/>
                <w:lang w:val="en-US" w:eastAsia="zh-CN" w:bidi="ar"/>
              </w:rPr>
              <w:t>具</w:t>
            </w:r>
            <w:r>
              <w:rPr>
                <w:rFonts w:hint="eastAsia" w:ascii="宋体" w:hAnsi="宋体" w:eastAsia="宋体" w:cs="宋体"/>
                <w:b w:val="0"/>
                <w:bCs w:val="0"/>
                <w:i w:val="0"/>
                <w:color w:val="auto"/>
                <w:kern w:val="0"/>
                <w:sz w:val="21"/>
                <w:szCs w:val="21"/>
                <w:highlight w:val="none"/>
                <w:u w:val="none"/>
                <w:lang w:val="en-US" w:eastAsia="zh-CN" w:bidi="ar"/>
              </w:rPr>
              <w:t>有防尘板，每列架体上方安装防尘压条，</w:t>
            </w:r>
            <w:r>
              <w:rPr>
                <w:rFonts w:hint="eastAsia" w:ascii="宋体" w:hAnsi="宋体" w:cs="宋体"/>
                <w:b w:val="0"/>
                <w:bCs w:val="0"/>
                <w:i w:val="0"/>
                <w:color w:val="auto"/>
                <w:kern w:val="0"/>
                <w:sz w:val="21"/>
                <w:szCs w:val="21"/>
                <w:highlight w:val="none"/>
                <w:u w:val="none"/>
                <w:lang w:val="en-US" w:eastAsia="zh-CN" w:bidi="ar"/>
              </w:rPr>
              <w:t>具有</w:t>
            </w:r>
            <w:r>
              <w:rPr>
                <w:rFonts w:hint="eastAsia" w:ascii="宋体" w:hAnsi="宋体" w:eastAsia="宋体" w:cs="宋体"/>
                <w:b w:val="0"/>
                <w:bCs w:val="0"/>
                <w:i w:val="0"/>
                <w:color w:val="auto"/>
                <w:kern w:val="0"/>
                <w:sz w:val="21"/>
                <w:szCs w:val="21"/>
                <w:highlight w:val="none"/>
                <w:u w:val="none"/>
                <w:lang w:val="en-US" w:eastAsia="zh-CN" w:bidi="ar"/>
              </w:rPr>
              <w:t>防尘、防光、防有害气体，底部有防鼠板，合拢后无缝隙。</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5.密集架结构：双柱双面式密集架由轨道、底盘、立柱、层板、挂板、顶板、侧板、门板、传动装置、防倾倒、防震制动、缓冲密封装置组成。</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6.立柱：</w:t>
            </w:r>
            <w:r>
              <w:rPr>
                <w:rFonts w:hint="eastAsia" w:ascii="宋体" w:hAnsi="宋体" w:eastAsia="宋体" w:cs="宋体"/>
                <w:b w:val="0"/>
                <w:bCs w:val="0"/>
                <w:color w:val="auto"/>
                <w:sz w:val="21"/>
                <w:szCs w:val="21"/>
                <w:highlight w:val="none"/>
                <w:lang w:val="zh-CN"/>
              </w:rPr>
              <w:t>采用≥1.5mm冷轧钢板一体成型，半敞开式，立柱成型尺寸50mm</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zh-CN"/>
              </w:rPr>
              <w:t>39mm（±0.5mm），正面压≥</w:t>
            </w:r>
            <w:r>
              <w:rPr>
                <w:rFonts w:hint="eastAsia" w:ascii="宋体" w:hAnsi="宋体" w:eastAsia="宋体" w:cs="宋体"/>
                <w:b w:val="0"/>
                <w:bCs w:val="0"/>
                <w:color w:val="auto"/>
                <w:sz w:val="21"/>
                <w:szCs w:val="21"/>
                <w:highlight w:val="none"/>
              </w:rPr>
              <w:t>1条</w:t>
            </w:r>
            <w:r>
              <w:rPr>
                <w:rFonts w:hint="eastAsia" w:ascii="宋体" w:hAnsi="宋体" w:eastAsia="宋体" w:cs="宋体"/>
                <w:b w:val="0"/>
                <w:bCs w:val="0"/>
                <w:color w:val="auto"/>
                <w:sz w:val="21"/>
                <w:szCs w:val="21"/>
                <w:highlight w:val="none"/>
                <w:lang w:val="zh-CN"/>
              </w:rPr>
              <w:t>凹型圆筋，立柱正面两角为圆弧形压有凹凸筋各≥</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zh-CN"/>
              </w:rPr>
              <w:t>条，两侧面各压≥</w:t>
            </w:r>
            <w:r>
              <w:rPr>
                <w:rFonts w:hint="eastAsia" w:ascii="宋体" w:hAnsi="宋体" w:eastAsia="宋体" w:cs="宋体"/>
                <w:b w:val="0"/>
                <w:bCs w:val="0"/>
                <w:color w:val="auto"/>
                <w:sz w:val="21"/>
                <w:szCs w:val="21"/>
                <w:highlight w:val="none"/>
              </w:rPr>
              <w:t>1条</w:t>
            </w:r>
            <w:r>
              <w:rPr>
                <w:rFonts w:hint="eastAsia" w:ascii="宋体" w:hAnsi="宋体" w:eastAsia="宋体" w:cs="宋体"/>
                <w:b w:val="0"/>
                <w:bCs w:val="0"/>
                <w:color w:val="auto"/>
                <w:sz w:val="21"/>
                <w:szCs w:val="21"/>
                <w:highlight w:val="none"/>
                <w:lang w:val="zh-CN"/>
              </w:rPr>
              <w:t>凹型圆筋，侧面设有五边形立柱调节孔，孔中心距≥40mm，允许尺寸公差±0.5mm</w:t>
            </w:r>
            <w:r>
              <w:rPr>
                <w:rFonts w:hint="eastAsia" w:ascii="宋体" w:hAnsi="宋体" w:eastAsia="宋体" w:cs="宋体"/>
                <w:b w:val="0"/>
                <w:bCs w:val="0"/>
                <w:color w:val="auto"/>
                <w:sz w:val="21"/>
                <w:szCs w:val="21"/>
                <w:highlight w:val="none"/>
              </w:rPr>
              <w:t>。</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7.</w:t>
            </w:r>
            <w:r>
              <w:rPr>
                <w:rFonts w:hint="eastAsia" w:ascii="宋体" w:hAnsi="宋体" w:eastAsia="宋体" w:cs="宋体"/>
                <w:b w:val="0"/>
                <w:bCs w:val="0"/>
                <w:i w:val="0"/>
                <w:color w:val="auto"/>
                <w:kern w:val="0"/>
                <w:sz w:val="21"/>
                <w:szCs w:val="21"/>
                <w:highlight w:val="none"/>
                <w:u w:val="none"/>
                <w:lang w:val="zh-CN" w:eastAsia="zh-CN" w:bidi="ar"/>
              </w:rPr>
              <w:t>层板</w:t>
            </w:r>
            <w:r>
              <w:rPr>
                <w:rFonts w:hint="eastAsia" w:ascii="宋体" w:hAnsi="宋体" w:eastAsia="宋体" w:cs="宋体"/>
                <w:b w:val="0"/>
                <w:bCs w:val="0"/>
                <w:i w:val="0"/>
                <w:color w:val="auto"/>
                <w:kern w:val="0"/>
                <w:sz w:val="21"/>
                <w:szCs w:val="21"/>
                <w:highlight w:val="none"/>
                <w:u w:val="none"/>
                <w:lang w:val="en-US" w:eastAsia="zh-CN" w:bidi="ar"/>
              </w:rPr>
              <w:t>：</w:t>
            </w:r>
            <w:r>
              <w:rPr>
                <w:rFonts w:hint="eastAsia" w:ascii="宋体" w:hAnsi="宋体" w:eastAsia="宋体" w:cs="宋体"/>
                <w:b w:val="0"/>
                <w:bCs w:val="0"/>
                <w:color w:val="auto"/>
                <w:sz w:val="21"/>
                <w:szCs w:val="21"/>
                <w:highlight w:val="none"/>
                <w:lang w:val="zh-CN"/>
              </w:rPr>
              <w:t>采用≥1.</w:t>
            </w:r>
            <w:r>
              <w:rPr>
                <w:rFonts w:hint="eastAsia" w:ascii="宋体" w:hAnsi="宋体" w:eastAsia="宋体" w:cs="宋体"/>
                <w:b w:val="0"/>
                <w:bCs w:val="0"/>
                <w:color w:val="auto"/>
                <w:sz w:val="21"/>
                <w:szCs w:val="21"/>
                <w:highlight w:val="none"/>
              </w:rPr>
              <w:t>0</w:t>
            </w:r>
            <w:r>
              <w:rPr>
                <w:rFonts w:hint="eastAsia" w:ascii="宋体" w:hAnsi="宋体" w:eastAsia="宋体" w:cs="宋体"/>
                <w:b w:val="0"/>
                <w:bCs w:val="0"/>
                <w:color w:val="auto"/>
                <w:sz w:val="21"/>
                <w:szCs w:val="21"/>
                <w:highlight w:val="none"/>
                <w:lang w:val="zh-CN"/>
              </w:rPr>
              <w:t>mm冷轧钢板，一体成型，正面≥6条加强筋、两侧各≥1条加强筋，一次性滚压成型，成型厚度≥23mm。搁板双面均衡载重≥</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zh-CN"/>
              </w:rPr>
              <w:t>0KG，搁板采用五位一体≥10折弯自动成型工艺，折弯处无切口，压筋采用无焊接不断开工艺，搁板采用整体板材，层间距可任意调整。</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8.挂板：</w:t>
            </w:r>
            <w:r>
              <w:rPr>
                <w:rFonts w:hint="eastAsia" w:ascii="宋体" w:hAnsi="宋体" w:eastAsia="宋体" w:cs="宋体"/>
                <w:b w:val="0"/>
                <w:bCs w:val="0"/>
                <w:color w:val="auto"/>
                <w:sz w:val="21"/>
                <w:szCs w:val="21"/>
                <w:highlight w:val="none"/>
                <w:lang w:val="zh-CN"/>
              </w:rPr>
              <w:t>采用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1.0mm冷轧钢板，一体冲压成型，孔上下位置设有≥4条根圆筋。挂板与立柱之间连接方式</w:t>
            </w:r>
            <w:r>
              <w:rPr>
                <w:rFonts w:hint="eastAsia" w:ascii="宋体" w:hAnsi="宋体" w:eastAsia="宋体" w:cs="宋体"/>
                <w:b w:val="0"/>
                <w:bCs w:val="0"/>
                <w:color w:val="auto"/>
                <w:sz w:val="21"/>
                <w:szCs w:val="21"/>
                <w:highlight w:val="none"/>
                <w:lang w:eastAsia="zh-CN"/>
              </w:rPr>
              <w:t>采用</w:t>
            </w:r>
            <w:r>
              <w:rPr>
                <w:rFonts w:hint="eastAsia" w:ascii="宋体" w:hAnsi="宋体" w:eastAsia="宋体" w:cs="宋体"/>
                <w:b w:val="0"/>
                <w:bCs w:val="0"/>
                <w:color w:val="auto"/>
                <w:sz w:val="21"/>
                <w:szCs w:val="21"/>
                <w:highlight w:val="none"/>
              </w:rPr>
              <w:t>≥6个挂钩扣接。</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9.挡棒：</w:t>
            </w:r>
            <w:r>
              <w:rPr>
                <w:rFonts w:hint="eastAsia" w:ascii="宋体" w:hAnsi="宋体" w:eastAsia="宋体" w:cs="宋体"/>
                <w:b w:val="0"/>
                <w:bCs w:val="0"/>
                <w:color w:val="auto"/>
                <w:sz w:val="21"/>
                <w:szCs w:val="21"/>
                <w:highlight w:val="none"/>
                <w:lang w:val="zh-CN"/>
              </w:rPr>
              <w:t>采用</w:t>
            </w:r>
            <w:r>
              <w:rPr>
                <w:rFonts w:hint="eastAsia" w:ascii="宋体" w:hAnsi="宋体" w:eastAsia="宋体" w:cs="宋体"/>
                <w:b w:val="0"/>
                <w:bCs w:val="0"/>
                <w:color w:val="auto"/>
                <w:sz w:val="21"/>
                <w:szCs w:val="21"/>
                <w:highlight w:val="none"/>
              </w:rPr>
              <w:t>≥1.0mm的冷轧钢板压制成槽型，成型尺寸为15mm</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14mm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zh-CN"/>
              </w:rPr>
              <w:t>±0.5mm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四道弯边一体冲压成型，自锁式挡条。</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10.底梁：</w:t>
            </w:r>
            <w:r>
              <w:rPr>
                <w:rFonts w:hint="eastAsia" w:ascii="宋体" w:hAnsi="宋体" w:eastAsia="宋体" w:cs="宋体"/>
                <w:b w:val="0"/>
                <w:bCs w:val="0"/>
                <w:color w:val="auto"/>
                <w:sz w:val="21"/>
                <w:szCs w:val="21"/>
                <w:highlight w:val="none"/>
                <w:lang w:val="zh-CN"/>
              </w:rPr>
              <w:t>采用</w:t>
            </w:r>
            <w:r>
              <w:rPr>
                <w:rFonts w:hint="eastAsia" w:ascii="宋体" w:hAnsi="宋体" w:eastAsia="宋体" w:cs="宋体"/>
                <w:b w:val="0"/>
                <w:bCs w:val="0"/>
                <w:i w:val="0"/>
                <w:color w:val="auto"/>
                <w:kern w:val="0"/>
                <w:sz w:val="21"/>
                <w:szCs w:val="21"/>
                <w:highlight w:val="none"/>
                <w:u w:val="none"/>
                <w:lang w:val="en-US" w:eastAsia="zh-CN" w:bidi="ar"/>
              </w:rPr>
              <w:t>≥3.0mm热轧钢板，底梁高≥120mm，上下翻边加强，上翻边≥50MM。底盘与主柱连接采用插入式拼接，并用螺栓再次紧固，立柱与底梁接触点垂直受力。底盘采用链条齿轮传动底架、整体式底盘，表面喷塑。</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11.轨道：采用≥3.0mm热轧钢板，轨芯≥20mm×20mm实心方钢，表面采用镀锌处理。</w:t>
            </w:r>
          </w:p>
          <w:p>
            <w:pPr>
              <w:pStyle w:val="97"/>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12.侧板：侧护板采用≥1.0mm冷轧钢板，侧板成型厚度≥58mm。侧板外框由左右侧板条和上下封板形成“回”字型框架。框架四个拐角处采取155（±1）度的斜坡过渡，正面左右侧板条采用141（±1）度的斜坡过渡。中间采取一整块侧板与“回”字型框架相连接。侧板边框左右外挂装饰条，左右各两根，一上一下，错位安装。采用≥0.6mm冷轧钢板一体成型工艺形成，成型尺寸1000mm×22mm×5.5mm（</w:t>
            </w:r>
            <w:r>
              <w:rPr>
                <w:rFonts w:hint="eastAsia" w:ascii="宋体" w:hAnsi="宋体" w:eastAsia="宋体" w:cs="宋体"/>
                <w:b w:val="0"/>
                <w:bCs w:val="0"/>
                <w:color w:val="auto"/>
                <w:sz w:val="21"/>
                <w:szCs w:val="21"/>
                <w:highlight w:val="none"/>
                <w:lang w:val="zh-CN"/>
              </w:rPr>
              <w:t>±0.5mm</w:t>
            </w:r>
            <w:r>
              <w:rPr>
                <w:rFonts w:hint="eastAsia" w:ascii="宋体" w:hAnsi="宋体" w:eastAsia="宋体" w:cs="宋体"/>
                <w:b w:val="0"/>
                <w:bCs w:val="0"/>
                <w:i w:val="0"/>
                <w:color w:val="auto"/>
                <w:kern w:val="0"/>
                <w:sz w:val="21"/>
                <w:szCs w:val="21"/>
                <w:highlight w:val="none"/>
                <w:u w:val="none"/>
                <w:lang w:val="en-US" w:eastAsia="zh-CN" w:bidi="ar"/>
              </w:rPr>
              <w:t>），整体成等边梯形，装饰条左右各≥4挂钩与侧板边框挂接。中侧板前面外挂传动机构辅板，采用≥1.0mm冷轧钢板。成型尺寸800mm×250mm×5.5mm（</w:t>
            </w:r>
            <w:r>
              <w:rPr>
                <w:rFonts w:hint="eastAsia" w:ascii="宋体" w:hAnsi="宋体" w:eastAsia="宋体" w:cs="宋体"/>
                <w:b w:val="0"/>
                <w:bCs w:val="0"/>
                <w:color w:val="auto"/>
                <w:sz w:val="21"/>
                <w:szCs w:val="21"/>
                <w:highlight w:val="none"/>
                <w:lang w:val="zh-CN"/>
              </w:rPr>
              <w:t>±0.5mm</w:t>
            </w:r>
            <w:r>
              <w:rPr>
                <w:rFonts w:hint="eastAsia" w:ascii="宋体" w:hAnsi="宋体" w:eastAsia="宋体" w:cs="宋体"/>
                <w:b w:val="0"/>
                <w:bCs w:val="0"/>
                <w:i w:val="0"/>
                <w:color w:val="auto"/>
                <w:kern w:val="0"/>
                <w:sz w:val="21"/>
                <w:szCs w:val="21"/>
                <w:highlight w:val="none"/>
                <w:u w:val="none"/>
                <w:lang w:val="en-US" w:eastAsia="zh-CN" w:bidi="ar"/>
              </w:rPr>
              <w:t>），左右各≥5挂钩与中间侧板挂接。</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13.门板：采用≥1.0mm冷轧钢板，方形门锁。</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14.顶板：采用≥1.0mm冷轧钢板。</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15.防鼠板：采用≥0.8mm冷轧钢板。</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16.铝合金卡槽密封条：采用≥0.9mm铝合金材质一体成型制作，表面涂装处理，卡槽成型尺寸22mm×11mm（</w:t>
            </w:r>
            <w:r>
              <w:rPr>
                <w:rFonts w:hint="eastAsia" w:ascii="宋体" w:hAnsi="宋体" w:eastAsia="宋体" w:cs="宋体"/>
                <w:b w:val="0"/>
                <w:bCs w:val="0"/>
                <w:color w:val="auto"/>
                <w:sz w:val="21"/>
                <w:szCs w:val="21"/>
                <w:highlight w:val="none"/>
                <w:lang w:val="zh-CN"/>
              </w:rPr>
              <w:t>±0.5mm</w:t>
            </w:r>
            <w:r>
              <w:rPr>
                <w:rFonts w:hint="eastAsia" w:ascii="宋体" w:hAnsi="宋体" w:eastAsia="宋体" w:cs="宋体"/>
                <w:b w:val="0"/>
                <w:bCs w:val="0"/>
                <w:i w:val="0"/>
                <w:color w:val="auto"/>
                <w:kern w:val="0"/>
                <w:sz w:val="21"/>
                <w:szCs w:val="21"/>
                <w:highlight w:val="none"/>
                <w:u w:val="none"/>
                <w:lang w:val="en-US" w:eastAsia="zh-CN" w:bidi="ar"/>
              </w:rPr>
              <w:t>），允许尺寸公差±0.5mm。采用抗老化橡胶密封条。密封条尺寸20mm×14mm±（</w:t>
            </w:r>
            <w:r>
              <w:rPr>
                <w:rFonts w:hint="eastAsia" w:ascii="宋体" w:hAnsi="宋体" w:eastAsia="宋体" w:cs="宋体"/>
                <w:b w:val="0"/>
                <w:bCs w:val="0"/>
                <w:color w:val="auto"/>
                <w:sz w:val="21"/>
                <w:szCs w:val="21"/>
                <w:highlight w:val="none"/>
                <w:lang w:val="zh-CN"/>
              </w:rPr>
              <w:t>±0.5mm</w:t>
            </w:r>
            <w:r>
              <w:rPr>
                <w:rFonts w:hint="eastAsia" w:ascii="宋体" w:hAnsi="宋体" w:eastAsia="宋体" w:cs="宋体"/>
                <w:b w:val="0"/>
                <w:bCs w:val="0"/>
                <w:i w:val="0"/>
                <w:color w:val="auto"/>
                <w:kern w:val="0"/>
                <w:sz w:val="21"/>
                <w:szCs w:val="21"/>
                <w:highlight w:val="none"/>
                <w:u w:val="none"/>
                <w:lang w:val="en-US" w:eastAsia="zh-CN" w:bidi="ar"/>
              </w:rPr>
              <w:t>），密封条固定不得采用胶水、螺丝、铆钉固定磁条。</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17.传动机构：</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17.1圆盘摇手柄：</w:t>
            </w:r>
            <w:r>
              <w:rPr>
                <w:rFonts w:hint="eastAsia" w:ascii="宋体" w:hAnsi="宋体" w:eastAsia="宋体" w:cs="宋体"/>
                <w:b w:val="0"/>
                <w:bCs w:val="0"/>
                <w:color w:val="auto"/>
                <w:sz w:val="21"/>
                <w:szCs w:val="21"/>
                <w:highlight w:val="none"/>
                <w:lang w:val="zh-CN" w:eastAsia="zh-CN"/>
              </w:rPr>
              <w:t>采用ABS材质制作，圆盘外径为390</w:t>
            </w:r>
            <w:r>
              <w:rPr>
                <w:rFonts w:hint="eastAsia" w:ascii="宋体" w:hAnsi="宋体" w:eastAsia="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val="zh-CN"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zh-CN" w:eastAsia="zh-CN"/>
              </w:rPr>
              <w:t>mm</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zh-CN" w:eastAsia="zh-CN"/>
              </w:rPr>
              <w:t>，内径为320</w:t>
            </w:r>
            <w:r>
              <w:rPr>
                <w:rFonts w:hint="eastAsia" w:ascii="宋体" w:hAnsi="宋体" w:eastAsia="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val="zh-CN" w:eastAsia="zh-CN"/>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zh-CN" w:eastAsia="zh-CN"/>
              </w:rPr>
              <w:t>mm</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zh-CN" w:eastAsia="zh-CN"/>
              </w:rPr>
              <w:t>，圆盘表面带有纹路，圆盘中间不少于3根支撑杆，</w:t>
            </w:r>
            <w:r>
              <w:rPr>
                <w:rFonts w:hint="eastAsia" w:ascii="宋体" w:hAnsi="宋体" w:eastAsia="宋体" w:cs="宋体"/>
                <w:b w:val="0"/>
                <w:bCs w:val="0"/>
                <w:color w:val="auto"/>
                <w:sz w:val="21"/>
                <w:szCs w:val="21"/>
                <w:highlight w:val="none"/>
                <w:lang w:val="en-US" w:eastAsia="zh-CN"/>
              </w:rPr>
              <w:t>其中1根</w:t>
            </w:r>
            <w:r>
              <w:rPr>
                <w:rFonts w:hint="eastAsia" w:ascii="宋体" w:hAnsi="宋体" w:eastAsia="宋体" w:cs="宋体"/>
                <w:b w:val="0"/>
                <w:bCs w:val="0"/>
                <w:color w:val="auto"/>
                <w:sz w:val="21"/>
                <w:szCs w:val="21"/>
                <w:highlight w:val="none"/>
                <w:lang w:val="zh-CN" w:eastAsia="zh-CN"/>
              </w:rPr>
              <w:t>支撑杆</w:t>
            </w:r>
            <w:r>
              <w:rPr>
                <w:rFonts w:hint="eastAsia" w:ascii="宋体" w:hAnsi="宋体" w:eastAsia="宋体" w:cs="宋体"/>
                <w:b w:val="0"/>
                <w:bCs w:val="0"/>
                <w:color w:val="auto"/>
                <w:sz w:val="21"/>
                <w:szCs w:val="21"/>
                <w:highlight w:val="none"/>
                <w:lang w:val="en-US" w:eastAsia="zh-CN"/>
              </w:rPr>
              <w:t>设有摇杆收纳槽。支撑杆规格为宽95mm×厚24mm</w:t>
            </w:r>
            <w:r>
              <w:rPr>
                <w:rFonts w:hint="eastAsia" w:ascii="宋体" w:hAnsi="宋体" w:eastAsia="宋体" w:cs="宋体"/>
                <w:b w:val="0"/>
                <w:bCs w:val="0"/>
                <w:color w:val="auto"/>
                <w:sz w:val="21"/>
                <w:szCs w:val="21"/>
                <w:highlight w:val="none"/>
                <w:lang w:val="zh-CN" w:eastAsia="zh-CN"/>
              </w:rPr>
              <w:t>允许尺寸公差±</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zh-CN" w:eastAsia="zh-CN"/>
              </w:rPr>
              <w:t>mm</w:t>
            </w:r>
            <w:r>
              <w:rPr>
                <w:rFonts w:hint="eastAsia" w:ascii="宋体" w:hAnsi="宋体" w:eastAsia="宋体" w:cs="宋体"/>
                <w:b w:val="0"/>
                <w:bCs w:val="0"/>
                <w:color w:val="auto"/>
                <w:sz w:val="21"/>
                <w:szCs w:val="21"/>
                <w:highlight w:val="none"/>
                <w:lang w:val="en-US" w:eastAsia="zh-CN"/>
              </w:rPr>
              <w:t>。</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zh-CN" w:eastAsia="zh-CN" w:bidi="ar"/>
              </w:rPr>
            </w:pPr>
            <w:r>
              <w:rPr>
                <w:rFonts w:hint="eastAsia" w:ascii="宋体" w:hAnsi="宋体" w:eastAsia="宋体" w:cs="宋体"/>
                <w:b w:val="0"/>
                <w:bCs w:val="0"/>
                <w:i w:val="0"/>
                <w:color w:val="auto"/>
                <w:kern w:val="0"/>
                <w:sz w:val="21"/>
                <w:szCs w:val="21"/>
                <w:highlight w:val="none"/>
                <w:u w:val="none"/>
                <w:lang w:val="en-US" w:eastAsia="zh-CN" w:bidi="ar"/>
              </w:rPr>
              <w:t>17.2</w:t>
            </w:r>
            <w:r>
              <w:rPr>
                <w:rFonts w:hint="eastAsia" w:ascii="宋体" w:hAnsi="宋体" w:eastAsia="宋体" w:cs="宋体"/>
                <w:b w:val="0"/>
                <w:bCs w:val="0"/>
                <w:i w:val="0"/>
                <w:color w:val="auto"/>
                <w:kern w:val="0"/>
                <w:sz w:val="21"/>
                <w:szCs w:val="21"/>
                <w:highlight w:val="none"/>
                <w:u w:val="none"/>
                <w:lang w:val="zh-CN" w:eastAsia="zh-CN" w:bidi="ar"/>
              </w:rPr>
              <w:t>传动系统：自由挂档脱落装置；链条需采用摩托车专用链条G12420带短滚珠链。滚轮采用铸铁制造；中轴和短轴采用Φ2</w:t>
            </w:r>
            <w:r>
              <w:rPr>
                <w:rFonts w:hint="eastAsia" w:ascii="宋体" w:hAnsi="宋体" w:eastAsia="宋体" w:cs="宋体"/>
                <w:b w:val="0"/>
                <w:bCs w:val="0"/>
                <w:i w:val="0"/>
                <w:color w:val="auto"/>
                <w:kern w:val="0"/>
                <w:sz w:val="21"/>
                <w:szCs w:val="21"/>
                <w:highlight w:val="none"/>
                <w:u w:val="none"/>
                <w:lang w:val="en-US" w:eastAsia="zh-CN" w:bidi="ar"/>
              </w:rPr>
              <w:t>0</w:t>
            </w:r>
            <w:r>
              <w:rPr>
                <w:rFonts w:hint="eastAsia" w:ascii="宋体" w:hAnsi="宋体" w:eastAsia="宋体" w:cs="宋体"/>
                <w:b w:val="0"/>
                <w:bCs w:val="0"/>
                <w:i w:val="0"/>
                <w:color w:val="auto"/>
                <w:kern w:val="0"/>
                <w:sz w:val="21"/>
                <w:szCs w:val="21"/>
                <w:highlight w:val="none"/>
                <w:u w:val="none"/>
                <w:lang w:val="zh-CN" w:eastAsia="zh-CN" w:bidi="ar"/>
              </w:rPr>
              <w:t>mm45#冷拉实心轴；底盘轴承安装采用P204轴承，具有可靠的中心直线度，即可单列移动也可多列同时移动。</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18.</w:t>
            </w:r>
            <w:r>
              <w:rPr>
                <w:rFonts w:hint="eastAsia" w:ascii="宋体" w:hAnsi="宋体" w:eastAsia="宋体" w:cs="宋体"/>
                <w:b w:val="0"/>
                <w:bCs w:val="0"/>
                <w:i w:val="0"/>
                <w:color w:val="auto"/>
                <w:kern w:val="0"/>
                <w:sz w:val="21"/>
                <w:szCs w:val="21"/>
                <w:highlight w:val="none"/>
                <w:u w:val="none"/>
                <w:lang w:val="zh-CN" w:eastAsia="zh-CN" w:bidi="ar"/>
              </w:rPr>
              <w:t>涂膜技术标准：</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zh-CN" w:eastAsia="zh-CN" w:bidi="ar"/>
              </w:rPr>
            </w:pPr>
            <w:r>
              <w:rPr>
                <w:rFonts w:hint="eastAsia" w:ascii="宋体" w:hAnsi="宋体" w:eastAsia="宋体" w:cs="宋体"/>
                <w:b w:val="0"/>
                <w:bCs w:val="0"/>
                <w:i w:val="0"/>
                <w:color w:val="auto"/>
                <w:kern w:val="0"/>
                <w:sz w:val="21"/>
                <w:szCs w:val="21"/>
                <w:highlight w:val="none"/>
                <w:u w:val="none"/>
                <w:lang w:val="en-US" w:eastAsia="zh-CN" w:bidi="ar"/>
              </w:rPr>
              <w:t>18.1</w:t>
            </w:r>
            <w:r>
              <w:rPr>
                <w:rFonts w:hint="eastAsia" w:ascii="宋体" w:hAnsi="宋体" w:eastAsia="宋体" w:cs="宋体"/>
                <w:b w:val="0"/>
                <w:bCs w:val="0"/>
                <w:i w:val="0"/>
                <w:color w:val="auto"/>
                <w:kern w:val="0"/>
                <w:sz w:val="21"/>
                <w:szCs w:val="21"/>
                <w:highlight w:val="none"/>
                <w:u w:val="none"/>
                <w:lang w:val="zh-CN" w:eastAsia="zh-CN" w:bidi="ar"/>
              </w:rPr>
              <w:t>光泽测定：60%镜面反射率，测定40°+5%。</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zh-CN" w:eastAsia="zh-CN" w:bidi="ar"/>
              </w:rPr>
            </w:pPr>
            <w:r>
              <w:rPr>
                <w:rFonts w:hint="eastAsia" w:ascii="宋体" w:hAnsi="宋体" w:eastAsia="宋体" w:cs="宋体"/>
                <w:b w:val="0"/>
                <w:bCs w:val="0"/>
                <w:i w:val="0"/>
                <w:color w:val="auto"/>
                <w:kern w:val="0"/>
                <w:sz w:val="21"/>
                <w:szCs w:val="21"/>
                <w:highlight w:val="none"/>
                <w:u w:val="none"/>
                <w:lang w:val="en-US" w:eastAsia="zh-CN" w:bidi="ar"/>
              </w:rPr>
              <w:t>18.2</w:t>
            </w:r>
            <w:r>
              <w:rPr>
                <w:rFonts w:hint="eastAsia" w:ascii="宋体" w:hAnsi="宋体" w:eastAsia="宋体" w:cs="宋体"/>
                <w:b w:val="0"/>
                <w:bCs w:val="0"/>
                <w:i w:val="0"/>
                <w:color w:val="auto"/>
                <w:kern w:val="0"/>
                <w:sz w:val="21"/>
                <w:szCs w:val="21"/>
                <w:highlight w:val="none"/>
                <w:u w:val="none"/>
                <w:lang w:val="zh-CN" w:eastAsia="zh-CN" w:bidi="ar"/>
              </w:rPr>
              <w:t>耐冲击力：冲击试验1/2″*500g&gt;30cm正面冲击，涂膜无裂纹、皱纹及剥落现象。</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zh-CN" w:eastAsia="zh-CN" w:bidi="ar"/>
              </w:rPr>
            </w:pPr>
            <w:r>
              <w:rPr>
                <w:rFonts w:hint="eastAsia" w:ascii="宋体" w:hAnsi="宋体" w:eastAsia="宋体" w:cs="宋体"/>
                <w:b w:val="0"/>
                <w:bCs w:val="0"/>
                <w:i w:val="0"/>
                <w:color w:val="auto"/>
                <w:kern w:val="0"/>
                <w:sz w:val="21"/>
                <w:szCs w:val="21"/>
                <w:highlight w:val="none"/>
                <w:u w:val="none"/>
                <w:lang w:val="en-US" w:eastAsia="zh-CN" w:bidi="ar"/>
              </w:rPr>
              <w:t>19.</w:t>
            </w:r>
            <w:r>
              <w:rPr>
                <w:rFonts w:hint="eastAsia" w:ascii="宋体" w:hAnsi="宋体" w:eastAsia="宋体" w:cs="宋体"/>
                <w:b w:val="0"/>
                <w:bCs w:val="0"/>
                <w:i w:val="0"/>
                <w:color w:val="auto"/>
                <w:kern w:val="0"/>
                <w:sz w:val="21"/>
                <w:szCs w:val="21"/>
                <w:highlight w:val="none"/>
                <w:u w:val="none"/>
                <w:lang w:val="zh-CN" w:eastAsia="zh-CN" w:bidi="ar"/>
              </w:rPr>
              <w:t>载重性能：</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zh-CN" w:eastAsia="zh-CN" w:bidi="ar"/>
              </w:rPr>
            </w:pPr>
            <w:r>
              <w:rPr>
                <w:rFonts w:hint="eastAsia" w:ascii="宋体" w:hAnsi="宋体" w:eastAsia="宋体" w:cs="宋体"/>
                <w:b w:val="0"/>
                <w:bCs w:val="0"/>
                <w:i w:val="0"/>
                <w:color w:val="auto"/>
                <w:kern w:val="0"/>
                <w:sz w:val="21"/>
                <w:szCs w:val="21"/>
                <w:highlight w:val="none"/>
                <w:u w:val="none"/>
                <w:lang w:val="en-US" w:eastAsia="zh-CN" w:bidi="ar"/>
              </w:rPr>
              <w:t>19.1</w:t>
            </w:r>
            <w:r>
              <w:rPr>
                <w:rFonts w:hint="eastAsia" w:ascii="宋体" w:hAnsi="宋体" w:eastAsia="宋体" w:cs="宋体"/>
                <w:b w:val="0"/>
                <w:bCs w:val="0"/>
                <w:i w:val="0"/>
                <w:color w:val="auto"/>
                <w:kern w:val="0"/>
                <w:sz w:val="21"/>
                <w:szCs w:val="21"/>
                <w:highlight w:val="none"/>
                <w:u w:val="none"/>
                <w:lang w:val="zh-CN" w:eastAsia="zh-CN" w:bidi="ar"/>
              </w:rPr>
              <w:t>在每层搁板上加载重≥</w:t>
            </w:r>
            <w:r>
              <w:rPr>
                <w:rFonts w:hint="eastAsia" w:ascii="宋体" w:hAnsi="宋体" w:eastAsia="宋体" w:cs="宋体"/>
                <w:b w:val="0"/>
                <w:bCs w:val="0"/>
                <w:i w:val="0"/>
                <w:color w:val="auto"/>
                <w:kern w:val="0"/>
                <w:sz w:val="21"/>
                <w:szCs w:val="21"/>
                <w:highlight w:val="none"/>
                <w:u w:val="none"/>
                <w:lang w:val="en-US" w:eastAsia="zh-CN" w:bidi="ar"/>
              </w:rPr>
              <w:t>8</w:t>
            </w:r>
            <w:r>
              <w:rPr>
                <w:rFonts w:hint="eastAsia" w:ascii="宋体" w:hAnsi="宋体" w:eastAsia="宋体" w:cs="宋体"/>
                <w:b w:val="0"/>
                <w:bCs w:val="0"/>
                <w:i w:val="0"/>
                <w:color w:val="auto"/>
                <w:kern w:val="0"/>
                <w:sz w:val="21"/>
                <w:szCs w:val="21"/>
                <w:highlight w:val="none"/>
                <w:u w:val="none"/>
                <w:lang w:val="zh-CN" w:eastAsia="zh-CN" w:bidi="ar"/>
              </w:rPr>
              <w:t>0kg，经≥24h连续试验后，挂板、搁板、立柱及其结合部位无塑性变形和其他异常现象；全</w:t>
            </w:r>
            <w:r>
              <w:rPr>
                <w:rFonts w:hint="eastAsia" w:ascii="宋体" w:hAnsi="宋体" w:eastAsia="宋体" w:cs="宋体"/>
                <w:b w:val="0"/>
                <w:bCs w:val="0"/>
                <w:i w:val="0"/>
                <w:color w:val="auto"/>
                <w:kern w:val="0"/>
                <w:sz w:val="21"/>
                <w:szCs w:val="21"/>
                <w:highlight w:val="none"/>
                <w:u w:val="none"/>
                <w:lang w:val="en-US" w:eastAsia="zh-CN" w:bidi="ar"/>
              </w:rPr>
              <w:t>静</w:t>
            </w:r>
            <w:r>
              <w:rPr>
                <w:rFonts w:hint="eastAsia" w:ascii="宋体" w:hAnsi="宋体" w:eastAsia="宋体" w:cs="宋体"/>
                <w:b w:val="0"/>
                <w:bCs w:val="0"/>
                <w:i w:val="0"/>
                <w:color w:val="auto"/>
                <w:kern w:val="0"/>
                <w:sz w:val="21"/>
                <w:szCs w:val="21"/>
                <w:highlight w:val="none"/>
                <w:u w:val="none"/>
                <w:lang w:val="zh-CN" w:eastAsia="zh-CN" w:bidi="ar"/>
              </w:rPr>
              <w:t>载荷情况下进行载重运行，架体运动自如，无阻滞现象，手柄摇力≤3.5N。</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20.搁板（层板）静载荷：</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rtl w:val="0"/>
                <w:lang w:val="zh-CN" w:eastAsia="zh-CN" w:bidi="ar"/>
              </w:rPr>
              <w:t>★</w:t>
            </w:r>
            <w:r>
              <w:rPr>
                <w:rFonts w:hint="eastAsia" w:ascii="宋体" w:hAnsi="宋体" w:eastAsia="宋体" w:cs="宋体"/>
                <w:b/>
                <w:bCs/>
                <w:i w:val="0"/>
                <w:color w:val="auto"/>
                <w:kern w:val="0"/>
                <w:sz w:val="21"/>
                <w:szCs w:val="21"/>
                <w:highlight w:val="none"/>
                <w:u w:val="none"/>
                <w:rtl w:val="0"/>
                <w:lang w:val="en-US" w:eastAsia="zh-CN" w:bidi="ar"/>
              </w:rPr>
              <w:t>提供智能密集架第三方国家认可机构出具的检测报告，检测报告抽样基数≥</w:t>
            </w:r>
            <w:r>
              <w:rPr>
                <w:rFonts w:hint="eastAsia" w:ascii="宋体" w:hAnsi="宋体" w:cs="宋体"/>
                <w:b/>
                <w:bCs/>
                <w:i w:val="0"/>
                <w:color w:val="auto"/>
                <w:kern w:val="0"/>
                <w:sz w:val="21"/>
                <w:szCs w:val="21"/>
                <w:highlight w:val="none"/>
                <w:u w:val="none"/>
                <w:rtl w:val="0"/>
                <w:lang w:val="en-US" w:eastAsia="zh-CN" w:bidi="ar"/>
              </w:rPr>
              <w:t>300组</w:t>
            </w:r>
            <w:r>
              <w:rPr>
                <w:rFonts w:hint="eastAsia" w:ascii="宋体" w:hAnsi="宋体" w:eastAsia="宋体" w:cs="宋体"/>
                <w:b/>
                <w:bCs/>
                <w:i w:val="0"/>
                <w:color w:val="auto"/>
                <w:kern w:val="0"/>
                <w:sz w:val="21"/>
                <w:szCs w:val="21"/>
                <w:highlight w:val="none"/>
                <w:u w:val="none"/>
                <w:rtl w:val="0"/>
                <w:lang w:val="en-US" w:eastAsia="zh-CN" w:bidi="ar"/>
              </w:rPr>
              <w:t>，检测项目包含但不限于：</w:t>
            </w:r>
            <w:r>
              <w:rPr>
                <w:rFonts w:hint="eastAsia" w:ascii="宋体" w:hAnsi="宋体" w:eastAsia="宋体" w:cs="宋体"/>
                <w:b/>
                <w:bCs/>
                <w:i w:val="0"/>
                <w:color w:val="auto"/>
                <w:kern w:val="0"/>
                <w:sz w:val="21"/>
                <w:szCs w:val="21"/>
                <w:highlight w:val="none"/>
                <w:u w:val="none"/>
                <w:lang w:val="en-US" w:eastAsia="zh-CN" w:bidi="ar"/>
              </w:rPr>
              <w:t>符合国家GB/T13667.3-2013中6.4.1标准；搁板上均布静载荷≥1000N，放置≥24h，试验后，最大扰度为≤1.0mm，残余变形量为≤0.05mm。</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21.架体结构耐久性能和强度要求：</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rtl w:val="0"/>
                <w:lang w:val="en-US" w:eastAsia="zh-CN" w:bidi="ar"/>
              </w:rPr>
              <w:t>21.1</w:t>
            </w:r>
            <w:r>
              <w:rPr>
                <w:rFonts w:hint="eastAsia" w:ascii="宋体" w:hAnsi="宋体" w:eastAsia="宋体" w:cs="宋体"/>
                <w:b w:val="0"/>
                <w:bCs w:val="0"/>
                <w:i w:val="0"/>
                <w:color w:val="auto"/>
                <w:kern w:val="0"/>
                <w:sz w:val="21"/>
                <w:szCs w:val="21"/>
                <w:highlight w:val="none"/>
                <w:u w:val="none"/>
                <w:rtl w:val="0"/>
                <w:lang w:val="zh-CN" w:eastAsia="zh-CN" w:bidi="ar"/>
              </w:rPr>
              <w:t>★</w:t>
            </w:r>
            <w:r>
              <w:rPr>
                <w:rFonts w:hint="eastAsia" w:ascii="宋体" w:hAnsi="宋体" w:eastAsia="宋体" w:cs="宋体"/>
                <w:b/>
                <w:bCs/>
                <w:i w:val="0"/>
                <w:color w:val="auto"/>
                <w:kern w:val="0"/>
                <w:sz w:val="21"/>
                <w:szCs w:val="21"/>
                <w:highlight w:val="none"/>
                <w:u w:val="none"/>
                <w:rtl w:val="0"/>
                <w:lang w:val="en-US" w:eastAsia="zh-CN" w:bidi="ar"/>
              </w:rPr>
              <w:t>提供智能密集架第三方</w:t>
            </w:r>
            <w:bookmarkStart w:id="97" w:name="_GoBack"/>
            <w:bookmarkEnd w:id="97"/>
            <w:r>
              <w:rPr>
                <w:rFonts w:hint="eastAsia" w:ascii="宋体" w:hAnsi="宋体" w:eastAsia="宋体" w:cs="宋体"/>
                <w:b/>
                <w:bCs/>
                <w:i w:val="0"/>
                <w:color w:val="auto"/>
                <w:kern w:val="0"/>
                <w:sz w:val="21"/>
                <w:szCs w:val="21"/>
                <w:highlight w:val="none"/>
                <w:u w:val="none"/>
                <w:rtl w:val="0"/>
                <w:lang w:val="en-US" w:eastAsia="zh-CN" w:bidi="ar"/>
              </w:rPr>
              <w:t>国家认可机构出具的检测报告，检测报告抽样基数≥</w:t>
            </w:r>
            <w:r>
              <w:rPr>
                <w:rFonts w:hint="eastAsia" w:ascii="宋体" w:hAnsi="宋体" w:cs="宋体"/>
                <w:b/>
                <w:bCs/>
                <w:i w:val="0"/>
                <w:color w:val="auto"/>
                <w:kern w:val="0"/>
                <w:sz w:val="21"/>
                <w:szCs w:val="21"/>
                <w:highlight w:val="none"/>
                <w:u w:val="none"/>
                <w:rtl w:val="0"/>
                <w:lang w:val="en-US" w:eastAsia="zh-CN" w:bidi="ar"/>
              </w:rPr>
              <w:t>300组</w:t>
            </w:r>
            <w:r>
              <w:rPr>
                <w:rFonts w:hint="eastAsia" w:ascii="宋体" w:hAnsi="宋体" w:eastAsia="宋体" w:cs="宋体"/>
                <w:b/>
                <w:bCs/>
                <w:i w:val="0"/>
                <w:color w:val="auto"/>
                <w:kern w:val="0"/>
                <w:sz w:val="21"/>
                <w:szCs w:val="21"/>
                <w:highlight w:val="none"/>
                <w:u w:val="none"/>
                <w:rtl w:val="0"/>
                <w:lang w:val="en-US" w:eastAsia="zh-CN" w:bidi="ar"/>
              </w:rPr>
              <w:t>，检测项目包含但不限于：</w:t>
            </w:r>
            <w:r>
              <w:rPr>
                <w:rFonts w:hint="eastAsia" w:ascii="宋体" w:hAnsi="宋体" w:eastAsia="宋体" w:cs="宋体"/>
                <w:b/>
                <w:bCs/>
                <w:i w:val="0"/>
                <w:color w:val="auto"/>
                <w:kern w:val="0"/>
                <w:sz w:val="21"/>
                <w:szCs w:val="21"/>
                <w:highlight w:val="none"/>
                <w:u w:val="none"/>
                <w:lang w:val="en-US" w:eastAsia="zh-CN" w:bidi="ar"/>
              </w:rPr>
              <w:t>结构强度（隔板加载≥120kg，≥500次试验）：符合国家GB/T13667.3-2013中6.6标准；标准架列在全静载荷的情况下，沿X、Y轴两个方向进行水平拉力试验，水平拉力为自重与全静载荷之和的1/15，经连续试验≥500次，试验中架体不得发生倾倒现象，试验后架体倾斜量不得大于架体总高的1%，各结构部件应无塑性变形或其他异常现象。</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rtl w:val="0"/>
                <w:lang w:val="en-US" w:eastAsia="zh-CN" w:bidi="ar"/>
              </w:rPr>
              <w:t>21.2</w:t>
            </w:r>
            <w:r>
              <w:rPr>
                <w:rFonts w:hint="eastAsia" w:ascii="宋体" w:hAnsi="宋体" w:eastAsia="宋体" w:cs="宋体"/>
                <w:b w:val="0"/>
                <w:bCs w:val="0"/>
                <w:i w:val="0"/>
                <w:color w:val="auto"/>
                <w:kern w:val="0"/>
                <w:sz w:val="21"/>
                <w:szCs w:val="21"/>
                <w:highlight w:val="none"/>
                <w:u w:val="none"/>
                <w:rtl w:val="0"/>
                <w:lang w:val="zh-CN" w:eastAsia="zh-CN" w:bidi="ar"/>
              </w:rPr>
              <w:t>★</w:t>
            </w:r>
            <w:r>
              <w:rPr>
                <w:rFonts w:hint="eastAsia" w:ascii="宋体" w:hAnsi="宋体" w:eastAsia="宋体" w:cs="宋体"/>
                <w:b/>
                <w:bCs/>
                <w:i w:val="0"/>
                <w:color w:val="auto"/>
                <w:kern w:val="0"/>
                <w:sz w:val="21"/>
                <w:szCs w:val="21"/>
                <w:highlight w:val="none"/>
                <w:u w:val="none"/>
                <w:rtl w:val="0"/>
                <w:lang w:val="en-US" w:eastAsia="zh-CN" w:bidi="ar"/>
              </w:rPr>
              <w:t>提供智能密集架第三方国家认可机构出具的检测报告，检测报告抽样基数≥</w:t>
            </w:r>
            <w:r>
              <w:rPr>
                <w:rFonts w:hint="eastAsia" w:ascii="宋体" w:hAnsi="宋体" w:cs="宋体"/>
                <w:b/>
                <w:bCs/>
                <w:i w:val="0"/>
                <w:color w:val="auto"/>
                <w:kern w:val="0"/>
                <w:sz w:val="21"/>
                <w:szCs w:val="21"/>
                <w:highlight w:val="none"/>
                <w:u w:val="none"/>
                <w:rtl w:val="0"/>
                <w:lang w:val="en-US" w:eastAsia="zh-CN" w:bidi="ar"/>
              </w:rPr>
              <w:t>300组</w:t>
            </w:r>
            <w:r>
              <w:rPr>
                <w:rFonts w:hint="eastAsia" w:ascii="宋体" w:hAnsi="宋体" w:eastAsia="宋体" w:cs="宋体"/>
                <w:b/>
                <w:bCs/>
                <w:i w:val="0"/>
                <w:color w:val="auto"/>
                <w:kern w:val="0"/>
                <w:sz w:val="21"/>
                <w:szCs w:val="21"/>
                <w:highlight w:val="none"/>
                <w:u w:val="none"/>
                <w:rtl w:val="0"/>
                <w:lang w:val="en-US" w:eastAsia="zh-CN" w:bidi="ar"/>
              </w:rPr>
              <w:t>，检测项目包含但不限于：</w:t>
            </w:r>
            <w:r>
              <w:rPr>
                <w:rFonts w:hint="eastAsia" w:ascii="宋体" w:hAnsi="宋体" w:eastAsia="宋体" w:cs="宋体"/>
                <w:b/>
                <w:bCs/>
                <w:i w:val="0"/>
                <w:color w:val="auto"/>
                <w:kern w:val="0"/>
                <w:sz w:val="21"/>
                <w:szCs w:val="21"/>
                <w:highlight w:val="none"/>
                <w:u w:val="none"/>
                <w:lang w:val="en-US" w:eastAsia="zh-CN" w:bidi="ar"/>
              </w:rPr>
              <w:t>符合国家GB/T10357.5-2023中7.1.5标准；开门耐久性试验（挂载≥2kg重物2个，≥250000次试验）；a）没有任何构件、接头或部件断裂；b）不存在拟刚性接头松动；c）不得有损害功能的损害；d）活动部件的活动应灵活。</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22.制造要求：</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22.1凡需焊接的部位焊接牢固，焊点均匀，焊痕高度≤1mm，焊点间距≤100。焊痕表面波纹平整，无焊焦、焊穿现象。</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22.2冲压件平整无毛刺，无裂痕，冲压尺寸的误差控制在+2.0mm之内。</w:t>
            </w:r>
          </w:p>
          <w:p>
            <w:pPr>
              <w:pStyle w:val="9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Chars="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22.3折弯到位，以确保工件折弯所需角度，其邻边垂直度、平行度控制在≤1.5mm内。</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22.4涂层表面平整光滑，色泽均匀一致，无流挂、起粒、皱皮、露底、剥落、伤痕等外观缺陷。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智能密集架控制系统</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1.密集架控制器：</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1.1固定列电脑一体机：</w:t>
            </w:r>
            <w:r>
              <w:rPr>
                <w:rFonts w:hint="eastAsia" w:ascii="宋体" w:hAnsi="宋体" w:cs="宋体"/>
                <w:b w:val="0"/>
                <w:bCs w:val="0"/>
                <w:i w:val="0"/>
                <w:color w:val="auto"/>
                <w:kern w:val="0"/>
                <w:sz w:val="21"/>
                <w:szCs w:val="21"/>
                <w:highlight w:val="none"/>
                <w:u w:val="none"/>
                <w:lang w:val="en-US" w:eastAsia="zh-CN" w:bidi="ar"/>
              </w:rPr>
              <w:t>触摸屏</w:t>
            </w:r>
            <w:r>
              <w:rPr>
                <w:rFonts w:hint="eastAsia" w:ascii="宋体" w:hAnsi="宋体" w:eastAsia="宋体" w:cs="宋体"/>
                <w:b w:val="0"/>
                <w:bCs w:val="0"/>
                <w:i w:val="0"/>
                <w:color w:val="auto"/>
                <w:kern w:val="0"/>
                <w:sz w:val="21"/>
                <w:szCs w:val="21"/>
                <w:highlight w:val="none"/>
                <w:u w:val="none"/>
                <w:lang w:val="en-US" w:eastAsia="zh-CN" w:bidi="ar"/>
              </w:rPr>
              <w:t>≥15英寸、系统采用嵌入式，</w:t>
            </w:r>
            <w:r>
              <w:rPr>
                <w:rFonts w:hint="eastAsia" w:ascii="宋体" w:hAnsi="宋体" w:cs="宋体"/>
                <w:b w:val="0"/>
                <w:bCs w:val="0"/>
                <w:i w:val="0"/>
                <w:color w:val="auto"/>
                <w:kern w:val="0"/>
                <w:sz w:val="21"/>
                <w:szCs w:val="21"/>
                <w:highlight w:val="none"/>
                <w:u w:val="none"/>
                <w:lang w:val="en-US" w:eastAsia="zh-CN" w:bidi="ar"/>
              </w:rPr>
              <w:t>具有</w:t>
            </w:r>
            <w:r>
              <w:rPr>
                <w:rFonts w:hint="eastAsia" w:ascii="宋体" w:hAnsi="宋体" w:eastAsia="宋体" w:cs="宋体"/>
                <w:b w:val="0"/>
                <w:bCs w:val="0"/>
                <w:i w:val="0"/>
                <w:color w:val="auto"/>
                <w:kern w:val="0"/>
                <w:sz w:val="21"/>
                <w:szCs w:val="21"/>
                <w:highlight w:val="none"/>
                <w:u w:val="none"/>
                <w:lang w:val="en-US" w:eastAsia="zh-CN" w:bidi="ar"/>
              </w:rPr>
              <w:t>通过固定列触摸屏控制各架体移动、停止、通风、关闭、系统操作设置等各种操作。具有开架列表功能。</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1.2移动列电动控制功能：≥8英寸彩色触控屏；支持控制移动列的向左、向右移动，合架，通风及停止，支持手势滑动操作；支持电机，灯光，移动距离等架体参数设定；支持运行时实时显示移动距离及工作电流；支持通讯状态实时显示；支持灯光独立控制；支持用户手动测试界面，调试密集架功能和零部件。</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1.3列号显示屏：可显示列号。</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1.4主控列采用嵌入式操作系统：操作系统既保证主控列具有高速运行的速度又保证系统的可扩展性。</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1.5固定列统计：固定列具有统计当前区域的档案存量情况，并以饼图形式直观展现。分别记录在库和在借数据。</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2.密集架管理软件：</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2.1电脑控制功能：</w:t>
            </w:r>
            <w:r>
              <w:rPr>
                <w:rFonts w:hint="eastAsia" w:ascii="宋体" w:hAnsi="宋体" w:cs="宋体"/>
                <w:b w:val="0"/>
                <w:bCs w:val="0"/>
                <w:i w:val="0"/>
                <w:color w:val="auto"/>
                <w:kern w:val="0"/>
                <w:sz w:val="21"/>
                <w:szCs w:val="21"/>
                <w:highlight w:val="none"/>
                <w:u w:val="none"/>
                <w:lang w:val="en-US" w:eastAsia="zh-CN" w:bidi="ar"/>
              </w:rPr>
              <w:t>具备</w:t>
            </w:r>
            <w:r>
              <w:rPr>
                <w:rFonts w:hint="eastAsia" w:ascii="宋体" w:hAnsi="宋体" w:eastAsia="宋体" w:cs="宋体"/>
                <w:b w:val="0"/>
                <w:bCs w:val="0"/>
                <w:i w:val="0"/>
                <w:color w:val="auto"/>
                <w:kern w:val="0"/>
                <w:sz w:val="21"/>
                <w:szCs w:val="21"/>
                <w:highlight w:val="none"/>
                <w:u w:val="none"/>
                <w:lang w:val="en-US" w:eastAsia="zh-CN" w:bidi="ar"/>
              </w:rPr>
              <w:t>通过电脑远程控制各架体移动、停止、通风、关闭、系统操作设置、资料管理查询录入等各种操作。</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2.2手电动互换功能：架体停电或断电后自动切换成手动状态；架体移动运行过程中手动或电动操作可随时任意切换，互不干扰。</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rtl w:val="0"/>
                <w:lang w:val="zh-CN" w:eastAsia="zh-CN" w:bidi="ar"/>
              </w:rPr>
              <w:t>★</w:t>
            </w:r>
            <w:r>
              <w:rPr>
                <w:rFonts w:hint="eastAsia" w:ascii="宋体" w:hAnsi="宋体" w:eastAsia="宋体" w:cs="宋体"/>
                <w:b w:val="0"/>
                <w:bCs w:val="0"/>
                <w:i w:val="0"/>
                <w:color w:val="auto"/>
                <w:kern w:val="0"/>
                <w:sz w:val="21"/>
                <w:szCs w:val="21"/>
                <w:highlight w:val="none"/>
                <w:u w:val="none"/>
                <w:rtl w:val="0"/>
                <w:lang w:val="en-US" w:eastAsia="zh-CN" w:bidi="ar"/>
              </w:rPr>
              <w:t>3.</w:t>
            </w:r>
            <w:r>
              <w:rPr>
                <w:rFonts w:hint="eastAsia" w:ascii="宋体" w:hAnsi="宋体" w:eastAsia="宋体" w:cs="宋体"/>
                <w:b w:val="0"/>
                <w:bCs w:val="0"/>
                <w:i w:val="0"/>
                <w:color w:val="auto"/>
                <w:kern w:val="0"/>
                <w:sz w:val="21"/>
                <w:szCs w:val="21"/>
                <w:highlight w:val="none"/>
                <w:u w:val="none"/>
                <w:lang w:val="en-US" w:eastAsia="zh-CN" w:bidi="ar"/>
              </w:rPr>
              <w:t>电源控制保护功能：运行过程中如发生异常，智能密集架将启动电源控制保护功能，自动断开所有移动列电源。</w:t>
            </w:r>
            <w:r>
              <w:rPr>
                <w:rFonts w:hint="eastAsia" w:ascii="宋体" w:hAnsi="宋体" w:eastAsia="宋体" w:cs="宋体"/>
                <w:b/>
                <w:bCs/>
                <w:i w:val="0"/>
                <w:color w:val="auto"/>
                <w:kern w:val="0"/>
                <w:sz w:val="21"/>
                <w:szCs w:val="21"/>
                <w:highlight w:val="none"/>
                <w:u w:val="none"/>
                <w:rtl w:val="0"/>
                <w:lang w:val="en-US" w:eastAsia="zh-CN" w:bidi="ar"/>
              </w:rPr>
              <w:t>提供电源控制保护器</w:t>
            </w:r>
            <w:r>
              <w:rPr>
                <w:rFonts w:hint="eastAsia" w:ascii="宋体" w:hAnsi="宋体" w:cs="宋体"/>
                <w:b/>
                <w:bCs/>
                <w:i w:val="0"/>
                <w:color w:val="auto"/>
                <w:kern w:val="0"/>
                <w:sz w:val="21"/>
                <w:szCs w:val="21"/>
                <w:highlight w:val="none"/>
                <w:u w:val="none"/>
                <w:rtl w:val="0"/>
                <w:lang w:val="en-US" w:eastAsia="zh-CN" w:bidi="ar"/>
              </w:rPr>
              <w:t>第三方国家认可机构出具的检测报告</w:t>
            </w:r>
            <w:r>
              <w:rPr>
                <w:rFonts w:hint="eastAsia" w:ascii="宋体" w:hAnsi="宋体" w:eastAsia="宋体" w:cs="宋体"/>
                <w:b/>
                <w:bCs/>
                <w:i w:val="0"/>
                <w:color w:val="auto"/>
                <w:kern w:val="0"/>
                <w:sz w:val="21"/>
                <w:szCs w:val="21"/>
                <w:highlight w:val="none"/>
                <w:u w:val="none"/>
                <w:rtl w:val="0"/>
                <w:lang w:val="en-US" w:eastAsia="zh-CN" w:bidi="ar"/>
              </w:rPr>
              <w:t>，检测项目包含但不限于：①符合国家GB/T 14048.1-2023标准：</w:t>
            </w:r>
            <w:r>
              <w:rPr>
                <w:rFonts w:hint="eastAsia" w:ascii="宋体" w:hAnsi="宋体" w:eastAsia="宋体" w:cs="宋体"/>
                <w:b/>
                <w:bCs/>
                <w:i w:val="0"/>
                <w:color w:val="auto"/>
                <w:kern w:val="0"/>
                <w:sz w:val="21"/>
                <w:szCs w:val="21"/>
                <w:highlight w:val="none"/>
                <w:u w:val="none"/>
                <w:shd w:val="clear"/>
                <w:rtl w:val="0"/>
                <w:lang w:val="en-US" w:eastAsia="zh-CN" w:bidi="ar"/>
              </w:rPr>
              <w:t>冲击耐压要求：1</w:t>
            </w:r>
            <w:r>
              <w:rPr>
                <w:rFonts w:hint="eastAsia" w:ascii="宋体" w:hAnsi="宋体" w:eastAsia="宋体" w:cs="宋体"/>
                <w:b/>
                <w:bCs/>
                <w:i w:val="0"/>
                <w:color w:val="auto"/>
                <w:kern w:val="0"/>
                <w:sz w:val="21"/>
                <w:szCs w:val="21"/>
                <w:highlight w:val="none"/>
                <w:u w:val="none"/>
                <w:rtl w:val="0"/>
                <w:lang w:val="en-US" w:eastAsia="zh-CN" w:bidi="ar"/>
              </w:rPr>
              <w:t>.2/50μs；②电气间隙：≥2mm；爬电距离：≥5mm；③检验电压：1890v  50Hz；施压时间：≥50S</w:t>
            </w:r>
            <w:r>
              <w:rPr>
                <w:rFonts w:hint="eastAsia" w:ascii="宋体" w:hAnsi="宋体" w:eastAsia="宋体" w:cs="宋体"/>
                <w:b/>
                <w:bCs/>
                <w:i w:val="0"/>
                <w:color w:val="auto"/>
                <w:kern w:val="0"/>
                <w:sz w:val="21"/>
                <w:szCs w:val="21"/>
                <w:highlight w:val="none"/>
                <w:u w:val="none"/>
                <w:lang w:val="en-US" w:eastAsia="zh-CN" w:bidi="ar"/>
              </w:rPr>
              <w:t>。</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4.活动列具有硬件验收界面：活动列具有专门的检测界面，可以对灯光、电机、传感器等主要设备进行验收检测。</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5.快速通道打开功能：在需要打开的通道两边都有架体没有闭合时，可以快速向两边同时移动架体节约时间。</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6.架体缓启、缓停功能：支持架体缓启、缓停，低速起动、高速运行，轻柔合拢的曲线运行。支持架体锁定后，禁止手摇，强制手摇时非常费力。</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color w:val="auto"/>
                <w:kern w:val="0"/>
                <w:sz w:val="21"/>
                <w:szCs w:val="21"/>
                <w:highlight w:val="none"/>
                <w:u w:val="none"/>
                <w:rtl w:val="0"/>
                <w:lang w:val="zh-CN" w:eastAsia="zh-CN" w:bidi="ar"/>
              </w:rPr>
              <w:t>★</w:t>
            </w:r>
            <w:r>
              <w:rPr>
                <w:rFonts w:hint="eastAsia" w:ascii="宋体" w:hAnsi="宋体" w:eastAsia="宋体" w:cs="宋体"/>
                <w:b w:val="0"/>
                <w:bCs w:val="0"/>
                <w:i w:val="0"/>
                <w:color w:val="auto"/>
                <w:kern w:val="0"/>
                <w:sz w:val="21"/>
                <w:szCs w:val="21"/>
                <w:highlight w:val="none"/>
                <w:u w:val="none"/>
                <w:rtl w:val="0"/>
                <w:lang w:val="en-US" w:eastAsia="zh-CN" w:bidi="ar"/>
              </w:rPr>
              <w:t>7.</w:t>
            </w:r>
            <w:r>
              <w:rPr>
                <w:rFonts w:hint="eastAsia" w:ascii="宋体" w:hAnsi="宋体" w:eastAsia="宋体" w:cs="宋体"/>
                <w:b w:val="0"/>
                <w:bCs w:val="0"/>
                <w:i w:val="0"/>
                <w:color w:val="auto"/>
                <w:kern w:val="0"/>
                <w:sz w:val="21"/>
                <w:szCs w:val="21"/>
                <w:highlight w:val="none"/>
                <w:u w:val="none"/>
                <w:lang w:val="en-US" w:eastAsia="zh-CN" w:bidi="ar"/>
              </w:rPr>
              <w:t>红外光电保护功能：</w:t>
            </w:r>
            <w:r>
              <w:rPr>
                <w:rFonts w:hint="eastAsia" w:ascii="宋体" w:hAnsi="宋体" w:eastAsia="宋体" w:cs="宋体"/>
                <w:b/>
                <w:bCs/>
                <w:i w:val="0"/>
                <w:color w:val="auto"/>
                <w:kern w:val="0"/>
                <w:sz w:val="21"/>
                <w:szCs w:val="21"/>
                <w:highlight w:val="none"/>
                <w:u w:val="none"/>
                <w:rtl w:val="0"/>
                <w:lang w:val="en-US" w:eastAsia="zh-CN" w:bidi="ar"/>
              </w:rPr>
              <w:t>提供红外光电保护器</w:t>
            </w:r>
            <w:r>
              <w:rPr>
                <w:rFonts w:hint="eastAsia" w:ascii="宋体" w:hAnsi="宋体" w:cs="宋体"/>
                <w:b/>
                <w:bCs/>
                <w:i w:val="0"/>
                <w:color w:val="auto"/>
                <w:kern w:val="0"/>
                <w:sz w:val="21"/>
                <w:szCs w:val="21"/>
                <w:highlight w:val="none"/>
                <w:u w:val="none"/>
                <w:rtl w:val="0"/>
                <w:lang w:val="en-US" w:eastAsia="zh-CN" w:bidi="ar"/>
              </w:rPr>
              <w:t>第三方国家认可机构出具的检测报告</w:t>
            </w:r>
            <w:r>
              <w:rPr>
                <w:rFonts w:hint="eastAsia" w:ascii="宋体" w:hAnsi="宋体" w:eastAsia="宋体" w:cs="宋体"/>
                <w:b/>
                <w:bCs/>
                <w:i w:val="0"/>
                <w:color w:val="auto"/>
                <w:kern w:val="0"/>
                <w:sz w:val="21"/>
                <w:szCs w:val="21"/>
                <w:highlight w:val="none"/>
                <w:u w:val="none"/>
                <w:rtl w:val="0"/>
                <w:lang w:val="en-US" w:eastAsia="zh-CN" w:bidi="ar"/>
              </w:rPr>
              <w:t>，检测项目包含但不限于：①符合国家GB/T14048.1-2023标准；②冲击耐</w:t>
            </w:r>
            <w:r>
              <w:rPr>
                <w:rFonts w:hint="eastAsia" w:ascii="宋体" w:hAnsi="宋体" w:cs="宋体"/>
                <w:b/>
                <w:bCs/>
                <w:i w:val="0"/>
                <w:color w:val="auto"/>
                <w:kern w:val="0"/>
                <w:sz w:val="21"/>
                <w:szCs w:val="21"/>
                <w:highlight w:val="none"/>
                <w:u w:val="none"/>
                <w:rtl w:val="0"/>
                <w:lang w:val="en-US" w:eastAsia="zh-CN" w:bidi="ar"/>
              </w:rPr>
              <w:t>压</w:t>
            </w:r>
            <w:r>
              <w:rPr>
                <w:rFonts w:hint="eastAsia" w:ascii="宋体" w:hAnsi="宋体" w:eastAsia="宋体" w:cs="宋体"/>
                <w:b/>
                <w:bCs/>
                <w:i w:val="0"/>
                <w:color w:val="auto"/>
                <w:kern w:val="0"/>
                <w:sz w:val="21"/>
                <w:szCs w:val="21"/>
                <w:highlight w:val="none"/>
                <w:u w:val="none"/>
                <w:rtl w:val="0"/>
                <w:lang w:val="en-US" w:eastAsia="zh-CN" w:bidi="ar"/>
              </w:rPr>
              <w:t>要求：1.2/50μs；③间隔时间：≥1s</w:t>
            </w:r>
            <w:r>
              <w:rPr>
                <w:rFonts w:hint="eastAsia" w:ascii="宋体" w:hAnsi="宋体" w:eastAsia="宋体" w:cs="宋体"/>
                <w:b/>
                <w:bCs/>
                <w:i w:val="0"/>
                <w:color w:val="auto"/>
                <w:kern w:val="0"/>
                <w:sz w:val="21"/>
                <w:szCs w:val="21"/>
                <w:highlight w:val="none"/>
                <w:u w:val="none"/>
                <w:lang w:val="en-US" w:eastAsia="zh-CN" w:bidi="ar"/>
              </w:rPr>
              <w:t>。</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8.固定列主机安全监控功能：固定列每次权限登录可以记录视频截屏。</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9.任务列表：支持多任务智能打开架体操作。</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10.照明灯自动控制功能：当活动列开启，LED照明灯应自动开启，当红外对射传感器持续5min内未被触发，LED照明灯应自动关闭。</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11.非接触式到位检测功能：需采用非接触式的磁感应位置检测传感器配合定制的铝支架磁铁，传感器感应距离25毫米以上，减少因架体运行精度不够造成不能到位的故障。</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rtl w:val="0"/>
                <w:lang w:val="zh-CN" w:eastAsia="zh-CN" w:bidi="ar"/>
              </w:rPr>
              <w:t>★</w:t>
            </w:r>
            <w:r>
              <w:rPr>
                <w:rFonts w:hint="eastAsia" w:ascii="宋体" w:hAnsi="宋体" w:eastAsia="宋体" w:cs="宋体"/>
                <w:b w:val="0"/>
                <w:bCs w:val="0"/>
                <w:i w:val="0"/>
                <w:color w:val="auto"/>
                <w:kern w:val="0"/>
                <w:sz w:val="21"/>
                <w:szCs w:val="21"/>
                <w:highlight w:val="none"/>
                <w:u w:val="none"/>
                <w:lang w:val="en-US" w:eastAsia="zh-CN" w:bidi="ar"/>
              </w:rPr>
              <w:t>12.电磁感应保护功能：智能密集架安装有电磁感应保护器，自动感应智能密集架的运行范围，可防止智能密集架的运行超出安全运行范围。</w:t>
            </w:r>
            <w:r>
              <w:rPr>
                <w:rFonts w:hint="eastAsia" w:ascii="宋体" w:hAnsi="宋体" w:eastAsia="宋体" w:cs="宋体"/>
                <w:b/>
                <w:bCs/>
                <w:i w:val="0"/>
                <w:color w:val="auto"/>
                <w:kern w:val="0"/>
                <w:sz w:val="21"/>
                <w:szCs w:val="21"/>
                <w:highlight w:val="none"/>
                <w:u w:val="none"/>
                <w:rtl w:val="0"/>
                <w:lang w:val="en-US" w:eastAsia="zh-CN" w:bidi="ar"/>
              </w:rPr>
              <w:t>提供电磁感应保护器</w:t>
            </w:r>
            <w:r>
              <w:rPr>
                <w:rFonts w:hint="eastAsia" w:ascii="宋体" w:hAnsi="宋体" w:cs="宋体"/>
                <w:b/>
                <w:bCs/>
                <w:i w:val="0"/>
                <w:color w:val="auto"/>
                <w:kern w:val="0"/>
                <w:sz w:val="21"/>
                <w:szCs w:val="21"/>
                <w:highlight w:val="none"/>
                <w:u w:val="none"/>
                <w:rtl w:val="0"/>
                <w:lang w:val="en-US" w:eastAsia="zh-CN" w:bidi="ar"/>
              </w:rPr>
              <w:t>第三方国家认可机构出具的检测报告</w:t>
            </w:r>
            <w:r>
              <w:rPr>
                <w:rFonts w:hint="eastAsia" w:ascii="宋体" w:hAnsi="宋体" w:eastAsia="宋体" w:cs="宋体"/>
                <w:b/>
                <w:bCs/>
                <w:i w:val="0"/>
                <w:color w:val="auto"/>
                <w:kern w:val="0"/>
                <w:sz w:val="21"/>
                <w:szCs w:val="21"/>
                <w:highlight w:val="none"/>
                <w:u w:val="none"/>
                <w:rtl w:val="0"/>
                <w:lang w:val="en-US" w:eastAsia="zh-CN" w:bidi="ar"/>
              </w:rPr>
              <w:t>，检测项目包含但不限于：①符合国家GB/T14048.1-2023标准；②冲击耐压要求：1.2/50μs；③间隔时间：≥10s</w:t>
            </w:r>
            <w:r>
              <w:rPr>
                <w:rFonts w:hint="eastAsia" w:ascii="宋体" w:hAnsi="宋体" w:eastAsia="宋体" w:cs="宋体"/>
                <w:b/>
                <w:bCs/>
                <w:i w:val="0"/>
                <w:color w:val="auto"/>
                <w:kern w:val="0"/>
                <w:sz w:val="21"/>
                <w:szCs w:val="21"/>
                <w:highlight w:val="none"/>
                <w:u w:val="none"/>
                <w:lang w:val="en-US" w:eastAsia="zh-CN" w:bidi="ar"/>
              </w:rPr>
              <w:t>。</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13.温湿度检测及定时通风功能：架内设有温湿度探头，屏幕可实时显示温湿度值；具备温湿度检测及超限报警功能。逐列依次打开等距通道通风。</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14.语音识别控制：用户可在库房内任意区域用语音命令控制任意列架体的左右移动、关闭、通风、急停等。语音识别模块可安装在任意列架体上，保持待机状态，随时接收语音命令。需采用非特定人（SI）的语音识别技术，对识别声音没有特殊要求。具有显著的抗噪性能。支持双麦克风降噪语音识别处理模块。</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15.身份验证功能检验：可固定列上通过人脸识别或绘制图案密码方式进行身份验证；登录管理平台软件时，可通过输入密码进行身份验证。</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16.电机堵转保护功能：当电机在运转过程中发生机械故障或过载时，电机堵转保护装置会自动切断电机供电，故障排除后，能自动恢复运行。</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17.系统具备超时紧急停止架体运行的保护功能：移动列触摸屏上具有超时保护设置及运行时间调节功能。</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18.全通道红外保护功能：设置有过道纵向对射红外线以及过道横向门禁红外线多重保护功能。人员进入过道时，红外线人体安全保护启动，架体立即停止运行。</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19.防反弹锁定功能：智能密集架移动到位后架体立即进行所动，此时使用手摇非常费劲，防止架体反弹通道开缝。</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20.系统架构功能：软件基于B/S和C/S混合架构，系统必须在国产化平台、国产化数据库、国产化中间件以及国产化服务上进行过适配。</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21.数据备份功能：数据库数据备份(通过电脑软件实现)。</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22.权限管理功能：管理系统不同功能可以通过权限划分分帐号管理，可增加新的账户，设置不同的角色权限功能。</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23.温湿度显示功能：固定列和电脑上实时显示，精度不低于：温度±1℃，湿度±5%RH。</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24.网络管理功能：连接服务器，固定列主机可在局域网内提供移动端设备命令方式控制密集架架体的移动，停止，可以查看架体通道打开状态。</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25.远程网络访问升级功能：固定列并具有远程网络访问升级功能。</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26.局域网数据共享功能：具备局域网数据共享功能。</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27.档案录入功能：可通过管理平台软件手动录入档案名称、档案编号、档案类别等信息，并按档案类别等进行自动归类。</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28.档案信息统计功能：可通过管理平台软件对档案借出、超期未归等事件进行统计并输出打印。</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29.批量操作功能：可通过管理平台软件将多个档案批量方式变更位置信息、选择档案借阅或归还。</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30.日志记录功能：可通过管理平台软件记录档案出/入库及操作控制日志等，日志记录内容应包括操作时间、事件、用户名等。</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31.档案查询功能：可在固定列或活动列触摸屏上查询和显示档案的名称、档案编号、存放位置，选择指定的档案后，点击打开按钮后应能控制档案所在活动列开启。</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32.档案条目导入导出功能：</w:t>
            </w:r>
            <w:r>
              <w:rPr>
                <w:rFonts w:hint="eastAsia" w:ascii="宋体" w:hAnsi="宋体" w:cs="宋体"/>
                <w:b w:val="0"/>
                <w:bCs w:val="0"/>
                <w:i w:val="0"/>
                <w:color w:val="auto"/>
                <w:kern w:val="0"/>
                <w:sz w:val="21"/>
                <w:szCs w:val="21"/>
                <w:highlight w:val="none"/>
                <w:u w:val="none"/>
                <w:lang w:val="en-US" w:eastAsia="zh-CN" w:bidi="ar"/>
              </w:rPr>
              <w:t>具有</w:t>
            </w:r>
            <w:r>
              <w:rPr>
                <w:rFonts w:hint="eastAsia" w:ascii="宋体" w:hAnsi="宋体" w:eastAsia="宋体" w:cs="宋体"/>
                <w:b w:val="0"/>
                <w:bCs w:val="0"/>
                <w:i w:val="0"/>
                <w:color w:val="auto"/>
                <w:kern w:val="0"/>
                <w:sz w:val="21"/>
                <w:szCs w:val="21"/>
                <w:highlight w:val="none"/>
                <w:u w:val="none"/>
                <w:lang w:val="en-US" w:eastAsia="zh-CN" w:bidi="ar"/>
              </w:rPr>
              <w:t>档案条目由.xls文件导入，也可将档案条目导出至.xls文件中。</w:t>
            </w:r>
          </w:p>
          <w:p>
            <w:pPr>
              <w:pStyle w:val="97"/>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33.条码模板编辑功能：</w:t>
            </w:r>
            <w:r>
              <w:rPr>
                <w:rFonts w:hint="eastAsia" w:ascii="宋体" w:hAnsi="宋体" w:cs="宋体"/>
                <w:b w:val="0"/>
                <w:bCs w:val="0"/>
                <w:i w:val="0"/>
                <w:color w:val="auto"/>
                <w:kern w:val="0"/>
                <w:sz w:val="21"/>
                <w:szCs w:val="21"/>
                <w:highlight w:val="none"/>
                <w:u w:val="none"/>
                <w:lang w:val="en-US" w:eastAsia="zh-CN" w:bidi="ar"/>
              </w:rPr>
              <w:t>条码</w:t>
            </w:r>
            <w:r>
              <w:rPr>
                <w:rFonts w:hint="eastAsia" w:ascii="宋体" w:hAnsi="宋体" w:eastAsia="宋体" w:cs="宋体"/>
                <w:b w:val="0"/>
                <w:bCs w:val="0"/>
                <w:i w:val="0"/>
                <w:color w:val="auto"/>
                <w:kern w:val="0"/>
                <w:sz w:val="21"/>
                <w:szCs w:val="21"/>
                <w:highlight w:val="none"/>
                <w:u w:val="none"/>
                <w:lang w:val="en-US" w:eastAsia="zh-CN" w:bidi="ar"/>
              </w:rPr>
              <w:t>管理系统</w:t>
            </w:r>
            <w:r>
              <w:rPr>
                <w:rFonts w:hint="eastAsia" w:ascii="宋体" w:hAnsi="宋体" w:cs="宋体"/>
                <w:b w:val="0"/>
                <w:bCs w:val="0"/>
                <w:i w:val="0"/>
                <w:color w:val="auto"/>
                <w:kern w:val="0"/>
                <w:sz w:val="21"/>
                <w:szCs w:val="21"/>
                <w:highlight w:val="none"/>
                <w:u w:val="none"/>
                <w:lang w:val="en-US" w:eastAsia="zh-CN" w:bidi="ar"/>
              </w:rPr>
              <w:t>具有</w:t>
            </w:r>
            <w:r>
              <w:rPr>
                <w:rFonts w:hint="eastAsia" w:ascii="宋体" w:hAnsi="宋体" w:eastAsia="宋体" w:cs="宋体"/>
                <w:b w:val="0"/>
                <w:bCs w:val="0"/>
                <w:i w:val="0"/>
                <w:color w:val="auto"/>
                <w:kern w:val="0"/>
                <w:sz w:val="21"/>
                <w:szCs w:val="21"/>
                <w:highlight w:val="none"/>
                <w:u w:val="none"/>
                <w:lang w:val="en-US" w:eastAsia="zh-CN" w:bidi="ar"/>
              </w:rPr>
              <w:t>可视化条码打印模板，进行拖、拉、拽的方式改变条码的打印位置以及打印的内容。</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34.接口管理功能：</w:t>
            </w:r>
            <w:r>
              <w:rPr>
                <w:rFonts w:hint="eastAsia" w:ascii="宋体" w:hAnsi="宋体" w:cs="宋体"/>
                <w:b w:val="0"/>
                <w:bCs w:val="0"/>
                <w:i w:val="0"/>
                <w:color w:val="auto"/>
                <w:kern w:val="0"/>
                <w:sz w:val="21"/>
                <w:szCs w:val="21"/>
                <w:highlight w:val="none"/>
                <w:u w:val="none"/>
                <w:lang w:val="en-US" w:eastAsia="zh-CN" w:bidi="ar"/>
              </w:rPr>
              <w:t>具备</w:t>
            </w:r>
            <w:r>
              <w:rPr>
                <w:rFonts w:hint="eastAsia" w:ascii="宋体" w:hAnsi="宋体" w:eastAsia="宋体" w:cs="宋体"/>
                <w:b w:val="0"/>
                <w:bCs w:val="0"/>
                <w:i w:val="0"/>
                <w:color w:val="auto"/>
                <w:kern w:val="0"/>
                <w:sz w:val="21"/>
                <w:szCs w:val="21"/>
                <w:highlight w:val="none"/>
                <w:u w:val="none"/>
                <w:lang w:val="en-US" w:eastAsia="zh-CN" w:bidi="ar"/>
              </w:rPr>
              <w:t>实现架体移动等控制功能的接口，查询架体状态的接口，导引档案存放位置的接口，以及其他密集架管理所需要的接口。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防磁柜</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w:t>
            </w:r>
            <w:r>
              <w:rPr>
                <w:rFonts w:hint="eastAsia" w:ascii="宋体" w:hAnsi="宋体" w:cs="宋体"/>
                <w:i w:val="0"/>
                <w:iCs w:val="0"/>
                <w:color w:val="auto"/>
                <w:sz w:val="21"/>
                <w:szCs w:val="21"/>
                <w:highlight w:val="none"/>
                <w:u w:val="none"/>
                <w:lang w:val="en-US" w:eastAsia="zh-CN"/>
              </w:rPr>
              <w:t>约</w:t>
            </w:r>
            <w:r>
              <w:rPr>
                <w:rFonts w:hint="eastAsia" w:ascii="宋体" w:hAnsi="宋体" w:eastAsia="宋体" w:cs="宋体"/>
                <w:i w:val="0"/>
                <w:iCs w:val="0"/>
                <w:color w:val="auto"/>
                <w:kern w:val="0"/>
                <w:sz w:val="21"/>
                <w:szCs w:val="21"/>
                <w:highlight w:val="none"/>
                <w:u w:val="none"/>
                <w:lang w:val="en-US" w:eastAsia="zh-CN" w:bidi="ar"/>
              </w:rPr>
              <w:t>W570mm</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D520mm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H</w:t>
            </w:r>
            <w:r>
              <w:rPr>
                <w:rFonts w:hint="eastAsia" w:ascii="宋体" w:hAnsi="宋体" w:eastAsia="宋体" w:cs="宋体"/>
                <w:i w:val="0"/>
                <w:iCs w:val="0"/>
                <w:color w:val="auto"/>
                <w:kern w:val="0"/>
                <w:sz w:val="21"/>
                <w:szCs w:val="21"/>
                <w:highlight w:val="none"/>
                <w:u w:val="none"/>
                <w:lang w:val="en-US" w:eastAsia="zh-CN" w:bidi="ar"/>
              </w:rPr>
              <w:t>1700mm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1.用材厚度：</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0.8mm厚的冷轧钢板。</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2.结构：框体和装具门全部采用双层钢板结构，双层钢板的夹层中充填铝粉用于防磁，防磁柜抽屉</w:t>
            </w:r>
            <w:r>
              <w:rPr>
                <w:rFonts w:hint="eastAsia" w:ascii="宋体" w:hAnsi="宋体" w:cs="宋体"/>
                <w:i w:val="0"/>
                <w:iCs w:val="0"/>
                <w:color w:val="auto"/>
                <w:kern w:val="0"/>
                <w:sz w:val="21"/>
                <w:szCs w:val="21"/>
                <w:highlight w:val="none"/>
                <w:u w:val="none"/>
                <w:lang w:val="en-US" w:eastAsia="zh-CN" w:bidi="ar"/>
              </w:rPr>
              <w:t>设</w:t>
            </w:r>
            <w:r>
              <w:rPr>
                <w:rFonts w:hint="eastAsia" w:ascii="宋体" w:hAnsi="宋体" w:eastAsia="宋体" w:cs="宋体"/>
                <w:i w:val="0"/>
                <w:iCs w:val="0"/>
                <w:color w:val="auto"/>
                <w:kern w:val="0"/>
                <w:sz w:val="21"/>
                <w:szCs w:val="21"/>
                <w:highlight w:val="none"/>
                <w:u w:val="none"/>
                <w:lang w:val="en-US" w:eastAsia="zh-CN" w:bidi="ar"/>
              </w:rPr>
              <w:t>为八层，成纵向排列。每个抽屉两旁框架上均焊有抽屉跑道，跑道中装有16号轴承。</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3.功能：①防尘、防光。装具门装有抗老化橡胶磁性密封条（冰箱门吸条），防止灰尘及沅线进入装具内，破坏磁性记录信号。②防磁撞装具抽屉内设有各种规格的磁性载体的光碾架（可调节隔断板），</w:t>
            </w:r>
            <w:r>
              <w:rPr>
                <w:rFonts w:hint="eastAsia" w:ascii="宋体" w:hAnsi="宋体" w:cs="宋体"/>
                <w:i w:val="0"/>
                <w:iCs w:val="0"/>
                <w:color w:val="auto"/>
                <w:kern w:val="0"/>
                <w:sz w:val="21"/>
                <w:szCs w:val="21"/>
                <w:highlight w:val="none"/>
                <w:u w:val="none"/>
                <w:lang w:val="en-US" w:eastAsia="zh-CN" w:bidi="ar"/>
              </w:rPr>
              <w:t>具备</w:t>
            </w:r>
            <w:r>
              <w:rPr>
                <w:rFonts w:hint="eastAsia" w:ascii="宋体" w:hAnsi="宋体" w:eastAsia="宋体" w:cs="宋体"/>
                <w:i w:val="0"/>
                <w:iCs w:val="0"/>
                <w:color w:val="auto"/>
                <w:kern w:val="0"/>
                <w:sz w:val="21"/>
                <w:szCs w:val="21"/>
                <w:highlight w:val="none"/>
                <w:u w:val="none"/>
                <w:lang w:val="en-US" w:eastAsia="zh-CN" w:bidi="ar"/>
              </w:rPr>
              <w:t>防止磁性载体发生碰撞。③防磁检测，当外界磁场达到1500高斯时，柜内磁场强度≤10高斯。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书车书梯</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书车：</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rPr>
              <w:t>W750mm×D410mm×H950mm。</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w:t>
            </w:r>
            <w:r>
              <w:rPr>
                <w:rFonts w:hint="eastAsia" w:ascii="宋体" w:hAnsi="宋体" w:eastAsia="宋体" w:cs="宋体"/>
                <w:color w:val="auto"/>
                <w:sz w:val="21"/>
                <w:szCs w:val="21"/>
                <w:highlight w:val="none"/>
              </w:rPr>
              <w:t>冷轧钢板，方管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1.2mm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层板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1.0mm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静音轮子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PVC</w:t>
            </w:r>
            <w:r>
              <w:rPr>
                <w:rFonts w:hint="eastAsia" w:ascii="宋体" w:hAnsi="宋体" w:cs="宋体"/>
                <w:color w:val="auto"/>
                <w:sz w:val="21"/>
                <w:szCs w:val="21"/>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书梯：</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rPr>
              <w:t>W650mm×D480mm×H1380mm。</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全钢结构，管材</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1.2mm厚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直径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25mm冷轧无缝钢管，板材厚度为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1.2mm冷轧钢板，底盘无噪音脚轮。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档案数字化加工</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将档案拆卷进行检查，核对年度、文件名称，将卷宗拆分成单页、检查页码顺序（不清楚的应誊写），展平档案并理顺材料便于扫描，其中部分档案，纸张大小厚薄不一，部分档案发黄发脆，对破损档案要进行修补、压整；根据档案幅面的大小(A4、A3、A0等)选择相应规格的扫描仪或专业扫描仪进行扫描，其分辨率应选择≥300dpi；对数字图像进行拼接、旋转及纠偏、裁边、去污等处理；按照原貌恢复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档案整理</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对现有档案进行规范化整理，包括：编页、编目、写卷皮等工作。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档案著录</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按照《档案著录规则》(DA/T18-2022)的要求，规范档案的著录内容。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档案打印复印机</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1.打印/复印速度：黑彩同速</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2.单面/双面，黑白/灰度/彩色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档案扫描仪</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1.A4横向，灰度/黑白/彩色模式)</w:t>
            </w:r>
          </w:p>
          <w:p>
            <w:pPr>
              <w:keepNext w:val="0"/>
              <w:keepLines w:val="0"/>
              <w:widowControl/>
              <w:suppressLineNumbers w:val="0"/>
              <w:spacing w:line="360"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2.单面/双面，黑白/灰度/彩色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密集架拆装、档案上下架</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rPr>
              <w:t>档案整理、清空及档案搬迁、运输</w:t>
            </w:r>
            <w:r>
              <w:rPr>
                <w:rFonts w:hint="eastAsia" w:ascii="宋体" w:hAnsi="宋体" w:eastAsia="宋体" w:cs="宋体"/>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rPr>
              <w:t>档案打包、编号，档案架设施排列整理。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3.现有密集架</w:t>
            </w:r>
            <w:r>
              <w:rPr>
                <w:rFonts w:hint="eastAsia" w:ascii="宋体" w:hAnsi="宋体" w:eastAsia="宋体" w:cs="宋体"/>
                <w:i w:val="0"/>
                <w:iCs w:val="0"/>
                <w:color w:val="auto"/>
                <w:sz w:val="21"/>
                <w:szCs w:val="21"/>
                <w:highlight w:val="none"/>
                <w:u w:val="none"/>
              </w:rPr>
              <w:t>拆</w:t>
            </w:r>
            <w:r>
              <w:rPr>
                <w:rFonts w:hint="eastAsia" w:ascii="宋体" w:hAnsi="宋体" w:eastAsia="宋体" w:cs="宋体"/>
                <w:i w:val="0"/>
                <w:iCs w:val="0"/>
                <w:color w:val="auto"/>
                <w:sz w:val="21"/>
                <w:szCs w:val="21"/>
                <w:highlight w:val="none"/>
                <w:u w:val="none"/>
                <w:lang w:val="en-US" w:eastAsia="zh-CN"/>
              </w:rPr>
              <w:t>卸、打</w:t>
            </w:r>
            <w:r>
              <w:rPr>
                <w:rFonts w:hint="eastAsia" w:ascii="宋体" w:hAnsi="宋体" w:eastAsia="宋体" w:cs="宋体"/>
                <w:i w:val="0"/>
                <w:iCs w:val="0"/>
                <w:color w:val="auto"/>
                <w:sz w:val="21"/>
                <w:szCs w:val="21"/>
                <w:highlight w:val="none"/>
                <w:u w:val="none"/>
              </w:rPr>
              <w:t>包</w:t>
            </w:r>
            <w:r>
              <w:rPr>
                <w:rFonts w:hint="eastAsia" w:ascii="宋体" w:hAnsi="宋体" w:eastAsia="宋体" w:cs="宋体"/>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rPr>
              <w:t>档案上架、排架。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3"/>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二、档案库房安全环境信息化建设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2.1</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BEBEBE"/>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中央控制中心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2.1.1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智慧档案馆（库）一体化管理平台</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eastAsia="zh-CN"/>
              </w:rPr>
              <w:t>采用</w:t>
            </w:r>
            <w:r>
              <w:rPr>
                <w:rFonts w:hint="eastAsia" w:ascii="宋体" w:hAnsi="宋体" w:eastAsia="宋体" w:cs="宋体"/>
                <w:i w:val="0"/>
                <w:iCs w:val="0"/>
                <w:color w:val="auto"/>
                <w:sz w:val="21"/>
                <w:szCs w:val="21"/>
                <w:highlight w:val="none"/>
                <w:u w:val="none"/>
              </w:rPr>
              <w:t>B/S</w:t>
            </w:r>
            <w:r>
              <w:rPr>
                <w:rFonts w:hint="eastAsia" w:ascii="宋体" w:hAnsi="宋体" w:cs="宋体"/>
                <w:i w:val="0"/>
                <w:iCs w:val="0"/>
                <w:color w:val="auto"/>
                <w:sz w:val="21"/>
                <w:szCs w:val="21"/>
                <w:highlight w:val="none"/>
                <w:u w:val="none"/>
                <w:lang w:val="en-US" w:eastAsia="zh-CN"/>
              </w:rPr>
              <w:t>架构</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通过一套物联网管理软件，实现实体档案智能管理、档案存储设备智能管理、库房环境设备智能管理、库房安防设备智能管理，各系统之间的数据相互共享、既可独立运行，又可相互协作联动运行，实现物联网科技和档案信息管理的融合，实现互联互通的绿色智慧档案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rPr>
              <w:t>支持智慧档案大数据展示功能：可接入拼接大屏的实时数据传输与监控管理，库房3D导航鸟瞰图、档案库状分析图、库存档案总量、在库数、在借数、异常数、温湿度空气质量展示、温湿度空气质量数据分析、报警、环境设备运行状态、视频实时监控等功能。</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rPr>
              <w:t>十二防系统，支持防盗、防光、防水、防高温、防火、防潮、防尘、防鼠、防虫、防霉、防污染、防雷十二防检测，支持设置库房温度、湿度等报警阈值，报警呈现，同时生成报警记录。</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系统功能：</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权限管理：系统可按功能权限、库房权限添加管理员，实现库房分权管理，每个账号可管理1个或多个库房。</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rtl w:val="0"/>
                <w:lang w:val="zh-CN" w:eastAsia="zh-CN" w:bidi="ar"/>
              </w:rPr>
              <w:t>★</w:t>
            </w:r>
            <w:r>
              <w:rPr>
                <w:rFonts w:hint="eastAsia" w:ascii="宋体" w:hAnsi="宋体" w:eastAsia="宋体" w:cs="宋体"/>
                <w:i w:val="0"/>
                <w:iCs w:val="0"/>
                <w:color w:val="auto"/>
                <w:sz w:val="21"/>
                <w:szCs w:val="21"/>
                <w:highlight w:val="none"/>
                <w:u w:val="none"/>
              </w:rPr>
              <w:t>2</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日志管理：</w:t>
            </w:r>
            <w:r>
              <w:rPr>
                <w:rFonts w:hint="eastAsia" w:ascii="宋体" w:hAnsi="宋体" w:cs="宋体"/>
                <w:i w:val="0"/>
                <w:iCs w:val="0"/>
                <w:color w:val="auto"/>
                <w:sz w:val="21"/>
                <w:szCs w:val="21"/>
                <w:highlight w:val="none"/>
                <w:u w:val="none"/>
                <w:lang w:val="en-US" w:eastAsia="zh-CN"/>
              </w:rPr>
              <w:t>具有</w:t>
            </w:r>
            <w:r>
              <w:rPr>
                <w:rFonts w:hint="eastAsia" w:ascii="宋体" w:hAnsi="宋体" w:eastAsia="宋体" w:cs="宋体"/>
                <w:i w:val="0"/>
                <w:iCs w:val="0"/>
                <w:color w:val="auto"/>
                <w:sz w:val="21"/>
                <w:szCs w:val="21"/>
                <w:highlight w:val="none"/>
                <w:u w:val="none"/>
              </w:rPr>
              <w:t>设备分类日志管理，支持自定义时间、支持模糊查询、按设备类型查询并生成excel表格。</w:t>
            </w:r>
            <w:r>
              <w:rPr>
                <w:rFonts w:hint="eastAsia" w:ascii="宋体" w:hAnsi="宋体" w:eastAsia="宋体" w:cs="宋体"/>
                <w:b/>
                <w:bCs/>
                <w:i w:val="0"/>
                <w:color w:val="auto"/>
                <w:kern w:val="0"/>
                <w:sz w:val="21"/>
                <w:szCs w:val="21"/>
                <w:highlight w:val="none"/>
                <w:u w:val="none"/>
                <w:rtl w:val="0"/>
                <w:lang w:val="en-US" w:eastAsia="zh-CN" w:bidi="ar"/>
              </w:rPr>
              <w:t>提供</w:t>
            </w:r>
            <w:r>
              <w:rPr>
                <w:rFonts w:hint="eastAsia" w:ascii="宋体" w:hAnsi="宋体" w:eastAsia="宋体" w:cs="宋体"/>
                <w:b/>
                <w:bCs/>
                <w:i w:val="0"/>
                <w:iCs w:val="0"/>
                <w:color w:val="auto"/>
                <w:sz w:val="21"/>
                <w:szCs w:val="21"/>
                <w:highlight w:val="none"/>
                <w:u w:val="none"/>
              </w:rPr>
              <w:t>智慧档案馆（库）一体化管理平台</w:t>
            </w:r>
            <w:r>
              <w:rPr>
                <w:rFonts w:hint="eastAsia" w:ascii="宋体" w:hAnsi="宋体" w:cs="宋体"/>
                <w:b/>
                <w:bCs/>
                <w:i w:val="0"/>
                <w:color w:val="auto"/>
                <w:kern w:val="0"/>
                <w:sz w:val="21"/>
                <w:szCs w:val="21"/>
                <w:highlight w:val="none"/>
                <w:u w:val="none"/>
                <w:rtl w:val="0"/>
                <w:lang w:val="en-US" w:eastAsia="zh-CN" w:bidi="ar"/>
              </w:rPr>
              <w:t>第三方国家认可机构出具的检测报告</w:t>
            </w:r>
            <w:r>
              <w:rPr>
                <w:rFonts w:hint="eastAsia" w:ascii="宋体" w:hAnsi="宋体" w:eastAsia="宋体" w:cs="宋体"/>
                <w:b/>
                <w:bCs/>
                <w:i w:val="0"/>
                <w:iCs w:val="0"/>
                <w:color w:val="auto"/>
                <w:sz w:val="21"/>
                <w:szCs w:val="21"/>
                <w:highlight w:val="none"/>
                <w:u w:val="none"/>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3</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报表功能：系统可自定义按日、周、月、年生成报表，实现业务处理过程中的一系列表格和统计分析报表定义、输出、预览，并以数据和图形方式展示查询。</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rtl w:val="0"/>
                <w:lang w:val="zh-CN" w:eastAsia="zh-CN" w:bidi="ar"/>
              </w:rPr>
              <w:t>★</w:t>
            </w:r>
            <w:r>
              <w:rPr>
                <w:rFonts w:hint="eastAsia" w:ascii="宋体" w:hAnsi="宋体" w:eastAsia="宋体" w:cs="宋体"/>
                <w:i w:val="0"/>
                <w:iCs w:val="0"/>
                <w:color w:val="auto"/>
                <w:sz w:val="21"/>
                <w:szCs w:val="21"/>
                <w:highlight w:val="none"/>
                <w:u w:val="none"/>
              </w:rPr>
              <w:t>4</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数据管理：根据设定的时间点进行数据存储和数据波动和波动幅度配置存储参数，当报警产生时系统自动进行数据存储。</w:t>
            </w:r>
            <w:r>
              <w:rPr>
                <w:rFonts w:hint="eastAsia" w:ascii="宋体" w:hAnsi="宋体" w:eastAsia="宋体" w:cs="宋体"/>
                <w:b/>
                <w:bCs/>
                <w:i w:val="0"/>
                <w:color w:val="auto"/>
                <w:kern w:val="0"/>
                <w:sz w:val="21"/>
                <w:szCs w:val="21"/>
                <w:highlight w:val="none"/>
                <w:u w:val="none"/>
                <w:rtl w:val="0"/>
                <w:lang w:val="en-US" w:eastAsia="zh-CN" w:bidi="ar"/>
              </w:rPr>
              <w:t>提供</w:t>
            </w:r>
            <w:r>
              <w:rPr>
                <w:rFonts w:hint="eastAsia" w:ascii="宋体" w:hAnsi="宋体" w:eastAsia="宋体" w:cs="宋体"/>
                <w:b/>
                <w:bCs/>
                <w:i w:val="0"/>
                <w:iCs w:val="0"/>
                <w:color w:val="auto"/>
                <w:sz w:val="21"/>
                <w:szCs w:val="21"/>
                <w:highlight w:val="none"/>
                <w:u w:val="none"/>
              </w:rPr>
              <w:t>智慧档案馆（库）一体化管理平台</w:t>
            </w:r>
            <w:r>
              <w:rPr>
                <w:rFonts w:hint="eastAsia" w:ascii="宋体" w:hAnsi="宋体" w:cs="宋体"/>
                <w:b/>
                <w:bCs/>
                <w:i w:val="0"/>
                <w:color w:val="auto"/>
                <w:kern w:val="0"/>
                <w:sz w:val="21"/>
                <w:szCs w:val="21"/>
                <w:highlight w:val="none"/>
                <w:u w:val="none"/>
                <w:rtl w:val="0"/>
                <w:lang w:val="en-US" w:eastAsia="zh-CN" w:bidi="ar"/>
              </w:rPr>
              <w:t>第三方国家认可机构出具的检测报告</w:t>
            </w:r>
            <w:r>
              <w:rPr>
                <w:rFonts w:hint="eastAsia" w:ascii="宋体" w:hAnsi="宋体" w:eastAsia="宋体" w:cs="宋体"/>
                <w:b/>
                <w:bCs/>
                <w:i w:val="0"/>
                <w:iCs w:val="0"/>
                <w:color w:val="auto"/>
                <w:sz w:val="21"/>
                <w:szCs w:val="21"/>
                <w:highlight w:val="none"/>
                <w:u w:val="none"/>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5</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数据查询：系统支持对各种数据的查询，包括设备历史数据记录、告警事件记录、操作数据记录、短信发送记录、门禁进出门记录数据内容。</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6</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控制管理：可通过手动方式对设备进行控制、可根据设定的时间定时控制设备。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7</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支持安全门禁管理：具备人员指纹进行注册授权、注销操作，人员进出记录和查询功能，记录包括人员编号、时间。</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支持监控视频管理：具备监控视频数据实时预览图像，视频弹窗、图像抓拍。</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9</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支持智能灯光控制管理：系统可对库房的灯光设置任意时间段开关，可设置多个时间段，可远程手动一键对任意区域灯光进行控制。</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10</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支持智能驱鼠管理：智能驱鼠系统可设置任意时间段自动驱鼠，可设置多个时间段组合，交替驱鼠，同时驱鼠，自动监测库房驱鼠状态。</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漏水报警管理：当库房发生漏水时，系统将自动发送短信通知预设好的号码管理人员。</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12</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库房恒温管理：系统可根据库房内设定的温度阈值，当库房温度低于或高于该阈值温度，系统将自动开启或关闭空调，系统页面可实时显示空调或恒温设备的运行动态效果。</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库房健康状态分析：系统可实时监测库房设备运行情况和环境，根据监测的实际情况自动分析库房的健康评分并展示。</w:t>
            </w:r>
          </w:p>
          <w:p>
            <w:pPr>
              <w:keepNext w:val="0"/>
              <w:keepLines w:val="0"/>
              <w:widowControl/>
              <w:suppressLineNumbers w:val="0"/>
              <w:spacing w:line="360" w:lineRule="auto"/>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14</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库房恒湿管理：系统可根据库房内设定的湿度阈值，当库房湿度低于或高于该阈值湿度，系统将自动开启或关闭除湿加湿设备，且系统实时显示除湿加湿设备的运行动态效果。</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15</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库房环境质量分析：系统支持实时检测库房环境质量，根据检测的数值自动分析并展示出当前库房空气环境的优、良、差状态。</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rtl w:val="0"/>
                <w:lang w:val="zh-CN" w:eastAsia="zh-CN" w:bidi="ar"/>
              </w:rPr>
              <w:t>★</w:t>
            </w:r>
            <w:r>
              <w:rPr>
                <w:rFonts w:hint="eastAsia" w:ascii="宋体" w:hAnsi="宋体" w:eastAsia="宋体" w:cs="宋体"/>
                <w:i w:val="0"/>
                <w:iCs w:val="0"/>
                <w:color w:val="auto"/>
                <w:sz w:val="21"/>
                <w:szCs w:val="21"/>
                <w:highlight w:val="none"/>
                <w:u w:val="none"/>
              </w:rPr>
              <w:t>16</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空气质量监控：系统可根据库房内的空气变送器监测空气数据并设定阈值，自动开启或关闭新风机或消毒机平衡库房内的空气质量。</w:t>
            </w:r>
            <w:r>
              <w:rPr>
                <w:rFonts w:hint="eastAsia" w:ascii="宋体" w:hAnsi="宋体" w:eastAsia="宋体" w:cs="宋体"/>
                <w:b/>
                <w:bCs/>
                <w:i w:val="0"/>
                <w:color w:val="auto"/>
                <w:kern w:val="0"/>
                <w:sz w:val="21"/>
                <w:szCs w:val="21"/>
                <w:highlight w:val="none"/>
                <w:u w:val="none"/>
                <w:rtl w:val="0"/>
                <w:lang w:val="en-US" w:eastAsia="zh-CN" w:bidi="ar"/>
              </w:rPr>
              <w:t>提供</w:t>
            </w:r>
            <w:r>
              <w:rPr>
                <w:rFonts w:hint="eastAsia" w:ascii="宋体" w:hAnsi="宋体" w:eastAsia="宋体" w:cs="宋体"/>
                <w:b/>
                <w:bCs/>
                <w:i w:val="0"/>
                <w:iCs w:val="0"/>
                <w:color w:val="auto"/>
                <w:sz w:val="21"/>
                <w:szCs w:val="21"/>
                <w:highlight w:val="none"/>
                <w:u w:val="none"/>
              </w:rPr>
              <w:t>智慧档案馆（库）一体化管理平台</w:t>
            </w:r>
            <w:r>
              <w:rPr>
                <w:rFonts w:hint="eastAsia" w:ascii="宋体" w:hAnsi="宋体" w:cs="宋体"/>
                <w:b/>
                <w:bCs/>
                <w:i w:val="0"/>
                <w:color w:val="auto"/>
                <w:kern w:val="0"/>
                <w:sz w:val="21"/>
                <w:szCs w:val="21"/>
                <w:highlight w:val="none"/>
                <w:u w:val="none"/>
                <w:rtl w:val="0"/>
                <w:lang w:val="en-US" w:eastAsia="zh-CN" w:bidi="ar"/>
              </w:rPr>
              <w:t>第三方国家认可机构出具的检测报告</w:t>
            </w:r>
            <w:r>
              <w:rPr>
                <w:rFonts w:hint="eastAsia" w:ascii="宋体" w:hAnsi="宋体" w:eastAsia="宋体" w:cs="宋体"/>
                <w:b/>
                <w:bCs/>
                <w:i w:val="0"/>
                <w:iCs w:val="0"/>
                <w:color w:val="auto"/>
                <w:sz w:val="21"/>
                <w:szCs w:val="21"/>
                <w:highlight w:val="none"/>
                <w:u w:val="none"/>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17</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消防报警管理：系统可接入消防主机报警信号，当消防主机监测到报警时应将报警信息同步推送到系统平台。</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18</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支持档案管理：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①具有档案批量导入、单条新增、借阅、归还、回收同时也包含对档案借阅人的管理，以及档案的查询统计、借阅查询与统计功能。</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②具有数据统计功能，可对档案的数量、借阅情况、操作记录进行统计，档案操作内容统计包括：时间、新增数量、入库数量、出库数量、编辑次数、借阅次数、归还次数、挂失次数、找回次数、逾期归还次数、删除、彻底删除次数、恢复次数及总数统计。</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sz w:val="21"/>
                <w:szCs w:val="21"/>
                <w:highlight w:val="none"/>
                <w:u w:val="none"/>
                <w:lang w:val="en-US" w:eastAsia="zh-CN"/>
              </w:rPr>
              <w:t>19</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支持档案管理：具有档案的查询、借阅、出库、归还功能。</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cs="宋体"/>
                <w:i w:val="0"/>
                <w:iCs w:val="0"/>
                <w:color w:val="auto"/>
                <w:sz w:val="21"/>
                <w:szCs w:val="21"/>
                <w:highlight w:val="none"/>
                <w:u w:val="none"/>
                <w:lang w:val="en-US" w:eastAsia="zh-CN"/>
              </w:rPr>
              <w:t>0</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支持智能密集架管理不限于以下功能：</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①远程控制：设备休眠情况下可通过远程唤醒，并可一键打开指定列，关闭指定列、对所在区的密集架进行通风、合架、锁定、紧急停止、休眠操作。</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②数据监测：可对密集架内的环境数据及档案数据进行监测，实时显示密集架内的温湿度情况和档案的再库量和借出量。</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rtl w:val="0"/>
                <w:lang w:val="zh-CN" w:eastAsia="zh-CN" w:bidi="ar"/>
              </w:rPr>
              <w:t>★</w:t>
            </w:r>
            <w:r>
              <w:rPr>
                <w:rFonts w:hint="eastAsia" w:ascii="宋体" w:hAnsi="宋体" w:eastAsia="宋体" w:cs="宋体"/>
                <w:i w:val="0"/>
                <w:iCs w:val="0"/>
                <w:color w:val="auto"/>
                <w:sz w:val="21"/>
                <w:szCs w:val="21"/>
                <w:highlight w:val="none"/>
                <w:u w:val="none"/>
              </w:rPr>
              <w:t>2</w:t>
            </w:r>
            <w:r>
              <w:rPr>
                <w:rFonts w:hint="eastAsia" w:ascii="宋体" w:hAnsi="宋体" w:cs="宋体"/>
                <w:i w:val="0"/>
                <w:iCs w:val="0"/>
                <w:color w:val="auto"/>
                <w:sz w:val="21"/>
                <w:szCs w:val="21"/>
                <w:highlight w:val="none"/>
                <w:u w:val="none"/>
                <w:lang w:val="en-US" w:eastAsia="zh-CN"/>
              </w:rPr>
              <w:t>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告警管理支持以下功能；①告警阈值上下限过滤：对监控设备参数设置告警阈值和告警解除值，当满足设定值时告警才会产生或解除。②告警分级：系统对产生的告警自动划分级别，不同的告警级别对应不同的报警方式，系统通过告警通知不同权限组的运维人员。③告警记录：告警自动生成记录，记录的内容包括：事件、时间、图片、视频、等级、区域、产生值。</w:t>
            </w:r>
            <w:r>
              <w:rPr>
                <w:rFonts w:hint="eastAsia" w:ascii="宋体" w:hAnsi="宋体" w:eastAsia="宋体" w:cs="宋体"/>
                <w:b/>
                <w:bCs/>
                <w:i w:val="0"/>
                <w:color w:val="auto"/>
                <w:kern w:val="0"/>
                <w:sz w:val="21"/>
                <w:szCs w:val="21"/>
                <w:highlight w:val="none"/>
                <w:u w:val="none"/>
                <w:rtl w:val="0"/>
                <w:lang w:val="en-US" w:eastAsia="zh-CN" w:bidi="ar"/>
              </w:rPr>
              <w:t>提供</w:t>
            </w:r>
            <w:r>
              <w:rPr>
                <w:rFonts w:hint="eastAsia" w:ascii="宋体" w:hAnsi="宋体" w:eastAsia="宋体" w:cs="宋体"/>
                <w:b/>
                <w:bCs/>
                <w:i w:val="0"/>
                <w:iCs w:val="0"/>
                <w:color w:val="auto"/>
                <w:sz w:val="21"/>
                <w:szCs w:val="21"/>
                <w:highlight w:val="none"/>
                <w:u w:val="none"/>
              </w:rPr>
              <w:t>智慧档案馆（库）一体化管理平台</w:t>
            </w:r>
            <w:r>
              <w:rPr>
                <w:rFonts w:hint="eastAsia" w:ascii="宋体" w:hAnsi="宋体" w:cs="宋体"/>
                <w:b/>
                <w:bCs/>
                <w:i w:val="0"/>
                <w:color w:val="auto"/>
                <w:kern w:val="0"/>
                <w:sz w:val="21"/>
                <w:szCs w:val="21"/>
                <w:highlight w:val="none"/>
                <w:u w:val="none"/>
                <w:rtl w:val="0"/>
                <w:lang w:val="en-US" w:eastAsia="zh-CN" w:bidi="ar"/>
              </w:rPr>
              <w:t>第三方国家认可机构出具的检测报告</w:t>
            </w:r>
            <w:r>
              <w:rPr>
                <w:rFonts w:hint="eastAsia" w:ascii="宋体" w:hAnsi="宋体" w:eastAsia="宋体" w:cs="宋体"/>
                <w:b/>
                <w:bCs/>
                <w:i w:val="0"/>
                <w:iCs w:val="0"/>
                <w:color w:val="auto"/>
                <w:sz w:val="21"/>
                <w:szCs w:val="21"/>
                <w:highlight w:val="none"/>
                <w:u w:val="none"/>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rtl w:val="0"/>
                <w:lang w:val="zh-CN" w:eastAsia="zh-CN" w:bidi="ar"/>
              </w:rPr>
              <w:t>★</w:t>
            </w:r>
            <w:r>
              <w:rPr>
                <w:rFonts w:hint="eastAsia" w:ascii="宋体" w:hAnsi="宋体" w:eastAsia="宋体" w:cs="宋体"/>
                <w:i w:val="0"/>
                <w:iCs w:val="0"/>
                <w:color w:val="auto"/>
                <w:sz w:val="21"/>
                <w:szCs w:val="21"/>
                <w:highlight w:val="none"/>
                <w:u w:val="none"/>
              </w:rPr>
              <w:t>2</w:t>
            </w:r>
            <w:r>
              <w:rPr>
                <w:rFonts w:hint="eastAsia" w:ascii="宋体" w:hAnsi="宋体" w:cs="宋体"/>
                <w:i w:val="0"/>
                <w:iCs w:val="0"/>
                <w:color w:val="auto"/>
                <w:sz w:val="21"/>
                <w:szCs w:val="21"/>
                <w:highlight w:val="none"/>
                <w:u w:val="none"/>
                <w:lang w:val="en-US" w:eastAsia="zh-CN"/>
              </w:rPr>
              <w:t>2</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联动管理功能：①消防报警联动：监控平台可以设置消防告警联动门禁常开，并切换到摄像机监控界面。②视频联动：告警事件和密集架操作可设置联动摄像头，实现报警视频弹窗，报警联动录像、密集开架弹窗。</w:t>
            </w:r>
            <w:r>
              <w:rPr>
                <w:rFonts w:hint="eastAsia" w:ascii="宋体" w:hAnsi="宋体" w:eastAsia="宋体" w:cs="宋体"/>
                <w:b/>
                <w:bCs/>
                <w:i w:val="0"/>
                <w:color w:val="auto"/>
                <w:kern w:val="0"/>
                <w:sz w:val="21"/>
                <w:szCs w:val="21"/>
                <w:highlight w:val="none"/>
                <w:u w:val="none"/>
                <w:rtl w:val="0"/>
                <w:lang w:val="en-US" w:eastAsia="zh-CN" w:bidi="ar"/>
              </w:rPr>
              <w:t>提供</w:t>
            </w:r>
            <w:r>
              <w:rPr>
                <w:rFonts w:hint="eastAsia" w:ascii="宋体" w:hAnsi="宋体" w:eastAsia="宋体" w:cs="宋体"/>
                <w:b/>
                <w:bCs/>
                <w:i w:val="0"/>
                <w:iCs w:val="0"/>
                <w:color w:val="auto"/>
                <w:sz w:val="21"/>
                <w:szCs w:val="21"/>
                <w:highlight w:val="none"/>
                <w:u w:val="none"/>
              </w:rPr>
              <w:t>智慧档案馆（库）一体化管理平台</w:t>
            </w:r>
            <w:r>
              <w:rPr>
                <w:rFonts w:hint="eastAsia" w:ascii="宋体" w:hAnsi="宋体" w:cs="宋体"/>
                <w:b/>
                <w:bCs/>
                <w:i w:val="0"/>
                <w:color w:val="auto"/>
                <w:kern w:val="0"/>
                <w:sz w:val="21"/>
                <w:szCs w:val="21"/>
                <w:highlight w:val="none"/>
                <w:u w:val="none"/>
                <w:rtl w:val="0"/>
                <w:lang w:val="en-US" w:eastAsia="zh-CN" w:bidi="ar"/>
              </w:rPr>
              <w:t>第三方国家认可机构出具的检测报告</w:t>
            </w:r>
            <w:r>
              <w:rPr>
                <w:rFonts w:hint="eastAsia" w:ascii="宋体" w:hAnsi="宋体" w:eastAsia="宋体" w:cs="宋体"/>
                <w:b/>
                <w:bCs/>
                <w:i w:val="0"/>
                <w:iCs w:val="0"/>
                <w:color w:val="auto"/>
                <w:sz w:val="21"/>
                <w:szCs w:val="21"/>
                <w:highlight w:val="none"/>
                <w:u w:val="none"/>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cs="宋体"/>
                <w:i w:val="0"/>
                <w:iCs w:val="0"/>
                <w:color w:val="auto"/>
                <w:sz w:val="21"/>
                <w:szCs w:val="21"/>
                <w:highlight w:val="none"/>
                <w:u w:val="none"/>
                <w:lang w:val="en-US" w:eastAsia="zh-CN"/>
              </w:rPr>
              <w:t>3</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数据3D展示功能：系统可根据项目自定义3D效果图，模拟库房环境，展示库房实时数据和报警状态，通过点击3D效果图上的设备图标可直接控制相应的设备。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cs="宋体"/>
                <w:i w:val="0"/>
                <w:iCs w:val="0"/>
                <w:color w:val="auto"/>
                <w:sz w:val="21"/>
                <w:szCs w:val="21"/>
                <w:highlight w:val="none"/>
                <w:u w:val="none"/>
                <w:lang w:val="en-US" w:eastAsia="zh-CN"/>
              </w:rPr>
              <w:t>4</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各系统之间可实现有效数据实时联动，信息互通；可实时浏览软件内的各种设备实时参数、运行状态、报警信息，并完成相关设备的远程控制等，查询结果可以实现打印、下载等操作。</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cs="宋体"/>
                <w:i w:val="0"/>
                <w:iCs w:val="0"/>
                <w:color w:val="auto"/>
                <w:sz w:val="21"/>
                <w:szCs w:val="21"/>
                <w:highlight w:val="none"/>
                <w:u w:val="none"/>
                <w:lang w:val="en-US" w:eastAsia="zh-CN"/>
              </w:rPr>
              <w:t>5</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库房页面展示</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系统主页面具备不少于9个显示区域，可实时显示库房健康状态，近期每日的平均温湿度柱状图和线条走势图、气泡型空气质量展示、馆藏数量、当前平均温湿度、设备运行状态的动态图、漏水、火灾、门禁、报警的运行状态、视频监控画面、系统运行消息，消息可直接进行处理操作、系统运行效果图，效果图上点击设备可直接进入设备控制页面。</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cs="宋体"/>
                <w:i w:val="0"/>
                <w:iCs w:val="0"/>
                <w:color w:val="auto"/>
                <w:sz w:val="21"/>
                <w:szCs w:val="21"/>
                <w:highlight w:val="none"/>
                <w:u w:val="none"/>
                <w:lang w:val="en-US" w:eastAsia="zh-CN"/>
              </w:rPr>
              <w:t>6</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页面控制功能：首页具备一键静音功能，可关闭、打开系统提示音或语音报警，同时具备一键更换背景功能，可提供不少于20种背景颜色以匹不同客户的风格，具备一键开启全屏、退出全屏、退出登录。</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cs="宋体"/>
                <w:i w:val="0"/>
                <w:iCs w:val="0"/>
                <w:color w:val="auto"/>
                <w:sz w:val="21"/>
                <w:szCs w:val="21"/>
                <w:highlight w:val="none"/>
                <w:u w:val="none"/>
                <w:lang w:val="en-US" w:eastAsia="zh-CN"/>
              </w:rPr>
              <w:t>7</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场景管理：系统具备设备场景自定义设置，能够根据需求增加或删除页面场景、设备类型，其中设备类型包括：空气质量云测仪、除湿加湿一体机、新风机、健康防护一体机、智能密集架、空调、灯光控制器、自动窗帘、盘点设备、漏水设备、红外热成像设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rPr>
              <w:t>2</w:t>
            </w:r>
            <w:r>
              <w:rPr>
                <w:rFonts w:hint="eastAsia" w:ascii="宋体" w:hAnsi="宋体" w:cs="宋体"/>
                <w:i w:val="0"/>
                <w:iCs w:val="0"/>
                <w:color w:val="auto"/>
                <w:sz w:val="21"/>
                <w:szCs w:val="21"/>
                <w:highlight w:val="none"/>
                <w:u w:val="none"/>
                <w:lang w:val="en-US" w:eastAsia="zh-CN"/>
              </w:rPr>
              <w:t>8</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系统管理：可对服务器、串口服务器、区域屏、用户进行管理，可对服务器的名称、所在位置、IP地址、端口、用户账号、密码进行管理。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档案库房环境管理主机</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处理器：</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I5-1</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rPr>
              <w:t>400</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2</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内存：</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16G</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3</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硬盘：</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512G</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4</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接口：</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1个VGA、</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1个HDMI、</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2个USB3.0</w:t>
            </w:r>
            <w:r>
              <w:rPr>
                <w:rFonts w:hint="eastAsia" w:ascii="宋体" w:hAnsi="宋体" w:eastAsia="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2个USB2.</w:t>
            </w:r>
            <w:r>
              <w:rPr>
                <w:rFonts w:hint="eastAsia" w:ascii="宋体" w:hAnsi="宋体" w:eastAsia="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rPr>
              <w:t>1个自适应网口</w:t>
            </w:r>
            <w:r>
              <w:rPr>
                <w:rFonts w:hint="eastAsia" w:ascii="宋体" w:hAnsi="宋体" w:eastAsia="宋体" w:cs="宋体"/>
                <w:b w:val="0"/>
                <w:bCs/>
                <w:i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屏幕尺寸：</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23英寸</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1080p</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分辨率</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1920x1080</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lang w:val="en-US" w:eastAsia="zh-CN"/>
              </w:rPr>
              <w:t>屏幕比例16：9</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LED背光</w:t>
            </w:r>
            <w:r>
              <w:rPr>
                <w:rFonts w:hint="eastAsia" w:ascii="宋体" w:hAnsi="宋体" w:eastAsia="宋体" w:cs="宋体"/>
                <w:b w:val="0"/>
                <w:bCs/>
                <w:i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2.1.4</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中央控制展示系统</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档案数据展示：支持档案馆（库）全数据展示，包括馆藏数、档案类型数据分类展示、档案借用数据、在借、异常未还数据、入库统计、档案状态环形统计、保密等级环形统计、档案存储介质分类环形统计、档案入库统计等</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库房防护展示：库房安全状态全时段守护，当出现漏水、火灾、防盗等严重报警时，系统以全屏呼吸灯的方式提示，并具备档案库房健康评分，实时显示当前库房健康状态、实时监测当日预警数以及档案室防控设备数量状态</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库房环境展示：实时以优、良、差的方式显示当前库房的环境质量，页面具备一周内的平均温湿度曲线走向，可在页面手动选择只显示温度或湿度曲线、库房环境数据可显示不少于PM2.5、CO2、PM10、TOVC、甲醛等数据，并以汽包方式动态显示，当数值超过预设值，汽包以深颜色提示</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库房设备展示：实时展示库房除湿机、空调等设备的运行情况，并以动态、静态效果展示对应开机运行和关机休眠的状态。</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屏幕尺寸：≥55英寸。</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配备1套壁挂式金属支架。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嵌入式采集EMU</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施压时间：</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5s。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1U机架式，</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ARM9处理器，Linux系统</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10M/100M，自适应以太网接口双网口交换机</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提供</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8路RS-485/232/422，可任意切换串口类型，每路自带12V输出，2路供电电流</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45W，6路供电电流</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24W</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每路端口具备电流异常自动切断电路功能。</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支持一键复位，恢复出厂设置。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波特率支持600～460800bps</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支持Windows串口驱动程序模式</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支持TCP、UDP、ARP、ICMP和DHCP协议</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支持所有WindowsNativeCOM和网络中断自动恢复连接功能</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支持过网关，跨路由通信</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12</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拥有易于使用、可用于批量安装的Windows配置工具</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13</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IP30防护等级</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14</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无风扇</w:t>
            </w:r>
            <w:r>
              <w:rPr>
                <w:rFonts w:hint="eastAsia" w:ascii="宋体" w:hAnsi="宋体" w:cs="宋体"/>
                <w:i w:val="0"/>
                <w:iCs w:val="0"/>
                <w:color w:val="auto"/>
                <w:sz w:val="21"/>
                <w:szCs w:val="21"/>
                <w:highlight w:val="none"/>
                <w:u w:val="none"/>
                <w:lang w:val="en-US" w:eastAsia="zh-CN"/>
              </w:rPr>
              <w:t>设计</w:t>
            </w:r>
            <w:r>
              <w:rPr>
                <w:rFonts w:hint="eastAsia" w:ascii="宋体" w:hAnsi="宋体" w:eastAsia="宋体" w:cs="宋体"/>
                <w:b w:val="0"/>
                <w:bCs/>
                <w:i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智能区域控制屏</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w:t>
            </w:r>
            <w:r>
              <w:rPr>
                <w:rFonts w:hint="eastAsia" w:ascii="宋体" w:hAnsi="宋体" w:eastAsia="宋体" w:cs="宋体"/>
                <w:i w:val="0"/>
                <w:iCs w:val="0"/>
                <w:color w:val="auto"/>
                <w:kern w:val="2"/>
                <w:sz w:val="21"/>
                <w:szCs w:val="21"/>
                <w:highlight w:val="none"/>
                <w:u w:val="none"/>
                <w:lang w:val="en-US" w:eastAsia="zh-CN" w:bidi="ar-SA"/>
              </w:rPr>
              <w:t>、嵌入式箱体：彩色触摸操作系统</w:t>
            </w:r>
            <w:r>
              <w:rPr>
                <w:rFonts w:hint="eastAsia" w:ascii="宋体" w:hAnsi="宋体" w:cs="宋体"/>
                <w:i w:val="0"/>
                <w:iCs w:val="0"/>
                <w:color w:val="auto"/>
                <w:kern w:val="2"/>
                <w:sz w:val="21"/>
                <w:szCs w:val="21"/>
                <w:highlight w:val="none"/>
                <w:u w:val="none"/>
                <w:lang w:val="en-US" w:eastAsia="zh-CN" w:bidi="ar-SA"/>
              </w:rPr>
              <w:t>屏≥</w:t>
            </w:r>
            <w:r>
              <w:rPr>
                <w:rFonts w:hint="eastAsia" w:ascii="宋体" w:hAnsi="宋体" w:eastAsia="宋体" w:cs="宋体"/>
                <w:i w:val="0"/>
                <w:iCs w:val="0"/>
                <w:color w:val="auto"/>
                <w:kern w:val="2"/>
                <w:sz w:val="21"/>
                <w:szCs w:val="21"/>
                <w:highlight w:val="none"/>
                <w:u w:val="none"/>
                <w:lang w:val="en-US" w:eastAsia="zh-CN" w:bidi="ar-SA"/>
              </w:rPr>
              <w:t>15</w:t>
            </w:r>
            <w:r>
              <w:rPr>
                <w:rFonts w:hint="eastAsia" w:ascii="宋体" w:hAnsi="宋体" w:cs="宋体"/>
                <w:i w:val="0"/>
                <w:iCs w:val="0"/>
                <w:color w:val="auto"/>
                <w:kern w:val="2"/>
                <w:sz w:val="21"/>
                <w:szCs w:val="21"/>
                <w:highlight w:val="none"/>
                <w:u w:val="none"/>
                <w:lang w:val="en-US" w:eastAsia="zh-CN" w:bidi="ar-SA"/>
              </w:rPr>
              <w:t>英</w:t>
            </w:r>
            <w:r>
              <w:rPr>
                <w:rFonts w:hint="eastAsia" w:ascii="宋体" w:hAnsi="宋体" w:eastAsia="宋体" w:cs="宋体"/>
                <w:i w:val="0"/>
                <w:iCs w:val="0"/>
                <w:color w:val="auto"/>
                <w:kern w:val="2"/>
                <w:sz w:val="21"/>
                <w:szCs w:val="21"/>
                <w:highlight w:val="none"/>
                <w:u w:val="none"/>
                <w:lang w:val="en-US" w:eastAsia="zh-CN" w:bidi="ar-SA"/>
              </w:rPr>
              <w:t>寸</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2</w:t>
            </w:r>
            <w:r>
              <w:rPr>
                <w:rFonts w:hint="eastAsia" w:ascii="宋体" w:hAnsi="宋体" w:eastAsia="宋体" w:cs="宋体"/>
                <w:i w:val="0"/>
                <w:iCs w:val="0"/>
                <w:color w:val="auto"/>
                <w:kern w:val="2"/>
                <w:sz w:val="21"/>
                <w:szCs w:val="21"/>
                <w:highlight w:val="none"/>
                <w:u w:val="none"/>
                <w:lang w:val="en-US" w:eastAsia="zh-CN" w:bidi="ar-SA"/>
              </w:rPr>
              <w:t>、箱体采用冷轧钢板</w:t>
            </w:r>
            <w:r>
              <w:rPr>
                <w:rFonts w:hint="eastAsia" w:ascii="宋体" w:hAnsi="宋体" w:cs="宋体"/>
                <w:i w:val="0"/>
                <w:iCs w:val="0"/>
                <w:color w:val="auto"/>
                <w:kern w:val="2"/>
                <w:sz w:val="21"/>
                <w:szCs w:val="21"/>
                <w:highlight w:val="none"/>
                <w:u w:val="none"/>
                <w:lang w:val="en-US" w:eastAsia="zh-CN" w:bidi="ar-SA"/>
              </w:rPr>
              <w:t>，厚度</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kern w:val="2"/>
                <w:sz w:val="21"/>
                <w:szCs w:val="21"/>
                <w:highlight w:val="none"/>
                <w:u w:val="none"/>
                <w:lang w:val="en-US" w:eastAsia="zh-CN" w:bidi="ar-SA"/>
              </w:rPr>
              <w:t>1.0mm，表面需采用静电喷涂工艺。</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3</w:t>
            </w:r>
            <w:r>
              <w:rPr>
                <w:rFonts w:hint="eastAsia" w:ascii="宋体" w:hAnsi="宋体" w:eastAsia="宋体" w:cs="宋体"/>
                <w:i w:val="0"/>
                <w:iCs w:val="0"/>
                <w:color w:val="auto"/>
                <w:kern w:val="2"/>
                <w:sz w:val="21"/>
                <w:szCs w:val="21"/>
                <w:highlight w:val="none"/>
                <w:u w:val="none"/>
                <w:lang w:val="en-US" w:eastAsia="zh-CN" w:bidi="ar-SA"/>
              </w:rPr>
              <w:t>、漆膜厚度应</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kern w:val="2"/>
                <w:sz w:val="21"/>
                <w:szCs w:val="21"/>
                <w:highlight w:val="none"/>
                <w:u w:val="none"/>
                <w:lang w:val="en-US" w:eastAsia="zh-CN" w:bidi="ar-SA"/>
              </w:rPr>
              <w:t>78μm；硬度：</w:t>
            </w:r>
            <w:r>
              <w:rPr>
                <w:rFonts w:hint="eastAsia" w:ascii="宋体" w:hAnsi="宋体" w:cs="宋体"/>
                <w:i w:val="0"/>
                <w:iCs w:val="0"/>
                <w:color w:val="auto"/>
                <w:kern w:val="2"/>
                <w:sz w:val="21"/>
                <w:szCs w:val="21"/>
                <w:highlight w:val="none"/>
                <w:u w:val="none"/>
                <w:lang w:val="en-US" w:eastAsia="zh-CN" w:bidi="ar-SA"/>
              </w:rPr>
              <w:t>≥</w:t>
            </w:r>
            <w:r>
              <w:rPr>
                <w:rFonts w:hint="eastAsia" w:ascii="宋体" w:hAnsi="宋体" w:eastAsia="宋体" w:cs="宋体"/>
                <w:i w:val="0"/>
                <w:iCs w:val="0"/>
                <w:color w:val="auto"/>
                <w:kern w:val="2"/>
                <w:sz w:val="21"/>
                <w:szCs w:val="21"/>
                <w:highlight w:val="none"/>
                <w:u w:val="none"/>
                <w:lang w:val="en-US" w:eastAsia="zh-CN" w:bidi="ar-SA"/>
              </w:rPr>
              <w:t>6H；附着力：≦1级。</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4</w:t>
            </w:r>
            <w:r>
              <w:rPr>
                <w:rFonts w:hint="eastAsia" w:ascii="宋体" w:hAnsi="宋体" w:eastAsia="宋体" w:cs="宋体"/>
                <w:i w:val="0"/>
                <w:iCs w:val="0"/>
                <w:color w:val="auto"/>
                <w:kern w:val="2"/>
                <w:sz w:val="21"/>
                <w:szCs w:val="21"/>
                <w:highlight w:val="none"/>
                <w:u w:val="none"/>
                <w:lang w:val="en-US" w:eastAsia="zh-CN" w:bidi="ar-SA"/>
              </w:rPr>
              <w:t>、系统功能：系统支持实时显示室内温度、湿度、空气质量、有害气体、漏水、红外报警、火灾报警、驱鼠等库房十防检测数据。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5</w:t>
            </w:r>
            <w:r>
              <w:rPr>
                <w:rFonts w:hint="eastAsia" w:ascii="宋体" w:hAnsi="宋体" w:eastAsia="宋体" w:cs="宋体"/>
                <w:i w:val="0"/>
                <w:iCs w:val="0"/>
                <w:color w:val="auto"/>
                <w:kern w:val="2"/>
                <w:sz w:val="21"/>
                <w:szCs w:val="21"/>
                <w:highlight w:val="none"/>
                <w:u w:val="none"/>
                <w:lang w:val="en-US" w:eastAsia="zh-CN" w:bidi="ar-SA"/>
              </w:rPr>
              <w:t>、支持触摸屏可远程控制管理库房内空调、恒湿一体机、霉菌净化机、新风机、除酸机等智能设备，并可进入智能设备管理界面进行单独管理</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6</w:t>
            </w:r>
            <w:r>
              <w:rPr>
                <w:rFonts w:hint="eastAsia" w:ascii="宋体" w:hAnsi="宋体" w:eastAsia="宋体" w:cs="宋体"/>
                <w:i w:val="0"/>
                <w:iCs w:val="0"/>
                <w:color w:val="auto"/>
                <w:kern w:val="2"/>
                <w:sz w:val="21"/>
                <w:szCs w:val="21"/>
                <w:highlight w:val="none"/>
                <w:u w:val="none"/>
                <w:lang w:val="en-US" w:eastAsia="zh-CN" w:bidi="ar-SA"/>
              </w:rPr>
              <w:t>、支持实时短信、声光、WEB窗口报警</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7</w:t>
            </w:r>
            <w:r>
              <w:rPr>
                <w:rFonts w:hint="eastAsia" w:ascii="宋体" w:hAnsi="宋体" w:eastAsia="宋体" w:cs="宋体"/>
                <w:i w:val="0"/>
                <w:iCs w:val="0"/>
                <w:color w:val="auto"/>
                <w:kern w:val="2"/>
                <w:sz w:val="21"/>
                <w:szCs w:val="21"/>
                <w:highlight w:val="none"/>
                <w:u w:val="none"/>
                <w:lang w:val="en-US" w:eastAsia="zh-CN" w:bidi="ar-SA"/>
              </w:rPr>
              <w:t>、防护等级</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kern w:val="2"/>
                <w:sz w:val="21"/>
                <w:szCs w:val="21"/>
                <w:highlight w:val="none"/>
                <w:u w:val="none"/>
                <w:lang w:val="en-US" w:eastAsia="zh-CN" w:bidi="ar-SA"/>
              </w:rPr>
              <w:t>IP41</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2"/>
                <w:sz w:val="21"/>
                <w:szCs w:val="21"/>
                <w:highlight w:val="none"/>
                <w:u w:val="none"/>
                <w:lang w:val="en-US" w:eastAsia="zh-CN" w:bidi="ar-SA"/>
              </w:rPr>
              <w:t>8</w:t>
            </w:r>
            <w:r>
              <w:rPr>
                <w:rFonts w:hint="eastAsia" w:ascii="宋体" w:hAnsi="宋体" w:eastAsia="宋体" w:cs="宋体"/>
                <w:i w:val="0"/>
                <w:iCs w:val="0"/>
                <w:color w:val="auto"/>
                <w:kern w:val="2"/>
                <w:sz w:val="21"/>
                <w:szCs w:val="21"/>
                <w:highlight w:val="none"/>
                <w:u w:val="none"/>
                <w:lang w:val="en-US" w:eastAsia="zh-CN" w:bidi="ar-SA"/>
              </w:rPr>
              <w:t>、阻燃性能：等级</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kern w:val="2"/>
                <w:sz w:val="21"/>
                <w:szCs w:val="21"/>
                <w:highlight w:val="none"/>
                <w:u w:val="none"/>
                <w:lang w:val="en-US" w:eastAsia="zh-CN" w:bidi="ar-SA"/>
              </w:rPr>
              <w:t>V-0级</w:t>
            </w:r>
            <w:r>
              <w:rPr>
                <w:rFonts w:hint="eastAsia" w:ascii="宋体" w:hAnsi="宋体" w:eastAsia="宋体" w:cs="宋体"/>
                <w:b w:val="0"/>
                <w:bCs/>
                <w:i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短信报警云服务平台</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通过短信网关对外报警；支持温湿度报警、入侵报警、漏水报警。</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告警短信发送延时不超过3s</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报警方式</w:t>
            </w:r>
            <w:r>
              <w:rPr>
                <w:rFonts w:hint="eastAsia" w:ascii="宋体" w:hAnsi="宋体" w:cs="宋体"/>
                <w:i w:val="0"/>
                <w:iCs w:val="0"/>
                <w:color w:val="auto"/>
                <w:sz w:val="21"/>
                <w:szCs w:val="21"/>
                <w:highlight w:val="none"/>
                <w:u w:val="none"/>
                <w:lang w:val="en-US" w:eastAsia="zh-CN"/>
              </w:rPr>
              <w:t>具有≥</w:t>
            </w:r>
            <w:r>
              <w:rPr>
                <w:rFonts w:hint="eastAsia" w:ascii="宋体" w:hAnsi="宋体" w:eastAsia="宋体" w:cs="宋体"/>
                <w:i w:val="0"/>
                <w:iCs w:val="0"/>
                <w:color w:val="auto"/>
                <w:sz w:val="21"/>
                <w:szCs w:val="21"/>
                <w:highlight w:val="none"/>
                <w:u w:val="none"/>
                <w:lang w:val="en-US" w:eastAsia="zh-CN"/>
              </w:rPr>
              <w:t>3级报警等级。另将按报警事件重要程度不同，划分为提示、一般、重要、紧急</w:t>
            </w:r>
            <w:r>
              <w:rPr>
                <w:rFonts w:hint="eastAsia" w:ascii="宋体" w:hAnsi="宋体" w:cs="宋体"/>
                <w:i w:val="0"/>
                <w:iCs w:val="0"/>
                <w:color w:val="auto"/>
                <w:sz w:val="21"/>
                <w:szCs w:val="21"/>
                <w:highlight w:val="none"/>
                <w:u w:val="none"/>
                <w:lang w:val="en-US" w:eastAsia="zh-CN"/>
              </w:rPr>
              <w:t>四</w:t>
            </w:r>
            <w:r>
              <w:rPr>
                <w:rFonts w:hint="eastAsia" w:ascii="宋体" w:hAnsi="宋体" w:eastAsia="宋体" w:cs="宋体"/>
                <w:i w:val="0"/>
                <w:iCs w:val="0"/>
                <w:color w:val="auto"/>
                <w:sz w:val="21"/>
                <w:szCs w:val="21"/>
                <w:highlight w:val="none"/>
                <w:u w:val="none"/>
                <w:lang w:val="en-US" w:eastAsia="zh-CN"/>
              </w:rPr>
              <w:t>个报警等级</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短信定时查询：系统可设置定时查询某一时段的数据内容。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2.1.8</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短信报警器</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2"/>
                <w:sz w:val="21"/>
                <w:szCs w:val="21"/>
                <w:highlight w:val="none"/>
                <w:lang w:val="en-US" w:eastAsia="zh-CN" w:bidi="ar-SA"/>
              </w:rPr>
              <w:t>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工作温度：-20℃—+40℃。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库房出现状况可发送短信到管理人员手机；</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双频GSM调制解调器（EGSM900/1800MHz或EGSM900/1900MHz）。</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输出功率：≥1W@1800/1900MHz。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信号传输模块</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b w:val="0"/>
                <w:bCs/>
                <w:i w:val="0"/>
                <w:color w:val="auto"/>
                <w:kern w:val="0"/>
                <w:sz w:val="21"/>
                <w:szCs w:val="21"/>
                <w:highlight w:val="none"/>
                <w:u w:val="none"/>
                <w:lang w:val="en-US" w:eastAsia="zh-CN" w:bidi="ar"/>
              </w:rPr>
              <w:t>、传输分辨率：≥1080P60Hz。</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b w:val="0"/>
                <w:bCs/>
                <w:i w:val="0"/>
                <w:color w:val="auto"/>
                <w:kern w:val="0"/>
                <w:sz w:val="21"/>
                <w:szCs w:val="21"/>
                <w:highlight w:val="none"/>
                <w:u w:val="none"/>
                <w:lang w:val="en-US" w:eastAsia="zh-CN" w:bidi="ar"/>
              </w:rPr>
              <w:t>、传输距离：≥50米；发射端：≥20米；接收端：≥20米。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网络机柜</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1、采用冷轧板，静电喷涂。</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2、外形尺寸：</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600*600*1000mm；</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３</w:t>
            </w:r>
            <w:r>
              <w:rPr>
                <w:rFonts w:hint="eastAsia" w:ascii="宋体" w:hAnsi="宋体" w:eastAsia="宋体" w:cs="宋体"/>
                <w:b w:val="0"/>
                <w:bCs/>
                <w:i w:val="0"/>
                <w:color w:val="auto"/>
                <w:kern w:val="0"/>
                <w:sz w:val="21"/>
                <w:szCs w:val="21"/>
                <w:highlight w:val="none"/>
                <w:u w:val="none"/>
                <w:lang w:val="en-US" w:eastAsia="zh-CN" w:bidi="ar"/>
              </w:rPr>
              <w:t>、内含一个理线架。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１</w:t>
            </w:r>
            <w:r>
              <w:rPr>
                <w:rFonts w:hint="eastAsia" w:ascii="宋体" w:hAnsi="宋体" w:eastAsia="宋体" w:cs="宋体"/>
                <w:i w:val="0"/>
                <w:iCs w:val="0"/>
                <w:color w:val="auto"/>
                <w:kern w:val="0"/>
                <w:sz w:val="21"/>
                <w:szCs w:val="21"/>
                <w:highlight w:val="none"/>
                <w:u w:val="none"/>
                <w:lang w:val="en-US" w:eastAsia="zh-CN" w:bidi="ar"/>
              </w:rPr>
              <w:t>、接口数目：</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24</w:t>
            </w:r>
            <w:r>
              <w:rPr>
                <w:rFonts w:hint="eastAsia" w:ascii="宋体" w:hAnsi="宋体" w:cs="宋体"/>
                <w:i w:val="0"/>
                <w:iCs w:val="0"/>
                <w:color w:val="auto"/>
                <w:kern w:val="0"/>
                <w:sz w:val="21"/>
                <w:szCs w:val="21"/>
                <w:highlight w:val="none"/>
                <w:u w:val="none"/>
                <w:lang w:val="en-US" w:eastAsia="zh-CN" w:bidi="ar"/>
              </w:rPr>
              <w:t>口</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２</w:t>
            </w:r>
            <w:r>
              <w:rPr>
                <w:rFonts w:hint="eastAsia" w:ascii="宋体" w:hAnsi="宋体" w:eastAsia="宋体" w:cs="宋体"/>
                <w:i w:val="0"/>
                <w:iCs w:val="0"/>
                <w:color w:val="auto"/>
                <w:kern w:val="0"/>
                <w:sz w:val="21"/>
                <w:szCs w:val="21"/>
                <w:highlight w:val="none"/>
                <w:u w:val="none"/>
                <w:lang w:val="en-US" w:eastAsia="zh-CN" w:bidi="ar"/>
              </w:rPr>
              <w:t>、传输速度：</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1000Mbps。</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３</w:t>
            </w:r>
            <w:r>
              <w:rPr>
                <w:rFonts w:hint="eastAsia" w:ascii="宋体" w:hAnsi="宋体" w:eastAsia="宋体" w:cs="宋体"/>
                <w:i w:val="0"/>
                <w:iCs w:val="0"/>
                <w:color w:val="auto"/>
                <w:kern w:val="0"/>
                <w:sz w:val="21"/>
                <w:szCs w:val="21"/>
                <w:highlight w:val="none"/>
                <w:u w:val="none"/>
                <w:lang w:val="en-US" w:eastAsia="zh-CN" w:bidi="ar"/>
              </w:rPr>
              <w:t>、无阻塞吞吐量：</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10Gbps；交换能力：</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20Gbps。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恒温监控系统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空调控制器</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1、设备尺寸：300mm×200mm×40mm（±3mm），需采用</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b w:val="0"/>
                <w:bCs/>
                <w:i w:val="0"/>
                <w:color w:val="auto"/>
                <w:kern w:val="0"/>
                <w:sz w:val="21"/>
                <w:szCs w:val="21"/>
                <w:highlight w:val="none"/>
                <w:u w:val="none"/>
                <w:lang w:val="en-US" w:eastAsia="zh-CN" w:bidi="ar"/>
              </w:rPr>
              <w:t>3英寸LCD显示屏；可轮询显示日期、时间、波特率、通讯地址，并可通过4个ABS材质按钮设置。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2、材质：外观需采用冷轧钢板，静电喷涂，</w:t>
            </w:r>
            <w:r>
              <w:rPr>
                <w:rFonts w:hint="eastAsia" w:ascii="宋体" w:hAnsi="宋体" w:cs="宋体"/>
                <w:b w:val="0"/>
                <w:bCs/>
                <w:i w:val="0"/>
                <w:color w:val="auto"/>
                <w:kern w:val="0"/>
                <w:sz w:val="21"/>
                <w:szCs w:val="21"/>
                <w:highlight w:val="none"/>
                <w:u w:val="none"/>
                <w:lang w:val="en-US" w:eastAsia="zh-CN" w:bidi="ar"/>
              </w:rPr>
              <w:t>板厚</w:t>
            </w:r>
            <w:r>
              <w:rPr>
                <w:rFonts w:hint="eastAsia" w:ascii="宋体" w:hAnsi="宋体" w:eastAsia="宋体" w:cs="宋体"/>
                <w:b w:val="0"/>
                <w:bCs/>
                <w:i w:val="0"/>
                <w:color w:val="auto"/>
                <w:kern w:val="0"/>
                <w:sz w:val="21"/>
                <w:szCs w:val="21"/>
                <w:highlight w:val="none"/>
                <w:u w:val="none"/>
                <w:lang w:val="en-US" w:eastAsia="zh-CN" w:bidi="ar"/>
              </w:rPr>
              <w:t>≥1.0mm，需采用一体化成型设计，箱体需采用≥1.0mm的冷轧钢板，通过折弯拼接而成，箱体主体部分侧面，开有散热孔。箱体背板带有四个挂钩，壁挂式安装。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3、符合国家：GB/T5169.11-2017及GB/T5169.21-2017标准。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4、检验电压：1500V50Hz；施压时间：≥5s。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5、可以不用电脑来实现按键学习空调遥控器。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6、可学习8组按键功能。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7、支持与档案库房十防监控系统对接，可实现多台设备集中管控。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8、红外发射头与空调距离最远：≥10米。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9、工作电流：＜10mA。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10、带锁探头维护舱设计，电源、信号、探头至于舱内方便管理。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11、红外发射头方向360°旋转，可根据现场设备安装位置调整发射头方向。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12、红外波长：940nm；载波频率：38kHz。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智能空调控制系统软件接口</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系统可实时监控库房空调运行的状态，并与温湿度监测子系统进行联动控制，当库房温度异常时，可联动空调开机调节温度达到恒温效果，当空调控制命令与运行状态不符或有其他异常时，系统产生报警。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恒湿监控系统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智能恒湿净化一体机</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设备具备自动调控库房湿度，使库房环境达到档案馆建筑设计规范JGJ25-2010的国家规定标准。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rPr>
              <w:t>、加湿功能与除湿功能合二为一。</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rPr>
              <w:t>、具备湿度设定系统，湿度可调范围在00-99%。</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rPr>
              <w:t>、具备温湿度现场校准功能。</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、具备无级变速功能，风量从0-1600任意设定。</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i w:val="0"/>
                <w:iCs w:val="0"/>
                <w:color w:val="auto"/>
                <w:sz w:val="21"/>
                <w:szCs w:val="21"/>
                <w:highlight w:val="none"/>
                <w:u w:val="none"/>
              </w:rPr>
              <w:t>、实时存储温湿度、PM2.5，支持年月周日数字报表，最长存储可达12个月。</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7</w:t>
            </w:r>
            <w:r>
              <w:rPr>
                <w:rFonts w:hint="eastAsia" w:ascii="宋体" w:hAnsi="宋体" w:eastAsia="宋体" w:cs="宋体"/>
                <w:i w:val="0"/>
                <w:iCs w:val="0"/>
                <w:color w:val="auto"/>
                <w:sz w:val="21"/>
                <w:szCs w:val="21"/>
                <w:highlight w:val="none"/>
                <w:u w:val="none"/>
              </w:rPr>
              <w:t>、可查询报警记录、维护运行依据数据实时调整。</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8</w:t>
            </w:r>
            <w:r>
              <w:rPr>
                <w:rFonts w:hint="eastAsia" w:ascii="宋体" w:hAnsi="宋体" w:eastAsia="宋体" w:cs="宋体"/>
                <w:i w:val="0"/>
                <w:iCs w:val="0"/>
                <w:color w:val="auto"/>
                <w:sz w:val="21"/>
                <w:szCs w:val="21"/>
                <w:highlight w:val="none"/>
                <w:u w:val="none"/>
              </w:rPr>
              <w:t>、具备12V输出功能，也联动启动动力环境设备，便于集中联网管理。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rPr>
              <w:t>、具备缺水、正常、水满提示功能。</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rPr>
              <w:t>、具备报警显示区功能：显示溢水、漏水等报警信息。</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rPr>
              <w:t>、具备断电自动重启功能</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重要信息存储功能</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信息掉电保护后无需重新设置。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rPr>
              <w:t>、标准MODBUS通信协议</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RS485远程监控端口。</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rPr>
              <w:t>、标配除尘功能（99%去除空气中的PM2.5、PM10）</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rPr>
              <w:t>、标配除二氧化硫功能（99%去除档案库房二氧化硫）</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、除湿量：70-90L/24h，加湿量：6-8L/h</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人机交互介面：系统具有人机交互介面，</w:t>
            </w:r>
            <w:r>
              <w:rPr>
                <w:rFonts w:hint="eastAsia" w:ascii="宋体" w:hAnsi="宋体" w:eastAsia="宋体" w:cs="宋体"/>
                <w:i w:val="0"/>
                <w:iCs w:val="0"/>
                <w:color w:val="auto"/>
                <w:sz w:val="21"/>
                <w:szCs w:val="21"/>
                <w:highlight w:val="none"/>
                <w:u w:val="none"/>
                <w:lang w:eastAsia="zh-CN"/>
              </w:rPr>
              <w:t>需采用</w:t>
            </w:r>
            <w:r>
              <w:rPr>
                <w:rFonts w:hint="eastAsia" w:ascii="宋体" w:hAnsi="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7寸触摸屏控制除湿、加湿、净化等功能，页面显示实时温湿度、运行状态、风机状态及水箱状态</w:t>
            </w:r>
            <w:r>
              <w:rPr>
                <w:rFonts w:hint="eastAsia" w:ascii="宋体" w:hAnsi="宋体" w:eastAsia="宋体" w:cs="宋体"/>
                <w:i w:val="0"/>
                <w:iCs w:val="0"/>
                <w:color w:val="auto"/>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val="en-US" w:eastAsia="zh-CN"/>
              </w:rPr>
              <w:t>17</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设备阻燃性能：V-0级</w:t>
            </w:r>
            <w:r>
              <w:rPr>
                <w:rFonts w:hint="eastAsia" w:ascii="宋体" w:hAnsi="宋体" w:eastAsia="宋体" w:cs="宋体"/>
                <w:i w:val="0"/>
                <w:iCs w:val="0"/>
                <w:color w:val="auto"/>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18</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除湿加湿净化为一体，依据标准设定库房环境阈值自动运行。</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19</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eastAsia="zh-CN"/>
              </w:rPr>
              <w:t>需采用</w:t>
            </w:r>
            <w:r>
              <w:rPr>
                <w:rFonts w:hint="eastAsia" w:ascii="宋体" w:hAnsi="宋体" w:eastAsia="宋体" w:cs="宋体"/>
                <w:i w:val="0"/>
                <w:iCs w:val="0"/>
                <w:color w:val="auto"/>
                <w:sz w:val="21"/>
                <w:szCs w:val="21"/>
                <w:highlight w:val="none"/>
                <w:u w:val="none"/>
              </w:rPr>
              <w:t>EC变频风机，依据湿度和空气质量自动节能运行。</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20、</w:t>
            </w:r>
            <w:r>
              <w:rPr>
                <w:rFonts w:hint="eastAsia" w:ascii="宋体" w:hAnsi="宋体" w:eastAsia="宋体" w:cs="宋体"/>
                <w:b w:val="0"/>
                <w:bCs w:val="0"/>
                <w:i w:val="0"/>
                <w:color w:val="auto"/>
                <w:kern w:val="0"/>
                <w:sz w:val="21"/>
                <w:szCs w:val="21"/>
                <w:highlight w:val="none"/>
                <w:u w:val="none"/>
                <w:rtl w:val="0"/>
                <w:lang w:val="zh-CN" w:eastAsia="zh-CN" w:bidi="ar"/>
              </w:rPr>
              <w:t>★</w:t>
            </w:r>
            <w:r>
              <w:rPr>
                <w:rFonts w:hint="eastAsia" w:ascii="宋体" w:hAnsi="宋体" w:eastAsia="宋体" w:cs="宋体"/>
                <w:i w:val="0"/>
                <w:iCs w:val="0"/>
                <w:color w:val="auto"/>
                <w:sz w:val="21"/>
                <w:szCs w:val="21"/>
                <w:highlight w:val="none"/>
                <w:u w:val="none"/>
                <w:lang w:val="en-US" w:eastAsia="zh-CN"/>
              </w:rPr>
              <w:t>化霜功能：系统具备化霜功能，可设定化霜运行的温度条件，时间间隔及运行时长，来保障机器运行时的热交换效率，保障机器制热功能的环境。</w:t>
            </w:r>
            <w:r>
              <w:rPr>
                <w:rFonts w:hint="eastAsia" w:ascii="宋体" w:hAnsi="宋体" w:eastAsia="宋体" w:cs="宋体"/>
                <w:b/>
                <w:bCs/>
                <w:i w:val="0"/>
                <w:color w:val="auto"/>
                <w:kern w:val="0"/>
                <w:sz w:val="21"/>
                <w:szCs w:val="21"/>
                <w:highlight w:val="none"/>
                <w:u w:val="none"/>
                <w:rtl w:val="0"/>
                <w:lang w:val="en-US" w:eastAsia="zh-CN" w:bidi="ar"/>
              </w:rPr>
              <w:t>提供智能恒湿净化一体机</w:t>
            </w:r>
            <w:r>
              <w:rPr>
                <w:rFonts w:hint="eastAsia" w:ascii="宋体" w:hAnsi="宋体" w:cs="宋体"/>
                <w:b/>
                <w:bCs/>
                <w:i w:val="0"/>
                <w:color w:val="auto"/>
                <w:kern w:val="0"/>
                <w:sz w:val="21"/>
                <w:szCs w:val="21"/>
                <w:highlight w:val="none"/>
                <w:u w:val="none"/>
                <w:rtl w:val="0"/>
                <w:lang w:val="en-US" w:eastAsia="zh-CN" w:bidi="ar"/>
              </w:rPr>
              <w:t>第三方国家认可机构出具的检测报告</w:t>
            </w:r>
            <w:r>
              <w:rPr>
                <w:rFonts w:hint="eastAsia" w:ascii="宋体" w:hAnsi="宋体" w:eastAsia="宋体" w:cs="宋体"/>
                <w:b/>
                <w:bCs/>
                <w:i w:val="0"/>
                <w:iCs w:val="0"/>
                <w:color w:val="auto"/>
                <w:sz w:val="21"/>
                <w:szCs w:val="21"/>
                <w:highlight w:val="none"/>
                <w:u w:val="none"/>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21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eastAsia="zh-CN"/>
              </w:rPr>
              <w:t>需采用</w:t>
            </w:r>
            <w:r>
              <w:rPr>
                <w:rFonts w:hint="eastAsia" w:ascii="宋体" w:hAnsi="宋体" w:eastAsia="宋体" w:cs="宋体"/>
                <w:i w:val="0"/>
                <w:iCs w:val="0"/>
                <w:color w:val="auto"/>
                <w:sz w:val="21"/>
                <w:szCs w:val="21"/>
                <w:highlight w:val="none"/>
                <w:u w:val="none"/>
              </w:rPr>
              <w:t>工业级的PLC智能控制系统，标配YZBRD-RS485通讯，可通过USB导出历史数据，温湿度与空气质量以年月周日形成数字或曲线报表功能。</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eastAsia="宋体" w:cs="宋体"/>
                <w:i w:val="0"/>
                <w:iCs w:val="0"/>
                <w:color w:val="auto"/>
                <w:sz w:val="21"/>
                <w:szCs w:val="21"/>
                <w:highlight w:val="none"/>
                <w:u w:val="none"/>
                <w:lang w:val="en-US" w:eastAsia="zh-CN"/>
              </w:rPr>
              <w:t>2</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为了避免水箱漏水隐患</w:t>
            </w:r>
            <w:r>
              <w:rPr>
                <w:rFonts w:hint="eastAsia" w:ascii="宋体" w:hAnsi="宋体" w:eastAsia="宋体" w:cs="宋体"/>
                <w:i w:val="0"/>
                <w:iCs w:val="0"/>
                <w:color w:val="auto"/>
                <w:sz w:val="21"/>
                <w:szCs w:val="21"/>
                <w:highlight w:val="none"/>
                <w:u w:val="none"/>
                <w:lang w:eastAsia="zh-CN"/>
              </w:rPr>
              <w:t>需采用</w:t>
            </w:r>
            <w:r>
              <w:rPr>
                <w:rFonts w:hint="eastAsia" w:ascii="宋体" w:hAnsi="宋体" w:eastAsia="宋体" w:cs="宋体"/>
                <w:i w:val="0"/>
                <w:iCs w:val="0"/>
                <w:color w:val="auto"/>
                <w:sz w:val="21"/>
                <w:szCs w:val="21"/>
                <w:highlight w:val="none"/>
                <w:u w:val="none"/>
              </w:rPr>
              <w:t>双层水箱。</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eastAsia="宋体" w:cs="宋体"/>
                <w:i w:val="0"/>
                <w:iCs w:val="0"/>
                <w:color w:val="auto"/>
                <w:sz w:val="21"/>
                <w:szCs w:val="21"/>
                <w:highlight w:val="none"/>
                <w:u w:val="none"/>
                <w:lang w:val="en-US" w:eastAsia="zh-CN"/>
              </w:rPr>
              <w:t>3</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设备支持手、自动排水功能，系统可设定自动排水，当除湿模式下水箱水量达到预警值，系统自动通过排水口进行排水，同时也可手动开关排水口</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eastAsia="宋体" w:cs="宋体"/>
                <w:i w:val="0"/>
                <w:iCs w:val="0"/>
                <w:color w:val="auto"/>
                <w:sz w:val="21"/>
                <w:szCs w:val="21"/>
                <w:highlight w:val="none"/>
                <w:u w:val="none"/>
                <w:lang w:val="en-US" w:eastAsia="zh-CN"/>
              </w:rPr>
              <w:t>4</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rPr>
              <w:t>设备对库房有害物质净化：①颗粒物净化效率：</w:t>
            </w:r>
            <w:r>
              <w:rPr>
                <w:rFonts w:hint="eastAsia" w:ascii="宋体" w:hAnsi="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98%；甲醛净化能效：≥2.8[m³/h•W]。②大肠埃希氏菌/白色葡萄菌除菌率R（%）</w:t>
            </w:r>
            <w:r>
              <w:rPr>
                <w:rFonts w:hint="eastAsia" w:ascii="宋体" w:hAnsi="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rPr>
              <w:t>98%</w:t>
            </w:r>
            <w:r>
              <w:rPr>
                <w:rFonts w:hint="eastAsia" w:ascii="宋体" w:hAnsi="宋体" w:eastAsia="宋体" w:cs="宋体"/>
                <w:i w:val="0"/>
                <w:iCs w:val="0"/>
                <w:color w:val="auto"/>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w:t>
            </w: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i w:val="0"/>
                <w:iCs w:val="0"/>
                <w:color w:val="auto"/>
                <w:sz w:val="21"/>
                <w:szCs w:val="21"/>
                <w:highlight w:val="none"/>
                <w:u w:val="none"/>
              </w:rPr>
              <w:t>、故障报警功能：设备具备漏水报警、溢水报警、水箱报警、传感器异常报警、浮子故障报警、通讯故障报警</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rPr>
              <w:t>2</w:t>
            </w: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b w:val="0"/>
                <w:bCs w:val="0"/>
                <w:i w:val="0"/>
                <w:color w:val="auto"/>
                <w:kern w:val="0"/>
                <w:sz w:val="21"/>
                <w:szCs w:val="21"/>
                <w:highlight w:val="none"/>
                <w:u w:val="none"/>
                <w:rtl w:val="0"/>
                <w:lang w:val="zh-CN" w:eastAsia="zh-CN" w:bidi="ar"/>
              </w:rPr>
              <w:t>★</w:t>
            </w:r>
            <w:r>
              <w:rPr>
                <w:rFonts w:hint="eastAsia" w:ascii="宋体" w:hAnsi="宋体" w:eastAsia="宋体" w:cs="宋体"/>
                <w:i w:val="0"/>
                <w:iCs w:val="0"/>
                <w:color w:val="auto"/>
                <w:sz w:val="21"/>
                <w:szCs w:val="21"/>
                <w:highlight w:val="none"/>
                <w:u w:val="none"/>
              </w:rPr>
              <w:t>数据查询功能：可自定义设定时间区间查询设备运行时每小时温、湿度、PM2.5、PM10的数据，可查询自定义的时间可精确到秒，数据查询模式具备列表查询展示和曲线图形展示，可触控曲线图查询个时间段的数据也可通过箭头导航方式查询。</w:t>
            </w:r>
            <w:r>
              <w:rPr>
                <w:rFonts w:hint="eastAsia" w:ascii="宋体" w:hAnsi="宋体" w:eastAsia="宋体" w:cs="宋体"/>
                <w:b/>
                <w:bCs/>
                <w:i w:val="0"/>
                <w:color w:val="auto"/>
                <w:kern w:val="0"/>
                <w:sz w:val="21"/>
                <w:szCs w:val="21"/>
                <w:highlight w:val="none"/>
                <w:u w:val="none"/>
                <w:rtl w:val="0"/>
                <w:lang w:val="en-US" w:eastAsia="zh-CN" w:bidi="ar"/>
              </w:rPr>
              <w:t>提供智能恒湿净化一体机</w:t>
            </w:r>
            <w:r>
              <w:rPr>
                <w:rFonts w:hint="eastAsia" w:ascii="宋体" w:hAnsi="宋体" w:cs="宋体"/>
                <w:b/>
                <w:bCs/>
                <w:i w:val="0"/>
                <w:color w:val="auto"/>
                <w:kern w:val="0"/>
                <w:sz w:val="21"/>
                <w:szCs w:val="21"/>
                <w:highlight w:val="none"/>
                <w:u w:val="none"/>
                <w:rtl w:val="0"/>
                <w:lang w:val="en-US" w:eastAsia="zh-CN" w:bidi="ar"/>
              </w:rPr>
              <w:t>第三方国家认可机构出具的检测报告</w:t>
            </w:r>
            <w:r>
              <w:rPr>
                <w:rFonts w:hint="eastAsia" w:ascii="宋体" w:hAnsi="宋体" w:eastAsia="宋体" w:cs="宋体"/>
                <w:b/>
                <w:bCs/>
                <w:i w:val="0"/>
                <w:iCs w:val="0"/>
                <w:color w:val="auto"/>
                <w:sz w:val="21"/>
                <w:szCs w:val="21"/>
                <w:highlight w:val="none"/>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移动水车</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智能型移动水车主要应用于档案库房内与一体机无缝对接配套使用。</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1、防漏水：双层304不锈钢水箱设计，无缝焊接有效防止漏水隐患发生</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2、防溢水：配置水位保护器、溢水报警器、机械式闭阀有效防止溢水</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3、加水方式：加水+排水两用功能；主机加湿时内置水箱缺水的情况下自动补水、除湿时内置水箱水满自动启动排水至水车</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4、水位显示：不少于绿光45格水位显示，直观显示水位信息</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5、报警提示：加湿缺水时可提示工作人员加水；除湿水满时可提示工作人员排水，声光报警提示。</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6、容量：</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90L大容量水箱</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7、配置4个万向静音轮。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8、具备高扬程排水接口，扬程</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12米。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恒湿控制模块</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1、输入通道：</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b w:val="0"/>
                <w:bCs/>
                <w:i w:val="0"/>
                <w:color w:val="auto"/>
                <w:kern w:val="0"/>
                <w:sz w:val="21"/>
                <w:szCs w:val="21"/>
                <w:highlight w:val="none"/>
                <w:u w:val="none"/>
                <w:lang w:val="en-US" w:eastAsia="zh-CN" w:bidi="ar"/>
              </w:rPr>
              <w:t>10路。</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2、隔离：</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b w:val="0"/>
                <w:bCs/>
                <w:i w:val="0"/>
                <w:color w:val="auto"/>
                <w:kern w:val="0"/>
                <w:sz w:val="21"/>
                <w:szCs w:val="21"/>
                <w:highlight w:val="none"/>
                <w:u w:val="none"/>
                <w:lang w:val="en-US" w:eastAsia="zh-CN" w:bidi="ar"/>
              </w:rPr>
              <w:t>8路差分，2路单端隔离。</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3、隔离电压：5000Vrms。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4、数字电平0：+1Vmax。</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5、数字电平1：+4to+30V。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2.3.4</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智能恒湿控制系统软件接口</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系统可通过智能接口实时监测恒湿设备的运行参数和状态，可与温湿度监控子系统联动控制调节库房湿度，当一体机有故障或报警时，系统产生报警，并支持电话、短信、邮件、多媒体语音等多种方式通知运维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漏水监测系统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漏水传感器</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1、线缆直径：</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5.0mm。</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2、监测导线外阻：</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20Ω/100m。</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3、长度：</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智能漏水控制模块</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材质：外观需采用冷轧钢板，静电喷涂，材质≥1.0mm，需采用一体化成型设计，箱体整体需采用≥1.0mm的冷轧钢板，通过折弯一体成型而成，箱体主体部分侧面，开有散热孔和敲落孔。整体安装后，与墙体形成17度左右斜角。</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2、反应时间：≤2S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3、检测距离：</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500米</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4、存储温度：-20</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至60</w:t>
            </w:r>
            <w:r>
              <w:rPr>
                <w:rFonts w:hint="eastAsia" w:ascii="宋体" w:hAnsi="宋体" w:cs="宋体"/>
                <w:i w:val="0"/>
                <w:iCs w:val="0"/>
                <w:color w:val="auto"/>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5、工作温度：-10</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至50</w:t>
            </w:r>
            <w:r>
              <w:rPr>
                <w:rFonts w:hint="eastAsia" w:ascii="宋体" w:hAnsi="宋体" w:cs="宋体"/>
                <w:i w:val="0"/>
                <w:iCs w:val="0"/>
                <w:color w:val="auto"/>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6、湿度：5%到95%RH（无冷凝）</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7、供电：DC9~30V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8、特点：1组，常态断开或常态闭合</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9、通信接口：RS485；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10、设备尺寸：250</w:t>
            </w:r>
            <w:r>
              <w:rPr>
                <w:rFonts w:hint="eastAsia" w:ascii="宋体" w:hAnsi="宋体" w:eastAsia="宋体" w:cs="宋体"/>
                <w:b w:val="0"/>
                <w:bCs/>
                <w:i w:val="0"/>
                <w:color w:val="auto"/>
                <w:kern w:val="0"/>
                <w:sz w:val="21"/>
                <w:szCs w:val="21"/>
                <w:highlight w:val="none"/>
                <w:u w:val="none"/>
                <w:lang w:val="en-US" w:eastAsia="zh-CN" w:bidi="ar"/>
              </w:rPr>
              <w:t>mm×</w:t>
            </w:r>
            <w:r>
              <w:rPr>
                <w:rFonts w:hint="eastAsia" w:ascii="宋体" w:hAnsi="宋体" w:eastAsia="宋体" w:cs="宋体"/>
                <w:i w:val="0"/>
                <w:iCs w:val="0"/>
                <w:color w:val="auto"/>
                <w:sz w:val="21"/>
                <w:szCs w:val="21"/>
                <w:highlight w:val="none"/>
                <w:u w:val="none"/>
                <w:lang w:val="en-US" w:eastAsia="zh-CN"/>
              </w:rPr>
              <w:t>190</w:t>
            </w:r>
            <w:r>
              <w:rPr>
                <w:rFonts w:hint="eastAsia" w:ascii="宋体" w:hAnsi="宋体" w:eastAsia="宋体" w:cs="宋体"/>
                <w:b w:val="0"/>
                <w:bCs/>
                <w:i w:val="0"/>
                <w:color w:val="auto"/>
                <w:kern w:val="0"/>
                <w:sz w:val="21"/>
                <w:szCs w:val="21"/>
                <w:highlight w:val="none"/>
                <w:u w:val="none"/>
                <w:lang w:val="en-US" w:eastAsia="zh-CN" w:bidi="ar"/>
              </w:rPr>
              <w:t>mm×</w:t>
            </w:r>
            <w:r>
              <w:rPr>
                <w:rFonts w:hint="eastAsia" w:ascii="宋体" w:hAnsi="宋体" w:eastAsia="宋体" w:cs="宋体"/>
                <w:i w:val="0"/>
                <w:iCs w:val="0"/>
                <w:color w:val="auto"/>
                <w:sz w:val="21"/>
                <w:szCs w:val="21"/>
                <w:highlight w:val="none"/>
                <w:u w:val="none"/>
                <w:lang w:val="en-US" w:eastAsia="zh-CN"/>
              </w:rPr>
              <w:t>90</w:t>
            </w:r>
            <w:r>
              <w:rPr>
                <w:rFonts w:hint="eastAsia" w:ascii="宋体" w:hAnsi="宋体" w:eastAsia="宋体" w:cs="宋体"/>
                <w:b w:val="0"/>
                <w:bCs/>
                <w:i w:val="0"/>
                <w:color w:val="auto"/>
                <w:kern w:val="0"/>
                <w:sz w:val="21"/>
                <w:szCs w:val="21"/>
                <w:highlight w:val="none"/>
                <w:u w:val="none"/>
                <w:lang w:val="en-US" w:eastAsia="zh-CN" w:bidi="ar"/>
              </w:rPr>
              <w:t>mm（±3mm）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智能漏水控制系统软件接口</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系统实时监测库房漏水的状态，可自定义设备漏水的报警等级并通过主机软件自动判断异常情况并自动报警，通过软件可支持短信、语音播报方式提示用户管理员。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温湿度监测系统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温湿度模块</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97"/>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符合国家：GB/T5169.21-2017标准。</w:t>
            </w:r>
          </w:p>
          <w:p>
            <w:pPr>
              <w:pStyle w:val="97"/>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2、供电电压DC12V；（6V～15VDC）输出方式：RS485接口</w:t>
            </w:r>
          </w:p>
          <w:p>
            <w:pPr>
              <w:pStyle w:val="97"/>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3、温度稳定性：≤0.1℃/y湿度稳定性：≤1%RH/y</w:t>
            </w:r>
          </w:p>
          <w:p>
            <w:pPr>
              <w:pStyle w:val="97"/>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4、温度响应时间：≤15s（1m/s风速）湿度响应时间：≤4s（1m/s风速）</w:t>
            </w:r>
          </w:p>
          <w:p>
            <w:pPr>
              <w:pStyle w:val="97"/>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5、测量范围温度：-20℃～70℃；湿度：0～100%RH</w:t>
            </w:r>
          </w:p>
          <w:p>
            <w:pPr>
              <w:pStyle w:val="97"/>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6、功耗≤0.3W</w:t>
            </w:r>
          </w:p>
          <w:p>
            <w:pPr>
              <w:pStyle w:val="97"/>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7、平均无故障工作时间≥500000h</w:t>
            </w:r>
          </w:p>
          <w:p>
            <w:pPr>
              <w:pStyle w:val="97"/>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8、材质：外观需采用冷轧钢板，静电喷涂，</w:t>
            </w:r>
            <w:r>
              <w:rPr>
                <w:rFonts w:hint="eastAsia" w:ascii="宋体" w:hAnsi="宋体" w:cs="宋体"/>
                <w:b w:val="0"/>
                <w:bCs/>
                <w:i w:val="0"/>
                <w:color w:val="auto"/>
                <w:kern w:val="0"/>
                <w:sz w:val="21"/>
                <w:szCs w:val="21"/>
                <w:highlight w:val="none"/>
                <w:u w:val="none"/>
                <w:lang w:val="en-US" w:eastAsia="zh-CN" w:bidi="ar"/>
              </w:rPr>
              <w:t>板厚</w:t>
            </w:r>
            <w:r>
              <w:rPr>
                <w:rFonts w:hint="eastAsia" w:ascii="宋体" w:hAnsi="宋体" w:eastAsia="宋体" w:cs="宋体"/>
                <w:b w:val="0"/>
                <w:bCs/>
                <w:i w:val="0"/>
                <w:color w:val="auto"/>
                <w:kern w:val="0"/>
                <w:sz w:val="21"/>
                <w:szCs w:val="21"/>
                <w:highlight w:val="none"/>
                <w:u w:val="none"/>
                <w:lang w:val="en-US" w:eastAsia="zh-CN" w:bidi="ar"/>
              </w:rPr>
              <w:t>≥1.0mm，需采用一体化成型设计，左右侧面开有散热孔和敲落孔。</w:t>
            </w:r>
          </w:p>
          <w:p>
            <w:pPr>
              <w:pStyle w:val="97"/>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9、设备尺寸：300mm×230mm×50mm（±3mm）</w:t>
            </w:r>
          </w:p>
          <w:p>
            <w:pPr>
              <w:pStyle w:val="97"/>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10、设备两侧具备LED运行指示灯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温湿度控制系统接口</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系统实时监管各库房设备采集的温湿度数据，可动态显示各库房温湿度值、可设定温湿度控制范围、可绘制各库房的温湿度历史曲线、手动/自动切换功能界面图、动态显示各设备运行状态、温湿度变化曲线、报表打印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空气质量监控系统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空气质量云测仪</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lang w:val="en-US" w:eastAsia="zh-CN" w:bidi="ar"/>
              </w:rPr>
              <w:t>施压时间</w:t>
            </w:r>
            <w:r>
              <w:rPr>
                <w:rFonts w:hint="eastAsia" w:ascii="宋体" w:hAnsi="宋体" w:cs="宋体"/>
                <w:b w:val="0"/>
                <w:bCs/>
                <w:i w:val="0"/>
                <w:color w:val="auto"/>
                <w:kern w:val="0"/>
                <w:sz w:val="21"/>
                <w:szCs w:val="21"/>
                <w:highlight w:val="none"/>
                <w:lang w:val="en-US" w:eastAsia="zh-CN" w:bidi="ar"/>
              </w:rPr>
              <w:t>≥</w:t>
            </w:r>
            <w:r>
              <w:rPr>
                <w:rFonts w:hint="eastAsia" w:ascii="宋体" w:hAnsi="宋体" w:eastAsia="宋体" w:cs="宋体"/>
                <w:b w:val="0"/>
                <w:bCs/>
                <w:i w:val="0"/>
                <w:color w:val="auto"/>
                <w:kern w:val="0"/>
                <w:sz w:val="21"/>
                <w:szCs w:val="21"/>
                <w:highlight w:val="none"/>
                <w:lang w:val="en-US" w:eastAsia="zh-CN" w:bidi="ar"/>
              </w:rPr>
              <w:t>5s。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2、对档案库房内PM2.5、PM10、TVOC、CO2数据采集。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3、可上传至区域控制器进行数据分析，反馈信号给人工智能档案管理总平台发送指令智能运行相应设备对室内温湿度、空气净化智能化运行。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4、供电电压：12-24VDC（配电源适配器220VAC）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5、消耗电流：平均200mA，峰值300mA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6、信号输出：RS485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7、进气方式：自然扩散式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8、外壳材质：金属材质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9、防护等级：</w:t>
            </w:r>
            <w:r>
              <w:rPr>
                <w:rFonts w:hint="eastAsia" w:ascii="宋体" w:hAnsi="宋体" w:cs="宋体"/>
                <w:b w:val="0"/>
                <w:bCs/>
                <w:i w:val="0"/>
                <w:color w:val="auto"/>
                <w:kern w:val="0"/>
                <w:sz w:val="21"/>
                <w:szCs w:val="21"/>
                <w:highlight w:val="none"/>
                <w:lang w:val="en-US" w:eastAsia="zh-CN" w:bidi="ar"/>
              </w:rPr>
              <w:t>≥</w:t>
            </w:r>
            <w:r>
              <w:rPr>
                <w:rFonts w:hint="eastAsia" w:ascii="宋体" w:hAnsi="宋体" w:eastAsia="宋体" w:cs="宋体"/>
                <w:b w:val="0"/>
                <w:bCs/>
                <w:i w:val="0"/>
                <w:color w:val="auto"/>
                <w:kern w:val="0"/>
                <w:sz w:val="21"/>
                <w:szCs w:val="21"/>
                <w:highlight w:val="none"/>
                <w:lang w:val="en-US" w:eastAsia="zh-CN" w:bidi="ar"/>
              </w:rPr>
              <w:t>IP30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10、安装方式：壁挂安装，或吸顶安装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11、工作环境：-10-50℃；0-95%RH（无凝露）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12、储存环境：-20-60℃；0-100%RH（无凝露）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13、材质：外观需采用冷轧钢板，静电喷涂，</w:t>
            </w:r>
            <w:r>
              <w:rPr>
                <w:rFonts w:hint="eastAsia" w:ascii="宋体" w:hAnsi="宋体" w:cs="宋体"/>
                <w:b w:val="0"/>
                <w:bCs/>
                <w:i w:val="0"/>
                <w:color w:val="auto"/>
                <w:kern w:val="0"/>
                <w:sz w:val="21"/>
                <w:szCs w:val="21"/>
                <w:highlight w:val="none"/>
                <w:lang w:val="en-US" w:eastAsia="zh-CN" w:bidi="ar"/>
              </w:rPr>
              <w:t>板厚</w:t>
            </w:r>
            <w:r>
              <w:rPr>
                <w:rFonts w:hint="eastAsia" w:ascii="宋体" w:hAnsi="宋体" w:eastAsia="宋体" w:cs="宋体"/>
                <w:b w:val="0"/>
                <w:bCs/>
                <w:i w:val="0"/>
                <w:color w:val="auto"/>
                <w:kern w:val="0"/>
                <w:sz w:val="21"/>
                <w:szCs w:val="21"/>
                <w:highlight w:val="none"/>
                <w:lang w:val="en-US" w:eastAsia="zh-CN" w:bidi="ar"/>
              </w:rPr>
              <w:t>≥1.0mm，需采用一体化成型设计。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lang w:val="en-US" w:eastAsia="zh-CN" w:bidi="ar"/>
              </w:rPr>
            </w:pPr>
            <w:r>
              <w:rPr>
                <w:rFonts w:hint="eastAsia" w:ascii="宋体" w:hAnsi="宋体" w:eastAsia="宋体" w:cs="宋体"/>
                <w:b w:val="0"/>
                <w:bCs/>
                <w:i w:val="0"/>
                <w:color w:val="auto"/>
                <w:kern w:val="0"/>
                <w:sz w:val="21"/>
                <w:szCs w:val="21"/>
                <w:highlight w:val="none"/>
                <w:lang w:val="en-US" w:eastAsia="zh-CN" w:bidi="ar"/>
              </w:rPr>
              <w:t>14、正面具备</w:t>
            </w:r>
            <w:r>
              <w:rPr>
                <w:rFonts w:hint="eastAsia" w:ascii="宋体" w:hAnsi="宋体" w:cs="宋体"/>
                <w:b w:val="0"/>
                <w:bCs/>
                <w:i w:val="0"/>
                <w:color w:val="auto"/>
                <w:kern w:val="0"/>
                <w:sz w:val="21"/>
                <w:szCs w:val="21"/>
                <w:highlight w:val="none"/>
                <w:lang w:val="en-US" w:eastAsia="zh-CN" w:bidi="ar"/>
              </w:rPr>
              <w:t>≥</w:t>
            </w:r>
            <w:r>
              <w:rPr>
                <w:rFonts w:hint="eastAsia" w:ascii="宋体" w:hAnsi="宋体" w:eastAsia="宋体" w:cs="宋体"/>
                <w:b w:val="0"/>
                <w:bCs/>
                <w:i w:val="0"/>
                <w:color w:val="auto"/>
                <w:kern w:val="0"/>
                <w:sz w:val="21"/>
                <w:szCs w:val="21"/>
                <w:highlight w:val="none"/>
                <w:lang w:val="en-US" w:eastAsia="zh-CN" w:bidi="ar"/>
              </w:rPr>
              <w:t>10cm冷色状态指示灯，实时显示设备运行状态。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lang w:val="en-US" w:eastAsia="zh-CN" w:bidi="ar"/>
              </w:rPr>
              <w:t>15、设备尺寸：300</w:t>
            </w:r>
            <w:r>
              <w:rPr>
                <w:rFonts w:hint="eastAsia" w:ascii="宋体" w:hAnsi="宋体" w:eastAsia="宋体" w:cs="宋体"/>
                <w:b w:val="0"/>
                <w:bCs/>
                <w:i w:val="0"/>
                <w:color w:val="auto"/>
                <w:kern w:val="0"/>
                <w:sz w:val="21"/>
                <w:szCs w:val="21"/>
                <w:highlight w:val="none"/>
                <w:u w:val="none"/>
                <w:lang w:val="en-US" w:eastAsia="zh-CN" w:bidi="ar"/>
              </w:rPr>
              <w:t>mm×</w:t>
            </w:r>
            <w:r>
              <w:rPr>
                <w:rFonts w:hint="eastAsia" w:ascii="宋体" w:hAnsi="宋体" w:eastAsia="宋体" w:cs="宋体"/>
                <w:b w:val="0"/>
                <w:bCs/>
                <w:i w:val="0"/>
                <w:color w:val="auto"/>
                <w:kern w:val="0"/>
                <w:sz w:val="21"/>
                <w:szCs w:val="21"/>
                <w:highlight w:val="none"/>
                <w:lang w:val="en-US" w:eastAsia="zh-CN" w:bidi="ar"/>
              </w:rPr>
              <w:t>230</w:t>
            </w:r>
            <w:r>
              <w:rPr>
                <w:rFonts w:hint="eastAsia" w:ascii="宋体" w:hAnsi="宋体" w:eastAsia="宋体" w:cs="宋体"/>
                <w:b w:val="0"/>
                <w:bCs/>
                <w:i w:val="0"/>
                <w:color w:val="auto"/>
                <w:kern w:val="0"/>
                <w:sz w:val="21"/>
                <w:szCs w:val="21"/>
                <w:highlight w:val="none"/>
                <w:u w:val="none"/>
                <w:lang w:val="en-US" w:eastAsia="zh-CN" w:bidi="ar"/>
              </w:rPr>
              <w:t>mm×</w:t>
            </w:r>
            <w:r>
              <w:rPr>
                <w:rFonts w:hint="eastAsia" w:ascii="宋体" w:hAnsi="宋体" w:eastAsia="宋体" w:cs="宋体"/>
                <w:b w:val="0"/>
                <w:bCs/>
                <w:i w:val="0"/>
                <w:color w:val="auto"/>
                <w:kern w:val="0"/>
                <w:sz w:val="21"/>
                <w:szCs w:val="21"/>
                <w:highlight w:val="none"/>
                <w:lang w:val="en-US" w:eastAsia="zh-CN" w:bidi="ar"/>
              </w:rPr>
              <w:t>50mm（±3mm）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智能空气质量监控系统软件接口</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系统实时监测空气质量设备采集的数据，并与系统动环管理集成，可根据采集的数据设置合理的阈值并联动自动控制空气净化设备，对库房环境自动净化。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有害生物驱控系统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智能驱鼠控制终端</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1、需采用现代微电子技术手段，可以同时间歇交替地产生超低频电磁波和两种不同类型的超声波。</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2、电源电压：AC220V/50HZ；</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3、消耗功率：≤15W；</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4、频率范围：</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4.1.极低频电磁波：0.8HZ----8HZ间歇：160秒；</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4.2超声波：20---55KHz/35KHz间歇：80秒；</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5、输出接口：RS485；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6、隔离方式：光电隔离；</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7、浪涌防护：5KA（8/20uS）；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8、环境要求：-20℃～+85℃，10%-90%RH；</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9、安装方式：壁挂安装。</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10、需采用冷轧钢板，静电喷涂，</w:t>
            </w:r>
            <w:r>
              <w:rPr>
                <w:rFonts w:hint="eastAsia" w:ascii="宋体" w:hAnsi="宋体" w:cs="宋体"/>
                <w:b w:val="0"/>
                <w:bCs/>
                <w:i w:val="0"/>
                <w:color w:val="auto"/>
                <w:kern w:val="0"/>
                <w:sz w:val="21"/>
                <w:szCs w:val="21"/>
                <w:highlight w:val="none"/>
                <w:u w:val="none"/>
                <w:lang w:val="en-US" w:eastAsia="zh-CN" w:bidi="ar"/>
              </w:rPr>
              <w:t>板厚</w:t>
            </w:r>
            <w:r>
              <w:rPr>
                <w:rFonts w:hint="eastAsia" w:ascii="宋体" w:hAnsi="宋体" w:eastAsia="宋体" w:cs="宋体"/>
                <w:b w:val="0"/>
                <w:bCs/>
                <w:i w:val="0"/>
                <w:color w:val="auto"/>
                <w:kern w:val="0"/>
                <w:sz w:val="21"/>
                <w:szCs w:val="21"/>
                <w:highlight w:val="none"/>
                <w:u w:val="none"/>
                <w:lang w:val="en-US" w:eastAsia="zh-CN" w:bidi="ar"/>
              </w:rPr>
              <w:t>≥1.0mm，需采用一体化成型设计，高光亚克力醒目标识一体化嵌入式安装。</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11、规格尺寸：300mm×200mm×100mm（±1mm），具备≥4.3英寸彩色触控制屏。</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12、场景设置：可设置产品使用的场景，如库房、工厂、办公室等场景，系统可自动根据不同场景运行对应的模式。</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13、定时功能：可通过触控屏设置多个运行时间段，根据自定义的时间段自动驱鼠。</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14、模式设定：支持手动、自动、布防模式的设定，可无缝接入智慧库房一体化管理平台实现远程驱鼠、智能联动。</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15、功能配置：可配置定时开关、休眠时段、面积等。</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16、具备隐藏式参数设置，关机数据配置可同过长按屏幕某点位进入相应页面后进行配置。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17、报警功能：设备具有本地语音报警功能，并可一键静音并解除报警。</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18、页面显示：可动态显示驱鼠状态并通过动态声波显示驱鼠的功率强弱。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智能驱鼠监控软件接口</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系统实时监测智能驱鼠控制终端工作状态及运行参数，通过设定不同时段对虫鼠进行驱赶，可对多个设备设置多个不同时段驱鼠机制。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门禁管制系统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开关按钮</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1、触发出入按钮，额定发热电流3A。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2、机械寿命</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100000次。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AC/DC模块</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1、直流输出：12V。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2、交流输入：220V/50HZ。</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3、波纹电压：≤10mA。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4、自动保护功能：当电源短路或意外情况发生时，电源可自动断开。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指纹人脸识别门禁控制器</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lang w:val="en-US" w:eastAsia="zh-CN" w:bidi="ar"/>
              </w:rPr>
              <w:t>1、</w:t>
            </w:r>
            <w:r>
              <w:rPr>
                <w:rFonts w:hint="eastAsia" w:ascii="宋体" w:hAnsi="宋体" w:eastAsia="宋体" w:cs="宋体"/>
                <w:b w:val="0"/>
                <w:bCs/>
                <w:i w:val="0"/>
                <w:color w:val="auto"/>
                <w:kern w:val="0"/>
                <w:sz w:val="21"/>
                <w:szCs w:val="21"/>
                <w:highlight w:val="none"/>
                <w:u w:val="none"/>
                <w:lang w:val="en-US" w:eastAsia="zh-CN" w:bidi="ar"/>
              </w:rPr>
              <w:t>验证方式：人脸/指纹/密码/刷卡。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2、用户容量：</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1000个。</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3、面部容量：</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1000张。</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4、指纹容量：</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1000枚。</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5、记录容量：</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100000条。</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6、显示屏尺寸：</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4英寸触摸彩屏。</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7、通讯方式：TCP/IP。</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8、基础功能：U盘功能、字母工号、定时响铃、高级门禁、WiegandOut。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9、使用环境：温度0-45℃，湿度0-95%。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10、电源：DC12V3A。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2.8.4</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门禁锁</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1、磁力锁，含电磁锁支架。</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2、最大拉力：280kg(600Lbs)直线拉力。</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3、输入电压：DC12V或DC24V+10%。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4、工作电流：350mA</w:t>
            </w:r>
            <w:r>
              <w:rPr>
                <w:rFonts w:hint="eastAsia" w:ascii="宋体" w:hAnsi="宋体" w:cs="宋体"/>
                <w:b w:val="0"/>
                <w:bCs/>
                <w:i w:val="0"/>
                <w:color w:val="auto"/>
                <w:kern w:val="0"/>
                <w:sz w:val="21"/>
                <w:szCs w:val="21"/>
                <w:highlight w:val="none"/>
                <w:u w:val="none"/>
                <w:lang w:val="en-US" w:eastAsia="zh-CN" w:bidi="ar"/>
              </w:rPr>
              <w:t>或</w:t>
            </w:r>
            <w:r>
              <w:rPr>
                <w:rFonts w:hint="eastAsia" w:ascii="宋体" w:hAnsi="宋体" w:eastAsia="宋体" w:cs="宋体"/>
                <w:b w:val="0"/>
                <w:bCs/>
                <w:i w:val="0"/>
                <w:color w:val="auto"/>
                <w:kern w:val="0"/>
                <w:sz w:val="21"/>
                <w:szCs w:val="21"/>
                <w:highlight w:val="none"/>
                <w:u w:val="none"/>
                <w:lang w:val="en-US" w:eastAsia="zh-CN" w:bidi="ar"/>
              </w:rPr>
              <w:t>450mA。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智能安全门禁监控系统软件接口</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系统能实时监控门禁记录：人脸开门、指纹开门记录，可显示开门人的姓名、编号、时间等内容，支持远程开门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视频图像监控系统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红外半球摄像头</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1、分辨率：</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rPr>
              <w:t>200万</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2、传感器：</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rPr>
              <w:t>1/2.7〞CMOS</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3、</w:t>
            </w:r>
            <w:r>
              <w:rPr>
                <w:rFonts w:hint="eastAsia" w:ascii="宋体" w:hAnsi="宋体" w:cs="宋体"/>
                <w:i w:val="0"/>
                <w:iCs w:val="0"/>
                <w:color w:val="auto"/>
                <w:sz w:val="21"/>
                <w:szCs w:val="21"/>
                <w:highlight w:val="none"/>
                <w:u w:val="none"/>
                <w:lang w:val="en-US" w:eastAsia="zh-CN"/>
              </w:rPr>
              <w:t>分辨率</w:t>
            </w:r>
            <w:r>
              <w:rPr>
                <w:rFonts w:hint="eastAsia" w:ascii="宋体" w:hAnsi="宋体" w:eastAsia="宋体" w:cs="宋体"/>
                <w:i w:val="0"/>
                <w:iCs w:val="0"/>
                <w:color w:val="auto"/>
                <w:sz w:val="21"/>
                <w:szCs w:val="21"/>
                <w:highlight w:val="none"/>
                <w:u w:val="none"/>
                <w:lang w:val="en-US"/>
              </w:rPr>
              <w:t>：1920*1080</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4、调整角度：水平0-360°；垂直0-75°；旋转0-360°</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5、支持背光补偿</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6、主码流视频压缩标准：H.265/H.264</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7、通讯接口：1个RJ4510M/100M自适应以太网口</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8、智能报警：越界侦测；区域入侵侦测；移动侦测；动态分析；遮挡报警</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rPr>
              <w:t>网线断；IP地址冲突；非法访问</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cs="宋体"/>
                <w:i w:val="0"/>
                <w:iCs w:val="0"/>
                <w:color w:val="auto"/>
                <w:sz w:val="21"/>
                <w:szCs w:val="21"/>
                <w:highlight w:val="none"/>
                <w:u w:val="none"/>
                <w:lang w:val="en-US" w:eastAsia="zh-CN"/>
              </w:rPr>
              <w:t>9</w:t>
            </w:r>
            <w:r>
              <w:rPr>
                <w:rFonts w:hint="eastAsia" w:ascii="宋体" w:hAnsi="宋体" w:eastAsia="宋体" w:cs="宋体"/>
                <w:i w:val="0"/>
                <w:iCs w:val="0"/>
                <w:color w:val="auto"/>
                <w:sz w:val="21"/>
                <w:szCs w:val="21"/>
                <w:highlight w:val="none"/>
                <w:u w:val="none"/>
                <w:lang w:val="en-US"/>
              </w:rPr>
              <w:t>、红外照射距离：</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rPr>
              <w:t>30米</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1</w:t>
            </w:r>
            <w:r>
              <w:rPr>
                <w:rFonts w:hint="eastAsia" w:ascii="宋体" w:hAnsi="宋体" w:cs="宋体"/>
                <w:i w:val="0"/>
                <w:iCs w:val="0"/>
                <w:color w:val="auto"/>
                <w:sz w:val="21"/>
                <w:szCs w:val="21"/>
                <w:highlight w:val="none"/>
                <w:u w:val="none"/>
                <w:lang w:val="en-US" w:eastAsia="zh-CN"/>
              </w:rPr>
              <w:t>0</w:t>
            </w:r>
            <w:r>
              <w:rPr>
                <w:rFonts w:hint="eastAsia" w:ascii="宋体" w:hAnsi="宋体" w:eastAsia="宋体" w:cs="宋体"/>
                <w:i w:val="0"/>
                <w:iCs w:val="0"/>
                <w:color w:val="auto"/>
                <w:sz w:val="21"/>
                <w:szCs w:val="21"/>
                <w:highlight w:val="none"/>
                <w:u w:val="none"/>
                <w:lang w:val="en-US"/>
              </w:rPr>
              <w:t>、电源供应：DC12V±25%/POE（802.3af）</w:t>
            </w:r>
            <w:r>
              <w:rPr>
                <w:rFonts w:hint="eastAsia" w:ascii="宋体" w:hAnsi="宋体" w:eastAsia="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rPr>
              <w:t>1</w:t>
            </w:r>
            <w:r>
              <w:rPr>
                <w:rFonts w:hint="eastAsia" w:ascii="宋体" w:hAnsi="宋体" w:cs="宋体"/>
                <w:i w:val="0"/>
                <w:iCs w:val="0"/>
                <w:color w:val="auto"/>
                <w:sz w:val="21"/>
                <w:szCs w:val="21"/>
                <w:highlight w:val="none"/>
                <w:u w:val="none"/>
                <w:lang w:val="en-US" w:eastAsia="zh-CN"/>
              </w:rPr>
              <w:t>1</w:t>
            </w:r>
            <w:r>
              <w:rPr>
                <w:rFonts w:hint="eastAsia" w:ascii="宋体" w:hAnsi="宋体" w:eastAsia="宋体" w:cs="宋体"/>
                <w:i w:val="0"/>
                <w:iCs w:val="0"/>
                <w:color w:val="auto"/>
                <w:sz w:val="21"/>
                <w:szCs w:val="21"/>
                <w:highlight w:val="none"/>
                <w:u w:val="none"/>
                <w:lang w:val="en-US"/>
              </w:rPr>
              <w:t>、防护等级：</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rPr>
              <w:t>IP67。</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rPr>
              <w:t>1</w:t>
            </w:r>
            <w:r>
              <w:rPr>
                <w:rFonts w:hint="eastAsia" w:ascii="宋体" w:hAnsi="宋体" w:cs="宋体"/>
                <w:i w:val="0"/>
                <w:iCs w:val="0"/>
                <w:color w:val="auto"/>
                <w:sz w:val="21"/>
                <w:szCs w:val="21"/>
                <w:highlight w:val="none"/>
                <w:u w:val="none"/>
                <w:lang w:val="en-US" w:eastAsia="zh-CN"/>
              </w:rPr>
              <w:t>2</w:t>
            </w:r>
            <w:r>
              <w:rPr>
                <w:rFonts w:hint="eastAsia"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rPr>
              <w:t>摄像头焦距</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rPr>
              <w:t>4mm</w:t>
            </w:r>
            <w:r>
              <w:rPr>
                <w:rFonts w:hint="eastAsia" w:ascii="宋体" w:hAnsi="宋体" w:eastAsia="宋体" w:cs="宋体"/>
                <w:b w:val="0"/>
                <w:bCs/>
                <w:i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硬盘录像机</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1、接入宽带：80Mbps</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2、视频输入路数：</w:t>
            </w:r>
            <w:r>
              <w:rPr>
                <w:rFonts w:hint="eastAsia" w:ascii="宋体" w:hAnsi="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8路2盘位</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3、HDMI输出：</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1路，4K</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4、VGA输出：</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1路，与HDMI同源。音频输出：</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1路，RCA接口。</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3个USB2.0接口</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1个RJ4510M/100M自适应以太网口</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7、支持HDMI/VGA输出；支持HDMI接口4K高清输出，支持最高5MP摄像机接入；支持60M/80M网络接入带宽</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8、解码能力：</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4路1080P/</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8路720P/</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16路4CIF；输出带宽80M</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9、码流格式H.265+支持2SATA，支持</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sz w:val="21"/>
                <w:szCs w:val="21"/>
                <w:highlight w:val="none"/>
                <w:u w:val="none"/>
                <w:lang w:val="en-US" w:eastAsia="zh-CN"/>
              </w:rPr>
              <w:t>8/16路同步回放</w:t>
            </w:r>
            <w:r>
              <w:rPr>
                <w:rFonts w:hint="eastAsia" w:ascii="宋体" w:hAnsi="宋体" w:eastAsia="宋体" w:cs="宋体"/>
                <w:i w:val="0"/>
                <w:iCs w:val="0"/>
                <w:color w:val="auto"/>
                <w:sz w:val="21"/>
                <w:szCs w:val="21"/>
                <w:highlight w:val="none"/>
                <w:u w:val="non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硬盘</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8TB</w:t>
            </w:r>
            <w:r>
              <w:rPr>
                <w:rFonts w:hint="eastAsia" w:ascii="宋体" w:hAnsi="宋体" w:eastAsia="宋体" w:cs="宋体"/>
                <w:i w:val="0"/>
                <w:iCs w:val="0"/>
                <w:color w:val="auto"/>
                <w:sz w:val="21"/>
                <w:szCs w:val="21"/>
                <w:highlight w:val="none"/>
                <w:u w:val="non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2.9.4</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智能安全视频监控系统软件接口</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具备实时图像监控，图像缩放功能，画面分割和视频自动循环功能，可与报警信号联动实现报警抓拍、报警视频录制，联动控制功能。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POE交换机</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1</w:t>
            </w:r>
            <w:r>
              <w:rPr>
                <w:rFonts w:hint="eastAsia" w:ascii="宋体" w:hAnsi="宋体" w:eastAsia="宋体" w:cs="宋体"/>
                <w:b w:val="0"/>
                <w:bCs/>
                <w:i w:val="0"/>
                <w:color w:val="auto"/>
                <w:kern w:val="0"/>
                <w:sz w:val="21"/>
                <w:szCs w:val="21"/>
                <w:highlight w:val="none"/>
                <w:u w:val="none"/>
                <w:lang w:val="en-US" w:eastAsia="zh-CN" w:bidi="ar"/>
              </w:rPr>
              <w:t>、接口数目：</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16</w:t>
            </w:r>
            <w:r>
              <w:rPr>
                <w:rFonts w:hint="eastAsia" w:ascii="宋体" w:hAnsi="宋体" w:cs="宋体"/>
                <w:b w:val="0"/>
                <w:bCs/>
                <w:i w:val="0"/>
                <w:color w:val="auto"/>
                <w:kern w:val="0"/>
                <w:sz w:val="21"/>
                <w:szCs w:val="21"/>
                <w:highlight w:val="none"/>
                <w:u w:val="none"/>
                <w:lang w:val="en-US" w:eastAsia="zh-CN" w:bidi="ar"/>
              </w:rPr>
              <w:t>口</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2</w:t>
            </w:r>
            <w:r>
              <w:rPr>
                <w:rFonts w:hint="eastAsia" w:ascii="宋体" w:hAnsi="宋体" w:eastAsia="宋体" w:cs="宋体"/>
                <w:b w:val="0"/>
                <w:bCs/>
                <w:i w:val="0"/>
                <w:color w:val="auto"/>
                <w:kern w:val="0"/>
                <w:sz w:val="21"/>
                <w:szCs w:val="21"/>
                <w:highlight w:val="none"/>
                <w:u w:val="none"/>
                <w:lang w:val="en-US" w:eastAsia="zh-CN" w:bidi="ar"/>
              </w:rPr>
              <w:t>、传输速度：</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1000Mbps</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3</w:t>
            </w:r>
            <w:r>
              <w:rPr>
                <w:rFonts w:hint="eastAsia" w:ascii="宋体" w:hAnsi="宋体" w:eastAsia="宋体" w:cs="宋体"/>
                <w:b w:val="0"/>
                <w:bCs/>
                <w:i w:val="0"/>
                <w:color w:val="auto"/>
                <w:kern w:val="0"/>
                <w:sz w:val="21"/>
                <w:szCs w:val="21"/>
                <w:highlight w:val="none"/>
                <w:u w:val="none"/>
                <w:lang w:val="en-US" w:eastAsia="zh-CN" w:bidi="ar"/>
              </w:rPr>
              <w:t>、无阻塞吞吐量：</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10Gbps；交换能力：</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20Gbps</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4</w:t>
            </w:r>
            <w:r>
              <w:rPr>
                <w:rFonts w:hint="eastAsia" w:ascii="宋体" w:hAnsi="宋体" w:eastAsia="宋体" w:cs="宋体"/>
                <w:b w:val="0"/>
                <w:bCs/>
                <w:i w:val="0"/>
                <w:color w:val="auto"/>
                <w:kern w:val="0"/>
                <w:sz w:val="21"/>
                <w:szCs w:val="21"/>
                <w:highlight w:val="none"/>
                <w:u w:val="none"/>
                <w:lang w:val="en-US" w:eastAsia="zh-CN" w:bidi="ar"/>
              </w:rPr>
              <w:t>、支持POE+IEEE802.3at/af和24V被动式PoE</w:t>
            </w:r>
            <w:r>
              <w:rPr>
                <w:rFonts w:hint="eastAsia" w:ascii="宋体" w:hAnsi="宋体" w:eastAsia="宋体" w:cs="宋体"/>
                <w:i w:val="0"/>
                <w:iCs w:val="0"/>
                <w:color w:val="auto"/>
                <w:sz w:val="21"/>
                <w:szCs w:val="21"/>
                <w:highlight w:val="none"/>
                <w:u w:val="non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2.9.6</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1、屏幕尺寸：</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23英寸</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1080p</w:t>
            </w:r>
            <w:r>
              <w:rPr>
                <w:rFonts w:hint="eastAsia" w:ascii="宋体" w:hAnsi="宋体" w:cs="宋体"/>
                <w:b w:val="0"/>
                <w:bCs/>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2、分辨率</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1920x1080</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3、屏幕比例16：9</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4、LED背光</w:t>
            </w:r>
            <w:r>
              <w:rPr>
                <w:rFonts w:hint="eastAsia" w:ascii="宋体" w:hAnsi="宋体" w:eastAsia="宋体" w:cs="宋体"/>
                <w:i w:val="0"/>
                <w:iCs w:val="0"/>
                <w:color w:val="auto"/>
                <w:sz w:val="21"/>
                <w:szCs w:val="21"/>
                <w:highlight w:val="none"/>
                <w:u w:val="non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4560" w:type="pct"/>
            <w:gridSpan w:val="2"/>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红外监测系统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红外报警模块</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1、探测方式：双元红外+微波+人工智能</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2</w:t>
            </w:r>
            <w:r>
              <w:rPr>
                <w:rFonts w:hint="eastAsia" w:ascii="宋体" w:hAnsi="宋体" w:eastAsia="宋体" w:cs="宋体"/>
                <w:b w:val="0"/>
                <w:bCs/>
                <w:i w:val="0"/>
                <w:color w:val="auto"/>
                <w:kern w:val="0"/>
                <w:sz w:val="21"/>
                <w:szCs w:val="21"/>
                <w:highlight w:val="none"/>
                <w:u w:val="none"/>
                <w:lang w:val="en-US" w:eastAsia="zh-CN" w:bidi="ar"/>
              </w:rPr>
              <w:t>、微波频率：</w:t>
            </w:r>
            <w:r>
              <w:rPr>
                <w:rFonts w:hint="eastAsia" w:ascii="宋体" w:hAnsi="宋体" w:cs="宋体"/>
                <w:b w:val="0"/>
                <w:bCs/>
                <w:i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10.525GHz</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3</w:t>
            </w:r>
            <w:r>
              <w:rPr>
                <w:rFonts w:hint="eastAsia" w:ascii="宋体" w:hAnsi="宋体" w:eastAsia="宋体" w:cs="宋体"/>
                <w:b w:val="0"/>
                <w:bCs/>
                <w:i w:val="0"/>
                <w:color w:val="auto"/>
                <w:kern w:val="0"/>
                <w:sz w:val="21"/>
                <w:szCs w:val="21"/>
                <w:highlight w:val="none"/>
                <w:u w:val="none"/>
                <w:lang w:val="en-US" w:eastAsia="zh-CN" w:bidi="ar"/>
              </w:rPr>
              <w:t>、自动温度补偿：支持</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4</w:t>
            </w:r>
            <w:r>
              <w:rPr>
                <w:rFonts w:hint="eastAsia" w:ascii="宋体" w:hAnsi="宋体" w:eastAsia="宋体" w:cs="宋体"/>
                <w:b w:val="0"/>
                <w:bCs/>
                <w:i w:val="0"/>
                <w:color w:val="auto"/>
                <w:kern w:val="0"/>
                <w:sz w:val="21"/>
                <w:szCs w:val="21"/>
                <w:highlight w:val="none"/>
                <w:u w:val="none"/>
                <w:lang w:val="en-US" w:eastAsia="zh-CN" w:bidi="ar"/>
              </w:rPr>
              <w:t>、脉冲计数可调：支持</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5</w:t>
            </w:r>
            <w:r>
              <w:rPr>
                <w:rFonts w:hint="eastAsia" w:ascii="宋体" w:hAnsi="宋体" w:eastAsia="宋体" w:cs="宋体"/>
                <w:b w:val="0"/>
                <w:bCs/>
                <w:i w:val="0"/>
                <w:color w:val="auto"/>
                <w:kern w:val="0"/>
                <w:sz w:val="21"/>
                <w:szCs w:val="21"/>
                <w:highlight w:val="none"/>
                <w:u w:val="none"/>
                <w:lang w:val="en-US" w:eastAsia="zh-CN" w:bidi="ar"/>
              </w:rPr>
              <w:t>、状态报告：支持</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6</w:t>
            </w:r>
            <w:r>
              <w:rPr>
                <w:rFonts w:hint="eastAsia" w:ascii="宋体" w:hAnsi="宋体" w:eastAsia="宋体" w:cs="宋体"/>
                <w:b w:val="0"/>
                <w:bCs/>
                <w:i w:val="0"/>
                <w:color w:val="auto"/>
                <w:kern w:val="0"/>
                <w:sz w:val="21"/>
                <w:szCs w:val="21"/>
                <w:highlight w:val="none"/>
                <w:u w:val="none"/>
                <w:lang w:val="en-US" w:eastAsia="zh-CN" w:bidi="ar"/>
              </w:rPr>
              <w:t>、防拆报警：支持</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7</w:t>
            </w:r>
            <w:r>
              <w:rPr>
                <w:rFonts w:hint="eastAsia" w:ascii="宋体" w:hAnsi="宋体" w:eastAsia="宋体" w:cs="宋体"/>
                <w:b w:val="0"/>
                <w:bCs/>
                <w:i w:val="0"/>
                <w:color w:val="auto"/>
                <w:kern w:val="0"/>
                <w:sz w:val="21"/>
                <w:szCs w:val="21"/>
                <w:highlight w:val="none"/>
                <w:u w:val="none"/>
                <w:lang w:val="en-US" w:eastAsia="zh-CN" w:bidi="ar"/>
              </w:rPr>
              <w:t>、报警输出：常闭，50mA/30VDC</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8</w:t>
            </w:r>
            <w:r>
              <w:rPr>
                <w:rFonts w:hint="eastAsia" w:ascii="宋体" w:hAnsi="宋体" w:eastAsia="宋体" w:cs="宋体"/>
                <w:b w:val="0"/>
                <w:bCs/>
                <w:i w:val="0"/>
                <w:color w:val="auto"/>
                <w:kern w:val="0"/>
                <w:sz w:val="21"/>
                <w:szCs w:val="21"/>
                <w:highlight w:val="none"/>
                <w:u w:val="none"/>
                <w:lang w:val="en-US" w:eastAsia="zh-CN" w:bidi="ar"/>
              </w:rPr>
              <w:t>、防拆接口：常闭，50mA/30VDC</w:t>
            </w:r>
            <w:r>
              <w:rPr>
                <w:rFonts w:hint="eastAsia" w:ascii="宋体" w:hAnsi="宋体" w:eastAsia="宋体" w:cs="宋体"/>
                <w:i w:val="0"/>
                <w:iCs w:val="0"/>
                <w:color w:val="auto"/>
                <w:sz w:val="21"/>
                <w:szCs w:val="21"/>
                <w:highlight w:val="none"/>
                <w:u w:val="non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声光报警模块</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1、额定工作电压(V/DC)：12V</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2、工作电压范围(V)：9-15V</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3、工作电流范围(mA)：≤300</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4、工作温度(℃)：﹣20~﹢60℃</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5、声压(dB)：≥108±3dB/30CM</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6、连续工作时间：≥45min</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7、闪灯次数(分钟)：200（±30）</w:t>
            </w:r>
            <w:r>
              <w:rPr>
                <w:rFonts w:hint="eastAsia" w:ascii="宋体" w:hAnsi="宋体" w:eastAsia="宋体" w:cs="宋体"/>
                <w:i w:val="0"/>
                <w:iCs w:val="0"/>
                <w:color w:val="auto"/>
                <w:sz w:val="21"/>
                <w:szCs w:val="21"/>
                <w:highlight w:val="none"/>
                <w:u w:val="non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2口数据巡检仪</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电气间隙：</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1.5mm；爬电距离：</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4.0mm</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检验电压：1500v50Hz，施压时间</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5s。</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采样频率AD采样频率≤±10Hz</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精度等级≤±0.1%</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通信接口光电隔离RS485通信接口</w:t>
            </w:r>
            <w:r>
              <w:rPr>
                <w:rFonts w:hint="eastAsia" w:ascii="宋体" w:hAnsi="宋体" w:eastAsia="宋体" w:cs="宋体"/>
                <w:i w:val="0"/>
                <w:iCs w:val="0"/>
                <w:color w:val="auto"/>
                <w:sz w:val="21"/>
                <w:szCs w:val="21"/>
                <w:highlight w:val="none"/>
                <w:u w:val="none"/>
                <w:lang w:val="en-US"/>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b w:val="0"/>
                <w:bCs/>
                <w:i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保护等级电源接口极性保护，输入通道光电隔离，AD输入接口及通讯口±15KVESD保护，隔离电压2500Vrms.500DC连续，防雷击，浪涌保护功率消耗&lt;2000mW</w:t>
            </w:r>
            <w:r>
              <w:rPr>
                <w:rFonts w:hint="eastAsia" w:ascii="宋体" w:hAnsi="宋体" w:eastAsia="宋体" w:cs="宋体"/>
                <w:i w:val="0"/>
                <w:iCs w:val="0"/>
                <w:color w:val="auto"/>
                <w:sz w:val="21"/>
                <w:szCs w:val="21"/>
                <w:highlight w:val="none"/>
                <w:u w:val="non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2.10.4</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入侵报警控制系统软件接口</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主软件平台监控红外探测设备状态，有出现人员入侵状况，软件平台声光报警，可自定义报警等级，支持远程手机短信报警。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1、为避免低价低质恶性竞争，请实事求是的报价，如有违反市场价格规律超低价恶意谋取</w:t>
            </w:r>
            <w:r>
              <w:rPr>
                <w:rFonts w:hint="eastAsia" w:ascii="宋体" w:hAnsi="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lang w:val="en-US" w:eastAsia="zh-CN"/>
              </w:rPr>
              <w:t>后，又不能按采购人要求提供合格产品者，一律按无效标处理。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2、任何以没有看清楚竞争性谈判文件或将不符合报价要求的产品参与报价的供应商均视为恶意报价，并上报监管部门严肃处理。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乙方提供的货物（包括但不限于主设备、附件、材料等）必须是现货、全新，符合国家产品质量标准，无瑕疵，有检验合格证明及使用说明书、质保书等相关资料，无安全隐患。不得为损坏、缺少附件、返修、有使用痕迹等不符合国家产品质量标准、相关货物技术协议的瑕疵、缺陷、老旧、返修产品。</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4、本合同如经采购程序签订的，则必须符合采购货物要求的规格型号和技术指标，在供货时须附出厂合格证书以及说明书、所供产品的检验报告原件、质保书等资料。如本合同项下货物技术协议中规定的质量标准高于国家标准的，则应以本合同项下货物技术协议中规定的标准作为认定本合同项下产品质量的依据。若发现提供虚假材料响应，将取消其成交资格并上报相关部门依法处理。</w:t>
            </w:r>
          </w:p>
        </w:tc>
      </w:tr>
    </w:tbl>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第二部分</w:t>
      </w:r>
    </w:p>
    <w:tbl>
      <w:tblPr>
        <w:tblStyle w:val="3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853"/>
        <w:gridCol w:w="7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BEBEBE"/>
            <w:vAlign w:val="center"/>
          </w:tcPr>
          <w:p>
            <w:pPr>
              <w:spacing w:line="360" w:lineRule="auto"/>
              <w:jc w:val="center"/>
              <w:rPr>
                <w:rFonts w:hint="default" w:ascii="宋体" w:hAnsi="宋体" w:eastAsia="宋体" w:cs="宋体"/>
                <w:i w:val="0"/>
                <w:iCs w:val="0"/>
                <w:color w:val="auto"/>
                <w:sz w:val="21"/>
                <w:szCs w:val="21"/>
                <w:highlight w:val="none"/>
                <w:u w:val="none"/>
                <w:lang w:val="en-US"/>
              </w:rPr>
            </w:pPr>
            <w:r>
              <w:rPr>
                <w:rFonts w:hint="eastAsia" w:ascii="宋体" w:hAnsi="宋体" w:cs="宋体"/>
                <w:b/>
                <w:bCs/>
                <w:i w:val="0"/>
                <w:iCs w:val="0"/>
                <w:color w:val="auto"/>
                <w:kern w:val="0"/>
                <w:sz w:val="21"/>
                <w:szCs w:val="21"/>
                <w:highlight w:val="none"/>
                <w:u w:val="none"/>
                <w:lang w:val="en-US" w:eastAsia="zh-CN" w:bidi="ar"/>
              </w:rPr>
              <w:t>一、装修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装修</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一、拆除类项目​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（一）顶面拆除​​</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（二）顶面线路拆除​​</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（三）地砖拆除​</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（四）踢脚线拆除​</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二、铺贴与安装类项目​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（一）地砖铺贴​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地砖规格：800mm×800mm陶瓷砖，抗压强度≥30MPa；​</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铺贴工艺：需采用干铺法施工，基层先涂刷素水泥浆，水泥砂浆找平层厚度控制在20-30mm；铺贴留缝2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5mm，需采用十字卡定位；​</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辅料与养护：选用耐水性≥95%的防霉型填缝剂；铺贴完成后需养护72小时，期间避免荷载扰动。​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（二）踢脚线铺贴​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材质规格：100mm高陶瓷踢脚线；​</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安装要求：需采用水泥砂浆粘贴，与地面保持平齐，阴阳角处需采用45°拼角处理，接缝严密。​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（三）矿棉板吊顶安装​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矿棉板参数：600mm×600mm×12mm规格，容重≥45kg/m³，防火等级A级，降噪系数NRC≥0.8；​</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龙骨系统：需采用50型轻钢主龙骨（壁厚1.2mm）、50型副龙骨（间距600mm），吊杆间距≤1200mm；吊顶平整度偏差≤3mm，短跨方向起拱高度为跨度的1/200；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安装要求：板缝宽度≤2mm，与灯具、风口等构件衔接处需采用密封胶密封；吊顶承载能力≥50N/m²，符合安全使用要求。​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三、墙面与顶面处理​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（一）墙面界面剂施工​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材料要求：选用乳液型界面剂，固含量≥30%，适用于混凝土、砖石基层；施工参数：涂布率8-10㎡/L（单遍），25℃环境下干燥时间≥4小时；与基层粘结强度≥0.5MPa，涂刷需均匀，无漏涂、流挂现象。​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（二）墙面腻子批刮​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腻子类型：生态型腻子，抗压强度≥2.5MPa，耐水性能≥48小时无起鼓、脱落；工艺要求：分2-3遍批刮，每遍厚度≤2mm，总厚度≤5mm；第二遍腻子干燥后需采用240目砂纸打磨，墙面平整度偏差≤2mm，阴阳角需用靠尺找直，确保顺直方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（三）墙面乳胶漆施工​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材料性能：哑光乳胶漆，光泽度≤10°，耐擦洗次数≥3000次，VOC含量≤100g/L，游离甲醛≤0.1g/kg；​</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施工要求：需采用“一底两面”施工工艺，底漆涂布率12-15㎡/L，面漆涂布率8-10㎡/L；两遍面漆施工间隔≥4小时；完工后墙面颜色均匀一致，颜色偏差ΔE≤2，无流挂、刷痕等缺陷。​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四、灯具与电器安装​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（一）LED平板灯安装​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技术参数：600mm×600mm规格，功率50W，色温4000K（中性光），光通量3200lm，显色指数Ra≥80，使用寿命≥50000小时；​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安装要求：嵌入式安装，与矿棉板吊顶平齐；防护等级≥IP40，具备防频闪功能，适配100-240V宽电压。​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（二）强电改造​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电线规格：照明回路需采用BV2.5mm²单股铜芯线（载流量25A），插座回路需采用BV4mm²单股铜芯线（载流量32A），空调回路需采用BV6mm²单股铜芯线（载流量42A）；​</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布线要求：电线穿Φ20mm/Φ25mmPVC管暗敷于墙体或地面，管内导线总截面积≤40%管径截面积；回路分路明确（照明1路、普通插座2-3路、每台空调1路）；接地电阻≤4Ω。​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（三）空开与电箱安装​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空开参数：照明回路选用16A单极空开（C型），插座回路选用25A/32A带漏保空开（漏电动作电流30mA）；​</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电箱规格：16位暗装铁制电箱（尺寸300mm×400mm×120mm），防护等级≥IP30；内部汇流排截面积≥10mm²，进出线孔配备防水胶圈，接线规范整齐。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（四）开关与插座安装​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开关：双开单控开关，额定电流16A，面板需采用PC阻燃料，耐温100℃，安装高度1.3m；​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插座：五孔插座（额定电流10A，插座间距≥150mm）、空调专用16A三孔插座（安装高度2.2m）；普通区域防护等级≥IP20，卫生间防护等级≥IP54；插座与燃气管水平距离≥300mm，符合安全规范。​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五、定制与功能性项目​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（一）定制全遮光阻燃窗帘​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面料参数：棉涤混纺阻燃遮光布，阻燃等级B1级，遮光率≥99%，克重≥300g/㎡；​</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尺寸规格：窗帘宽度为窗户宽度的2倍（褶皱率1：2），高度为窗顶至地面+100mm（含下摆）；​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配件要求：铝合金轨道（厚度≥1.2mm），静音滑轮（单个承重≥5kg），安装牢固，运行顺畅。​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（二）双开防火门安装​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产品规格：钢质甲级防火门（尺寸1500mm×2100mm），门框厚度≥1.5mm，门扇厚度≥50mm，耐火极限≥1.5h；​</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配件配置：闭门器（承重85-120kg，关门时间6-10s），防火锁（耐高温≥975℃），遇火膨胀率≥250%的膨胀防火密封条；​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安装要求：开启方向为疏散方向，安装牢固，关闭后密封严密，符合GB12955-2015规范。​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（三）应急照明安装​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灯具参数：LED应急吸顶灯，功率≥5W，应急持续时间≥90min，色温3000K（暖白光），亮度≥200lm；​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安装要求：疏散通道内灯具间距≤20m，出口标志灯安装高度距地0.5m；应急转换时间≤5s，与正常照明系统联动控制。​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六、结构与杂项工程​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（一）砸墙开门洞​</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墙体类型：200mm厚加气混凝土砌块非承重墙，门洞尺寸1000mm（宽）×2100mm（高）；​​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（二）加固​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加固方式：</w:t>
            </w:r>
            <w:r>
              <w:rPr>
                <w:rFonts w:hint="eastAsia" w:ascii="宋体" w:hAnsi="宋体" w:cs="宋体"/>
                <w:i w:val="0"/>
                <w:iCs w:val="0"/>
                <w:color w:val="auto"/>
                <w:kern w:val="0"/>
                <w:sz w:val="21"/>
                <w:szCs w:val="21"/>
                <w:highlight w:val="none"/>
                <w:u w:val="none"/>
                <w:lang w:val="en-US" w:eastAsia="zh-CN" w:bidi="ar"/>
              </w:rPr>
              <w:t>以采购人确认的设计为准</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（三）垃圾外运​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符合环保及城管部门相关规定。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辅材及线路安装</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线路明管安装及管道铺设等，不含强电敷设。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软硬件集成</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设备安装、系统调试等。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3"/>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二</w:t>
            </w:r>
            <w:r>
              <w:rPr>
                <w:rFonts w:hint="eastAsia" w:ascii="宋体" w:hAnsi="宋体" w:eastAsia="宋体" w:cs="宋体"/>
                <w:b/>
                <w:bCs/>
                <w:i w:val="0"/>
                <w:iCs w:val="0"/>
                <w:color w:val="auto"/>
                <w:kern w:val="0"/>
                <w:sz w:val="21"/>
                <w:szCs w:val="21"/>
                <w:highlight w:val="none"/>
                <w:u w:val="none"/>
                <w:lang w:val="en-US" w:eastAsia="zh-CN" w:bidi="ar"/>
              </w:rPr>
              <w:t>、消防监控系统设备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柜式七氟丙烷气体灭火装置</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公称工作压力（Mpa)：2.5；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最大工作压力(Mpa)：4.2；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喷射时间(S)：≤10；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充装密度（Kg/m³）：≤1100KG/m³；工作温度范围：0~50℃；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系统灭火方式：全淹没；</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系统启动电源；24V（1.3A）；安全泄放装置动作压（Mpa）：5.6±0.28</w:t>
            </w:r>
          </w:p>
          <w:p>
            <w:pPr>
              <w:pStyle w:val="28"/>
              <w:ind w:left="0" w:leftChars="0" w:firstLine="0" w:firstLineChars="0"/>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数量：2套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泄压装置</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泄压口工作压力1100Pa自动打开</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数量：1个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点型光电感烟火灾探测器</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工作电压：总线24V允许范围：16V～28V；监视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电流≤0.3mA；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报警电流≤1.0mA；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报警确认灯：红色，巡检时闪烁，报警时常亮；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使用环境：温度：-10℃～+55℃；相对湿度≤95%，不结露；</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编码方式：电子编码（编码范围为1～242）；</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外壳防护等级：</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val="0"/>
                <w:bCs/>
                <w:i w:val="0"/>
                <w:color w:val="auto"/>
                <w:kern w:val="0"/>
                <w:sz w:val="21"/>
                <w:szCs w:val="21"/>
                <w:highlight w:val="none"/>
                <w:u w:val="none"/>
                <w:lang w:val="en-US" w:eastAsia="zh-CN" w:bidi="ar"/>
              </w:rPr>
              <w:t>IP23；</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数量：2台</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★提供由应急管理部消防产品合格评定中心颁发的CCCF消防产品认证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.4</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感温火灾探测器</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探测器类别：P（A1R和BS可设，出厂默认类别在探测器铭牌上标注）；</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工作电压：总线24V；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监视电流≤0.8mA；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报警电流≤1.8mA；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报警确认灯：红色，巡检时闪烁，报警时常亮；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使用环境：范围-10℃～50℃；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相对湿度≤95%，不结露；</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编码方式：十进制电子编码；</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外壳防护等级：IP33；</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数量：6台</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★提供由应急管理部消防产品合格评定中心颁发的CCCF消防产品认证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火灾声光报警器</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（1）工作电压：</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信号总线电压：DC24V允许范围：16V~28V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（2）工作电流：</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总线监视电流≤0.25mA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总线启动电流≤5mA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（3）闪光频率：1.1Hz～1.7Hz</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（4）火警声调声压级：80dB～115dB（正前方3m水平处（A计权））</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嘀嘀声调声压级：80dB～115dB（正前方3m水平处（A计权））</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（5）变调周期：3.5s～4.8s（火警声）/0.6s～1.0s（嘀嘀声）</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（6）编码方式：需采用电子编码方式，占一个总线编码点，编码范围可在1～242之间任意设定</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（7）线制：两线制，与控制器需采用无极性信号二总线连接</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（8）使用环境：</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温度：-10℃～+55℃</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相对湿度≤95%，不凝露</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（9）仓储条件：</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温度：-20℃~60℃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湿度：0~95%，不凝露</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数量：2台</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★提供由应急管理部消防产品合格评定中心颁发的CCCF消防产品认证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.6</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紧急启停按钮</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（1）工作电压：总线24V，允许范围：16V～28V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（2）监视电流：≤0.8mA，报警电流≤10mA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（3）编码方式：电子编码方式，编码范围可在21～30之间任意设定</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（4）常开输出触点：额定值DC60V、0.1A，接触电阻≤100m</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（5）启动方式：击碎玻璃罩后，按下“按下喷洒”按键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（6）启动零件类型：重复使用型</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（7）“按下喷洒”按键复位方式：用专用钥匙复位</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（8）指示灯：</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“按下喷洒”按键：红色，按下时常亮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“停止”按键：绿色，按下时常亮</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（9）线制：与气体灭火控制器需采用无极性两线制连接</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（10）外壳防护等级：IP33</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（11）使用环境：温度：-10℃～+55℃；相对湿度≤95%，不凝露</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数量：1台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放气指示灯</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（1）工作电压：</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信号总线电压：24V允许范围：16V～28V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电源总线电压：DC24V允许范围：DC20V～DC28V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（2）工作电流：</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信号总线监视电流≤1mA电源总线监视电流≤2mA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信号总线动作电流≤2mA电源总线动作电流≤30mA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（3）闪光频率：1.3Hz±20%</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（4）编码方式：电子编码方式，编码范围可在11～20之间任意设定</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（5）线制：与气体灭火控制器需采用四线连接。其中两线接总线，无极性；</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另外两线接电源DC24V，无极性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lang w:val="en-US" w:eastAsia="zh-CN" w:bidi="ar"/>
              </w:rPr>
              <w:t>（6）</w:t>
            </w:r>
            <w:r>
              <w:rPr>
                <w:rFonts w:hint="eastAsia" w:ascii="宋体" w:hAnsi="宋体" w:eastAsia="宋体" w:cs="宋体"/>
                <w:b w:val="0"/>
                <w:bCs/>
                <w:i w:val="0"/>
                <w:color w:val="auto"/>
                <w:kern w:val="0"/>
                <w:sz w:val="21"/>
                <w:szCs w:val="21"/>
                <w:highlight w:val="none"/>
                <w:u w:val="none"/>
                <w:lang w:val="en-US" w:eastAsia="zh-CN" w:bidi="ar"/>
              </w:rPr>
              <w:t>使用环境：温度：-10℃～+50℃；相对湿度≤95%，不凝露</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数量：1台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.8</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气体灭火控制器/火灾报警控制器</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（1）工作电压：交流AC220V50/60Hz，允许电压变化范围AC176V～AC264V；</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（2）功耗：监视状态功耗≤35W；最大功耗≤100W；</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（3）备用电源：2个DC12V/5Ah密封铅酸电池；</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（4）气体喷洒输出：DC24V/3A，脉冲方式/持续方式，可调；</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（5）辅助24V电源输出：最大0.3A；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（6）电池充电电流：0.6A~0.8A；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（7）液晶屏规格：480*272点24色RGB彩屏；</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数量：1套</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★提供由应急管理部消防产品合格评定中心颁发的CCCF消防产品认证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输入输出模块</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（1）额定输出容量：DC24V/6A</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（2）使用环境：温度：0℃～＋40℃相对湿度≤95％，不结露</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（3）电源：主电为AC220V+10%-15%，内装DC24V10Ah密封铅酸电池作备电</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（4）外形尺寸：318mm×117mm×400mm</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数量：1套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3"/>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三</w:t>
            </w:r>
            <w:r>
              <w:rPr>
                <w:rFonts w:hint="eastAsia" w:ascii="宋体" w:hAnsi="宋体" w:eastAsia="宋体" w:cs="宋体"/>
                <w:b/>
                <w:bCs/>
                <w:i w:val="0"/>
                <w:iCs w:val="0"/>
                <w:color w:val="auto"/>
                <w:kern w:val="0"/>
                <w:sz w:val="21"/>
                <w:szCs w:val="21"/>
                <w:highlight w:val="none"/>
                <w:u w:val="none"/>
                <w:lang w:val="en-US" w:eastAsia="zh-CN" w:bidi="ar"/>
              </w:rPr>
              <w:t>、地面加固工程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加固</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针对场区沉降需采用加固处理。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混凝土垫层+配筋面层</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cs="宋体"/>
                <w:b w:val="0"/>
                <w:bCs/>
                <w:i w:val="0"/>
                <w:color w:val="auto"/>
                <w:kern w:val="0"/>
                <w:sz w:val="21"/>
                <w:szCs w:val="21"/>
                <w:highlight w:val="none"/>
                <w:u w:val="none"/>
                <w:lang w:val="en-US" w:eastAsia="zh-CN" w:bidi="ar"/>
              </w:rPr>
              <w:t>以采购人确认的设计为准</w:t>
            </w:r>
            <w:r>
              <w:rPr>
                <w:rFonts w:hint="eastAsia" w:ascii="宋体" w:hAnsi="宋体" w:eastAsia="宋体" w:cs="宋体"/>
                <w:b w:val="0"/>
                <w:bCs/>
                <w:i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垫层地基拆除</w:t>
            </w:r>
          </w:p>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地面深挖回填土夯实</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1、人工拆除，2、地面需采用深挖后回填土分层夯实工艺施工。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四</w:t>
            </w:r>
            <w:r>
              <w:rPr>
                <w:rFonts w:hint="eastAsia" w:ascii="宋体" w:hAnsi="宋体" w:eastAsia="宋体" w:cs="宋体"/>
                <w:b/>
                <w:bCs/>
                <w:i w:val="0"/>
                <w:iCs w:val="0"/>
                <w:color w:val="auto"/>
                <w:kern w:val="0"/>
                <w:sz w:val="21"/>
                <w:szCs w:val="21"/>
                <w:highlight w:val="none"/>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设计费</w:t>
            </w:r>
          </w:p>
        </w:tc>
        <w:tc>
          <w:tcPr>
            <w:tcW w:w="4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加固设计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1、为避免低价低质恶性竞争，请实事求是的报价，如有违反市场价格规律超低价恶意谋取</w:t>
            </w:r>
            <w:r>
              <w:rPr>
                <w:rFonts w:hint="eastAsia" w:ascii="宋体" w:hAnsi="宋体" w:cs="宋体"/>
                <w:b/>
                <w:bCs/>
                <w:color w:val="auto"/>
                <w:sz w:val="21"/>
                <w:szCs w:val="21"/>
                <w:highlight w:val="none"/>
                <w:lang w:val="en-US" w:eastAsia="zh-CN"/>
              </w:rPr>
              <w:t>成交</w:t>
            </w:r>
            <w:r>
              <w:rPr>
                <w:rFonts w:hint="eastAsia" w:ascii="宋体" w:hAnsi="宋体" w:eastAsia="宋体" w:cs="宋体"/>
                <w:b/>
                <w:bCs/>
                <w:color w:val="auto"/>
                <w:sz w:val="21"/>
                <w:szCs w:val="21"/>
                <w:highlight w:val="none"/>
                <w:lang w:val="en-US" w:eastAsia="zh-CN"/>
              </w:rPr>
              <w:t>后，又不能按采购人要求提供合格产品者，一律按无效标处理。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2、任何以没有看清楚竞争性谈判文件或将不符合报价要求的产品参与报价的供应商均视为恶意报价，并上报监管部门严肃处理。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乙方提供的货物（包括但不限于主设备、附件、材料等）必须是现货、全新，符合国家产品质量标准，无瑕疵，有检验合格证明及使用说明书、质保书等相关资料，无安全隐患。不得为损坏、缺少附件、返修、有使用痕迹等不符合国家产品质量标准、相关货物技术协议的瑕疵、缺陷、老旧、返修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4、本合同如经采购程序签订的，则必须符合采购货物要求的规格型号和技术指标，在供货时须附出厂合格证书以及说明书、所供产品的检验报告原件、质保书等资料。如本合同项下货物技术协议中规定的质量标准高于国家标准的，则应以本合同项下货物技术协议中规定的标准作为认定本合同项下产品质量的依据。若发现提供虚假材料响应，将取消其成交资格并上报相关部门依法处理。</w:t>
            </w:r>
          </w:p>
        </w:tc>
      </w:tr>
    </w:tbl>
    <w:p>
      <w:pPr>
        <w:rPr>
          <w:color w:val="auto"/>
          <w:highlight w:val="none"/>
        </w:rPr>
      </w:pPr>
    </w:p>
    <w:p>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二、商务要求</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eastAsia="zh-CN"/>
        </w:rPr>
        <w:t>合同履约期</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合同签订后60日历日内</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textAlignment w:val="auto"/>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2.实施地点</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default"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眉县公安局</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质量标准</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符合国家及行业质量验收合格标准。 </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rPr>
      </w:pPr>
      <w:r>
        <w:rPr>
          <w:rFonts w:hint="eastAsia"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rPr>
        <w:t>质保期</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自验收合格之日起1年</w:t>
      </w:r>
      <w:r>
        <w:rPr>
          <w:rFonts w:hint="eastAsia" w:hAnsi="宋体" w:cs="宋体"/>
          <w:b w:val="0"/>
          <w:bCs w:val="0"/>
          <w:color w:val="auto"/>
          <w:sz w:val="21"/>
          <w:szCs w:val="21"/>
          <w:highlight w:val="none"/>
          <w:lang w:val="en-US" w:eastAsia="zh-CN"/>
        </w:rPr>
        <w:t>，如有国家及行业规定的，按国家及行业规定执行</w:t>
      </w:r>
      <w:r>
        <w:rPr>
          <w:rFonts w:hint="eastAsia" w:ascii="宋体" w:hAnsi="宋体" w:eastAsia="宋体" w:cs="宋体"/>
          <w:b w:val="0"/>
          <w:bCs w:val="0"/>
          <w:color w:val="auto"/>
          <w:sz w:val="21"/>
          <w:szCs w:val="21"/>
          <w:highlight w:val="none"/>
          <w:lang w:val="en-US" w:eastAsia="zh-CN"/>
        </w:rPr>
        <w:t>。</w:t>
      </w:r>
    </w:p>
    <w:bookmarkEnd w:id="30"/>
    <w:bookmarkEnd w:id="31"/>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textAlignment w:val="auto"/>
        <w:rPr>
          <w:rFonts w:hint="default" w:ascii="宋体" w:hAnsi="宋体" w:eastAsia="宋体" w:cs="宋体"/>
          <w:b/>
          <w:bCs/>
          <w:color w:val="auto"/>
          <w:sz w:val="21"/>
          <w:szCs w:val="21"/>
          <w:highlight w:val="none"/>
          <w:lang w:val="en-US" w:eastAsia="zh-CN"/>
        </w:rPr>
      </w:pPr>
      <w:bookmarkStart w:id="35" w:name="_Toc22966"/>
      <w:bookmarkStart w:id="36" w:name="_Toc25337"/>
      <w:bookmarkStart w:id="37" w:name="_Toc24193"/>
      <w:bookmarkStart w:id="38" w:name="_Toc520468910"/>
      <w:bookmarkStart w:id="39" w:name="_Toc13952"/>
      <w:r>
        <w:rPr>
          <w:rFonts w:hint="eastAsia" w:ascii="宋体" w:hAnsi="宋体" w:eastAsia="宋体" w:cs="宋体"/>
          <w:b/>
          <w:bCs/>
          <w:color w:val="auto"/>
          <w:sz w:val="21"/>
          <w:szCs w:val="21"/>
          <w:highlight w:val="none"/>
          <w:lang w:val="en-US" w:eastAsia="zh-CN"/>
        </w:rPr>
        <w:t>5.</w:t>
      </w:r>
      <w:r>
        <w:rPr>
          <w:rFonts w:hint="eastAsia" w:ascii="宋体" w:hAnsi="宋体" w:cs="宋体"/>
          <w:b/>
          <w:bCs/>
          <w:color w:val="auto"/>
          <w:sz w:val="21"/>
          <w:szCs w:val="21"/>
          <w:highlight w:val="none"/>
          <w:lang w:val="en-US" w:eastAsia="zh-CN"/>
        </w:rPr>
        <w:t>付款方式</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为固定总价合同</w:t>
      </w:r>
      <w:r>
        <w:rPr>
          <w:rFonts w:hint="eastAsia" w:ascii="宋体" w:hAnsi="宋体" w:eastAsia="宋体" w:cs="宋体"/>
          <w:color w:val="auto"/>
          <w:sz w:val="21"/>
          <w:szCs w:val="21"/>
          <w:highlight w:val="none"/>
        </w:rPr>
        <w:t>，不受市场价变化的影响。</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付款方式：</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合同签订生效后3个工作日内支付合同总价款的30%；</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货物到达采购人指定场地后3个工作日内支付合同总价款的30%；</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cs="宋体"/>
          <w:color w:val="auto"/>
          <w:sz w:val="21"/>
          <w:szCs w:val="21"/>
          <w:highlight w:val="none"/>
          <w:u w:val="none"/>
          <w:lang w:val="en-US" w:eastAsia="zh-CN"/>
        </w:rPr>
        <w:t>项目验收合格后3个工作日内支付合同剩余总价款的40%</w:t>
      </w:r>
      <w:r>
        <w:rPr>
          <w:rFonts w:hint="eastAsia" w:ascii="宋体" w:hAnsi="宋体" w:eastAsia="宋体" w:cs="宋体"/>
          <w:i w:val="0"/>
          <w:iCs w:val="0"/>
          <w:color w:val="auto"/>
          <w:sz w:val="21"/>
          <w:szCs w:val="21"/>
          <w:highlight w:val="none"/>
          <w:u w:val="none"/>
          <w:lang w:val="en-US" w:eastAsia="zh-CN"/>
        </w:rPr>
        <w:t>。</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6.交付条件</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hAnsi="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提供货物必须是原厂制造，符合谈判文件及谈判响应文件约定的产品。</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（2）所供货物必须是经过办理正常手续的全新产品。</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（3）所供货物是经过国家法定检验、注册、准许市场销售的合法产品。</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（4）货物性能稳定、具有较好的使用效果，质量保证措施完善，符合国家相关标准。</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（5）货物的质保期严格按谈判响应文件规定的质保期执行，质保期内产生的质量问题由</w:t>
      </w:r>
      <w:r>
        <w:rPr>
          <w:rFonts w:hint="eastAsia" w:hAnsi="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负责维修、更换。</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r>
        <w:rPr>
          <w:rFonts w:hint="eastAsia" w:hAnsi="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应保证</w:t>
      </w:r>
      <w:r>
        <w:rPr>
          <w:rFonts w:hint="eastAsia"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在使用该货物或其任何一部分时免受第三方提出侵犯其各类知识产权包括专利权、著作权、商标权及其他知识产权的起诉。</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（7）负责与使用单位信息化系统予以连接，并负责对软件系统终身免费升级。</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（8）操作系统安装经授权的正版产品。</w:t>
      </w:r>
    </w:p>
    <w:p>
      <w:pPr>
        <w:pStyle w:val="12"/>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（9）加固及装修符合国家相关标准。</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技术培训</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免费为采购人培训设备操作及维护人员。</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（1）培训内容：</w:t>
      </w:r>
      <w:r>
        <w:rPr>
          <w:rFonts w:hint="eastAsia" w:ascii="宋体" w:hAnsi="宋体" w:cs="宋体"/>
          <w:color w:val="auto"/>
          <w:sz w:val="21"/>
          <w:szCs w:val="21"/>
          <w:highlight w:val="none"/>
          <w:u w:val="single"/>
          <w:lang w:val="en-US" w:eastAsia="zh-CN"/>
        </w:rPr>
        <w:t xml:space="preserve"> 设备基本操作及维护 </w:t>
      </w:r>
      <w:r>
        <w:rPr>
          <w:rFonts w:hint="eastAsia" w:ascii="宋体" w:hAnsi="宋体" w:eastAsia="宋体" w:cs="宋体"/>
          <w:color w:val="auto"/>
          <w:sz w:val="21"/>
          <w:szCs w:val="21"/>
          <w:highlight w:val="none"/>
          <w:lang w:val="en-US" w:eastAsia="zh-CN"/>
        </w:rPr>
        <w:t>；</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（2）培训地点：</w:t>
      </w:r>
      <w:r>
        <w:rPr>
          <w:rFonts w:hint="eastAsia" w:ascii="宋体" w:hAnsi="宋体" w:cs="宋体"/>
          <w:color w:val="auto"/>
          <w:sz w:val="21"/>
          <w:szCs w:val="21"/>
          <w:highlight w:val="none"/>
          <w:u w:val="single"/>
          <w:lang w:val="en-US" w:eastAsia="zh-CN"/>
        </w:rPr>
        <w:t xml:space="preserve"> 眉县公安局 </w:t>
      </w:r>
      <w:r>
        <w:rPr>
          <w:rFonts w:hint="eastAsia" w:ascii="宋体" w:hAnsi="宋体" w:eastAsia="宋体" w:cs="宋体"/>
          <w:color w:val="auto"/>
          <w:sz w:val="21"/>
          <w:szCs w:val="21"/>
          <w:highlight w:val="none"/>
          <w:lang w:val="en-US" w:eastAsia="zh-CN"/>
        </w:rPr>
        <w:t>；</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（3）培训次数：</w:t>
      </w:r>
      <w:r>
        <w:rPr>
          <w:rFonts w:hint="eastAsia" w:ascii="宋体" w:hAnsi="宋体" w:eastAsia="宋体" w:cs="宋体"/>
          <w:color w:val="auto"/>
          <w:sz w:val="21"/>
          <w:szCs w:val="21"/>
          <w:highlight w:val="none"/>
          <w:u w:val="single"/>
          <w:lang w:val="en-US" w:eastAsia="zh-CN"/>
        </w:rPr>
        <w:t>2次以上</w:t>
      </w:r>
      <w:r>
        <w:rPr>
          <w:rFonts w:hint="eastAsia" w:ascii="宋体" w:hAnsi="宋体" w:eastAsia="宋体" w:cs="宋体"/>
          <w:color w:val="auto"/>
          <w:sz w:val="21"/>
          <w:szCs w:val="21"/>
          <w:highlight w:val="none"/>
          <w:lang w:val="en-US" w:eastAsia="zh-CN"/>
        </w:rPr>
        <w:t>；</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（4）培训人数：</w:t>
      </w:r>
      <w:r>
        <w:rPr>
          <w:rFonts w:hint="eastAsia" w:ascii="宋体" w:hAnsi="宋体" w:cs="宋体"/>
          <w:color w:val="auto"/>
          <w:sz w:val="21"/>
          <w:szCs w:val="21"/>
          <w:highlight w:val="none"/>
          <w:u w:val="single"/>
          <w:lang w:val="en-US" w:eastAsia="zh-CN"/>
        </w:rPr>
        <w:t xml:space="preserve"> 由采购人确定 </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（5）培训费用包含在合同总价中。</w:t>
      </w:r>
    </w:p>
    <w:p>
      <w:pPr>
        <w:pStyle w:val="25"/>
        <w:keepNext w:val="0"/>
        <w:keepLines w:val="0"/>
        <w:pageBreakBefore w:val="0"/>
        <w:widowControl w:val="0"/>
        <w:kinsoku/>
        <w:wordWrap/>
        <w:overflowPunct w:val="0"/>
        <w:topLinePunct/>
        <w:autoSpaceDE/>
        <w:autoSpaceDN/>
        <w:bidi w:val="0"/>
        <w:adjustRightInd/>
        <w:snapToGrid w:val="0"/>
        <w:spacing w:beforeAutospacing="0" w:afterAutospacing="0"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8.其他</w:t>
      </w:r>
    </w:p>
    <w:p>
      <w:pPr>
        <w:keepNext w:val="0"/>
        <w:keepLines w:val="0"/>
        <w:pageBreakBefore w:val="0"/>
        <w:widowControl w:val="0"/>
        <w:kinsoku/>
        <w:wordWrap/>
        <w:overflowPunct w:val="0"/>
        <w:topLine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所供货物品种、型号、规格、质量、技术指标等不符合本合同、本合同项下技术协议、</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文件、响应文件规定的，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有权拒收货物，</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应向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eastAsia="zh-CN"/>
        </w:rPr>
        <w:t>合同总价款</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0%的违约金，并承担</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因此产生的所有损失。</w:t>
      </w:r>
    </w:p>
    <w:p>
      <w:pPr>
        <w:pStyle w:val="12"/>
        <w:keepNext w:val="0"/>
        <w:keepLines w:val="0"/>
        <w:pageBreakBefore w:val="0"/>
        <w:widowControl w:val="0"/>
        <w:numPr>
          <w:ilvl w:val="0"/>
          <w:numId w:val="0"/>
        </w:numPr>
        <w:shd w:val="clear" w:color="auto" w:fill="auto"/>
        <w:kinsoku/>
        <w:wordWrap/>
        <w:overflowPunct w:val="0"/>
        <w:topLinePunct/>
        <w:autoSpaceDE/>
        <w:autoSpaceDN/>
        <w:bidi w:val="0"/>
        <w:adjustRightInd w:val="0"/>
        <w:snapToGrid w:val="0"/>
        <w:spacing w:line="360" w:lineRule="auto"/>
        <w:ind w:firstLine="420" w:firstLineChars="200"/>
        <w:textAlignment w:val="auto"/>
        <w:rPr>
          <w:rFonts w:hint="default"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2）成交供应商未按本合同约定逾期交付符合本合同约定的货物，则须按合同总价款的5%/天向采购人支付逾期违约金。逾期10天仍不能交货的，采购人有权单方解除本合同。本合同自采购人向成交供应商发出解除通知之日解除，成交供应商除支付上述逾期违约金外，应退还采购人已支付的全部货款及费用并向采购人支付合同总价款10%的解除违约金及承担采购人因此造成的所有损失。因不可抗力不能如期履约的，由双方共同协商决定。</w:t>
      </w:r>
    </w:p>
    <w:p>
      <w:pPr>
        <w:keepNext w:val="0"/>
        <w:keepLines w:val="0"/>
        <w:pageBreakBefore w:val="0"/>
        <w:widowControl w:val="0"/>
        <w:kinsoku/>
        <w:wordWrap/>
        <w:overflowPunct w:val="0"/>
        <w:topLine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（3）在履行合同过程中，如果</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遇到可能妨碍其按时</w:t>
      </w:r>
      <w:r>
        <w:rPr>
          <w:rFonts w:hint="eastAsia" w:ascii="宋体" w:hAnsi="宋体" w:cs="宋体"/>
          <w:color w:val="auto"/>
          <w:sz w:val="21"/>
          <w:szCs w:val="21"/>
          <w:highlight w:val="none"/>
          <w:lang w:val="en-US" w:eastAsia="zh-CN"/>
        </w:rPr>
        <w:t>完成项目</w:t>
      </w:r>
      <w:r>
        <w:rPr>
          <w:rFonts w:hint="eastAsia" w:ascii="宋体" w:hAnsi="宋体" w:eastAsia="宋体" w:cs="宋体"/>
          <w:color w:val="auto"/>
          <w:sz w:val="21"/>
          <w:szCs w:val="21"/>
          <w:highlight w:val="none"/>
          <w:lang w:val="en-US" w:eastAsia="zh-CN"/>
        </w:rPr>
        <w:t>的情况，应以书面形式将拖延的事实，可能拖延的期限和理由通知采购人。</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在收到</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通知后，应尽快对情况进行评价，并确定是否通过修改合同，酌情延长交货时间或对</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加收逾期交货违约金。逾期交货违约金以</w:t>
      </w:r>
      <w:r>
        <w:rPr>
          <w:rFonts w:hint="eastAsia" w:ascii="宋体" w:hAnsi="宋体" w:cs="宋体"/>
          <w:color w:val="auto"/>
          <w:sz w:val="21"/>
          <w:szCs w:val="21"/>
          <w:highlight w:val="none"/>
          <w:lang w:val="en-US" w:eastAsia="zh-CN"/>
        </w:rPr>
        <w:t>合同价款</w:t>
      </w:r>
      <w:r>
        <w:rPr>
          <w:rFonts w:hint="eastAsia" w:ascii="宋体" w:hAnsi="宋体" w:eastAsia="宋体" w:cs="宋体"/>
          <w:color w:val="auto"/>
          <w:sz w:val="21"/>
          <w:szCs w:val="21"/>
          <w:highlight w:val="none"/>
          <w:lang w:val="en-US" w:eastAsia="zh-CN"/>
        </w:rPr>
        <w:t>为基数，按每日</w:t>
      </w:r>
      <w:r>
        <w:rPr>
          <w:rFonts w:hint="eastAsia" w:ascii="宋体" w:hAnsi="宋体" w:eastAsia="宋体" w:cs="宋体"/>
          <w:color w:val="auto"/>
          <w:sz w:val="21"/>
          <w:szCs w:val="21"/>
          <w:highlight w:val="none"/>
          <w:u w:val="single"/>
          <w:lang w:val="en-US" w:eastAsia="zh-CN"/>
        </w:rPr>
        <w:t xml:space="preserve"> 1 </w:t>
      </w:r>
      <w:r>
        <w:rPr>
          <w:rFonts w:hint="eastAsia" w:ascii="宋体" w:hAnsi="宋体" w:eastAsia="宋体" w:cs="宋体"/>
          <w:color w:val="auto"/>
          <w:sz w:val="21"/>
          <w:szCs w:val="21"/>
          <w:highlight w:val="none"/>
          <w:lang w:val="en-US" w:eastAsia="zh-CN"/>
        </w:rPr>
        <w:t>‰计算。</w:t>
      </w:r>
    </w:p>
    <w:p>
      <w:pPr>
        <w:keepNext w:val="0"/>
        <w:keepLines w:val="0"/>
        <w:pageBreakBefore w:val="0"/>
        <w:widowControl w:val="0"/>
        <w:kinsoku/>
        <w:wordWrap/>
        <w:overflowPunct w:val="0"/>
        <w:topLine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在货物质保期内未按合同约定履行保修义务和责任，</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支付合同总价款10%的违约金，同时承担</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因此造成的所有损失。</w:t>
      </w:r>
    </w:p>
    <w:p>
      <w:pPr>
        <w:keepNext w:val="0"/>
        <w:keepLines w:val="0"/>
        <w:pageBreakBefore w:val="0"/>
        <w:widowControl w:val="0"/>
        <w:kinsoku/>
        <w:wordWrap/>
        <w:overflowPunct w:val="0"/>
        <w:topLine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不配合</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采购验收工作、相关工作人员操作失误、货物延迟交付、施工或货物存在瑕疵或者安装调试不到位，在质保期内未按合同约定及时响应</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要求、怠于沟通解决货物问题等非因</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原因，</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应承担货物运输、安装、调试或使用过程中造成的所有损失。同时承担</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因此造成的所有损失。</w:t>
      </w:r>
    </w:p>
    <w:p>
      <w:pPr>
        <w:keepNext w:val="0"/>
        <w:keepLines w:val="0"/>
        <w:pageBreakBefore w:val="0"/>
        <w:widowControl w:val="0"/>
        <w:kinsoku/>
        <w:wordWrap/>
        <w:overflowPunct w:val="0"/>
        <w:topLine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应承担其产品存在的权利瑕疵、质量瑕疵造成</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的所有损失。</w:t>
      </w:r>
    </w:p>
    <w:p>
      <w:pPr>
        <w:spacing w:line="360" w:lineRule="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pPr>
        <w:pStyle w:val="3"/>
        <w:rPr>
          <w:rFonts w:hint="eastAsia" w:ascii="宋体" w:hAnsi="宋体" w:eastAsia="宋体" w:cs="宋体"/>
          <w:b/>
          <w:bCs/>
          <w:color w:val="auto"/>
          <w:sz w:val="32"/>
          <w:szCs w:val="32"/>
          <w:highlight w:val="none"/>
          <w:lang w:val="zh-CN"/>
        </w:rPr>
      </w:pPr>
      <w:bookmarkStart w:id="40" w:name="_Toc18267"/>
      <w:r>
        <w:rPr>
          <w:rFonts w:hint="eastAsia" w:ascii="宋体" w:hAnsi="宋体" w:eastAsia="宋体" w:cs="宋体"/>
          <w:b/>
          <w:bCs/>
          <w:color w:val="auto"/>
          <w:sz w:val="32"/>
          <w:szCs w:val="32"/>
          <w:highlight w:val="none"/>
          <w:lang w:val="zh-CN"/>
        </w:rPr>
        <w:t>第六章 竞争性谈判响应文件格式</w:t>
      </w:r>
      <w:bookmarkEnd w:id="35"/>
      <w:bookmarkEnd w:id="36"/>
      <w:bookmarkEnd w:id="37"/>
      <w:bookmarkEnd w:id="38"/>
      <w:bookmarkEnd w:id="39"/>
      <w:bookmarkEnd w:id="40"/>
    </w:p>
    <w:p>
      <w:pPr>
        <w:autoSpaceDE w:val="0"/>
        <w:autoSpaceDN w:val="0"/>
        <w:adjustRightInd w:val="0"/>
        <w:snapToGrid w:val="0"/>
        <w:spacing w:line="360" w:lineRule="auto"/>
        <w:jc w:val="left"/>
        <w:rPr>
          <w:rFonts w:hint="eastAsia" w:ascii="宋体" w:hAnsi="宋体" w:eastAsia="宋体" w:cs="宋体"/>
          <w:b/>
          <w:bCs/>
          <w:color w:val="auto"/>
          <w:sz w:val="32"/>
          <w:szCs w:val="32"/>
          <w:highlight w:val="none"/>
          <w:lang w:val="zh-CN"/>
        </w:rPr>
      </w:pPr>
    </w:p>
    <w:p>
      <w:pPr>
        <w:autoSpaceDE w:val="0"/>
        <w:autoSpaceDN w:val="0"/>
        <w:adjustRightInd w:val="0"/>
        <w:snapToGrid w:val="0"/>
        <w:spacing w:line="360" w:lineRule="auto"/>
        <w:jc w:val="left"/>
        <w:rPr>
          <w:rFonts w:hint="eastAsia" w:ascii="宋体" w:hAnsi="宋体" w:eastAsia="宋体" w:cs="宋体"/>
          <w:b/>
          <w:bCs/>
          <w:color w:val="auto"/>
          <w:sz w:val="32"/>
          <w:szCs w:val="32"/>
          <w:highlight w:val="none"/>
          <w:lang w:val="zh-CN"/>
        </w:rPr>
      </w:pPr>
      <w:bookmarkStart w:id="41" w:name="_Toc8495"/>
      <w:r>
        <w:rPr>
          <w:rFonts w:hint="eastAsia" w:ascii="宋体" w:hAnsi="宋体" w:eastAsia="宋体" w:cs="宋体"/>
          <w:b/>
          <w:bCs/>
          <w:color w:val="auto"/>
          <w:sz w:val="32"/>
          <w:szCs w:val="32"/>
          <w:highlight w:val="none"/>
          <w:lang w:val="zh-CN"/>
        </w:rPr>
        <w:t>政府采购项目</w:t>
      </w:r>
      <w:bookmarkEnd w:id="41"/>
    </w:p>
    <w:p>
      <w:pPr>
        <w:pStyle w:val="25"/>
        <w:widowControl/>
        <w:spacing w:line="450" w:lineRule="atLeast"/>
        <w:rPr>
          <w:rFonts w:hint="eastAsia" w:ascii="宋体" w:hAnsi="宋体" w:eastAsia="宋体" w:cs="宋体"/>
          <w:b/>
          <w:bCs/>
          <w:color w:val="auto"/>
          <w:sz w:val="30"/>
          <w:szCs w:val="30"/>
          <w:highlight w:val="none"/>
          <w:u w:val="single"/>
          <w:lang w:eastAsia="zh-CN"/>
        </w:rPr>
      </w:pPr>
      <w:bookmarkStart w:id="42" w:name="_Toc15040"/>
      <w:r>
        <w:rPr>
          <w:rFonts w:hint="eastAsia" w:ascii="宋体" w:hAnsi="宋体" w:eastAsia="宋体" w:cs="宋体"/>
          <w:b/>
          <w:bCs/>
          <w:color w:val="auto"/>
          <w:sz w:val="32"/>
          <w:szCs w:val="32"/>
          <w:highlight w:val="none"/>
          <w:lang w:val="zh-CN"/>
        </w:rPr>
        <w:t>采购项目编号：</w:t>
      </w:r>
      <w:bookmarkEnd w:id="42"/>
      <w:r>
        <w:rPr>
          <w:rFonts w:hint="eastAsia" w:ascii="宋体" w:hAnsi="宋体" w:cs="宋体"/>
          <w:b/>
          <w:bCs/>
          <w:color w:val="auto"/>
          <w:sz w:val="32"/>
          <w:szCs w:val="32"/>
          <w:highlight w:val="none"/>
          <w:lang w:val="zh-CN"/>
        </w:rPr>
        <w:t>ZC2026-HW-054</w:t>
      </w:r>
    </w:p>
    <w:p>
      <w:pPr>
        <w:pStyle w:val="25"/>
        <w:widowControl/>
        <w:spacing w:line="450" w:lineRule="atLeast"/>
        <w:rPr>
          <w:rFonts w:hint="eastAsia" w:ascii="宋体" w:hAnsi="宋体" w:eastAsia="宋体" w:cs="宋体"/>
          <w:b/>
          <w:bCs/>
          <w:color w:val="auto"/>
          <w:sz w:val="30"/>
          <w:szCs w:val="30"/>
          <w:highlight w:val="none"/>
        </w:rPr>
      </w:pPr>
    </w:p>
    <w:p>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bookmarkStart w:id="43" w:name="OLE_LINK7"/>
    </w:p>
    <w:bookmarkEnd w:id="43"/>
    <w:p>
      <w:pPr>
        <w:tabs>
          <w:tab w:val="left" w:pos="5670"/>
        </w:tabs>
        <w:autoSpaceDE w:val="0"/>
        <w:autoSpaceDN w:val="0"/>
        <w:adjustRightInd w:val="0"/>
        <w:snapToGrid w:val="0"/>
        <w:spacing w:line="480" w:lineRule="auto"/>
        <w:jc w:val="center"/>
        <w:rPr>
          <w:rFonts w:hint="eastAsia" w:ascii="宋体" w:hAnsi="宋体" w:eastAsia="宋体" w:cs="宋体"/>
          <w:b/>
          <w:bCs/>
          <w:color w:val="auto"/>
          <w:sz w:val="40"/>
          <w:szCs w:val="40"/>
          <w:highlight w:val="none"/>
          <w:u w:val="single"/>
          <w:lang w:val="zh-CN" w:eastAsia="zh-CN"/>
        </w:rPr>
      </w:pPr>
      <w:r>
        <w:rPr>
          <w:rFonts w:hint="eastAsia" w:ascii="宋体" w:hAnsi="宋体" w:cs="宋体"/>
          <w:b/>
          <w:bCs/>
          <w:color w:val="auto"/>
          <w:sz w:val="48"/>
          <w:szCs w:val="48"/>
          <w:highlight w:val="none"/>
          <w:u w:val="none"/>
          <w:lang w:val="zh-CN" w:eastAsia="zh-CN"/>
        </w:rPr>
        <w:t>2026年眉县公安局智慧档案室建设</w:t>
      </w:r>
    </w:p>
    <w:p>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pPr>
        <w:tabs>
          <w:tab w:val="left" w:pos="5670"/>
        </w:tabs>
        <w:autoSpaceDE w:val="0"/>
        <w:autoSpaceDN w:val="0"/>
        <w:adjustRightInd w:val="0"/>
        <w:snapToGrid w:val="0"/>
        <w:spacing w:line="360" w:lineRule="auto"/>
        <w:ind w:firstLine="2088" w:firstLineChars="400"/>
        <w:rPr>
          <w:rFonts w:hint="eastAsia" w:ascii="宋体" w:hAnsi="宋体" w:eastAsia="宋体" w:cs="宋体"/>
          <w:b/>
          <w:bCs/>
          <w:color w:val="auto"/>
          <w:sz w:val="52"/>
          <w:szCs w:val="52"/>
          <w:highlight w:val="none"/>
          <w:lang w:val="zh-CN"/>
        </w:rPr>
      </w:pPr>
      <w:r>
        <w:rPr>
          <w:rFonts w:hint="eastAsia" w:ascii="宋体" w:hAnsi="宋体" w:eastAsia="宋体" w:cs="宋体"/>
          <w:b/>
          <w:bCs/>
          <w:color w:val="auto"/>
          <w:sz w:val="52"/>
          <w:szCs w:val="52"/>
          <w:highlight w:val="none"/>
          <w:lang w:val="zh-CN"/>
        </w:rPr>
        <w:t>竞争性谈判响应文件</w:t>
      </w:r>
    </w:p>
    <w:p>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highlight w:val="none"/>
        </w:rPr>
      </w:pPr>
    </w:p>
    <w:p>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highlight w:val="none"/>
          <w:lang w:val="zh-CN"/>
        </w:rPr>
      </w:pPr>
    </w:p>
    <w:p>
      <w:pPr>
        <w:autoSpaceDE w:val="0"/>
        <w:autoSpaceDN w:val="0"/>
        <w:adjustRightInd w:val="0"/>
        <w:snapToGrid w:val="0"/>
        <w:spacing w:line="360" w:lineRule="auto"/>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 xml:space="preserve">              </w:t>
      </w:r>
    </w:p>
    <w:p>
      <w:pPr>
        <w:spacing w:line="360" w:lineRule="auto"/>
        <w:rPr>
          <w:rFonts w:hint="eastAsia" w:ascii="宋体" w:hAnsi="宋体" w:eastAsia="宋体" w:cs="宋体"/>
          <w:b/>
          <w:color w:val="auto"/>
          <w:sz w:val="28"/>
          <w:szCs w:val="28"/>
          <w:highlight w:val="none"/>
        </w:rPr>
      </w:pPr>
    </w:p>
    <w:p>
      <w:pPr>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    应     商：</w:t>
      </w:r>
      <w:r>
        <w:rPr>
          <w:rFonts w:hint="eastAsia" w:ascii="宋体" w:hAnsi="宋体" w:eastAsia="宋体" w:cs="宋体"/>
          <w:b/>
          <w:color w:val="auto"/>
          <w:sz w:val="28"/>
          <w:szCs w:val="28"/>
          <w:highlight w:val="none"/>
          <w:u w:val="single"/>
        </w:rPr>
        <w:t xml:space="preserve">                （加盖单位章）</w:t>
      </w:r>
    </w:p>
    <w:p>
      <w:pPr>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法定代表人或其授权委托代理人：</w:t>
      </w:r>
      <w:r>
        <w:rPr>
          <w:rFonts w:hint="eastAsia" w:ascii="宋体" w:hAnsi="宋体" w:eastAsia="宋体" w:cs="宋体"/>
          <w:b/>
          <w:color w:val="auto"/>
          <w:sz w:val="28"/>
          <w:szCs w:val="28"/>
          <w:highlight w:val="none"/>
          <w:u w:val="single"/>
        </w:rPr>
        <w:t xml:space="preserve">    （签字或盖章）</w:t>
      </w:r>
    </w:p>
    <w:p>
      <w:pPr>
        <w:spacing w:line="360" w:lineRule="auto"/>
        <w:ind w:firstLine="843" w:firstLineChars="300"/>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r>
        <w:rPr>
          <w:rFonts w:hint="eastAsia" w:ascii="宋体" w:hAnsi="宋体" w:eastAsia="宋体" w:cs="宋体"/>
          <w:color w:val="auto"/>
          <w:sz w:val="24"/>
          <w:szCs w:val="24"/>
          <w:highlight w:val="none"/>
        </w:rPr>
        <w:br w:type="page"/>
      </w:r>
    </w:p>
    <w:p>
      <w:pPr>
        <w:pStyle w:val="11"/>
        <w:jc w:val="center"/>
        <w:rPr>
          <w:rFonts w:hint="eastAsia" w:ascii="宋体" w:hAnsi="宋体" w:eastAsia="宋体" w:cs="宋体"/>
          <w:b/>
          <w:bCs/>
          <w:color w:val="auto"/>
          <w:sz w:val="42"/>
          <w:szCs w:val="42"/>
          <w:highlight w:val="none"/>
        </w:rPr>
      </w:pPr>
      <w:bookmarkStart w:id="44" w:name="_Toc10679"/>
      <w:r>
        <w:rPr>
          <w:rFonts w:hint="eastAsia" w:ascii="宋体" w:hAnsi="宋体" w:eastAsia="宋体" w:cs="宋体"/>
          <w:b/>
          <w:bCs/>
          <w:color w:val="auto"/>
          <w:sz w:val="42"/>
          <w:szCs w:val="42"/>
          <w:highlight w:val="none"/>
          <w:lang w:val="zh-CN"/>
        </w:rPr>
        <w:t>目录</w:t>
      </w:r>
      <w:bookmarkEnd w:id="44"/>
    </w:p>
    <w:p>
      <w:pPr>
        <w:autoSpaceDE w:val="0"/>
        <w:autoSpaceDN w:val="0"/>
        <w:adjustRightInd w:val="0"/>
        <w:snapToGrid w:val="0"/>
        <w:spacing w:line="360" w:lineRule="auto"/>
        <w:rPr>
          <w:rFonts w:hint="eastAsia" w:ascii="宋体" w:hAnsi="宋体" w:eastAsia="宋体" w:cs="宋体"/>
          <w:b/>
          <w:bCs/>
          <w:color w:val="auto"/>
          <w:sz w:val="32"/>
          <w:szCs w:val="32"/>
          <w:highlight w:val="none"/>
        </w:rPr>
      </w:pPr>
    </w:p>
    <w:p>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w:t>
      </w:r>
      <w:r>
        <w:rPr>
          <w:rFonts w:hint="eastAsia" w:ascii="宋体" w:hAnsi="宋体" w:eastAsia="宋体" w:cs="宋体"/>
          <w:b/>
          <w:bCs/>
          <w:color w:val="auto"/>
          <w:sz w:val="32"/>
          <w:szCs w:val="32"/>
          <w:highlight w:val="none"/>
          <w:lang w:eastAsia="zh-CN"/>
        </w:rPr>
        <w:t>谈判</w:t>
      </w:r>
      <w:r>
        <w:rPr>
          <w:rFonts w:hint="eastAsia" w:ascii="宋体" w:hAnsi="宋体" w:eastAsia="宋体" w:cs="宋体"/>
          <w:b/>
          <w:bCs/>
          <w:color w:val="auto"/>
          <w:sz w:val="32"/>
          <w:szCs w:val="32"/>
          <w:highlight w:val="none"/>
        </w:rPr>
        <w:t>响应函</w:t>
      </w:r>
    </w:p>
    <w:p>
      <w:pPr>
        <w:autoSpaceDE w:val="0"/>
        <w:autoSpaceDN w:val="0"/>
        <w:adjustRightInd w:val="0"/>
        <w:snapToGrid w:val="0"/>
        <w:spacing w:line="360" w:lineRule="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val="en-US" w:eastAsia="zh-CN"/>
        </w:rPr>
        <w:t>商务及技术偏差表</w:t>
      </w:r>
    </w:p>
    <w:p>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三、法定代表人（单位负责人）身份证明或授权委托书</w:t>
      </w:r>
    </w:p>
    <w:p>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w:t>
      </w:r>
      <w:r>
        <w:rPr>
          <w:rFonts w:hint="eastAsia" w:ascii="宋体" w:hAnsi="宋体" w:eastAsia="宋体" w:cs="宋体"/>
          <w:b/>
          <w:bCs/>
          <w:color w:val="auto"/>
          <w:sz w:val="32"/>
          <w:szCs w:val="32"/>
          <w:highlight w:val="none"/>
          <w:lang w:val="en-US" w:eastAsia="zh-CN"/>
        </w:rPr>
        <w:t>资格审查资料</w:t>
      </w:r>
    </w:p>
    <w:p>
      <w:pPr>
        <w:autoSpaceDE w:val="0"/>
        <w:autoSpaceDN w:val="0"/>
        <w:adjustRightInd w:val="0"/>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五、供应商认为需要提供的其他资料</w:t>
      </w:r>
    </w:p>
    <w:p>
      <w:pPr>
        <w:autoSpaceDE w:val="0"/>
        <w:autoSpaceDN w:val="0"/>
        <w:adjustRightInd w:val="0"/>
        <w:spacing w:line="360" w:lineRule="auto"/>
        <w:rPr>
          <w:rFonts w:hint="eastAsia" w:ascii="宋体" w:hAnsi="宋体" w:eastAsia="宋体" w:cs="宋体"/>
          <w:color w:val="auto"/>
          <w:sz w:val="30"/>
          <w:szCs w:val="30"/>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jc w:val="center"/>
        <w:rPr>
          <w:rFonts w:hint="eastAsia" w:ascii="宋体" w:hAnsi="宋体" w:eastAsia="宋体" w:cs="宋体"/>
          <w:b/>
          <w:color w:val="auto"/>
          <w:sz w:val="32"/>
          <w:szCs w:val="32"/>
          <w:highlight w:val="none"/>
        </w:rPr>
      </w:pPr>
      <w:bookmarkStart w:id="45" w:name="_Toc520468911"/>
      <w:bookmarkStart w:id="46" w:name="_Toc12763"/>
      <w:bookmarkStart w:id="47" w:name="_Toc493"/>
      <w:bookmarkStart w:id="48" w:name="_Toc22533"/>
      <w:bookmarkStart w:id="49" w:name="_Toc15486"/>
      <w:bookmarkStart w:id="50" w:name="_Toc27680"/>
      <w:bookmarkStart w:id="51" w:name="_Toc30690"/>
      <w:r>
        <w:rPr>
          <w:rFonts w:hint="eastAsia" w:ascii="宋体" w:hAnsi="宋体" w:eastAsia="宋体" w:cs="宋体"/>
          <w:b/>
          <w:color w:val="auto"/>
          <w:sz w:val="32"/>
          <w:szCs w:val="32"/>
          <w:highlight w:val="none"/>
          <w:lang w:val="zh-CN"/>
        </w:rPr>
        <w:t>一、</w:t>
      </w:r>
      <w:r>
        <w:rPr>
          <w:rFonts w:hint="eastAsia" w:ascii="宋体" w:hAnsi="宋体" w:eastAsia="宋体" w:cs="宋体"/>
          <w:b/>
          <w:color w:val="auto"/>
          <w:sz w:val="32"/>
          <w:szCs w:val="32"/>
          <w:highlight w:val="none"/>
          <w:lang w:eastAsia="zh-CN"/>
        </w:rPr>
        <w:t>谈判</w:t>
      </w:r>
      <w:r>
        <w:rPr>
          <w:rFonts w:hint="eastAsia" w:ascii="宋体" w:hAnsi="宋体" w:eastAsia="宋体" w:cs="宋体"/>
          <w:b/>
          <w:color w:val="auto"/>
          <w:sz w:val="32"/>
          <w:szCs w:val="32"/>
          <w:highlight w:val="none"/>
          <w:lang w:val="zh-CN"/>
        </w:rPr>
        <w:t>响应函</w:t>
      </w:r>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u w:val="single"/>
        </w:rPr>
      </w:pPr>
      <w:bookmarkStart w:id="52" w:name="_Toc232673691"/>
      <w:bookmarkStart w:id="53" w:name="_Toc31961"/>
      <w:bookmarkStart w:id="54" w:name="_Toc24275"/>
      <w:bookmarkStart w:id="55" w:name="_Toc27843"/>
      <w:bookmarkStart w:id="56" w:name="_Toc520468912"/>
      <w:bookmarkStart w:id="57" w:name="_Toc29160"/>
      <w:bookmarkStart w:id="58" w:name="_Toc11309"/>
      <w:r>
        <w:rPr>
          <w:rFonts w:hint="eastAsia" w:ascii="宋体" w:hAnsi="宋体" w:eastAsia="宋体" w:cs="宋体"/>
          <w:b/>
          <w:color w:val="auto"/>
          <w:sz w:val="21"/>
          <w:szCs w:val="21"/>
          <w:highlight w:val="none"/>
        </w:rPr>
        <w:t>致：</w:t>
      </w:r>
      <w:r>
        <w:rPr>
          <w:rFonts w:hint="eastAsia" w:ascii="宋体" w:hAnsi="宋体" w:eastAsia="宋体" w:cs="宋体"/>
          <w:b/>
          <w:color w:val="auto"/>
          <w:sz w:val="21"/>
          <w:szCs w:val="21"/>
          <w:highlight w:val="none"/>
          <w:u w:val="single"/>
        </w:rPr>
        <w:t>（采购人名称）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rPr>
        <w:t>的全部内容，</w:t>
      </w:r>
      <w:r>
        <w:rPr>
          <w:rFonts w:hint="eastAsia" w:ascii="宋体" w:hAnsi="宋体" w:eastAsia="宋体" w:cs="宋体"/>
          <w:color w:val="auto"/>
          <w:sz w:val="21"/>
          <w:szCs w:val="21"/>
          <w:highlight w:val="none"/>
          <w:lang w:val="en-US" w:eastAsia="zh-CN"/>
        </w:rPr>
        <w:t>我方针对本项目第一次响应</w:t>
      </w:r>
      <w:r>
        <w:rPr>
          <w:rFonts w:hint="eastAsia" w:ascii="宋体" w:hAnsi="宋体" w:eastAsia="宋体" w:cs="宋体"/>
          <w:color w:val="auto"/>
          <w:sz w:val="21"/>
          <w:szCs w:val="21"/>
          <w:highlight w:val="none"/>
        </w:rPr>
        <w:t>总报价</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rPr>
        <w:t>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小</w:t>
      </w:r>
      <w:r>
        <w:rPr>
          <w:rFonts w:hint="eastAsia" w:ascii="宋体" w:hAnsi="宋体" w:eastAsia="宋体" w:cs="宋体"/>
          <w:color w:val="auto"/>
          <w:sz w:val="21"/>
          <w:szCs w:val="21"/>
          <w:highlight w:val="none"/>
          <w:u w:val="single"/>
        </w:rPr>
        <w:t>写：</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lang w:eastAsia="zh-CN"/>
        </w:rPr>
        <w:t>合同履约期</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u w:val="none"/>
          <w:lang w:val="en-US" w:eastAsia="zh-CN"/>
        </w:rPr>
        <w:t>质量标准：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lang w:val="en-US" w:eastAsia="zh-CN"/>
        </w:rPr>
        <w:t>质保</w:t>
      </w:r>
      <w:r>
        <w:rPr>
          <w:rFonts w:hint="eastAsia" w:ascii="宋体" w:hAnsi="宋体" w:eastAsia="宋体" w:cs="宋体"/>
          <w:color w:val="auto"/>
          <w:sz w:val="21"/>
          <w:szCs w:val="21"/>
          <w:highlight w:val="none"/>
          <w:lang w:eastAsia="zh-CN"/>
        </w:rPr>
        <w:t>期</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r>
        <w:rPr>
          <w:rFonts w:hint="eastAsia" w:ascii="宋体" w:hAnsi="宋体" w:cs="宋体"/>
          <w:color w:val="auto"/>
          <w:sz w:val="21"/>
          <w:szCs w:val="21"/>
          <w:highlight w:val="none"/>
          <w:lang w:eastAsia="zh-CN"/>
        </w:rPr>
        <w:t>实施地点</w:t>
      </w:r>
      <w:r>
        <w:rPr>
          <w:rFonts w:hint="eastAsia" w:ascii="宋体" w:hAnsi="宋体" w:eastAsia="宋体" w:cs="宋体"/>
          <w:color w:val="auto"/>
          <w:sz w:val="21"/>
          <w:szCs w:val="21"/>
          <w:highlight w:val="none"/>
        </w:rPr>
        <w:t>是否响应</w:t>
      </w:r>
      <w:r>
        <w:rPr>
          <w:rFonts w:hint="eastAsia" w:ascii="宋体" w:hAnsi="宋体" w:eastAsia="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val="en-US" w:eastAsia="zh-CN"/>
        </w:rPr>
        <w:t>我方承诺成交后</w:t>
      </w:r>
      <w:r>
        <w:rPr>
          <w:rFonts w:hint="eastAsia" w:ascii="宋体" w:hAnsi="宋体" w:eastAsia="宋体" w:cs="宋体"/>
          <w:color w:val="auto"/>
          <w:sz w:val="21"/>
          <w:szCs w:val="21"/>
          <w:highlight w:val="none"/>
        </w:rPr>
        <w:t>按合同约定履行义务。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．我方承诺除商务和技术偏差表列出的偏差外，我方响应</w:t>
      </w:r>
      <w:r>
        <w:rPr>
          <w:rFonts w:hint="eastAsia" w:ascii="宋体" w:hAnsi="宋体" w:eastAsia="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rPr>
        <w:t>的全部要求。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．我方承诺在</w:t>
      </w:r>
      <w:r>
        <w:rPr>
          <w:rFonts w:hint="eastAsia" w:ascii="宋体" w:hAnsi="宋体" w:eastAsia="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有效期内不撤销</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我单位在本项目使用的任何技术、产品和服务（包括部分使用），不会产生因第三方提出侵犯其专利权、商标权或其它知识产权而引起的法律和经济纠纷，如因专利权、商标权或其它知识产权而引起法律和经济纠纷，由我单位承担所有相关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我单位为本项目实施涉及的商品包装和快递包装，均符合《商品包装政府采购需求标准（试行）》《快递包装政府采购需求标准（试行）》的要求，包装适应于远距离运输、防潮、防震、防锈和防野蛮装卸，以确保货物安全无损运抵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供应商名称（单位公章）：</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法定代表人（单位负责人）或委托代理人（签字）：</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                            </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  编：                            </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p>
      <w:pPr>
        <w:keepNext w:val="0"/>
        <w:keepLines w:val="0"/>
        <w:pageBreakBefore w:val="0"/>
        <w:widowControl w:val="0"/>
        <w:kinsoku/>
        <w:wordWrap/>
        <w:overflowPunct/>
        <w:topLinePunct w:val="0"/>
        <w:autoSpaceDE/>
        <w:autoSpaceDN/>
        <w:bidi w:val="0"/>
        <w:adjustRightInd/>
        <w:snapToGrid/>
        <w:spacing w:line="360" w:lineRule="auto"/>
        <w:ind w:right="420" w:firstLine="4424" w:firstLineChars="2107"/>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420" w:firstLine="4424" w:firstLineChars="2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bookmarkEnd w:id="52"/>
    <w:p>
      <w:pPr>
        <w:spacing w:line="360" w:lineRule="auto"/>
        <w:outlineLvl w:val="2"/>
        <w:rPr>
          <w:rFonts w:hint="eastAsia" w:ascii="宋体" w:hAnsi="宋体" w:eastAsia="宋体" w:cs="宋体"/>
          <w:b/>
          <w:bCs/>
          <w:color w:val="auto"/>
          <w:sz w:val="24"/>
          <w:szCs w:val="24"/>
          <w:highlight w:val="none"/>
          <w:lang w:val="zh-CN"/>
        </w:rPr>
      </w:pPr>
      <w:r>
        <w:rPr>
          <w:rFonts w:hint="eastAsia" w:ascii="宋体" w:hAnsi="宋体" w:eastAsia="宋体" w:cs="宋体"/>
          <w:b/>
          <w:color w:val="auto"/>
          <w:highlight w:val="none"/>
          <w:lang w:val="zh-CN"/>
        </w:rPr>
        <w:br w:type="page"/>
      </w:r>
      <w:r>
        <w:rPr>
          <w:rFonts w:hint="eastAsia" w:ascii="宋体" w:hAnsi="宋体" w:eastAsia="宋体" w:cs="宋体"/>
          <w:b/>
          <w:bCs/>
          <w:color w:val="auto"/>
          <w:sz w:val="28"/>
          <w:szCs w:val="28"/>
          <w:highlight w:val="none"/>
          <w:lang w:val="en-US" w:eastAsia="zh-CN"/>
        </w:rPr>
        <w:t>格式1：</w:t>
      </w:r>
      <w:r>
        <w:rPr>
          <w:rFonts w:hint="eastAsia" w:ascii="宋体" w:hAnsi="宋体" w:eastAsia="宋体" w:cs="宋体"/>
          <w:b/>
          <w:bCs/>
          <w:color w:val="auto"/>
          <w:sz w:val="28"/>
          <w:szCs w:val="28"/>
          <w:highlight w:val="none"/>
        </w:rPr>
        <w:t>第一次</w:t>
      </w:r>
      <w:r>
        <w:rPr>
          <w:rFonts w:hint="eastAsia" w:ascii="宋体" w:hAnsi="宋体" w:eastAsia="宋体" w:cs="宋体"/>
          <w:b/>
          <w:bCs/>
          <w:color w:val="auto"/>
          <w:sz w:val="28"/>
          <w:szCs w:val="28"/>
          <w:highlight w:val="none"/>
          <w:lang w:eastAsia="zh-CN"/>
        </w:rPr>
        <w:t>谈判</w:t>
      </w:r>
      <w:r>
        <w:rPr>
          <w:rFonts w:hint="eastAsia" w:ascii="宋体" w:hAnsi="宋体" w:eastAsia="宋体" w:cs="宋体"/>
          <w:b/>
          <w:bCs/>
          <w:color w:val="auto"/>
          <w:sz w:val="28"/>
          <w:szCs w:val="28"/>
          <w:highlight w:val="none"/>
        </w:rPr>
        <w:t>报价表</w:t>
      </w:r>
      <w:bookmarkEnd w:id="53"/>
      <w:bookmarkEnd w:id="54"/>
      <w:bookmarkEnd w:id="55"/>
      <w:bookmarkEnd w:id="56"/>
      <w:bookmarkEnd w:id="57"/>
      <w:bookmarkEnd w:id="58"/>
    </w:p>
    <w:p>
      <w:pPr>
        <w:adjustRightInd w:val="0"/>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第一次谈判报价表</w:t>
      </w:r>
    </w:p>
    <w:tbl>
      <w:tblPr>
        <w:tblStyle w:val="30"/>
        <w:tblW w:w="4996" w:type="pct"/>
        <w:jc w:val="center"/>
        <w:tblLayout w:type="autofit"/>
        <w:tblCellMar>
          <w:top w:w="0" w:type="dxa"/>
          <w:left w:w="108" w:type="dxa"/>
          <w:bottom w:w="0" w:type="dxa"/>
          <w:right w:w="108" w:type="dxa"/>
        </w:tblCellMar>
      </w:tblPr>
      <w:tblGrid>
        <w:gridCol w:w="2062"/>
        <w:gridCol w:w="1823"/>
        <w:gridCol w:w="1995"/>
        <w:gridCol w:w="1464"/>
        <w:gridCol w:w="1936"/>
      </w:tblGrid>
      <w:tr>
        <w:tblPrEx>
          <w:tblCellMar>
            <w:top w:w="0" w:type="dxa"/>
            <w:left w:w="108" w:type="dxa"/>
            <w:bottom w:w="0" w:type="dxa"/>
            <w:right w:w="108" w:type="dxa"/>
          </w:tblCellMar>
        </w:tblPrEx>
        <w:trPr>
          <w:trHeight w:val="1624" w:hRule="atLeast"/>
          <w:jc w:val="center"/>
        </w:trPr>
        <w:tc>
          <w:tcPr>
            <w:tcW w:w="1111" w:type="pct"/>
            <w:tcBorders>
              <w:top w:val="single" w:color="auto" w:sz="6" w:space="0"/>
              <w:left w:val="single" w:color="auto" w:sz="6" w:space="0"/>
              <w:bottom w:val="single" w:color="auto" w:sz="6" w:space="0"/>
              <w:right w:val="single" w:color="auto" w:sz="6" w:space="0"/>
              <w:tl2br w:val="single" w:color="auto" w:sz="6" w:space="0"/>
            </w:tcBorders>
          </w:tcPr>
          <w:p>
            <w:pPr>
              <w:autoSpaceDE w:val="0"/>
              <w:autoSpaceDN w:val="0"/>
              <w:adjustRightInd w:val="0"/>
              <w:snapToGrid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报价内容</w:t>
            </w:r>
          </w:p>
          <w:p>
            <w:pPr>
              <w:autoSpaceDE w:val="0"/>
              <w:autoSpaceDN w:val="0"/>
              <w:adjustRightInd w:val="0"/>
              <w:snapToGrid w:val="0"/>
              <w:spacing w:line="360" w:lineRule="auto"/>
              <w:ind w:left="-1" w:hanging="419"/>
              <w:rPr>
                <w:rFonts w:hint="eastAsia" w:ascii="宋体" w:hAnsi="宋体" w:eastAsia="宋体" w:cs="宋体"/>
                <w:color w:val="auto"/>
                <w:sz w:val="21"/>
                <w:szCs w:val="21"/>
                <w:highlight w:val="none"/>
              </w:rPr>
            </w:pPr>
          </w:p>
          <w:p>
            <w:pPr>
              <w:autoSpaceDE w:val="0"/>
              <w:autoSpaceDN w:val="0"/>
              <w:adjustRightInd w:val="0"/>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p>
        </w:tc>
        <w:tc>
          <w:tcPr>
            <w:tcW w:w="982" w:type="pc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第一次</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报价（元）</w:t>
            </w:r>
          </w:p>
        </w:tc>
        <w:tc>
          <w:tcPr>
            <w:tcW w:w="1075"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合同履约期</w:t>
            </w:r>
          </w:p>
        </w:tc>
        <w:tc>
          <w:tcPr>
            <w:tcW w:w="789"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质量标准</w:t>
            </w:r>
          </w:p>
        </w:tc>
        <w:tc>
          <w:tcPr>
            <w:tcW w:w="104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质保期</w:t>
            </w:r>
          </w:p>
        </w:tc>
      </w:tr>
      <w:tr>
        <w:tblPrEx>
          <w:tblCellMar>
            <w:top w:w="0" w:type="dxa"/>
            <w:left w:w="108" w:type="dxa"/>
            <w:bottom w:w="0" w:type="dxa"/>
            <w:right w:w="108" w:type="dxa"/>
          </w:tblCellMar>
        </w:tblPrEx>
        <w:trPr>
          <w:trHeight w:val="1580" w:hRule="atLeast"/>
          <w:jc w:val="center"/>
        </w:trPr>
        <w:tc>
          <w:tcPr>
            <w:tcW w:w="1111" w:type="pct"/>
            <w:tcBorders>
              <w:top w:val="single" w:color="auto" w:sz="6" w:space="0"/>
              <w:left w:val="single" w:color="auto" w:sz="6" w:space="0"/>
              <w:bottom w:val="single" w:color="auto" w:sz="6" w:space="0"/>
              <w:right w:val="single" w:color="auto" w:sz="6" w:space="0"/>
            </w:tcBorders>
            <w:vAlign w:val="center"/>
          </w:tcPr>
          <w:p>
            <w:pPr>
              <w:pStyle w:val="28"/>
              <w:spacing w:line="360" w:lineRule="auto"/>
              <w:ind w:firstLine="0" w:firstLineChars="0"/>
              <w:jc w:val="center"/>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2026年眉县公安局智慧档案室建设</w:t>
            </w:r>
          </w:p>
        </w:tc>
        <w:tc>
          <w:tcPr>
            <w:tcW w:w="982" w:type="pc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c>
          <w:tcPr>
            <w:tcW w:w="1075"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c>
          <w:tcPr>
            <w:tcW w:w="789" w:type="pct"/>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c>
          <w:tcPr>
            <w:tcW w:w="104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15" w:hRule="atLeast"/>
          <w:jc w:val="center"/>
        </w:trPr>
        <w:tc>
          <w:tcPr>
            <w:tcW w:w="5000" w:type="pct"/>
            <w:gridSpan w:val="5"/>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注：本项目最高限价为人民币</w:t>
            </w:r>
            <w:r>
              <w:rPr>
                <w:rFonts w:hint="eastAsia" w:ascii="宋体" w:hAnsi="宋体" w:cs="宋体"/>
                <w:b/>
                <w:bCs/>
                <w:color w:val="auto"/>
                <w:sz w:val="21"/>
                <w:szCs w:val="21"/>
                <w:highlight w:val="none"/>
                <w:lang w:val="en-US" w:eastAsia="zh-CN"/>
              </w:rPr>
              <w:t>壹佰肆拾贰万元整</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1420000.00</w:t>
            </w:r>
            <w:r>
              <w:rPr>
                <w:rFonts w:hint="eastAsia" w:ascii="宋体" w:hAnsi="宋体" w:eastAsia="宋体" w:cs="宋体"/>
                <w:b/>
                <w:bCs/>
                <w:color w:val="auto"/>
                <w:sz w:val="21"/>
                <w:szCs w:val="21"/>
                <w:highlight w:val="none"/>
                <w:lang w:val="en-US" w:eastAsia="zh-CN"/>
              </w:rPr>
              <w:t>）</w:t>
            </w:r>
          </w:p>
        </w:tc>
      </w:tr>
    </w:tbl>
    <w:p>
      <w:pPr>
        <w:adjustRightInd w:val="0"/>
        <w:snapToGrid w:val="0"/>
        <w:spacing w:line="360" w:lineRule="auto"/>
        <w:jc w:val="left"/>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注：</w:t>
      </w:r>
    </w:p>
    <w:p>
      <w:pPr>
        <w:adjustRightInd w:val="0"/>
        <w:snapToGrid w:val="0"/>
        <w:spacing w:line="360" w:lineRule="auto"/>
        <w:jc w:val="left"/>
        <w:rPr>
          <w:rFonts w:hint="default"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1.第一次谈判响应总报价=分项报价表（第一部分）+分项报价表（第二部分）</w:t>
      </w:r>
    </w:p>
    <w:p>
      <w:pPr>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本页所填写数据须与分项报价表</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第一部分</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加“第二部分</w:t>
      </w:r>
      <w:r>
        <w:rPr>
          <w:rFonts w:hint="eastAsia" w:ascii="宋体" w:hAnsi="宋体" w:cs="宋体"/>
          <w:b/>
          <w:color w:val="auto"/>
          <w:szCs w:val="21"/>
          <w:highlight w:val="none"/>
          <w:lang w:eastAsia="zh-CN"/>
        </w:rPr>
        <w:t>”的</w:t>
      </w:r>
      <w:r>
        <w:rPr>
          <w:rFonts w:hint="eastAsia" w:ascii="宋体" w:hAnsi="宋体" w:cs="宋体"/>
          <w:b/>
          <w:color w:val="auto"/>
          <w:szCs w:val="21"/>
          <w:highlight w:val="none"/>
        </w:rPr>
        <w:t>总计金额一致，否则以分项报价表</w:t>
      </w:r>
      <w:r>
        <w:rPr>
          <w:rFonts w:hint="eastAsia" w:ascii="宋体" w:hAnsi="宋体" w:cs="宋体"/>
          <w:b/>
          <w:color w:val="auto"/>
          <w:szCs w:val="21"/>
          <w:highlight w:val="none"/>
          <w:lang w:val="en-US" w:eastAsia="zh-CN"/>
        </w:rPr>
        <w:t>总计</w:t>
      </w:r>
      <w:r>
        <w:rPr>
          <w:rFonts w:hint="eastAsia" w:ascii="宋体" w:hAnsi="宋体" w:cs="宋体"/>
          <w:b/>
          <w:color w:val="auto"/>
          <w:szCs w:val="21"/>
          <w:highlight w:val="none"/>
        </w:rPr>
        <w:t>金额为准。</w:t>
      </w:r>
    </w:p>
    <w:p>
      <w:pPr>
        <w:adjustRightInd w:val="0"/>
        <w:snapToGrid w:val="0"/>
        <w:spacing w:line="360" w:lineRule="auto"/>
        <w:jc w:val="left"/>
        <w:rPr>
          <w:rFonts w:hint="default" w:ascii="宋体" w:hAnsi="宋体" w:eastAsia="宋体" w:cs="宋体"/>
          <w:b/>
          <w:color w:val="auto"/>
          <w:szCs w:val="21"/>
          <w:highlight w:val="none"/>
          <w:lang w:val="en-US" w:eastAsia="zh-CN"/>
        </w:rPr>
      </w:pPr>
    </w:p>
    <w:p>
      <w:pPr>
        <w:spacing w:line="360" w:lineRule="auto"/>
        <w:jc w:val="right"/>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spacing w:line="360" w:lineRule="auto"/>
        <w:ind w:firstLine="2310" w:firstLineChars="1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（单位负责人）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pPr>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60" w:lineRule="auto"/>
        <w:ind w:firstLine="4620" w:firstLineChars="2200"/>
        <w:rPr>
          <w:rFonts w:hint="eastAsia" w:ascii="宋体" w:hAnsi="宋体" w:eastAsia="宋体" w:cs="宋体"/>
          <w:color w:val="auto"/>
          <w:sz w:val="21"/>
          <w:szCs w:val="21"/>
          <w:highlight w:val="none"/>
        </w:rPr>
        <w:sectPr>
          <w:headerReference r:id="rId4" w:type="default"/>
          <w:footerReference r:id="rId5" w:type="default"/>
          <w:pgSz w:w="11905" w:h="16838"/>
          <w:pgMar w:top="1417" w:right="1417" w:bottom="1417" w:left="1417" w:header="850" w:footer="992" w:gutter="0"/>
          <w:pgNumType w:fmt="decimal" w:start="1"/>
          <w:cols w:space="0" w:num="1"/>
          <w:docGrid w:linePitch="312" w:charSpace="0"/>
        </w:sectPr>
      </w:pPr>
    </w:p>
    <w:p>
      <w:pPr>
        <w:spacing w:line="360" w:lineRule="auto"/>
        <w:outlineLvl w:val="2"/>
        <w:rPr>
          <w:rFonts w:hint="default" w:ascii="宋体" w:hAnsi="宋体" w:eastAsia="宋体" w:cs="宋体"/>
          <w:b/>
          <w:bCs/>
          <w:color w:val="auto"/>
          <w:sz w:val="28"/>
          <w:szCs w:val="28"/>
          <w:highlight w:val="none"/>
          <w:lang w:val="en-US" w:eastAsia="zh-CN"/>
        </w:rPr>
      </w:pPr>
      <w:bookmarkStart w:id="59" w:name="_Toc13585"/>
      <w:r>
        <w:rPr>
          <w:rFonts w:hint="eastAsia" w:ascii="宋体" w:hAnsi="宋体" w:eastAsia="宋体" w:cs="宋体"/>
          <w:b/>
          <w:bCs/>
          <w:color w:val="auto"/>
          <w:sz w:val="28"/>
          <w:szCs w:val="28"/>
          <w:highlight w:val="none"/>
          <w:lang w:val="en-US" w:eastAsia="zh-CN"/>
        </w:rPr>
        <w:t>格式2：分项报价表</w:t>
      </w:r>
    </w:p>
    <w:p>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分项报价表</w:t>
      </w:r>
      <w:r>
        <w:rPr>
          <w:rFonts w:hint="eastAsia" w:ascii="宋体" w:hAnsi="宋体" w:cs="宋体"/>
          <w:b/>
          <w:bCs/>
          <w:color w:val="auto"/>
          <w:kern w:val="2"/>
          <w:sz w:val="24"/>
          <w:szCs w:val="24"/>
          <w:highlight w:val="none"/>
          <w:lang w:val="en-US" w:eastAsia="zh-CN" w:bidi="ar-SA"/>
        </w:rPr>
        <w:t>（第一部分）</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162"/>
        <w:gridCol w:w="1251"/>
        <w:gridCol w:w="1035"/>
        <w:gridCol w:w="1686"/>
        <w:gridCol w:w="2581"/>
        <w:gridCol w:w="1379"/>
        <w:gridCol w:w="1509"/>
        <w:gridCol w:w="1060"/>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35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409" w:type="pct"/>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rPr>
              <w:t>产品名称</w:t>
            </w:r>
          </w:p>
        </w:tc>
        <w:tc>
          <w:tcPr>
            <w:tcW w:w="440" w:type="pct"/>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rPr>
              <w:t>品牌</w:t>
            </w:r>
          </w:p>
        </w:tc>
        <w:tc>
          <w:tcPr>
            <w:tcW w:w="364" w:type="pct"/>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eastAsia="zh-CN"/>
              </w:rPr>
              <w:t>规格型号</w:t>
            </w:r>
          </w:p>
        </w:tc>
        <w:tc>
          <w:tcPr>
            <w:tcW w:w="593" w:type="pct"/>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rPr>
              <w:t>生产厂商</w:t>
            </w:r>
          </w:p>
        </w:tc>
        <w:tc>
          <w:tcPr>
            <w:tcW w:w="908" w:type="pct"/>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rPr>
              <w:t>生产厂商是否为小微企业、监狱企业或残疾人福利性单位</w:t>
            </w:r>
          </w:p>
        </w:tc>
        <w:tc>
          <w:tcPr>
            <w:tcW w:w="485"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数量</w:t>
            </w:r>
          </w:p>
        </w:tc>
        <w:tc>
          <w:tcPr>
            <w:tcW w:w="531"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单价（元）</w:t>
            </w:r>
          </w:p>
        </w:tc>
        <w:tc>
          <w:tcPr>
            <w:tcW w:w="373"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小计</w:t>
            </w:r>
            <w:r>
              <w:rPr>
                <w:rFonts w:hint="eastAsia" w:ascii="宋体" w:hAnsi="宋体" w:cs="宋体"/>
                <w:b/>
                <w:bCs/>
                <w:color w:val="auto"/>
                <w:sz w:val="21"/>
                <w:szCs w:val="21"/>
                <w:highlight w:val="none"/>
              </w:rPr>
              <w:t>（元）</w:t>
            </w:r>
          </w:p>
        </w:tc>
        <w:tc>
          <w:tcPr>
            <w:tcW w:w="54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09"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440"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6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9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08"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485"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531"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7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4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2"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09"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440"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6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9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08"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485"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531"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7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4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2"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09"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440"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6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9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08"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485"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531"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7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4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2"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09"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440"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6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9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08"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485"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531"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7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4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2"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09"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440"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6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9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08"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485"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531"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7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4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2"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09"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440"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64" w:type="pct"/>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tc>
        <w:tc>
          <w:tcPr>
            <w:tcW w:w="59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08"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485"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531"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7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4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2"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09"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440"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64"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9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08"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485"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531"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37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4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52"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409"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44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364"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593"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8"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485"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53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73"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54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35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合计</w:t>
            </w:r>
          </w:p>
        </w:tc>
        <w:tc>
          <w:tcPr>
            <w:tcW w:w="4647" w:type="pct"/>
            <w:gridSpan w:val="9"/>
            <w:noWrap w:val="0"/>
            <w:vAlign w:val="center"/>
          </w:tcPr>
          <w:p>
            <w:pPr>
              <w:keepNext w:val="0"/>
              <w:keepLines w:val="0"/>
              <w:suppressLineNumbers w:val="0"/>
              <w:spacing w:before="0" w:beforeAutospacing="0" w:after="0" w:afterAutospacing="0"/>
              <w:ind w:left="0" w:right="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大写：</w:t>
            </w:r>
          </w:p>
          <w:p>
            <w:pPr>
              <w:keepNext w:val="0"/>
              <w:keepLines w:val="0"/>
              <w:suppressLineNumbers w:val="0"/>
              <w:spacing w:before="0" w:beforeAutospacing="0" w:after="0" w:afterAutospacing="0"/>
              <w:ind w:left="0" w:right="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5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c>
          <w:tcPr>
            <w:tcW w:w="4647" w:type="pct"/>
            <w:gridSpan w:val="9"/>
            <w:noWrap w:val="0"/>
            <w:vAlign w:val="center"/>
          </w:tcPr>
          <w:p>
            <w:pPr>
              <w:keepNext w:val="0"/>
              <w:keepLines w:val="0"/>
              <w:suppressLineNumbers w:val="0"/>
              <w:spacing w:before="0" w:beforeAutospacing="0" w:after="0" w:afterAutospacing="0"/>
              <w:ind w:left="0" w:right="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保留小数点后两位。</w:t>
            </w:r>
          </w:p>
        </w:tc>
      </w:tr>
    </w:tbl>
    <w:p>
      <w:pPr>
        <w:spacing w:line="360" w:lineRule="auto"/>
        <w:rPr>
          <w:rFonts w:hint="eastAsia"/>
          <w:color w:val="auto"/>
          <w:sz w:val="21"/>
          <w:szCs w:val="21"/>
          <w:highlight w:val="none"/>
        </w:rPr>
      </w:pPr>
      <w:r>
        <w:rPr>
          <w:rFonts w:hint="eastAsia"/>
          <w:color w:val="auto"/>
          <w:sz w:val="21"/>
          <w:szCs w:val="21"/>
          <w:highlight w:val="none"/>
        </w:rPr>
        <w:t>备注：1</w:t>
      </w:r>
      <w:r>
        <w:rPr>
          <w:rFonts w:hint="eastAsia"/>
          <w:color w:val="auto"/>
          <w:sz w:val="21"/>
          <w:szCs w:val="21"/>
          <w:highlight w:val="none"/>
          <w:lang w:val="en-US" w:eastAsia="zh-CN"/>
        </w:rPr>
        <w:t>.本表中</w:t>
      </w:r>
      <w:r>
        <w:rPr>
          <w:rFonts w:hint="eastAsia"/>
          <w:color w:val="auto"/>
          <w:sz w:val="21"/>
          <w:szCs w:val="21"/>
          <w:highlight w:val="none"/>
        </w:rPr>
        <w:t>“响应总报价”金额应与“第一次谈判报价表”中的“</w:t>
      </w:r>
      <w:r>
        <w:rPr>
          <w:rFonts w:hint="eastAsia" w:ascii="宋体" w:hAnsi="宋体" w:eastAsia="宋体" w:cs="宋体"/>
          <w:color w:val="auto"/>
          <w:sz w:val="21"/>
          <w:szCs w:val="21"/>
          <w:highlight w:val="none"/>
        </w:rPr>
        <w:t>第一次</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报价</w:t>
      </w:r>
      <w:r>
        <w:rPr>
          <w:rFonts w:hint="eastAsia"/>
          <w:color w:val="auto"/>
          <w:sz w:val="21"/>
          <w:szCs w:val="21"/>
          <w:highlight w:val="none"/>
        </w:rPr>
        <w:t xml:space="preserve">”一致； </w:t>
      </w:r>
    </w:p>
    <w:p>
      <w:pPr>
        <w:spacing w:line="360" w:lineRule="auto"/>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如果按单价计算的结果与总价不一致，以单价为准修正总价。</w:t>
      </w:r>
    </w:p>
    <w:p>
      <w:pPr>
        <w:spacing w:line="360" w:lineRule="auto"/>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如果不提供详细分项报价将视为没有实质性响应</w:t>
      </w:r>
      <w:r>
        <w:rPr>
          <w:rFonts w:hint="eastAsia"/>
          <w:color w:val="auto"/>
          <w:sz w:val="21"/>
          <w:szCs w:val="21"/>
          <w:highlight w:val="none"/>
          <w:lang w:eastAsia="zh-CN"/>
        </w:rPr>
        <w:t>竞争性谈判文件</w:t>
      </w:r>
      <w:r>
        <w:rPr>
          <w:rFonts w:hint="eastAsia"/>
          <w:color w:val="auto"/>
          <w:sz w:val="21"/>
          <w:szCs w:val="21"/>
          <w:highlight w:val="none"/>
        </w:rPr>
        <w:t>。</w:t>
      </w:r>
    </w:p>
    <w:p>
      <w:pPr>
        <w:spacing w:line="360" w:lineRule="auto"/>
        <w:rPr>
          <w:rFonts w:hint="eastAsia"/>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供应商可适当调整该表格式</w:t>
      </w:r>
      <w:r>
        <w:rPr>
          <w:rFonts w:hint="eastAsia"/>
          <w:color w:val="auto"/>
          <w:sz w:val="21"/>
          <w:szCs w:val="21"/>
          <w:highlight w:val="none"/>
          <w:lang w:eastAsia="zh-CN"/>
        </w:rPr>
        <w:t>，</w:t>
      </w:r>
      <w:r>
        <w:rPr>
          <w:rFonts w:hint="eastAsia"/>
          <w:color w:val="auto"/>
          <w:sz w:val="21"/>
          <w:szCs w:val="21"/>
          <w:highlight w:val="none"/>
          <w:lang w:val="en-US" w:eastAsia="zh-CN"/>
        </w:rPr>
        <w:t>可增行删行</w:t>
      </w:r>
      <w:r>
        <w:rPr>
          <w:rFonts w:hint="eastAsia"/>
          <w:color w:val="auto"/>
          <w:sz w:val="21"/>
          <w:szCs w:val="21"/>
          <w:highlight w:val="none"/>
        </w:rPr>
        <w:t>，但不得减少信息内容。</w:t>
      </w:r>
    </w:p>
    <w:p>
      <w:pPr>
        <w:spacing w:line="360" w:lineRule="auto"/>
        <w:jc w:val="right"/>
        <w:rPr>
          <w:rFonts w:hint="eastAsia" w:ascii="宋体" w:hAnsi="宋体" w:eastAsia="宋体" w:cs="宋体"/>
          <w:color w:val="auto"/>
          <w:sz w:val="21"/>
          <w:szCs w:val="21"/>
          <w:highlight w:val="none"/>
        </w:rPr>
      </w:pPr>
    </w:p>
    <w:p>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spacing w:line="360" w:lineRule="auto"/>
        <w:ind w:firstLine="2310"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（单位负责人）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pPr>
        <w:spacing w:line="360" w:lineRule="auto"/>
        <w:ind w:firstLine="3780" w:firstLineChars="18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b/>
          <w:color w:val="auto"/>
          <w:kern w:val="2"/>
          <w:sz w:val="28"/>
          <w:highlight w:val="none"/>
          <w:lang w:val="en-US" w:eastAsia="zh-CN" w:bidi="ar-SA"/>
        </w:rPr>
      </w:pPr>
      <w:r>
        <w:rPr>
          <w:rFonts w:hint="eastAsia" w:ascii="宋体" w:hAnsi="宋体" w:eastAsia="宋体" w:cs="宋体"/>
          <w:b/>
          <w:color w:val="auto"/>
          <w:kern w:val="2"/>
          <w:sz w:val="28"/>
          <w:highlight w:val="none"/>
          <w:lang w:val="en-US" w:eastAsia="zh-CN" w:bidi="ar-SA"/>
        </w:rPr>
        <w:br w:type="page"/>
      </w:r>
    </w:p>
    <w:p>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分项报价表</w:t>
      </w:r>
      <w:r>
        <w:rPr>
          <w:rFonts w:hint="eastAsia" w:ascii="宋体" w:hAnsi="宋体" w:cs="宋体"/>
          <w:b/>
          <w:bCs/>
          <w:color w:val="auto"/>
          <w:kern w:val="2"/>
          <w:sz w:val="24"/>
          <w:szCs w:val="24"/>
          <w:highlight w:val="none"/>
          <w:lang w:val="en-US" w:eastAsia="zh-CN" w:bidi="ar-SA"/>
        </w:rPr>
        <w:t>（第二部分）</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3146"/>
        <w:gridCol w:w="2141"/>
        <w:gridCol w:w="2937"/>
        <w:gridCol w:w="293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55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1107" w:type="pct"/>
            <w:noWrap w:val="0"/>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项目</w:t>
            </w:r>
            <w:r>
              <w:rPr>
                <w:rFonts w:hint="eastAsia" w:ascii="宋体" w:hAnsi="宋体" w:cs="宋体"/>
                <w:b/>
                <w:bCs/>
                <w:color w:val="auto"/>
                <w:sz w:val="21"/>
                <w:szCs w:val="21"/>
                <w:highlight w:val="none"/>
              </w:rPr>
              <w:t>名称</w:t>
            </w:r>
          </w:p>
        </w:tc>
        <w:tc>
          <w:tcPr>
            <w:tcW w:w="753"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数量</w:t>
            </w:r>
          </w:p>
        </w:tc>
        <w:tc>
          <w:tcPr>
            <w:tcW w:w="1033"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单价（元）</w:t>
            </w:r>
          </w:p>
        </w:tc>
        <w:tc>
          <w:tcPr>
            <w:tcW w:w="1033"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小计</w:t>
            </w:r>
            <w:r>
              <w:rPr>
                <w:rFonts w:hint="eastAsia" w:ascii="宋体" w:hAnsi="宋体" w:cs="宋体"/>
                <w:b/>
                <w:bCs/>
                <w:color w:val="auto"/>
                <w:sz w:val="21"/>
                <w:szCs w:val="21"/>
                <w:highlight w:val="none"/>
              </w:rPr>
              <w:t>（元）</w:t>
            </w:r>
          </w:p>
        </w:tc>
        <w:tc>
          <w:tcPr>
            <w:tcW w:w="52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550"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107"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753"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2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50"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07"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753"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2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50"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07"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753"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2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50"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07"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753"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2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550"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107"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753"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2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550"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107"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753"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2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50"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107"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753"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033"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522" w:type="pct"/>
            <w:noWrap w:val="0"/>
            <w:vAlign w:val="top"/>
          </w:tcPr>
          <w:p>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550"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07" w:type="pct"/>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753"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33"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33"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522"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55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合计</w:t>
            </w:r>
          </w:p>
        </w:tc>
        <w:tc>
          <w:tcPr>
            <w:tcW w:w="4449" w:type="pct"/>
            <w:gridSpan w:val="5"/>
            <w:noWrap w:val="0"/>
            <w:vAlign w:val="center"/>
          </w:tcPr>
          <w:p>
            <w:pPr>
              <w:keepNext w:val="0"/>
              <w:keepLines w:val="0"/>
              <w:suppressLineNumbers w:val="0"/>
              <w:spacing w:before="0" w:beforeAutospacing="0" w:after="0" w:afterAutospacing="0"/>
              <w:ind w:left="0" w:right="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大写：</w:t>
            </w:r>
          </w:p>
          <w:p>
            <w:pPr>
              <w:keepNext w:val="0"/>
              <w:keepLines w:val="0"/>
              <w:suppressLineNumbers w:val="0"/>
              <w:spacing w:before="0" w:beforeAutospacing="0" w:after="0" w:afterAutospacing="0"/>
              <w:ind w:left="0" w:right="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50" w:type="pct"/>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c>
          <w:tcPr>
            <w:tcW w:w="4449" w:type="pct"/>
            <w:gridSpan w:val="5"/>
            <w:noWrap w:val="0"/>
            <w:vAlign w:val="center"/>
          </w:tcPr>
          <w:p>
            <w:pPr>
              <w:keepNext w:val="0"/>
              <w:keepLines w:val="0"/>
              <w:suppressLineNumbers w:val="0"/>
              <w:spacing w:before="0" w:beforeAutospacing="0" w:after="0" w:afterAutospacing="0"/>
              <w:ind w:left="0" w:right="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保留小数点后两位。</w:t>
            </w:r>
          </w:p>
        </w:tc>
      </w:tr>
    </w:tbl>
    <w:p>
      <w:pPr>
        <w:spacing w:line="360" w:lineRule="auto"/>
        <w:rPr>
          <w:rFonts w:hint="eastAsia"/>
          <w:color w:val="auto"/>
          <w:sz w:val="21"/>
          <w:szCs w:val="21"/>
          <w:highlight w:val="none"/>
        </w:rPr>
      </w:pPr>
      <w:r>
        <w:rPr>
          <w:rFonts w:hint="eastAsia"/>
          <w:color w:val="auto"/>
          <w:sz w:val="21"/>
          <w:szCs w:val="21"/>
          <w:highlight w:val="none"/>
        </w:rPr>
        <w:t>备注：1</w:t>
      </w:r>
      <w:r>
        <w:rPr>
          <w:rFonts w:hint="eastAsia"/>
          <w:color w:val="auto"/>
          <w:sz w:val="21"/>
          <w:szCs w:val="21"/>
          <w:highlight w:val="none"/>
          <w:lang w:val="en-US" w:eastAsia="zh-CN"/>
        </w:rPr>
        <w:t>.本表中</w:t>
      </w:r>
      <w:r>
        <w:rPr>
          <w:rFonts w:hint="eastAsia"/>
          <w:color w:val="auto"/>
          <w:sz w:val="21"/>
          <w:szCs w:val="21"/>
          <w:highlight w:val="none"/>
        </w:rPr>
        <w:t>“响应总报价”金额应与“第一次谈判报价表”中的“</w:t>
      </w:r>
      <w:r>
        <w:rPr>
          <w:rFonts w:hint="eastAsia" w:ascii="宋体" w:hAnsi="宋体" w:eastAsia="宋体" w:cs="宋体"/>
          <w:color w:val="auto"/>
          <w:sz w:val="21"/>
          <w:szCs w:val="21"/>
          <w:highlight w:val="none"/>
        </w:rPr>
        <w:t>第一次</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报价</w:t>
      </w:r>
      <w:r>
        <w:rPr>
          <w:rFonts w:hint="eastAsia"/>
          <w:color w:val="auto"/>
          <w:sz w:val="21"/>
          <w:szCs w:val="21"/>
          <w:highlight w:val="none"/>
        </w:rPr>
        <w:t xml:space="preserve">”一致； </w:t>
      </w:r>
    </w:p>
    <w:p>
      <w:pPr>
        <w:spacing w:line="360" w:lineRule="auto"/>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如果按单价计算的结果与总价不一致，以单价为准修正总价。</w:t>
      </w:r>
    </w:p>
    <w:p>
      <w:pPr>
        <w:spacing w:line="360" w:lineRule="auto"/>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如果不提供详细分项报价将视为没有实质性响应</w:t>
      </w:r>
      <w:r>
        <w:rPr>
          <w:rFonts w:hint="eastAsia"/>
          <w:color w:val="auto"/>
          <w:sz w:val="21"/>
          <w:szCs w:val="21"/>
          <w:highlight w:val="none"/>
          <w:lang w:eastAsia="zh-CN"/>
        </w:rPr>
        <w:t>竞争性谈判文件</w:t>
      </w:r>
      <w:r>
        <w:rPr>
          <w:rFonts w:hint="eastAsia"/>
          <w:color w:val="auto"/>
          <w:sz w:val="21"/>
          <w:szCs w:val="21"/>
          <w:highlight w:val="none"/>
        </w:rPr>
        <w:t>。</w:t>
      </w:r>
    </w:p>
    <w:p>
      <w:pPr>
        <w:spacing w:line="360" w:lineRule="auto"/>
        <w:rPr>
          <w:rFonts w:hint="eastAsia"/>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供应商可适当调整该表格式</w:t>
      </w:r>
      <w:r>
        <w:rPr>
          <w:rFonts w:hint="eastAsia"/>
          <w:color w:val="auto"/>
          <w:sz w:val="21"/>
          <w:szCs w:val="21"/>
          <w:highlight w:val="none"/>
          <w:lang w:eastAsia="zh-CN"/>
        </w:rPr>
        <w:t>，</w:t>
      </w:r>
      <w:r>
        <w:rPr>
          <w:rFonts w:hint="eastAsia"/>
          <w:color w:val="auto"/>
          <w:sz w:val="21"/>
          <w:szCs w:val="21"/>
          <w:highlight w:val="none"/>
          <w:lang w:val="en-US" w:eastAsia="zh-CN"/>
        </w:rPr>
        <w:t>可增行删行</w:t>
      </w:r>
      <w:r>
        <w:rPr>
          <w:rFonts w:hint="eastAsia"/>
          <w:color w:val="auto"/>
          <w:sz w:val="21"/>
          <w:szCs w:val="21"/>
          <w:highlight w:val="none"/>
        </w:rPr>
        <w:t>，但不得减少信息内容。</w:t>
      </w:r>
    </w:p>
    <w:p>
      <w:pPr>
        <w:spacing w:line="360" w:lineRule="auto"/>
        <w:jc w:val="right"/>
        <w:rPr>
          <w:rFonts w:hint="eastAsia" w:ascii="宋体" w:hAnsi="宋体" w:eastAsia="宋体" w:cs="宋体"/>
          <w:color w:val="auto"/>
          <w:sz w:val="21"/>
          <w:szCs w:val="21"/>
          <w:highlight w:val="none"/>
        </w:rPr>
      </w:pPr>
    </w:p>
    <w:p>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spacing w:line="360" w:lineRule="auto"/>
        <w:ind w:firstLine="2310"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（单位负责人）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pPr>
        <w:spacing w:line="360" w:lineRule="auto"/>
        <w:ind w:firstLine="3780" w:firstLineChars="18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240" w:lineRule="auto"/>
        <w:jc w:val="both"/>
        <w:outlineLvl w:val="9"/>
        <w:rPr>
          <w:rFonts w:hint="default" w:ascii="宋体" w:hAnsi="宋体" w:eastAsia="宋体" w:cs="宋体"/>
          <w:b/>
          <w:color w:val="auto"/>
          <w:kern w:val="2"/>
          <w:sz w:val="28"/>
          <w:highlight w:val="none"/>
          <w:lang w:val="en-US" w:eastAsia="zh-CN" w:bidi="ar-SA"/>
        </w:rPr>
      </w:pPr>
    </w:p>
    <w:p>
      <w:pPr>
        <w:spacing w:line="240" w:lineRule="auto"/>
        <w:jc w:val="both"/>
        <w:outlineLvl w:val="9"/>
        <w:rPr>
          <w:rFonts w:hint="eastAsia" w:ascii="宋体" w:hAnsi="宋体" w:eastAsia="宋体" w:cs="宋体"/>
          <w:b/>
          <w:color w:val="auto"/>
          <w:kern w:val="2"/>
          <w:sz w:val="28"/>
          <w:highlight w:val="none"/>
          <w:lang w:val="en-US" w:eastAsia="zh-CN" w:bidi="ar-SA"/>
        </w:rPr>
      </w:pPr>
    </w:p>
    <w:p>
      <w:pPr>
        <w:spacing w:line="240" w:lineRule="auto"/>
        <w:jc w:val="right"/>
        <w:outlineLvl w:val="9"/>
        <w:rPr>
          <w:rFonts w:hint="eastAsia" w:ascii="宋体" w:hAnsi="宋体" w:eastAsia="宋体" w:cs="宋体"/>
          <w:b/>
          <w:color w:val="auto"/>
          <w:kern w:val="2"/>
          <w:sz w:val="28"/>
          <w:highlight w:val="none"/>
          <w:lang w:val="en-US" w:eastAsia="zh-CN" w:bidi="ar-SA"/>
        </w:rPr>
        <w:sectPr>
          <w:pgSz w:w="16838" w:h="11905" w:orient="landscape"/>
          <w:pgMar w:top="1417" w:right="1417" w:bottom="1417" w:left="1417" w:header="850" w:footer="992" w:gutter="0"/>
          <w:pgNumType w:fmt="decimal"/>
          <w:cols w:space="0" w:num="1"/>
          <w:docGrid w:linePitch="312" w:charSpace="0"/>
        </w:sectPr>
      </w:pPr>
    </w:p>
    <w:p>
      <w:pPr>
        <w:spacing w:line="360" w:lineRule="auto"/>
        <w:jc w:val="center"/>
        <w:outlineLvl w:val="1"/>
        <w:rPr>
          <w:rFonts w:hint="default" w:ascii="宋体" w:hAnsi="宋体" w:eastAsia="宋体" w:cs="宋体"/>
          <w:b/>
          <w:color w:val="auto"/>
          <w:kern w:val="2"/>
          <w:sz w:val="32"/>
          <w:szCs w:val="32"/>
          <w:highlight w:val="none"/>
          <w:lang w:val="en-US" w:eastAsia="zh-CN" w:bidi="ar-SA"/>
        </w:rPr>
      </w:pPr>
      <w:bookmarkStart w:id="60" w:name="_Toc24141"/>
      <w:r>
        <w:rPr>
          <w:rFonts w:hint="eastAsia" w:ascii="宋体" w:hAnsi="宋体" w:eastAsia="宋体" w:cs="宋体"/>
          <w:b/>
          <w:color w:val="auto"/>
          <w:kern w:val="2"/>
          <w:sz w:val="32"/>
          <w:szCs w:val="32"/>
          <w:highlight w:val="none"/>
          <w:lang w:val="en-US" w:eastAsia="zh-CN" w:bidi="ar-SA"/>
        </w:rPr>
        <w:t>二、商务及技术偏差表</w:t>
      </w:r>
      <w:bookmarkEnd w:id="60"/>
    </w:p>
    <w:p>
      <w:pPr>
        <w:spacing w:line="360" w:lineRule="auto"/>
        <w:jc w:val="center"/>
        <w:outlineLvl w:val="2"/>
        <w:rPr>
          <w:rFonts w:hint="eastAsia" w:ascii="宋体" w:hAnsi="宋体" w:cs="宋体"/>
          <w:b/>
          <w:color w:val="auto"/>
          <w:spacing w:val="2"/>
          <w:sz w:val="32"/>
          <w:szCs w:val="22"/>
          <w:highlight w:val="none"/>
        </w:rPr>
      </w:pPr>
      <w:r>
        <w:rPr>
          <w:rFonts w:hint="eastAsia" w:ascii="宋体" w:hAnsi="宋体" w:cs="宋体"/>
          <w:b/>
          <w:color w:val="auto"/>
          <w:spacing w:val="2"/>
          <w:sz w:val="32"/>
          <w:szCs w:val="22"/>
          <w:highlight w:val="none"/>
          <w:lang w:val="en-US" w:eastAsia="zh-CN"/>
        </w:rPr>
        <w:t>2.1</w:t>
      </w:r>
      <w:r>
        <w:rPr>
          <w:rFonts w:hint="eastAsia" w:ascii="宋体" w:hAnsi="宋体" w:cs="宋体"/>
          <w:b/>
          <w:color w:val="auto"/>
          <w:spacing w:val="2"/>
          <w:sz w:val="32"/>
          <w:szCs w:val="22"/>
          <w:highlight w:val="none"/>
        </w:rPr>
        <w:t>技术偏差表</w:t>
      </w:r>
    </w:p>
    <w:p>
      <w:pPr>
        <w:spacing w:line="329" w:lineRule="exact"/>
        <w:ind w:left="400"/>
        <w:jc w:val="left"/>
        <w:rPr>
          <w:rFonts w:hint="eastAsia" w:ascii="宋体" w:hAnsi="宋体" w:cs="宋体"/>
          <w:color w:val="auto"/>
          <w:sz w:val="32"/>
          <w:szCs w:val="22"/>
          <w:highlight w:val="none"/>
        </w:rPr>
      </w:pPr>
    </w:p>
    <w:tbl>
      <w:tblPr>
        <w:tblStyle w:val="30"/>
        <w:tblW w:w="50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3"/>
        <w:gridCol w:w="2371"/>
        <w:gridCol w:w="3164"/>
        <w:gridCol w:w="1753"/>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46" w:type="pct"/>
            <w:shd w:val="clear" w:color="auto" w:fill="D7D7D7"/>
            <w:noWrap w:val="0"/>
            <w:vAlign w:val="center"/>
          </w:tcPr>
          <w:p>
            <w:pPr>
              <w:pStyle w:val="47"/>
              <w:jc w:val="center"/>
              <w:rPr>
                <w:rFonts w:hint="eastAsia"/>
                <w:b/>
                <w:color w:val="auto"/>
                <w:sz w:val="24"/>
                <w:highlight w:val="none"/>
              </w:rPr>
            </w:pPr>
            <w:r>
              <w:rPr>
                <w:rFonts w:hint="eastAsia"/>
                <w:b/>
                <w:color w:val="auto"/>
                <w:sz w:val="24"/>
                <w:highlight w:val="none"/>
              </w:rPr>
              <w:t>序号</w:t>
            </w:r>
          </w:p>
        </w:tc>
        <w:tc>
          <w:tcPr>
            <w:tcW w:w="1304" w:type="pct"/>
            <w:shd w:val="clear" w:color="auto" w:fill="D7D7D7"/>
            <w:noWrap w:val="0"/>
            <w:vAlign w:val="center"/>
          </w:tcPr>
          <w:p>
            <w:pPr>
              <w:pStyle w:val="47"/>
              <w:jc w:val="center"/>
              <w:rPr>
                <w:rFonts w:hint="eastAsia"/>
                <w:b/>
                <w:color w:val="auto"/>
                <w:sz w:val="24"/>
                <w:highlight w:val="none"/>
              </w:rPr>
            </w:pPr>
            <w:r>
              <w:rPr>
                <w:rFonts w:hint="eastAsia"/>
                <w:b/>
                <w:color w:val="auto"/>
                <w:sz w:val="24"/>
                <w:highlight w:val="none"/>
              </w:rPr>
              <w:t>竞争性</w:t>
            </w:r>
            <w:r>
              <w:rPr>
                <w:rFonts w:hint="eastAsia"/>
                <w:b/>
                <w:color w:val="auto"/>
                <w:sz w:val="24"/>
                <w:highlight w:val="none"/>
                <w:lang w:eastAsia="zh-CN"/>
              </w:rPr>
              <w:t>谈判</w:t>
            </w:r>
            <w:r>
              <w:rPr>
                <w:rFonts w:hint="eastAsia"/>
                <w:b/>
                <w:color w:val="auto"/>
                <w:sz w:val="24"/>
                <w:highlight w:val="none"/>
              </w:rPr>
              <w:t>文件要求</w:t>
            </w:r>
          </w:p>
        </w:tc>
        <w:tc>
          <w:tcPr>
            <w:tcW w:w="1740" w:type="pct"/>
            <w:shd w:val="clear" w:color="auto" w:fill="D7D7D7"/>
            <w:noWrap w:val="0"/>
            <w:vAlign w:val="center"/>
          </w:tcPr>
          <w:p>
            <w:pPr>
              <w:pStyle w:val="47"/>
              <w:jc w:val="center"/>
              <w:rPr>
                <w:rFonts w:hint="eastAsia"/>
                <w:b/>
                <w:color w:val="auto"/>
                <w:sz w:val="24"/>
                <w:highlight w:val="none"/>
              </w:rPr>
            </w:pPr>
            <w:r>
              <w:rPr>
                <w:rFonts w:hint="eastAsia"/>
                <w:b/>
                <w:color w:val="auto"/>
                <w:sz w:val="24"/>
                <w:highlight w:val="none"/>
                <w:lang w:eastAsia="zh-CN"/>
              </w:rPr>
              <w:t>谈判</w:t>
            </w:r>
            <w:r>
              <w:rPr>
                <w:rFonts w:hint="eastAsia"/>
                <w:b/>
                <w:color w:val="auto"/>
                <w:sz w:val="24"/>
                <w:highlight w:val="none"/>
              </w:rPr>
              <w:t>响应文件响应内容</w:t>
            </w:r>
          </w:p>
        </w:tc>
        <w:tc>
          <w:tcPr>
            <w:tcW w:w="964" w:type="pct"/>
            <w:shd w:val="clear" w:color="auto" w:fill="D7D7D7"/>
            <w:noWrap w:val="0"/>
            <w:vAlign w:val="center"/>
          </w:tcPr>
          <w:p>
            <w:pPr>
              <w:pStyle w:val="47"/>
              <w:jc w:val="center"/>
              <w:rPr>
                <w:rFonts w:hint="eastAsia"/>
                <w:b/>
                <w:color w:val="auto"/>
                <w:sz w:val="24"/>
                <w:highlight w:val="none"/>
              </w:rPr>
            </w:pPr>
            <w:r>
              <w:rPr>
                <w:rFonts w:hint="eastAsia"/>
                <w:b/>
                <w:color w:val="auto"/>
                <w:sz w:val="24"/>
                <w:highlight w:val="none"/>
              </w:rPr>
              <w:t>偏离程度</w:t>
            </w:r>
          </w:p>
        </w:tc>
        <w:tc>
          <w:tcPr>
            <w:tcW w:w="443" w:type="pct"/>
            <w:tcBorders>
              <w:left w:val="single" w:color="auto" w:sz="4" w:space="0"/>
            </w:tcBorders>
            <w:shd w:val="clear" w:color="auto" w:fill="D7D7D7"/>
            <w:noWrap w:val="0"/>
            <w:vAlign w:val="center"/>
          </w:tcPr>
          <w:p>
            <w:pPr>
              <w:pStyle w:val="47"/>
              <w:jc w:val="center"/>
              <w:rPr>
                <w:rFonts w:hint="eastAsia" w:eastAsia="宋体"/>
                <w:b/>
                <w:color w:val="auto"/>
                <w:sz w:val="24"/>
                <w:highlight w:val="none"/>
                <w:lang w:eastAsia="zh-CN"/>
              </w:rPr>
            </w:pPr>
            <w:r>
              <w:rPr>
                <w:rFonts w:hint="eastAsia"/>
                <w:b/>
                <w:color w:val="auto"/>
                <w:sz w:val="24"/>
                <w:highlight w:val="none"/>
                <w:lang w:val="en-US" w:eastAsia="zh-CN"/>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46" w:type="pct"/>
            <w:noWrap w:val="0"/>
            <w:vAlign w:val="top"/>
          </w:tcPr>
          <w:p>
            <w:pPr>
              <w:pStyle w:val="47"/>
              <w:spacing w:before="177"/>
              <w:ind w:left="107"/>
              <w:rPr>
                <w:rFonts w:hint="eastAsia"/>
                <w:color w:val="auto"/>
                <w:sz w:val="24"/>
                <w:highlight w:val="none"/>
              </w:rPr>
            </w:pPr>
            <w:r>
              <w:rPr>
                <w:rFonts w:hint="eastAsia"/>
                <w:color w:val="auto"/>
                <w:sz w:val="24"/>
                <w:highlight w:val="none"/>
              </w:rPr>
              <w:t>1</w:t>
            </w:r>
          </w:p>
        </w:tc>
        <w:tc>
          <w:tcPr>
            <w:tcW w:w="1304" w:type="pct"/>
            <w:noWrap w:val="0"/>
            <w:vAlign w:val="top"/>
          </w:tcPr>
          <w:p>
            <w:pPr>
              <w:pStyle w:val="47"/>
              <w:rPr>
                <w:rFonts w:hint="eastAsia"/>
                <w:color w:val="auto"/>
                <w:highlight w:val="none"/>
              </w:rPr>
            </w:pPr>
          </w:p>
        </w:tc>
        <w:tc>
          <w:tcPr>
            <w:tcW w:w="1740"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3" w:type="pct"/>
            <w:tcBorders>
              <w:left w:val="single" w:color="auto" w:sz="4" w:space="0"/>
            </w:tcBorders>
            <w:noWrap w:val="0"/>
            <w:vAlign w:val="top"/>
          </w:tcPr>
          <w:p>
            <w:pPr>
              <w:pStyle w:val="47"/>
              <w:rPr>
                <w:rFonts w:hint="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46" w:type="pct"/>
            <w:noWrap w:val="0"/>
            <w:vAlign w:val="top"/>
          </w:tcPr>
          <w:p>
            <w:pPr>
              <w:pStyle w:val="47"/>
              <w:spacing w:before="175"/>
              <w:ind w:left="107"/>
              <w:rPr>
                <w:rFonts w:hint="eastAsia"/>
                <w:color w:val="auto"/>
                <w:sz w:val="24"/>
                <w:highlight w:val="none"/>
              </w:rPr>
            </w:pPr>
            <w:r>
              <w:rPr>
                <w:rFonts w:hint="eastAsia"/>
                <w:color w:val="auto"/>
                <w:sz w:val="24"/>
                <w:highlight w:val="none"/>
              </w:rPr>
              <w:t>2</w:t>
            </w:r>
          </w:p>
        </w:tc>
        <w:tc>
          <w:tcPr>
            <w:tcW w:w="1304" w:type="pct"/>
            <w:noWrap w:val="0"/>
            <w:vAlign w:val="top"/>
          </w:tcPr>
          <w:p>
            <w:pPr>
              <w:pStyle w:val="47"/>
              <w:rPr>
                <w:rFonts w:hint="eastAsia"/>
                <w:color w:val="auto"/>
                <w:highlight w:val="none"/>
              </w:rPr>
            </w:pPr>
          </w:p>
        </w:tc>
        <w:tc>
          <w:tcPr>
            <w:tcW w:w="1740"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3" w:type="pct"/>
            <w:tcBorders>
              <w:left w:val="single" w:color="auto" w:sz="4" w:space="0"/>
            </w:tcBorders>
            <w:noWrap w:val="0"/>
            <w:vAlign w:val="top"/>
          </w:tcPr>
          <w:p>
            <w:pPr>
              <w:pStyle w:val="47"/>
              <w:rPr>
                <w:rFonts w:hint="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46" w:type="pct"/>
            <w:noWrap w:val="0"/>
            <w:vAlign w:val="top"/>
          </w:tcPr>
          <w:p>
            <w:pPr>
              <w:pStyle w:val="47"/>
              <w:spacing w:before="177"/>
              <w:ind w:left="107"/>
              <w:rPr>
                <w:rFonts w:hint="eastAsia"/>
                <w:color w:val="auto"/>
                <w:sz w:val="24"/>
                <w:highlight w:val="none"/>
              </w:rPr>
            </w:pPr>
            <w:r>
              <w:rPr>
                <w:rFonts w:hint="eastAsia"/>
                <w:color w:val="auto"/>
                <w:sz w:val="24"/>
                <w:highlight w:val="none"/>
              </w:rPr>
              <w:t>3</w:t>
            </w:r>
          </w:p>
        </w:tc>
        <w:tc>
          <w:tcPr>
            <w:tcW w:w="1304" w:type="pct"/>
            <w:noWrap w:val="0"/>
            <w:vAlign w:val="top"/>
          </w:tcPr>
          <w:p>
            <w:pPr>
              <w:pStyle w:val="47"/>
              <w:rPr>
                <w:rFonts w:hint="eastAsia"/>
                <w:color w:val="auto"/>
                <w:highlight w:val="none"/>
              </w:rPr>
            </w:pPr>
          </w:p>
        </w:tc>
        <w:tc>
          <w:tcPr>
            <w:tcW w:w="1740"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3" w:type="pct"/>
            <w:tcBorders>
              <w:left w:val="single" w:color="auto" w:sz="4" w:space="0"/>
            </w:tcBorders>
            <w:noWrap w:val="0"/>
            <w:vAlign w:val="top"/>
          </w:tcPr>
          <w:p>
            <w:pPr>
              <w:pStyle w:val="47"/>
              <w:rPr>
                <w:rFonts w:hint="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46" w:type="pct"/>
            <w:noWrap w:val="0"/>
            <w:vAlign w:val="top"/>
          </w:tcPr>
          <w:p>
            <w:pPr>
              <w:pStyle w:val="47"/>
              <w:spacing w:before="176"/>
              <w:ind w:left="107"/>
              <w:rPr>
                <w:rFonts w:hint="eastAsia"/>
                <w:color w:val="auto"/>
                <w:sz w:val="24"/>
                <w:highlight w:val="none"/>
              </w:rPr>
            </w:pPr>
            <w:r>
              <w:rPr>
                <w:rFonts w:hint="eastAsia"/>
                <w:color w:val="auto"/>
                <w:sz w:val="24"/>
                <w:highlight w:val="none"/>
              </w:rPr>
              <w:t>4</w:t>
            </w:r>
          </w:p>
        </w:tc>
        <w:tc>
          <w:tcPr>
            <w:tcW w:w="1304" w:type="pct"/>
            <w:noWrap w:val="0"/>
            <w:vAlign w:val="top"/>
          </w:tcPr>
          <w:p>
            <w:pPr>
              <w:pStyle w:val="47"/>
              <w:rPr>
                <w:rFonts w:hint="eastAsia"/>
                <w:color w:val="auto"/>
                <w:highlight w:val="none"/>
              </w:rPr>
            </w:pPr>
          </w:p>
        </w:tc>
        <w:tc>
          <w:tcPr>
            <w:tcW w:w="1740"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3" w:type="pct"/>
            <w:tcBorders>
              <w:left w:val="single" w:color="auto" w:sz="4" w:space="0"/>
            </w:tcBorders>
            <w:noWrap w:val="0"/>
            <w:vAlign w:val="top"/>
          </w:tcPr>
          <w:p>
            <w:pPr>
              <w:pStyle w:val="47"/>
              <w:rPr>
                <w:rFonts w:hint="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46" w:type="pct"/>
            <w:noWrap w:val="0"/>
            <w:vAlign w:val="top"/>
          </w:tcPr>
          <w:p>
            <w:pPr>
              <w:pStyle w:val="47"/>
              <w:spacing w:before="175"/>
              <w:ind w:left="107"/>
              <w:rPr>
                <w:rFonts w:hint="eastAsia"/>
                <w:color w:val="auto"/>
                <w:sz w:val="24"/>
                <w:highlight w:val="none"/>
              </w:rPr>
            </w:pPr>
            <w:r>
              <w:rPr>
                <w:rFonts w:hint="eastAsia"/>
                <w:color w:val="auto"/>
                <w:sz w:val="24"/>
                <w:highlight w:val="none"/>
              </w:rPr>
              <w:t>5</w:t>
            </w:r>
          </w:p>
        </w:tc>
        <w:tc>
          <w:tcPr>
            <w:tcW w:w="1304" w:type="pct"/>
            <w:noWrap w:val="0"/>
            <w:vAlign w:val="top"/>
          </w:tcPr>
          <w:p>
            <w:pPr>
              <w:pStyle w:val="47"/>
              <w:rPr>
                <w:rFonts w:hint="eastAsia"/>
                <w:color w:val="auto"/>
                <w:highlight w:val="none"/>
              </w:rPr>
            </w:pPr>
          </w:p>
        </w:tc>
        <w:tc>
          <w:tcPr>
            <w:tcW w:w="1740"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3" w:type="pct"/>
            <w:tcBorders>
              <w:left w:val="single" w:color="auto" w:sz="4" w:space="0"/>
            </w:tcBorders>
            <w:noWrap w:val="0"/>
            <w:vAlign w:val="top"/>
          </w:tcPr>
          <w:p>
            <w:pPr>
              <w:pStyle w:val="47"/>
              <w:rPr>
                <w:rFonts w:hint="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46" w:type="pct"/>
            <w:noWrap w:val="0"/>
            <w:vAlign w:val="top"/>
          </w:tcPr>
          <w:p>
            <w:pPr>
              <w:pStyle w:val="47"/>
              <w:spacing w:before="176"/>
              <w:ind w:left="107"/>
              <w:rPr>
                <w:rFonts w:hint="eastAsia"/>
                <w:color w:val="auto"/>
                <w:sz w:val="24"/>
                <w:highlight w:val="none"/>
              </w:rPr>
            </w:pPr>
            <w:r>
              <w:rPr>
                <w:rFonts w:hint="eastAsia"/>
                <w:color w:val="auto"/>
                <w:sz w:val="24"/>
                <w:highlight w:val="none"/>
              </w:rPr>
              <w:t>6</w:t>
            </w:r>
          </w:p>
        </w:tc>
        <w:tc>
          <w:tcPr>
            <w:tcW w:w="1304" w:type="pct"/>
            <w:noWrap w:val="0"/>
            <w:vAlign w:val="top"/>
          </w:tcPr>
          <w:p>
            <w:pPr>
              <w:pStyle w:val="47"/>
              <w:rPr>
                <w:rFonts w:hint="eastAsia"/>
                <w:color w:val="auto"/>
                <w:highlight w:val="none"/>
              </w:rPr>
            </w:pPr>
          </w:p>
        </w:tc>
        <w:tc>
          <w:tcPr>
            <w:tcW w:w="1740"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3" w:type="pct"/>
            <w:tcBorders>
              <w:left w:val="single" w:color="auto" w:sz="4" w:space="0"/>
            </w:tcBorders>
            <w:noWrap w:val="0"/>
            <w:vAlign w:val="top"/>
          </w:tcPr>
          <w:p>
            <w:pPr>
              <w:pStyle w:val="47"/>
              <w:rPr>
                <w:rFonts w:hint="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46" w:type="pct"/>
            <w:noWrap w:val="0"/>
            <w:vAlign w:val="top"/>
          </w:tcPr>
          <w:p>
            <w:pPr>
              <w:pStyle w:val="47"/>
              <w:spacing w:before="175"/>
              <w:ind w:left="107"/>
              <w:rPr>
                <w:rFonts w:hint="eastAsia"/>
                <w:color w:val="auto"/>
                <w:sz w:val="24"/>
                <w:highlight w:val="none"/>
              </w:rPr>
            </w:pPr>
            <w:r>
              <w:rPr>
                <w:rFonts w:hint="eastAsia"/>
                <w:color w:val="auto"/>
                <w:sz w:val="24"/>
                <w:highlight w:val="none"/>
              </w:rPr>
              <w:t>……</w:t>
            </w:r>
          </w:p>
        </w:tc>
        <w:tc>
          <w:tcPr>
            <w:tcW w:w="1304" w:type="pct"/>
            <w:noWrap w:val="0"/>
            <w:vAlign w:val="top"/>
          </w:tcPr>
          <w:p>
            <w:pPr>
              <w:pStyle w:val="47"/>
              <w:rPr>
                <w:rFonts w:hint="eastAsia"/>
                <w:color w:val="auto"/>
                <w:highlight w:val="none"/>
              </w:rPr>
            </w:pPr>
          </w:p>
        </w:tc>
        <w:tc>
          <w:tcPr>
            <w:tcW w:w="1740"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3" w:type="pct"/>
            <w:tcBorders>
              <w:left w:val="single" w:color="auto" w:sz="4" w:space="0"/>
            </w:tcBorders>
            <w:noWrap w:val="0"/>
            <w:vAlign w:val="top"/>
          </w:tcPr>
          <w:p>
            <w:pPr>
              <w:pStyle w:val="47"/>
              <w:rPr>
                <w:rFonts w:hint="eastAsia"/>
                <w:b/>
                <w:color w:val="auto"/>
                <w:sz w:val="24"/>
                <w:highlight w:val="none"/>
              </w:rPr>
            </w:pPr>
          </w:p>
        </w:tc>
      </w:tr>
    </w:tbl>
    <w:p>
      <w:pPr>
        <w:pStyle w:val="11"/>
        <w:spacing w:before="123" w:beforeLines="39" w:beforeAutospacing="0" w:line="360" w:lineRule="auto"/>
        <w:rPr>
          <w:rFonts w:hint="eastAsia" w:ascii="宋体" w:hAnsi="宋体" w:cs="宋体"/>
          <w:color w:val="auto"/>
          <w:highlight w:val="none"/>
        </w:rPr>
      </w:pPr>
      <w:r>
        <w:rPr>
          <w:rFonts w:hint="eastAsia" w:ascii="宋体" w:hAnsi="宋体" w:cs="宋体"/>
          <w:color w:val="auto"/>
          <w:highlight w:val="none"/>
        </w:rPr>
        <w:t>备注：填写此表时以第</w:t>
      </w:r>
      <w:r>
        <w:rPr>
          <w:rFonts w:hint="eastAsia" w:ascii="宋体" w:hAnsi="宋体" w:cs="宋体"/>
          <w:color w:val="auto"/>
          <w:highlight w:val="none"/>
          <w:lang w:val="en-US" w:eastAsia="zh-CN"/>
        </w:rPr>
        <w:t>五</w:t>
      </w:r>
      <w:r>
        <w:rPr>
          <w:rFonts w:hint="eastAsia" w:ascii="宋体" w:hAnsi="宋体" w:cs="宋体"/>
          <w:color w:val="auto"/>
          <w:highlight w:val="none"/>
        </w:rPr>
        <w:t>章“采购内容及要求”</w:t>
      </w:r>
      <w:r>
        <w:rPr>
          <w:rFonts w:hint="eastAsia" w:ascii="宋体" w:hAnsi="宋体" w:cs="宋体"/>
          <w:color w:val="auto"/>
          <w:highlight w:val="none"/>
          <w:lang w:eastAsia="zh-CN"/>
        </w:rPr>
        <w:t>的</w:t>
      </w:r>
      <w:r>
        <w:rPr>
          <w:rFonts w:hint="eastAsia" w:ascii="宋体" w:hAnsi="宋体" w:cs="宋体"/>
          <w:color w:val="auto"/>
          <w:highlight w:val="none"/>
          <w:lang w:val="en-US" w:eastAsia="zh-CN"/>
        </w:rPr>
        <w:t>技术要求中</w:t>
      </w:r>
      <w:r>
        <w:rPr>
          <w:rFonts w:hint="eastAsia" w:ascii="宋体" w:hAnsi="宋体" w:cs="宋体"/>
          <w:color w:val="auto"/>
          <w:highlight w:val="none"/>
        </w:rPr>
        <w:t>“</w:t>
      </w:r>
      <w:r>
        <w:rPr>
          <w:rFonts w:hint="eastAsia" w:ascii="宋体" w:hAnsi="宋体" w:cs="宋体"/>
          <w:color w:val="auto"/>
          <w:highlight w:val="none"/>
          <w:lang w:val="en-US" w:eastAsia="zh-CN"/>
        </w:rPr>
        <w:t>2.技术参数</w:t>
      </w:r>
      <w:r>
        <w:rPr>
          <w:rFonts w:hint="eastAsia" w:ascii="宋体" w:hAnsi="宋体" w:cs="宋体"/>
          <w:color w:val="auto"/>
          <w:highlight w:val="none"/>
        </w:rPr>
        <w:t>”进行</w:t>
      </w:r>
      <w:r>
        <w:rPr>
          <w:rFonts w:hint="eastAsia" w:ascii="宋体" w:hAnsi="宋体" w:cs="宋体"/>
          <w:b/>
          <w:bCs/>
          <w:color w:val="auto"/>
          <w:highlight w:val="none"/>
        </w:rPr>
        <w:t>逐条</w:t>
      </w:r>
      <w:r>
        <w:rPr>
          <w:rFonts w:hint="eastAsia" w:ascii="宋体" w:hAnsi="宋体" w:cs="宋体"/>
          <w:b/>
          <w:bCs/>
          <w:color w:val="auto"/>
          <w:highlight w:val="none"/>
          <w:lang w:val="en-US" w:eastAsia="zh-CN"/>
        </w:rPr>
        <w:t>据实</w:t>
      </w:r>
      <w:r>
        <w:rPr>
          <w:rFonts w:hint="eastAsia" w:ascii="宋体" w:hAnsi="宋体" w:cs="宋体"/>
          <w:b/>
          <w:bCs/>
          <w:color w:val="auto"/>
          <w:highlight w:val="none"/>
        </w:rPr>
        <w:t>响应</w:t>
      </w:r>
      <w:r>
        <w:rPr>
          <w:rFonts w:hint="eastAsia" w:ascii="宋体" w:hAnsi="宋体" w:cs="宋体"/>
          <w:b/>
          <w:bCs/>
          <w:color w:val="auto"/>
          <w:highlight w:val="none"/>
          <w:lang w:val="en-US" w:eastAsia="zh-CN"/>
        </w:rPr>
        <w:t>并按要求在本表后附相关证明资料，响应内容不得完全复制竞争性谈判文件内容，否则视为无效谈判</w:t>
      </w:r>
      <w:r>
        <w:rPr>
          <w:rFonts w:hint="eastAsia" w:ascii="宋体" w:hAnsi="宋体" w:cs="宋体"/>
          <w:color w:val="auto"/>
          <w:highlight w:val="none"/>
        </w:rPr>
        <w:t>，满足竞争性</w:t>
      </w:r>
      <w:r>
        <w:rPr>
          <w:rFonts w:hint="eastAsia" w:ascii="宋体" w:hAnsi="宋体" w:cs="宋体"/>
          <w:color w:val="auto"/>
          <w:highlight w:val="none"/>
          <w:lang w:eastAsia="zh-CN"/>
        </w:rPr>
        <w:t>谈判</w:t>
      </w:r>
      <w:r>
        <w:rPr>
          <w:rFonts w:hint="eastAsia" w:ascii="宋体" w:hAnsi="宋体" w:cs="宋体"/>
          <w:color w:val="auto"/>
          <w:highlight w:val="none"/>
        </w:rPr>
        <w:t>文件参数要求的，“偏离程度”注明“0”，无需填写“偏离简述”项。优于竞争性</w:t>
      </w:r>
      <w:r>
        <w:rPr>
          <w:rFonts w:hint="eastAsia" w:ascii="宋体" w:hAnsi="宋体" w:cs="宋体"/>
          <w:color w:val="auto"/>
          <w:highlight w:val="none"/>
          <w:lang w:eastAsia="zh-CN"/>
        </w:rPr>
        <w:t>谈判</w:t>
      </w:r>
      <w:r>
        <w:rPr>
          <w:rFonts w:hint="eastAsia" w:ascii="宋体" w:hAnsi="宋体" w:cs="宋体"/>
          <w:color w:val="auto"/>
          <w:highlight w:val="none"/>
        </w:rPr>
        <w:t>文件要求的，列出“+”偏差；不满足竞争性</w:t>
      </w:r>
      <w:r>
        <w:rPr>
          <w:rFonts w:hint="eastAsia" w:ascii="宋体" w:hAnsi="宋体" w:cs="宋体"/>
          <w:color w:val="auto"/>
          <w:highlight w:val="none"/>
          <w:lang w:eastAsia="zh-CN"/>
        </w:rPr>
        <w:t>谈判</w:t>
      </w:r>
      <w:r>
        <w:rPr>
          <w:rFonts w:hint="eastAsia" w:ascii="宋体" w:hAnsi="宋体" w:cs="宋体"/>
          <w:color w:val="auto"/>
          <w:highlight w:val="none"/>
        </w:rPr>
        <w:t>文件要求的，列出“-”偏差。</w:t>
      </w:r>
    </w:p>
    <w:p>
      <w:pPr>
        <w:spacing w:line="720" w:lineRule="auto"/>
        <w:jc w:val="left"/>
        <w:rPr>
          <w:rFonts w:hint="eastAsia" w:ascii="宋体" w:hAnsi="宋体" w:cs="宋体"/>
          <w:color w:val="auto"/>
          <w:szCs w:val="22"/>
          <w:highlight w:val="none"/>
        </w:rPr>
      </w:pPr>
    </w:p>
    <w:p>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spacing w:line="360" w:lineRule="auto"/>
        <w:ind w:firstLine="2310"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（单位负责人）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pPr>
        <w:spacing w:line="360" w:lineRule="auto"/>
        <w:ind w:firstLine="3780"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cs="宋体"/>
          <w:b/>
          <w:color w:val="auto"/>
          <w:spacing w:val="2"/>
          <w:sz w:val="32"/>
          <w:szCs w:val="22"/>
          <w:highlight w:val="none"/>
        </w:rPr>
      </w:pPr>
      <w:r>
        <w:rPr>
          <w:rFonts w:hint="eastAsia" w:ascii="宋体" w:hAnsi="宋体" w:cs="宋体"/>
          <w:b/>
          <w:color w:val="auto"/>
          <w:spacing w:val="2"/>
          <w:sz w:val="32"/>
          <w:szCs w:val="22"/>
          <w:highlight w:val="none"/>
        </w:rPr>
        <w:br w:type="page"/>
      </w:r>
    </w:p>
    <w:p>
      <w:pPr>
        <w:pStyle w:val="2"/>
        <w:ind w:left="0" w:leftChars="0" w:firstLine="0" w:firstLineChars="0"/>
        <w:rPr>
          <w:rFonts w:hint="default" w:eastAsia="宋体"/>
          <w:b/>
          <w:bCs/>
          <w:color w:val="auto"/>
          <w:highlight w:val="none"/>
          <w:lang w:val="en-US" w:eastAsia="zh-CN"/>
        </w:rPr>
      </w:pPr>
      <w:r>
        <w:rPr>
          <w:rFonts w:hint="eastAsia"/>
          <w:b/>
          <w:bCs/>
          <w:color w:val="auto"/>
          <w:highlight w:val="none"/>
          <w:lang w:val="en-US" w:eastAsia="zh-CN"/>
        </w:rPr>
        <w:t>附件：证明资料</w:t>
      </w:r>
    </w:p>
    <w:p>
      <w:pPr>
        <w:pStyle w:val="19"/>
        <w:rPr>
          <w:rFonts w:hint="eastAsia" w:ascii="宋体" w:hAnsi="宋体" w:cs="宋体"/>
          <w:b/>
          <w:color w:val="auto"/>
          <w:spacing w:val="2"/>
          <w:sz w:val="32"/>
          <w:szCs w:val="22"/>
          <w:highlight w:val="none"/>
        </w:rPr>
      </w:pPr>
    </w:p>
    <w:p>
      <w:pPr>
        <w:pStyle w:val="11"/>
        <w:rPr>
          <w:rFonts w:hint="eastAsia" w:ascii="宋体" w:hAnsi="宋体" w:cs="宋体"/>
          <w:b/>
          <w:color w:val="auto"/>
          <w:spacing w:val="2"/>
          <w:sz w:val="32"/>
          <w:szCs w:val="22"/>
          <w:highlight w:val="none"/>
        </w:rPr>
      </w:pPr>
    </w:p>
    <w:p>
      <w:pPr>
        <w:rPr>
          <w:rFonts w:hint="eastAsia"/>
          <w:color w:val="auto"/>
          <w:highlight w:val="none"/>
        </w:rPr>
      </w:pPr>
    </w:p>
    <w:p>
      <w:pPr>
        <w:rPr>
          <w:rFonts w:hint="eastAsia" w:ascii="宋体" w:hAnsi="宋体" w:cs="宋体"/>
          <w:b/>
          <w:color w:val="auto"/>
          <w:spacing w:val="2"/>
          <w:sz w:val="32"/>
          <w:szCs w:val="22"/>
          <w:highlight w:val="none"/>
        </w:rPr>
      </w:pPr>
      <w:r>
        <w:rPr>
          <w:rFonts w:hint="eastAsia" w:ascii="宋体" w:hAnsi="宋体" w:cs="宋体"/>
          <w:b/>
          <w:color w:val="auto"/>
          <w:spacing w:val="2"/>
          <w:sz w:val="32"/>
          <w:szCs w:val="22"/>
          <w:highlight w:val="none"/>
        </w:rPr>
        <w:br w:type="page"/>
      </w:r>
    </w:p>
    <w:p>
      <w:pPr>
        <w:numPr>
          <w:ilvl w:val="0"/>
          <w:numId w:val="0"/>
        </w:numPr>
        <w:spacing w:line="360" w:lineRule="auto"/>
        <w:jc w:val="center"/>
        <w:outlineLvl w:val="2"/>
        <w:rPr>
          <w:rFonts w:hint="eastAsia" w:ascii="宋体" w:hAnsi="宋体" w:cs="宋体"/>
          <w:b/>
          <w:color w:val="auto"/>
          <w:spacing w:val="2"/>
          <w:sz w:val="32"/>
          <w:szCs w:val="22"/>
          <w:highlight w:val="none"/>
        </w:rPr>
      </w:pPr>
      <w:r>
        <w:rPr>
          <w:rFonts w:hint="eastAsia" w:ascii="宋体" w:hAnsi="宋体" w:cs="宋体"/>
          <w:b/>
          <w:color w:val="auto"/>
          <w:spacing w:val="2"/>
          <w:sz w:val="32"/>
          <w:szCs w:val="22"/>
          <w:highlight w:val="none"/>
          <w:lang w:val="en-US" w:eastAsia="zh-CN"/>
        </w:rPr>
        <w:t>2.2</w:t>
      </w:r>
      <w:r>
        <w:rPr>
          <w:rFonts w:hint="eastAsia" w:ascii="宋体" w:hAnsi="宋体" w:cs="宋体"/>
          <w:b/>
          <w:color w:val="auto"/>
          <w:spacing w:val="2"/>
          <w:sz w:val="32"/>
          <w:szCs w:val="22"/>
          <w:highlight w:val="none"/>
        </w:rPr>
        <w:t>商务偏差表</w:t>
      </w:r>
    </w:p>
    <w:tbl>
      <w:tblPr>
        <w:tblStyle w:val="3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2"/>
        <w:gridCol w:w="1943"/>
        <w:gridCol w:w="3585"/>
        <w:gridCol w:w="1751"/>
        <w:gridCol w:w="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46" w:type="pct"/>
            <w:shd w:val="clear" w:color="auto" w:fill="D7D7D7"/>
            <w:noWrap w:val="0"/>
            <w:vAlign w:val="center"/>
          </w:tcPr>
          <w:p>
            <w:pPr>
              <w:pStyle w:val="47"/>
              <w:jc w:val="center"/>
              <w:rPr>
                <w:rFonts w:hint="eastAsia"/>
                <w:b/>
                <w:color w:val="auto"/>
                <w:sz w:val="24"/>
                <w:highlight w:val="none"/>
              </w:rPr>
            </w:pPr>
            <w:r>
              <w:rPr>
                <w:rFonts w:hint="eastAsia"/>
                <w:b/>
                <w:color w:val="auto"/>
                <w:sz w:val="24"/>
                <w:highlight w:val="none"/>
              </w:rPr>
              <w:t>序号</w:t>
            </w:r>
          </w:p>
        </w:tc>
        <w:tc>
          <w:tcPr>
            <w:tcW w:w="1070" w:type="pct"/>
            <w:shd w:val="clear" w:color="auto" w:fill="D7D7D7"/>
            <w:noWrap w:val="0"/>
            <w:vAlign w:val="center"/>
          </w:tcPr>
          <w:p>
            <w:pPr>
              <w:pStyle w:val="47"/>
              <w:jc w:val="center"/>
              <w:rPr>
                <w:rFonts w:hint="eastAsia"/>
                <w:b/>
                <w:color w:val="auto"/>
                <w:sz w:val="24"/>
                <w:highlight w:val="none"/>
              </w:rPr>
            </w:pPr>
            <w:r>
              <w:rPr>
                <w:rFonts w:hint="eastAsia"/>
                <w:b/>
                <w:color w:val="auto"/>
                <w:sz w:val="24"/>
                <w:highlight w:val="none"/>
              </w:rPr>
              <w:t>竞争性</w:t>
            </w:r>
            <w:r>
              <w:rPr>
                <w:rFonts w:hint="eastAsia"/>
                <w:b/>
                <w:color w:val="auto"/>
                <w:sz w:val="24"/>
                <w:highlight w:val="none"/>
                <w:lang w:eastAsia="zh-CN"/>
              </w:rPr>
              <w:t>谈判</w:t>
            </w:r>
            <w:r>
              <w:rPr>
                <w:rFonts w:hint="eastAsia"/>
                <w:b/>
                <w:color w:val="auto"/>
                <w:sz w:val="24"/>
                <w:highlight w:val="none"/>
              </w:rPr>
              <w:t>文件要求</w:t>
            </w:r>
          </w:p>
        </w:tc>
        <w:tc>
          <w:tcPr>
            <w:tcW w:w="1974" w:type="pct"/>
            <w:shd w:val="clear" w:color="auto" w:fill="D7D7D7"/>
            <w:noWrap w:val="0"/>
            <w:vAlign w:val="center"/>
          </w:tcPr>
          <w:p>
            <w:pPr>
              <w:pStyle w:val="47"/>
              <w:jc w:val="center"/>
              <w:rPr>
                <w:rFonts w:hint="eastAsia"/>
                <w:b/>
                <w:color w:val="auto"/>
                <w:sz w:val="24"/>
                <w:highlight w:val="none"/>
              </w:rPr>
            </w:pPr>
            <w:r>
              <w:rPr>
                <w:rFonts w:hint="eastAsia"/>
                <w:b/>
                <w:color w:val="auto"/>
                <w:sz w:val="24"/>
                <w:highlight w:val="none"/>
                <w:lang w:eastAsia="zh-CN"/>
              </w:rPr>
              <w:t>谈判</w:t>
            </w:r>
            <w:r>
              <w:rPr>
                <w:rFonts w:hint="eastAsia"/>
                <w:b/>
                <w:color w:val="auto"/>
                <w:sz w:val="24"/>
                <w:highlight w:val="none"/>
              </w:rPr>
              <w:t>响应文件响应内容</w:t>
            </w:r>
          </w:p>
        </w:tc>
        <w:tc>
          <w:tcPr>
            <w:tcW w:w="964" w:type="pct"/>
            <w:shd w:val="clear" w:color="auto" w:fill="D7D7D7"/>
            <w:noWrap w:val="0"/>
            <w:vAlign w:val="center"/>
          </w:tcPr>
          <w:p>
            <w:pPr>
              <w:pStyle w:val="47"/>
              <w:jc w:val="center"/>
              <w:rPr>
                <w:rFonts w:hint="eastAsia"/>
                <w:b/>
                <w:color w:val="auto"/>
                <w:sz w:val="24"/>
                <w:highlight w:val="none"/>
              </w:rPr>
            </w:pPr>
            <w:r>
              <w:rPr>
                <w:rFonts w:hint="eastAsia"/>
                <w:b/>
                <w:color w:val="auto"/>
                <w:sz w:val="24"/>
                <w:highlight w:val="none"/>
              </w:rPr>
              <w:t>偏离程度</w:t>
            </w:r>
          </w:p>
        </w:tc>
        <w:tc>
          <w:tcPr>
            <w:tcW w:w="444" w:type="pct"/>
            <w:tcBorders>
              <w:left w:val="single" w:color="auto" w:sz="4" w:space="0"/>
            </w:tcBorders>
            <w:shd w:val="clear" w:color="auto" w:fill="D7D7D7"/>
            <w:noWrap w:val="0"/>
            <w:vAlign w:val="center"/>
          </w:tcPr>
          <w:p>
            <w:pPr>
              <w:pStyle w:val="47"/>
              <w:jc w:val="center"/>
              <w:rPr>
                <w:rFonts w:hint="eastAsia"/>
                <w:b/>
                <w:color w:val="auto"/>
                <w:sz w:val="24"/>
                <w:highlight w:val="none"/>
              </w:rPr>
            </w:pPr>
            <w:r>
              <w:rPr>
                <w:rFonts w:hint="eastAsia"/>
                <w:b/>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46" w:type="pct"/>
            <w:noWrap w:val="0"/>
            <w:vAlign w:val="top"/>
          </w:tcPr>
          <w:p>
            <w:pPr>
              <w:pStyle w:val="47"/>
              <w:spacing w:before="177"/>
              <w:ind w:left="107"/>
              <w:rPr>
                <w:rFonts w:hint="eastAsia"/>
                <w:color w:val="auto"/>
                <w:sz w:val="24"/>
                <w:highlight w:val="none"/>
              </w:rPr>
            </w:pPr>
            <w:r>
              <w:rPr>
                <w:rFonts w:hint="eastAsia"/>
                <w:color w:val="auto"/>
                <w:sz w:val="24"/>
                <w:highlight w:val="none"/>
              </w:rPr>
              <w:t>1</w:t>
            </w:r>
          </w:p>
        </w:tc>
        <w:tc>
          <w:tcPr>
            <w:tcW w:w="1070" w:type="pct"/>
            <w:noWrap w:val="0"/>
            <w:vAlign w:val="top"/>
          </w:tcPr>
          <w:p>
            <w:pPr>
              <w:pStyle w:val="47"/>
              <w:rPr>
                <w:rFonts w:hint="eastAsia"/>
                <w:color w:val="auto"/>
                <w:highlight w:val="none"/>
              </w:rPr>
            </w:pPr>
          </w:p>
        </w:tc>
        <w:tc>
          <w:tcPr>
            <w:tcW w:w="1974"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4" w:type="pct"/>
            <w:tcBorders>
              <w:left w:val="single" w:color="auto" w:sz="4" w:space="0"/>
            </w:tcBorders>
            <w:noWrap w:val="0"/>
            <w:vAlign w:val="top"/>
          </w:tcPr>
          <w:p>
            <w:pPr>
              <w:pStyle w:val="47"/>
              <w:rPr>
                <w:rFonts w:hint="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46" w:type="pct"/>
            <w:noWrap w:val="0"/>
            <w:vAlign w:val="top"/>
          </w:tcPr>
          <w:p>
            <w:pPr>
              <w:pStyle w:val="47"/>
              <w:spacing w:before="175"/>
              <w:ind w:left="107"/>
              <w:rPr>
                <w:rFonts w:hint="eastAsia"/>
                <w:color w:val="auto"/>
                <w:sz w:val="24"/>
                <w:highlight w:val="none"/>
              </w:rPr>
            </w:pPr>
            <w:r>
              <w:rPr>
                <w:rFonts w:hint="eastAsia"/>
                <w:color w:val="auto"/>
                <w:sz w:val="24"/>
                <w:highlight w:val="none"/>
              </w:rPr>
              <w:t>2</w:t>
            </w:r>
          </w:p>
        </w:tc>
        <w:tc>
          <w:tcPr>
            <w:tcW w:w="1070" w:type="pct"/>
            <w:noWrap w:val="0"/>
            <w:vAlign w:val="top"/>
          </w:tcPr>
          <w:p>
            <w:pPr>
              <w:pStyle w:val="47"/>
              <w:rPr>
                <w:rFonts w:hint="eastAsia"/>
                <w:color w:val="auto"/>
                <w:highlight w:val="none"/>
              </w:rPr>
            </w:pPr>
          </w:p>
        </w:tc>
        <w:tc>
          <w:tcPr>
            <w:tcW w:w="1974"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4" w:type="pct"/>
            <w:tcBorders>
              <w:left w:val="single" w:color="auto" w:sz="4" w:space="0"/>
            </w:tcBorders>
            <w:noWrap w:val="0"/>
            <w:vAlign w:val="top"/>
          </w:tcPr>
          <w:p>
            <w:pPr>
              <w:pStyle w:val="47"/>
              <w:rPr>
                <w:rFonts w:hint="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46" w:type="pct"/>
            <w:noWrap w:val="0"/>
            <w:vAlign w:val="top"/>
          </w:tcPr>
          <w:p>
            <w:pPr>
              <w:pStyle w:val="47"/>
              <w:spacing w:before="177"/>
              <w:ind w:left="107"/>
              <w:rPr>
                <w:rFonts w:hint="eastAsia"/>
                <w:color w:val="auto"/>
                <w:sz w:val="24"/>
                <w:highlight w:val="none"/>
              </w:rPr>
            </w:pPr>
            <w:r>
              <w:rPr>
                <w:rFonts w:hint="eastAsia"/>
                <w:color w:val="auto"/>
                <w:sz w:val="24"/>
                <w:highlight w:val="none"/>
              </w:rPr>
              <w:t>3</w:t>
            </w:r>
          </w:p>
        </w:tc>
        <w:tc>
          <w:tcPr>
            <w:tcW w:w="1070" w:type="pct"/>
            <w:noWrap w:val="0"/>
            <w:vAlign w:val="top"/>
          </w:tcPr>
          <w:p>
            <w:pPr>
              <w:pStyle w:val="47"/>
              <w:rPr>
                <w:rFonts w:hint="eastAsia"/>
                <w:color w:val="auto"/>
                <w:highlight w:val="none"/>
              </w:rPr>
            </w:pPr>
          </w:p>
        </w:tc>
        <w:tc>
          <w:tcPr>
            <w:tcW w:w="1974"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4" w:type="pct"/>
            <w:tcBorders>
              <w:left w:val="single" w:color="auto" w:sz="4" w:space="0"/>
            </w:tcBorders>
            <w:noWrap w:val="0"/>
            <w:vAlign w:val="top"/>
          </w:tcPr>
          <w:p>
            <w:pPr>
              <w:pStyle w:val="47"/>
              <w:rPr>
                <w:rFonts w:hint="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46" w:type="pct"/>
            <w:noWrap w:val="0"/>
            <w:vAlign w:val="top"/>
          </w:tcPr>
          <w:p>
            <w:pPr>
              <w:pStyle w:val="47"/>
              <w:spacing w:before="176"/>
              <w:ind w:left="107"/>
              <w:rPr>
                <w:rFonts w:hint="eastAsia"/>
                <w:color w:val="auto"/>
                <w:sz w:val="24"/>
                <w:highlight w:val="none"/>
              </w:rPr>
            </w:pPr>
            <w:r>
              <w:rPr>
                <w:rFonts w:hint="eastAsia"/>
                <w:color w:val="auto"/>
                <w:sz w:val="24"/>
                <w:highlight w:val="none"/>
              </w:rPr>
              <w:t>4</w:t>
            </w:r>
          </w:p>
        </w:tc>
        <w:tc>
          <w:tcPr>
            <w:tcW w:w="1070" w:type="pct"/>
            <w:noWrap w:val="0"/>
            <w:vAlign w:val="top"/>
          </w:tcPr>
          <w:p>
            <w:pPr>
              <w:pStyle w:val="47"/>
              <w:rPr>
                <w:rFonts w:hint="eastAsia"/>
                <w:color w:val="auto"/>
                <w:highlight w:val="none"/>
              </w:rPr>
            </w:pPr>
          </w:p>
        </w:tc>
        <w:tc>
          <w:tcPr>
            <w:tcW w:w="1974"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4" w:type="pct"/>
            <w:tcBorders>
              <w:left w:val="single" w:color="auto" w:sz="4" w:space="0"/>
            </w:tcBorders>
            <w:noWrap w:val="0"/>
            <w:vAlign w:val="top"/>
          </w:tcPr>
          <w:p>
            <w:pPr>
              <w:pStyle w:val="47"/>
              <w:rPr>
                <w:rFonts w:hint="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46" w:type="pct"/>
            <w:noWrap w:val="0"/>
            <w:vAlign w:val="top"/>
          </w:tcPr>
          <w:p>
            <w:pPr>
              <w:pStyle w:val="47"/>
              <w:spacing w:before="175"/>
              <w:ind w:left="107"/>
              <w:rPr>
                <w:rFonts w:hint="eastAsia"/>
                <w:color w:val="auto"/>
                <w:sz w:val="24"/>
                <w:highlight w:val="none"/>
              </w:rPr>
            </w:pPr>
            <w:r>
              <w:rPr>
                <w:rFonts w:hint="eastAsia"/>
                <w:color w:val="auto"/>
                <w:sz w:val="24"/>
                <w:highlight w:val="none"/>
              </w:rPr>
              <w:t>5</w:t>
            </w:r>
          </w:p>
        </w:tc>
        <w:tc>
          <w:tcPr>
            <w:tcW w:w="1070" w:type="pct"/>
            <w:noWrap w:val="0"/>
            <w:vAlign w:val="top"/>
          </w:tcPr>
          <w:p>
            <w:pPr>
              <w:pStyle w:val="47"/>
              <w:rPr>
                <w:rFonts w:hint="eastAsia"/>
                <w:color w:val="auto"/>
                <w:highlight w:val="none"/>
              </w:rPr>
            </w:pPr>
          </w:p>
        </w:tc>
        <w:tc>
          <w:tcPr>
            <w:tcW w:w="1974"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4" w:type="pct"/>
            <w:tcBorders>
              <w:left w:val="single" w:color="auto" w:sz="4" w:space="0"/>
            </w:tcBorders>
            <w:noWrap w:val="0"/>
            <w:vAlign w:val="top"/>
          </w:tcPr>
          <w:p>
            <w:pPr>
              <w:pStyle w:val="47"/>
              <w:rPr>
                <w:rFonts w:hint="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46" w:type="pct"/>
            <w:noWrap w:val="0"/>
            <w:vAlign w:val="top"/>
          </w:tcPr>
          <w:p>
            <w:pPr>
              <w:pStyle w:val="47"/>
              <w:spacing w:before="176"/>
              <w:ind w:left="107"/>
              <w:rPr>
                <w:rFonts w:hint="eastAsia"/>
                <w:color w:val="auto"/>
                <w:sz w:val="24"/>
                <w:highlight w:val="none"/>
              </w:rPr>
            </w:pPr>
            <w:r>
              <w:rPr>
                <w:rFonts w:hint="eastAsia"/>
                <w:color w:val="auto"/>
                <w:sz w:val="24"/>
                <w:highlight w:val="none"/>
              </w:rPr>
              <w:t>6</w:t>
            </w:r>
          </w:p>
        </w:tc>
        <w:tc>
          <w:tcPr>
            <w:tcW w:w="1070" w:type="pct"/>
            <w:noWrap w:val="0"/>
            <w:vAlign w:val="top"/>
          </w:tcPr>
          <w:p>
            <w:pPr>
              <w:pStyle w:val="47"/>
              <w:rPr>
                <w:rFonts w:hint="eastAsia"/>
                <w:color w:val="auto"/>
                <w:highlight w:val="none"/>
              </w:rPr>
            </w:pPr>
          </w:p>
        </w:tc>
        <w:tc>
          <w:tcPr>
            <w:tcW w:w="1974"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4" w:type="pct"/>
            <w:tcBorders>
              <w:left w:val="single" w:color="auto" w:sz="4" w:space="0"/>
            </w:tcBorders>
            <w:noWrap w:val="0"/>
            <w:vAlign w:val="top"/>
          </w:tcPr>
          <w:p>
            <w:pPr>
              <w:pStyle w:val="47"/>
              <w:rPr>
                <w:rFonts w:hint="eastAsia"/>
                <w:b/>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46" w:type="pct"/>
            <w:noWrap w:val="0"/>
            <w:vAlign w:val="top"/>
          </w:tcPr>
          <w:p>
            <w:pPr>
              <w:pStyle w:val="47"/>
              <w:spacing w:before="175"/>
              <w:ind w:left="107"/>
              <w:rPr>
                <w:rFonts w:hint="eastAsia"/>
                <w:color w:val="auto"/>
                <w:sz w:val="24"/>
                <w:highlight w:val="none"/>
              </w:rPr>
            </w:pPr>
            <w:r>
              <w:rPr>
                <w:rFonts w:hint="eastAsia"/>
                <w:color w:val="auto"/>
                <w:sz w:val="24"/>
                <w:highlight w:val="none"/>
              </w:rPr>
              <w:t>……</w:t>
            </w:r>
          </w:p>
        </w:tc>
        <w:tc>
          <w:tcPr>
            <w:tcW w:w="1070" w:type="pct"/>
            <w:noWrap w:val="0"/>
            <w:vAlign w:val="top"/>
          </w:tcPr>
          <w:p>
            <w:pPr>
              <w:pStyle w:val="47"/>
              <w:rPr>
                <w:rFonts w:hint="eastAsia"/>
                <w:color w:val="auto"/>
                <w:highlight w:val="none"/>
              </w:rPr>
            </w:pPr>
          </w:p>
        </w:tc>
        <w:tc>
          <w:tcPr>
            <w:tcW w:w="1974" w:type="pct"/>
            <w:noWrap w:val="0"/>
            <w:vAlign w:val="top"/>
          </w:tcPr>
          <w:p>
            <w:pPr>
              <w:pStyle w:val="47"/>
              <w:rPr>
                <w:rFonts w:hint="eastAsia"/>
                <w:color w:val="auto"/>
                <w:highlight w:val="none"/>
              </w:rPr>
            </w:pPr>
          </w:p>
        </w:tc>
        <w:tc>
          <w:tcPr>
            <w:tcW w:w="964" w:type="pct"/>
            <w:noWrap w:val="0"/>
            <w:vAlign w:val="top"/>
          </w:tcPr>
          <w:p>
            <w:pPr>
              <w:pStyle w:val="47"/>
              <w:rPr>
                <w:rFonts w:hint="eastAsia"/>
                <w:color w:val="auto"/>
                <w:highlight w:val="none"/>
              </w:rPr>
            </w:pPr>
          </w:p>
        </w:tc>
        <w:tc>
          <w:tcPr>
            <w:tcW w:w="444" w:type="pct"/>
            <w:tcBorders>
              <w:left w:val="single" w:color="auto" w:sz="4" w:space="0"/>
            </w:tcBorders>
            <w:noWrap w:val="0"/>
            <w:vAlign w:val="top"/>
          </w:tcPr>
          <w:p>
            <w:pPr>
              <w:pStyle w:val="47"/>
              <w:rPr>
                <w:rFonts w:hint="eastAsia"/>
                <w:b/>
                <w:color w:val="auto"/>
                <w:sz w:val="24"/>
                <w:highlight w:val="none"/>
              </w:rPr>
            </w:pPr>
          </w:p>
        </w:tc>
      </w:tr>
    </w:tbl>
    <w:p>
      <w:pPr>
        <w:jc w:val="left"/>
        <w:rPr>
          <w:rFonts w:hint="eastAsia"/>
          <w:color w:val="auto"/>
          <w:highlight w:val="none"/>
        </w:rPr>
      </w:pPr>
    </w:p>
    <w:p>
      <w:pPr>
        <w:pStyle w:val="11"/>
        <w:spacing w:line="360" w:lineRule="auto"/>
        <w:rPr>
          <w:rFonts w:hint="eastAsia" w:ascii="宋体" w:hAnsi="宋体" w:cs="宋体"/>
          <w:color w:val="auto"/>
          <w:highlight w:val="none"/>
        </w:rPr>
      </w:pPr>
      <w:r>
        <w:rPr>
          <w:rFonts w:hint="eastAsia" w:ascii="宋体" w:hAnsi="宋体" w:cs="宋体"/>
          <w:color w:val="auto"/>
          <w:highlight w:val="none"/>
        </w:rPr>
        <w:t>备注：填写此表时以第四章“采购内容”中“</w:t>
      </w:r>
      <w:r>
        <w:rPr>
          <w:rFonts w:hint="eastAsia" w:ascii="宋体" w:hAnsi="宋体" w:cs="宋体"/>
          <w:color w:val="auto"/>
          <w:highlight w:val="none"/>
          <w:lang w:val="en-US" w:eastAsia="zh-CN"/>
        </w:rPr>
        <w:t>二</w:t>
      </w:r>
      <w:r>
        <w:rPr>
          <w:rFonts w:hint="eastAsia" w:ascii="宋体" w:hAnsi="宋体" w:cs="宋体"/>
          <w:color w:val="auto"/>
          <w:highlight w:val="none"/>
        </w:rPr>
        <w:t>、商务要求”进行</w:t>
      </w:r>
      <w:r>
        <w:rPr>
          <w:rFonts w:hint="eastAsia" w:ascii="宋体" w:hAnsi="宋体" w:cs="宋体"/>
          <w:b/>
          <w:bCs/>
          <w:color w:val="auto"/>
          <w:highlight w:val="none"/>
        </w:rPr>
        <w:t>逐条响应</w:t>
      </w:r>
      <w:r>
        <w:rPr>
          <w:rFonts w:hint="eastAsia" w:ascii="宋体" w:hAnsi="宋体" w:cs="宋体"/>
          <w:color w:val="auto"/>
          <w:highlight w:val="none"/>
        </w:rPr>
        <w:t>，满足竞争性</w:t>
      </w:r>
      <w:r>
        <w:rPr>
          <w:rFonts w:hint="eastAsia" w:ascii="宋体" w:hAnsi="宋体" w:cs="宋体"/>
          <w:color w:val="auto"/>
          <w:highlight w:val="none"/>
          <w:lang w:eastAsia="zh-CN"/>
        </w:rPr>
        <w:t>谈判</w:t>
      </w:r>
      <w:r>
        <w:rPr>
          <w:rFonts w:hint="eastAsia" w:ascii="宋体" w:hAnsi="宋体" w:cs="宋体"/>
          <w:color w:val="auto"/>
          <w:highlight w:val="none"/>
        </w:rPr>
        <w:t>文件商务要求的，“偏离程度”注明“0”，无需填写“偏离简述”项。优于竞争性</w:t>
      </w:r>
      <w:r>
        <w:rPr>
          <w:rFonts w:hint="eastAsia" w:ascii="宋体" w:hAnsi="宋体" w:cs="宋体"/>
          <w:color w:val="auto"/>
          <w:highlight w:val="none"/>
          <w:lang w:eastAsia="zh-CN"/>
        </w:rPr>
        <w:t>谈判</w:t>
      </w:r>
      <w:r>
        <w:rPr>
          <w:rFonts w:hint="eastAsia" w:ascii="宋体" w:hAnsi="宋体" w:cs="宋体"/>
          <w:color w:val="auto"/>
          <w:highlight w:val="none"/>
        </w:rPr>
        <w:t>文件要求的，列出“+”偏差；不满足竞争性</w:t>
      </w:r>
      <w:r>
        <w:rPr>
          <w:rFonts w:hint="eastAsia" w:ascii="宋体" w:hAnsi="宋体" w:cs="宋体"/>
          <w:color w:val="auto"/>
          <w:highlight w:val="none"/>
          <w:lang w:eastAsia="zh-CN"/>
        </w:rPr>
        <w:t>谈判</w:t>
      </w:r>
      <w:r>
        <w:rPr>
          <w:rFonts w:hint="eastAsia" w:ascii="宋体" w:hAnsi="宋体" w:cs="宋体"/>
          <w:color w:val="auto"/>
          <w:highlight w:val="none"/>
        </w:rPr>
        <w:t>文件要求的，列出“-”偏差。如供应商不承诺完全响应</w:t>
      </w:r>
      <w:r>
        <w:rPr>
          <w:rFonts w:hint="eastAsia" w:ascii="宋体" w:hAnsi="宋体" w:cs="宋体"/>
          <w:color w:val="auto"/>
          <w:highlight w:val="none"/>
          <w:lang w:val="en-US" w:eastAsia="zh-CN"/>
        </w:rPr>
        <w:t>竞争性谈判</w:t>
      </w:r>
      <w:r>
        <w:rPr>
          <w:rFonts w:hint="eastAsia" w:ascii="宋体" w:hAnsi="宋体" w:cs="宋体"/>
          <w:color w:val="auto"/>
          <w:highlight w:val="none"/>
        </w:rPr>
        <w:t>文件中规定的实质性要求和有关条件，必须对不响应部分的内容予以具体说明。</w:t>
      </w:r>
    </w:p>
    <w:p>
      <w:pPr>
        <w:spacing w:line="360" w:lineRule="auto"/>
        <w:jc w:val="right"/>
        <w:rPr>
          <w:rFonts w:hint="eastAsia" w:ascii="宋体" w:hAnsi="宋体" w:eastAsia="宋体" w:cs="宋体"/>
          <w:color w:val="auto"/>
          <w:sz w:val="21"/>
          <w:szCs w:val="21"/>
          <w:highlight w:val="none"/>
        </w:rPr>
      </w:pPr>
    </w:p>
    <w:p>
      <w:pPr>
        <w:spacing w:line="360" w:lineRule="auto"/>
        <w:jc w:val="right"/>
        <w:rPr>
          <w:rFonts w:hint="eastAsia" w:ascii="宋体" w:hAnsi="宋体" w:eastAsia="宋体" w:cs="宋体"/>
          <w:color w:val="auto"/>
          <w:sz w:val="21"/>
          <w:szCs w:val="21"/>
          <w:highlight w:val="none"/>
        </w:rPr>
      </w:pPr>
    </w:p>
    <w:p>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spacing w:line="360" w:lineRule="auto"/>
        <w:ind w:firstLine="2310"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（单位负责人）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pPr>
        <w:spacing w:line="360" w:lineRule="auto"/>
        <w:ind w:firstLine="3780"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br w:type="page"/>
      </w:r>
    </w:p>
    <w:p>
      <w:pPr>
        <w:spacing w:line="360" w:lineRule="auto"/>
        <w:jc w:val="center"/>
        <w:outlineLvl w:val="1"/>
        <w:rPr>
          <w:rFonts w:hint="eastAsia" w:ascii="宋体" w:hAnsi="宋体" w:eastAsia="宋体" w:cs="宋体"/>
          <w:b/>
          <w:color w:val="auto"/>
          <w:kern w:val="2"/>
          <w:sz w:val="32"/>
          <w:szCs w:val="32"/>
          <w:highlight w:val="none"/>
          <w:lang w:val="en-US" w:eastAsia="zh-CN" w:bidi="ar-SA"/>
        </w:rPr>
      </w:pPr>
      <w:bookmarkStart w:id="61" w:name="_Toc27196"/>
      <w:r>
        <w:rPr>
          <w:rFonts w:hint="eastAsia" w:ascii="宋体" w:hAnsi="宋体" w:eastAsia="宋体" w:cs="宋体"/>
          <w:b/>
          <w:color w:val="auto"/>
          <w:kern w:val="2"/>
          <w:sz w:val="32"/>
          <w:szCs w:val="32"/>
          <w:highlight w:val="none"/>
          <w:lang w:val="en-US" w:eastAsia="zh-CN" w:bidi="ar-SA"/>
        </w:rPr>
        <w:t>三、法定代表人（单位负责人）身份证明或</w:t>
      </w:r>
      <w:r>
        <w:rPr>
          <w:rFonts w:hint="eastAsia" w:ascii="宋体" w:hAnsi="宋体" w:eastAsia="宋体" w:cs="宋体"/>
          <w:b/>
          <w:color w:val="auto"/>
          <w:spacing w:val="2"/>
          <w:sz w:val="32"/>
          <w:szCs w:val="32"/>
          <w:highlight w:val="none"/>
        </w:rPr>
        <w:t>授权委托书</w:t>
      </w:r>
      <w:bookmarkEnd w:id="61"/>
    </w:p>
    <w:p>
      <w:pPr>
        <w:spacing w:line="360" w:lineRule="auto"/>
        <w:ind w:firstLine="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kern w:val="2"/>
          <w:sz w:val="28"/>
          <w:szCs w:val="28"/>
          <w:highlight w:val="none"/>
          <w:lang w:val="en-US" w:eastAsia="zh-CN" w:bidi="ar-SA"/>
        </w:rPr>
        <w:t>（一）法定代表人（单位负责人）身份证明</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pacing w:val="1"/>
          <w:sz w:val="21"/>
          <w:szCs w:val="21"/>
          <w:highlight w:val="none"/>
          <w:u w:val="single"/>
        </w:rPr>
      </w:pPr>
      <w:r>
        <w:rPr>
          <w:rFonts w:hint="eastAsia" w:ascii="宋体" w:hAnsi="宋体" w:eastAsia="宋体" w:cs="宋体"/>
          <w:color w:val="auto"/>
          <w:spacing w:val="1"/>
          <w:sz w:val="21"/>
          <w:szCs w:val="21"/>
          <w:highlight w:val="none"/>
        </w:rPr>
        <w:t>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pacing w:val="1"/>
          <w:sz w:val="21"/>
          <w:szCs w:val="21"/>
          <w:highlight w:val="none"/>
        </w:rPr>
        <w:t>性别：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年龄：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系   （供应商名称）     的法</w:t>
      </w:r>
      <w:r>
        <w:rPr>
          <w:rFonts w:hint="eastAsia" w:ascii="宋体" w:hAnsi="宋体" w:eastAsia="宋体" w:cs="宋体"/>
          <w:color w:val="auto"/>
          <w:spacing w:val="-5"/>
          <w:sz w:val="21"/>
          <w:szCs w:val="21"/>
          <w:highlight w:val="none"/>
        </w:rPr>
        <w:t>定代表人（单位负责人）。</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特此证明。</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附：法定代表人（单位负责人）身份证复印件。</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100" w:type="dxa"/>
            <w:noWrap w:val="0"/>
            <w:vAlign w:val="top"/>
          </w:tcPr>
          <w:p>
            <w:pPr>
              <w:spacing w:before="657" w:line="360" w:lineRule="auto"/>
              <w:ind w:left="13" w:hanging="12" w:hangingChars="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4100" w:type="dxa"/>
            <w:noWrap w:val="0"/>
            <w:vAlign w:val="top"/>
          </w:tcPr>
          <w:p>
            <w:pPr>
              <w:spacing w:before="657" w:line="360" w:lineRule="auto"/>
              <w:ind w:left="13" w:hanging="12" w:hangingChars="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w:t>
            </w:r>
          </w:p>
        </w:tc>
      </w:tr>
    </w:tbl>
    <w:p>
      <w:pPr>
        <w:spacing w:before="657" w:line="221" w:lineRule="exact"/>
        <w:jc w:val="left"/>
        <w:rPr>
          <w:rFonts w:hint="eastAsia" w:ascii="宋体" w:hAnsi="宋体" w:eastAsia="宋体" w:cs="宋体"/>
          <w:color w:val="auto"/>
          <w:sz w:val="21"/>
          <w:szCs w:val="21"/>
          <w:highlight w:val="none"/>
        </w:rPr>
      </w:pPr>
    </w:p>
    <w:p>
      <w:pPr>
        <w:spacing w:line="360" w:lineRule="auto"/>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pPr>
        <w:spacing w:line="360" w:lineRule="auto"/>
        <w:jc w:val="right"/>
        <w:rPr>
          <w:rFonts w:hint="eastAsia" w:ascii="宋体" w:hAnsi="宋体" w:eastAsia="宋体" w:cs="宋体"/>
          <w:color w:val="auto"/>
          <w:sz w:val="21"/>
          <w:szCs w:val="21"/>
          <w:highlight w:val="none"/>
          <w:lang w:val="en-US" w:eastAsia="zh-CN"/>
        </w:rPr>
      </w:pPr>
    </w:p>
    <w:p>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spacing w:line="360" w:lineRule="auto"/>
        <w:ind w:firstLine="2310"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w:t>
      </w:r>
      <w:r>
        <w:rPr>
          <w:rFonts w:hint="eastAsia" w:ascii="宋体" w:hAnsi="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p>
    <w:p>
      <w:pPr>
        <w:spacing w:line="360" w:lineRule="auto"/>
        <w:ind w:firstLine="2310" w:firstLineChars="1100"/>
        <w:jc w:val="righ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p>
    <w:p>
      <w:pPr>
        <w:rPr>
          <w:rFonts w:hint="eastAsia" w:ascii="宋体" w:hAnsi="宋体" w:eastAsia="宋体" w:cs="宋体"/>
          <w:b/>
          <w:color w:val="auto"/>
          <w:spacing w:val="2"/>
          <w:sz w:val="28"/>
          <w:szCs w:val="28"/>
          <w:highlight w:val="none"/>
        </w:rPr>
      </w:pPr>
      <w:r>
        <w:rPr>
          <w:rFonts w:hint="eastAsia" w:ascii="宋体" w:hAnsi="宋体" w:eastAsia="宋体" w:cs="宋体"/>
          <w:b/>
          <w:color w:val="auto"/>
          <w:spacing w:val="2"/>
          <w:sz w:val="28"/>
          <w:szCs w:val="28"/>
          <w:highlight w:val="none"/>
        </w:rPr>
        <w:br w:type="page"/>
      </w:r>
    </w:p>
    <w:p>
      <w:pPr>
        <w:spacing w:line="360" w:lineRule="auto"/>
        <w:jc w:val="center"/>
        <w:outlineLvl w:val="2"/>
        <w:rPr>
          <w:rFonts w:hint="eastAsia" w:ascii="宋体" w:hAnsi="宋体" w:eastAsia="宋体" w:cs="宋体"/>
          <w:b/>
          <w:color w:val="auto"/>
          <w:spacing w:val="2"/>
          <w:sz w:val="28"/>
          <w:szCs w:val="28"/>
          <w:highlight w:val="none"/>
        </w:rPr>
      </w:pPr>
      <w:r>
        <w:rPr>
          <w:rFonts w:hint="eastAsia" w:ascii="宋体" w:hAnsi="宋体" w:eastAsia="宋体" w:cs="宋体"/>
          <w:b/>
          <w:color w:val="auto"/>
          <w:spacing w:val="2"/>
          <w:sz w:val="28"/>
          <w:szCs w:val="28"/>
          <w:highlight w:val="none"/>
        </w:rPr>
        <w:t>（</w:t>
      </w:r>
      <w:r>
        <w:rPr>
          <w:rFonts w:hint="eastAsia" w:ascii="宋体" w:hAnsi="宋体" w:eastAsia="宋体" w:cs="宋体"/>
          <w:b/>
          <w:color w:val="auto"/>
          <w:spacing w:val="2"/>
          <w:sz w:val="28"/>
          <w:szCs w:val="28"/>
          <w:highlight w:val="none"/>
          <w:lang w:val="en-US" w:eastAsia="zh-CN"/>
        </w:rPr>
        <w:t>二</w:t>
      </w:r>
      <w:r>
        <w:rPr>
          <w:rFonts w:hint="eastAsia" w:ascii="宋体" w:hAnsi="宋体" w:eastAsia="宋体" w:cs="宋体"/>
          <w:b/>
          <w:color w:val="auto"/>
          <w:spacing w:val="2"/>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的法定代表人（单位负责人），现委托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为我方代理人。代理人根据授权，以我方名义签署、澄清确认、递交、撤回、修改</w:t>
      </w:r>
      <w:r>
        <w:rPr>
          <w:rFonts w:hint="eastAsia" w:ascii="宋体" w:hAnsi="宋体" w:eastAsia="宋体" w:cs="宋体"/>
          <w:color w:val="auto"/>
          <w:sz w:val="21"/>
          <w:szCs w:val="21"/>
          <w:highlight w:val="none"/>
          <w:u w:val="single"/>
        </w:rPr>
        <w:t xml:space="preserve">  （项目名称）、（项目编号）</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该代理人无转委托权，本授权书自委托之日起生效至</w:t>
      </w:r>
      <w:r>
        <w:rPr>
          <w:rFonts w:hint="eastAsia" w:ascii="宋体" w:hAnsi="宋体" w:eastAsia="宋体" w:cs="宋体"/>
          <w:color w:val="auto"/>
          <w:sz w:val="21"/>
          <w:szCs w:val="21"/>
          <w:highlight w:val="none"/>
          <w:lang w:val="en-US" w:eastAsia="zh-CN"/>
        </w:rPr>
        <w:t>竞争性谈判响应文件</w:t>
      </w:r>
      <w:r>
        <w:rPr>
          <w:rFonts w:hint="eastAsia" w:ascii="宋体" w:hAnsi="宋体" w:eastAsia="宋体" w:cs="宋体"/>
          <w:color w:val="auto"/>
          <w:sz w:val="21"/>
          <w:szCs w:val="21"/>
          <w:highlight w:val="none"/>
        </w:rPr>
        <w:t>递交截止时间后</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天。特此声明。</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附：法定代表人（单位负责人）身份证复印件及委托代理人身份证复印件</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gridCol w:w="4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410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法定代表人（单位负责人）</w:t>
            </w:r>
          </w:p>
          <w:p>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身份证复印件（正反面）</w:t>
            </w:r>
          </w:p>
        </w:tc>
        <w:tc>
          <w:tcPr>
            <w:tcW w:w="410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p>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身份证复印件（正反面）</w:t>
            </w:r>
          </w:p>
        </w:tc>
      </w:tr>
    </w:tbl>
    <w:p>
      <w:pPr>
        <w:keepNext w:val="0"/>
        <w:keepLines w:val="0"/>
        <w:pageBreakBefore w:val="0"/>
        <w:widowControl w:val="0"/>
        <w:kinsoku/>
        <w:wordWrap/>
        <w:overflowPunct/>
        <w:topLinePunct w:val="0"/>
        <w:autoSpaceDE/>
        <w:autoSpaceDN/>
        <w:bidi w:val="0"/>
        <w:adjustRightInd/>
        <w:snapToGrid/>
        <w:spacing w:line="360" w:lineRule="auto"/>
        <w:ind w:left="0" w:hanging="12" w:hangingChars="6"/>
        <w:jc w:val="left"/>
        <w:textAlignment w:val="auto"/>
        <w:rPr>
          <w:rFonts w:hint="eastAsia" w:ascii="宋体" w:hAnsi="宋体" w:eastAsia="宋体" w:cs="宋体"/>
          <w:color w:val="auto"/>
          <w:sz w:val="21"/>
          <w:szCs w:val="21"/>
          <w:highlight w:val="none"/>
        </w:rPr>
      </w:pPr>
    </w:p>
    <w:p>
      <w:pPr>
        <w:spacing w:line="360" w:lineRule="auto"/>
        <w:jc w:val="right"/>
        <w:rPr>
          <w:rFonts w:hint="eastAsia" w:ascii="宋体" w:hAnsi="宋体" w:eastAsia="宋体" w:cs="宋体"/>
          <w:color w:val="auto"/>
          <w:sz w:val="21"/>
          <w:szCs w:val="21"/>
          <w:highlight w:val="none"/>
          <w:lang w:val="en-US" w:eastAsia="zh-CN"/>
        </w:rPr>
      </w:pPr>
    </w:p>
    <w:p>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spacing w:line="360" w:lineRule="auto"/>
        <w:ind w:firstLine="2310"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zh-CN"/>
        </w:rPr>
        <w:t>盖章</w:t>
      </w:r>
      <w:r>
        <w:rPr>
          <w:rFonts w:hint="eastAsia" w:ascii="宋体" w:hAnsi="宋体" w:eastAsia="宋体" w:cs="宋体"/>
          <w:color w:val="auto"/>
          <w:sz w:val="21"/>
          <w:szCs w:val="21"/>
          <w:highlight w:val="none"/>
        </w:rPr>
        <w:t>）</w:t>
      </w:r>
    </w:p>
    <w:p>
      <w:pPr>
        <w:spacing w:line="360" w:lineRule="auto"/>
        <w:ind w:firstLine="2310" w:firstLineChars="1100"/>
        <w:jc w:val="righ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日</w:t>
      </w:r>
    </w:p>
    <w:p>
      <w:pPr>
        <w:rPr>
          <w:rFonts w:hint="eastAsia" w:ascii="宋体" w:hAnsi="宋体" w:eastAsia="宋体" w:cs="宋体"/>
          <w:b/>
          <w:color w:val="auto"/>
          <w:spacing w:val="2"/>
          <w:sz w:val="21"/>
          <w:szCs w:val="21"/>
          <w:highlight w:val="none"/>
          <w:lang w:val="en-US" w:eastAsia="zh-CN"/>
        </w:rPr>
      </w:pPr>
      <w:r>
        <w:rPr>
          <w:rFonts w:hint="eastAsia" w:ascii="宋体" w:hAnsi="宋体" w:eastAsia="宋体" w:cs="宋体"/>
          <w:b/>
          <w:color w:val="auto"/>
          <w:spacing w:val="2"/>
          <w:sz w:val="21"/>
          <w:szCs w:val="21"/>
          <w:highlight w:val="none"/>
          <w:lang w:val="en-US" w:eastAsia="zh-CN"/>
        </w:rPr>
        <w:br w:type="page"/>
      </w:r>
    </w:p>
    <w:p>
      <w:pPr>
        <w:spacing w:line="240" w:lineRule="auto"/>
        <w:jc w:val="center"/>
        <w:outlineLvl w:val="1"/>
        <w:rPr>
          <w:rFonts w:hint="eastAsia" w:ascii="宋体" w:hAnsi="宋体" w:eastAsia="宋体" w:cs="宋体"/>
          <w:b/>
          <w:color w:val="auto"/>
          <w:spacing w:val="2"/>
          <w:sz w:val="32"/>
          <w:szCs w:val="32"/>
          <w:highlight w:val="none"/>
        </w:rPr>
      </w:pPr>
      <w:bookmarkStart w:id="62" w:name="_Toc21327"/>
      <w:r>
        <w:rPr>
          <w:rFonts w:hint="eastAsia" w:ascii="宋体" w:hAnsi="宋体" w:eastAsia="宋体" w:cs="宋体"/>
          <w:b/>
          <w:color w:val="auto"/>
          <w:spacing w:val="2"/>
          <w:sz w:val="32"/>
          <w:szCs w:val="32"/>
          <w:highlight w:val="none"/>
          <w:lang w:val="en-US" w:eastAsia="zh-CN"/>
        </w:rPr>
        <w:t>四</w:t>
      </w:r>
      <w:r>
        <w:rPr>
          <w:rFonts w:hint="eastAsia" w:ascii="宋体" w:hAnsi="宋体" w:eastAsia="宋体" w:cs="宋体"/>
          <w:b/>
          <w:color w:val="auto"/>
          <w:spacing w:val="2"/>
          <w:sz w:val="32"/>
          <w:szCs w:val="32"/>
          <w:highlight w:val="none"/>
        </w:rPr>
        <w:t>、资格审查资料</w:t>
      </w:r>
      <w:bookmarkEnd w:id="62"/>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2"/>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基本情况表</w:t>
      </w:r>
    </w:p>
    <w:tbl>
      <w:tblPr>
        <w:tblStyle w:val="30"/>
        <w:tblW w:w="8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14"/>
        <w:gridCol w:w="1179"/>
        <w:gridCol w:w="1620"/>
        <w:gridCol w:w="1577"/>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6148" w:type="dxa"/>
            <w:gridSpan w:val="4"/>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2799" w:type="dxa"/>
            <w:gridSpan w:val="2"/>
            <w:noWrap w:val="0"/>
            <w:vAlign w:val="center"/>
          </w:tcPr>
          <w:p>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1772"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6148" w:type="dxa"/>
            <w:gridSpan w:val="4"/>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799" w:type="dxa"/>
            <w:gridSpan w:val="2"/>
            <w:noWrap w:val="0"/>
            <w:vAlign w:val="center"/>
          </w:tcPr>
          <w:p>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员工总数</w:t>
            </w:r>
          </w:p>
        </w:tc>
        <w:tc>
          <w:tcPr>
            <w:tcW w:w="1772"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restart"/>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117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620" w:type="dxa"/>
            <w:noWrap w:val="0"/>
            <w:vAlign w:val="center"/>
          </w:tcPr>
          <w:p>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772"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continue"/>
            <w:noWrap w:val="0"/>
            <w:vAlign w:val="center"/>
          </w:tcPr>
          <w:p>
            <w:pPr>
              <w:spacing w:line="360" w:lineRule="auto"/>
              <w:jc w:val="center"/>
              <w:rPr>
                <w:rFonts w:hint="eastAsia" w:ascii="宋体" w:hAnsi="宋体" w:eastAsia="宋体" w:cs="宋体"/>
                <w:color w:val="auto"/>
                <w:sz w:val="21"/>
                <w:szCs w:val="21"/>
                <w:highlight w:val="none"/>
              </w:rPr>
            </w:pPr>
          </w:p>
        </w:tc>
        <w:tc>
          <w:tcPr>
            <w:tcW w:w="117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tc>
        <w:tc>
          <w:tcPr>
            <w:tcW w:w="1620" w:type="dxa"/>
            <w:noWrap w:val="0"/>
            <w:vAlign w:val="center"/>
          </w:tcPr>
          <w:p>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1772"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w:t>
            </w:r>
          </w:p>
        </w:tc>
        <w:tc>
          <w:tcPr>
            <w:tcW w:w="1179"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620" w:type="dxa"/>
            <w:noWrap w:val="0"/>
            <w:vAlign w:val="center"/>
          </w:tcPr>
          <w:p>
            <w:pPr>
              <w:spacing w:line="360" w:lineRule="auto"/>
              <w:jc w:val="center"/>
              <w:rPr>
                <w:rFonts w:hint="eastAsia" w:ascii="宋体" w:hAnsi="宋体" w:eastAsia="宋体" w:cs="宋体"/>
                <w:color w:val="auto"/>
                <w:sz w:val="21"/>
                <w:szCs w:val="21"/>
                <w:highlight w:val="none"/>
              </w:rPr>
            </w:pPr>
          </w:p>
        </w:tc>
        <w:tc>
          <w:tcPr>
            <w:tcW w:w="1577"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772" w:type="dxa"/>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2714" w:type="dxa"/>
            <w:noWrap w:val="0"/>
            <w:vAlign w:val="center"/>
          </w:tcPr>
          <w:p>
            <w:pPr>
              <w:spacing w:before="120" w:after="24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供应商须知要求供应商需具有的各类资质证书（如有）</w:t>
            </w:r>
          </w:p>
        </w:tc>
        <w:tc>
          <w:tcPr>
            <w:tcW w:w="6148" w:type="dxa"/>
            <w:gridSpan w:val="4"/>
            <w:noWrap w:val="0"/>
            <w:vAlign w:val="center"/>
          </w:tcPr>
          <w:p>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       等级：       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jc w:val="center"/>
        </w:trPr>
        <w:tc>
          <w:tcPr>
            <w:tcW w:w="2714"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基本账户开户银行</w:t>
            </w:r>
          </w:p>
        </w:tc>
        <w:tc>
          <w:tcPr>
            <w:tcW w:w="6148" w:type="dxa"/>
            <w:gridSpan w:val="4"/>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jc w:val="center"/>
        </w:trPr>
        <w:tc>
          <w:tcPr>
            <w:tcW w:w="2714"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基本账户银行账号</w:t>
            </w:r>
          </w:p>
        </w:tc>
        <w:tc>
          <w:tcPr>
            <w:tcW w:w="6148" w:type="dxa"/>
            <w:gridSpan w:val="4"/>
            <w:noWrap w:val="0"/>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2714" w:type="dxa"/>
            <w:noWrap w:val="0"/>
            <w:vAlign w:val="center"/>
          </w:tcPr>
          <w:p>
            <w:pPr>
              <w:spacing w:before="120" w:after="24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营业范围</w:t>
            </w:r>
          </w:p>
        </w:tc>
        <w:tc>
          <w:tcPr>
            <w:tcW w:w="6148" w:type="dxa"/>
            <w:gridSpan w:val="4"/>
            <w:noWrap w:val="0"/>
            <w:vAlign w:val="center"/>
          </w:tcPr>
          <w:p>
            <w:pPr>
              <w:autoSpaceDE w:val="0"/>
              <w:autoSpaceDN w:val="0"/>
              <w:adjustRightInd w:val="0"/>
              <w:snapToGrid w:val="0"/>
              <w:spacing w:line="360" w:lineRule="auto"/>
              <w:jc w:val="left"/>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jc w:val="center"/>
        </w:trPr>
        <w:tc>
          <w:tcPr>
            <w:tcW w:w="2714"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148" w:type="dxa"/>
            <w:gridSpan w:val="4"/>
            <w:noWrap w:val="0"/>
            <w:vAlign w:val="center"/>
          </w:tcPr>
          <w:p>
            <w:pPr>
              <w:spacing w:line="360" w:lineRule="auto"/>
              <w:jc w:val="left"/>
              <w:rPr>
                <w:rFonts w:hint="eastAsia" w:ascii="宋体" w:hAnsi="宋体" w:eastAsia="宋体" w:cs="宋体"/>
                <w:color w:val="auto"/>
                <w:sz w:val="21"/>
                <w:szCs w:val="21"/>
                <w:highlight w:val="none"/>
              </w:rPr>
            </w:pPr>
          </w:p>
        </w:tc>
      </w:tr>
    </w:tbl>
    <w:p>
      <w:pPr>
        <w:rPr>
          <w:rFonts w:hint="eastAsia" w:ascii="宋体" w:hAnsi="宋体" w:eastAsia="宋体" w:cs="宋体"/>
          <w:b/>
          <w:color w:val="auto"/>
          <w:sz w:val="21"/>
          <w:szCs w:val="21"/>
          <w:highlight w:val="none"/>
          <w:lang w:val="zh-CN"/>
        </w:rPr>
      </w:pPr>
      <w:r>
        <w:rPr>
          <w:rFonts w:hint="eastAsia" w:ascii="宋体" w:hAnsi="宋体" w:eastAsia="宋体" w:cs="宋体"/>
          <w:b/>
          <w:bCs/>
          <w:color w:val="auto"/>
          <w:sz w:val="21"/>
          <w:szCs w:val="21"/>
          <w:highlight w:val="none"/>
        </w:rPr>
        <w:br w:type="page"/>
      </w:r>
    </w:p>
    <w:p>
      <w:pPr>
        <w:spacing w:line="360" w:lineRule="auto"/>
        <w:ind w:firstLine="0" w:firstLineChars="0"/>
        <w:jc w:val="left"/>
        <w:outlineLvl w:val="2"/>
        <w:rPr>
          <w:rFonts w:hint="eastAsia" w:ascii="宋体" w:hAnsi="宋体" w:eastAsia="宋体" w:cs="宋体"/>
          <w:b/>
          <w:bCs/>
          <w:color w:val="auto"/>
          <w:spacing w:val="-11"/>
          <w:sz w:val="21"/>
          <w:szCs w:val="21"/>
          <w:highlight w:val="none"/>
          <w:lang w:val="en-US" w:eastAsia="zh-CN"/>
        </w:rPr>
      </w:pPr>
      <w:r>
        <w:rPr>
          <w:rFonts w:hint="eastAsia" w:ascii="宋体" w:hAnsi="宋体" w:eastAsia="宋体" w:cs="宋体"/>
          <w:b/>
          <w:bCs/>
          <w:color w:val="auto"/>
          <w:spacing w:val="-11"/>
          <w:sz w:val="21"/>
          <w:szCs w:val="21"/>
          <w:highlight w:val="none"/>
          <w:lang w:val="en-US" w:eastAsia="zh-CN"/>
        </w:rPr>
        <w:t>1、</w:t>
      </w:r>
      <w:r>
        <w:rPr>
          <w:rFonts w:hint="eastAsia" w:ascii="宋体" w:hAnsi="宋体" w:eastAsia="宋体" w:cs="宋体"/>
          <w:b/>
          <w:bCs/>
          <w:color w:val="auto"/>
          <w:spacing w:val="-11"/>
          <w:sz w:val="21"/>
          <w:szCs w:val="21"/>
          <w:highlight w:val="none"/>
        </w:rPr>
        <w:t>供应商应符合《中华人民共和国政府采购法》第二十二条规定</w:t>
      </w:r>
      <w:r>
        <w:rPr>
          <w:rFonts w:hint="eastAsia" w:ascii="宋体" w:hAnsi="宋体" w:eastAsia="宋体" w:cs="宋体"/>
          <w:b/>
          <w:bCs/>
          <w:color w:val="auto"/>
          <w:spacing w:val="-11"/>
          <w:sz w:val="21"/>
          <w:szCs w:val="21"/>
          <w:highlight w:val="none"/>
          <w:lang w:val="en-US" w:eastAsia="zh-CN"/>
        </w:rPr>
        <w:t>的承诺</w:t>
      </w:r>
    </w:p>
    <w:p>
      <w:pPr>
        <w:spacing w:line="291" w:lineRule="exact"/>
        <w:ind w:left="137"/>
        <w:jc w:val="left"/>
        <w:rPr>
          <w:rFonts w:hint="eastAsia" w:ascii="宋体" w:hAnsi="宋体" w:eastAsia="宋体" w:cs="宋体"/>
          <w:color w:val="auto"/>
          <w:sz w:val="21"/>
          <w:szCs w:val="21"/>
          <w:highlight w:val="none"/>
        </w:rPr>
      </w:pPr>
    </w:p>
    <w:p>
      <w:pPr>
        <w:spacing w:line="360" w:lineRule="auto"/>
        <w:jc w:val="center"/>
        <w:rPr>
          <w:rFonts w:hint="eastAsia" w:ascii="宋体" w:hAnsi="宋体" w:eastAsia="宋体" w:cs="宋体"/>
          <w:color w:val="auto"/>
          <w:sz w:val="21"/>
          <w:szCs w:val="21"/>
          <w:highlight w:val="none"/>
        </w:rPr>
      </w:pPr>
      <w:bookmarkStart w:id="63" w:name="_Toc6215_WPSOffice_Level1"/>
      <w:r>
        <w:rPr>
          <w:rFonts w:hint="eastAsia" w:ascii="宋体" w:hAnsi="宋体" w:eastAsia="宋体" w:cs="宋体"/>
          <w:b/>
          <w:color w:val="auto"/>
          <w:sz w:val="21"/>
          <w:szCs w:val="21"/>
          <w:highlight w:val="none"/>
        </w:rPr>
        <w:t>承诺书</w:t>
      </w:r>
      <w:bookmarkEnd w:id="63"/>
    </w:p>
    <w:p>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p>
    <w:p>
      <w:pPr>
        <w:spacing w:line="48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(供应商名称)郑重承诺：</w:t>
      </w:r>
    </w:p>
    <w:p>
      <w:pPr>
        <w:spacing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未列入“信用中国”网站（www.creditchina.gov.cn）中重大税收违法失信主体的供应商中及“中国执行信息公开网”（http：//zxgk.court.gov.cn）中列入失信被执行人名单的供应商中，也未列入“中国政府采购网”（www.ccgp.gov.cn）政府采购严重违法失信行为记录名单中被财政部门禁止参加政府采购活动的供应商中。</w:t>
      </w:r>
    </w:p>
    <w:p>
      <w:pPr>
        <w:spacing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3.我方在采购项目评审 (评标) 环节结束后，随时接受采购人、采购代理机构的检查验证，配合提供相关证明材料，证明符合《中华人民共和国政府采购法》规定的供应商基本资格条件。</w:t>
      </w:r>
    </w:p>
    <w:p>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我方对以上承诺负全部法律责任。</w:t>
      </w:r>
    </w:p>
    <w:p>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adjustRightInd w:val="0"/>
        <w:snapToGrid w:val="0"/>
        <w:spacing w:line="360" w:lineRule="auto"/>
        <w:ind w:firstLine="420" w:firstLineChars="200"/>
        <w:rPr>
          <w:rFonts w:hint="eastAsia" w:ascii="宋体" w:hAnsi="宋体" w:eastAsia="宋体" w:cs="宋体"/>
          <w:color w:val="auto"/>
          <w:sz w:val="21"/>
          <w:szCs w:val="21"/>
          <w:highlight w:val="none"/>
        </w:rPr>
      </w:pPr>
    </w:p>
    <w:p>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spacing w:line="360" w:lineRule="auto"/>
        <w:ind w:firstLine="2310"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pPr>
        <w:spacing w:line="360" w:lineRule="auto"/>
        <w:ind w:firstLine="3780"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60" w:lineRule="auto"/>
        <w:ind w:firstLine="1680" w:firstLineChars="700"/>
        <w:jc w:val="center"/>
        <w:rPr>
          <w:rFonts w:hint="eastAsia" w:ascii="宋体" w:hAnsi="宋体" w:eastAsia="宋体" w:cs="宋体"/>
          <w:color w:val="auto"/>
          <w:sz w:val="24"/>
          <w:szCs w:val="24"/>
          <w:highlight w:val="none"/>
        </w:rPr>
      </w:pPr>
    </w:p>
    <w:p>
      <w:pPr>
        <w:spacing w:line="360" w:lineRule="auto"/>
        <w:outlineLvl w:val="2"/>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1"/>
          <w:szCs w:val="21"/>
          <w:highlight w:val="none"/>
          <w:lang w:val="en-US" w:eastAsia="zh-CN"/>
        </w:rPr>
        <w:t>2、落实政府采购政策证明资料</w:t>
      </w:r>
    </w:p>
    <w:p>
      <w:pPr>
        <w:autoSpaceDE w:val="0"/>
        <w:autoSpaceDN w:val="0"/>
        <w:adjustRightInd w:val="0"/>
        <w:jc w:val="center"/>
        <w:rPr>
          <w:rFonts w:hint="eastAsia" w:ascii="宋体" w:hAnsi="宋体" w:eastAsia="宋体" w:cs="宋体"/>
          <w:b/>
          <w:bCs/>
          <w:color w:val="auto"/>
          <w:kern w:val="0"/>
          <w:sz w:val="28"/>
          <w:szCs w:val="28"/>
          <w:highlight w:val="none"/>
        </w:rPr>
      </w:pPr>
      <w:bookmarkStart w:id="64" w:name="_Toc269407896"/>
      <w:bookmarkStart w:id="65" w:name="_Toc269407684"/>
      <w:r>
        <w:rPr>
          <w:rFonts w:hint="eastAsia" w:ascii="宋体" w:hAnsi="宋体" w:eastAsia="宋体" w:cs="宋体"/>
          <w:b/>
          <w:bCs/>
          <w:color w:val="auto"/>
          <w:kern w:val="0"/>
          <w:sz w:val="28"/>
          <w:szCs w:val="28"/>
          <w:highlight w:val="none"/>
        </w:rPr>
        <w:t>中小企业声明函</w:t>
      </w:r>
    </w:p>
    <w:p>
      <w:pPr>
        <w:autoSpaceDE w:val="0"/>
        <w:autoSpaceDN w:val="0"/>
        <w:adjustRightInd w:val="0"/>
        <w:spacing w:line="360" w:lineRule="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本公司郑重声明，根据《政府采购促进中小企业发展管理办法》（财库﹝2020﹞46 号）的规定，本公司参加</w:t>
      </w:r>
      <w:r>
        <w:rPr>
          <w:rFonts w:hint="eastAsia" w:ascii="宋体" w:hAnsi="宋体" w:eastAsia="宋体" w:cs="宋体"/>
          <w:color w:val="auto"/>
          <w:kern w:val="0"/>
          <w:sz w:val="21"/>
          <w:szCs w:val="21"/>
          <w:highlight w:val="none"/>
          <w:u w:val="single"/>
        </w:rPr>
        <w:t>（单位名称）</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u w:val="single"/>
        </w:rPr>
        <w:t>（项目名称）</w:t>
      </w:r>
      <w:r>
        <w:rPr>
          <w:rFonts w:hint="eastAsia" w:ascii="宋体" w:hAnsi="宋体" w:eastAsia="宋体" w:cs="宋体"/>
          <w:color w:val="auto"/>
          <w:kern w:val="0"/>
          <w:sz w:val="21"/>
          <w:szCs w:val="21"/>
          <w:highlight w:val="none"/>
        </w:rPr>
        <w:t>采购活动，提供的货物全部由符合政策要求的中小企业制造。相关企业的具体情况如下：</w:t>
      </w:r>
    </w:p>
    <w:p>
      <w:pPr>
        <w:autoSpaceDE w:val="0"/>
        <w:autoSpaceDN w:val="0"/>
        <w:adjustRightIn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（标的名称） </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工业（制造业）</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；制造商为</w:t>
      </w:r>
      <w:r>
        <w:rPr>
          <w:rFonts w:hint="eastAsia" w:ascii="宋体" w:hAnsi="宋体" w:eastAsia="宋体" w:cs="宋体"/>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（标的名称） </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工业（制造业）</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；制造商为</w:t>
      </w:r>
      <w:r>
        <w:rPr>
          <w:rFonts w:hint="eastAsia" w:ascii="宋体" w:hAnsi="宋体" w:eastAsia="宋体" w:cs="宋体"/>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本项目其他采购内容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工业（制造业）</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；制造商为</w:t>
      </w:r>
      <w:r>
        <w:rPr>
          <w:rFonts w:hint="eastAsia" w:ascii="宋体" w:hAnsi="宋体" w:eastAsia="宋体" w:cs="宋体"/>
          <w:color w:val="auto"/>
          <w:kern w:val="0"/>
          <w:sz w:val="21"/>
          <w:szCs w:val="21"/>
          <w:highlight w:val="none"/>
          <w:u w:val="single"/>
        </w:rPr>
        <w:t>（</w:t>
      </w:r>
      <w:r>
        <w:rPr>
          <w:rFonts w:hint="eastAsia" w:ascii="宋体" w:hAnsi="宋体" w:cs="宋体"/>
          <w:color w:val="auto"/>
          <w:kern w:val="0"/>
          <w:sz w:val="21"/>
          <w:szCs w:val="21"/>
          <w:highlight w:val="none"/>
          <w:u w:val="single"/>
          <w:lang w:val="en-US" w:eastAsia="zh-CN"/>
        </w:rPr>
        <w:t>供应商名称</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rPr>
          <w:rFonts w:hint="eastAsia" w:ascii="宋体" w:hAnsi="宋体" w:eastAsia="宋体" w:cs="宋体"/>
          <w:color w:val="auto"/>
          <w:kern w:val="0"/>
          <w:sz w:val="21"/>
          <w:szCs w:val="21"/>
          <w:highlight w:val="none"/>
        </w:rPr>
      </w:pPr>
    </w:p>
    <w:p>
      <w:pPr>
        <w:autoSpaceDE w:val="0"/>
        <w:autoSpaceDN w:val="0"/>
        <w:adjustRightInd w:val="0"/>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p>
    <w:p>
      <w:pPr>
        <w:autoSpaceDE w:val="0"/>
        <w:autoSpaceDN w:val="0"/>
        <w:adjustRightInd w:val="0"/>
        <w:spacing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w:t>
      </w:r>
      <w:r>
        <w:rPr>
          <w:rFonts w:hint="eastAsia" w:ascii="宋体" w:hAnsi="宋体" w:eastAsia="宋体" w:cs="宋体"/>
          <w:color w:val="auto"/>
          <w:kern w:val="0"/>
          <w:sz w:val="21"/>
          <w:szCs w:val="21"/>
          <w:highlight w:val="none"/>
          <w:u w:val="none"/>
        </w:rPr>
        <w:t>的情形。</w:t>
      </w:r>
    </w:p>
    <w:p>
      <w:pPr>
        <w:autoSpaceDE w:val="0"/>
        <w:autoSpaceDN w:val="0"/>
        <w:adjustRightInd w:val="0"/>
        <w:spacing w:line="360" w:lineRule="auto"/>
        <w:ind w:firstLine="420" w:firstLineChars="200"/>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本企业对上述声明内容的真实性负责。如有虚假，将依法承担相应责任。</w:t>
      </w:r>
    </w:p>
    <w:p>
      <w:pPr>
        <w:autoSpaceDE w:val="0"/>
        <w:autoSpaceDN w:val="0"/>
        <w:adjustRightInd w:val="0"/>
        <w:spacing w:line="360" w:lineRule="auto"/>
        <w:rPr>
          <w:rFonts w:hint="eastAsia" w:ascii="宋体" w:hAnsi="宋体" w:eastAsia="宋体" w:cs="宋体"/>
          <w:color w:val="auto"/>
          <w:kern w:val="0"/>
          <w:sz w:val="21"/>
          <w:szCs w:val="21"/>
          <w:highlight w:val="none"/>
          <w:u w:val="single"/>
        </w:rPr>
      </w:pPr>
    </w:p>
    <w:p>
      <w:pPr>
        <w:autoSpaceDE w:val="0"/>
        <w:autoSpaceDN w:val="0"/>
        <w:adjustRightInd w:val="0"/>
        <w:spacing w:line="360" w:lineRule="auto"/>
        <w:ind w:firstLine="3885" w:firstLineChars="1850"/>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企业名称（盖章）：</w:t>
      </w:r>
    </w:p>
    <w:p>
      <w:pPr>
        <w:autoSpaceDE w:val="0"/>
        <w:autoSpaceDN w:val="0"/>
        <w:adjustRightInd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w:t>
      </w:r>
    </w:p>
    <w:p>
      <w:pPr>
        <w:autoSpaceDE w:val="0"/>
        <w:autoSpaceDN w:val="0"/>
        <w:adjustRightIn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供应商根据《工业和信息化部、国家统计局、国家发展和改革委员会、财政部关于印发中小企业划型标准规定的通知》（工信部联企业〔2011〕300号）规定，结合自身实际，确定对应的中小企业划型。</w:t>
      </w:r>
    </w:p>
    <w:p>
      <w:pPr>
        <w:autoSpaceDE w:val="0"/>
        <w:autoSpaceDN w:val="0"/>
        <w:adjustRightIn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rPr>
        <w:t>从业人员、营业收入、资产总额填报上一年度数据，无上一年度数据的新成立企业从业人员、营业收入、资产总额均填0，根据提交响应文件时的实际情况填写企业类型。</w:t>
      </w:r>
    </w:p>
    <w:p>
      <w:pPr>
        <w:autoSpaceDE w:val="0"/>
        <w:autoSpaceDN w:val="0"/>
        <w:adjustRightInd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.如成交，</w:t>
      </w:r>
      <w:r>
        <w:rPr>
          <w:rFonts w:hint="eastAsia" w:ascii="宋体" w:hAnsi="宋体" w:eastAsia="宋体" w:cs="宋体"/>
          <w:b/>
          <w:bCs/>
          <w:color w:val="auto"/>
          <w:kern w:val="0"/>
          <w:sz w:val="21"/>
          <w:szCs w:val="21"/>
          <w:highlight w:val="none"/>
        </w:rPr>
        <w:t>此声明函会在政府采购平台随采购结果一同公示。</w:t>
      </w:r>
    </w:p>
    <w:p>
      <w:pPr>
        <w:pStyle w:val="24"/>
        <w:spacing w:line="360" w:lineRule="auto"/>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可登录工业和信息化部中小企业局主办的中小企业规模类型自测小程序查询本单位企业性质，网址：https://baosong.miit.gov.cn/ScaleTest</w:t>
      </w:r>
    </w:p>
    <w:p>
      <w:pPr>
        <w:pStyle w:val="24"/>
        <w:spacing w:line="360" w:lineRule="auto"/>
        <w:ind w:left="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.非中小企业可不提供。</w:t>
      </w:r>
    </w:p>
    <w:p>
      <w:pPr>
        <w:pStyle w:val="24"/>
        <w:spacing w:line="360" w:lineRule="auto"/>
        <w:ind w:left="42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各行业划型标准为：</w:t>
      </w:r>
      <w:bookmarkStart w:id="66" w:name="OLE_LINK132"/>
      <w:r>
        <w:rPr>
          <w:rFonts w:hint="eastAsia" w:ascii="宋体" w:hAnsi="宋体" w:eastAsia="宋体" w:cs="宋体"/>
          <w:b/>
          <w:bCs/>
          <w:color w:val="auto"/>
          <w:sz w:val="21"/>
          <w:szCs w:val="21"/>
          <w:highlight w:val="none"/>
          <w:lang w:val="en-US" w:eastAsia="zh-CN"/>
        </w:rPr>
        <w:t xml:space="preserve"> </w:t>
      </w:r>
      <w:bookmarkEnd w:id="66"/>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bookmarkStart w:id="67" w:name="OLE_LINK130"/>
      <w:r>
        <w:rPr>
          <w:rFonts w:hint="eastAsia" w:ascii="宋体" w:hAnsi="宋体" w:eastAsia="宋体" w:cs="宋体"/>
          <w:b w:val="0"/>
          <w:bCs w:val="0"/>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24"/>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bookmarkEnd w:id="67"/>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64"/>
    <w:bookmarkEnd w:id="65"/>
    <w:p>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残疾人福利性单位声明函</w:t>
      </w:r>
    </w:p>
    <w:p>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项目</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（项目编号：）</w:t>
      </w:r>
      <w:r>
        <w:rPr>
          <w:rFonts w:hint="eastAsia" w:ascii="宋体" w:hAnsi="宋体" w:eastAsia="宋体" w:cs="宋体"/>
          <w:color w:val="auto"/>
          <w:sz w:val="21"/>
          <w:szCs w:val="21"/>
          <w:highlight w:val="none"/>
        </w:rPr>
        <w:t>采购活动提供本单位制造的货物（由本单位承担工程/提供服务），或者提供其他残疾人福利性单位制造的货物（不包括使用非残疾人福利性单位注册商标的货物）。</w:t>
      </w:r>
    </w:p>
    <w:p>
      <w:pPr>
        <w:tabs>
          <w:tab w:val="left" w:pos="720"/>
          <w:tab w:val="left" w:pos="8364"/>
        </w:tabs>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spacing w:line="360" w:lineRule="auto"/>
        <w:ind w:firstLine="2310"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pPr>
        <w:spacing w:line="360" w:lineRule="auto"/>
        <w:ind w:firstLine="3780"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tabs>
          <w:tab w:val="left" w:pos="567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根据《财政部 民政部 中国残疾人联合会关于促进残疾人就业政府采购政策的通知》（财库〔2017〕141号）的规定：</w:t>
      </w:r>
    </w:p>
    <w:p>
      <w:pPr>
        <w:tabs>
          <w:tab w:val="left" w:pos="567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一、享受政府采购支持政策的残疾人福利性单位应当同时满足以下条件：</w:t>
      </w:r>
    </w:p>
    <w:p>
      <w:pPr>
        <w:tabs>
          <w:tab w:val="left" w:pos="5670"/>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（一）安置的残疾人占本单位在职职工人数的比例不低于25%（含25%），并且安置的残疾人人数不少于10人（含10人）；</w:t>
      </w:r>
    </w:p>
    <w:p>
      <w:pPr>
        <w:tabs>
          <w:tab w:val="left" w:pos="5670"/>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（二）依法与安置的每位残疾人签订了一年以上（含一年）的劳动合同或服务协议；</w:t>
      </w:r>
    </w:p>
    <w:p>
      <w:pPr>
        <w:tabs>
          <w:tab w:val="left" w:pos="5670"/>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（三）为安置的每位残疾人按月足额缴纳了基本养老保险、基本医疗保险、失业保险、工伤保险和生育保险等社会保险费；</w:t>
      </w:r>
    </w:p>
    <w:p>
      <w:pPr>
        <w:tabs>
          <w:tab w:val="left" w:pos="5670"/>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（四）通过银行等金融机构向安置的每位残疾人，按月支付了不低于单位所在区县适用的经省级人民政府批准的月最低工资标准的工资；</w:t>
      </w:r>
    </w:p>
    <w:p>
      <w:pPr>
        <w:tabs>
          <w:tab w:val="left" w:pos="5670"/>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（五）提供本单位制造的货物、承担的工程或者服务（以下简称产品），或者提供其他残疾人福利性单位制造的货物（不包括使用非残疾人福利性单位注册商标的货物）。</w:t>
      </w:r>
    </w:p>
    <w:p>
      <w:pPr>
        <w:tabs>
          <w:tab w:val="left" w:pos="5670"/>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720"/>
          <w:tab w:val="left" w:pos="8364"/>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为残疾人福利性单位的，采购人或者其委托的采购代理机构应当随中标结果同时公告其《残疾人福利性单位声明函》，接受社会监督。</w:t>
      </w:r>
    </w:p>
    <w:p>
      <w:pPr>
        <w:pStyle w:val="24"/>
        <w:spacing w:line="360" w:lineRule="auto"/>
        <w:ind w:left="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备注：非残疾人福利性单位可不提供。</w:t>
      </w:r>
    </w:p>
    <w:p>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br w:type="page"/>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监狱企业声明函</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本单位郑重声明，根据《财政部、司法部关于政府采购支持监狱企业发展有关问题的通知》（财库〔2014〕68号）的规定。因本单位</w:t>
      </w:r>
      <w:r>
        <w:rPr>
          <w:rFonts w:hint="eastAsia" w:ascii="宋体" w:hAnsi="宋体" w:eastAsia="宋体" w:cs="宋体"/>
          <w:b w:val="0"/>
          <w:bCs/>
          <w:color w:val="auto"/>
          <w:sz w:val="21"/>
          <w:szCs w:val="21"/>
          <w:highlight w:val="none"/>
          <w:u w:val="single"/>
        </w:rPr>
        <w:t>（符合</w:t>
      </w:r>
      <w:r>
        <w:rPr>
          <w:rFonts w:hint="eastAsia" w:ascii="宋体" w:hAnsi="宋体" w:eastAsia="宋体" w:cs="宋体"/>
          <w:b w:val="0"/>
          <w:bCs/>
          <w:color w:val="auto"/>
          <w:sz w:val="21"/>
          <w:szCs w:val="21"/>
          <w:highlight w:val="none"/>
          <w:u w:val="single"/>
          <w:lang w:val="en-US" w:eastAsia="zh-CN"/>
        </w:rPr>
        <w:t>/不符合</w:t>
      </w:r>
      <w:r>
        <w:rPr>
          <w:rFonts w:hint="eastAsia" w:ascii="宋体" w:hAnsi="宋体" w:eastAsia="宋体" w:cs="宋体"/>
          <w:b w:val="0"/>
          <w:bCs/>
          <w:color w:val="auto"/>
          <w:sz w:val="21"/>
          <w:szCs w:val="21"/>
          <w:highlight w:val="none"/>
          <w:u w:val="single"/>
        </w:rPr>
        <w:t>）</w:t>
      </w:r>
      <w:r>
        <w:rPr>
          <w:rFonts w:hint="eastAsia" w:ascii="宋体" w:hAnsi="宋体" w:eastAsia="宋体" w:cs="宋体"/>
          <w:b w:val="0"/>
          <w:bCs/>
          <w:color w:val="auto"/>
          <w:sz w:val="21"/>
          <w:szCs w:val="21"/>
          <w:highlight w:val="none"/>
        </w:rPr>
        <w:t>条件，故本单位为</w:t>
      </w:r>
      <w:r>
        <w:rPr>
          <w:rFonts w:hint="eastAsia" w:ascii="宋体" w:hAnsi="宋体" w:eastAsia="宋体" w:cs="宋体"/>
          <w:b w:val="0"/>
          <w:bCs/>
          <w:color w:val="auto"/>
          <w:sz w:val="21"/>
          <w:szCs w:val="21"/>
          <w:highlight w:val="none"/>
          <w:u w:val="single"/>
        </w:rPr>
        <w:t>（监狱）</w:t>
      </w:r>
      <w:r>
        <w:rPr>
          <w:rFonts w:hint="eastAsia" w:ascii="宋体" w:hAnsi="宋体" w:eastAsia="宋体" w:cs="宋体"/>
          <w:b w:val="0"/>
          <w:bCs/>
          <w:color w:val="auto"/>
          <w:sz w:val="21"/>
          <w:szCs w:val="21"/>
          <w:highlight w:val="none"/>
        </w:rPr>
        <w:t>企业。</w:t>
      </w:r>
      <w:r>
        <w:rPr>
          <w:rFonts w:hint="eastAsia" w:ascii="宋体" w:hAnsi="宋体" w:eastAsia="宋体" w:cs="宋体"/>
          <w:color w:val="auto"/>
          <w:sz w:val="21"/>
          <w:szCs w:val="21"/>
          <w:highlight w:val="none"/>
        </w:rPr>
        <w:t xml:space="preserve"> </w:t>
      </w:r>
    </w:p>
    <w:p>
      <w:pPr>
        <w:spacing w:line="44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pPr>
        <w:spacing w:line="440" w:lineRule="exact"/>
        <w:ind w:firstLine="527" w:firstLineChars="250"/>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非</w:t>
      </w:r>
      <w:r>
        <w:rPr>
          <w:rFonts w:hint="eastAsia" w:ascii="宋体" w:hAnsi="宋体" w:eastAsia="宋体" w:cs="宋体"/>
          <w:b/>
          <w:color w:val="auto"/>
          <w:sz w:val="21"/>
          <w:szCs w:val="21"/>
          <w:highlight w:val="none"/>
        </w:rPr>
        <w:t>监狱企业</w:t>
      </w:r>
      <w:r>
        <w:rPr>
          <w:rFonts w:hint="eastAsia" w:ascii="宋体" w:hAnsi="宋体" w:eastAsia="宋体" w:cs="宋体"/>
          <w:b/>
          <w:color w:val="auto"/>
          <w:sz w:val="21"/>
          <w:szCs w:val="21"/>
          <w:highlight w:val="none"/>
          <w:lang w:val="en-US" w:eastAsia="zh-CN"/>
        </w:rPr>
        <w:t>可不提供。</w:t>
      </w:r>
    </w:p>
    <w:p>
      <w:pPr>
        <w:spacing w:line="440" w:lineRule="exact"/>
        <w:jc w:val="center"/>
        <w:rPr>
          <w:rFonts w:hint="eastAsia" w:ascii="宋体" w:hAnsi="宋体" w:eastAsia="宋体" w:cs="宋体"/>
          <w:color w:val="auto"/>
          <w:sz w:val="21"/>
          <w:szCs w:val="21"/>
          <w:highlight w:val="none"/>
        </w:rPr>
      </w:pPr>
    </w:p>
    <w:p>
      <w:pPr>
        <w:autoSpaceDE w:val="0"/>
        <w:autoSpaceDN w:val="0"/>
        <w:adjustRightInd w:val="0"/>
        <w:snapToGrid w:val="0"/>
        <w:spacing w:line="36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spacing w:line="360" w:lineRule="auto"/>
        <w:ind w:firstLine="2310"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pPr>
        <w:spacing w:line="360" w:lineRule="auto"/>
        <w:ind w:firstLine="3780"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60" w:lineRule="auto"/>
        <w:rPr>
          <w:rFonts w:hint="eastAsia" w:ascii="宋体" w:hAnsi="宋体" w:eastAsia="宋体" w:cs="宋体"/>
          <w:b/>
          <w:bCs/>
          <w:color w:val="auto"/>
          <w:spacing w:val="6"/>
          <w:sz w:val="21"/>
          <w:szCs w:val="21"/>
          <w:highlight w:val="none"/>
        </w:rPr>
      </w:pPr>
    </w:p>
    <w:p>
      <w:pPr>
        <w:keepNext w:val="0"/>
        <w:keepLines w:val="0"/>
        <w:pageBreakBefore w:val="0"/>
        <w:kinsoku/>
        <w:wordWrap/>
        <w:overflowPunct/>
        <w:topLinePunct w:val="0"/>
        <w:autoSpaceDE/>
        <w:autoSpaceDN/>
        <w:bidi w:val="0"/>
        <w:adjustRightInd/>
        <w:snapToGrid/>
        <w:spacing w:line="360" w:lineRule="auto"/>
        <w:ind w:firstLine="446" w:firstLineChars="200"/>
        <w:textAlignment w:val="auto"/>
        <w:rPr>
          <w:rFonts w:hint="eastAsia" w:ascii="宋体" w:hAnsi="宋体" w:eastAsia="宋体" w:cs="宋体"/>
          <w:b/>
          <w:bCs/>
          <w:color w:val="auto"/>
          <w:spacing w:val="6"/>
          <w:sz w:val="21"/>
          <w:szCs w:val="21"/>
          <w:highlight w:val="none"/>
        </w:rPr>
      </w:pPr>
    </w:p>
    <w:p>
      <w:pPr>
        <w:pStyle w:val="24"/>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color w:val="auto"/>
          <w:sz w:val="21"/>
          <w:szCs w:val="21"/>
          <w:highlight w:val="none"/>
        </w:rPr>
        <w:t>监狱企业参加政府采购活动时，应当提供由省级以上监狱管理局、戒毒管理局（含新疆生产建设兵团）出具的属于监狱企业的证明文件。</w:t>
      </w:r>
    </w:p>
    <w:p>
      <w:pPr>
        <w:pStyle w:val="24"/>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bCs/>
          <w:color w:val="auto"/>
          <w:sz w:val="21"/>
          <w:szCs w:val="21"/>
          <w:highlight w:val="none"/>
        </w:rPr>
        <w:t>非监狱企业可不提供。</w:t>
      </w:r>
    </w:p>
    <w:p>
      <w:pPr>
        <w:spacing w:line="360" w:lineRule="auto"/>
        <w:rPr>
          <w:rFonts w:hint="eastAsia" w:ascii="宋体" w:hAnsi="宋体" w:eastAsia="宋体" w:cs="宋体"/>
          <w:b/>
          <w:color w:val="auto"/>
          <w:spacing w:val="4"/>
          <w:sz w:val="24"/>
          <w:szCs w:val="24"/>
          <w:highlight w:val="none"/>
        </w:rPr>
      </w:pPr>
    </w:p>
    <w:p>
      <w:pPr>
        <w:spacing w:line="360" w:lineRule="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拒绝政府采购领域商业贿赂承诺书</w:t>
      </w:r>
    </w:p>
    <w:p>
      <w:pPr>
        <w:keepNext w:val="0"/>
        <w:keepLines w:val="0"/>
        <w:pageBreakBefore w:val="0"/>
        <w:widowControl w:val="0"/>
        <w:kinsoku/>
        <w:wordWrap/>
        <w:overflowPunct w:val="0"/>
        <w:topLinePunct/>
        <w:autoSpaceDE/>
        <w:autoSpaceDN/>
        <w:bidi w:val="0"/>
        <w:spacing w:line="360" w:lineRule="auto"/>
        <w:jc w:val="center"/>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val="0"/>
        <w:topLinePunct/>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拒绝政府采购领域商业贿赂承诺书</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为响应党中央、国务院关于治理政府采购领域商业贿赂行为的号召，我公司在此承诺：</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1、在参与政府采购活动中遵纪守法、诚信经营、公平竞标。</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2、不向政府采购人、采购代理机构和政府采购评审专家进行任何形式的商业贿赂以谋取交易机会。</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3、不向政府采购代理机构和采购人提供虚假资质文件或采用虚假应标方式参与政府采购市场竞争并谋取中标、成交。</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4、不采取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围标、陪标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等商业欺诈手段获得政府采购定单。</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5、不采取不正当手段诋毁、排挤其他供应商。</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6、不在提供商品和服务时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偷梁换柱、以次充好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损害采购人的合法权益。</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7、不与采购人、采购代理机构政府采购评审专家或其它供应商恶意串通，进行质疑和投诉，维护政府采购市场秩序。</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8、尊重和接受政府采购监督管理部门的监督和政府采购代理机构招标采购要求，承担因违约行为给采购人造成的损失。</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9、不发生其他有悖于政府采购公开、公平、公正和诚信原则的行为。</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承诺单位（盖章）</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全权代表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rPr>
        <w:t>签字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zh-CN"/>
        </w:rPr>
        <w:t>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                           </w:t>
      </w:r>
    </w:p>
    <w:p>
      <w:pPr>
        <w:keepNext w:val="0"/>
        <w:keepLines w:val="0"/>
        <w:pageBreakBefore w:val="0"/>
        <w:widowControl w:val="0"/>
        <w:tabs>
          <w:tab w:val="left" w:pos="720"/>
          <w:tab w:val="left" w:pos="8364"/>
        </w:tabs>
        <w:kinsoku/>
        <w:wordWrap/>
        <w:overflowPunct w:val="0"/>
        <w:topLinePunct/>
        <w:autoSpaceDE/>
        <w:autoSpaceDN/>
        <w:bidi w:val="0"/>
        <w:adjustRightInd w:val="0"/>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p>
    <w:p>
      <w:pPr>
        <w:keepNext w:val="0"/>
        <w:keepLines w:val="0"/>
        <w:pageBreakBefore w:val="0"/>
        <w:widowControl w:val="0"/>
        <w:tabs>
          <w:tab w:val="left" w:pos="7920"/>
        </w:tabs>
        <w:kinsoku/>
        <w:wordWrap/>
        <w:overflowPunct w:val="0"/>
        <w:topLinePunct/>
        <w:autoSpaceDE/>
        <w:autoSpaceDN/>
        <w:bidi w:val="0"/>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numPr>
          <w:ilvl w:val="-1"/>
          <w:numId w:val="0"/>
        </w:numPr>
        <w:spacing w:line="240" w:lineRule="auto"/>
        <w:jc w:val="left"/>
        <w:outlineLvl w:val="2"/>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1"/>
          <w:szCs w:val="21"/>
          <w:highlight w:val="none"/>
          <w:lang w:val="en-US" w:eastAsia="zh-CN"/>
        </w:rPr>
        <w:t>4、营业执照或其他企业主体证明资料</w:t>
      </w:r>
      <w:r>
        <w:rPr>
          <w:rFonts w:hint="eastAsia" w:ascii="宋体" w:hAnsi="宋体" w:eastAsia="宋体" w:cs="宋体"/>
          <w:color w:val="auto"/>
          <w:sz w:val="21"/>
          <w:szCs w:val="21"/>
          <w:highlight w:val="none"/>
        </w:rPr>
        <w:br w:type="page"/>
      </w:r>
    </w:p>
    <w:p>
      <w:pPr>
        <w:numPr>
          <w:ilvl w:val="0"/>
          <w:numId w:val="0"/>
        </w:numPr>
        <w:spacing w:line="360" w:lineRule="auto"/>
        <w:jc w:val="both"/>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r>
        <w:rPr>
          <w:rFonts w:hint="eastAsia" w:ascii="宋体" w:hAnsi="宋体" w:cs="宋体"/>
          <w:b/>
          <w:bCs/>
          <w:color w:val="auto"/>
          <w:sz w:val="21"/>
          <w:szCs w:val="21"/>
          <w:highlight w:val="none"/>
          <w:lang w:val="en-US" w:eastAsia="zh-CN"/>
        </w:rPr>
        <w:t>企业资质</w:t>
      </w:r>
    </w:p>
    <w:p>
      <w:pPr>
        <w:rPr>
          <w:rFonts w:hint="eastAsia" w:ascii="宋体" w:hAnsi="宋体" w:eastAsia="宋体" w:cs="宋体"/>
          <w:bCs/>
          <w:color w:val="auto"/>
          <w:sz w:val="21"/>
          <w:szCs w:val="21"/>
          <w:highlight w:val="none"/>
        </w:rPr>
      </w:pPr>
    </w:p>
    <w:p>
      <w:pPr>
        <w:rPr>
          <w:rFonts w:hint="eastAsia" w:ascii="宋体" w:hAnsi="宋体" w:eastAsia="宋体" w:cs="宋体"/>
          <w:bCs/>
          <w:color w:val="auto"/>
          <w:sz w:val="21"/>
          <w:szCs w:val="21"/>
          <w:highlight w:val="none"/>
        </w:rPr>
      </w:pPr>
    </w:p>
    <w:p>
      <w:pPr>
        <w:rPr>
          <w:rFonts w:hint="eastAsia" w:ascii="宋体" w:hAnsi="宋体" w:eastAsia="宋体" w:cs="宋体"/>
          <w:bCs/>
          <w:color w:val="auto"/>
          <w:sz w:val="21"/>
          <w:szCs w:val="21"/>
          <w:highlight w:val="none"/>
        </w:rPr>
      </w:pPr>
    </w:p>
    <w:p>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pPr>
        <w:numPr>
          <w:ilvl w:val="0"/>
          <w:numId w:val="0"/>
        </w:numPr>
        <w:spacing w:line="360" w:lineRule="auto"/>
        <w:jc w:val="both"/>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r>
        <w:rPr>
          <w:rFonts w:hint="eastAsia" w:ascii="宋体" w:hAnsi="宋体" w:cs="宋体"/>
          <w:b/>
          <w:bCs/>
          <w:color w:val="auto"/>
          <w:sz w:val="21"/>
          <w:szCs w:val="21"/>
          <w:highlight w:val="none"/>
          <w:lang w:val="en-US" w:eastAsia="zh-CN"/>
        </w:rPr>
        <w:t>项目经理资格</w:t>
      </w:r>
    </w:p>
    <w:p>
      <w:pPr>
        <w:rPr>
          <w:rFonts w:hint="eastAsia" w:ascii="宋体" w:hAnsi="宋体" w:eastAsia="宋体" w:cs="宋体"/>
          <w:bCs/>
          <w:color w:val="auto"/>
          <w:sz w:val="21"/>
          <w:szCs w:val="21"/>
          <w:highlight w:val="none"/>
        </w:rPr>
      </w:pP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pPr>
        <w:spacing w:before="312" w:beforeLines="100" w:after="312" w:afterLines="10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项目负责人无在建承诺书</w:t>
      </w:r>
    </w:p>
    <w:p>
      <w:pPr>
        <w:spacing w:after="312" w:afterLines="100"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名称）：</w:t>
      </w:r>
    </w:p>
    <w:p>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我方在此声明，我方拟派往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（项目名称）（以下简称“本项目”）的项目负责人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（项目负责人姓名）现阶段没有担任任何在施建设工程项目的项目负责人。</w:t>
      </w:r>
    </w:p>
    <w:p>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我方保证上述信息的真实和准确，并愿意承担因我方就此弄虚作假所引起的一切法律后果。</w:t>
      </w:r>
    </w:p>
    <w:p>
      <w:pPr>
        <w:spacing w:line="440" w:lineRule="exact"/>
        <w:ind w:firstLine="420" w:firstLineChars="200"/>
        <w:rPr>
          <w:rFonts w:hint="eastAsia" w:ascii="宋体" w:hAnsi="宋体" w:cs="宋体"/>
          <w:color w:val="auto"/>
          <w:sz w:val="21"/>
          <w:szCs w:val="21"/>
          <w:highlight w:val="none"/>
        </w:rPr>
      </w:pPr>
    </w:p>
    <w:p>
      <w:pPr>
        <w:spacing w:line="440" w:lineRule="exact"/>
        <w:ind w:firstLine="420" w:firstLineChars="200"/>
        <w:rPr>
          <w:rFonts w:hint="eastAsia" w:ascii="宋体" w:hAnsi="宋体" w:cs="宋体"/>
          <w:color w:val="auto"/>
          <w:sz w:val="21"/>
          <w:szCs w:val="21"/>
          <w:highlight w:val="none"/>
        </w:rPr>
      </w:pPr>
    </w:p>
    <w:p>
      <w:pPr>
        <w:spacing w:line="44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特此承诺</w:t>
      </w:r>
      <w:r>
        <w:rPr>
          <w:rFonts w:hint="eastAsia" w:ascii="宋体" w:hAnsi="宋体" w:cs="宋体"/>
          <w:color w:val="auto"/>
          <w:sz w:val="21"/>
          <w:szCs w:val="21"/>
          <w:highlight w:val="none"/>
          <w:lang w:eastAsia="zh-CN"/>
        </w:rPr>
        <w:t>。</w:t>
      </w:r>
    </w:p>
    <w:p>
      <w:pPr>
        <w:spacing w:line="440" w:lineRule="exact"/>
        <w:ind w:firstLine="480" w:firstLineChars="200"/>
        <w:rPr>
          <w:rFonts w:hint="eastAsia" w:ascii="宋体" w:hAnsi="宋体" w:cs="宋体"/>
          <w:color w:val="auto"/>
          <w:sz w:val="24"/>
          <w:szCs w:val="24"/>
          <w:highlight w:val="none"/>
        </w:rPr>
      </w:pPr>
    </w:p>
    <w:p>
      <w:pPr>
        <w:spacing w:line="440" w:lineRule="exact"/>
        <w:ind w:firstLine="480" w:firstLineChars="200"/>
        <w:rPr>
          <w:rFonts w:hint="eastAsia" w:ascii="宋体" w:hAnsi="宋体" w:cs="宋体"/>
          <w:color w:val="auto"/>
          <w:sz w:val="24"/>
          <w:szCs w:val="24"/>
          <w:highlight w:val="none"/>
        </w:rPr>
      </w:pPr>
    </w:p>
    <w:p>
      <w:pPr>
        <w:spacing w:line="440" w:lineRule="exact"/>
        <w:ind w:firstLine="480" w:firstLineChars="200"/>
        <w:rPr>
          <w:rFonts w:hint="eastAsia" w:ascii="宋体" w:hAnsi="宋体" w:cs="宋体"/>
          <w:color w:val="auto"/>
          <w:sz w:val="24"/>
          <w:szCs w:val="24"/>
          <w:highlight w:val="none"/>
        </w:rPr>
      </w:pPr>
    </w:p>
    <w:p>
      <w:pPr>
        <w:spacing w:line="440" w:lineRule="exact"/>
        <w:ind w:firstLine="480" w:firstLineChars="200"/>
        <w:rPr>
          <w:rFonts w:hint="eastAsia" w:ascii="宋体" w:hAnsi="宋体" w:cs="宋体"/>
          <w:color w:val="auto"/>
          <w:sz w:val="24"/>
          <w:szCs w:val="24"/>
          <w:highlight w:val="none"/>
        </w:rPr>
      </w:pPr>
    </w:p>
    <w:p>
      <w:pPr>
        <w:spacing w:line="440" w:lineRule="exact"/>
        <w:ind w:firstLine="480" w:firstLineChars="200"/>
        <w:rPr>
          <w:rFonts w:hint="eastAsia" w:ascii="宋体" w:hAnsi="宋体" w:cs="宋体"/>
          <w:color w:val="auto"/>
          <w:sz w:val="24"/>
          <w:szCs w:val="24"/>
          <w:highlight w:val="none"/>
        </w:rPr>
      </w:pPr>
    </w:p>
    <w:p>
      <w:pPr>
        <w:spacing w:line="440" w:lineRule="exact"/>
        <w:ind w:firstLine="480" w:firstLineChars="200"/>
        <w:rPr>
          <w:rFonts w:hint="eastAsia" w:ascii="宋体" w:hAnsi="宋体" w:cs="宋体"/>
          <w:color w:val="auto"/>
          <w:sz w:val="24"/>
          <w:szCs w:val="24"/>
          <w:highlight w:val="none"/>
        </w:rPr>
      </w:pPr>
    </w:p>
    <w:p>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spacing w:line="360" w:lineRule="auto"/>
        <w:ind w:firstLine="2310"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（单位负责人）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pPr>
        <w:spacing w:line="360" w:lineRule="auto"/>
        <w:ind w:firstLine="3780"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bCs/>
          <w:color w:val="auto"/>
          <w:sz w:val="21"/>
          <w:szCs w:val="21"/>
          <w:highlight w:val="none"/>
        </w:rPr>
      </w:pPr>
    </w:p>
    <w:p>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pPr>
        <w:numPr>
          <w:ilvl w:val="0"/>
          <w:numId w:val="0"/>
        </w:numPr>
        <w:spacing w:line="360" w:lineRule="auto"/>
        <w:jc w:val="both"/>
        <w:outlineLvl w:val="2"/>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声明</w:t>
      </w:r>
      <w:r>
        <w:rPr>
          <w:rFonts w:hint="eastAsia" w:ascii="宋体" w:hAnsi="宋体" w:cs="宋体"/>
          <w:b/>
          <w:bCs/>
          <w:color w:val="auto"/>
          <w:sz w:val="21"/>
          <w:szCs w:val="21"/>
          <w:highlight w:val="none"/>
          <w:lang w:val="en-US" w:eastAsia="zh-CN"/>
        </w:rPr>
        <w:t>函</w:t>
      </w:r>
    </w:p>
    <w:p>
      <w:pPr>
        <w:rPr>
          <w:rFonts w:hint="eastAsia" w:ascii="宋体" w:hAnsi="宋体" w:eastAsia="宋体" w:cs="宋体"/>
          <w:bCs/>
          <w:color w:val="auto"/>
          <w:sz w:val="21"/>
          <w:szCs w:val="21"/>
          <w:highlight w:val="none"/>
        </w:rPr>
      </w:pPr>
    </w:p>
    <w:p>
      <w:pPr>
        <w:bidi w:val="0"/>
        <w:spacing w:line="360" w:lineRule="auto"/>
        <w:jc w:val="center"/>
        <w:rPr>
          <w:rFonts w:hint="eastAsia" w:ascii="宋体" w:hAnsi="宋体" w:cs="宋体"/>
          <w:b/>
          <w:bCs/>
          <w:color w:val="auto"/>
          <w:sz w:val="24"/>
          <w:szCs w:val="24"/>
          <w:highlight w:val="none"/>
          <w:lang w:eastAsia="zh-CN"/>
        </w:rPr>
      </w:pPr>
    </w:p>
    <w:p>
      <w:pPr>
        <w:bidi w:val="0"/>
        <w:spacing w:line="360" w:lineRule="auto"/>
        <w:jc w:val="center"/>
        <w:rPr>
          <w:rFonts w:hint="eastAsia" w:ascii="宋体" w:hAnsi="宋体" w:cs="宋体"/>
          <w:b/>
          <w:bCs/>
          <w:color w:val="auto"/>
          <w:sz w:val="24"/>
          <w:szCs w:val="24"/>
          <w:highlight w:val="none"/>
          <w:lang w:eastAsia="zh-CN"/>
        </w:rPr>
      </w:pPr>
    </w:p>
    <w:p>
      <w:pPr>
        <w:bidi w:val="0"/>
        <w:spacing w:line="360" w:lineRule="auto"/>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非联合体</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的声明（联合体供应商无须提供）</w:t>
      </w:r>
    </w:p>
    <w:p>
      <w:pPr>
        <w:autoSpaceDE w:val="0"/>
        <w:autoSpaceDN w:val="0"/>
        <w:adjustRightInd w:val="0"/>
        <w:spacing w:line="360" w:lineRule="auto"/>
        <w:jc w:val="center"/>
        <w:rPr>
          <w:rFonts w:hint="eastAsia" w:ascii="宋体" w:hAnsi="宋体" w:eastAsia="宋体" w:cs="宋体"/>
          <w:b/>
          <w:color w:val="auto"/>
          <w:sz w:val="24"/>
          <w:szCs w:val="24"/>
          <w:highlight w:val="none"/>
        </w:rPr>
      </w:pPr>
    </w:p>
    <w:p>
      <w:pPr>
        <w:bidi w:val="0"/>
        <w:rPr>
          <w:rFonts w:hint="eastAsia"/>
          <w:color w:val="auto"/>
          <w:highlight w:val="none"/>
        </w:rPr>
      </w:pPr>
    </w:p>
    <w:p>
      <w:pPr>
        <w:autoSpaceDE w:val="0"/>
        <w:autoSpaceDN w:val="0"/>
        <w:adjustRightInd w:val="0"/>
        <w:spacing w:line="360" w:lineRule="auto"/>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致</w:t>
      </w:r>
      <w:r>
        <w:rPr>
          <w:rFonts w:hint="eastAsia" w:ascii="宋体" w:hAnsi="宋体" w:eastAsia="宋体" w:cs="宋体"/>
          <w:b/>
          <w:bCs w:val="0"/>
          <w:color w:val="auto"/>
          <w:sz w:val="21"/>
          <w:szCs w:val="21"/>
          <w:highlight w:val="none"/>
          <w:u w:val="single"/>
        </w:rPr>
        <w:t>：</w:t>
      </w:r>
      <w:r>
        <w:rPr>
          <w:rFonts w:hint="eastAsia" w:ascii="宋体" w:hAnsi="宋体" w:eastAsia="宋体" w:cs="宋体"/>
          <w:b/>
          <w:bCs w:val="0"/>
          <w:color w:val="auto"/>
          <w:sz w:val="21"/>
          <w:szCs w:val="21"/>
          <w:highlight w:val="none"/>
          <w:u w:val="single"/>
          <w:lang w:val="en-US" w:eastAsia="zh-CN"/>
        </w:rPr>
        <w:t>采购人名称</w:t>
      </w:r>
      <w:r>
        <w:rPr>
          <w:rFonts w:hint="eastAsia" w:ascii="宋体" w:hAnsi="宋体" w:eastAsia="宋体" w:cs="宋体"/>
          <w:b/>
          <w:bCs w:val="0"/>
          <w:color w:val="auto"/>
          <w:sz w:val="21"/>
          <w:szCs w:val="21"/>
          <w:highlight w:val="none"/>
          <w:u w:val="single"/>
        </w:rPr>
        <w:t xml:space="preserve"> </w:t>
      </w:r>
    </w:p>
    <w:p>
      <w:pPr>
        <w:autoSpaceDE w:val="0"/>
        <w:autoSpaceDN w:val="0"/>
        <w:adjustRightInd w:val="0"/>
        <w:spacing w:line="360" w:lineRule="auto"/>
        <w:ind w:firstLine="420" w:firstLineChars="200"/>
        <w:rPr>
          <w:rFonts w:hint="eastAsia" w:ascii="宋体" w:hAnsi="宋体" w:eastAsia="宋体" w:cs="宋体"/>
          <w:bCs/>
          <w:color w:val="auto"/>
          <w:sz w:val="21"/>
          <w:szCs w:val="21"/>
          <w:highlight w:val="none"/>
        </w:rPr>
      </w:pPr>
    </w:p>
    <w:p>
      <w:pPr>
        <w:autoSpaceDE w:val="0"/>
        <w:autoSpaceDN w:val="0"/>
        <w:adjustRightIn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我公司独立参加此次</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，未与其他单位组成联合体。</w:t>
      </w:r>
    </w:p>
    <w:p>
      <w:pPr>
        <w:autoSpaceDE w:val="0"/>
        <w:autoSpaceDN w:val="0"/>
        <w:adjustRightIn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特此声明。</w:t>
      </w:r>
    </w:p>
    <w:p>
      <w:pPr>
        <w:autoSpaceDE w:val="0"/>
        <w:autoSpaceDN w:val="0"/>
        <w:adjustRightInd w:val="0"/>
        <w:spacing w:line="360" w:lineRule="auto"/>
        <w:jc w:val="center"/>
        <w:rPr>
          <w:rFonts w:hint="eastAsia" w:ascii="宋体" w:hAnsi="宋体" w:eastAsia="宋体" w:cs="宋体"/>
          <w:b/>
          <w:color w:val="auto"/>
          <w:sz w:val="21"/>
          <w:szCs w:val="21"/>
          <w:highlight w:val="none"/>
        </w:rPr>
      </w:pPr>
    </w:p>
    <w:p>
      <w:pPr>
        <w:spacing w:line="360" w:lineRule="auto"/>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spacing w:line="360" w:lineRule="auto"/>
        <w:ind w:firstLine="2310" w:firstLineChars="1100"/>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zh-CN"/>
        </w:rPr>
        <w:t>法定代表人</w:t>
      </w:r>
      <w:r>
        <w:rPr>
          <w:rFonts w:hint="eastAsia" w:ascii="宋体" w:hAnsi="宋体" w:eastAsia="宋体" w:cs="宋体"/>
          <w:color w:val="auto"/>
          <w:sz w:val="21"/>
          <w:szCs w:val="21"/>
          <w:highlight w:val="none"/>
        </w:rPr>
        <w:t>（单位负责人）</w:t>
      </w:r>
      <w:r>
        <w:rPr>
          <w:rFonts w:hint="eastAsia" w:ascii="宋体" w:hAnsi="宋体" w:eastAsia="宋体" w:cs="宋体"/>
          <w:color w:val="auto"/>
          <w:sz w:val="21"/>
          <w:szCs w:val="21"/>
          <w:highlight w:val="none"/>
          <w:lang w:val="zh-CN"/>
        </w:rPr>
        <w:t>或授权代表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签字或盖章</w:t>
      </w:r>
      <w:r>
        <w:rPr>
          <w:rFonts w:hint="eastAsia" w:ascii="宋体" w:hAnsi="宋体" w:eastAsia="宋体" w:cs="宋体"/>
          <w:color w:val="auto"/>
          <w:sz w:val="21"/>
          <w:szCs w:val="21"/>
          <w:highlight w:val="none"/>
        </w:rPr>
        <w:t>）</w:t>
      </w:r>
    </w:p>
    <w:p>
      <w:pPr>
        <w:spacing w:line="360" w:lineRule="auto"/>
        <w:ind w:firstLine="3780" w:firstLineChars="18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br w:type="page"/>
      </w:r>
    </w:p>
    <w:p>
      <w:pPr>
        <w:bidi w:val="0"/>
        <w:jc w:val="center"/>
        <w:rPr>
          <w:rFonts w:hint="eastAsia" w:ascii="宋体" w:hAnsi="宋体" w:eastAsia="宋体" w:cs="宋体"/>
          <w:b/>
          <w:bCs/>
          <w:color w:val="auto"/>
          <w:sz w:val="24"/>
          <w:szCs w:val="24"/>
          <w:highlight w:val="none"/>
          <w:lang w:val="en-US" w:eastAsia="zh-CN"/>
        </w:rPr>
      </w:pPr>
    </w:p>
    <w:p>
      <w:pPr>
        <w:bidi w:val="0"/>
        <w:spacing w:line="48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（2）联合体协议书</w:t>
      </w:r>
      <w:r>
        <w:rPr>
          <w:rFonts w:hint="eastAsia" w:ascii="宋体" w:hAnsi="宋体" w:eastAsia="宋体" w:cs="宋体"/>
          <w:b/>
          <w:bCs/>
          <w:color w:val="auto"/>
          <w:sz w:val="24"/>
          <w:szCs w:val="24"/>
          <w:highlight w:val="none"/>
          <w:lang w:eastAsia="zh-CN"/>
        </w:rPr>
        <w:t>（非联合体</w:t>
      </w:r>
      <w:r>
        <w:rPr>
          <w:rFonts w:hint="eastAsia" w:ascii="宋体" w:hAnsi="宋体" w:eastAsia="宋体" w:cs="宋体"/>
          <w:b/>
          <w:bCs/>
          <w:color w:val="auto"/>
          <w:sz w:val="24"/>
          <w:szCs w:val="24"/>
          <w:highlight w:val="none"/>
          <w:lang w:val="en-US" w:eastAsia="zh-CN"/>
        </w:rPr>
        <w:t>供应商无须提供</w:t>
      </w:r>
      <w:r>
        <w:rPr>
          <w:rFonts w:hint="eastAsia" w:ascii="宋体" w:hAnsi="宋体" w:eastAsia="宋体" w:cs="宋体"/>
          <w:b/>
          <w:bCs/>
          <w:color w:val="auto"/>
          <w:sz w:val="24"/>
          <w:szCs w:val="24"/>
          <w:highlight w:val="none"/>
          <w:lang w:eastAsia="zh-CN"/>
        </w:rPr>
        <w:t>）</w:t>
      </w:r>
    </w:p>
    <w:p>
      <w:pPr>
        <w:pageBreakBefore w:val="0"/>
        <w:kinsoku/>
        <w:wordWrap/>
        <w:overflowPunct/>
        <w:topLinePunct/>
        <w:autoSpaceDE/>
        <w:autoSpaceDN/>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（所有成员单位名称）自愿组成联合体，共同参加</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。现就联合体</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事宜订立如下协议。</w:t>
      </w:r>
    </w:p>
    <w:p>
      <w:pPr>
        <w:pageBreakBefore w:val="0"/>
        <w:kinsoku/>
        <w:wordWrap/>
        <w:overflowPunct/>
        <w:topLinePunct/>
        <w:autoSpaceDE/>
        <w:autoSpaceDN/>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（某成员单位名称）为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（联合体名称）牵头人。</w:t>
      </w:r>
    </w:p>
    <w:p>
      <w:pPr>
        <w:pageBreakBefore w:val="0"/>
        <w:kinsoku/>
        <w:wordWrap/>
        <w:overflowPunct/>
        <w:topLinePunct/>
        <w:autoSpaceDE/>
        <w:autoSpaceDN/>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联合体各成员授权牵头人代表联合体参加</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活动，签署文件，提交和接收相</w:t>
      </w:r>
      <w:bookmarkStart w:id="68" w:name="_Toc247514249"/>
      <w:bookmarkStart w:id="69" w:name="_Toc144974859"/>
      <w:bookmarkStart w:id="70" w:name="_Toc152042579"/>
      <w:bookmarkStart w:id="71" w:name="_Toc361508755"/>
      <w:bookmarkStart w:id="72" w:name="_Toc247527830"/>
      <w:bookmarkStart w:id="73" w:name="_Toc384308378"/>
      <w:bookmarkStart w:id="74" w:name="_Toc152045790"/>
      <w:bookmarkStart w:id="75" w:name="_Toc300835212"/>
      <w:r>
        <w:rPr>
          <w:rFonts w:hint="eastAsia" w:ascii="宋体" w:hAnsi="宋体" w:eastAsia="宋体" w:cs="宋体"/>
          <w:color w:val="auto"/>
          <w:sz w:val="21"/>
          <w:szCs w:val="21"/>
          <w:highlight w:val="none"/>
        </w:rPr>
        <w:t>关的</w:t>
      </w:r>
      <w:bookmarkStart w:id="76" w:name="_Toc369531700"/>
      <w:bookmarkStart w:id="77" w:name="_Toc7749"/>
      <w:bookmarkStart w:id="78" w:name="_Toc352691664"/>
      <w:r>
        <w:rPr>
          <w:rFonts w:hint="eastAsia" w:ascii="宋体" w:hAnsi="宋体" w:eastAsia="宋体" w:cs="宋体"/>
          <w:color w:val="auto"/>
          <w:sz w:val="21"/>
          <w:szCs w:val="21"/>
          <w:highlight w:val="none"/>
        </w:rPr>
        <w:t>资料、信息及</w:t>
      </w:r>
      <w:bookmarkEnd w:id="76"/>
      <w:bookmarkEnd w:id="77"/>
      <w:bookmarkEnd w:id="78"/>
      <w:r>
        <w:rPr>
          <w:rFonts w:hint="eastAsia" w:ascii="宋体" w:hAnsi="宋体" w:eastAsia="宋体" w:cs="宋体"/>
          <w:color w:val="auto"/>
          <w:sz w:val="21"/>
          <w:szCs w:val="21"/>
          <w:highlight w:val="none"/>
        </w:rPr>
        <w:t>指</w:t>
      </w:r>
      <w:bookmarkEnd w:id="68"/>
      <w:bookmarkEnd w:id="69"/>
      <w:bookmarkEnd w:id="70"/>
      <w:bookmarkEnd w:id="71"/>
      <w:bookmarkEnd w:id="72"/>
      <w:bookmarkEnd w:id="73"/>
      <w:bookmarkEnd w:id="74"/>
      <w:bookmarkEnd w:id="75"/>
      <w:r>
        <w:rPr>
          <w:rFonts w:hint="eastAsia" w:ascii="宋体" w:hAnsi="宋体" w:eastAsia="宋体" w:cs="宋体"/>
          <w:color w:val="auto"/>
          <w:sz w:val="21"/>
          <w:szCs w:val="21"/>
          <w:highlight w:val="none"/>
        </w:rPr>
        <w:t>示，进行合同谈判活动，负责合同实施阶段的组织和协调工作，以及处理与本项目有关的一切事宜。</w:t>
      </w:r>
    </w:p>
    <w:p>
      <w:pPr>
        <w:pageBreakBefore w:val="0"/>
        <w:kinsoku/>
        <w:wordWrap/>
        <w:overflowPunct/>
        <w:topLinePunct/>
        <w:autoSpaceDE/>
        <w:autoSpaceDN/>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79" w:name="_Toc361508756"/>
      <w:bookmarkStart w:id="80" w:name="_Toc152042580"/>
      <w:bookmarkStart w:id="81" w:name="_Toc352691665"/>
      <w:bookmarkStart w:id="82" w:name="_Toc369531701"/>
      <w:bookmarkStart w:id="83" w:name="_Toc152045791"/>
      <w:bookmarkStart w:id="84" w:name="_Toc27930"/>
      <w:bookmarkStart w:id="85" w:name="_Toc247514283"/>
      <w:bookmarkStart w:id="86" w:name="_Toc300835213"/>
      <w:bookmarkStart w:id="87" w:name="_Toc247527831"/>
      <w:bookmarkStart w:id="88" w:name="_Toc144974860"/>
      <w:bookmarkStart w:id="89" w:name="_Toc384308380"/>
      <w:r>
        <w:rPr>
          <w:rFonts w:hint="eastAsia" w:ascii="宋体" w:hAnsi="宋体" w:eastAsia="宋体" w:cs="宋体"/>
          <w:color w:val="auto"/>
          <w:sz w:val="21"/>
          <w:szCs w:val="21"/>
          <w:highlight w:val="none"/>
        </w:rPr>
        <w:t>. 联合体牵头人在本项目中签署的一切文件和处理</w:t>
      </w:r>
      <w:bookmarkEnd w:id="79"/>
      <w:bookmarkEnd w:id="80"/>
      <w:bookmarkEnd w:id="81"/>
      <w:bookmarkEnd w:id="82"/>
      <w:bookmarkEnd w:id="83"/>
      <w:bookmarkEnd w:id="84"/>
      <w:bookmarkEnd w:id="85"/>
      <w:bookmarkEnd w:id="86"/>
      <w:bookmarkEnd w:id="87"/>
      <w:bookmarkEnd w:id="88"/>
      <w:bookmarkEnd w:id="89"/>
      <w:r>
        <w:rPr>
          <w:rFonts w:hint="eastAsia" w:ascii="宋体" w:hAnsi="宋体" w:eastAsia="宋体" w:cs="宋体"/>
          <w:color w:val="auto"/>
          <w:sz w:val="21"/>
          <w:szCs w:val="21"/>
          <w:highlight w:val="none"/>
        </w:rPr>
        <w:t>的一切事宜，联合体各成员均予以承认。联合体各成员将严格按照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谈判响应</w:t>
      </w:r>
      <w:r>
        <w:rPr>
          <w:rFonts w:hint="eastAsia" w:ascii="宋体" w:hAnsi="宋体" w:eastAsia="宋体" w:cs="宋体"/>
          <w:color w:val="auto"/>
          <w:sz w:val="21"/>
          <w:szCs w:val="21"/>
          <w:highlight w:val="none"/>
        </w:rPr>
        <w:t>文件和合同的要求全面履行义务，并向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承担连带责任。</w:t>
      </w:r>
    </w:p>
    <w:p>
      <w:pPr>
        <w:keepNext w:val="0"/>
        <w:keepLines w:val="0"/>
        <w:pageBreakBefore w:val="0"/>
        <w:widowControl w:val="0"/>
        <w:kinsoku/>
        <w:wordWrap/>
        <w:overflowPunct w:val="0"/>
        <w:topLinePunct/>
        <w:autoSpaceDE/>
        <w:autoSpaceDN/>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联合体各成员单位内部的职责分工如下：</w:t>
      </w:r>
    </w:p>
    <w:p>
      <w:pPr>
        <w:keepNext w:val="0"/>
        <w:keepLines w:val="0"/>
        <w:pageBreakBefore w:val="0"/>
        <w:widowControl w:val="0"/>
        <w:kinsoku/>
        <w:wordWrap/>
        <w:overflowPunct w:val="0"/>
        <w:topLinePunct/>
        <w:autoSpaceDE/>
        <w:autoSpaceDN/>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val="0"/>
        <w:topLinePunct/>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本协议书自所有成员单位法定代表人签字或盖单位章之日起生效，合同履行完毕后自动失效。</w:t>
      </w:r>
    </w:p>
    <w:p>
      <w:pPr>
        <w:pageBreakBefore w:val="0"/>
        <w:kinsoku/>
        <w:wordWrap/>
        <w:overflowPunct/>
        <w:topLinePunct/>
        <w:autoSpaceDE/>
        <w:autoSpaceDN/>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本协议书一式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份，联合体成员和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各执一份。</w:t>
      </w:r>
    </w:p>
    <w:p>
      <w:pPr>
        <w:pageBreakBefore w:val="0"/>
        <w:kinsoku/>
        <w:wordWrap/>
        <w:overflowPunct/>
        <w:topLinePunct/>
        <w:autoSpaceDE/>
        <w:autoSpaceDN/>
        <w:bidi w:val="0"/>
        <w:snapToGrid/>
        <w:spacing w:line="480" w:lineRule="auto"/>
        <w:textAlignment w:val="auto"/>
        <w:rPr>
          <w:rFonts w:hint="eastAsia" w:ascii="宋体" w:hAnsi="宋体" w:eastAsia="宋体" w:cs="宋体"/>
          <w:color w:val="auto"/>
          <w:sz w:val="21"/>
          <w:szCs w:val="21"/>
          <w:highlight w:val="none"/>
        </w:rPr>
      </w:pPr>
    </w:p>
    <w:p>
      <w:pPr>
        <w:pageBreakBefore w:val="0"/>
        <w:kinsoku/>
        <w:wordWrap/>
        <w:overflowPunct/>
        <w:topLinePunct/>
        <w:autoSpaceDE/>
        <w:autoSpaceDN/>
        <w:bidi w:val="0"/>
        <w:snapToGrid/>
        <w:spacing w:line="48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联合体牵头人名称：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pageBreakBefore w:val="0"/>
        <w:kinsoku/>
        <w:wordWrap/>
        <w:overflowPunct/>
        <w:topLinePunct/>
        <w:autoSpaceDE/>
        <w:autoSpaceDN/>
        <w:bidi w:val="0"/>
        <w:snapToGrid/>
        <w:spacing w:line="48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p>
    <w:p>
      <w:pPr>
        <w:pageBreakBefore w:val="0"/>
        <w:kinsoku/>
        <w:wordWrap/>
        <w:overflowPunct/>
        <w:topLinePunct/>
        <w:autoSpaceDE/>
        <w:autoSpaceDN/>
        <w:bidi w:val="0"/>
        <w:snapToGrid/>
        <w:spacing w:line="48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联合体成员名称：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pageBreakBefore w:val="0"/>
        <w:kinsoku/>
        <w:wordWrap/>
        <w:overflowPunct/>
        <w:topLinePunct/>
        <w:autoSpaceDE/>
        <w:autoSpaceDN/>
        <w:bidi w:val="0"/>
        <w:snapToGrid/>
        <w:spacing w:line="480" w:lineRule="auto"/>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p>
    <w:p>
      <w:pPr>
        <w:pageBreakBefore w:val="0"/>
        <w:kinsoku/>
        <w:wordWrap/>
        <w:overflowPunct/>
        <w:topLinePunct/>
        <w:autoSpaceDE/>
        <w:autoSpaceDN/>
        <w:bidi w:val="0"/>
        <w:snapToGrid/>
        <w:spacing w:line="48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联合体成员名称：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pPr>
        <w:pageBreakBefore w:val="0"/>
        <w:kinsoku/>
        <w:wordWrap/>
        <w:overflowPunct/>
        <w:topLinePunct/>
        <w:autoSpaceDE/>
        <w:autoSpaceDN/>
        <w:bidi w:val="0"/>
        <w:snapToGrid/>
        <w:spacing w:line="480" w:lineRule="auto"/>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rPr>
        <w:t>）</w:t>
      </w:r>
    </w:p>
    <w:p>
      <w:pPr>
        <w:autoSpaceDE w:val="0"/>
        <w:autoSpaceDN w:val="0"/>
        <w:adjustRightInd w:val="0"/>
        <w:spacing w:line="480" w:lineRule="auto"/>
        <w:ind w:firstLine="0" w:firstLineChars="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val="en-US" w:eastAsia="zh-CN"/>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spacing w:line="360" w:lineRule="auto"/>
        <w:rPr>
          <w:rFonts w:hint="eastAsia" w:ascii="宋体" w:hAnsi="宋体" w:eastAsia="宋体" w:cs="宋体"/>
          <w:color w:val="auto"/>
          <w:sz w:val="21"/>
          <w:szCs w:val="21"/>
          <w:highlight w:val="none"/>
        </w:rPr>
      </w:pPr>
    </w:p>
    <w:bookmarkEnd w:id="59"/>
    <w:p>
      <w:pPr>
        <w:rPr>
          <w:rFonts w:hint="eastAsia" w:ascii="宋体" w:hAnsi="宋体" w:eastAsia="宋体" w:cs="宋体"/>
          <w:b/>
          <w:color w:val="auto"/>
          <w:highlight w:val="none"/>
          <w:lang w:val="en-US" w:eastAsia="zh-CN"/>
        </w:rPr>
      </w:pPr>
      <w:bookmarkStart w:id="90" w:name="_Toc15943"/>
      <w:bookmarkStart w:id="91" w:name="_Toc23656"/>
      <w:bookmarkStart w:id="92" w:name="_Toc6048"/>
      <w:bookmarkStart w:id="93" w:name="_Toc23574"/>
      <w:bookmarkStart w:id="94" w:name="_Toc1626"/>
      <w:bookmarkStart w:id="95" w:name="_Toc520468914"/>
      <w:r>
        <w:rPr>
          <w:rFonts w:hint="eastAsia" w:ascii="宋体" w:hAnsi="宋体" w:eastAsia="宋体" w:cs="宋体"/>
          <w:b/>
          <w:color w:val="auto"/>
          <w:highlight w:val="none"/>
          <w:lang w:val="en-US" w:eastAsia="zh-CN"/>
        </w:rPr>
        <w:br w:type="page"/>
      </w:r>
    </w:p>
    <w:bookmarkEnd w:id="90"/>
    <w:bookmarkEnd w:id="91"/>
    <w:bookmarkEnd w:id="92"/>
    <w:bookmarkEnd w:id="93"/>
    <w:bookmarkEnd w:id="94"/>
    <w:bookmarkEnd w:id="95"/>
    <w:p>
      <w:pPr>
        <w:bidi w:val="0"/>
        <w:spacing w:line="360" w:lineRule="auto"/>
        <w:jc w:val="center"/>
        <w:outlineLvl w:val="1"/>
        <w:rPr>
          <w:rFonts w:hint="eastAsia" w:ascii="宋体" w:hAnsi="宋体" w:eastAsia="宋体" w:cs="宋体"/>
          <w:b/>
          <w:color w:val="auto"/>
          <w:spacing w:val="2"/>
          <w:sz w:val="32"/>
          <w:szCs w:val="22"/>
          <w:highlight w:val="none"/>
        </w:rPr>
      </w:pPr>
      <w:bookmarkStart w:id="96" w:name="_Toc21028"/>
      <w:r>
        <w:rPr>
          <w:rFonts w:hint="eastAsia" w:ascii="宋体" w:hAnsi="宋体" w:eastAsia="宋体" w:cs="宋体"/>
          <w:b/>
          <w:color w:val="auto"/>
          <w:spacing w:val="2"/>
          <w:sz w:val="32"/>
          <w:szCs w:val="22"/>
          <w:highlight w:val="none"/>
          <w:lang w:val="en-US" w:eastAsia="zh-CN"/>
        </w:rPr>
        <w:t>五</w:t>
      </w:r>
      <w:r>
        <w:rPr>
          <w:rFonts w:hint="eastAsia" w:ascii="宋体" w:hAnsi="宋体" w:eastAsia="宋体" w:cs="宋体"/>
          <w:b/>
          <w:color w:val="auto"/>
          <w:spacing w:val="2"/>
          <w:sz w:val="32"/>
          <w:szCs w:val="22"/>
          <w:highlight w:val="none"/>
        </w:rPr>
        <w:t>、供应商认为需要提供的其他资料</w:t>
      </w:r>
      <w:bookmarkEnd w:id="96"/>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竞争性谈判文件规定的</w:t>
      </w:r>
      <w:r>
        <w:rPr>
          <w:rFonts w:hint="eastAsia" w:ascii="宋体" w:hAnsi="宋体" w:eastAsia="宋体" w:cs="宋体"/>
          <w:color w:val="auto"/>
          <w:sz w:val="21"/>
          <w:szCs w:val="21"/>
          <w:highlight w:val="none"/>
        </w:rPr>
        <w:t>其他资料及供应商认为有必要说明的其它内容或资料）</w:t>
      </w:r>
    </w:p>
    <w:p>
      <w:pPr>
        <w:rPr>
          <w:rFonts w:hint="eastAsia" w:ascii="宋体" w:hAnsi="宋体" w:eastAsia="宋体" w:cs="宋体"/>
          <w:color w:val="auto"/>
          <w:highlight w:val="none"/>
        </w:rPr>
      </w:pPr>
    </w:p>
    <w:sectPr>
      <w:pgSz w:w="11905" w:h="16838"/>
      <w:pgMar w:top="1417" w:right="1417" w:bottom="1417" w:left="141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BatangCh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posOffset>2575560</wp:posOffset>
              </wp:positionH>
              <wp:positionV relativeFrom="paragraph">
                <wp:posOffset>-9525</wp:posOffset>
              </wp:positionV>
              <wp:extent cx="220980" cy="2362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20980" cy="236220"/>
                      </a:xfrm>
                      <a:prstGeom prst="rect">
                        <a:avLst/>
                      </a:prstGeom>
                      <a:noFill/>
                      <a:ln w="6350">
                        <a:noFill/>
                      </a:ln>
                      <a:effectLst/>
                    </wps:spPr>
                    <wps:txbx>
                      <w:txbxContent>
                        <w:p>
                          <w:pPr>
                            <w:pStyle w:val="1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8pt;margin-top:-0.75pt;height:18.6pt;width:17.4pt;mso-position-horizontal-relative:margin;z-index:251660288;mso-width-relative:page;mso-height-relative:page;" filled="f" stroked="f" coordsize="21600,21600" o:gfxdata="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Yhlg2QAAAAkBAAAPAAAAAAAAAAEAIAAAACIAAABkcnMvZG93bnJl&#10;di54bWxQSwECFAAUAAAACACHTuJACPa9mzUCAABjBAAADgAAAAAAAAABACAAAAAoAQAAZHJzL2Uy&#10;b0RvYy54bWxQSwUGAAAAAAYABgBZAQAAzwUAAAAA&#10;">
              <v:fill on="f" focussize="0,0"/>
              <v:stroke on="f" weight="0.5pt"/>
              <v:imagedata o:title=""/>
              <o:lock v:ext="edit" aspectratio="f"/>
              <v:textbox inset="0mm,0mm,0mm,0mm">
                <w:txbxContent>
                  <w:p>
                    <w:pPr>
                      <w:pStyle w:val="1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0" w:leftChars="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5NjJiNTk1MTkzOGNmNTc4MTRlMjY0N2M5MGJlZDQifQ=="/>
    <w:docVar w:name="KSO_WPS_MARK_KEY" w:val="ba09329c-c8c2-458d-b2a6-400d992a1c94"/>
  </w:docVars>
  <w:rsids>
    <w:rsidRoot w:val="3C82437F"/>
    <w:rsid w:val="0004169D"/>
    <w:rsid w:val="00045C1B"/>
    <w:rsid w:val="0007433A"/>
    <w:rsid w:val="00074933"/>
    <w:rsid w:val="000A6E80"/>
    <w:rsid w:val="000F54A5"/>
    <w:rsid w:val="0015257D"/>
    <w:rsid w:val="0015777C"/>
    <w:rsid w:val="001C1EAA"/>
    <w:rsid w:val="001C38BA"/>
    <w:rsid w:val="00223FA5"/>
    <w:rsid w:val="00251E78"/>
    <w:rsid w:val="0028188F"/>
    <w:rsid w:val="002A2649"/>
    <w:rsid w:val="002C17D0"/>
    <w:rsid w:val="002D1A0A"/>
    <w:rsid w:val="002E0094"/>
    <w:rsid w:val="002E650F"/>
    <w:rsid w:val="00306618"/>
    <w:rsid w:val="00333C70"/>
    <w:rsid w:val="00384A80"/>
    <w:rsid w:val="00387102"/>
    <w:rsid w:val="003D34AC"/>
    <w:rsid w:val="003D66F4"/>
    <w:rsid w:val="004118D2"/>
    <w:rsid w:val="004369D7"/>
    <w:rsid w:val="004576FD"/>
    <w:rsid w:val="00464F27"/>
    <w:rsid w:val="00476C56"/>
    <w:rsid w:val="004C19D3"/>
    <w:rsid w:val="004D0E63"/>
    <w:rsid w:val="005071B1"/>
    <w:rsid w:val="00530608"/>
    <w:rsid w:val="00532373"/>
    <w:rsid w:val="00542C8F"/>
    <w:rsid w:val="005555F8"/>
    <w:rsid w:val="005A1EC6"/>
    <w:rsid w:val="005C3DB9"/>
    <w:rsid w:val="005D6429"/>
    <w:rsid w:val="005E0492"/>
    <w:rsid w:val="005E6F4F"/>
    <w:rsid w:val="00630D61"/>
    <w:rsid w:val="0063153E"/>
    <w:rsid w:val="00641C11"/>
    <w:rsid w:val="00697C1B"/>
    <w:rsid w:val="006C4A83"/>
    <w:rsid w:val="006D55F3"/>
    <w:rsid w:val="006E0D42"/>
    <w:rsid w:val="006F69AF"/>
    <w:rsid w:val="0072236F"/>
    <w:rsid w:val="0079320B"/>
    <w:rsid w:val="007957C2"/>
    <w:rsid w:val="007B4F97"/>
    <w:rsid w:val="007B61C1"/>
    <w:rsid w:val="007B695E"/>
    <w:rsid w:val="007C21F4"/>
    <w:rsid w:val="008102FE"/>
    <w:rsid w:val="00812DF6"/>
    <w:rsid w:val="008540F0"/>
    <w:rsid w:val="00863EFB"/>
    <w:rsid w:val="00873503"/>
    <w:rsid w:val="00893773"/>
    <w:rsid w:val="008F3252"/>
    <w:rsid w:val="008F66D6"/>
    <w:rsid w:val="009138BE"/>
    <w:rsid w:val="009361CB"/>
    <w:rsid w:val="0096656E"/>
    <w:rsid w:val="00975D85"/>
    <w:rsid w:val="0099262C"/>
    <w:rsid w:val="00997B09"/>
    <w:rsid w:val="009B1E16"/>
    <w:rsid w:val="00A022F5"/>
    <w:rsid w:val="00A2372B"/>
    <w:rsid w:val="00A23F57"/>
    <w:rsid w:val="00A25C8D"/>
    <w:rsid w:val="00A40B8D"/>
    <w:rsid w:val="00A47745"/>
    <w:rsid w:val="00AE1D41"/>
    <w:rsid w:val="00AF618E"/>
    <w:rsid w:val="00B01542"/>
    <w:rsid w:val="00B2173E"/>
    <w:rsid w:val="00B64605"/>
    <w:rsid w:val="00C0474E"/>
    <w:rsid w:val="00C241C9"/>
    <w:rsid w:val="00C93FD4"/>
    <w:rsid w:val="00CB7D30"/>
    <w:rsid w:val="00CC5B9D"/>
    <w:rsid w:val="00CD6E6B"/>
    <w:rsid w:val="00CF7C8E"/>
    <w:rsid w:val="00D10F10"/>
    <w:rsid w:val="00D66680"/>
    <w:rsid w:val="00D87A95"/>
    <w:rsid w:val="00D94031"/>
    <w:rsid w:val="00DA0813"/>
    <w:rsid w:val="00DC794B"/>
    <w:rsid w:val="00DF1FFE"/>
    <w:rsid w:val="00E104A2"/>
    <w:rsid w:val="00E20FFD"/>
    <w:rsid w:val="00E404D2"/>
    <w:rsid w:val="00E96BC3"/>
    <w:rsid w:val="00EB0028"/>
    <w:rsid w:val="00EF2481"/>
    <w:rsid w:val="00F977B4"/>
    <w:rsid w:val="00FB024D"/>
    <w:rsid w:val="00FB1117"/>
    <w:rsid w:val="00FE243E"/>
    <w:rsid w:val="00FF40EC"/>
    <w:rsid w:val="0142320D"/>
    <w:rsid w:val="01481230"/>
    <w:rsid w:val="01827C1E"/>
    <w:rsid w:val="01A375D1"/>
    <w:rsid w:val="01CA509A"/>
    <w:rsid w:val="01CA69BA"/>
    <w:rsid w:val="01E15A20"/>
    <w:rsid w:val="01FE3C22"/>
    <w:rsid w:val="02111B48"/>
    <w:rsid w:val="023C33F5"/>
    <w:rsid w:val="02D651FD"/>
    <w:rsid w:val="03183ED2"/>
    <w:rsid w:val="03615C9F"/>
    <w:rsid w:val="038570C8"/>
    <w:rsid w:val="04051239"/>
    <w:rsid w:val="042E6C98"/>
    <w:rsid w:val="044D1ABE"/>
    <w:rsid w:val="04603141"/>
    <w:rsid w:val="046E5957"/>
    <w:rsid w:val="04ED41A7"/>
    <w:rsid w:val="051F5B1F"/>
    <w:rsid w:val="053D466A"/>
    <w:rsid w:val="056A0E7A"/>
    <w:rsid w:val="058E1A7D"/>
    <w:rsid w:val="059A5C36"/>
    <w:rsid w:val="05C2758A"/>
    <w:rsid w:val="068C63E6"/>
    <w:rsid w:val="06995715"/>
    <w:rsid w:val="06A20B86"/>
    <w:rsid w:val="06D17F0B"/>
    <w:rsid w:val="06DC0977"/>
    <w:rsid w:val="071F206D"/>
    <w:rsid w:val="073A0A3D"/>
    <w:rsid w:val="07971FD7"/>
    <w:rsid w:val="07A179CF"/>
    <w:rsid w:val="07C4018D"/>
    <w:rsid w:val="07E44D2A"/>
    <w:rsid w:val="07EB0572"/>
    <w:rsid w:val="0831148E"/>
    <w:rsid w:val="08433F9B"/>
    <w:rsid w:val="088467A2"/>
    <w:rsid w:val="08A2799E"/>
    <w:rsid w:val="08AB402F"/>
    <w:rsid w:val="08C762A2"/>
    <w:rsid w:val="08D4392C"/>
    <w:rsid w:val="08D810E5"/>
    <w:rsid w:val="09546C5C"/>
    <w:rsid w:val="09713F1D"/>
    <w:rsid w:val="0A0F3516"/>
    <w:rsid w:val="0A392BAE"/>
    <w:rsid w:val="0A683A8F"/>
    <w:rsid w:val="0A9B1374"/>
    <w:rsid w:val="0B003D98"/>
    <w:rsid w:val="0B076D6B"/>
    <w:rsid w:val="0B0D7049"/>
    <w:rsid w:val="0B127869"/>
    <w:rsid w:val="0B2B1950"/>
    <w:rsid w:val="0B38405B"/>
    <w:rsid w:val="0B396CE0"/>
    <w:rsid w:val="0BAE2BE6"/>
    <w:rsid w:val="0C040028"/>
    <w:rsid w:val="0C0C4F01"/>
    <w:rsid w:val="0C5D77DB"/>
    <w:rsid w:val="0C643396"/>
    <w:rsid w:val="0C916F51"/>
    <w:rsid w:val="0CC93735"/>
    <w:rsid w:val="0CEB2214"/>
    <w:rsid w:val="0CF32544"/>
    <w:rsid w:val="0D1E30EB"/>
    <w:rsid w:val="0D1F511A"/>
    <w:rsid w:val="0D327BF2"/>
    <w:rsid w:val="0D481A33"/>
    <w:rsid w:val="0D7A7CE9"/>
    <w:rsid w:val="0DA33F9D"/>
    <w:rsid w:val="0DBC3B3B"/>
    <w:rsid w:val="0DBE0B22"/>
    <w:rsid w:val="0DDC6A16"/>
    <w:rsid w:val="0DE95BBF"/>
    <w:rsid w:val="0E461206"/>
    <w:rsid w:val="0E630B09"/>
    <w:rsid w:val="0E6E287A"/>
    <w:rsid w:val="0E707BF7"/>
    <w:rsid w:val="0E7A3E5B"/>
    <w:rsid w:val="0E9E2A28"/>
    <w:rsid w:val="0EC87A33"/>
    <w:rsid w:val="0EEA4E34"/>
    <w:rsid w:val="0F5D3ED2"/>
    <w:rsid w:val="0F9E783F"/>
    <w:rsid w:val="0FA567AF"/>
    <w:rsid w:val="0FF9448B"/>
    <w:rsid w:val="0FFD294E"/>
    <w:rsid w:val="10061BBF"/>
    <w:rsid w:val="10115BBE"/>
    <w:rsid w:val="10AC3C93"/>
    <w:rsid w:val="10B959E3"/>
    <w:rsid w:val="113D3AFC"/>
    <w:rsid w:val="11471B69"/>
    <w:rsid w:val="116E574A"/>
    <w:rsid w:val="119105B0"/>
    <w:rsid w:val="11946F78"/>
    <w:rsid w:val="11B9520E"/>
    <w:rsid w:val="11DC3DA7"/>
    <w:rsid w:val="11DD7458"/>
    <w:rsid w:val="11E93DD7"/>
    <w:rsid w:val="12233F7A"/>
    <w:rsid w:val="12385029"/>
    <w:rsid w:val="123E68B8"/>
    <w:rsid w:val="1252148B"/>
    <w:rsid w:val="12526960"/>
    <w:rsid w:val="12594DD8"/>
    <w:rsid w:val="129C5206"/>
    <w:rsid w:val="12A261F7"/>
    <w:rsid w:val="12BE3627"/>
    <w:rsid w:val="12C63E1F"/>
    <w:rsid w:val="12E7492B"/>
    <w:rsid w:val="12FA62F9"/>
    <w:rsid w:val="13003248"/>
    <w:rsid w:val="131E253E"/>
    <w:rsid w:val="1355309B"/>
    <w:rsid w:val="13FB3581"/>
    <w:rsid w:val="143F2883"/>
    <w:rsid w:val="144C0D20"/>
    <w:rsid w:val="14526ED7"/>
    <w:rsid w:val="14DE3B0C"/>
    <w:rsid w:val="151B1304"/>
    <w:rsid w:val="152201D7"/>
    <w:rsid w:val="15230795"/>
    <w:rsid w:val="15233C15"/>
    <w:rsid w:val="15D37BFE"/>
    <w:rsid w:val="15F24B03"/>
    <w:rsid w:val="160C7EC6"/>
    <w:rsid w:val="16342DC2"/>
    <w:rsid w:val="166506EB"/>
    <w:rsid w:val="169F1079"/>
    <w:rsid w:val="16A20B69"/>
    <w:rsid w:val="16A51FB6"/>
    <w:rsid w:val="16D317BA"/>
    <w:rsid w:val="17027F03"/>
    <w:rsid w:val="17752658"/>
    <w:rsid w:val="17880186"/>
    <w:rsid w:val="17A209F9"/>
    <w:rsid w:val="17C90221"/>
    <w:rsid w:val="17E6252B"/>
    <w:rsid w:val="17F478D8"/>
    <w:rsid w:val="180E69B0"/>
    <w:rsid w:val="182D78ED"/>
    <w:rsid w:val="184049D3"/>
    <w:rsid w:val="18636CAE"/>
    <w:rsid w:val="18D40FB0"/>
    <w:rsid w:val="19001BF7"/>
    <w:rsid w:val="19031D93"/>
    <w:rsid w:val="191224D3"/>
    <w:rsid w:val="193F08F1"/>
    <w:rsid w:val="194B3122"/>
    <w:rsid w:val="195374FF"/>
    <w:rsid w:val="199A1CD6"/>
    <w:rsid w:val="19E75443"/>
    <w:rsid w:val="19E82D37"/>
    <w:rsid w:val="1A275E1A"/>
    <w:rsid w:val="1A32036D"/>
    <w:rsid w:val="1A96029F"/>
    <w:rsid w:val="1AC16F2E"/>
    <w:rsid w:val="1ACC467B"/>
    <w:rsid w:val="1B025E88"/>
    <w:rsid w:val="1B3A78E5"/>
    <w:rsid w:val="1B6E19B6"/>
    <w:rsid w:val="1BCB1529"/>
    <w:rsid w:val="1C380832"/>
    <w:rsid w:val="1C5B1EE6"/>
    <w:rsid w:val="1C5E5533"/>
    <w:rsid w:val="1C7C611F"/>
    <w:rsid w:val="1D0600A4"/>
    <w:rsid w:val="1D0B0212"/>
    <w:rsid w:val="1D723F35"/>
    <w:rsid w:val="1D7E1D27"/>
    <w:rsid w:val="1DB23D88"/>
    <w:rsid w:val="1DEF6D8A"/>
    <w:rsid w:val="1E876910"/>
    <w:rsid w:val="1E9667FB"/>
    <w:rsid w:val="1ECD59FF"/>
    <w:rsid w:val="1ED6239E"/>
    <w:rsid w:val="1F0D56D1"/>
    <w:rsid w:val="1F1F61BA"/>
    <w:rsid w:val="1F6B3F7E"/>
    <w:rsid w:val="1F767751"/>
    <w:rsid w:val="1FC35DD8"/>
    <w:rsid w:val="1FC97226"/>
    <w:rsid w:val="1FCA4381"/>
    <w:rsid w:val="1FE509DD"/>
    <w:rsid w:val="20004109"/>
    <w:rsid w:val="20564E9E"/>
    <w:rsid w:val="20754EBE"/>
    <w:rsid w:val="208C549D"/>
    <w:rsid w:val="20B7374E"/>
    <w:rsid w:val="20F81923"/>
    <w:rsid w:val="2122108D"/>
    <w:rsid w:val="21290A23"/>
    <w:rsid w:val="214B42D7"/>
    <w:rsid w:val="215255C9"/>
    <w:rsid w:val="21936E9B"/>
    <w:rsid w:val="21B63F49"/>
    <w:rsid w:val="21B9578A"/>
    <w:rsid w:val="21E176F5"/>
    <w:rsid w:val="22060C2A"/>
    <w:rsid w:val="221807A0"/>
    <w:rsid w:val="224571B6"/>
    <w:rsid w:val="224C0569"/>
    <w:rsid w:val="225B3BFC"/>
    <w:rsid w:val="226857E4"/>
    <w:rsid w:val="2288431A"/>
    <w:rsid w:val="22CD606E"/>
    <w:rsid w:val="22D63049"/>
    <w:rsid w:val="233E3694"/>
    <w:rsid w:val="23503E4B"/>
    <w:rsid w:val="23862801"/>
    <w:rsid w:val="23B3067D"/>
    <w:rsid w:val="23D031BA"/>
    <w:rsid w:val="2412659B"/>
    <w:rsid w:val="24191D12"/>
    <w:rsid w:val="241D6620"/>
    <w:rsid w:val="24207656"/>
    <w:rsid w:val="24843F5E"/>
    <w:rsid w:val="248A3AA8"/>
    <w:rsid w:val="2498246D"/>
    <w:rsid w:val="24B64EC2"/>
    <w:rsid w:val="24D51FD5"/>
    <w:rsid w:val="24E567F1"/>
    <w:rsid w:val="254C061E"/>
    <w:rsid w:val="25587FAA"/>
    <w:rsid w:val="255A6847"/>
    <w:rsid w:val="255F094E"/>
    <w:rsid w:val="25855B3B"/>
    <w:rsid w:val="25D232A1"/>
    <w:rsid w:val="25FC7C6A"/>
    <w:rsid w:val="26062CDC"/>
    <w:rsid w:val="264E7538"/>
    <w:rsid w:val="278147BA"/>
    <w:rsid w:val="27B1262E"/>
    <w:rsid w:val="27B2154C"/>
    <w:rsid w:val="27B315B3"/>
    <w:rsid w:val="27C04D46"/>
    <w:rsid w:val="27CD2A70"/>
    <w:rsid w:val="27E308E7"/>
    <w:rsid w:val="27EE2517"/>
    <w:rsid w:val="283A6E54"/>
    <w:rsid w:val="284304EB"/>
    <w:rsid w:val="28432D03"/>
    <w:rsid w:val="284A4619"/>
    <w:rsid w:val="286A598B"/>
    <w:rsid w:val="28717799"/>
    <w:rsid w:val="2899001E"/>
    <w:rsid w:val="28A85B4B"/>
    <w:rsid w:val="28B24203"/>
    <w:rsid w:val="28ED35EA"/>
    <w:rsid w:val="29567980"/>
    <w:rsid w:val="2966705A"/>
    <w:rsid w:val="29845A08"/>
    <w:rsid w:val="299B4FA3"/>
    <w:rsid w:val="29A3019D"/>
    <w:rsid w:val="29C46731"/>
    <w:rsid w:val="29CE1FD3"/>
    <w:rsid w:val="2A1E28C6"/>
    <w:rsid w:val="2A306760"/>
    <w:rsid w:val="2A41271B"/>
    <w:rsid w:val="2A765DDE"/>
    <w:rsid w:val="2A7B2572"/>
    <w:rsid w:val="2A8D1E28"/>
    <w:rsid w:val="2AD367CF"/>
    <w:rsid w:val="2AF25618"/>
    <w:rsid w:val="2B1D38EF"/>
    <w:rsid w:val="2B400C25"/>
    <w:rsid w:val="2B53640D"/>
    <w:rsid w:val="2B9B0113"/>
    <w:rsid w:val="2BD650E5"/>
    <w:rsid w:val="2BFE23BE"/>
    <w:rsid w:val="2C1C5135"/>
    <w:rsid w:val="2C2A5754"/>
    <w:rsid w:val="2C320D68"/>
    <w:rsid w:val="2C4B162F"/>
    <w:rsid w:val="2C5C392E"/>
    <w:rsid w:val="2C605B8E"/>
    <w:rsid w:val="2C812DBE"/>
    <w:rsid w:val="2C842D93"/>
    <w:rsid w:val="2C9F7BCD"/>
    <w:rsid w:val="2CB10594"/>
    <w:rsid w:val="2CBA4A07"/>
    <w:rsid w:val="2D2E39CE"/>
    <w:rsid w:val="2D722DA4"/>
    <w:rsid w:val="2D9C1299"/>
    <w:rsid w:val="2DE27352"/>
    <w:rsid w:val="2E4E18AB"/>
    <w:rsid w:val="2E5245F3"/>
    <w:rsid w:val="2E5E4958"/>
    <w:rsid w:val="2E613191"/>
    <w:rsid w:val="2E6204D3"/>
    <w:rsid w:val="2E7C01C6"/>
    <w:rsid w:val="2E8240B4"/>
    <w:rsid w:val="2EF82B94"/>
    <w:rsid w:val="2F372D57"/>
    <w:rsid w:val="2F5A32BB"/>
    <w:rsid w:val="2FB5785D"/>
    <w:rsid w:val="2FC401E7"/>
    <w:rsid w:val="3002294D"/>
    <w:rsid w:val="30797117"/>
    <w:rsid w:val="30935028"/>
    <w:rsid w:val="309E25B1"/>
    <w:rsid w:val="30DA5F0D"/>
    <w:rsid w:val="31210BB1"/>
    <w:rsid w:val="312F7844"/>
    <w:rsid w:val="31890DDB"/>
    <w:rsid w:val="319A3B7D"/>
    <w:rsid w:val="319C6EEB"/>
    <w:rsid w:val="31A270BB"/>
    <w:rsid w:val="31C00333"/>
    <w:rsid w:val="31C854D0"/>
    <w:rsid w:val="31F84007"/>
    <w:rsid w:val="32016E99"/>
    <w:rsid w:val="32024E86"/>
    <w:rsid w:val="321C1CB8"/>
    <w:rsid w:val="321E3342"/>
    <w:rsid w:val="321F2F36"/>
    <w:rsid w:val="32363151"/>
    <w:rsid w:val="325B1DDF"/>
    <w:rsid w:val="32D560F7"/>
    <w:rsid w:val="32DB0B63"/>
    <w:rsid w:val="32ED1692"/>
    <w:rsid w:val="33077D83"/>
    <w:rsid w:val="33567F43"/>
    <w:rsid w:val="33C94B03"/>
    <w:rsid w:val="33E94740"/>
    <w:rsid w:val="3412449F"/>
    <w:rsid w:val="3473240A"/>
    <w:rsid w:val="34814541"/>
    <w:rsid w:val="3491288F"/>
    <w:rsid w:val="34AB3218"/>
    <w:rsid w:val="34B85E23"/>
    <w:rsid w:val="34C87BDA"/>
    <w:rsid w:val="34ED4978"/>
    <w:rsid w:val="351A340F"/>
    <w:rsid w:val="358D1373"/>
    <w:rsid w:val="35C7127C"/>
    <w:rsid w:val="35CC153F"/>
    <w:rsid w:val="35F61AE6"/>
    <w:rsid w:val="36143ECF"/>
    <w:rsid w:val="36286526"/>
    <w:rsid w:val="36595280"/>
    <w:rsid w:val="3696200F"/>
    <w:rsid w:val="37132A6F"/>
    <w:rsid w:val="371C0628"/>
    <w:rsid w:val="376673E7"/>
    <w:rsid w:val="376B702A"/>
    <w:rsid w:val="3789245F"/>
    <w:rsid w:val="37A97B52"/>
    <w:rsid w:val="37C1505C"/>
    <w:rsid w:val="37D22C05"/>
    <w:rsid w:val="3802379B"/>
    <w:rsid w:val="3810372D"/>
    <w:rsid w:val="382011BD"/>
    <w:rsid w:val="3849785B"/>
    <w:rsid w:val="386677F1"/>
    <w:rsid w:val="38914EC4"/>
    <w:rsid w:val="38DE5F78"/>
    <w:rsid w:val="38DE65C9"/>
    <w:rsid w:val="38E51221"/>
    <w:rsid w:val="38F94B2E"/>
    <w:rsid w:val="391334D5"/>
    <w:rsid w:val="395311EB"/>
    <w:rsid w:val="3954663D"/>
    <w:rsid w:val="39791E8D"/>
    <w:rsid w:val="39A173B2"/>
    <w:rsid w:val="39CF6183"/>
    <w:rsid w:val="39E10461"/>
    <w:rsid w:val="3A120F1A"/>
    <w:rsid w:val="3A3F6467"/>
    <w:rsid w:val="3A8A66DC"/>
    <w:rsid w:val="3ACA07BF"/>
    <w:rsid w:val="3AFC5076"/>
    <w:rsid w:val="3AFD0BD3"/>
    <w:rsid w:val="3AFF15FD"/>
    <w:rsid w:val="3B0B674C"/>
    <w:rsid w:val="3B17754C"/>
    <w:rsid w:val="3B215CB8"/>
    <w:rsid w:val="3B494C2A"/>
    <w:rsid w:val="3B617F00"/>
    <w:rsid w:val="3B626996"/>
    <w:rsid w:val="3BA54EF1"/>
    <w:rsid w:val="3BB15BA7"/>
    <w:rsid w:val="3C102F65"/>
    <w:rsid w:val="3C2D5AC7"/>
    <w:rsid w:val="3C4516D1"/>
    <w:rsid w:val="3C4B1EC8"/>
    <w:rsid w:val="3C4E0DA9"/>
    <w:rsid w:val="3C82437F"/>
    <w:rsid w:val="3CB13B21"/>
    <w:rsid w:val="3CB52704"/>
    <w:rsid w:val="3CB567B3"/>
    <w:rsid w:val="3CF31FC4"/>
    <w:rsid w:val="3D1E68EC"/>
    <w:rsid w:val="3D3440EB"/>
    <w:rsid w:val="3D4833D5"/>
    <w:rsid w:val="3D65276D"/>
    <w:rsid w:val="3D721CDF"/>
    <w:rsid w:val="3DB70B13"/>
    <w:rsid w:val="3DBF46B8"/>
    <w:rsid w:val="3DD736C5"/>
    <w:rsid w:val="3DE74066"/>
    <w:rsid w:val="3E525939"/>
    <w:rsid w:val="3E772758"/>
    <w:rsid w:val="3E783E00"/>
    <w:rsid w:val="3E833FCF"/>
    <w:rsid w:val="3E967E77"/>
    <w:rsid w:val="3E9762AB"/>
    <w:rsid w:val="3F0F473E"/>
    <w:rsid w:val="3F2C11D2"/>
    <w:rsid w:val="3F603B33"/>
    <w:rsid w:val="3FB5501C"/>
    <w:rsid w:val="3FBE6BD3"/>
    <w:rsid w:val="3FD56484"/>
    <w:rsid w:val="401220CD"/>
    <w:rsid w:val="4041443B"/>
    <w:rsid w:val="40443E82"/>
    <w:rsid w:val="40685AC6"/>
    <w:rsid w:val="40686496"/>
    <w:rsid w:val="40DF33FC"/>
    <w:rsid w:val="40FE3145"/>
    <w:rsid w:val="41061B71"/>
    <w:rsid w:val="41142F3F"/>
    <w:rsid w:val="411A1AF3"/>
    <w:rsid w:val="412777AB"/>
    <w:rsid w:val="412F2960"/>
    <w:rsid w:val="413A2838"/>
    <w:rsid w:val="414B0208"/>
    <w:rsid w:val="414E4C79"/>
    <w:rsid w:val="416E7E42"/>
    <w:rsid w:val="41884FF2"/>
    <w:rsid w:val="41F3266D"/>
    <w:rsid w:val="42501C58"/>
    <w:rsid w:val="42B255AE"/>
    <w:rsid w:val="42C75F41"/>
    <w:rsid w:val="42CD6646"/>
    <w:rsid w:val="42E3660E"/>
    <w:rsid w:val="42E547AC"/>
    <w:rsid w:val="43111B0F"/>
    <w:rsid w:val="435D4F7F"/>
    <w:rsid w:val="43682C80"/>
    <w:rsid w:val="438F234E"/>
    <w:rsid w:val="43B51FB4"/>
    <w:rsid w:val="43D650C5"/>
    <w:rsid w:val="44771872"/>
    <w:rsid w:val="44777D3F"/>
    <w:rsid w:val="4484172B"/>
    <w:rsid w:val="449C4CC6"/>
    <w:rsid w:val="449E1F78"/>
    <w:rsid w:val="44E346A3"/>
    <w:rsid w:val="45030409"/>
    <w:rsid w:val="451F54B1"/>
    <w:rsid w:val="45221171"/>
    <w:rsid w:val="453734C6"/>
    <w:rsid w:val="453A142B"/>
    <w:rsid w:val="45580E67"/>
    <w:rsid w:val="458D79F9"/>
    <w:rsid w:val="45963C6A"/>
    <w:rsid w:val="45BA022C"/>
    <w:rsid w:val="45C06792"/>
    <w:rsid w:val="464206E1"/>
    <w:rsid w:val="464C5968"/>
    <w:rsid w:val="46536F96"/>
    <w:rsid w:val="466F7CF3"/>
    <w:rsid w:val="46704A7A"/>
    <w:rsid w:val="46EB087D"/>
    <w:rsid w:val="46F844F4"/>
    <w:rsid w:val="46FB6B1B"/>
    <w:rsid w:val="470D4377"/>
    <w:rsid w:val="470F26DF"/>
    <w:rsid w:val="4759534C"/>
    <w:rsid w:val="476A3F09"/>
    <w:rsid w:val="47995545"/>
    <w:rsid w:val="47A143A2"/>
    <w:rsid w:val="47B45BE3"/>
    <w:rsid w:val="47CA381F"/>
    <w:rsid w:val="47E57694"/>
    <w:rsid w:val="47FC6E78"/>
    <w:rsid w:val="480E0139"/>
    <w:rsid w:val="48161C18"/>
    <w:rsid w:val="483671E0"/>
    <w:rsid w:val="48FA7DB5"/>
    <w:rsid w:val="490B241B"/>
    <w:rsid w:val="4949164B"/>
    <w:rsid w:val="494925C7"/>
    <w:rsid w:val="49AD7F8A"/>
    <w:rsid w:val="49B65F72"/>
    <w:rsid w:val="49E301A4"/>
    <w:rsid w:val="49E71900"/>
    <w:rsid w:val="4A035F57"/>
    <w:rsid w:val="4A054585"/>
    <w:rsid w:val="4A166C35"/>
    <w:rsid w:val="4A564EFA"/>
    <w:rsid w:val="4A5F6C48"/>
    <w:rsid w:val="4A9069A7"/>
    <w:rsid w:val="4A993A56"/>
    <w:rsid w:val="4AF3218E"/>
    <w:rsid w:val="4AF40946"/>
    <w:rsid w:val="4B5D4A84"/>
    <w:rsid w:val="4B634827"/>
    <w:rsid w:val="4B81013B"/>
    <w:rsid w:val="4B8E2321"/>
    <w:rsid w:val="4BC70431"/>
    <w:rsid w:val="4BE81EF4"/>
    <w:rsid w:val="4BFB13CD"/>
    <w:rsid w:val="4C3832D1"/>
    <w:rsid w:val="4CC404CE"/>
    <w:rsid w:val="4CF2501F"/>
    <w:rsid w:val="4D011EF2"/>
    <w:rsid w:val="4D117BC7"/>
    <w:rsid w:val="4D2E492A"/>
    <w:rsid w:val="4D34791C"/>
    <w:rsid w:val="4D5D6FBD"/>
    <w:rsid w:val="4D706E48"/>
    <w:rsid w:val="4E0762FF"/>
    <w:rsid w:val="4E7B236F"/>
    <w:rsid w:val="4E7D6A50"/>
    <w:rsid w:val="4EA800E5"/>
    <w:rsid w:val="4EB23209"/>
    <w:rsid w:val="4EB56E85"/>
    <w:rsid w:val="4F09774E"/>
    <w:rsid w:val="4F861E04"/>
    <w:rsid w:val="4F896D85"/>
    <w:rsid w:val="4FAA18A4"/>
    <w:rsid w:val="4FAD41F3"/>
    <w:rsid w:val="4FBB3383"/>
    <w:rsid w:val="4FBD5C86"/>
    <w:rsid w:val="502E6508"/>
    <w:rsid w:val="503A0DF3"/>
    <w:rsid w:val="50613096"/>
    <w:rsid w:val="507347E9"/>
    <w:rsid w:val="507E0D03"/>
    <w:rsid w:val="50814532"/>
    <w:rsid w:val="50D51984"/>
    <w:rsid w:val="5101429E"/>
    <w:rsid w:val="512E60BF"/>
    <w:rsid w:val="51342CB7"/>
    <w:rsid w:val="51517400"/>
    <w:rsid w:val="51933F82"/>
    <w:rsid w:val="51D535C6"/>
    <w:rsid w:val="51DC19A4"/>
    <w:rsid w:val="51E2311A"/>
    <w:rsid w:val="520149AA"/>
    <w:rsid w:val="523F740C"/>
    <w:rsid w:val="524F2520"/>
    <w:rsid w:val="52AC31A7"/>
    <w:rsid w:val="52D61080"/>
    <w:rsid w:val="52DC4227"/>
    <w:rsid w:val="53737DC7"/>
    <w:rsid w:val="53C53686"/>
    <w:rsid w:val="53D16428"/>
    <w:rsid w:val="53E07BE3"/>
    <w:rsid w:val="5412664C"/>
    <w:rsid w:val="54643519"/>
    <w:rsid w:val="547668D6"/>
    <w:rsid w:val="548D738A"/>
    <w:rsid w:val="549D5383"/>
    <w:rsid w:val="54C948C0"/>
    <w:rsid w:val="55005EC8"/>
    <w:rsid w:val="55067C89"/>
    <w:rsid w:val="55165252"/>
    <w:rsid w:val="55217544"/>
    <w:rsid w:val="55255504"/>
    <w:rsid w:val="5559450E"/>
    <w:rsid w:val="55621D51"/>
    <w:rsid w:val="557B02A3"/>
    <w:rsid w:val="558C56F2"/>
    <w:rsid w:val="55CE029A"/>
    <w:rsid w:val="55F040BC"/>
    <w:rsid w:val="55F927F5"/>
    <w:rsid w:val="56033C57"/>
    <w:rsid w:val="56224F71"/>
    <w:rsid w:val="564F65BA"/>
    <w:rsid w:val="565C1286"/>
    <w:rsid w:val="56803751"/>
    <w:rsid w:val="574357C7"/>
    <w:rsid w:val="574865E8"/>
    <w:rsid w:val="57580185"/>
    <w:rsid w:val="57743BD7"/>
    <w:rsid w:val="57882E25"/>
    <w:rsid w:val="57C9597B"/>
    <w:rsid w:val="57DC4BB3"/>
    <w:rsid w:val="58042CB6"/>
    <w:rsid w:val="58044C05"/>
    <w:rsid w:val="581B735C"/>
    <w:rsid w:val="581F6609"/>
    <w:rsid w:val="590C1A3A"/>
    <w:rsid w:val="59924CB6"/>
    <w:rsid w:val="59C91DC6"/>
    <w:rsid w:val="5A2168D3"/>
    <w:rsid w:val="5A632F11"/>
    <w:rsid w:val="5A9E7A5D"/>
    <w:rsid w:val="5AA1498D"/>
    <w:rsid w:val="5ABF6998"/>
    <w:rsid w:val="5AC956A1"/>
    <w:rsid w:val="5AE23BA6"/>
    <w:rsid w:val="5B5B0FE0"/>
    <w:rsid w:val="5B6A1B01"/>
    <w:rsid w:val="5B8A7886"/>
    <w:rsid w:val="5BBB382C"/>
    <w:rsid w:val="5BC8419B"/>
    <w:rsid w:val="5BD57FCD"/>
    <w:rsid w:val="5BD64832"/>
    <w:rsid w:val="5C0014E4"/>
    <w:rsid w:val="5C0715AC"/>
    <w:rsid w:val="5C6E4577"/>
    <w:rsid w:val="5C917372"/>
    <w:rsid w:val="5CBE4559"/>
    <w:rsid w:val="5CC635C8"/>
    <w:rsid w:val="5CE45005"/>
    <w:rsid w:val="5D262B63"/>
    <w:rsid w:val="5DB22A0D"/>
    <w:rsid w:val="5DC65C22"/>
    <w:rsid w:val="5DCF7F8F"/>
    <w:rsid w:val="5E4D7756"/>
    <w:rsid w:val="5E622685"/>
    <w:rsid w:val="5EE906B0"/>
    <w:rsid w:val="5EEB04B7"/>
    <w:rsid w:val="5F3D2F39"/>
    <w:rsid w:val="5F786FC1"/>
    <w:rsid w:val="5FA81FD1"/>
    <w:rsid w:val="5FBD6975"/>
    <w:rsid w:val="5FBD7A82"/>
    <w:rsid w:val="5FCF4B50"/>
    <w:rsid w:val="5FEA6153"/>
    <w:rsid w:val="60341DFF"/>
    <w:rsid w:val="603E084F"/>
    <w:rsid w:val="604058CF"/>
    <w:rsid w:val="60AA2D2D"/>
    <w:rsid w:val="60B82A30"/>
    <w:rsid w:val="60E82E54"/>
    <w:rsid w:val="60EF46F9"/>
    <w:rsid w:val="6118702B"/>
    <w:rsid w:val="61816489"/>
    <w:rsid w:val="619B3460"/>
    <w:rsid w:val="61AC43B9"/>
    <w:rsid w:val="61EF64F8"/>
    <w:rsid w:val="6213047A"/>
    <w:rsid w:val="62605B29"/>
    <w:rsid w:val="626A3131"/>
    <w:rsid w:val="627E3805"/>
    <w:rsid w:val="638210D3"/>
    <w:rsid w:val="638D335D"/>
    <w:rsid w:val="63F74868"/>
    <w:rsid w:val="64A102A5"/>
    <w:rsid w:val="64B20A5F"/>
    <w:rsid w:val="64CF009B"/>
    <w:rsid w:val="650B2FCE"/>
    <w:rsid w:val="65684045"/>
    <w:rsid w:val="656D0B5B"/>
    <w:rsid w:val="65A921D2"/>
    <w:rsid w:val="65AD68DC"/>
    <w:rsid w:val="65AF085A"/>
    <w:rsid w:val="65E32377"/>
    <w:rsid w:val="66095A51"/>
    <w:rsid w:val="669A6B84"/>
    <w:rsid w:val="66E376FE"/>
    <w:rsid w:val="670544F5"/>
    <w:rsid w:val="679455E5"/>
    <w:rsid w:val="67B97DDD"/>
    <w:rsid w:val="67DA0556"/>
    <w:rsid w:val="67DB2AFF"/>
    <w:rsid w:val="67F6420A"/>
    <w:rsid w:val="6808402B"/>
    <w:rsid w:val="680D6324"/>
    <w:rsid w:val="68345913"/>
    <w:rsid w:val="683E1F97"/>
    <w:rsid w:val="685F257D"/>
    <w:rsid w:val="68695628"/>
    <w:rsid w:val="688B392C"/>
    <w:rsid w:val="689D3202"/>
    <w:rsid w:val="68A9701B"/>
    <w:rsid w:val="68AD7E31"/>
    <w:rsid w:val="68CC2262"/>
    <w:rsid w:val="692F5914"/>
    <w:rsid w:val="69582E52"/>
    <w:rsid w:val="695B31AD"/>
    <w:rsid w:val="698F7A43"/>
    <w:rsid w:val="69A47FF6"/>
    <w:rsid w:val="69A578C4"/>
    <w:rsid w:val="69BF26AD"/>
    <w:rsid w:val="69D00DEB"/>
    <w:rsid w:val="69D70420"/>
    <w:rsid w:val="6A2A5FC0"/>
    <w:rsid w:val="6A575068"/>
    <w:rsid w:val="6A62238F"/>
    <w:rsid w:val="6A6D0006"/>
    <w:rsid w:val="6A9E7B86"/>
    <w:rsid w:val="6AA27574"/>
    <w:rsid w:val="6AB820C1"/>
    <w:rsid w:val="6AD2176E"/>
    <w:rsid w:val="6AD4634C"/>
    <w:rsid w:val="6AFD26CB"/>
    <w:rsid w:val="6B1D1B33"/>
    <w:rsid w:val="6B2B7782"/>
    <w:rsid w:val="6B347157"/>
    <w:rsid w:val="6B6A39F6"/>
    <w:rsid w:val="6B794419"/>
    <w:rsid w:val="6BA240C1"/>
    <w:rsid w:val="6C1F5711"/>
    <w:rsid w:val="6C6B28EF"/>
    <w:rsid w:val="6C8926C1"/>
    <w:rsid w:val="6CB015DA"/>
    <w:rsid w:val="6CB10B89"/>
    <w:rsid w:val="6CB247D7"/>
    <w:rsid w:val="6CB46548"/>
    <w:rsid w:val="6CB708C8"/>
    <w:rsid w:val="6CDC1AC4"/>
    <w:rsid w:val="6D07459F"/>
    <w:rsid w:val="6D5533B5"/>
    <w:rsid w:val="6DDE680F"/>
    <w:rsid w:val="6DE608AB"/>
    <w:rsid w:val="6E1A7D99"/>
    <w:rsid w:val="6E2F3D84"/>
    <w:rsid w:val="6E5B49FB"/>
    <w:rsid w:val="6E63695E"/>
    <w:rsid w:val="6ED23253"/>
    <w:rsid w:val="6EEC733F"/>
    <w:rsid w:val="6F0A1CFE"/>
    <w:rsid w:val="6F6E6529"/>
    <w:rsid w:val="6FA87138"/>
    <w:rsid w:val="6FCA2A16"/>
    <w:rsid w:val="6FE96251"/>
    <w:rsid w:val="701060EF"/>
    <w:rsid w:val="706202C3"/>
    <w:rsid w:val="708A2B84"/>
    <w:rsid w:val="70AA43B7"/>
    <w:rsid w:val="70D94662"/>
    <w:rsid w:val="712E39D3"/>
    <w:rsid w:val="71495BF4"/>
    <w:rsid w:val="714D73A0"/>
    <w:rsid w:val="71AA548C"/>
    <w:rsid w:val="71AD5B5A"/>
    <w:rsid w:val="71CF7C4D"/>
    <w:rsid w:val="71F37CEB"/>
    <w:rsid w:val="71F8335C"/>
    <w:rsid w:val="722241AD"/>
    <w:rsid w:val="724361B2"/>
    <w:rsid w:val="724A505B"/>
    <w:rsid w:val="72502AFD"/>
    <w:rsid w:val="7252031C"/>
    <w:rsid w:val="7264664C"/>
    <w:rsid w:val="72743C4C"/>
    <w:rsid w:val="72C42CE6"/>
    <w:rsid w:val="7306762B"/>
    <w:rsid w:val="731F06ED"/>
    <w:rsid w:val="73445D01"/>
    <w:rsid w:val="735715BE"/>
    <w:rsid w:val="736F3422"/>
    <w:rsid w:val="73D90055"/>
    <w:rsid w:val="74082EF6"/>
    <w:rsid w:val="743B1A6A"/>
    <w:rsid w:val="7453736D"/>
    <w:rsid w:val="74702437"/>
    <w:rsid w:val="7491451C"/>
    <w:rsid w:val="74C7789E"/>
    <w:rsid w:val="74F2382F"/>
    <w:rsid w:val="75086E73"/>
    <w:rsid w:val="75510906"/>
    <w:rsid w:val="758F768A"/>
    <w:rsid w:val="75932CCC"/>
    <w:rsid w:val="75B90985"/>
    <w:rsid w:val="75DD14B7"/>
    <w:rsid w:val="75DF2E69"/>
    <w:rsid w:val="760E6214"/>
    <w:rsid w:val="76282B50"/>
    <w:rsid w:val="76682219"/>
    <w:rsid w:val="767E0D8C"/>
    <w:rsid w:val="76E47C83"/>
    <w:rsid w:val="7769397B"/>
    <w:rsid w:val="77806777"/>
    <w:rsid w:val="778F1B93"/>
    <w:rsid w:val="77D15A41"/>
    <w:rsid w:val="77D7794D"/>
    <w:rsid w:val="78186F98"/>
    <w:rsid w:val="781C6942"/>
    <w:rsid w:val="786170B2"/>
    <w:rsid w:val="78621153"/>
    <w:rsid w:val="78BE2756"/>
    <w:rsid w:val="78E0447A"/>
    <w:rsid w:val="78E1605C"/>
    <w:rsid w:val="78F41CD4"/>
    <w:rsid w:val="790F0348"/>
    <w:rsid w:val="792632C3"/>
    <w:rsid w:val="792D72CC"/>
    <w:rsid w:val="79313E27"/>
    <w:rsid w:val="799B642A"/>
    <w:rsid w:val="79AC3622"/>
    <w:rsid w:val="79BC31D6"/>
    <w:rsid w:val="79D47DAE"/>
    <w:rsid w:val="7A332922"/>
    <w:rsid w:val="7A533910"/>
    <w:rsid w:val="7A631E5E"/>
    <w:rsid w:val="7A7A0BE7"/>
    <w:rsid w:val="7A7E3F4B"/>
    <w:rsid w:val="7A834F43"/>
    <w:rsid w:val="7AAD44A3"/>
    <w:rsid w:val="7ADB7BCE"/>
    <w:rsid w:val="7AE52902"/>
    <w:rsid w:val="7B382107"/>
    <w:rsid w:val="7B7A6E08"/>
    <w:rsid w:val="7B8727E6"/>
    <w:rsid w:val="7B932F45"/>
    <w:rsid w:val="7BA7233A"/>
    <w:rsid w:val="7BF03DF3"/>
    <w:rsid w:val="7C203C18"/>
    <w:rsid w:val="7C492AA4"/>
    <w:rsid w:val="7C6874EE"/>
    <w:rsid w:val="7CEC4D0A"/>
    <w:rsid w:val="7D0270B5"/>
    <w:rsid w:val="7D426A72"/>
    <w:rsid w:val="7D5F49C1"/>
    <w:rsid w:val="7D624C5F"/>
    <w:rsid w:val="7D851DEF"/>
    <w:rsid w:val="7E09208C"/>
    <w:rsid w:val="7E395ABE"/>
    <w:rsid w:val="7E6B291B"/>
    <w:rsid w:val="7E860BA6"/>
    <w:rsid w:val="7E8E6727"/>
    <w:rsid w:val="7EB81D40"/>
    <w:rsid w:val="7EBA3818"/>
    <w:rsid w:val="7EC34622"/>
    <w:rsid w:val="7EC46513"/>
    <w:rsid w:val="7ECF746B"/>
    <w:rsid w:val="7EFB200E"/>
    <w:rsid w:val="7F1D01D6"/>
    <w:rsid w:val="7F50511C"/>
    <w:rsid w:val="7F54741F"/>
    <w:rsid w:val="7F9872D2"/>
    <w:rsid w:val="7FAA73F2"/>
    <w:rsid w:val="7FAE76CE"/>
    <w:rsid w:val="7FD9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0"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iPriority="0" w:semiHidden="0" w:name="annotation text"/>
    <w:lsdException w:qFormat="1"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iPriority="99" w:semiHidden="0" w:name="Body Text 2"/>
    <w:lsdException w:qFormat="1" w:unhideWhenUsed="0" w:uiPriority="0" w:semiHidden="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qFormat="1" w:unhideWhenUsed="0" w:uiPriority="99" w:semiHidden="0" w:name="HTML Preformatted"/>
    <w:lsdException w:qFormat="1"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6"/>
    <w:qFormat/>
    <w:uiPriority w:val="0"/>
    <w:pPr>
      <w:keepNext/>
      <w:jc w:val="center"/>
      <w:outlineLvl w:val="0"/>
    </w:pPr>
    <w:rPr>
      <w:rFonts w:ascii="黑体" w:eastAsia="黑体"/>
      <w:sz w:val="28"/>
    </w:rPr>
  </w:style>
  <w:style w:type="paragraph" w:styleId="4">
    <w:name w:val="heading 2"/>
    <w:basedOn w:val="1"/>
    <w:next w:val="5"/>
    <w:unhideWhenUsed/>
    <w:qFormat/>
    <w:uiPriority w:val="0"/>
    <w:pPr>
      <w:keepNext/>
      <w:spacing w:line="720" w:lineRule="exact"/>
      <w:outlineLvl w:val="1"/>
    </w:pPr>
    <w:rPr>
      <w:rFonts w:ascii="黑体" w:hAnsi="Copperplate Gothic Bold" w:eastAsia="楷体_GB2312"/>
      <w:sz w:val="28"/>
    </w:rPr>
  </w:style>
  <w:style w:type="paragraph" w:styleId="6">
    <w:name w:val="heading 3"/>
    <w:basedOn w:val="1"/>
    <w:next w:val="1"/>
    <w:unhideWhenUsed/>
    <w:qFormat/>
    <w:uiPriority w:val="0"/>
    <w:pPr>
      <w:keepNext/>
      <w:spacing w:line="320" w:lineRule="exact"/>
      <w:jc w:val="center"/>
      <w:outlineLvl w:val="2"/>
    </w:pPr>
    <w:rPr>
      <w:rFonts w:ascii="楷体_GB2312" w:eastAsia="楷体_GB2312"/>
      <w:sz w:val="24"/>
    </w:rPr>
  </w:style>
  <w:style w:type="paragraph" w:styleId="7">
    <w:name w:val="heading 4"/>
    <w:basedOn w:val="1"/>
    <w:next w:val="1"/>
    <w:qFormat/>
    <w:uiPriority w:val="0"/>
    <w:pPr>
      <w:keepNext/>
      <w:spacing w:line="600" w:lineRule="exact"/>
      <w:jc w:val="center"/>
      <w:outlineLvl w:val="3"/>
    </w:pPr>
    <w:rPr>
      <w:rFonts w:ascii="楷体_GB2312" w:eastAsia="楷体_GB2312"/>
      <w:sz w:val="32"/>
    </w:rPr>
  </w:style>
  <w:style w:type="paragraph" w:styleId="8">
    <w:name w:val="heading 6"/>
    <w:basedOn w:val="1"/>
    <w:next w:val="1"/>
    <w:qFormat/>
    <w:uiPriority w:val="0"/>
    <w:pPr>
      <w:keepNext/>
      <w:keepLines/>
      <w:widowControl/>
      <w:spacing w:before="240" w:after="64" w:line="320" w:lineRule="auto"/>
      <w:jc w:val="left"/>
      <w:outlineLvl w:val="5"/>
    </w:pPr>
    <w:rPr>
      <w:rFonts w:ascii="Arial" w:hAnsi="Arial" w:eastAsia="黑体"/>
      <w:b/>
      <w:bCs/>
      <w:kern w:val="0"/>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 "/>
    <w:basedOn w:val="1"/>
    <w:next w:val="1"/>
    <w:qFormat/>
    <w:uiPriority w:val="0"/>
    <w:pPr>
      <w:widowControl w:val="0"/>
      <w:adjustRightInd w:val="0"/>
      <w:spacing w:line="318" w:lineRule="atLeast"/>
      <w:ind w:left="369" w:firstLine="369"/>
      <w:jc w:val="both"/>
      <w:textAlignment w:val="baseline"/>
    </w:pPr>
    <w:rPr>
      <w:rFonts w:ascii="宋体" w:hAnsi="宋体" w:eastAsia="宋体"/>
      <w:szCs w:val="20"/>
    </w:rPr>
  </w:style>
  <w:style w:type="paragraph" w:styleId="5">
    <w:name w:val="Normal Indent"/>
    <w:basedOn w:val="1"/>
    <w:unhideWhenUsed/>
    <w:qFormat/>
    <w:uiPriority w:val="0"/>
    <w:pPr>
      <w:ind w:firstLine="420"/>
    </w:pPr>
  </w:style>
  <w:style w:type="paragraph" w:styleId="9">
    <w:name w:val="annotation text"/>
    <w:basedOn w:val="1"/>
    <w:link w:val="74"/>
    <w:unhideWhenUsed/>
    <w:qFormat/>
    <w:uiPriority w:val="0"/>
    <w:pPr>
      <w:jc w:val="left"/>
    </w:pPr>
  </w:style>
  <w:style w:type="paragraph" w:styleId="10">
    <w:name w:val="Body Text 3"/>
    <w:basedOn w:val="1"/>
    <w:qFormat/>
    <w:uiPriority w:val="0"/>
    <w:rPr>
      <w:rFonts w:ascii="宋体"/>
      <w:sz w:val="24"/>
    </w:rPr>
  </w:style>
  <w:style w:type="paragraph" w:styleId="11">
    <w:name w:val="Body Text"/>
    <w:basedOn w:val="1"/>
    <w:next w:val="1"/>
    <w:unhideWhenUsed/>
    <w:qFormat/>
    <w:uiPriority w:val="1"/>
    <w:pPr>
      <w:spacing w:after="120"/>
    </w:pPr>
  </w:style>
  <w:style w:type="paragraph" w:styleId="12">
    <w:name w:val="Body Text Indent"/>
    <w:basedOn w:val="1"/>
    <w:next w:val="11"/>
    <w:qFormat/>
    <w:uiPriority w:val="0"/>
    <w:pPr>
      <w:ind w:firstLine="552"/>
    </w:pPr>
    <w:rPr>
      <w:rFonts w:ascii="宋体"/>
      <w:sz w:val="28"/>
    </w:rPr>
  </w:style>
  <w:style w:type="paragraph" w:styleId="13">
    <w:name w:val="Block Text"/>
    <w:basedOn w:val="1"/>
    <w:qFormat/>
    <w:uiPriority w:val="0"/>
    <w:pPr>
      <w:adjustRightInd w:val="0"/>
      <w:ind w:left="420" w:right="33"/>
      <w:jc w:val="left"/>
      <w:textAlignment w:val="baseline"/>
    </w:pPr>
    <w:rPr>
      <w:kern w:val="0"/>
      <w:sz w:val="24"/>
    </w:rPr>
  </w:style>
  <w:style w:type="paragraph" w:styleId="14">
    <w:name w:val="toc 3"/>
    <w:basedOn w:val="1"/>
    <w:next w:val="1"/>
    <w:unhideWhenUsed/>
    <w:qFormat/>
    <w:uiPriority w:val="39"/>
    <w:pPr>
      <w:tabs>
        <w:tab w:val="right" w:leader="dot" w:pos="9060"/>
      </w:tabs>
      <w:spacing w:line="360" w:lineRule="auto"/>
      <w:jc w:val="left"/>
    </w:pPr>
    <w:rPr>
      <w:rFonts w:ascii="Calibri" w:hAnsi="Calibri" w:cs="Calibri"/>
      <w:i/>
      <w:iCs/>
      <w:sz w:val="20"/>
    </w:rPr>
  </w:style>
  <w:style w:type="paragraph" w:styleId="15">
    <w:name w:val="Plain Text"/>
    <w:basedOn w:val="1"/>
    <w:link w:val="73"/>
    <w:qFormat/>
    <w:uiPriority w:val="0"/>
    <w:rPr>
      <w:rFonts w:ascii="宋体" w:hAnsi="Courier New"/>
    </w:rPr>
  </w:style>
  <w:style w:type="paragraph" w:styleId="16">
    <w:name w:val="Date"/>
    <w:basedOn w:val="1"/>
    <w:next w:val="1"/>
    <w:qFormat/>
    <w:uiPriority w:val="0"/>
    <w:rPr>
      <w:rFonts w:ascii="Copperplate Gothic Bold" w:hAnsi="Copperplate Gothic Bold"/>
      <w:sz w:val="32"/>
    </w:rPr>
  </w:style>
  <w:style w:type="paragraph" w:styleId="17">
    <w:name w:val="Body Text Indent 2"/>
    <w:basedOn w:val="1"/>
    <w:qFormat/>
    <w:uiPriority w:val="0"/>
    <w:pPr>
      <w:ind w:firstLine="524" w:firstLineChars="187"/>
    </w:pPr>
    <w:rPr>
      <w:sz w:val="28"/>
    </w:rPr>
  </w:style>
  <w:style w:type="paragraph" w:styleId="18">
    <w:name w:val="Balloon Text"/>
    <w:basedOn w:val="1"/>
    <w:link w:val="52"/>
    <w:unhideWhenUsed/>
    <w:qFormat/>
    <w:uiPriority w:val="0"/>
    <w:rPr>
      <w:sz w:val="18"/>
      <w:szCs w:val="18"/>
    </w:rPr>
  </w:style>
  <w:style w:type="paragraph" w:styleId="19">
    <w:name w:val="footer"/>
    <w:basedOn w:val="1"/>
    <w:next w:val="11"/>
    <w:link w:val="49"/>
    <w:unhideWhenUsed/>
    <w:qFormat/>
    <w:uiPriority w:val="0"/>
    <w:pPr>
      <w:tabs>
        <w:tab w:val="center" w:pos="4153"/>
        <w:tab w:val="right" w:pos="8306"/>
      </w:tabs>
      <w:snapToGrid w:val="0"/>
      <w:jc w:val="left"/>
    </w:pPr>
    <w:rPr>
      <w:sz w:val="18"/>
      <w:szCs w:val="18"/>
    </w:rPr>
  </w:style>
  <w:style w:type="paragraph" w:styleId="2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pPr>
      <w:spacing w:before="120" w:after="120"/>
      <w:jc w:val="left"/>
    </w:pPr>
    <w:rPr>
      <w:rFonts w:ascii="Calibri" w:hAnsi="Calibri" w:cs="Calibri"/>
      <w:b/>
      <w:bCs/>
      <w:caps/>
      <w:sz w:val="20"/>
    </w:rPr>
  </w:style>
  <w:style w:type="paragraph" w:styleId="22">
    <w:name w:val="toc 2"/>
    <w:basedOn w:val="1"/>
    <w:next w:val="1"/>
    <w:qFormat/>
    <w:uiPriority w:val="0"/>
    <w:pPr>
      <w:ind w:left="420" w:leftChars="200"/>
    </w:pPr>
  </w:style>
  <w:style w:type="paragraph" w:styleId="23">
    <w:name w:val="Body Text 2"/>
    <w:basedOn w:val="1"/>
    <w:unhideWhenUsed/>
    <w:qFormat/>
    <w:uiPriority w:val="99"/>
    <w:pPr>
      <w:spacing w:line="480" w:lineRule="auto"/>
    </w:pPr>
    <w:rPr>
      <w:rFonts w:ascii="Calibri" w:hAnsi="Calibri" w:cs="黑体"/>
    </w:rPr>
  </w:style>
  <w:style w:type="paragraph" w:styleId="24">
    <w:name w:val="HTML Preformatted"/>
    <w:basedOn w:val="1"/>
    <w:qFormat/>
    <w:uiPriority w:val="99"/>
    <w:pPr>
      <w:widowControl/>
      <w:jc w:val="left"/>
    </w:pPr>
    <w:rPr>
      <w:rFonts w:ascii="黑体" w:hAnsi="Courier New" w:eastAsia="黑体" w:cs="宋体"/>
      <w:kern w:val="0"/>
      <w:sz w:val="20"/>
    </w:rPr>
  </w:style>
  <w:style w:type="paragraph" w:styleId="25">
    <w:name w:val="Normal (Web)"/>
    <w:basedOn w:val="1"/>
    <w:qFormat/>
    <w:uiPriority w:val="0"/>
    <w:pPr>
      <w:jc w:val="left"/>
    </w:pPr>
    <w:rPr>
      <w:kern w:val="0"/>
      <w:sz w:val="24"/>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annotation subject"/>
    <w:basedOn w:val="9"/>
    <w:next w:val="9"/>
    <w:link w:val="75"/>
    <w:semiHidden/>
    <w:unhideWhenUsed/>
    <w:qFormat/>
    <w:uiPriority w:val="0"/>
    <w:rPr>
      <w:b/>
      <w:bCs/>
    </w:rPr>
  </w:style>
  <w:style w:type="paragraph" w:styleId="28">
    <w:name w:val="Body Text First Indent"/>
    <w:basedOn w:val="11"/>
    <w:next w:val="1"/>
    <w:unhideWhenUsed/>
    <w:qFormat/>
    <w:uiPriority w:val="99"/>
    <w:pPr>
      <w:ind w:firstLine="420" w:firstLineChars="100"/>
    </w:pPr>
  </w:style>
  <w:style w:type="paragraph" w:styleId="29">
    <w:name w:val="Body Text First Indent 2"/>
    <w:basedOn w:val="12"/>
    <w:next w:val="1"/>
    <w:qFormat/>
    <w:uiPriority w:val="0"/>
    <w:pPr>
      <w:ind w:firstLine="42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page number"/>
    <w:basedOn w:val="32"/>
    <w:qFormat/>
    <w:uiPriority w:val="0"/>
  </w:style>
  <w:style w:type="character" w:styleId="35">
    <w:name w:val="FollowedHyperlink"/>
    <w:basedOn w:val="32"/>
    <w:unhideWhenUsed/>
    <w:qFormat/>
    <w:uiPriority w:val="0"/>
    <w:rPr>
      <w:color w:val="333333"/>
      <w:u w:val="none"/>
    </w:rPr>
  </w:style>
  <w:style w:type="character" w:styleId="36">
    <w:name w:val="Emphasis"/>
    <w:basedOn w:val="32"/>
    <w:qFormat/>
    <w:uiPriority w:val="0"/>
  </w:style>
  <w:style w:type="character" w:styleId="37">
    <w:name w:val="HTML Definition"/>
    <w:basedOn w:val="32"/>
    <w:unhideWhenUsed/>
    <w:qFormat/>
    <w:uiPriority w:val="0"/>
    <w:rPr>
      <w:i/>
      <w:iCs/>
    </w:rPr>
  </w:style>
  <w:style w:type="character" w:styleId="38">
    <w:name w:val="Hyperlink"/>
    <w:qFormat/>
    <w:uiPriority w:val="99"/>
    <w:rPr>
      <w:rFonts w:hint="eastAsia" w:ascii="宋体" w:hAnsi="宋体" w:eastAsia="宋体" w:cs="宋体"/>
      <w:color w:val="000000"/>
      <w:sz w:val="18"/>
      <w:szCs w:val="18"/>
      <w:u w:val="none"/>
    </w:rPr>
  </w:style>
  <w:style w:type="character" w:styleId="39">
    <w:name w:val="HTML Code"/>
    <w:basedOn w:val="32"/>
    <w:unhideWhenUsed/>
    <w:qFormat/>
    <w:uiPriority w:val="0"/>
    <w:rPr>
      <w:rFonts w:ascii="Consolas" w:hAnsi="Consolas" w:eastAsia="Consolas" w:cs="Consolas"/>
      <w:color w:val="C7254E"/>
      <w:sz w:val="21"/>
      <w:szCs w:val="21"/>
      <w:shd w:val="clear" w:color="auto" w:fill="F9F2F4"/>
    </w:rPr>
  </w:style>
  <w:style w:type="character" w:styleId="40">
    <w:name w:val="annotation reference"/>
    <w:basedOn w:val="32"/>
    <w:semiHidden/>
    <w:unhideWhenUsed/>
    <w:qFormat/>
    <w:uiPriority w:val="0"/>
    <w:rPr>
      <w:sz w:val="21"/>
      <w:szCs w:val="21"/>
    </w:rPr>
  </w:style>
  <w:style w:type="character" w:styleId="41">
    <w:name w:val="HTML Keyboard"/>
    <w:basedOn w:val="32"/>
    <w:unhideWhenUsed/>
    <w:qFormat/>
    <w:uiPriority w:val="0"/>
    <w:rPr>
      <w:rFonts w:hint="default" w:ascii="Consolas" w:hAnsi="Consolas" w:eastAsia="Consolas" w:cs="Consolas"/>
      <w:color w:val="FFFFFF"/>
      <w:sz w:val="21"/>
      <w:szCs w:val="21"/>
      <w:shd w:val="clear" w:color="auto" w:fill="333333"/>
    </w:rPr>
  </w:style>
  <w:style w:type="character" w:styleId="42">
    <w:name w:val="HTML Sample"/>
    <w:basedOn w:val="32"/>
    <w:unhideWhenUsed/>
    <w:qFormat/>
    <w:uiPriority w:val="0"/>
    <w:rPr>
      <w:rFonts w:hint="default" w:ascii="Consolas" w:hAnsi="Consolas" w:eastAsia="Consolas" w:cs="Consolas"/>
      <w:sz w:val="21"/>
      <w:szCs w:val="21"/>
    </w:rPr>
  </w:style>
  <w:style w:type="paragraph" w:customStyle="1" w:styleId="43">
    <w:name w:val="样式 样式 左侧:  2 字符 + 左侧:  0.85 厘米 首行缩进:  2 字符1"/>
    <w:basedOn w:val="1"/>
    <w:qFormat/>
    <w:uiPriority w:val="0"/>
    <w:pPr>
      <w:ind w:left="482" w:firstLine="200" w:firstLineChars="200"/>
    </w:pPr>
  </w:style>
  <w:style w:type="paragraph" w:customStyle="1" w:styleId="44">
    <w:name w:val="title11"/>
    <w:basedOn w:val="1"/>
    <w:qFormat/>
    <w:uiPriority w:val="0"/>
    <w:pPr>
      <w:spacing w:before="150" w:line="450" w:lineRule="atLeast"/>
      <w:jc w:val="left"/>
    </w:pPr>
    <w:rPr>
      <w:b/>
      <w:kern w:val="0"/>
      <w:sz w:val="24"/>
      <w:szCs w:val="24"/>
    </w:rPr>
  </w:style>
  <w:style w:type="paragraph" w:customStyle="1" w:styleId="45">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46">
    <w:name w:val="标题 1 字符"/>
    <w:link w:val="3"/>
    <w:qFormat/>
    <w:uiPriority w:val="0"/>
    <w:rPr>
      <w:rFonts w:ascii="黑体" w:eastAsia="黑体"/>
      <w:sz w:val="28"/>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rPr>
  </w:style>
  <w:style w:type="paragraph" w:customStyle="1" w:styleId="48">
    <w:name w:val="Body text|1"/>
    <w:basedOn w:val="1"/>
    <w:qFormat/>
    <w:uiPriority w:val="0"/>
    <w:pPr>
      <w:spacing w:line="480" w:lineRule="auto"/>
      <w:ind w:firstLine="400"/>
    </w:pPr>
    <w:rPr>
      <w:rFonts w:ascii="宋体" w:hAnsi="宋体" w:cs="宋体"/>
      <w:sz w:val="20"/>
      <w:lang w:val="zh-TW" w:eastAsia="zh-TW" w:bidi="zh-TW"/>
    </w:rPr>
  </w:style>
  <w:style w:type="character" w:customStyle="1" w:styleId="49">
    <w:name w:val="页脚 字符"/>
    <w:basedOn w:val="32"/>
    <w:link w:val="19"/>
    <w:qFormat/>
    <w:uiPriority w:val="0"/>
    <w:rPr>
      <w:kern w:val="2"/>
      <w:sz w:val="18"/>
      <w:szCs w:val="18"/>
    </w:rPr>
  </w:style>
  <w:style w:type="paragraph" w:customStyle="1" w:styleId="50">
    <w:name w:val="列出段落1"/>
    <w:basedOn w:val="1"/>
    <w:qFormat/>
    <w:uiPriority w:val="34"/>
    <w:pPr>
      <w:ind w:firstLine="420" w:firstLineChars="200"/>
    </w:pPr>
  </w:style>
  <w:style w:type="paragraph" w:customStyle="1" w:styleId="51">
    <w:name w:val="列出段落2"/>
    <w:basedOn w:val="1"/>
    <w:qFormat/>
    <w:uiPriority w:val="34"/>
    <w:pPr>
      <w:ind w:firstLine="420" w:firstLineChars="200"/>
    </w:pPr>
    <w:rPr>
      <w:rFonts w:asciiTheme="minorHAnsi" w:hAnsiTheme="minorHAnsi" w:eastAsiaTheme="minorEastAsia" w:cstheme="minorBidi"/>
      <w:szCs w:val="22"/>
    </w:rPr>
  </w:style>
  <w:style w:type="character" w:customStyle="1" w:styleId="52">
    <w:name w:val="批注框文本 字符"/>
    <w:basedOn w:val="32"/>
    <w:link w:val="18"/>
    <w:semiHidden/>
    <w:qFormat/>
    <w:uiPriority w:val="0"/>
    <w:rPr>
      <w:rFonts w:ascii="Times New Roman" w:hAnsi="Times New Roman" w:eastAsia="宋体" w:cs="Times New Roman"/>
      <w:kern w:val="2"/>
      <w:sz w:val="18"/>
      <w:szCs w:val="18"/>
    </w:rPr>
  </w:style>
  <w:style w:type="paragraph" w:customStyle="1" w:styleId="53">
    <w:name w:val="Normal_8"/>
    <w:qFormat/>
    <w:uiPriority w:val="0"/>
    <w:pPr>
      <w:spacing w:before="120" w:after="240"/>
      <w:jc w:val="both"/>
    </w:pPr>
    <w:rPr>
      <w:rFonts w:ascii="等线" w:hAnsi="等线" w:eastAsia="宋体" w:cs="Times New Roman"/>
      <w:sz w:val="22"/>
      <w:szCs w:val="22"/>
      <w:lang w:val="en-US" w:eastAsia="en-US" w:bidi="ar-SA"/>
    </w:rPr>
  </w:style>
  <w:style w:type="paragraph" w:customStyle="1" w:styleId="54">
    <w:name w:val="Blockquote"/>
    <w:basedOn w:val="1"/>
    <w:qFormat/>
    <w:uiPriority w:val="99"/>
    <w:pPr>
      <w:autoSpaceDE w:val="0"/>
      <w:autoSpaceDN w:val="0"/>
      <w:adjustRightInd w:val="0"/>
      <w:spacing w:before="100" w:after="100"/>
      <w:ind w:left="360" w:right="360"/>
    </w:pPr>
    <w:rPr>
      <w:sz w:val="24"/>
    </w:rPr>
  </w:style>
  <w:style w:type="paragraph" w:customStyle="1" w:styleId="55">
    <w:name w:val="WPSOffice手动目录 1"/>
    <w:qFormat/>
    <w:uiPriority w:val="0"/>
    <w:rPr>
      <w:rFonts w:ascii="Times New Roman" w:hAnsi="Times New Roman" w:eastAsia="宋体" w:cs="Times New Roman"/>
      <w:lang w:val="en-US" w:eastAsia="zh-CN" w:bidi="ar-SA"/>
    </w:rPr>
  </w:style>
  <w:style w:type="character" w:customStyle="1" w:styleId="56">
    <w:name w:val="button"/>
    <w:basedOn w:val="32"/>
    <w:qFormat/>
    <w:uiPriority w:val="0"/>
  </w:style>
  <w:style w:type="character" w:customStyle="1" w:styleId="57">
    <w:name w:val="hour_am"/>
    <w:basedOn w:val="32"/>
    <w:qFormat/>
    <w:uiPriority w:val="0"/>
  </w:style>
  <w:style w:type="character" w:customStyle="1" w:styleId="58">
    <w:name w:val="hour_pm"/>
    <w:basedOn w:val="32"/>
    <w:qFormat/>
    <w:uiPriority w:val="0"/>
  </w:style>
  <w:style w:type="character" w:customStyle="1" w:styleId="59">
    <w:name w:val="indent"/>
    <w:basedOn w:val="32"/>
    <w:qFormat/>
    <w:uiPriority w:val="0"/>
  </w:style>
  <w:style w:type="character" w:customStyle="1" w:styleId="60">
    <w:name w:val="tmpztreemove_arrow"/>
    <w:basedOn w:val="32"/>
    <w:qFormat/>
    <w:uiPriority w:val="0"/>
    <w:rPr>
      <w:shd w:val="clear" w:color="auto" w:fill="FFFFFF"/>
    </w:rPr>
  </w:style>
  <w:style w:type="character" w:customStyle="1" w:styleId="61">
    <w:name w:val="hover3"/>
    <w:basedOn w:val="32"/>
    <w:qFormat/>
    <w:uiPriority w:val="0"/>
    <w:rPr>
      <w:shd w:val="clear" w:color="auto" w:fill="EEEEEE"/>
    </w:rPr>
  </w:style>
  <w:style w:type="character" w:customStyle="1" w:styleId="62">
    <w:name w:val="old"/>
    <w:basedOn w:val="32"/>
    <w:qFormat/>
    <w:uiPriority w:val="0"/>
    <w:rPr>
      <w:color w:val="999999"/>
    </w:rPr>
  </w:style>
  <w:style w:type="character" w:customStyle="1" w:styleId="63">
    <w:name w:val="glyphicon4"/>
    <w:basedOn w:val="32"/>
    <w:qFormat/>
    <w:uiPriority w:val="0"/>
  </w:style>
  <w:style w:type="character" w:customStyle="1" w:styleId="64">
    <w:name w:val="input-direction"/>
    <w:basedOn w:val="32"/>
    <w:qFormat/>
    <w:uiPriority w:val="0"/>
    <w:rPr>
      <w:color w:val="FF6600"/>
    </w:rPr>
  </w:style>
  <w:style w:type="character" w:customStyle="1" w:styleId="65">
    <w:name w:val="stclosebtn"/>
    <w:basedOn w:val="32"/>
    <w:qFormat/>
    <w:uiPriority w:val="0"/>
  </w:style>
  <w:style w:type="character" w:customStyle="1" w:styleId="66">
    <w:name w:val="beforeinfotext"/>
    <w:basedOn w:val="32"/>
    <w:qFormat/>
    <w:uiPriority w:val="0"/>
    <w:rPr>
      <w:color w:val="666666"/>
    </w:rPr>
  </w:style>
  <w:style w:type="character" w:customStyle="1" w:styleId="67">
    <w:name w:val="proollist"/>
    <w:basedOn w:val="32"/>
    <w:qFormat/>
    <w:uiPriority w:val="0"/>
  </w:style>
  <w:style w:type="character" w:customStyle="1" w:styleId="68">
    <w:name w:val="span-long"/>
    <w:basedOn w:val="32"/>
    <w:qFormat/>
    <w:uiPriority w:val="0"/>
  </w:style>
  <w:style w:type="character" w:customStyle="1" w:styleId="69">
    <w:name w:val="hilite6"/>
    <w:basedOn w:val="32"/>
    <w:qFormat/>
    <w:uiPriority w:val="0"/>
    <w:rPr>
      <w:color w:val="FFFFFF"/>
      <w:shd w:val="clear" w:color="auto" w:fill="666677"/>
    </w:rPr>
  </w:style>
  <w:style w:type="character" w:customStyle="1" w:styleId="70">
    <w:name w:val="active6"/>
    <w:basedOn w:val="32"/>
    <w:qFormat/>
    <w:uiPriority w:val="0"/>
    <w:rPr>
      <w:color w:val="00FF00"/>
      <w:shd w:val="clear" w:color="auto" w:fill="000000"/>
    </w:rPr>
  </w:style>
  <w:style w:type="character" w:customStyle="1" w:styleId="71">
    <w:name w:val="phone"/>
    <w:basedOn w:val="32"/>
    <w:qFormat/>
    <w:uiPriority w:val="0"/>
    <w:rPr>
      <w:color w:val="FF8833"/>
      <w:sz w:val="18"/>
      <w:szCs w:val="18"/>
    </w:rPr>
  </w:style>
  <w:style w:type="character" w:customStyle="1" w:styleId="72">
    <w:name w:val="number"/>
    <w:basedOn w:val="32"/>
    <w:qFormat/>
    <w:uiPriority w:val="0"/>
    <w:rPr>
      <w:color w:val="FF8833"/>
      <w:sz w:val="18"/>
      <w:szCs w:val="18"/>
    </w:rPr>
  </w:style>
  <w:style w:type="character" w:customStyle="1" w:styleId="73">
    <w:name w:val="纯文本 字符"/>
    <w:basedOn w:val="32"/>
    <w:link w:val="15"/>
    <w:qFormat/>
    <w:uiPriority w:val="0"/>
    <w:rPr>
      <w:rFonts w:ascii="宋体" w:hAnsi="Courier New"/>
    </w:rPr>
  </w:style>
  <w:style w:type="character" w:customStyle="1" w:styleId="74">
    <w:name w:val="批注文字 字符"/>
    <w:basedOn w:val="32"/>
    <w:link w:val="9"/>
    <w:qFormat/>
    <w:uiPriority w:val="0"/>
    <w:rPr>
      <w:kern w:val="2"/>
      <w:sz w:val="21"/>
    </w:rPr>
  </w:style>
  <w:style w:type="character" w:customStyle="1" w:styleId="75">
    <w:name w:val="批注主题 字符"/>
    <w:basedOn w:val="74"/>
    <w:link w:val="27"/>
    <w:semiHidden/>
    <w:qFormat/>
    <w:uiPriority w:val="0"/>
    <w:rPr>
      <w:b/>
      <w:bCs/>
      <w:kern w:val="2"/>
      <w:sz w:val="21"/>
    </w:rPr>
  </w:style>
  <w:style w:type="paragraph" w:styleId="76">
    <w:name w:val="List Paragraph"/>
    <w:basedOn w:val="1"/>
    <w:unhideWhenUsed/>
    <w:qFormat/>
    <w:uiPriority w:val="99"/>
    <w:pPr>
      <w:ind w:firstLine="420" w:firstLineChars="200"/>
    </w:pPr>
  </w:style>
  <w:style w:type="paragraph" w:customStyle="1" w:styleId="77">
    <w:name w:val="p0"/>
    <w:basedOn w:val="1"/>
    <w:qFormat/>
    <w:uiPriority w:val="0"/>
    <w:pPr>
      <w:widowControl/>
    </w:pPr>
    <w:rPr>
      <w:rFonts w:ascii="宋体" w:hAnsi="宋体" w:cs="宋体"/>
      <w:kern w:val="0"/>
      <w:szCs w:val="21"/>
    </w:rPr>
  </w:style>
  <w:style w:type="paragraph" w:customStyle="1" w:styleId="78">
    <w:name w:val="样式 10 磅"/>
    <w:basedOn w:val="1"/>
    <w:qFormat/>
    <w:uiPriority w:val="0"/>
  </w:style>
  <w:style w:type="paragraph" w:customStyle="1" w:styleId="79">
    <w:name w:val="Normal_13"/>
    <w:qFormat/>
    <w:uiPriority w:val="99"/>
    <w:pPr>
      <w:spacing w:before="120" w:after="240"/>
      <w:jc w:val="both"/>
    </w:pPr>
    <w:rPr>
      <w:rFonts w:ascii="Calibri" w:hAnsi="Calibri" w:eastAsia="宋体" w:cs="Times New Roman"/>
      <w:sz w:val="22"/>
      <w:szCs w:val="22"/>
      <w:lang w:val="en-US" w:eastAsia="en-US" w:bidi="ar-SA"/>
    </w:rPr>
  </w:style>
  <w:style w:type="paragraph" w:customStyle="1" w:styleId="80">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81">
    <w:name w:val="Normal_34_0"/>
    <w:basedOn w:val="1"/>
    <w:qFormat/>
    <w:uiPriority w:val="0"/>
    <w:pPr>
      <w:widowControl/>
      <w:spacing w:before="120" w:after="240"/>
    </w:pPr>
    <w:rPr>
      <w:rFonts w:ascii="Calibri" w:hAnsi="Calibri" w:cs="宋体"/>
      <w:kern w:val="0"/>
      <w:sz w:val="22"/>
      <w:szCs w:val="22"/>
    </w:rPr>
  </w:style>
  <w:style w:type="character" w:customStyle="1" w:styleId="82">
    <w:name w:val="font181"/>
    <w:basedOn w:val="32"/>
    <w:qFormat/>
    <w:uiPriority w:val="0"/>
    <w:rPr>
      <w:rFonts w:hint="eastAsia" w:ascii="宋体" w:hAnsi="宋体" w:eastAsia="宋体" w:cs="宋体"/>
      <w:color w:val="000000"/>
      <w:sz w:val="28"/>
      <w:szCs w:val="28"/>
      <w:u w:val="none"/>
    </w:rPr>
  </w:style>
  <w:style w:type="character" w:customStyle="1" w:styleId="83">
    <w:name w:val="font41"/>
    <w:basedOn w:val="32"/>
    <w:qFormat/>
    <w:uiPriority w:val="0"/>
    <w:rPr>
      <w:rFonts w:hint="eastAsia" w:ascii="宋体" w:hAnsi="宋体" w:eastAsia="宋体" w:cs="宋体"/>
      <w:color w:val="FF0000"/>
      <w:sz w:val="28"/>
      <w:szCs w:val="28"/>
      <w:u w:val="none"/>
    </w:rPr>
  </w:style>
  <w:style w:type="character" w:customStyle="1" w:styleId="84">
    <w:name w:val="font101"/>
    <w:basedOn w:val="32"/>
    <w:qFormat/>
    <w:uiPriority w:val="0"/>
    <w:rPr>
      <w:rFonts w:ascii="BatangChe" w:hAnsi="BatangChe" w:eastAsia="BatangChe" w:cs="BatangChe"/>
      <w:color w:val="000000"/>
      <w:sz w:val="28"/>
      <w:szCs w:val="28"/>
      <w:u w:val="none"/>
    </w:rPr>
  </w:style>
  <w:style w:type="character" w:customStyle="1" w:styleId="85">
    <w:name w:val="font191"/>
    <w:basedOn w:val="32"/>
    <w:qFormat/>
    <w:uiPriority w:val="0"/>
    <w:rPr>
      <w:rFonts w:hint="eastAsia" w:ascii="宋体" w:hAnsi="宋体" w:eastAsia="宋体" w:cs="宋体"/>
      <w:color w:val="FF0000"/>
      <w:sz w:val="28"/>
      <w:szCs w:val="28"/>
      <w:u w:val="none"/>
    </w:rPr>
  </w:style>
  <w:style w:type="character" w:customStyle="1" w:styleId="86">
    <w:name w:val="font201"/>
    <w:basedOn w:val="32"/>
    <w:qFormat/>
    <w:uiPriority w:val="0"/>
    <w:rPr>
      <w:rFonts w:hint="eastAsia" w:ascii="宋体" w:hAnsi="宋体" w:eastAsia="宋体" w:cs="宋体"/>
      <w:color w:val="000000"/>
      <w:sz w:val="28"/>
      <w:szCs w:val="28"/>
      <w:u w:val="none"/>
    </w:rPr>
  </w:style>
  <w:style w:type="character" w:customStyle="1" w:styleId="87">
    <w:name w:val="font212"/>
    <w:basedOn w:val="32"/>
    <w:qFormat/>
    <w:uiPriority w:val="0"/>
    <w:rPr>
      <w:rFonts w:hint="default" w:ascii="BatangChe" w:hAnsi="BatangChe" w:eastAsia="BatangChe" w:cs="BatangChe"/>
      <w:color w:val="000000"/>
      <w:sz w:val="28"/>
      <w:szCs w:val="28"/>
      <w:u w:val="none"/>
    </w:rPr>
  </w:style>
  <w:style w:type="character" w:customStyle="1" w:styleId="88">
    <w:name w:val="font221"/>
    <w:basedOn w:val="32"/>
    <w:qFormat/>
    <w:uiPriority w:val="0"/>
    <w:rPr>
      <w:rFonts w:ascii="Arial" w:hAnsi="Arial" w:cs="Arial"/>
      <w:color w:val="000000"/>
      <w:sz w:val="28"/>
      <w:szCs w:val="28"/>
      <w:u w:val="none"/>
    </w:rPr>
  </w:style>
  <w:style w:type="character" w:customStyle="1" w:styleId="89">
    <w:name w:val="font231"/>
    <w:basedOn w:val="32"/>
    <w:qFormat/>
    <w:uiPriority w:val="0"/>
    <w:rPr>
      <w:rFonts w:hint="eastAsia" w:ascii="等线" w:hAnsi="等线" w:eastAsia="等线" w:cs="等线"/>
      <w:color w:val="FF0000"/>
      <w:sz w:val="22"/>
      <w:szCs w:val="22"/>
      <w:u w:val="none"/>
    </w:rPr>
  </w:style>
  <w:style w:type="character" w:customStyle="1" w:styleId="90">
    <w:name w:val="font71"/>
    <w:basedOn w:val="32"/>
    <w:qFormat/>
    <w:uiPriority w:val="0"/>
    <w:rPr>
      <w:rFonts w:hint="eastAsia" w:ascii="等线" w:hAnsi="等线" w:eastAsia="等线" w:cs="等线"/>
      <w:color w:val="000000"/>
      <w:sz w:val="22"/>
      <w:szCs w:val="22"/>
      <w:u w:val="none"/>
    </w:rPr>
  </w:style>
  <w:style w:type="character" w:customStyle="1" w:styleId="91">
    <w:name w:val="font241"/>
    <w:basedOn w:val="32"/>
    <w:qFormat/>
    <w:uiPriority w:val="0"/>
    <w:rPr>
      <w:rFonts w:hint="eastAsia" w:ascii="等线" w:hAnsi="等线" w:eastAsia="等线" w:cs="等线"/>
      <w:b/>
      <w:bCs/>
      <w:color w:val="0066CC"/>
      <w:sz w:val="22"/>
      <w:szCs w:val="22"/>
      <w:u w:val="none"/>
    </w:rPr>
  </w:style>
  <w:style w:type="character" w:customStyle="1" w:styleId="92">
    <w:name w:val="font251"/>
    <w:basedOn w:val="32"/>
    <w:qFormat/>
    <w:uiPriority w:val="0"/>
    <w:rPr>
      <w:rFonts w:hint="eastAsia" w:ascii="等线" w:hAnsi="等线" w:eastAsia="等线" w:cs="等线"/>
      <w:b/>
      <w:bCs/>
      <w:color w:val="FF0000"/>
      <w:sz w:val="22"/>
      <w:szCs w:val="22"/>
      <w:u w:val="none"/>
    </w:rPr>
  </w:style>
  <w:style w:type="character" w:customStyle="1" w:styleId="93">
    <w:name w:val="font261"/>
    <w:basedOn w:val="32"/>
    <w:qFormat/>
    <w:uiPriority w:val="0"/>
    <w:rPr>
      <w:rFonts w:hint="eastAsia" w:ascii="宋体" w:hAnsi="宋体" w:eastAsia="宋体" w:cs="宋体"/>
      <w:b/>
      <w:bCs/>
      <w:color w:val="FF0000"/>
      <w:sz w:val="28"/>
      <w:szCs w:val="28"/>
      <w:u w:val="none"/>
    </w:rPr>
  </w:style>
  <w:style w:type="character" w:customStyle="1" w:styleId="94">
    <w:name w:val="font141"/>
    <w:basedOn w:val="32"/>
    <w:qFormat/>
    <w:uiPriority w:val="0"/>
    <w:rPr>
      <w:rFonts w:hint="eastAsia" w:ascii="等线" w:hAnsi="等线" w:eastAsia="等线" w:cs="等线"/>
      <w:color w:val="FF0000"/>
      <w:sz w:val="22"/>
      <w:szCs w:val="22"/>
      <w:u w:val="none"/>
    </w:rPr>
  </w:style>
  <w:style w:type="paragraph" w:customStyle="1" w:styleId="95">
    <w:name w:val="Normal_0"/>
    <w:qFormat/>
    <w:uiPriority w:val="0"/>
    <w:rPr>
      <w:rFonts w:ascii="Times New Roman" w:hAnsi="Times New Roman" w:eastAsia="Times New Roman" w:cs="Times New Roman"/>
      <w:sz w:val="24"/>
      <w:szCs w:val="24"/>
    </w:rPr>
  </w:style>
  <w:style w:type="paragraph" w:customStyle="1" w:styleId="96">
    <w:name w:val="null3"/>
    <w:hidden/>
    <w:qFormat/>
    <w:uiPriority w:val="0"/>
    <w:rPr>
      <w:rFonts w:hint="eastAsia" w:asciiTheme="minorHAnsi" w:hAnsiTheme="minorHAnsi" w:eastAsiaTheme="minorEastAsia" w:cstheme="minorBidi"/>
      <w:lang w:val="en-US" w:eastAsia="zh-Hans"/>
    </w:rPr>
  </w:style>
  <w:style w:type="paragraph" w:customStyle="1" w:styleId="97">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2A23E-DAAF-4411-8AA9-1B6680B615D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100</Pages>
  <Words>57319</Words>
  <Characters>63065</Characters>
  <Lines>484</Lines>
  <Paragraphs>136</Paragraphs>
  <TotalTime>0</TotalTime>
  <ScaleCrop>false</ScaleCrop>
  <LinksUpToDate>false</LinksUpToDate>
  <CharactersWithSpaces>65144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2024-03-11T07:17:00Z</dcterms:created>
  <dc:creator>lenovo</dc:creator>
  <cp:lastModifiedBy>acer</cp:lastModifiedBy>
  <cp:lastPrinted>2026-03-05T07:58:00Z</cp:lastPrinted>
  <dcterms:modified xsi:type="dcterms:W3CDTF">2026-03-12T07:31:08Z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20F1E4B81ECB43ACAEEFA1167FE0B2EF_13</vt:lpwstr>
  </property>
  <property fmtid="{D5CDD505-2E9C-101B-9397-08002B2CF9AE}" pid="4" name="commondata">
    <vt:lpwstr>eyJoZGlkIjoiOTU5MjA1ZjMyY2E4MzM2ZTg3MWIzYzc1M2JmYjkyOGMifQ==</vt:lpwstr>
  </property>
  <property fmtid="{D5CDD505-2E9C-101B-9397-08002B2CF9AE}" pid="5" name="KSOTemplateDocerSaveRecord">
    <vt:lpwstr>eyJoZGlkIjoiNTNmYmYxNTBmZGY4MzY5NDA0MzliOGFjZWIzZjJjN2QiLCJ1c2VySWQiOiIyNDc5ODM4ODIifQ==</vt:lpwstr>
  </property>
</Properties>
</file>