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B613">
      <w:pPr>
        <w:keepNext/>
        <w:keepLines/>
        <w:numPr>
          <w:ilvl w:val="0"/>
          <w:numId w:val="0"/>
        </w:numPr>
        <w:spacing w:line="240" w:lineRule="auto"/>
        <w:ind w:leftChars="0"/>
        <w:jc w:val="center"/>
        <w:outlineLvl w:val="0"/>
        <w:rPr>
          <w:rFonts w:hint="eastAsia" w:ascii="Calibri Light" w:hAnsi="Calibri Light" w:eastAsia="仿宋" w:cs="Calibri Light"/>
          <w:b/>
          <w:color w:val="000000"/>
          <w:kern w:val="44"/>
          <w:sz w:val="36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44"/>
          <w:sz w:val="32"/>
          <w:szCs w:val="40"/>
          <w:lang w:val="en-US" w:eastAsia="zh-CN" w:bidi="ar-SA"/>
        </w:rPr>
        <w:t>第三章 谈判内容及采购要求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62"/>
        <w:gridCol w:w="4975"/>
        <w:gridCol w:w="967"/>
        <w:gridCol w:w="1008"/>
      </w:tblGrid>
      <w:tr w14:paraId="3DB9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6" w:type="dxa"/>
            <w:noWrap w:val="0"/>
            <w:vAlign w:val="center"/>
          </w:tcPr>
          <w:p w14:paraId="20B58731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62" w:type="dxa"/>
            <w:noWrap w:val="0"/>
            <w:vAlign w:val="center"/>
          </w:tcPr>
          <w:p w14:paraId="7B4F65AF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4975" w:type="dxa"/>
            <w:noWrap w:val="0"/>
            <w:vAlign w:val="center"/>
          </w:tcPr>
          <w:p w14:paraId="2FB2DB57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  <w:t>货物参数</w:t>
            </w:r>
          </w:p>
        </w:tc>
        <w:tc>
          <w:tcPr>
            <w:tcW w:w="967" w:type="dxa"/>
            <w:noWrap w:val="0"/>
            <w:vAlign w:val="center"/>
          </w:tcPr>
          <w:p w14:paraId="21564F3C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008" w:type="dxa"/>
            <w:noWrap w:val="0"/>
            <w:vAlign w:val="center"/>
          </w:tcPr>
          <w:p w14:paraId="21461BAC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" w:cs="仿宋"/>
                <w:b/>
                <w:color w:val="auto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</w:tr>
      <w:tr w14:paraId="1378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6" w:type="dxa"/>
            <w:noWrap w:val="0"/>
            <w:vAlign w:val="center"/>
          </w:tcPr>
          <w:p w14:paraId="378C975A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62" w:type="dxa"/>
            <w:noWrap w:val="0"/>
            <w:vAlign w:val="center"/>
          </w:tcPr>
          <w:p w14:paraId="08342F66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1.5P挂壁式空调</w:t>
            </w:r>
          </w:p>
        </w:tc>
        <w:tc>
          <w:tcPr>
            <w:tcW w:w="4975" w:type="dxa"/>
            <w:noWrap w:val="0"/>
            <w:vAlign w:val="center"/>
          </w:tcPr>
          <w:p w14:paraId="21EC0E49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能效比：≥3.25；能效等级：一级能效；冷暖类型：冷暖，制冷量（W）≥3500,制热量（W）≥5000；冷暖额定功率：制冷额定功率（W）≥800，制热额定功率（W）≥1200；室内机运行噪音（db）A≤50，室外机运行噪音（db）A≤60；循环风量（m3/h）≥630。</w:t>
            </w:r>
          </w:p>
        </w:tc>
        <w:tc>
          <w:tcPr>
            <w:tcW w:w="967" w:type="dxa"/>
            <w:noWrap w:val="0"/>
            <w:vAlign w:val="center"/>
          </w:tcPr>
          <w:p w14:paraId="5832F2BE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08" w:type="dxa"/>
            <w:noWrap w:val="0"/>
            <w:vAlign w:val="center"/>
          </w:tcPr>
          <w:p w14:paraId="315B608D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</w:tr>
      <w:tr w14:paraId="3B0C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6" w:type="dxa"/>
            <w:noWrap w:val="0"/>
            <w:vAlign w:val="center"/>
          </w:tcPr>
          <w:p w14:paraId="27975DA8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62" w:type="dxa"/>
            <w:noWrap w:val="0"/>
            <w:vAlign w:val="center"/>
          </w:tcPr>
          <w:p w14:paraId="16F96FBF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3P柜机</w:t>
            </w:r>
          </w:p>
        </w:tc>
        <w:tc>
          <w:tcPr>
            <w:tcW w:w="4975" w:type="dxa"/>
            <w:noWrap w:val="0"/>
            <w:vAlign w:val="center"/>
          </w:tcPr>
          <w:p w14:paraId="1A453A2F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能效比：≥4；能效等级：一级能效；冷暖类型：冷暖，制冷量（W）≥7200,制热量（W）≥9000；冷暖额定功率：制冷额定功率（W）≥2000，制热额定功率（W）≥2500；室内机运行噪音（db）A≤50，室外机运行噪音（db）A≤60；循环风量（m3/h）≥1700。</w:t>
            </w:r>
          </w:p>
        </w:tc>
        <w:tc>
          <w:tcPr>
            <w:tcW w:w="967" w:type="dxa"/>
            <w:noWrap w:val="0"/>
            <w:vAlign w:val="center"/>
          </w:tcPr>
          <w:p w14:paraId="0602071A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008" w:type="dxa"/>
            <w:noWrap w:val="0"/>
            <w:vAlign w:val="center"/>
          </w:tcPr>
          <w:p w14:paraId="39363775">
            <w:pPr>
              <w:widowControl w:val="0"/>
              <w:tabs>
                <w:tab w:val="left" w:pos="883"/>
              </w:tabs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</w:tr>
    </w:tbl>
    <w:p w14:paraId="1D381C5A">
      <w:pPr>
        <w:keepNext/>
        <w:keepLines/>
        <w:adjustRightInd w:val="0"/>
        <w:spacing w:before="280" w:after="290" w:line="376" w:lineRule="atLeast"/>
        <w:jc w:val="both"/>
        <w:textAlignment w:val="baseline"/>
        <w:outlineLvl w:val="3"/>
        <w:rPr>
          <w:rFonts w:hint="eastAsia" w:ascii="Arial" w:hAnsi="Arial" w:eastAsia="华文仿宋" w:cs="Calibri Light"/>
          <w:b/>
          <w:spacing w:val="20"/>
          <w:kern w:val="2"/>
          <w:sz w:val="28"/>
          <w:szCs w:val="20"/>
          <w:lang w:val="en-US" w:eastAsia="zh-CN" w:bidi="ar-SA"/>
        </w:rPr>
      </w:pPr>
    </w:p>
    <w:p w14:paraId="54BFB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1、以上均为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“★”内容项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为实质性要求，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</w:rPr>
        <w:t>人未逐条响应、有缺漏或负偏离将视为无效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lang w:val="en-US" w:eastAsia="zh-CN"/>
        </w:rPr>
        <w:t>响应。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2、本项目不接受进口产品参与。3、空调属于《节能产品政府采购品目清单》范围内政府强制采购节能产品，应提供国家确定认证的机构出具的、处于有效期之内的节能产品认证证书，且认证证书需包含本次所投产品的具体型号，否则，按无效响应处理。4.本项目核心产品为3P柜机。</w:t>
      </w:r>
    </w:p>
    <w:p w14:paraId="5649D48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66500"/>
    <w:rsid w:val="6EB66500"/>
    <w:rsid w:val="71B3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2026-03-23T07:49:00Z</dcterms:created>
  <dc:creator>莲鹤</dc:creator>
  <cp:lastModifiedBy>莲鹤</cp:lastModifiedBy>
  <dcterms:modified xsi:type="dcterms:W3CDTF">2026-03-23T07:50:18Z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859597AA41EB4079A0EEAC78CDE1E047_11</vt:lpwstr>
  </property>
  <property fmtid="{D5CDD505-2E9C-101B-9397-08002B2CF9AE}" pid="4" name="KSOTemplateDocerSaveRecord">
    <vt:lpwstr>eyJoZGlkIjoiNDI0MzZiZjE4ODg5YjA3M2UzOTY3ZWIxNWE2NWFjNTkiLCJ1c2VySWQiOiI3MDE1NDI4NjkifQ==</vt:lpwstr>
  </property>
</Properties>
</file>