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AE270A">
      <w:pPr>
        <w:pStyle w:val="12"/>
        <w:rPr>
          <w:rFonts w:hint="eastAsia" w:ascii="仿宋" w:hAnsi="仿宋" w:eastAsia="仿宋" w:cs="仿宋"/>
        </w:rPr>
      </w:pPr>
      <w:r>
        <w:rPr>
          <w:rFonts w:hint="eastAsia" w:ascii="仿宋" w:hAnsi="仿宋" w:eastAsia="仿宋" w:cs="仿宋"/>
          <w:b/>
        </w:rPr>
        <w:t>版本号：HC-FZB-2026-00920260228001</w:t>
      </w:r>
      <w:r>
        <w:rPr>
          <w:rFonts w:hint="eastAsia" w:ascii="仿宋" w:hAnsi="仿宋" w:eastAsia="仿宋" w:cs="仿宋"/>
        </w:rPr>
        <w:br w:type="textWrapping"/>
      </w:r>
      <w:r>
        <w:rPr>
          <w:rFonts w:hint="eastAsia" w:ascii="仿宋" w:hAnsi="仿宋" w:eastAsia="仿宋" w:cs="仿宋"/>
        </w:rPr>
        <w:br w:type="textWrapping"/>
      </w:r>
      <w:r>
        <w:rPr>
          <w:rFonts w:hint="eastAsia" w:ascii="仿宋" w:hAnsi="仿宋" w:eastAsia="仿宋" w:cs="仿宋"/>
        </w:rPr>
        <w:br w:type="textWrapping"/>
      </w:r>
      <w:r>
        <w:rPr>
          <w:rFonts w:hint="eastAsia" w:ascii="仿宋" w:hAnsi="仿宋" w:eastAsia="仿宋" w:cs="仿宋"/>
        </w:rPr>
        <w:br w:type="textWrapping"/>
      </w:r>
      <w:r>
        <w:rPr>
          <w:rFonts w:hint="eastAsia" w:ascii="仿宋" w:hAnsi="仿宋" w:eastAsia="仿宋" w:cs="仿宋"/>
        </w:rPr>
        <w:br w:type="textWrapping"/>
      </w:r>
    </w:p>
    <w:p w14:paraId="56152E53">
      <w:pPr>
        <w:pStyle w:val="12"/>
        <w:jc w:val="center"/>
        <w:outlineLvl w:val="0"/>
        <w:rPr>
          <w:rFonts w:hint="eastAsia" w:ascii="仿宋" w:hAnsi="仿宋" w:eastAsia="仿宋" w:cs="仿宋"/>
        </w:rPr>
      </w:pPr>
      <w:bookmarkStart w:id="0" w:name="_Toc20624"/>
      <w:r>
        <w:rPr>
          <w:rFonts w:hint="eastAsia" w:ascii="仿宋" w:hAnsi="仿宋" w:eastAsia="仿宋" w:cs="仿宋"/>
          <w:b/>
          <w:sz w:val="48"/>
        </w:rPr>
        <w:t>招 标 文 件</w:t>
      </w:r>
      <w:r>
        <w:rPr>
          <w:rFonts w:hint="eastAsia" w:ascii="仿宋" w:hAnsi="仿宋" w:eastAsia="仿宋" w:cs="仿宋"/>
        </w:rPr>
        <w:br w:type="textWrapping"/>
      </w:r>
      <w:r>
        <w:rPr>
          <w:rFonts w:hint="eastAsia" w:ascii="仿宋" w:hAnsi="仿宋" w:eastAsia="仿宋" w:cs="仿宋"/>
        </w:rPr>
        <w:br w:type="textWrapping"/>
      </w:r>
      <w:r>
        <w:rPr>
          <w:rFonts w:hint="eastAsia" w:ascii="仿宋" w:hAnsi="仿宋" w:eastAsia="仿宋" w:cs="仿宋"/>
        </w:rPr>
        <w:br w:type="textWrapping"/>
      </w:r>
      <w:bookmarkEnd w:id="0"/>
    </w:p>
    <w:p w14:paraId="7F3D2824">
      <w:pPr>
        <w:pStyle w:val="12"/>
        <w:jc w:val="center"/>
        <w:outlineLvl w:val="1"/>
        <w:rPr>
          <w:rFonts w:hint="eastAsia" w:ascii="仿宋" w:hAnsi="仿宋" w:eastAsia="仿宋" w:cs="仿宋"/>
        </w:rPr>
      </w:pPr>
      <w:bookmarkStart w:id="1" w:name="_Toc28873"/>
      <w:r>
        <w:rPr>
          <w:rFonts w:hint="eastAsia" w:ascii="仿宋" w:hAnsi="仿宋" w:eastAsia="仿宋" w:cs="仿宋"/>
          <w:b/>
          <w:sz w:val="36"/>
        </w:rPr>
        <w:t>（货物类）</w:t>
      </w:r>
      <w:r>
        <w:rPr>
          <w:rFonts w:hint="eastAsia" w:ascii="仿宋" w:hAnsi="仿宋" w:eastAsia="仿宋" w:cs="仿宋"/>
        </w:rPr>
        <w:br w:type="textWrapping"/>
      </w:r>
      <w:bookmarkStart w:id="68" w:name="_GoBack"/>
      <w:bookmarkEnd w:id="68"/>
      <w:r>
        <w:rPr>
          <w:rFonts w:hint="eastAsia" w:ascii="仿宋" w:hAnsi="仿宋" w:eastAsia="仿宋" w:cs="仿宋"/>
        </w:rPr>
        <w:br w:type="textWrapping"/>
      </w:r>
      <w:r>
        <w:rPr>
          <w:rFonts w:hint="eastAsia" w:ascii="仿宋" w:hAnsi="仿宋" w:eastAsia="仿宋" w:cs="仿宋"/>
        </w:rPr>
        <w:br w:type="textWrapping"/>
      </w:r>
      <w:r>
        <w:rPr>
          <w:rFonts w:hint="eastAsia" w:ascii="仿宋" w:hAnsi="仿宋" w:eastAsia="仿宋" w:cs="仿宋"/>
        </w:rPr>
        <w:br w:type="textWrapping"/>
      </w:r>
      <w:r>
        <w:rPr>
          <w:rFonts w:hint="eastAsia" w:ascii="仿宋" w:hAnsi="仿宋" w:eastAsia="仿宋" w:cs="仿宋"/>
        </w:rPr>
        <w:br w:type="textWrapping"/>
      </w:r>
      <w:r>
        <w:rPr>
          <w:rFonts w:hint="eastAsia" w:ascii="仿宋" w:hAnsi="仿宋" w:eastAsia="仿宋" w:cs="仿宋"/>
        </w:rPr>
        <w:br w:type="textWrapping"/>
      </w:r>
      <w:r>
        <w:rPr>
          <w:rFonts w:hint="eastAsia" w:ascii="仿宋" w:hAnsi="仿宋" w:eastAsia="仿宋" w:cs="仿宋"/>
        </w:rPr>
        <w:br w:type="textWrapping"/>
      </w:r>
      <w:r>
        <w:rPr>
          <w:rFonts w:hint="eastAsia" w:ascii="仿宋" w:hAnsi="仿宋" w:eastAsia="仿宋" w:cs="仿宋"/>
        </w:rPr>
        <w:br w:type="textWrapping"/>
      </w:r>
      <w:r>
        <w:rPr>
          <w:rFonts w:hint="eastAsia" w:ascii="仿宋" w:hAnsi="仿宋" w:eastAsia="仿宋" w:cs="仿宋"/>
        </w:rPr>
        <w:br w:type="textWrapping"/>
      </w:r>
      <w:r>
        <w:rPr>
          <w:rFonts w:hint="eastAsia" w:ascii="仿宋" w:hAnsi="仿宋" w:eastAsia="仿宋" w:cs="仿宋"/>
        </w:rPr>
        <w:br w:type="textWrapping"/>
      </w:r>
      <w:r>
        <w:rPr>
          <w:rFonts w:hint="eastAsia" w:ascii="仿宋" w:hAnsi="仿宋" w:eastAsia="仿宋" w:cs="仿宋"/>
        </w:rPr>
        <w:br w:type="textWrapping"/>
      </w:r>
      <w:bookmarkEnd w:id="1"/>
    </w:p>
    <w:p w14:paraId="7652CAA8">
      <w:pPr>
        <w:pStyle w:val="12"/>
        <w:jc w:val="center"/>
        <w:outlineLvl w:val="2"/>
        <w:rPr>
          <w:rFonts w:hint="eastAsia" w:ascii="仿宋" w:hAnsi="仿宋" w:eastAsia="仿宋" w:cs="仿宋"/>
        </w:rPr>
      </w:pPr>
      <w:bookmarkStart w:id="2" w:name="_Toc2636"/>
      <w:r>
        <w:rPr>
          <w:rFonts w:hint="eastAsia" w:ascii="仿宋" w:hAnsi="仿宋" w:eastAsia="仿宋" w:cs="仿宋"/>
          <w:b/>
          <w:sz w:val="28"/>
        </w:rPr>
        <w:t>采购项目名称：财务云共享中心</w:t>
      </w:r>
      <w:bookmarkEnd w:id="2"/>
    </w:p>
    <w:p w14:paraId="7B82CE57">
      <w:pPr>
        <w:pStyle w:val="12"/>
        <w:jc w:val="center"/>
        <w:outlineLvl w:val="2"/>
        <w:rPr>
          <w:rFonts w:hint="eastAsia" w:ascii="仿宋" w:hAnsi="仿宋" w:eastAsia="仿宋" w:cs="仿宋"/>
        </w:rPr>
      </w:pPr>
      <w:bookmarkStart w:id="3" w:name="_Toc25902"/>
      <w:r>
        <w:rPr>
          <w:rFonts w:hint="eastAsia" w:ascii="仿宋" w:hAnsi="仿宋" w:eastAsia="仿宋" w:cs="仿宋"/>
          <w:b/>
          <w:sz w:val="28"/>
        </w:rPr>
        <w:t>采购项目编号：HC-FZB-2026-009</w:t>
      </w:r>
      <w:r>
        <w:rPr>
          <w:rFonts w:hint="eastAsia" w:ascii="仿宋" w:hAnsi="仿宋" w:eastAsia="仿宋" w:cs="仿宋"/>
        </w:rPr>
        <w:br w:type="textWrapping"/>
      </w:r>
    </w:p>
    <w:p w14:paraId="3DF77C5A">
      <w:pPr>
        <w:pStyle w:val="12"/>
        <w:jc w:val="center"/>
        <w:outlineLvl w:val="2"/>
        <w:rPr>
          <w:rFonts w:hint="eastAsia" w:ascii="仿宋" w:hAnsi="仿宋" w:eastAsia="仿宋" w:cs="仿宋"/>
        </w:rPr>
      </w:pPr>
    </w:p>
    <w:p w14:paraId="5A1077D8">
      <w:pPr>
        <w:pStyle w:val="12"/>
        <w:jc w:val="center"/>
        <w:outlineLvl w:val="2"/>
        <w:rPr>
          <w:rFonts w:hint="eastAsia" w:ascii="仿宋" w:hAnsi="仿宋" w:eastAsia="仿宋" w:cs="仿宋"/>
        </w:rPr>
      </w:pPr>
    </w:p>
    <w:p w14:paraId="52CF4F59">
      <w:pPr>
        <w:pStyle w:val="12"/>
        <w:jc w:val="center"/>
        <w:outlineLvl w:val="2"/>
        <w:rPr>
          <w:rFonts w:hint="eastAsia" w:ascii="仿宋" w:hAnsi="仿宋" w:eastAsia="仿宋" w:cs="仿宋"/>
        </w:rPr>
      </w:pPr>
    </w:p>
    <w:p w14:paraId="1BDB3E50">
      <w:pPr>
        <w:pStyle w:val="12"/>
        <w:jc w:val="center"/>
        <w:outlineLvl w:val="2"/>
        <w:rPr>
          <w:rFonts w:hint="eastAsia" w:ascii="仿宋" w:hAnsi="仿宋" w:eastAsia="仿宋" w:cs="仿宋"/>
        </w:rPr>
      </w:pPr>
      <w:r>
        <w:rPr>
          <w:rFonts w:hint="eastAsia" w:ascii="仿宋" w:hAnsi="仿宋" w:eastAsia="仿宋" w:cs="仿宋"/>
        </w:rPr>
        <w:br w:type="textWrapping"/>
      </w:r>
      <w:r>
        <w:rPr>
          <w:rFonts w:hint="eastAsia" w:ascii="仿宋" w:hAnsi="仿宋" w:eastAsia="仿宋" w:cs="仿宋"/>
        </w:rPr>
        <w:br w:type="textWrapping"/>
      </w:r>
      <w:bookmarkEnd w:id="3"/>
    </w:p>
    <w:p w14:paraId="0E09F541">
      <w:pPr>
        <w:pStyle w:val="12"/>
        <w:jc w:val="center"/>
        <w:outlineLvl w:val="2"/>
        <w:rPr>
          <w:rFonts w:hint="eastAsia" w:ascii="仿宋" w:hAnsi="仿宋" w:eastAsia="仿宋" w:cs="仿宋"/>
        </w:rPr>
      </w:pPr>
      <w:bookmarkStart w:id="4" w:name="_Toc23673"/>
      <w:r>
        <w:rPr>
          <w:rFonts w:hint="eastAsia" w:ascii="仿宋" w:hAnsi="仿宋" w:eastAsia="仿宋" w:cs="仿宋"/>
          <w:b/>
          <w:sz w:val="28"/>
        </w:rPr>
        <w:t>陕西铁路工程职业技术学院</w:t>
      </w:r>
      <w:bookmarkEnd w:id="4"/>
    </w:p>
    <w:p w14:paraId="4CF34595">
      <w:pPr>
        <w:pStyle w:val="12"/>
        <w:jc w:val="center"/>
        <w:outlineLvl w:val="2"/>
        <w:rPr>
          <w:rFonts w:hint="eastAsia" w:ascii="仿宋" w:hAnsi="仿宋" w:eastAsia="仿宋" w:cs="仿宋"/>
        </w:rPr>
      </w:pPr>
      <w:bookmarkStart w:id="5" w:name="_Toc9266"/>
      <w:r>
        <w:rPr>
          <w:rFonts w:hint="eastAsia" w:ascii="仿宋" w:hAnsi="仿宋" w:eastAsia="仿宋" w:cs="仿宋"/>
          <w:b/>
          <w:sz w:val="28"/>
        </w:rPr>
        <w:t>华春建设工程项目管理有限责任公司共同编制</w:t>
      </w:r>
      <w:bookmarkEnd w:id="5"/>
    </w:p>
    <w:p w14:paraId="044BB9C8">
      <w:pPr>
        <w:pStyle w:val="12"/>
        <w:jc w:val="center"/>
        <w:outlineLvl w:val="2"/>
        <w:rPr>
          <w:rFonts w:hint="eastAsia" w:ascii="仿宋" w:hAnsi="仿宋" w:eastAsia="仿宋" w:cs="仿宋"/>
        </w:rPr>
      </w:pPr>
      <w:bookmarkStart w:id="6" w:name="_Toc13294"/>
      <w:r>
        <w:rPr>
          <w:rFonts w:hint="eastAsia" w:ascii="仿宋" w:hAnsi="仿宋" w:eastAsia="仿宋" w:cs="仿宋"/>
          <w:b/>
          <w:sz w:val="28"/>
        </w:rPr>
        <w:t>2026年02月28日</w:t>
      </w:r>
      <w:bookmarkEnd w:id="6"/>
    </w:p>
    <w:p w14:paraId="6F50E7A2">
      <w:pPr>
        <w:pStyle w:val="12"/>
        <w:rPr>
          <w:rFonts w:hint="eastAsia" w:ascii="仿宋" w:hAnsi="仿宋" w:eastAsia="仿宋" w:cs="仿宋"/>
        </w:rPr>
      </w:pPr>
      <w:r>
        <w:rPr>
          <w:rFonts w:hint="eastAsia" w:ascii="仿宋" w:hAnsi="仿宋" w:eastAsia="仿宋" w:cs="仿宋"/>
        </w:rPr>
        <w:t xml:space="preserve"> </w:t>
      </w:r>
    </w:p>
    <w:p w14:paraId="51DC2EBC">
      <w:pPr>
        <w:spacing w:before="0" w:beforeLines="0" w:after="0" w:afterLines="0" w:line="240" w:lineRule="auto"/>
        <w:ind w:left="0" w:leftChars="0" w:right="0" w:rightChars="0" w:firstLine="0" w:firstLineChars="0"/>
        <w:jc w:val="center"/>
        <w:rPr>
          <w:rFonts w:hint="eastAsia" w:ascii="仿宋" w:hAnsi="仿宋" w:eastAsia="仿宋" w:cs="仿宋"/>
          <w:kern w:val="2"/>
          <w:sz w:val="21"/>
          <w:szCs w:val="24"/>
          <w:lang w:val="en-US" w:eastAsia="zh-CN" w:bidi="ar-SA"/>
        </w:rPr>
        <w:sectPr>
          <w:pgSz w:w="11906" w:h="16838"/>
          <w:pgMar w:top="1440" w:right="1800" w:bottom="1440" w:left="1800" w:header="851" w:footer="992" w:gutter="0"/>
          <w:pgNumType w:fmt="decimal"/>
          <w:cols w:space="425" w:num="1"/>
          <w:docGrid w:type="lines" w:linePitch="312" w:charSpace="0"/>
        </w:sectPr>
      </w:pPr>
    </w:p>
    <w:sdt>
      <w:sdtPr>
        <w:rPr>
          <w:rFonts w:hint="eastAsia" w:ascii="仿宋" w:hAnsi="仿宋" w:eastAsia="仿宋" w:cs="仿宋"/>
          <w:kern w:val="2"/>
          <w:sz w:val="21"/>
          <w:szCs w:val="24"/>
          <w:lang w:val="en-US" w:eastAsia="zh-CN" w:bidi="ar-SA"/>
        </w:rPr>
        <w:id w:val="147462886"/>
        <w15:color w:val="DBDBDB"/>
        <w:docPartObj>
          <w:docPartGallery w:val="Table of Contents"/>
          <w:docPartUnique/>
        </w:docPartObj>
      </w:sdtPr>
      <w:sdtEndPr>
        <w:rPr>
          <w:rFonts w:hint="eastAsia" w:ascii="仿宋" w:hAnsi="仿宋" w:eastAsia="仿宋" w:cs="仿宋"/>
          <w:kern w:val="2"/>
          <w:sz w:val="21"/>
          <w:szCs w:val="24"/>
          <w:lang w:val="en-US" w:eastAsia="zh-CN" w:bidi="ar-SA"/>
        </w:rPr>
      </w:sdtEndPr>
      <w:sdtContent>
        <w:p w14:paraId="7D800674">
          <w:pPr>
            <w:spacing w:before="0" w:beforeLines="0" w:after="0" w:afterLines="0" w:line="240" w:lineRule="auto"/>
            <w:ind w:left="0" w:leftChars="0" w:right="0" w:rightChars="0" w:firstLine="0" w:firstLineChars="0"/>
            <w:jc w:val="center"/>
            <w:rPr>
              <w:rFonts w:hint="eastAsia" w:ascii="仿宋" w:hAnsi="仿宋" w:eastAsia="仿宋" w:cs="仿宋"/>
              <w:b/>
              <w:bCs/>
              <w:sz w:val="28"/>
              <w:szCs w:val="36"/>
            </w:rPr>
          </w:pPr>
          <w:r>
            <w:rPr>
              <w:rFonts w:hint="eastAsia" w:ascii="仿宋" w:hAnsi="仿宋" w:eastAsia="仿宋" w:cs="仿宋"/>
              <w:b/>
              <w:bCs/>
              <w:sz w:val="28"/>
              <w:szCs w:val="36"/>
            </w:rPr>
            <w:t>目</w:t>
          </w:r>
          <w:r>
            <w:rPr>
              <w:rFonts w:hint="eastAsia" w:ascii="仿宋" w:hAnsi="仿宋" w:eastAsia="仿宋" w:cs="仿宋"/>
              <w:b/>
              <w:bCs/>
              <w:sz w:val="28"/>
              <w:szCs w:val="36"/>
              <w:lang w:val="en-US" w:eastAsia="zh-CN"/>
            </w:rPr>
            <w:t xml:space="preserve">  </w:t>
          </w:r>
          <w:r>
            <w:rPr>
              <w:rFonts w:hint="eastAsia" w:ascii="仿宋" w:hAnsi="仿宋" w:eastAsia="仿宋" w:cs="仿宋"/>
              <w:b/>
              <w:bCs/>
              <w:sz w:val="28"/>
              <w:szCs w:val="36"/>
            </w:rPr>
            <w:t>录</w:t>
          </w:r>
        </w:p>
        <w:p w14:paraId="0A9D37B2">
          <w:pPr>
            <w:pStyle w:val="4"/>
            <w:tabs>
              <w:tab w:val="right" w:leader="dot" w:pos="8306"/>
            </w:tabs>
            <w:spacing w:line="360" w:lineRule="auto"/>
            <w:ind w:left="0" w:leftChars="0" w:firstLine="420" w:firstLineChars="200"/>
            <w:rPr>
              <w:rFonts w:hint="eastAsia" w:ascii="仿宋" w:hAnsi="仿宋" w:eastAsia="仿宋" w:cs="仿宋"/>
              <w:sz w:val="24"/>
              <w:szCs w:val="32"/>
            </w:rPr>
          </w:pPr>
          <w:r>
            <w:rPr>
              <w:rFonts w:hint="eastAsia" w:ascii="仿宋" w:hAnsi="仿宋" w:eastAsia="仿宋" w:cs="仿宋"/>
            </w:rPr>
            <w:fldChar w:fldCharType="begin"/>
          </w:r>
          <w:r>
            <w:rPr>
              <w:rFonts w:hint="eastAsia" w:ascii="仿宋" w:hAnsi="仿宋" w:eastAsia="仿宋" w:cs="仿宋"/>
            </w:rPr>
            <w:instrText xml:space="preserve">TOC \o "1-3" \h \u </w:instrText>
          </w:r>
          <w:r>
            <w:rPr>
              <w:rFonts w:hint="eastAsia" w:ascii="仿宋" w:hAnsi="仿宋" w:eastAsia="仿宋" w:cs="仿宋"/>
            </w:rPr>
            <w:fldChar w:fldCharType="separate"/>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_Toc16628 </w:instrText>
          </w:r>
          <w:r>
            <w:rPr>
              <w:rFonts w:hint="eastAsia" w:ascii="仿宋" w:hAnsi="仿宋" w:eastAsia="仿宋" w:cs="仿宋"/>
              <w:sz w:val="24"/>
              <w:szCs w:val="32"/>
            </w:rPr>
            <w:fldChar w:fldCharType="separate"/>
          </w:r>
          <w:r>
            <w:rPr>
              <w:rFonts w:hint="eastAsia" w:ascii="仿宋" w:hAnsi="仿宋" w:eastAsia="仿宋" w:cs="仿宋"/>
              <w:sz w:val="24"/>
              <w:szCs w:val="32"/>
            </w:rPr>
            <w:t>第一章 投标邀请</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_Toc16628 \h </w:instrText>
          </w:r>
          <w:r>
            <w:rPr>
              <w:rFonts w:hint="eastAsia" w:ascii="仿宋" w:hAnsi="仿宋" w:eastAsia="仿宋" w:cs="仿宋"/>
              <w:sz w:val="24"/>
              <w:szCs w:val="32"/>
            </w:rPr>
            <w:fldChar w:fldCharType="separate"/>
          </w:r>
          <w:r>
            <w:rPr>
              <w:rFonts w:hint="eastAsia" w:ascii="仿宋" w:hAnsi="仿宋" w:eastAsia="仿宋" w:cs="仿宋"/>
              <w:sz w:val="24"/>
              <w:szCs w:val="32"/>
            </w:rPr>
            <w:t>4</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17266CC5">
          <w:pPr>
            <w:pStyle w:val="8"/>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_Toc28863 </w:instrText>
          </w:r>
          <w:r>
            <w:rPr>
              <w:rFonts w:hint="eastAsia" w:ascii="仿宋" w:hAnsi="仿宋" w:eastAsia="仿宋" w:cs="仿宋"/>
              <w:sz w:val="24"/>
              <w:szCs w:val="32"/>
            </w:rPr>
            <w:fldChar w:fldCharType="separate"/>
          </w:r>
          <w:r>
            <w:rPr>
              <w:rFonts w:hint="eastAsia" w:ascii="仿宋" w:hAnsi="仿宋" w:eastAsia="仿宋" w:cs="仿宋"/>
              <w:sz w:val="24"/>
              <w:szCs w:val="32"/>
            </w:rPr>
            <w:t>第二章 投标人须知</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_Toc28863 \h </w:instrText>
          </w:r>
          <w:r>
            <w:rPr>
              <w:rFonts w:hint="eastAsia" w:ascii="仿宋" w:hAnsi="仿宋" w:eastAsia="仿宋" w:cs="仿宋"/>
              <w:sz w:val="24"/>
              <w:szCs w:val="32"/>
            </w:rPr>
            <w:fldChar w:fldCharType="separate"/>
          </w:r>
          <w:r>
            <w:rPr>
              <w:rFonts w:hint="eastAsia" w:ascii="仿宋" w:hAnsi="仿宋" w:eastAsia="仿宋" w:cs="仿宋"/>
              <w:sz w:val="24"/>
              <w:szCs w:val="32"/>
            </w:rPr>
            <w:t>9</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6DE29144">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_Toc26633 </w:instrText>
          </w:r>
          <w:r>
            <w:rPr>
              <w:rFonts w:hint="eastAsia" w:ascii="仿宋" w:hAnsi="仿宋" w:eastAsia="仿宋" w:cs="仿宋"/>
              <w:sz w:val="24"/>
              <w:szCs w:val="32"/>
            </w:rPr>
            <w:fldChar w:fldCharType="separate"/>
          </w:r>
          <w:r>
            <w:rPr>
              <w:rFonts w:hint="eastAsia" w:ascii="仿宋" w:hAnsi="仿宋" w:eastAsia="仿宋" w:cs="仿宋"/>
              <w:sz w:val="24"/>
              <w:szCs w:val="32"/>
            </w:rPr>
            <w:t>2.1投标人须知前附表</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_Toc26633 \h </w:instrText>
          </w:r>
          <w:r>
            <w:rPr>
              <w:rFonts w:hint="eastAsia" w:ascii="仿宋" w:hAnsi="仿宋" w:eastAsia="仿宋" w:cs="仿宋"/>
              <w:sz w:val="24"/>
              <w:szCs w:val="32"/>
            </w:rPr>
            <w:fldChar w:fldCharType="separate"/>
          </w:r>
          <w:r>
            <w:rPr>
              <w:rFonts w:hint="eastAsia" w:ascii="仿宋" w:hAnsi="仿宋" w:eastAsia="仿宋" w:cs="仿宋"/>
              <w:sz w:val="24"/>
              <w:szCs w:val="32"/>
            </w:rPr>
            <w:t>9</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5246C8CE">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_Toc12380 </w:instrText>
          </w:r>
          <w:r>
            <w:rPr>
              <w:rFonts w:hint="eastAsia" w:ascii="仿宋" w:hAnsi="仿宋" w:eastAsia="仿宋" w:cs="仿宋"/>
              <w:sz w:val="24"/>
              <w:szCs w:val="32"/>
            </w:rPr>
            <w:fldChar w:fldCharType="separate"/>
          </w:r>
          <w:r>
            <w:rPr>
              <w:rFonts w:hint="eastAsia" w:ascii="仿宋" w:hAnsi="仿宋" w:eastAsia="仿宋" w:cs="仿宋"/>
              <w:sz w:val="24"/>
              <w:szCs w:val="32"/>
            </w:rPr>
            <w:t>2.2总则</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_Toc12380 \h </w:instrText>
          </w:r>
          <w:r>
            <w:rPr>
              <w:rFonts w:hint="eastAsia" w:ascii="仿宋" w:hAnsi="仿宋" w:eastAsia="仿宋" w:cs="仿宋"/>
              <w:sz w:val="24"/>
              <w:szCs w:val="32"/>
            </w:rPr>
            <w:fldChar w:fldCharType="separate"/>
          </w:r>
          <w:r>
            <w:rPr>
              <w:rFonts w:hint="eastAsia" w:ascii="仿宋" w:hAnsi="仿宋" w:eastAsia="仿宋" w:cs="仿宋"/>
              <w:sz w:val="24"/>
              <w:szCs w:val="32"/>
            </w:rPr>
            <w:t>13</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38A0D0F5">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_Toc22017 </w:instrText>
          </w:r>
          <w:r>
            <w:rPr>
              <w:rFonts w:hint="eastAsia" w:ascii="仿宋" w:hAnsi="仿宋" w:eastAsia="仿宋" w:cs="仿宋"/>
              <w:sz w:val="24"/>
              <w:szCs w:val="32"/>
            </w:rPr>
            <w:fldChar w:fldCharType="separate"/>
          </w:r>
          <w:r>
            <w:rPr>
              <w:rFonts w:hint="eastAsia" w:ascii="仿宋" w:hAnsi="仿宋" w:eastAsia="仿宋" w:cs="仿宋"/>
              <w:sz w:val="24"/>
              <w:szCs w:val="32"/>
            </w:rPr>
            <w:t>2.3招标文件</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_Toc22017 \h </w:instrText>
          </w:r>
          <w:r>
            <w:rPr>
              <w:rFonts w:hint="eastAsia" w:ascii="仿宋" w:hAnsi="仿宋" w:eastAsia="仿宋" w:cs="仿宋"/>
              <w:sz w:val="24"/>
              <w:szCs w:val="32"/>
            </w:rPr>
            <w:fldChar w:fldCharType="separate"/>
          </w:r>
          <w:r>
            <w:rPr>
              <w:rFonts w:hint="eastAsia" w:ascii="仿宋" w:hAnsi="仿宋" w:eastAsia="仿宋" w:cs="仿宋"/>
              <w:sz w:val="24"/>
              <w:szCs w:val="32"/>
            </w:rPr>
            <w:t>13</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2934168E">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_Toc3494 </w:instrText>
          </w:r>
          <w:r>
            <w:rPr>
              <w:rFonts w:hint="eastAsia" w:ascii="仿宋" w:hAnsi="仿宋" w:eastAsia="仿宋" w:cs="仿宋"/>
              <w:sz w:val="24"/>
              <w:szCs w:val="32"/>
            </w:rPr>
            <w:fldChar w:fldCharType="separate"/>
          </w:r>
          <w:r>
            <w:rPr>
              <w:rFonts w:hint="eastAsia" w:ascii="仿宋" w:hAnsi="仿宋" w:eastAsia="仿宋" w:cs="仿宋"/>
              <w:sz w:val="24"/>
              <w:szCs w:val="32"/>
            </w:rPr>
            <w:t>2.4投标文件</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_Toc3494 \h </w:instrText>
          </w:r>
          <w:r>
            <w:rPr>
              <w:rFonts w:hint="eastAsia" w:ascii="仿宋" w:hAnsi="仿宋" w:eastAsia="仿宋" w:cs="仿宋"/>
              <w:sz w:val="24"/>
              <w:szCs w:val="32"/>
            </w:rPr>
            <w:fldChar w:fldCharType="separate"/>
          </w:r>
          <w:r>
            <w:rPr>
              <w:rFonts w:hint="eastAsia" w:ascii="仿宋" w:hAnsi="仿宋" w:eastAsia="仿宋" w:cs="仿宋"/>
              <w:sz w:val="24"/>
              <w:szCs w:val="32"/>
            </w:rPr>
            <w:t>14</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3D7F3478">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_Toc16297 </w:instrText>
          </w:r>
          <w:r>
            <w:rPr>
              <w:rFonts w:hint="eastAsia" w:ascii="仿宋" w:hAnsi="仿宋" w:eastAsia="仿宋" w:cs="仿宋"/>
              <w:sz w:val="24"/>
              <w:szCs w:val="32"/>
            </w:rPr>
            <w:fldChar w:fldCharType="separate"/>
          </w:r>
          <w:r>
            <w:rPr>
              <w:rFonts w:hint="eastAsia" w:ascii="仿宋" w:hAnsi="仿宋" w:eastAsia="仿宋" w:cs="仿宋"/>
              <w:sz w:val="24"/>
              <w:szCs w:val="32"/>
            </w:rPr>
            <w:t>2.5开标、资格审查、评标和中标</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_Toc16297 \h </w:instrText>
          </w:r>
          <w:r>
            <w:rPr>
              <w:rFonts w:hint="eastAsia" w:ascii="仿宋" w:hAnsi="仿宋" w:eastAsia="仿宋" w:cs="仿宋"/>
              <w:sz w:val="24"/>
              <w:szCs w:val="32"/>
            </w:rPr>
            <w:fldChar w:fldCharType="separate"/>
          </w:r>
          <w:r>
            <w:rPr>
              <w:rFonts w:hint="eastAsia" w:ascii="仿宋" w:hAnsi="仿宋" w:eastAsia="仿宋" w:cs="仿宋"/>
              <w:sz w:val="24"/>
              <w:szCs w:val="32"/>
            </w:rPr>
            <w:t>16</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38DCF92B">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_Toc26300 </w:instrText>
          </w:r>
          <w:r>
            <w:rPr>
              <w:rFonts w:hint="eastAsia" w:ascii="仿宋" w:hAnsi="仿宋" w:eastAsia="仿宋" w:cs="仿宋"/>
              <w:sz w:val="24"/>
              <w:szCs w:val="32"/>
            </w:rPr>
            <w:fldChar w:fldCharType="separate"/>
          </w:r>
          <w:r>
            <w:rPr>
              <w:rFonts w:hint="eastAsia" w:ascii="仿宋" w:hAnsi="仿宋" w:eastAsia="仿宋" w:cs="仿宋"/>
              <w:sz w:val="24"/>
              <w:szCs w:val="32"/>
            </w:rPr>
            <w:t>2.6签订及履行合同和验收</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_Toc26300 \h </w:instrText>
          </w:r>
          <w:r>
            <w:rPr>
              <w:rFonts w:hint="eastAsia" w:ascii="仿宋" w:hAnsi="仿宋" w:eastAsia="仿宋" w:cs="仿宋"/>
              <w:sz w:val="24"/>
              <w:szCs w:val="32"/>
            </w:rPr>
            <w:fldChar w:fldCharType="separate"/>
          </w:r>
          <w:r>
            <w:rPr>
              <w:rFonts w:hint="eastAsia" w:ascii="仿宋" w:hAnsi="仿宋" w:eastAsia="仿宋" w:cs="仿宋"/>
              <w:sz w:val="24"/>
              <w:szCs w:val="32"/>
            </w:rPr>
            <w:t>18</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0F9D3675">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_Toc8798 </w:instrText>
          </w:r>
          <w:r>
            <w:rPr>
              <w:rFonts w:hint="eastAsia" w:ascii="仿宋" w:hAnsi="仿宋" w:eastAsia="仿宋" w:cs="仿宋"/>
              <w:sz w:val="24"/>
              <w:szCs w:val="32"/>
            </w:rPr>
            <w:fldChar w:fldCharType="separate"/>
          </w:r>
          <w:r>
            <w:rPr>
              <w:rFonts w:hint="eastAsia" w:ascii="仿宋" w:hAnsi="仿宋" w:eastAsia="仿宋" w:cs="仿宋"/>
              <w:sz w:val="24"/>
              <w:szCs w:val="32"/>
            </w:rPr>
            <w:t>2.7纪律要求</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_Toc8798 \h </w:instrText>
          </w:r>
          <w:r>
            <w:rPr>
              <w:rFonts w:hint="eastAsia" w:ascii="仿宋" w:hAnsi="仿宋" w:eastAsia="仿宋" w:cs="仿宋"/>
              <w:sz w:val="24"/>
              <w:szCs w:val="32"/>
            </w:rPr>
            <w:fldChar w:fldCharType="separate"/>
          </w:r>
          <w:r>
            <w:rPr>
              <w:rFonts w:hint="eastAsia" w:ascii="仿宋" w:hAnsi="仿宋" w:eastAsia="仿宋" w:cs="仿宋"/>
              <w:sz w:val="24"/>
              <w:szCs w:val="32"/>
            </w:rPr>
            <w:t>20</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0BC5CAF9">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_Toc25686 </w:instrText>
          </w:r>
          <w:r>
            <w:rPr>
              <w:rFonts w:hint="eastAsia" w:ascii="仿宋" w:hAnsi="仿宋" w:eastAsia="仿宋" w:cs="仿宋"/>
              <w:sz w:val="24"/>
              <w:szCs w:val="32"/>
            </w:rPr>
            <w:fldChar w:fldCharType="separate"/>
          </w:r>
          <w:r>
            <w:rPr>
              <w:rFonts w:hint="eastAsia" w:ascii="仿宋" w:hAnsi="仿宋" w:eastAsia="仿宋" w:cs="仿宋"/>
              <w:sz w:val="24"/>
              <w:szCs w:val="32"/>
            </w:rPr>
            <w:t>2.8询问、质疑和投诉</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_Toc25686 \h </w:instrText>
          </w:r>
          <w:r>
            <w:rPr>
              <w:rFonts w:hint="eastAsia" w:ascii="仿宋" w:hAnsi="仿宋" w:eastAsia="仿宋" w:cs="仿宋"/>
              <w:sz w:val="24"/>
              <w:szCs w:val="32"/>
            </w:rPr>
            <w:fldChar w:fldCharType="separate"/>
          </w:r>
          <w:r>
            <w:rPr>
              <w:rFonts w:hint="eastAsia" w:ascii="仿宋" w:hAnsi="仿宋" w:eastAsia="仿宋" w:cs="仿宋"/>
              <w:sz w:val="24"/>
              <w:szCs w:val="32"/>
            </w:rPr>
            <w:t>21</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6E4BB4CF">
          <w:pPr>
            <w:pStyle w:val="8"/>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_Toc27012 </w:instrText>
          </w:r>
          <w:r>
            <w:rPr>
              <w:rFonts w:hint="eastAsia" w:ascii="仿宋" w:hAnsi="仿宋" w:eastAsia="仿宋" w:cs="仿宋"/>
              <w:sz w:val="24"/>
              <w:szCs w:val="32"/>
            </w:rPr>
            <w:fldChar w:fldCharType="separate"/>
          </w:r>
          <w:r>
            <w:rPr>
              <w:rFonts w:hint="eastAsia" w:ascii="仿宋" w:hAnsi="仿宋" w:eastAsia="仿宋" w:cs="仿宋"/>
              <w:sz w:val="24"/>
              <w:szCs w:val="32"/>
            </w:rPr>
            <w:t>第三章 招标项目技术、服务、商务及其他要求</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_Toc27012 \h </w:instrText>
          </w:r>
          <w:r>
            <w:rPr>
              <w:rFonts w:hint="eastAsia" w:ascii="仿宋" w:hAnsi="仿宋" w:eastAsia="仿宋" w:cs="仿宋"/>
              <w:sz w:val="24"/>
              <w:szCs w:val="32"/>
            </w:rPr>
            <w:fldChar w:fldCharType="separate"/>
          </w:r>
          <w:r>
            <w:rPr>
              <w:rFonts w:hint="eastAsia" w:ascii="仿宋" w:hAnsi="仿宋" w:eastAsia="仿宋" w:cs="仿宋"/>
              <w:sz w:val="24"/>
              <w:szCs w:val="32"/>
            </w:rPr>
            <w:t>23</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562E0FB8">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_Toc15278 </w:instrText>
          </w:r>
          <w:r>
            <w:rPr>
              <w:rFonts w:hint="eastAsia" w:ascii="仿宋" w:hAnsi="仿宋" w:eastAsia="仿宋" w:cs="仿宋"/>
              <w:sz w:val="24"/>
              <w:szCs w:val="32"/>
            </w:rPr>
            <w:fldChar w:fldCharType="separate"/>
          </w:r>
          <w:r>
            <w:rPr>
              <w:rFonts w:hint="eastAsia" w:ascii="仿宋" w:hAnsi="仿宋" w:eastAsia="仿宋" w:cs="仿宋"/>
              <w:sz w:val="24"/>
              <w:szCs w:val="32"/>
            </w:rPr>
            <w:t>3.1采购项目概况</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_Toc15278 \h </w:instrText>
          </w:r>
          <w:r>
            <w:rPr>
              <w:rFonts w:hint="eastAsia" w:ascii="仿宋" w:hAnsi="仿宋" w:eastAsia="仿宋" w:cs="仿宋"/>
              <w:sz w:val="24"/>
              <w:szCs w:val="32"/>
            </w:rPr>
            <w:fldChar w:fldCharType="separate"/>
          </w:r>
          <w:r>
            <w:rPr>
              <w:rFonts w:hint="eastAsia" w:ascii="仿宋" w:hAnsi="仿宋" w:eastAsia="仿宋" w:cs="仿宋"/>
              <w:sz w:val="24"/>
              <w:szCs w:val="32"/>
            </w:rPr>
            <w:t>23</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11C12FEC">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_Toc5955 </w:instrText>
          </w:r>
          <w:r>
            <w:rPr>
              <w:rFonts w:hint="eastAsia" w:ascii="仿宋" w:hAnsi="仿宋" w:eastAsia="仿宋" w:cs="仿宋"/>
              <w:sz w:val="24"/>
              <w:szCs w:val="32"/>
            </w:rPr>
            <w:fldChar w:fldCharType="separate"/>
          </w:r>
          <w:r>
            <w:rPr>
              <w:rFonts w:hint="eastAsia" w:ascii="仿宋" w:hAnsi="仿宋" w:eastAsia="仿宋" w:cs="仿宋"/>
              <w:sz w:val="24"/>
              <w:szCs w:val="32"/>
            </w:rPr>
            <w:t>3.2采购内容</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_Toc5955 \h </w:instrText>
          </w:r>
          <w:r>
            <w:rPr>
              <w:rFonts w:hint="eastAsia" w:ascii="仿宋" w:hAnsi="仿宋" w:eastAsia="仿宋" w:cs="仿宋"/>
              <w:sz w:val="24"/>
              <w:szCs w:val="32"/>
            </w:rPr>
            <w:fldChar w:fldCharType="separate"/>
          </w:r>
          <w:r>
            <w:rPr>
              <w:rFonts w:hint="eastAsia" w:ascii="仿宋" w:hAnsi="仿宋" w:eastAsia="仿宋" w:cs="仿宋"/>
              <w:sz w:val="24"/>
              <w:szCs w:val="32"/>
            </w:rPr>
            <w:t>23</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405CA634">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_Toc26809 </w:instrText>
          </w:r>
          <w:r>
            <w:rPr>
              <w:rFonts w:hint="eastAsia" w:ascii="仿宋" w:hAnsi="仿宋" w:eastAsia="仿宋" w:cs="仿宋"/>
              <w:sz w:val="24"/>
              <w:szCs w:val="32"/>
            </w:rPr>
            <w:fldChar w:fldCharType="separate"/>
          </w:r>
          <w:r>
            <w:rPr>
              <w:rFonts w:hint="eastAsia" w:ascii="仿宋" w:hAnsi="仿宋" w:eastAsia="仿宋" w:cs="仿宋"/>
              <w:sz w:val="24"/>
              <w:szCs w:val="32"/>
            </w:rPr>
            <w:t>3.3技术要求</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_Toc26809 \h </w:instrText>
          </w:r>
          <w:r>
            <w:rPr>
              <w:rFonts w:hint="eastAsia" w:ascii="仿宋" w:hAnsi="仿宋" w:eastAsia="仿宋" w:cs="仿宋"/>
              <w:sz w:val="24"/>
              <w:szCs w:val="32"/>
            </w:rPr>
            <w:fldChar w:fldCharType="separate"/>
          </w:r>
          <w:r>
            <w:rPr>
              <w:rFonts w:hint="eastAsia" w:ascii="仿宋" w:hAnsi="仿宋" w:eastAsia="仿宋" w:cs="仿宋"/>
              <w:sz w:val="24"/>
              <w:szCs w:val="32"/>
            </w:rPr>
            <w:t>23</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0553EED7">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_Toc30825 </w:instrText>
          </w:r>
          <w:r>
            <w:rPr>
              <w:rFonts w:hint="eastAsia" w:ascii="仿宋" w:hAnsi="仿宋" w:eastAsia="仿宋" w:cs="仿宋"/>
              <w:sz w:val="24"/>
              <w:szCs w:val="32"/>
            </w:rPr>
            <w:fldChar w:fldCharType="separate"/>
          </w:r>
          <w:r>
            <w:rPr>
              <w:rFonts w:hint="eastAsia" w:ascii="仿宋" w:hAnsi="仿宋" w:eastAsia="仿宋" w:cs="仿宋"/>
              <w:sz w:val="24"/>
              <w:szCs w:val="32"/>
            </w:rPr>
            <w:t>3.4商务要求</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_Toc30825 \h </w:instrText>
          </w:r>
          <w:r>
            <w:rPr>
              <w:rFonts w:hint="eastAsia" w:ascii="仿宋" w:hAnsi="仿宋" w:eastAsia="仿宋" w:cs="仿宋"/>
              <w:sz w:val="24"/>
              <w:szCs w:val="32"/>
            </w:rPr>
            <w:fldChar w:fldCharType="separate"/>
          </w:r>
          <w:r>
            <w:rPr>
              <w:rFonts w:hint="eastAsia" w:ascii="仿宋" w:hAnsi="仿宋" w:eastAsia="仿宋" w:cs="仿宋"/>
              <w:sz w:val="24"/>
              <w:szCs w:val="32"/>
            </w:rPr>
            <w:t>88</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555B2C82">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_Toc27407 </w:instrText>
          </w:r>
          <w:r>
            <w:rPr>
              <w:rFonts w:hint="eastAsia" w:ascii="仿宋" w:hAnsi="仿宋" w:eastAsia="仿宋" w:cs="仿宋"/>
              <w:sz w:val="24"/>
              <w:szCs w:val="32"/>
            </w:rPr>
            <w:fldChar w:fldCharType="separate"/>
          </w:r>
          <w:r>
            <w:rPr>
              <w:rFonts w:hint="eastAsia" w:ascii="仿宋" w:hAnsi="仿宋" w:eastAsia="仿宋" w:cs="仿宋"/>
              <w:sz w:val="24"/>
              <w:szCs w:val="32"/>
            </w:rPr>
            <w:t>3.5其他要求</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_Toc27407 \h </w:instrText>
          </w:r>
          <w:r>
            <w:rPr>
              <w:rFonts w:hint="eastAsia" w:ascii="仿宋" w:hAnsi="仿宋" w:eastAsia="仿宋" w:cs="仿宋"/>
              <w:sz w:val="24"/>
              <w:szCs w:val="32"/>
            </w:rPr>
            <w:fldChar w:fldCharType="separate"/>
          </w:r>
          <w:r>
            <w:rPr>
              <w:rFonts w:hint="eastAsia" w:ascii="仿宋" w:hAnsi="仿宋" w:eastAsia="仿宋" w:cs="仿宋"/>
              <w:sz w:val="24"/>
              <w:szCs w:val="32"/>
            </w:rPr>
            <w:t>90</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742028EA">
          <w:pPr>
            <w:pStyle w:val="8"/>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_Toc25638 </w:instrText>
          </w:r>
          <w:r>
            <w:rPr>
              <w:rFonts w:hint="eastAsia" w:ascii="仿宋" w:hAnsi="仿宋" w:eastAsia="仿宋" w:cs="仿宋"/>
              <w:sz w:val="24"/>
              <w:szCs w:val="32"/>
            </w:rPr>
            <w:fldChar w:fldCharType="separate"/>
          </w:r>
          <w:r>
            <w:rPr>
              <w:rFonts w:hint="eastAsia" w:ascii="仿宋" w:hAnsi="仿宋" w:eastAsia="仿宋" w:cs="仿宋"/>
              <w:sz w:val="24"/>
              <w:szCs w:val="32"/>
            </w:rPr>
            <w:t>第四章 资格审查</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_Toc25638 \h </w:instrText>
          </w:r>
          <w:r>
            <w:rPr>
              <w:rFonts w:hint="eastAsia" w:ascii="仿宋" w:hAnsi="仿宋" w:eastAsia="仿宋" w:cs="仿宋"/>
              <w:sz w:val="24"/>
              <w:szCs w:val="32"/>
            </w:rPr>
            <w:fldChar w:fldCharType="separate"/>
          </w:r>
          <w:r>
            <w:rPr>
              <w:rFonts w:hint="eastAsia" w:ascii="仿宋" w:hAnsi="仿宋" w:eastAsia="仿宋" w:cs="仿宋"/>
              <w:sz w:val="24"/>
              <w:szCs w:val="32"/>
            </w:rPr>
            <w:t>91</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394E5459">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_Toc9017 </w:instrText>
          </w:r>
          <w:r>
            <w:rPr>
              <w:rFonts w:hint="eastAsia" w:ascii="仿宋" w:hAnsi="仿宋" w:eastAsia="仿宋" w:cs="仿宋"/>
              <w:sz w:val="24"/>
              <w:szCs w:val="32"/>
            </w:rPr>
            <w:fldChar w:fldCharType="separate"/>
          </w:r>
          <w:r>
            <w:rPr>
              <w:rFonts w:hint="eastAsia" w:ascii="仿宋" w:hAnsi="仿宋" w:eastAsia="仿宋" w:cs="仿宋"/>
              <w:sz w:val="24"/>
              <w:szCs w:val="32"/>
            </w:rPr>
            <w:t>4.1一般资格审查</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_Toc9017 \h </w:instrText>
          </w:r>
          <w:r>
            <w:rPr>
              <w:rFonts w:hint="eastAsia" w:ascii="仿宋" w:hAnsi="仿宋" w:eastAsia="仿宋" w:cs="仿宋"/>
              <w:sz w:val="24"/>
              <w:szCs w:val="32"/>
            </w:rPr>
            <w:fldChar w:fldCharType="separate"/>
          </w:r>
          <w:r>
            <w:rPr>
              <w:rFonts w:hint="eastAsia" w:ascii="仿宋" w:hAnsi="仿宋" w:eastAsia="仿宋" w:cs="仿宋"/>
              <w:sz w:val="24"/>
              <w:szCs w:val="32"/>
            </w:rPr>
            <w:t>91</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205FD1ED">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_Toc20141 </w:instrText>
          </w:r>
          <w:r>
            <w:rPr>
              <w:rFonts w:hint="eastAsia" w:ascii="仿宋" w:hAnsi="仿宋" w:eastAsia="仿宋" w:cs="仿宋"/>
              <w:sz w:val="24"/>
              <w:szCs w:val="32"/>
            </w:rPr>
            <w:fldChar w:fldCharType="separate"/>
          </w:r>
          <w:r>
            <w:rPr>
              <w:rFonts w:hint="eastAsia" w:ascii="仿宋" w:hAnsi="仿宋" w:eastAsia="仿宋" w:cs="仿宋"/>
              <w:sz w:val="24"/>
              <w:szCs w:val="32"/>
            </w:rPr>
            <w:t>4.2特殊资格审查</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_Toc20141 \h </w:instrText>
          </w:r>
          <w:r>
            <w:rPr>
              <w:rFonts w:hint="eastAsia" w:ascii="仿宋" w:hAnsi="仿宋" w:eastAsia="仿宋" w:cs="仿宋"/>
              <w:sz w:val="24"/>
              <w:szCs w:val="32"/>
            </w:rPr>
            <w:fldChar w:fldCharType="separate"/>
          </w:r>
          <w:r>
            <w:rPr>
              <w:rFonts w:hint="eastAsia" w:ascii="仿宋" w:hAnsi="仿宋" w:eastAsia="仿宋" w:cs="仿宋"/>
              <w:sz w:val="24"/>
              <w:szCs w:val="32"/>
            </w:rPr>
            <w:t>92</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1292AFC4">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_Toc6967 </w:instrText>
          </w:r>
          <w:r>
            <w:rPr>
              <w:rFonts w:hint="eastAsia" w:ascii="仿宋" w:hAnsi="仿宋" w:eastAsia="仿宋" w:cs="仿宋"/>
              <w:sz w:val="24"/>
              <w:szCs w:val="32"/>
            </w:rPr>
            <w:fldChar w:fldCharType="separate"/>
          </w:r>
          <w:r>
            <w:rPr>
              <w:rFonts w:hint="eastAsia" w:ascii="仿宋" w:hAnsi="仿宋" w:eastAsia="仿宋" w:cs="仿宋"/>
              <w:sz w:val="24"/>
              <w:szCs w:val="32"/>
            </w:rPr>
            <w:t>4.3落实政府采购政策资格审查</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_Toc6967 \h </w:instrText>
          </w:r>
          <w:r>
            <w:rPr>
              <w:rFonts w:hint="eastAsia" w:ascii="仿宋" w:hAnsi="仿宋" w:eastAsia="仿宋" w:cs="仿宋"/>
              <w:sz w:val="24"/>
              <w:szCs w:val="32"/>
            </w:rPr>
            <w:fldChar w:fldCharType="separate"/>
          </w:r>
          <w:r>
            <w:rPr>
              <w:rFonts w:hint="eastAsia" w:ascii="仿宋" w:hAnsi="仿宋" w:eastAsia="仿宋" w:cs="仿宋"/>
              <w:sz w:val="24"/>
              <w:szCs w:val="32"/>
            </w:rPr>
            <w:t>94</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08F4BCA0">
          <w:pPr>
            <w:pStyle w:val="8"/>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_Toc28179 </w:instrText>
          </w:r>
          <w:r>
            <w:rPr>
              <w:rFonts w:hint="eastAsia" w:ascii="仿宋" w:hAnsi="仿宋" w:eastAsia="仿宋" w:cs="仿宋"/>
              <w:sz w:val="24"/>
              <w:szCs w:val="32"/>
            </w:rPr>
            <w:fldChar w:fldCharType="separate"/>
          </w:r>
          <w:r>
            <w:rPr>
              <w:rFonts w:hint="eastAsia" w:ascii="仿宋" w:hAnsi="仿宋" w:eastAsia="仿宋" w:cs="仿宋"/>
              <w:sz w:val="24"/>
              <w:szCs w:val="32"/>
            </w:rPr>
            <w:t>第五章 评标办法</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_Toc28179 \h </w:instrText>
          </w:r>
          <w:r>
            <w:rPr>
              <w:rFonts w:hint="eastAsia" w:ascii="仿宋" w:hAnsi="仿宋" w:eastAsia="仿宋" w:cs="仿宋"/>
              <w:sz w:val="24"/>
              <w:szCs w:val="32"/>
            </w:rPr>
            <w:fldChar w:fldCharType="separate"/>
          </w:r>
          <w:r>
            <w:rPr>
              <w:rFonts w:hint="eastAsia" w:ascii="仿宋" w:hAnsi="仿宋" w:eastAsia="仿宋" w:cs="仿宋"/>
              <w:sz w:val="24"/>
              <w:szCs w:val="32"/>
            </w:rPr>
            <w:t>95</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12C5B206">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_Toc7299 </w:instrText>
          </w:r>
          <w:r>
            <w:rPr>
              <w:rFonts w:hint="eastAsia" w:ascii="仿宋" w:hAnsi="仿宋" w:eastAsia="仿宋" w:cs="仿宋"/>
              <w:sz w:val="24"/>
              <w:szCs w:val="32"/>
            </w:rPr>
            <w:fldChar w:fldCharType="separate"/>
          </w:r>
          <w:r>
            <w:rPr>
              <w:rFonts w:hint="eastAsia" w:ascii="仿宋" w:hAnsi="仿宋" w:eastAsia="仿宋" w:cs="仿宋"/>
              <w:sz w:val="24"/>
              <w:szCs w:val="32"/>
            </w:rPr>
            <w:t>5.1总则</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_Toc7299 \h </w:instrText>
          </w:r>
          <w:r>
            <w:rPr>
              <w:rFonts w:hint="eastAsia" w:ascii="仿宋" w:hAnsi="仿宋" w:eastAsia="仿宋" w:cs="仿宋"/>
              <w:sz w:val="24"/>
              <w:szCs w:val="32"/>
            </w:rPr>
            <w:fldChar w:fldCharType="separate"/>
          </w:r>
          <w:r>
            <w:rPr>
              <w:rFonts w:hint="eastAsia" w:ascii="仿宋" w:hAnsi="仿宋" w:eastAsia="仿宋" w:cs="仿宋"/>
              <w:sz w:val="24"/>
              <w:szCs w:val="32"/>
            </w:rPr>
            <w:t>95</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28EBD726">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_Toc27353 </w:instrText>
          </w:r>
          <w:r>
            <w:rPr>
              <w:rFonts w:hint="eastAsia" w:ascii="仿宋" w:hAnsi="仿宋" w:eastAsia="仿宋" w:cs="仿宋"/>
              <w:sz w:val="24"/>
              <w:szCs w:val="32"/>
            </w:rPr>
            <w:fldChar w:fldCharType="separate"/>
          </w:r>
          <w:r>
            <w:rPr>
              <w:rFonts w:hint="eastAsia" w:ascii="仿宋" w:hAnsi="仿宋" w:eastAsia="仿宋" w:cs="仿宋"/>
              <w:sz w:val="24"/>
              <w:szCs w:val="32"/>
            </w:rPr>
            <w:t>5.2评标委员会</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_Toc27353 \h </w:instrText>
          </w:r>
          <w:r>
            <w:rPr>
              <w:rFonts w:hint="eastAsia" w:ascii="仿宋" w:hAnsi="仿宋" w:eastAsia="仿宋" w:cs="仿宋"/>
              <w:sz w:val="24"/>
              <w:szCs w:val="32"/>
            </w:rPr>
            <w:fldChar w:fldCharType="separate"/>
          </w:r>
          <w:r>
            <w:rPr>
              <w:rFonts w:hint="eastAsia" w:ascii="仿宋" w:hAnsi="仿宋" w:eastAsia="仿宋" w:cs="仿宋"/>
              <w:sz w:val="24"/>
              <w:szCs w:val="32"/>
            </w:rPr>
            <w:t>95</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7558A2DB">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_Toc18137 </w:instrText>
          </w:r>
          <w:r>
            <w:rPr>
              <w:rFonts w:hint="eastAsia" w:ascii="仿宋" w:hAnsi="仿宋" w:eastAsia="仿宋" w:cs="仿宋"/>
              <w:sz w:val="24"/>
              <w:szCs w:val="32"/>
            </w:rPr>
            <w:fldChar w:fldCharType="separate"/>
          </w:r>
          <w:r>
            <w:rPr>
              <w:rFonts w:hint="eastAsia" w:ascii="仿宋" w:hAnsi="仿宋" w:eastAsia="仿宋" w:cs="仿宋"/>
              <w:sz w:val="24"/>
              <w:szCs w:val="32"/>
            </w:rPr>
            <w:t>5.3 评标方法</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_Toc18137 \h </w:instrText>
          </w:r>
          <w:r>
            <w:rPr>
              <w:rFonts w:hint="eastAsia" w:ascii="仿宋" w:hAnsi="仿宋" w:eastAsia="仿宋" w:cs="仿宋"/>
              <w:sz w:val="24"/>
              <w:szCs w:val="32"/>
            </w:rPr>
            <w:fldChar w:fldCharType="separate"/>
          </w:r>
          <w:r>
            <w:rPr>
              <w:rFonts w:hint="eastAsia" w:ascii="仿宋" w:hAnsi="仿宋" w:eastAsia="仿宋" w:cs="仿宋"/>
              <w:sz w:val="24"/>
              <w:szCs w:val="32"/>
            </w:rPr>
            <w:t>96</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28BF391A">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_Toc8703 </w:instrText>
          </w:r>
          <w:r>
            <w:rPr>
              <w:rFonts w:hint="eastAsia" w:ascii="仿宋" w:hAnsi="仿宋" w:eastAsia="仿宋" w:cs="仿宋"/>
              <w:sz w:val="24"/>
              <w:szCs w:val="32"/>
            </w:rPr>
            <w:fldChar w:fldCharType="separate"/>
          </w:r>
          <w:r>
            <w:rPr>
              <w:rFonts w:hint="eastAsia" w:ascii="仿宋" w:hAnsi="仿宋" w:eastAsia="仿宋" w:cs="仿宋"/>
              <w:sz w:val="24"/>
              <w:szCs w:val="32"/>
            </w:rPr>
            <w:t>5.4评标程序</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_Toc8703 \h </w:instrText>
          </w:r>
          <w:r>
            <w:rPr>
              <w:rFonts w:hint="eastAsia" w:ascii="仿宋" w:hAnsi="仿宋" w:eastAsia="仿宋" w:cs="仿宋"/>
              <w:sz w:val="24"/>
              <w:szCs w:val="32"/>
            </w:rPr>
            <w:fldChar w:fldCharType="separate"/>
          </w:r>
          <w:r>
            <w:rPr>
              <w:rFonts w:hint="eastAsia" w:ascii="仿宋" w:hAnsi="仿宋" w:eastAsia="仿宋" w:cs="仿宋"/>
              <w:sz w:val="24"/>
              <w:szCs w:val="32"/>
            </w:rPr>
            <w:t>96</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22C3008B">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_Toc13962 </w:instrText>
          </w:r>
          <w:r>
            <w:rPr>
              <w:rFonts w:hint="eastAsia" w:ascii="仿宋" w:hAnsi="仿宋" w:eastAsia="仿宋" w:cs="仿宋"/>
              <w:sz w:val="24"/>
              <w:szCs w:val="32"/>
            </w:rPr>
            <w:fldChar w:fldCharType="separate"/>
          </w:r>
          <w:r>
            <w:rPr>
              <w:rFonts w:hint="eastAsia" w:ascii="仿宋" w:hAnsi="仿宋" w:eastAsia="仿宋" w:cs="仿宋"/>
              <w:sz w:val="24"/>
              <w:szCs w:val="32"/>
            </w:rPr>
            <w:t>5.5评标争议处理规则</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_Toc13962 \h </w:instrText>
          </w:r>
          <w:r>
            <w:rPr>
              <w:rFonts w:hint="eastAsia" w:ascii="仿宋" w:hAnsi="仿宋" w:eastAsia="仿宋" w:cs="仿宋"/>
              <w:sz w:val="24"/>
              <w:szCs w:val="32"/>
            </w:rPr>
            <w:fldChar w:fldCharType="separate"/>
          </w:r>
          <w:r>
            <w:rPr>
              <w:rFonts w:hint="eastAsia" w:ascii="仿宋" w:hAnsi="仿宋" w:eastAsia="仿宋" w:cs="仿宋"/>
              <w:sz w:val="24"/>
              <w:szCs w:val="32"/>
            </w:rPr>
            <w:t>105</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491701DB">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_Toc27808 </w:instrText>
          </w:r>
          <w:r>
            <w:rPr>
              <w:rFonts w:hint="eastAsia" w:ascii="仿宋" w:hAnsi="仿宋" w:eastAsia="仿宋" w:cs="仿宋"/>
              <w:sz w:val="24"/>
              <w:szCs w:val="32"/>
            </w:rPr>
            <w:fldChar w:fldCharType="separate"/>
          </w:r>
          <w:r>
            <w:rPr>
              <w:rFonts w:hint="eastAsia" w:ascii="仿宋" w:hAnsi="仿宋" w:eastAsia="仿宋" w:cs="仿宋"/>
              <w:sz w:val="24"/>
              <w:szCs w:val="32"/>
            </w:rPr>
            <w:t>5.6评标细则及标准</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_Toc27808 \h </w:instrText>
          </w:r>
          <w:r>
            <w:rPr>
              <w:rFonts w:hint="eastAsia" w:ascii="仿宋" w:hAnsi="仿宋" w:eastAsia="仿宋" w:cs="仿宋"/>
              <w:sz w:val="24"/>
              <w:szCs w:val="32"/>
            </w:rPr>
            <w:fldChar w:fldCharType="separate"/>
          </w:r>
          <w:r>
            <w:rPr>
              <w:rFonts w:hint="eastAsia" w:ascii="仿宋" w:hAnsi="仿宋" w:eastAsia="仿宋" w:cs="仿宋"/>
              <w:sz w:val="24"/>
              <w:szCs w:val="32"/>
            </w:rPr>
            <w:t>105</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5CFE60F7">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_Toc32298 </w:instrText>
          </w:r>
          <w:r>
            <w:rPr>
              <w:rFonts w:hint="eastAsia" w:ascii="仿宋" w:hAnsi="仿宋" w:eastAsia="仿宋" w:cs="仿宋"/>
              <w:sz w:val="24"/>
              <w:szCs w:val="32"/>
            </w:rPr>
            <w:fldChar w:fldCharType="separate"/>
          </w:r>
          <w:r>
            <w:rPr>
              <w:rFonts w:hint="eastAsia" w:ascii="仿宋" w:hAnsi="仿宋" w:eastAsia="仿宋" w:cs="仿宋"/>
              <w:sz w:val="24"/>
              <w:szCs w:val="32"/>
            </w:rPr>
            <w:t>5.7废标</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_Toc32298 \h </w:instrText>
          </w:r>
          <w:r>
            <w:rPr>
              <w:rFonts w:hint="eastAsia" w:ascii="仿宋" w:hAnsi="仿宋" w:eastAsia="仿宋" w:cs="仿宋"/>
              <w:sz w:val="24"/>
              <w:szCs w:val="32"/>
            </w:rPr>
            <w:fldChar w:fldCharType="separate"/>
          </w:r>
          <w:r>
            <w:rPr>
              <w:rFonts w:hint="eastAsia" w:ascii="仿宋" w:hAnsi="仿宋" w:eastAsia="仿宋" w:cs="仿宋"/>
              <w:sz w:val="24"/>
              <w:szCs w:val="32"/>
            </w:rPr>
            <w:t>115</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6401C4C5">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_Toc16730 </w:instrText>
          </w:r>
          <w:r>
            <w:rPr>
              <w:rFonts w:hint="eastAsia" w:ascii="仿宋" w:hAnsi="仿宋" w:eastAsia="仿宋" w:cs="仿宋"/>
              <w:sz w:val="24"/>
              <w:szCs w:val="32"/>
            </w:rPr>
            <w:fldChar w:fldCharType="separate"/>
          </w:r>
          <w:r>
            <w:rPr>
              <w:rFonts w:hint="eastAsia" w:ascii="仿宋" w:hAnsi="仿宋" w:eastAsia="仿宋" w:cs="仿宋"/>
              <w:sz w:val="24"/>
              <w:szCs w:val="32"/>
            </w:rPr>
            <w:t>5.8定标</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_Toc16730 \h </w:instrText>
          </w:r>
          <w:r>
            <w:rPr>
              <w:rFonts w:hint="eastAsia" w:ascii="仿宋" w:hAnsi="仿宋" w:eastAsia="仿宋" w:cs="仿宋"/>
              <w:sz w:val="24"/>
              <w:szCs w:val="32"/>
            </w:rPr>
            <w:fldChar w:fldCharType="separate"/>
          </w:r>
          <w:r>
            <w:rPr>
              <w:rFonts w:hint="eastAsia" w:ascii="仿宋" w:hAnsi="仿宋" w:eastAsia="仿宋" w:cs="仿宋"/>
              <w:sz w:val="24"/>
              <w:szCs w:val="32"/>
            </w:rPr>
            <w:t>115</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24B9C250">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_Toc5839 </w:instrText>
          </w:r>
          <w:r>
            <w:rPr>
              <w:rFonts w:hint="eastAsia" w:ascii="仿宋" w:hAnsi="仿宋" w:eastAsia="仿宋" w:cs="仿宋"/>
              <w:sz w:val="24"/>
              <w:szCs w:val="32"/>
            </w:rPr>
            <w:fldChar w:fldCharType="separate"/>
          </w:r>
          <w:r>
            <w:rPr>
              <w:rFonts w:hint="eastAsia" w:ascii="仿宋" w:hAnsi="仿宋" w:eastAsia="仿宋" w:cs="仿宋"/>
              <w:sz w:val="24"/>
              <w:szCs w:val="32"/>
            </w:rPr>
            <w:t>5.9评审专家在政府采购活动中承担以下义务</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_Toc5839 \h </w:instrText>
          </w:r>
          <w:r>
            <w:rPr>
              <w:rFonts w:hint="eastAsia" w:ascii="仿宋" w:hAnsi="仿宋" w:eastAsia="仿宋" w:cs="仿宋"/>
              <w:sz w:val="24"/>
              <w:szCs w:val="32"/>
            </w:rPr>
            <w:fldChar w:fldCharType="separate"/>
          </w:r>
          <w:r>
            <w:rPr>
              <w:rFonts w:hint="eastAsia" w:ascii="仿宋" w:hAnsi="仿宋" w:eastAsia="仿宋" w:cs="仿宋"/>
              <w:sz w:val="24"/>
              <w:szCs w:val="32"/>
            </w:rPr>
            <w:t>115</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7FEDE7F2">
          <w:pPr>
            <w:pStyle w:val="4"/>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_Toc26132 </w:instrText>
          </w:r>
          <w:r>
            <w:rPr>
              <w:rFonts w:hint="eastAsia" w:ascii="仿宋" w:hAnsi="仿宋" w:eastAsia="仿宋" w:cs="仿宋"/>
              <w:sz w:val="24"/>
              <w:szCs w:val="32"/>
            </w:rPr>
            <w:fldChar w:fldCharType="separate"/>
          </w:r>
          <w:r>
            <w:rPr>
              <w:rFonts w:hint="eastAsia" w:ascii="仿宋" w:hAnsi="仿宋" w:eastAsia="仿宋" w:cs="仿宋"/>
              <w:sz w:val="24"/>
              <w:szCs w:val="32"/>
            </w:rPr>
            <w:t>5.10评审专家在政府采购活动中应当遵守以下工作纪律</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_Toc26132 \h </w:instrText>
          </w:r>
          <w:r>
            <w:rPr>
              <w:rFonts w:hint="eastAsia" w:ascii="仿宋" w:hAnsi="仿宋" w:eastAsia="仿宋" w:cs="仿宋"/>
              <w:sz w:val="24"/>
              <w:szCs w:val="32"/>
            </w:rPr>
            <w:fldChar w:fldCharType="separate"/>
          </w:r>
          <w:r>
            <w:rPr>
              <w:rFonts w:hint="eastAsia" w:ascii="仿宋" w:hAnsi="仿宋" w:eastAsia="仿宋" w:cs="仿宋"/>
              <w:sz w:val="24"/>
              <w:szCs w:val="32"/>
            </w:rPr>
            <w:t>116</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06AD886D">
          <w:pPr>
            <w:pStyle w:val="8"/>
            <w:tabs>
              <w:tab w:val="right" w:leader="dot" w:pos="8306"/>
            </w:tabs>
            <w:spacing w:line="360" w:lineRule="auto"/>
            <w:rPr>
              <w:rFonts w:hint="eastAsia" w:ascii="仿宋" w:hAnsi="仿宋" w:eastAsia="仿宋" w:cs="仿宋"/>
              <w:sz w:val="24"/>
              <w:szCs w:val="32"/>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_Toc17222 </w:instrText>
          </w:r>
          <w:r>
            <w:rPr>
              <w:rFonts w:hint="eastAsia" w:ascii="仿宋" w:hAnsi="仿宋" w:eastAsia="仿宋" w:cs="仿宋"/>
              <w:sz w:val="24"/>
              <w:szCs w:val="32"/>
            </w:rPr>
            <w:fldChar w:fldCharType="separate"/>
          </w:r>
          <w:r>
            <w:rPr>
              <w:rFonts w:hint="eastAsia" w:ascii="仿宋" w:hAnsi="仿宋" w:eastAsia="仿宋" w:cs="仿宋"/>
              <w:sz w:val="24"/>
              <w:szCs w:val="32"/>
            </w:rPr>
            <w:t>第六章 投标文件格式</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_Toc17222 \h </w:instrText>
          </w:r>
          <w:r>
            <w:rPr>
              <w:rFonts w:hint="eastAsia" w:ascii="仿宋" w:hAnsi="仿宋" w:eastAsia="仿宋" w:cs="仿宋"/>
              <w:sz w:val="24"/>
              <w:szCs w:val="32"/>
            </w:rPr>
            <w:fldChar w:fldCharType="separate"/>
          </w:r>
          <w:r>
            <w:rPr>
              <w:rFonts w:hint="eastAsia" w:ascii="仿宋" w:hAnsi="仿宋" w:eastAsia="仿宋" w:cs="仿宋"/>
              <w:sz w:val="24"/>
              <w:szCs w:val="32"/>
            </w:rPr>
            <w:t>117</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115AD8DD">
          <w:pPr>
            <w:pStyle w:val="8"/>
            <w:tabs>
              <w:tab w:val="right" w:leader="dot" w:pos="8306"/>
            </w:tabs>
            <w:spacing w:line="360" w:lineRule="auto"/>
            <w:rPr>
              <w:rFonts w:hint="eastAsia" w:ascii="仿宋" w:hAnsi="仿宋" w:eastAsia="仿宋" w:cs="仿宋"/>
            </w:rPr>
          </w:pP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HYPERLINK \l _Toc23779 </w:instrText>
          </w:r>
          <w:r>
            <w:rPr>
              <w:rFonts w:hint="eastAsia" w:ascii="仿宋" w:hAnsi="仿宋" w:eastAsia="仿宋" w:cs="仿宋"/>
              <w:sz w:val="24"/>
              <w:szCs w:val="32"/>
            </w:rPr>
            <w:fldChar w:fldCharType="separate"/>
          </w:r>
          <w:r>
            <w:rPr>
              <w:rFonts w:hint="eastAsia" w:ascii="仿宋" w:hAnsi="仿宋" w:eastAsia="仿宋" w:cs="仿宋"/>
              <w:sz w:val="24"/>
              <w:szCs w:val="32"/>
            </w:rPr>
            <w:t>第七章 拟签订合同文本</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_Toc23779 \h </w:instrText>
          </w:r>
          <w:r>
            <w:rPr>
              <w:rFonts w:hint="eastAsia" w:ascii="仿宋" w:hAnsi="仿宋" w:eastAsia="仿宋" w:cs="仿宋"/>
              <w:sz w:val="24"/>
              <w:szCs w:val="32"/>
            </w:rPr>
            <w:fldChar w:fldCharType="separate"/>
          </w:r>
          <w:r>
            <w:rPr>
              <w:rFonts w:hint="eastAsia" w:ascii="仿宋" w:hAnsi="仿宋" w:eastAsia="仿宋" w:cs="仿宋"/>
              <w:sz w:val="24"/>
              <w:szCs w:val="32"/>
            </w:rPr>
            <w:t>136</w:t>
          </w:r>
          <w:r>
            <w:rPr>
              <w:rFonts w:hint="eastAsia" w:ascii="仿宋" w:hAnsi="仿宋" w:eastAsia="仿宋" w:cs="仿宋"/>
              <w:sz w:val="24"/>
              <w:szCs w:val="32"/>
            </w:rPr>
            <w:fldChar w:fldCharType="end"/>
          </w:r>
          <w:r>
            <w:rPr>
              <w:rFonts w:hint="eastAsia" w:ascii="仿宋" w:hAnsi="仿宋" w:eastAsia="仿宋" w:cs="仿宋"/>
              <w:sz w:val="24"/>
              <w:szCs w:val="32"/>
            </w:rPr>
            <w:fldChar w:fldCharType="end"/>
          </w:r>
        </w:p>
        <w:p w14:paraId="412DC704">
          <w:pPr>
            <w:rPr>
              <w:rFonts w:hint="eastAsia" w:ascii="仿宋" w:hAnsi="仿宋" w:eastAsia="仿宋" w:cs="仿宋"/>
            </w:rPr>
          </w:pPr>
          <w:r>
            <w:rPr>
              <w:rFonts w:hint="eastAsia" w:ascii="仿宋" w:hAnsi="仿宋" w:eastAsia="仿宋" w:cs="仿宋"/>
            </w:rPr>
            <w:fldChar w:fldCharType="end"/>
          </w:r>
        </w:p>
      </w:sdtContent>
    </w:sdt>
    <w:p w14:paraId="6D9985A0">
      <w:pPr>
        <w:rPr>
          <w:rFonts w:hint="eastAsia" w:ascii="仿宋" w:hAnsi="仿宋" w:eastAsia="仿宋" w:cs="仿宋"/>
        </w:rPr>
      </w:pPr>
    </w:p>
    <w:p w14:paraId="3A0CB2FE">
      <w:pPr>
        <w:pStyle w:val="12"/>
        <w:rPr>
          <w:rFonts w:hint="eastAsia" w:ascii="仿宋" w:hAnsi="仿宋" w:eastAsia="仿宋" w:cs="仿宋"/>
        </w:rPr>
      </w:pPr>
      <w:r>
        <w:rPr>
          <w:rFonts w:hint="eastAsia" w:ascii="仿宋" w:hAnsi="仿宋" w:eastAsia="仿宋" w:cs="仿宋"/>
        </w:rPr>
        <w:br w:type="textWrapping"/>
      </w:r>
      <w:r>
        <w:rPr>
          <w:rFonts w:hint="eastAsia" w:ascii="仿宋" w:hAnsi="仿宋" w:eastAsia="仿宋" w:cs="仿宋"/>
        </w:rPr>
        <w:br w:type="page"/>
      </w:r>
    </w:p>
    <w:p w14:paraId="4222E2EC">
      <w:pPr>
        <w:pStyle w:val="12"/>
        <w:jc w:val="center"/>
        <w:outlineLvl w:val="1"/>
        <w:rPr>
          <w:rFonts w:hint="eastAsia" w:ascii="仿宋" w:hAnsi="仿宋" w:eastAsia="仿宋" w:cs="仿宋"/>
        </w:rPr>
      </w:pPr>
      <w:bookmarkStart w:id="7" w:name="_Toc16628"/>
      <w:r>
        <w:rPr>
          <w:rFonts w:hint="eastAsia" w:ascii="仿宋" w:hAnsi="仿宋" w:eastAsia="仿宋" w:cs="仿宋"/>
          <w:b/>
          <w:sz w:val="36"/>
        </w:rPr>
        <w:t>第一章 投标邀请</w:t>
      </w:r>
      <w:bookmarkEnd w:id="7"/>
    </w:p>
    <w:p w14:paraId="67B4AF64">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华春建设工程项目管理有限责任公司（以下简称“代理机构”）受陕西铁路工程职业技术学院委托，拟对财务云共享中心进行国内公开招标，兹邀请符合本次招标要求的供应商参加投标。</w:t>
      </w:r>
    </w:p>
    <w:p w14:paraId="19EAC08F">
      <w:pPr>
        <w:pStyle w:val="12"/>
        <w:spacing w:line="360" w:lineRule="auto"/>
        <w:outlineLvl w:val="2"/>
        <w:rPr>
          <w:rFonts w:hint="eastAsia" w:ascii="仿宋" w:hAnsi="仿宋" w:eastAsia="仿宋" w:cs="仿宋"/>
          <w:sz w:val="24"/>
          <w:szCs w:val="24"/>
        </w:rPr>
      </w:pPr>
      <w:bookmarkStart w:id="8" w:name="_Toc21093"/>
      <w:r>
        <w:rPr>
          <w:rFonts w:hint="eastAsia" w:ascii="仿宋" w:hAnsi="仿宋" w:eastAsia="仿宋" w:cs="仿宋"/>
          <w:b/>
          <w:sz w:val="24"/>
          <w:szCs w:val="24"/>
        </w:rPr>
        <w:t>一、采购项目编号：HC-FZB-2026-009</w:t>
      </w:r>
      <w:bookmarkEnd w:id="8"/>
    </w:p>
    <w:p w14:paraId="6D35AD61">
      <w:pPr>
        <w:pStyle w:val="12"/>
        <w:spacing w:line="360" w:lineRule="auto"/>
        <w:outlineLvl w:val="2"/>
        <w:rPr>
          <w:rFonts w:hint="eastAsia" w:ascii="仿宋" w:hAnsi="仿宋" w:eastAsia="仿宋" w:cs="仿宋"/>
          <w:sz w:val="24"/>
          <w:szCs w:val="24"/>
        </w:rPr>
      </w:pPr>
      <w:bookmarkStart w:id="9" w:name="_Toc27896"/>
      <w:r>
        <w:rPr>
          <w:rFonts w:hint="eastAsia" w:ascii="仿宋" w:hAnsi="仿宋" w:eastAsia="仿宋" w:cs="仿宋"/>
          <w:b/>
          <w:sz w:val="24"/>
          <w:szCs w:val="24"/>
        </w:rPr>
        <w:t>二、采购项目名称：财务云共享中心</w:t>
      </w:r>
      <w:bookmarkEnd w:id="9"/>
    </w:p>
    <w:p w14:paraId="00E67FAD">
      <w:pPr>
        <w:pStyle w:val="12"/>
        <w:spacing w:line="360" w:lineRule="auto"/>
        <w:outlineLvl w:val="2"/>
        <w:rPr>
          <w:rFonts w:hint="eastAsia" w:ascii="仿宋" w:hAnsi="仿宋" w:eastAsia="仿宋" w:cs="仿宋"/>
          <w:sz w:val="24"/>
          <w:szCs w:val="24"/>
        </w:rPr>
      </w:pPr>
      <w:bookmarkStart w:id="10" w:name="_Toc1852"/>
      <w:r>
        <w:rPr>
          <w:rFonts w:hint="eastAsia" w:ascii="仿宋" w:hAnsi="仿宋" w:eastAsia="仿宋" w:cs="仿宋"/>
          <w:b/>
          <w:sz w:val="24"/>
          <w:szCs w:val="24"/>
        </w:rPr>
        <w:t>三、招标项目简介</w:t>
      </w:r>
      <w:bookmarkEnd w:id="10"/>
    </w:p>
    <w:p w14:paraId="490BB980">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财务云共享中心</w:t>
      </w:r>
    </w:p>
    <w:p w14:paraId="733A81FB">
      <w:pPr>
        <w:pStyle w:val="12"/>
        <w:spacing w:line="360" w:lineRule="auto"/>
        <w:outlineLvl w:val="2"/>
        <w:rPr>
          <w:rFonts w:hint="eastAsia" w:ascii="仿宋" w:hAnsi="仿宋" w:eastAsia="仿宋" w:cs="仿宋"/>
          <w:sz w:val="24"/>
          <w:szCs w:val="24"/>
        </w:rPr>
      </w:pPr>
      <w:bookmarkStart w:id="11" w:name="_Toc13927"/>
      <w:r>
        <w:rPr>
          <w:rFonts w:hint="eastAsia" w:ascii="仿宋" w:hAnsi="仿宋" w:eastAsia="仿宋" w:cs="仿宋"/>
          <w:b/>
          <w:sz w:val="24"/>
          <w:szCs w:val="24"/>
        </w:rPr>
        <w:t>四、供应商参加本次政府采购活动应具备的条件</w:t>
      </w:r>
      <w:bookmarkEnd w:id="11"/>
    </w:p>
    <w:p w14:paraId="79BEED9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（一）满足《中华人民共和国政府采购法》第二十二条规定；</w:t>
      </w:r>
    </w:p>
    <w:p w14:paraId="6E47FA8E">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（二）落实政府采购政策需满足的资格要求：</w:t>
      </w:r>
    </w:p>
    <w:p w14:paraId="644FBE74">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1.执行政府采购促进中小企业发展的相关政策</w:t>
      </w:r>
    </w:p>
    <w:p w14:paraId="6CE703E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采购包1（财务云共享中心）：属于专门面向中小企业采购。</w:t>
      </w:r>
    </w:p>
    <w:p w14:paraId="7B7625E6">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（三）本项目的特定资格要求：</w:t>
      </w:r>
    </w:p>
    <w:p w14:paraId="661D4D5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w:t>
      </w:r>
    </w:p>
    <w:p w14:paraId="73EE8DF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1、提供投标人合法注册的法人或者其他组织的营业执照等证明文件、自然人的身份证明：提供投标人合法注册的法人或者其他组织的营业执照等证明文件、自然人的身份证明；</w:t>
      </w:r>
    </w:p>
    <w:p w14:paraId="270B645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财务状况报告：财务状况报告：提供2023年度或2024年度经第三方审计的审计报告，包括四表一注（成立时间至提交投标文件截止时间不足一年的可提供成立后任意时段的资产负债表）或开标前六个月内其基本存款账户开户银行出具的资信证明及开户银行许可证（或开户行出具的基本户证明材料）；注：财会〔〔2023〕15号文《财政部 国务院国资委 金融监管总局关于加强审计报告查验工作的通知》会计师事务所应当主动向被审计单位提供附验证码的审计报告。即2023年及以后的审计报告需附验证码；</w:t>
      </w:r>
    </w:p>
    <w:p w14:paraId="4A8CABB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3、税收缴纳证明：税收缴纳证明：提供截止至开标时间前一年内任意一个月的税收缴纳凭据（增值税、企业所得税至少提供一种，依法免税的投标人应提供相关文件证明）；</w:t>
      </w:r>
    </w:p>
    <w:p w14:paraId="5148FE9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4、社会保障资金缴纳证明：社会保障资金缴纳证明：提供截止至开标时间前六个月内任意一个月的社保缴纳凭据或社保机构开具的社会保险参保缴纳情况证明（依法不需要缴纳社会保障资金的投标人应提供相关证明）；</w:t>
      </w:r>
    </w:p>
    <w:p w14:paraId="35EBDBA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5、提供具有履行本合同所必需的设备和专业技术能力的说明及承诺：提供具有履行本合同所必需的设备和专业技术能力的说明及承诺（提供书面说明及承诺，加盖投标人公章）；</w:t>
      </w:r>
    </w:p>
    <w:p w14:paraId="351BA11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6、提供参加政府采购活动前三年内在经营活动中没有重大违法记录的书面声明：提供参加政府采购活动前三年内在经营活动中没有重大违法记录的书面声明（提供书面声明，加盖投标人公章）；</w:t>
      </w:r>
    </w:p>
    <w:p w14:paraId="75A8108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法定代表人授权委托书：法定代表人授权委托书（附法定代表人身份证复印件、被授权人身份证复印件）；法定代表人直接参加投标提供法定代表人资格证明书（附法定代表人身份证复印件）；采购文件凡是法定代表人之处，非法人单位的负责人均参照执行（式样见投标文件格式）；</w:t>
      </w:r>
    </w:p>
    <w:p w14:paraId="44E13BE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8、信用查询：不得为“信用中国”网站(http://www.creditchina.gov.cn)列入“失信被执行人（页面跳转至“中国执行信息公开网”http://zxgk.court.gov.cn/shixin/）、重大税收违法失信主体、政府采购严重违法失信行为记录名单”的投标人；不得为“中国政府采购网”网站(http://www.ccgp.gov.cn)“政府采购严重违法失信行为记录名单”中的投标人（根据财库【2019】38号文规定，此项由采购代理机构在投标截止日当天在“信用中国”网站和中国政府采购网站进行查询，截图留档；如网站无投标人信息的，投标人须提供相关证明资料或书面声明）；</w:t>
      </w:r>
    </w:p>
    <w:p w14:paraId="2D34807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9、控股关系查询：单位负责人为同一人或者存在直接控股、管理关系的不同投标人，不得参加同一合同项下的政府采购活动（根据财库【2019】38号文规定，此项由采购代理机构在投标截止日当天在“国家企业信用信息公示系统”进行查询，截图留档；如网站无投标人信息的，投标人须提供相关证明资料或书面声明）。</w:t>
      </w:r>
    </w:p>
    <w:p w14:paraId="3A11D11B">
      <w:pPr>
        <w:pStyle w:val="12"/>
        <w:spacing w:line="360" w:lineRule="auto"/>
        <w:outlineLvl w:val="2"/>
        <w:rPr>
          <w:rFonts w:hint="eastAsia" w:ascii="仿宋" w:hAnsi="仿宋" w:eastAsia="仿宋" w:cs="仿宋"/>
          <w:sz w:val="24"/>
          <w:szCs w:val="24"/>
        </w:rPr>
      </w:pPr>
      <w:bookmarkStart w:id="12" w:name="_Toc15158"/>
      <w:r>
        <w:rPr>
          <w:rFonts w:hint="eastAsia" w:ascii="仿宋" w:hAnsi="仿宋" w:eastAsia="仿宋" w:cs="仿宋"/>
          <w:b/>
          <w:sz w:val="24"/>
          <w:szCs w:val="24"/>
        </w:rPr>
        <w:t>五、电子化采购相关事项</w:t>
      </w:r>
      <w:bookmarkEnd w:id="12"/>
    </w:p>
    <w:p w14:paraId="1BC2BAA8">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本项目实行电子化采购，使用的电子化交易系统为：陕西省政府采购综合管理平台的项目电子化交易系统（以下简称“项目电子化交易系统”），登录方式及地址：通过陕西省政府采购网（http://www.ccgp-shaanxi.gov.cn/）首页供应商用户登录陕西省政府采购综合管理平台（以下简称“政府采购平台”），进入项目电子化交易系统。供应商应当按照以下要求，参与本次电子化采购活动。</w:t>
      </w:r>
    </w:p>
    <w:p w14:paraId="15F2FDBD">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一)供应商应当自行在陕西省政府采购网-办事指南查看相应的系统操作指南，并严格按照操作指南要求进行系统操作。在登录、使用政府采购平台前，应当按照要求完成供应商注册和信息完善，加入政府采购平台供应商库。</w:t>
      </w:r>
    </w:p>
    <w:p w14:paraId="74D14A2F">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二)供应商应当使用纳入陕西省政府采购综合管理平台数字证书互认范围的数字证书及签章（以下简称“互认的证书及签章”）进行系统操作。供应商使用互认的证书及签章登录政府采购平台进行的一切操作和资料传递，以及加盖电子签章确认采购过程中制作、交换的电子数据，均属于供应商真实意思表示，由供应商对其系统操作行为和电子签章确认的事项承担法律责任。</w:t>
      </w:r>
    </w:p>
    <w:p w14:paraId="212967BE">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已办理互认的证书及签章的供应商，校验互认的证书及签章有效性后，即可按照系统操作要求进行身份信息绑定、权限设置和系统操作；未办理互认的证书及签章的供应商，按要求办理互认的证书及签章并校验有效性后，按照系统操作要求进行身份信息绑定、权限设置和系统操作。互认的证书及签章的办理与校验，可查看陕西省政府采购网-办事指南-CA及签章服务。</w:t>
      </w:r>
    </w:p>
    <w:p w14:paraId="547A2079">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供应商应当加强互认的证书及签章日常校验和妥善保管，确保在参加采购活动期间互认的证书及签章能够正常使用；供应商应当严格互认的证书及签章的内部授权管理，防止非授权操作。</w:t>
      </w:r>
    </w:p>
    <w:p w14:paraId="2861C1D8">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（三）供应商应当自行准备电子化采购所需的计算机终端、软硬件及网络环境，承担因准备不足产生的不利后果。</w:t>
      </w:r>
    </w:p>
    <w:p w14:paraId="51D931A6">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（四）政府采购平台技术支持：</w:t>
      </w:r>
    </w:p>
    <w:p w14:paraId="09E404CB">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在线客服：通过陕西省政府采购网-在线客服进行咨询</w:t>
      </w:r>
    </w:p>
    <w:p w14:paraId="2EDCCDFD">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技术服务电话：029-96702</w:t>
      </w:r>
    </w:p>
    <w:p w14:paraId="1E005536">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CA及签章服务：通过陕西省政府采购网-办事指南-CA及签章服务进行查询</w:t>
      </w:r>
    </w:p>
    <w:p w14:paraId="16A7A39B">
      <w:pPr>
        <w:pStyle w:val="12"/>
        <w:spacing w:line="360" w:lineRule="auto"/>
        <w:outlineLvl w:val="2"/>
        <w:rPr>
          <w:rFonts w:hint="eastAsia" w:ascii="仿宋" w:hAnsi="仿宋" w:eastAsia="仿宋" w:cs="仿宋"/>
          <w:sz w:val="24"/>
          <w:szCs w:val="24"/>
        </w:rPr>
      </w:pPr>
      <w:bookmarkStart w:id="13" w:name="_Toc4422"/>
      <w:r>
        <w:rPr>
          <w:rFonts w:hint="eastAsia" w:ascii="仿宋" w:hAnsi="仿宋" w:eastAsia="仿宋" w:cs="仿宋"/>
          <w:b/>
          <w:sz w:val="24"/>
          <w:szCs w:val="24"/>
        </w:rPr>
        <w:t>六、招标文件获取时间、方式及地址</w:t>
      </w:r>
      <w:bookmarkEnd w:id="13"/>
    </w:p>
    <w:p w14:paraId="77C9727D">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（一）招标文件获取时间：详见采购公告</w:t>
      </w:r>
    </w:p>
    <w:p w14:paraId="36A3E5A3">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二）在招标文件获取开始时间前，采购人或代理机构将本项目招标文件上传至项目电子化交易系统，向供应商提供。供应商通过项目电子化交易系统获取招标文件。成功获取招标文件的，供应商将收到已获取招标文件的回执函。未成功获取招标文件的供应商，不得参与本次采购活动，不得对招标文件提起质疑。</w:t>
      </w:r>
    </w:p>
    <w:p w14:paraId="02EACA07">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成功获取招标文件后，采购人或代理机构进行澄清或者修改的，澄清或者修改的内容可能影响投标文件编制的，采购人或代理机构将通过项目电子化交易系统发布澄清或者修改后的招标文件，供应商应当重新获取招标文件；澄清或者修改后的招标文件发布日期距提交投标文件截止日期不足15日的，采购人或代理机构顺延提交投标文件的截止时间。供应商未重新获取招标文件或者未按照澄清或者修改后的招标文件编制投标文件进行投标的，自行承担不利后果。</w:t>
      </w:r>
    </w:p>
    <w:p w14:paraId="30C706E4">
      <w:pPr>
        <w:pStyle w:val="12"/>
        <w:spacing w:line="360" w:lineRule="auto"/>
        <w:jc w:val="left"/>
        <w:rPr>
          <w:rFonts w:hint="eastAsia" w:ascii="仿宋" w:hAnsi="仿宋" w:eastAsia="仿宋" w:cs="仿宋"/>
          <w:sz w:val="24"/>
          <w:szCs w:val="24"/>
        </w:rPr>
      </w:pPr>
      <w:r>
        <w:rPr>
          <w:rFonts w:hint="eastAsia" w:ascii="仿宋" w:hAnsi="仿宋" w:eastAsia="仿宋" w:cs="仿宋"/>
          <w:sz w:val="24"/>
          <w:szCs w:val="24"/>
        </w:rPr>
        <w:t>注：获取的招标文件主体格式包括pdf、word两种格式版本，其中以pdf格式为准。</w:t>
      </w:r>
    </w:p>
    <w:p w14:paraId="63B51647">
      <w:pPr>
        <w:pStyle w:val="12"/>
        <w:spacing w:line="360" w:lineRule="auto"/>
        <w:outlineLvl w:val="2"/>
        <w:rPr>
          <w:rFonts w:hint="eastAsia" w:ascii="仿宋" w:hAnsi="仿宋" w:eastAsia="仿宋" w:cs="仿宋"/>
          <w:sz w:val="24"/>
          <w:szCs w:val="24"/>
        </w:rPr>
      </w:pPr>
      <w:bookmarkStart w:id="14" w:name="_Toc20295"/>
      <w:r>
        <w:rPr>
          <w:rFonts w:hint="eastAsia" w:ascii="仿宋" w:hAnsi="仿宋" w:eastAsia="仿宋" w:cs="仿宋"/>
          <w:b/>
          <w:sz w:val="24"/>
          <w:szCs w:val="24"/>
        </w:rPr>
        <w:t>七、投标文件提交截止时间及开标时间、地点、方式</w:t>
      </w:r>
      <w:bookmarkEnd w:id="14"/>
    </w:p>
    <w:p w14:paraId="13E48964">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（一）投标文件提交截止时间及开标时间：详见采购公告</w:t>
      </w:r>
    </w:p>
    <w:p w14:paraId="22033A64">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（二）投标文件提交方式、地点：供应商应当在投标文件提交截止时间前，通过项目电子化交易系统提交投标文件。成功提交的，供应商将收到已提交投标文件的回执函。</w:t>
      </w:r>
    </w:p>
    <w:p w14:paraId="155E4A99">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（三）本项目采取网上开标，即采购人或代理机构通过项目电子化交易系统“开标/开启大厅”组织在线开标。</w:t>
      </w:r>
    </w:p>
    <w:p w14:paraId="769ABE28">
      <w:pPr>
        <w:pStyle w:val="12"/>
        <w:spacing w:line="360" w:lineRule="auto"/>
        <w:outlineLvl w:val="2"/>
        <w:rPr>
          <w:rFonts w:hint="eastAsia" w:ascii="仿宋" w:hAnsi="仿宋" w:eastAsia="仿宋" w:cs="仿宋"/>
          <w:sz w:val="24"/>
          <w:szCs w:val="24"/>
        </w:rPr>
      </w:pPr>
      <w:bookmarkStart w:id="15" w:name="_Toc19361"/>
      <w:r>
        <w:rPr>
          <w:rFonts w:hint="eastAsia" w:ascii="仿宋" w:hAnsi="仿宋" w:eastAsia="仿宋" w:cs="仿宋"/>
          <w:b/>
          <w:sz w:val="24"/>
          <w:szCs w:val="24"/>
        </w:rPr>
        <w:t>八、本投标邀请在陕西省政府采购网以公告形式发布</w:t>
      </w:r>
      <w:bookmarkEnd w:id="15"/>
    </w:p>
    <w:p w14:paraId="47E33746">
      <w:pPr>
        <w:pStyle w:val="12"/>
        <w:spacing w:line="360" w:lineRule="auto"/>
        <w:outlineLvl w:val="2"/>
        <w:rPr>
          <w:rFonts w:hint="eastAsia" w:ascii="仿宋" w:hAnsi="仿宋" w:eastAsia="仿宋" w:cs="仿宋"/>
          <w:sz w:val="24"/>
          <w:szCs w:val="24"/>
        </w:rPr>
      </w:pPr>
      <w:bookmarkStart w:id="16" w:name="_Toc3756"/>
      <w:r>
        <w:rPr>
          <w:rFonts w:hint="eastAsia" w:ascii="仿宋" w:hAnsi="仿宋" w:eastAsia="仿宋" w:cs="仿宋"/>
          <w:b/>
          <w:sz w:val="24"/>
          <w:szCs w:val="24"/>
        </w:rPr>
        <w:t>九、供应商信用融资</w:t>
      </w:r>
      <w:bookmarkEnd w:id="16"/>
    </w:p>
    <w:p w14:paraId="0FA49183">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根据《陕西省财政厅关于加快推进我省中小企业政府采购信用融资工作的通知》（陕财办采〔2020〕15 号）和《陕西省中小企业政府采购信用融资办法》（陕财办采〔2018〕23 号）文件要求，为助力解决政府采购成交供应商资金不足、融资难、融资贵的困难，促进供应商依法诚信参加政府采购活动，有融资需求的供应商可登录陕西省政府采购网—陕西省政府采购金融服务平台（http://www.ccgp-shaanxi.gov.cn/zcdservice/zcd/shanxi/），选择符合自身情况的“政采贷”银行及其产品，凭项目中标（成交）结果、中标（成交）通知书等信息在线向银行提出贷款意向申请、查看贷款审批情况等。</w:t>
      </w:r>
    </w:p>
    <w:p w14:paraId="6EA17968">
      <w:pPr>
        <w:pStyle w:val="12"/>
        <w:spacing w:line="360" w:lineRule="auto"/>
        <w:outlineLvl w:val="2"/>
        <w:rPr>
          <w:rFonts w:hint="eastAsia" w:ascii="仿宋" w:hAnsi="仿宋" w:eastAsia="仿宋" w:cs="仿宋"/>
          <w:sz w:val="24"/>
          <w:szCs w:val="24"/>
        </w:rPr>
      </w:pPr>
      <w:bookmarkStart w:id="17" w:name="_Toc19378"/>
      <w:r>
        <w:rPr>
          <w:rFonts w:hint="eastAsia" w:ascii="仿宋" w:hAnsi="仿宋" w:eastAsia="仿宋" w:cs="仿宋"/>
          <w:b/>
          <w:sz w:val="24"/>
          <w:szCs w:val="24"/>
        </w:rPr>
        <w:t>十、联系方式</w:t>
      </w:r>
      <w:bookmarkEnd w:id="17"/>
    </w:p>
    <w:p w14:paraId="514B6BE9">
      <w:pPr>
        <w:pStyle w:val="12"/>
        <w:spacing w:line="360" w:lineRule="auto"/>
        <w:outlineLvl w:val="2"/>
        <w:rPr>
          <w:rFonts w:hint="eastAsia" w:ascii="仿宋" w:hAnsi="仿宋" w:eastAsia="仿宋" w:cs="仿宋"/>
          <w:sz w:val="24"/>
          <w:szCs w:val="24"/>
        </w:rPr>
      </w:pPr>
      <w:bookmarkStart w:id="18" w:name="_Toc14048"/>
      <w:r>
        <w:rPr>
          <w:rFonts w:hint="eastAsia" w:ascii="仿宋" w:hAnsi="仿宋" w:eastAsia="仿宋" w:cs="仿宋"/>
          <w:b/>
          <w:sz w:val="24"/>
          <w:szCs w:val="24"/>
        </w:rPr>
        <w:t>采购人： 陕西铁路工程职业技术学院</w:t>
      </w:r>
      <w:bookmarkEnd w:id="18"/>
    </w:p>
    <w:p w14:paraId="4291400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地址： 陕西省渭南市站北街东段一号</w:t>
      </w:r>
    </w:p>
    <w:p w14:paraId="235D5B5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邮编： 714000</w:t>
      </w:r>
    </w:p>
    <w:p w14:paraId="0BBC433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联系人： 张老师</w:t>
      </w:r>
    </w:p>
    <w:p w14:paraId="36753EA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联系电话： 0913-2221395</w:t>
      </w:r>
    </w:p>
    <w:p w14:paraId="6138E496">
      <w:pPr>
        <w:pStyle w:val="12"/>
        <w:spacing w:line="360" w:lineRule="auto"/>
        <w:outlineLvl w:val="2"/>
        <w:rPr>
          <w:rFonts w:hint="eastAsia" w:ascii="仿宋" w:hAnsi="仿宋" w:eastAsia="仿宋" w:cs="仿宋"/>
          <w:sz w:val="24"/>
          <w:szCs w:val="24"/>
        </w:rPr>
      </w:pPr>
      <w:bookmarkStart w:id="19" w:name="_Toc12421"/>
      <w:r>
        <w:rPr>
          <w:rFonts w:hint="eastAsia" w:ascii="仿宋" w:hAnsi="仿宋" w:eastAsia="仿宋" w:cs="仿宋"/>
          <w:b/>
          <w:sz w:val="24"/>
          <w:szCs w:val="24"/>
        </w:rPr>
        <w:t>代理机构：华春建设工程项目管理有限责任公司</w:t>
      </w:r>
      <w:bookmarkEnd w:id="19"/>
    </w:p>
    <w:p w14:paraId="79277D4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地址： 西安市南二环西段成长大厦8楼</w:t>
      </w:r>
    </w:p>
    <w:p w14:paraId="4E96EF1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邮编： 710000</w:t>
      </w:r>
    </w:p>
    <w:p w14:paraId="39D7F70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联系人： 解征、冯建正</w:t>
      </w:r>
    </w:p>
    <w:p w14:paraId="203C7AA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联系电话： 18629060219</w:t>
      </w:r>
    </w:p>
    <w:p w14:paraId="292A2610">
      <w:pPr>
        <w:pStyle w:val="12"/>
        <w:spacing w:line="360" w:lineRule="auto"/>
        <w:outlineLvl w:val="2"/>
        <w:rPr>
          <w:rFonts w:hint="eastAsia" w:ascii="仿宋" w:hAnsi="仿宋" w:eastAsia="仿宋" w:cs="仿宋"/>
          <w:sz w:val="24"/>
          <w:szCs w:val="24"/>
        </w:rPr>
      </w:pPr>
      <w:bookmarkStart w:id="20" w:name="_Toc27700"/>
      <w:r>
        <w:rPr>
          <w:rFonts w:hint="eastAsia" w:ascii="仿宋" w:hAnsi="仿宋" w:eastAsia="仿宋" w:cs="仿宋"/>
          <w:b/>
          <w:sz w:val="24"/>
          <w:szCs w:val="24"/>
        </w:rPr>
        <w:t>采购监督机构：财政厅政府采购管理处</w:t>
      </w:r>
      <w:bookmarkEnd w:id="20"/>
    </w:p>
    <w:p w14:paraId="1687A9DF">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联系人：柴老师、杨老师</w:t>
      </w:r>
    </w:p>
    <w:p w14:paraId="7AFC7A97">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联系电话：029-68936409、029-68936410</w:t>
      </w:r>
    </w:p>
    <w:p w14:paraId="5E5AE174">
      <w:pPr>
        <w:pStyle w:val="12"/>
        <w:rPr>
          <w:rFonts w:hint="eastAsia" w:ascii="仿宋" w:hAnsi="仿宋" w:eastAsia="仿宋" w:cs="仿宋"/>
        </w:rPr>
      </w:pPr>
      <w:r>
        <w:rPr>
          <w:rFonts w:hint="eastAsia" w:ascii="仿宋" w:hAnsi="仿宋" w:eastAsia="仿宋" w:cs="仿宋"/>
        </w:rPr>
        <w:t xml:space="preserve"> </w:t>
      </w:r>
      <w:r>
        <w:rPr>
          <w:rFonts w:hint="eastAsia" w:ascii="仿宋" w:hAnsi="仿宋" w:eastAsia="仿宋" w:cs="仿宋"/>
        </w:rPr>
        <w:br w:type="textWrapping"/>
      </w:r>
      <w:r>
        <w:rPr>
          <w:rFonts w:hint="eastAsia" w:ascii="仿宋" w:hAnsi="仿宋" w:eastAsia="仿宋" w:cs="仿宋"/>
        </w:rPr>
        <w:br w:type="page"/>
      </w:r>
    </w:p>
    <w:p w14:paraId="241C7C7B">
      <w:pPr>
        <w:pStyle w:val="12"/>
        <w:jc w:val="center"/>
        <w:outlineLvl w:val="1"/>
        <w:rPr>
          <w:rFonts w:hint="eastAsia" w:ascii="仿宋" w:hAnsi="仿宋" w:eastAsia="仿宋" w:cs="仿宋"/>
        </w:rPr>
      </w:pPr>
      <w:bookmarkStart w:id="21" w:name="_Toc28863"/>
      <w:r>
        <w:rPr>
          <w:rFonts w:hint="eastAsia" w:ascii="仿宋" w:hAnsi="仿宋" w:eastAsia="仿宋" w:cs="仿宋"/>
          <w:b/>
          <w:sz w:val="36"/>
        </w:rPr>
        <w:t>第二章 投标人须知</w:t>
      </w:r>
      <w:bookmarkEnd w:id="21"/>
    </w:p>
    <w:p w14:paraId="28BDDE8B">
      <w:pPr>
        <w:pStyle w:val="12"/>
        <w:spacing w:line="360" w:lineRule="auto"/>
        <w:outlineLvl w:val="2"/>
        <w:rPr>
          <w:rFonts w:hint="eastAsia" w:ascii="仿宋" w:hAnsi="仿宋" w:eastAsia="仿宋" w:cs="仿宋"/>
          <w:sz w:val="24"/>
          <w:szCs w:val="24"/>
        </w:rPr>
      </w:pPr>
      <w:bookmarkStart w:id="22" w:name="_Toc26633"/>
      <w:r>
        <w:rPr>
          <w:rFonts w:hint="eastAsia" w:ascii="仿宋" w:hAnsi="仿宋" w:eastAsia="仿宋" w:cs="仿宋"/>
          <w:b/>
          <w:sz w:val="24"/>
          <w:szCs w:val="24"/>
        </w:rPr>
        <w:t>2.1投标人须知前附表</w:t>
      </w:r>
      <w:bookmarkEnd w:id="22"/>
    </w:p>
    <w:tbl>
      <w:tblPr>
        <w:tblStyle w:val="10"/>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96"/>
        <w:gridCol w:w="1728"/>
        <w:gridCol w:w="5883"/>
      </w:tblGrid>
      <w:tr w14:paraId="306A59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5" w:hRule="atLeast"/>
        </w:trPr>
        <w:tc>
          <w:tcPr>
            <w:tcW w:w="696" w:type="dxa"/>
            <w:vAlign w:val="center"/>
          </w:tcPr>
          <w:p w14:paraId="1D247679">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1728" w:type="dxa"/>
            <w:vAlign w:val="center"/>
          </w:tcPr>
          <w:p w14:paraId="074EA135">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应知事项</w:t>
            </w:r>
          </w:p>
        </w:tc>
        <w:tc>
          <w:tcPr>
            <w:tcW w:w="5883" w:type="dxa"/>
          </w:tcPr>
          <w:p w14:paraId="3FACCAB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说明和要求</w:t>
            </w:r>
          </w:p>
        </w:tc>
      </w:tr>
      <w:tr w14:paraId="0FADE6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96" w:type="dxa"/>
            <w:vAlign w:val="center"/>
          </w:tcPr>
          <w:p w14:paraId="063129D2">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1728" w:type="dxa"/>
            <w:vAlign w:val="center"/>
          </w:tcPr>
          <w:p w14:paraId="1A693BE0">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采购预算（实质性要求）</w:t>
            </w:r>
          </w:p>
        </w:tc>
        <w:tc>
          <w:tcPr>
            <w:tcW w:w="5883" w:type="dxa"/>
          </w:tcPr>
          <w:p w14:paraId="1C1CF81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本项目各包采购预算金额如下：</w:t>
            </w:r>
          </w:p>
          <w:p w14:paraId="5E55154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采购包1：800,000.00元 投标人的采购包投标报价高于采购包采购预算的，其投标文件将按无效处理。</w:t>
            </w:r>
          </w:p>
        </w:tc>
      </w:tr>
      <w:tr w14:paraId="1DF086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96" w:type="dxa"/>
            <w:vAlign w:val="center"/>
          </w:tcPr>
          <w:p w14:paraId="77232718">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1728" w:type="dxa"/>
            <w:vAlign w:val="center"/>
          </w:tcPr>
          <w:p w14:paraId="2BCDE549">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最高限价（实质性要求）</w:t>
            </w:r>
          </w:p>
        </w:tc>
        <w:tc>
          <w:tcPr>
            <w:tcW w:w="5883" w:type="dxa"/>
          </w:tcPr>
          <w:p w14:paraId="2E908B4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详见第三章。</w:t>
            </w:r>
          </w:p>
          <w:p w14:paraId="5002052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投标人的采购包投标报价高于最高限价的，其投标文件将按无效处理。</w:t>
            </w:r>
          </w:p>
        </w:tc>
      </w:tr>
      <w:tr w14:paraId="588088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96" w:type="dxa"/>
            <w:vAlign w:val="center"/>
          </w:tcPr>
          <w:p w14:paraId="7DACC57C">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728" w:type="dxa"/>
            <w:vAlign w:val="center"/>
          </w:tcPr>
          <w:p w14:paraId="60FF0BF1">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评标方法</w:t>
            </w:r>
          </w:p>
        </w:tc>
        <w:tc>
          <w:tcPr>
            <w:tcW w:w="5883" w:type="dxa"/>
          </w:tcPr>
          <w:p w14:paraId="7D3113D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采购包1：综合评分法 （详见第五章）</w:t>
            </w:r>
          </w:p>
        </w:tc>
      </w:tr>
      <w:tr w14:paraId="2717F2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96" w:type="dxa"/>
            <w:vAlign w:val="center"/>
          </w:tcPr>
          <w:p w14:paraId="5D52F74A">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1728" w:type="dxa"/>
            <w:vAlign w:val="center"/>
          </w:tcPr>
          <w:p w14:paraId="63754C87">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是否接受联合体</w:t>
            </w:r>
          </w:p>
        </w:tc>
        <w:tc>
          <w:tcPr>
            <w:tcW w:w="5883" w:type="dxa"/>
          </w:tcPr>
          <w:p w14:paraId="3DE9346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采购包1：不接受 如以联合体投标的，联合体各方均应当具备本招标文件要求的资格条件和能力。</w:t>
            </w:r>
          </w:p>
          <w:p w14:paraId="708A343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（1）联合体各方均应具有承担本项目必备的条件，如相应的人力、物力、资金等。</w:t>
            </w:r>
          </w:p>
          <w:p w14:paraId="71483C7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（2）招标文件对投标人资格条件有特殊要求的，联合体各个成员都应当具备规定的相应资格条件。</w:t>
            </w:r>
          </w:p>
          <w:p w14:paraId="172AA54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3）同一专业的单位组成的联合体，应当按照资质等级较低的单位确定联合体的资质等级。如：某联合体由三个单位组成，其中两个单位资质等级为甲级，另一单位资质等级为较甲级更低的乙级，则该联合体资质等级为乙级。</w:t>
            </w:r>
          </w:p>
        </w:tc>
      </w:tr>
      <w:tr w14:paraId="1665B8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96" w:type="dxa"/>
            <w:vAlign w:val="center"/>
          </w:tcPr>
          <w:p w14:paraId="222DBB95">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1728" w:type="dxa"/>
            <w:vAlign w:val="center"/>
          </w:tcPr>
          <w:p w14:paraId="13C81904">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落实节能、环保产品政策</w:t>
            </w:r>
          </w:p>
        </w:tc>
        <w:tc>
          <w:tcPr>
            <w:tcW w:w="5883" w:type="dxa"/>
          </w:tcPr>
          <w:p w14:paraId="483B273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1.根据《财政部发展改革委生态环境部市场监管总局关于调整优化节能产品、环境标志产品政府采购执行机制的通知》（财库〔2019〕9号）相关要求，政府采购节能产品、环境标志产品实施品目清单管理。财政部、发展改革委、生态环境部等部门确定实施政府优先采购和强制采购的产品类别，以品目清单的形式发布并适时调整。</w:t>
            </w:r>
          </w:p>
          <w:p w14:paraId="51E805D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2.本项目采购的/产品属于节能产品政府采购品目清单中应强制采购的产品范围，供应商应当提供国家确定的认证机构出具的、处于有效期之内的节能产品认证证书，否则作无效投标处理。</w:t>
            </w:r>
          </w:p>
          <w:p w14:paraId="0931BB7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3.本项目采购的/产品属于节能产品政府采购品目清单中应优先采购的产品范围，本项目采购的/产品属于环境标志产品政府采购品目清单中应优先采购的产品范围，评审得分/响应报价相同的，按供应商提供的优先采购产品认证证书数量由多到少顺序排列。</w:t>
            </w:r>
          </w:p>
        </w:tc>
      </w:tr>
      <w:tr w14:paraId="51DF6D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96" w:type="dxa"/>
            <w:vAlign w:val="center"/>
          </w:tcPr>
          <w:p w14:paraId="1A33D6B1">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1728" w:type="dxa"/>
            <w:vAlign w:val="center"/>
          </w:tcPr>
          <w:p w14:paraId="30ABE7F0">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小微企业（监狱企业、残疾人福利性单位视同小微企业）价格扣除（仅非预留份额采购项目或预留份额采购项目中的非预留部分采购包适用）</w:t>
            </w:r>
          </w:p>
        </w:tc>
        <w:tc>
          <w:tcPr>
            <w:tcW w:w="5883" w:type="dxa"/>
          </w:tcPr>
          <w:p w14:paraId="2E91D7C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关于本项目采购包中执行小微企业（监狱企业、残疾人福利性单位视同小微企业）价格扣除情况、具体扣除比例和规则详见第五章。</w:t>
            </w:r>
          </w:p>
        </w:tc>
      </w:tr>
      <w:tr w14:paraId="2C121B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96" w:type="dxa"/>
            <w:vAlign w:val="center"/>
          </w:tcPr>
          <w:p w14:paraId="3E64279F">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1728" w:type="dxa"/>
            <w:vAlign w:val="center"/>
          </w:tcPr>
          <w:p w14:paraId="6BB5233A">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充分、公平竞争保障措施（实质性要求）</w:t>
            </w:r>
          </w:p>
        </w:tc>
        <w:tc>
          <w:tcPr>
            <w:tcW w:w="5883" w:type="dxa"/>
          </w:tcPr>
          <w:p w14:paraId="51FEFE0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核心产品允许有多个，不同供应商提供了任意一个相同品牌的核心产品，即视为提供相同品牌的供应商。</w:t>
            </w:r>
          </w:p>
          <w:p w14:paraId="73D9ECB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采取随机抽取方式确定一个投标人获得中标人推荐资格，其他同品牌投标人不作为中标候选人。</w:t>
            </w:r>
          </w:p>
          <w:p w14:paraId="5BF7461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采用最低评标价法的采购项目，提供相同品牌产品的不同投标人参加同一合同项下投标的，以其中通过资格审查、符合性审查且报价最低的参加评标；报价相同的，由采购人或者采购人委托评标委员会按照随机抽取方式确定一个参加评标的投标人，其他投标无效。</w:t>
            </w:r>
          </w:p>
          <w:p w14:paraId="50BBAFB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核心产品清单详见第三章。</w:t>
            </w:r>
          </w:p>
          <w:p w14:paraId="0406D34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在符合性审查环节提供核心产品品牌不足3个的，视为有效投标人不足3家。</w:t>
            </w:r>
          </w:p>
        </w:tc>
      </w:tr>
      <w:tr w14:paraId="2A4CA4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96" w:type="dxa"/>
            <w:vAlign w:val="center"/>
          </w:tcPr>
          <w:p w14:paraId="6AD3947B">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1728" w:type="dxa"/>
            <w:vAlign w:val="center"/>
          </w:tcPr>
          <w:p w14:paraId="0BBDF63F">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不正当竞争预防措施（实质性要求）</w:t>
            </w:r>
          </w:p>
        </w:tc>
        <w:tc>
          <w:tcPr>
            <w:tcW w:w="5883" w:type="dxa"/>
          </w:tcPr>
          <w:p w14:paraId="6F3483A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在评标过程中，评标委员会认为投标人投标报价明显低于其他通过符合性审查投标人的投标报价，有可能影响产品质量或者不能诚信履约的，评标委员会应当要求其在合理的时间内通过项目电子化交易系统进行书面说明，必要时提交相关证明材料。投标人提交的书面说明，应当加盖投标人公章，在评标委员会要求的时间内通过项目电子化交易系统进行提交，否则视为不能证明其投标报价合理性。投标人不能证明其投标报价合理性的，评标委员会应当将其投标文件作为无效投标处理。</w:t>
            </w:r>
          </w:p>
        </w:tc>
      </w:tr>
      <w:tr w14:paraId="1AB51D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96" w:type="dxa"/>
            <w:vAlign w:val="center"/>
          </w:tcPr>
          <w:p w14:paraId="40D026BB">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9</w:t>
            </w:r>
          </w:p>
        </w:tc>
        <w:tc>
          <w:tcPr>
            <w:tcW w:w="1728" w:type="dxa"/>
            <w:vAlign w:val="center"/>
          </w:tcPr>
          <w:p w14:paraId="5F24FD9E">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投标保证金</w:t>
            </w:r>
          </w:p>
        </w:tc>
        <w:tc>
          <w:tcPr>
            <w:tcW w:w="5883" w:type="dxa"/>
          </w:tcPr>
          <w:p w14:paraId="14D3A31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采购包1保证金金额：15,000.00元</w:t>
            </w:r>
          </w:p>
          <w:p w14:paraId="59A8855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缴交渠道：电子保函,转账、支票、汇票等（需通过实体账户、户名及开户行信息）</w:t>
            </w:r>
          </w:p>
          <w:p w14:paraId="6AA72F2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开户名称：华春建设工程项目管理有限责任公司</w:t>
            </w:r>
          </w:p>
          <w:p w14:paraId="313D751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开户银行：平安银行西安分行营业部</w:t>
            </w:r>
          </w:p>
          <w:p w14:paraId="6594FB3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银行账号：30208471002776</w:t>
            </w:r>
          </w:p>
        </w:tc>
      </w:tr>
      <w:tr w14:paraId="5D2B42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96" w:type="dxa"/>
            <w:vAlign w:val="center"/>
          </w:tcPr>
          <w:p w14:paraId="1C787168">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10</w:t>
            </w:r>
          </w:p>
        </w:tc>
        <w:tc>
          <w:tcPr>
            <w:tcW w:w="1728" w:type="dxa"/>
            <w:vAlign w:val="center"/>
          </w:tcPr>
          <w:p w14:paraId="643AD120">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标书费信息</w:t>
            </w:r>
          </w:p>
        </w:tc>
        <w:tc>
          <w:tcPr>
            <w:tcW w:w="5883" w:type="dxa"/>
          </w:tcPr>
          <w:p w14:paraId="371A383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免费获取</w:t>
            </w:r>
          </w:p>
        </w:tc>
      </w:tr>
      <w:tr w14:paraId="2B63F5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96" w:type="dxa"/>
            <w:vAlign w:val="center"/>
          </w:tcPr>
          <w:p w14:paraId="4A3D5727">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1728" w:type="dxa"/>
            <w:vAlign w:val="center"/>
          </w:tcPr>
          <w:p w14:paraId="68081468">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履约保证金（实质性要求）</w:t>
            </w:r>
          </w:p>
        </w:tc>
        <w:tc>
          <w:tcPr>
            <w:tcW w:w="5883" w:type="dxa"/>
          </w:tcPr>
          <w:p w14:paraId="7F39E15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采购包1：不缴纳</w:t>
            </w:r>
          </w:p>
        </w:tc>
      </w:tr>
      <w:tr w14:paraId="1780E6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96" w:type="dxa"/>
            <w:vAlign w:val="center"/>
          </w:tcPr>
          <w:p w14:paraId="333D64A7">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12</w:t>
            </w:r>
          </w:p>
        </w:tc>
        <w:tc>
          <w:tcPr>
            <w:tcW w:w="1728" w:type="dxa"/>
            <w:vAlign w:val="center"/>
          </w:tcPr>
          <w:p w14:paraId="72639E7B">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投标有效期（实质性要求）</w:t>
            </w:r>
          </w:p>
        </w:tc>
        <w:tc>
          <w:tcPr>
            <w:tcW w:w="5883" w:type="dxa"/>
          </w:tcPr>
          <w:p w14:paraId="440B80D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提交投标文件的截止之日起不少于90天。</w:t>
            </w:r>
          </w:p>
        </w:tc>
      </w:tr>
      <w:tr w14:paraId="7ABDA6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96" w:type="dxa"/>
            <w:vAlign w:val="center"/>
          </w:tcPr>
          <w:p w14:paraId="336B4850">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13</w:t>
            </w:r>
          </w:p>
        </w:tc>
        <w:tc>
          <w:tcPr>
            <w:tcW w:w="1728" w:type="dxa"/>
            <w:vAlign w:val="center"/>
          </w:tcPr>
          <w:p w14:paraId="03FE6174">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招标代理服务费（实质性要求）</w:t>
            </w:r>
          </w:p>
        </w:tc>
        <w:tc>
          <w:tcPr>
            <w:tcW w:w="5883" w:type="dxa"/>
          </w:tcPr>
          <w:p w14:paraId="5D83BCB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本项目收取代理服务费</w:t>
            </w:r>
          </w:p>
          <w:p w14:paraId="3D0087A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代理服务费用收取对象：中标/成交供应商</w:t>
            </w:r>
          </w:p>
          <w:p w14:paraId="395033B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代理服务费收费标准：1、中标人应依据中标金额向采购代理机构交纳中标服务费，交费金额参照国家计委颁布的《招标代理服务收费管理暂行办法》（计价格[2002]1980号）及发改办价格[2003]857号文件的规定标准下浮20%收取。2、本项目中标服务费按货物计取。</w:t>
            </w:r>
          </w:p>
        </w:tc>
      </w:tr>
      <w:tr w14:paraId="018F54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96" w:type="dxa"/>
            <w:vAlign w:val="center"/>
          </w:tcPr>
          <w:p w14:paraId="3D34D319">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14</w:t>
            </w:r>
          </w:p>
        </w:tc>
        <w:tc>
          <w:tcPr>
            <w:tcW w:w="1728" w:type="dxa"/>
            <w:vAlign w:val="center"/>
          </w:tcPr>
          <w:p w14:paraId="022A268A">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采购结果公告</w:t>
            </w:r>
          </w:p>
        </w:tc>
        <w:tc>
          <w:tcPr>
            <w:tcW w:w="5883" w:type="dxa"/>
          </w:tcPr>
          <w:p w14:paraId="6BF491A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采购结果将在陕西省政府采购网予以公告。</w:t>
            </w:r>
          </w:p>
        </w:tc>
      </w:tr>
      <w:tr w14:paraId="0CFAD7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96" w:type="dxa"/>
            <w:vAlign w:val="center"/>
          </w:tcPr>
          <w:p w14:paraId="16EB62C4">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15</w:t>
            </w:r>
          </w:p>
        </w:tc>
        <w:tc>
          <w:tcPr>
            <w:tcW w:w="1728" w:type="dxa"/>
            <w:vAlign w:val="center"/>
          </w:tcPr>
          <w:p w14:paraId="5B477D88">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中标通知书</w:t>
            </w:r>
          </w:p>
        </w:tc>
        <w:tc>
          <w:tcPr>
            <w:tcW w:w="5883" w:type="dxa"/>
          </w:tcPr>
          <w:p w14:paraId="254521D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采购结果公告发布的同时，采购人或代理机构通过项目电子化交易系统向中标供应商发出中标通知书；中标供应商通过项目电子化交易系统获取中标通知书。</w:t>
            </w:r>
          </w:p>
        </w:tc>
      </w:tr>
      <w:tr w14:paraId="5BD655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96" w:type="dxa"/>
            <w:vAlign w:val="center"/>
          </w:tcPr>
          <w:p w14:paraId="186EA7BD">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16</w:t>
            </w:r>
          </w:p>
        </w:tc>
        <w:tc>
          <w:tcPr>
            <w:tcW w:w="1728" w:type="dxa"/>
            <w:vAlign w:val="center"/>
          </w:tcPr>
          <w:p w14:paraId="297C42A8">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政府采购合同公告、备案</w:t>
            </w:r>
          </w:p>
        </w:tc>
        <w:tc>
          <w:tcPr>
            <w:tcW w:w="5883" w:type="dxa"/>
          </w:tcPr>
          <w:p w14:paraId="1F7B401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政府采购合同签订之日起2个工作日内，采购人将政府采购合同在“陕西省政府采购网”予以公告；政府采购合同签订之日起7个工作日内，采购人将本项目采购合同通过政府采购平台进行备案。</w:t>
            </w:r>
          </w:p>
        </w:tc>
      </w:tr>
      <w:tr w14:paraId="4FD097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96" w:type="dxa"/>
            <w:vAlign w:val="center"/>
          </w:tcPr>
          <w:p w14:paraId="066CB62E">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17</w:t>
            </w:r>
          </w:p>
        </w:tc>
        <w:tc>
          <w:tcPr>
            <w:tcW w:w="1728" w:type="dxa"/>
            <w:vAlign w:val="center"/>
          </w:tcPr>
          <w:p w14:paraId="667311E8">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进口产品</w:t>
            </w:r>
          </w:p>
        </w:tc>
        <w:tc>
          <w:tcPr>
            <w:tcW w:w="5883" w:type="dxa"/>
          </w:tcPr>
          <w:p w14:paraId="4F095A6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不允许</w:t>
            </w:r>
          </w:p>
        </w:tc>
      </w:tr>
      <w:tr w14:paraId="36C408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96" w:type="dxa"/>
            <w:vAlign w:val="center"/>
          </w:tcPr>
          <w:p w14:paraId="40B06713">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18</w:t>
            </w:r>
          </w:p>
        </w:tc>
        <w:tc>
          <w:tcPr>
            <w:tcW w:w="1728" w:type="dxa"/>
            <w:vAlign w:val="center"/>
          </w:tcPr>
          <w:p w14:paraId="6A2CEAF2">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是否组织潜在供应商现场考察</w:t>
            </w:r>
          </w:p>
        </w:tc>
        <w:tc>
          <w:tcPr>
            <w:tcW w:w="5883" w:type="dxa"/>
          </w:tcPr>
          <w:p w14:paraId="1FED60D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采购包1：组织现场踏勘：否</w:t>
            </w:r>
          </w:p>
        </w:tc>
      </w:tr>
      <w:tr w14:paraId="781125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96" w:type="dxa"/>
            <w:vAlign w:val="center"/>
          </w:tcPr>
          <w:p w14:paraId="0AE24F44">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19</w:t>
            </w:r>
          </w:p>
        </w:tc>
        <w:tc>
          <w:tcPr>
            <w:tcW w:w="1728" w:type="dxa"/>
            <w:vAlign w:val="center"/>
          </w:tcPr>
          <w:p w14:paraId="5A33853C">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特殊情况</w:t>
            </w:r>
          </w:p>
        </w:tc>
        <w:tc>
          <w:tcPr>
            <w:tcW w:w="5883" w:type="dxa"/>
          </w:tcPr>
          <w:p w14:paraId="0519CC4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出现下列情形之一的，采购人或者采购代理机构应当中止电子化采购活动，并保留相关证明材料备查：</w:t>
            </w:r>
          </w:p>
          <w:p w14:paraId="6312FE6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（一）交易系统发生故障（包括感染病毒、应用或数据库出错）而无法正常使用的；</w:t>
            </w:r>
          </w:p>
          <w:p w14:paraId="70A6604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（二）因组织场所停电、断网等原因，导致采购活动无法继续通过交易系统实施的；</w:t>
            </w:r>
          </w:p>
          <w:p w14:paraId="2C59CA5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（三）其他无法保证电子化交易的公平、公正和安全的情况。</w:t>
            </w:r>
          </w:p>
          <w:p w14:paraId="6572969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出现上述的情形，不影响采购公平、公正的，采购人或者代理机构可以待上述情形消除后继续组织采购活动；影响或者可能影响采购公平、公正的，采购人或者代理机构应当依法废标。</w:t>
            </w:r>
          </w:p>
        </w:tc>
      </w:tr>
    </w:tbl>
    <w:p w14:paraId="44C20ACA">
      <w:pPr>
        <w:pStyle w:val="12"/>
        <w:spacing w:line="360" w:lineRule="auto"/>
        <w:outlineLvl w:val="2"/>
        <w:rPr>
          <w:rFonts w:hint="eastAsia" w:ascii="仿宋" w:hAnsi="仿宋" w:eastAsia="仿宋" w:cs="仿宋"/>
          <w:sz w:val="24"/>
          <w:szCs w:val="24"/>
        </w:rPr>
      </w:pPr>
      <w:bookmarkStart w:id="23" w:name="_Toc12380"/>
      <w:r>
        <w:rPr>
          <w:rFonts w:hint="eastAsia" w:ascii="仿宋" w:hAnsi="仿宋" w:eastAsia="仿宋" w:cs="仿宋"/>
          <w:b/>
          <w:sz w:val="24"/>
          <w:szCs w:val="24"/>
        </w:rPr>
        <w:t>2.2总则</w:t>
      </w:r>
      <w:bookmarkEnd w:id="23"/>
    </w:p>
    <w:p w14:paraId="7286E1FE">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 xml:space="preserve"> 2.2.1适用范围</w:t>
      </w:r>
    </w:p>
    <w:p w14:paraId="4F88FD8C">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一、本招标文件仅适用于本次公开招标采购项目。</w:t>
      </w:r>
    </w:p>
    <w:p w14:paraId="4402B195">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二、本招标文件的最终解释权由陕西铁路工程职业技术学院和华春建设工程项目管理有限责任公司享有。对招标文件中供应商参加本次政府采购活动应当具备的条件，招标项目技术、服务、商务及其他要求，评标细则及标准由陕西铁路工程职业技术学院负责解释。除上述招标文件内容，其他内容由华春建设工程项目管理有限责任公司负责解释。</w:t>
      </w:r>
    </w:p>
    <w:p w14:paraId="750D9C14">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2.2.2有关定义</w:t>
      </w:r>
    </w:p>
    <w:p w14:paraId="125BBB65">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一、“采购人”是指依法进行政府采购的各级国家机关、事业单位、团体组织。本次招标的采购人是陕西铁路工程职业技术学院。</w:t>
      </w:r>
    </w:p>
    <w:p w14:paraId="6B04DC99">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二、“投标人”是指按照采购公告规定获取了招标文件，拟参加投标和向采购人提供货物、工程或服务的法人、其他组织或者自然人。</w:t>
      </w:r>
    </w:p>
    <w:p w14:paraId="0249C7C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三、“代理机构”是指政府采购集中采购机构和从事政府采购代理业务的社会中介机构。本项目的代理机构是华春建设工程项目管理有限责任公司。</w:t>
      </w:r>
    </w:p>
    <w:p w14:paraId="1F8019BE">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四、“网上开标”是指代理机构通过项目电子化交易系统在线完成签到、开标、唱标和记录等活动，供应商通过项目电子化交易系统在线完成投标文件解密、参与开标活动。</w:t>
      </w:r>
    </w:p>
    <w:p w14:paraId="2FFBFD0C">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五、“电子评标”是指通过项目电子化交易系统在线完成资格审查小组和评审小组组建，开展资格和符合性审查、比较与评价、出具评标报告、推荐中标候选供应商等活动。</w:t>
      </w:r>
    </w:p>
    <w:p w14:paraId="18AA296F">
      <w:pPr>
        <w:pStyle w:val="12"/>
        <w:spacing w:line="360" w:lineRule="auto"/>
        <w:outlineLvl w:val="2"/>
        <w:rPr>
          <w:rFonts w:hint="eastAsia" w:ascii="仿宋" w:hAnsi="仿宋" w:eastAsia="仿宋" w:cs="仿宋"/>
          <w:sz w:val="24"/>
          <w:szCs w:val="24"/>
        </w:rPr>
      </w:pPr>
      <w:bookmarkStart w:id="24" w:name="_Toc22017"/>
      <w:r>
        <w:rPr>
          <w:rFonts w:hint="eastAsia" w:ascii="仿宋" w:hAnsi="仿宋" w:eastAsia="仿宋" w:cs="仿宋"/>
          <w:b/>
          <w:sz w:val="24"/>
          <w:szCs w:val="24"/>
        </w:rPr>
        <w:t>2.3招标文件</w:t>
      </w:r>
      <w:bookmarkEnd w:id="24"/>
    </w:p>
    <w:p w14:paraId="14102159">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 xml:space="preserve"> 2.3.1招标文件的构成</w:t>
      </w:r>
    </w:p>
    <w:p w14:paraId="72A02FC4">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一、招标文件是投标人准备投标文件和参加投标的依据，同时也是资格审查、评标的重要依据。招标文件用以阐明招标项目所需的资质、技术、服务及报价等要求、招标投标程序、有关规定和注意事项以及合同主要条款等。本招标文件包括以下内容：</w:t>
      </w:r>
    </w:p>
    <w:p w14:paraId="4C94D72A">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（一）投标邀请；</w:t>
      </w:r>
    </w:p>
    <w:p w14:paraId="31021983">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（二）投标人须知；</w:t>
      </w:r>
    </w:p>
    <w:p w14:paraId="762E3094">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（三）招标项目技术、服务、商务及其他要求；</w:t>
      </w:r>
    </w:p>
    <w:p w14:paraId="3CBB5D93">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（四）资格审查；</w:t>
      </w:r>
    </w:p>
    <w:p w14:paraId="51FF33A4">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（五）评标办法；</w:t>
      </w:r>
    </w:p>
    <w:p w14:paraId="51B8A3D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（六）投标文件格式；</w:t>
      </w:r>
    </w:p>
    <w:p w14:paraId="53A0F3F9">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（七）拟签订采购合同文本。</w:t>
      </w:r>
    </w:p>
    <w:p w14:paraId="29FB1C2C">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二、投标人应认真阅读和充分理解招标文件中所有的事项、格式条款和规范要求。投标人没有对招标文件全面做出实质性响应所产生的风险由投标人承担。</w:t>
      </w:r>
    </w:p>
    <w:p w14:paraId="7CC26265">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 xml:space="preserve"> 2.3.2招标文件的澄清和修改</w:t>
      </w:r>
    </w:p>
    <w:p w14:paraId="684B1AC2">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一、在投标文件提交截止时间前，采购人或者代理机构可以对已发出的招标文件进行必要的澄清或者修改。</w:t>
      </w:r>
    </w:p>
    <w:p w14:paraId="27D91959">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二、澄清或者修改的内容为招标文件的组成部分，采购人或者代理机构将在陕西省政府采购网发布更正公告，投标人应及时关注本项目更正公告信息，按更正后公告要求进行响应。更正内容可能影响投标文件编制的，采购人或者代理机构将通过项目电子化交易系统发布更正后的招标文件，投标人应依据更正后的招标文件编制投标文件。若投标人未按前述要求进行投标响应的，自行承担不利后果。</w:t>
      </w:r>
    </w:p>
    <w:p w14:paraId="309AA78E">
      <w:pPr>
        <w:pStyle w:val="12"/>
        <w:spacing w:line="360" w:lineRule="auto"/>
        <w:outlineLvl w:val="2"/>
        <w:rPr>
          <w:rFonts w:hint="eastAsia" w:ascii="仿宋" w:hAnsi="仿宋" w:eastAsia="仿宋" w:cs="仿宋"/>
          <w:sz w:val="24"/>
          <w:szCs w:val="24"/>
        </w:rPr>
      </w:pPr>
      <w:bookmarkStart w:id="25" w:name="_Toc3494"/>
      <w:r>
        <w:rPr>
          <w:rFonts w:hint="eastAsia" w:ascii="仿宋" w:hAnsi="仿宋" w:eastAsia="仿宋" w:cs="仿宋"/>
          <w:b/>
          <w:sz w:val="24"/>
          <w:szCs w:val="24"/>
        </w:rPr>
        <w:t>2.4投标文件</w:t>
      </w:r>
      <w:bookmarkEnd w:id="25"/>
    </w:p>
    <w:p w14:paraId="0CDAA88E">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 xml:space="preserve"> 2.4.1投标文件的语言</w:t>
      </w:r>
    </w:p>
    <w:p w14:paraId="79A5C167">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一、投标人提交的投标文件以及投标人与采购人或代理机构就有关投标的所有来往书面文件均须使用中文。投标文件中如附有外文资料，主要部分要对应翻译成中文并附在相关外文资料后面。未翻译的外文资料，评标委员会将其视为无效材料。</w:t>
      </w:r>
    </w:p>
    <w:p w14:paraId="6EF87D45">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二、翻译的中文资料与外文资料如果出现差异和矛盾时，以中文为准。涉嫌提供虚假材料的按照相关法律法规处理。</w:t>
      </w:r>
    </w:p>
    <w:p w14:paraId="017611A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三、如因未翻译而造成对投标人的不利后果，由投标人承担。</w:t>
      </w:r>
    </w:p>
    <w:p w14:paraId="3E1530DE">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2.4.2计量单位</w:t>
      </w:r>
    </w:p>
    <w:p w14:paraId="7B0CEB5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除招标文件中另有规定外，本项目均采用国家法定的计量单位。</w:t>
      </w:r>
    </w:p>
    <w:p w14:paraId="257E12BD">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2.4.3投标货币</w:t>
      </w:r>
    </w:p>
    <w:p w14:paraId="2792065F">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本次项目均以人民币报价。</w:t>
      </w:r>
    </w:p>
    <w:p w14:paraId="51FA2C69">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 xml:space="preserve"> 2.4.4知识产权</w:t>
      </w:r>
    </w:p>
    <w:p w14:paraId="61F803CE">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一、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14:paraId="5038E98D">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二、投标人将在采购项目实施过程中采用自有或者第三方知识成果的，使用该知识成果后，投标人需提供开发接口和开发手册等技术资料，并承诺提供无限期支持，采购人享有使用权（含采购人委托第三方在该项目后续开发的使用权）。</w:t>
      </w:r>
    </w:p>
    <w:p w14:paraId="08C23DFB">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三、如采用投标人所不拥有的知识产权，则在投标报价中必须包括合法使用该知识产权的相关费用。</w:t>
      </w:r>
    </w:p>
    <w:p w14:paraId="4B83F36D">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2.4.5投标文件的组成</w:t>
      </w:r>
    </w:p>
    <w:p w14:paraId="5C11BF44">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投标人应当按照招标文件的要求编制投标文件。投标文件应当对招标文件提出的要求和条件作出明确响应。</w:t>
      </w:r>
    </w:p>
    <w:p w14:paraId="28CE7A5C">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投标文件具体内容详见第六章。</w:t>
      </w:r>
    </w:p>
    <w:p w14:paraId="01A18EE5">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 xml:space="preserve"> 2.4.6投标文件格式</w:t>
      </w:r>
    </w:p>
    <w:p w14:paraId="70FE2B4A">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一、投标人应按照招标文件第六章中提供的“投标文件格式”填写相关内容。</w:t>
      </w:r>
    </w:p>
    <w:p w14:paraId="29CFC53C">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二、对于没有格式要求的投标文件由投标人自行编写。</w:t>
      </w:r>
    </w:p>
    <w:p w14:paraId="5E64D762">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2.4.7投标报价（实质性要求）</w:t>
      </w:r>
    </w:p>
    <w:p w14:paraId="6BAB35C0">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一、投标人的报价是投标人响应招标项目要 求的全部工作内容的价格体现，包括投标人完成本项目所需的一切费用。</w:t>
      </w:r>
    </w:p>
    <w:p w14:paraId="6E36879B">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二、投标人每种货物及服务内容只允许有一个报价，并且在合同履行过程中是固定不变的，任何有选择或可调整的报价将不予接受，并按无效投标处理。</w:t>
      </w:r>
    </w:p>
    <w:p w14:paraId="106D2ECF">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三、投标文件报价出现前后不一致的，按照招标文件第五章评标办法规定予以修正，修正后的报价经投标人通过项目电子化交易系统进行确认，并加盖投标人（法定名称）电子签章，投标人未在规定时间内确认的，其投标无效。</w:t>
      </w:r>
    </w:p>
    <w:p w14:paraId="60330723">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2.4.8投标有效期（实质性要求）</w:t>
      </w:r>
    </w:p>
    <w:p w14:paraId="0FE439E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投标有效期详见第二章“投标人须知前附表”，投标文件未明确投标有效期或者投标有效期小于“投标人须知前附表”中投标有效期要求的，其投标文件按无效处理。</w:t>
      </w:r>
    </w:p>
    <w:p w14:paraId="3ECD4F08">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 xml:space="preserve"> 2.4.9投标文件的制作、签章和加密（实质性要求）</w:t>
      </w:r>
    </w:p>
    <w:p w14:paraId="1C0E5D2B">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一、投标文件应当根据招标文件进行编制，投标人应通过陕西省政府采购网-办事指南-CA及签章服务下载投标（响应）客户端，使用客户端编制投标文件。</w:t>
      </w:r>
    </w:p>
    <w:p w14:paraId="0E7393A6">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二、投标人应按照客户端操作要求，对应招标文件的每项实质性要求，逐一如实响应；未如实响应或者响应内容不符合招标文件对应项的要求的，其投标文件作无效处理。</w:t>
      </w:r>
    </w:p>
    <w:p w14:paraId="3E54A0C4">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三、投标人完成投标文件编制后，应按照招标文件第一章明确的签章要求，使用互认的证书及签章对投标文件进行电子签章和加密。</w:t>
      </w:r>
    </w:p>
    <w:p w14:paraId="5DFC4515">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四、招标文件澄清或者修改的内容可能影响投标文件编制的，代理机构将重新发布澄清或者修改后的招标文件，投标人应重新获取澄清或者修改后的招标文件，按照澄清或者修改后的招标文件进行投标文件编制、签章和加密。</w:t>
      </w:r>
    </w:p>
    <w:p w14:paraId="4EBB7B3C">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2.4.10投标文件的提交</w:t>
      </w:r>
    </w:p>
    <w:p w14:paraId="640F2CA8">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一、（实质性要求）投标人应当在投标文件提交截止时间前，通过项目电子化交易系统完成投标文件提交。</w:t>
      </w:r>
    </w:p>
    <w:p w14:paraId="78B9757B">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二、在投标文件提交截止时间后，采购人或者代理机构不再接受投标人提交投标文件。投标人应充分考虑影响投标文件提交的各种因素，确保在投标文件提交截止时间前完成提交。</w:t>
      </w:r>
    </w:p>
    <w:p w14:paraId="725A87C0">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2.4.11投标文件的补充、修改、撤回（实质性要求）</w:t>
      </w:r>
    </w:p>
    <w:p w14:paraId="39B86739">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投标文件提交截止时间前，投标人可以补充、修改或者撤回已成功提交的投标文件；对投标文件进行补充、修改的，应当先行撤回已提交的投标文件，补充、修改后重新提交。</w:t>
      </w:r>
    </w:p>
    <w:p w14:paraId="5AB43526">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供应商投标文件撤回后，视为未提交过投标文件。</w:t>
      </w:r>
    </w:p>
    <w:p w14:paraId="1DF9FE2F">
      <w:pPr>
        <w:pStyle w:val="12"/>
        <w:spacing w:line="360" w:lineRule="auto"/>
        <w:outlineLvl w:val="2"/>
        <w:rPr>
          <w:rFonts w:hint="eastAsia" w:ascii="仿宋" w:hAnsi="仿宋" w:eastAsia="仿宋" w:cs="仿宋"/>
          <w:sz w:val="24"/>
          <w:szCs w:val="24"/>
        </w:rPr>
      </w:pPr>
      <w:bookmarkStart w:id="26" w:name="_Toc16297"/>
      <w:r>
        <w:rPr>
          <w:rFonts w:hint="eastAsia" w:ascii="仿宋" w:hAnsi="仿宋" w:eastAsia="仿宋" w:cs="仿宋"/>
          <w:b/>
          <w:sz w:val="24"/>
          <w:szCs w:val="24"/>
        </w:rPr>
        <w:t>2.5开标、资格审查、评标和中标</w:t>
      </w:r>
      <w:bookmarkEnd w:id="26"/>
    </w:p>
    <w:p w14:paraId="5B7344E4">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2.5.1开标及开标程序</w:t>
      </w:r>
    </w:p>
    <w:p w14:paraId="68234F72">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一、本项目为网上开标项目。网上开标的开始时间为投标文件提交截止时间。成功提交或解密电子投标文件的投标人不足3家的，不予开标，采购人或代理机构将作废标处理。</w:t>
      </w:r>
    </w:p>
    <w:p w14:paraId="63DD4828">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二、开标准备工作</w:t>
      </w:r>
    </w:p>
    <w:p w14:paraId="0BD0C7B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开标/开启前30分钟内，供应商需登录项目电子化交易系统-“供应商开标大厅”-进入开标选择对应项目包组操作签到，签到完成后等待代理机构开标/开启。</w:t>
      </w:r>
    </w:p>
    <w:p w14:paraId="5CDE5714">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三、解密投标文件（实质性要求）</w:t>
      </w:r>
    </w:p>
    <w:p w14:paraId="45CA19D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投标文件提交截止时间后，成功提交投标文件的投标人符合招标文件规定数量的，代理机构将启动投标文件解密程序，解密时间为30分钟；投标人应在规定的解密时间内，使用互认的证书及签章通过项目电子化采购系统进行投标文件解密。</w:t>
      </w:r>
    </w:p>
    <w:p w14:paraId="16CE89D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四、开标</w:t>
      </w:r>
    </w:p>
    <w:p w14:paraId="1B596F92">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解密时间截止或者所有投标人投标文件均完成解密后（以发生在先的时间为准），由代理机构通过项目电子化交易系统对投标人名称、投标文件解密情况、投标报价进行展示。</w:t>
      </w:r>
    </w:p>
    <w:p w14:paraId="3DE5F329">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开标过程中，各方主体均应遵守互联网有关规定，不得发表与采购活动无关的言论。投标人对开标过程和开标记录有疑义，以及认为采购人或代理机构相关工作人员有需要回避的情形的，及时向工作人员提出询问或者回避申请。采购人或代理机构对投标人提出的询问或者回避申请应当及时处理。</w:t>
      </w:r>
    </w:p>
    <w:p w14:paraId="1D23CB6B">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投标人完成投标文件解密后，自主决定是否参加网上在线开标，未参加的，视同认可开标结果。</w:t>
      </w:r>
    </w:p>
    <w:p w14:paraId="57ADE7EA">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2.5.2查询及使用信用记录</w:t>
      </w:r>
    </w:p>
    <w:p w14:paraId="35996DA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开标结束后，采购人或代理机构根据《关于在政府采购活动中查询及使用信用记录有关问题的通知》（财库〔2016〕125号）的要求，通过“信用中国”网站（www.creditchina.gov.cn）、“中国政府采购网”网站（www.ccgp.gov.cn）等渠道，查询投标人在投标文件提交截止时间前的信用记录并保存信用记录结果网页截图，拒绝列入失信被执行人名单、重大税收违法案件当事人名单、政府采购严重违法失信行为记录名单中的供应商参加本项目的采购活动。</w:t>
      </w:r>
    </w:p>
    <w:p w14:paraId="42125AF9">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两个以上的自然人、法人或者其他组织组成一个联合体，以一个投标人的身份共同参加政府采购活动的，将对所有联合体成员进行信用记录查询，联合体成员存在不良信用记录的，视同联合体存在不良信用记录。</w:t>
      </w:r>
    </w:p>
    <w:p w14:paraId="1A440245">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2.5.3资格审查</w:t>
      </w:r>
    </w:p>
    <w:p w14:paraId="4B2EB03E">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详见招标文件第四章。</w:t>
      </w:r>
    </w:p>
    <w:p w14:paraId="7346C54E">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2.5.4评标</w:t>
      </w:r>
    </w:p>
    <w:p w14:paraId="4345776D">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详见招标文件第五章。</w:t>
      </w:r>
    </w:p>
    <w:p w14:paraId="1ADCAE13">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2.5.5中标通知书</w:t>
      </w:r>
    </w:p>
    <w:p w14:paraId="077DCE0A">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一、采购人或者评标委员会确认中标供应商后，代理机构在陕西省政府采购网发布中标结果公告、通过项目电子化交易系统发出中标通知书，中标供应商通过项目电子化交易系统获取中标通知书。</w:t>
      </w:r>
    </w:p>
    <w:p w14:paraId="328CB49B">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二、中标通知书是采购人和中标供应商签订政府采购合同的依据，是合同的有效组成部分。如果出现政府采购法律法规、规章制度规定的中标无效情形的，将以公告形式宣布发出的中标通知书无效，中标通知书将自动失效，并依法重新确定中标供应商或者重新开展采购活动。</w:t>
      </w:r>
    </w:p>
    <w:p w14:paraId="25F9446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三、中标通知书对采购人和中标供应商均具有法律效力。</w:t>
      </w:r>
    </w:p>
    <w:p w14:paraId="52DA9A10">
      <w:pPr>
        <w:pStyle w:val="12"/>
        <w:spacing w:line="360" w:lineRule="auto"/>
        <w:outlineLvl w:val="2"/>
        <w:rPr>
          <w:rFonts w:hint="eastAsia" w:ascii="仿宋" w:hAnsi="仿宋" w:eastAsia="仿宋" w:cs="仿宋"/>
          <w:sz w:val="24"/>
          <w:szCs w:val="24"/>
        </w:rPr>
      </w:pPr>
      <w:bookmarkStart w:id="27" w:name="_Toc26300"/>
      <w:r>
        <w:rPr>
          <w:rFonts w:hint="eastAsia" w:ascii="仿宋" w:hAnsi="仿宋" w:eastAsia="仿宋" w:cs="仿宋"/>
          <w:b/>
          <w:sz w:val="24"/>
          <w:szCs w:val="24"/>
        </w:rPr>
        <w:t>2.6签订及履行合同和验收</w:t>
      </w:r>
      <w:bookmarkEnd w:id="27"/>
    </w:p>
    <w:p w14:paraId="600CAEC7">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 xml:space="preserve"> 2.6.1签订合同</w:t>
      </w:r>
    </w:p>
    <w:p w14:paraId="094A165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一、采购人应在中标通知书发出之日起三十日内与中标人签订采购合同。</w:t>
      </w:r>
    </w:p>
    <w:p w14:paraId="7F5654DD">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二、采购人和中标人签订的采购合同不得对招标文件确定的事项以及中标人的投标文件作实质性修改。</w:t>
      </w:r>
    </w:p>
    <w:p w14:paraId="1399690A">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2.6.2合同分包和转包（实质性要求）</w:t>
      </w:r>
    </w:p>
    <w:p w14:paraId="4105DD27">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2.6.2.1合同分包</w:t>
      </w:r>
    </w:p>
    <w:p w14:paraId="0D8A4F98">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一、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品牌、规格型号及技术要求一致。</w:t>
      </w:r>
    </w:p>
    <w:p w14:paraId="4ECA8F4F">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二、分包履行合同的部分应当为采购项目的非主体、非关键性工作，不属于中标人的主要合同义务。</w:t>
      </w:r>
    </w:p>
    <w:p w14:paraId="6D200049">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三、采购合同实行分包履行的，中标人就采购项目和分包项目向采购人负责，分包供应商就分包项目承担责任。</w:t>
      </w:r>
    </w:p>
    <w:p w14:paraId="3FB976E4">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四、中小企业依据《政府采购促进中小企业发展管理办法》（财库〔2020〕46号）规定的政策获取政府采购合同后，小型、微型企业不得将合同分包或转包给大型、中型企业，中型企业不得将合同分包或转包给大型企业。</w:t>
      </w:r>
    </w:p>
    <w:p w14:paraId="12745DA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采购包1：不允许合同分包。</w:t>
      </w:r>
    </w:p>
    <w:p w14:paraId="598FB50C">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2.6.2.2合同转包</w:t>
      </w:r>
    </w:p>
    <w:p w14:paraId="590951BC">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一、严禁中标人将本项目转包。本项目所称转包，是指将本项目转给他人或者将本项目全部肢解以后以分包的名义分别转给他人的行为。</w:t>
      </w:r>
    </w:p>
    <w:p w14:paraId="6A80EFD6">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二、中标人转包的，视同拒绝履行政府采购合同，将依法追究法律责任。</w:t>
      </w:r>
    </w:p>
    <w:p w14:paraId="3C805E65">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2.6.3采购人增加合同标的的权利</w:t>
      </w:r>
    </w:p>
    <w:p w14:paraId="0233C31F">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6DB771A1">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2.6.4履行合同</w:t>
      </w:r>
    </w:p>
    <w:p w14:paraId="7119AD4D">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一、合同一经签订，双方应严格履行合同规定的义务。</w:t>
      </w:r>
    </w:p>
    <w:p w14:paraId="3FB4DBC8">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二、在合同履行过程中，如发生合同纠纷，合同双方应按照《中华人民共和国民法典》规定及合同条款约定进行处理。</w:t>
      </w:r>
    </w:p>
    <w:p w14:paraId="77B1B2DD">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 xml:space="preserve"> 2.6.5履约验收方案</w:t>
      </w:r>
    </w:p>
    <w:p w14:paraId="70F3CE5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w:t>
      </w:r>
    </w:p>
    <w:p w14:paraId="5D31149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产品质量必须符合国家有关规范和相关政策。 1.项目验收分初验和终验: 初验：产品交付后，由使用单位根据合同对产品的名称、品牌、规格、型号等进行检查。终验：产品安装、调试完毕，正常使用10个日历日后，由采购人进行终验（最终验收）。 2.验收不合格的中标单位，必须在接到通知后7个日历日内确保产品通过验收。如接到通知后7个日历日内验收仍不合格，采购人可提出索赔或取消其供货合同。 3.验收依据： 3.1合同文本及合同补充文件（条款）； 3.2产品的合法来源渠道证明文件、响应功能证明材料； 3.3招标文件； 3.4中标人的投标文件； 3.5产品清单； 3.6生产厂家的企业资质、产品的执行标准。</w:t>
      </w:r>
    </w:p>
    <w:p w14:paraId="04CEEC91">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2.6.6资金支付</w:t>
      </w:r>
    </w:p>
    <w:p w14:paraId="32231972">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采购人按财政部门的相关规定及采购合同的约定进行支付。</w:t>
      </w:r>
    </w:p>
    <w:p w14:paraId="191C1C7A">
      <w:pPr>
        <w:pStyle w:val="12"/>
        <w:spacing w:line="360" w:lineRule="auto"/>
        <w:outlineLvl w:val="2"/>
        <w:rPr>
          <w:rFonts w:hint="eastAsia" w:ascii="仿宋" w:hAnsi="仿宋" w:eastAsia="仿宋" w:cs="仿宋"/>
          <w:sz w:val="24"/>
          <w:szCs w:val="24"/>
        </w:rPr>
      </w:pPr>
      <w:bookmarkStart w:id="28" w:name="_Toc8798"/>
      <w:r>
        <w:rPr>
          <w:rFonts w:hint="eastAsia" w:ascii="仿宋" w:hAnsi="仿宋" w:eastAsia="仿宋" w:cs="仿宋"/>
          <w:b/>
          <w:sz w:val="24"/>
          <w:szCs w:val="24"/>
        </w:rPr>
        <w:t>2.7纪律要求</w:t>
      </w:r>
      <w:bookmarkEnd w:id="28"/>
    </w:p>
    <w:p w14:paraId="615FE1F2">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 xml:space="preserve"> 2.7.1评标活动纪律要求</w:t>
      </w:r>
    </w:p>
    <w:p w14:paraId="0E7EA8A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采购人、代理机构应保证评标活动在严格保密的情况下进行，采购人、代理机构、投标人和评标委员会成员应当严格遵守政府采购法律法规规章制度和本项目招标文件以及代理机构现场管理规定，接受采购人委派的监督人员的监督，任何单位和个人不得非法干预和影响评标过程和结果。对各投标人的商业秘密，评标委员会成员应予以保密，不得泄露给其他投标人。</w:t>
      </w:r>
    </w:p>
    <w:p w14:paraId="7F918D9F">
      <w:pPr>
        <w:pStyle w:val="12"/>
        <w:spacing w:line="360" w:lineRule="auto"/>
        <w:ind w:firstLine="480"/>
        <w:jc w:val="left"/>
        <w:rPr>
          <w:rFonts w:hint="eastAsia" w:ascii="仿宋" w:hAnsi="仿宋" w:eastAsia="仿宋" w:cs="仿宋"/>
          <w:sz w:val="24"/>
          <w:szCs w:val="24"/>
        </w:rPr>
      </w:pPr>
      <w:r>
        <w:rPr>
          <w:rFonts w:hint="eastAsia" w:ascii="仿宋" w:hAnsi="仿宋" w:eastAsia="仿宋" w:cs="仿宋"/>
          <w:sz w:val="24"/>
          <w:szCs w:val="24"/>
        </w:rPr>
        <w:t>对各投标人的商业秘密，评标委员会成员应予以保密，不得泄露给其他投标人。</w:t>
      </w:r>
    </w:p>
    <w:p w14:paraId="17607A3A">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 xml:space="preserve"> 2.7.2投标人不得具有的情形（实质性要求）</w:t>
      </w:r>
    </w:p>
    <w:p w14:paraId="3B77F28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一、有下列情形之一的，视为投标人串通投标：</w:t>
      </w:r>
    </w:p>
    <w:p w14:paraId="12A17F42">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（一）不同投标人的投标文件由同一单位或者个人编制；</w:t>
      </w:r>
    </w:p>
    <w:p w14:paraId="1F7D6DA4">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（二）不同投标人委托同一单位或者个人办理投标事宜；</w:t>
      </w:r>
    </w:p>
    <w:p w14:paraId="53FC0BEE">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（三）不同投标人的投标文件载明的项目管理成员或者联系人员为同一人；</w:t>
      </w:r>
    </w:p>
    <w:p w14:paraId="5361D095">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（四）不同投标人的投标文件异常一致或者投标报价呈规律性差异；</w:t>
      </w:r>
    </w:p>
    <w:p w14:paraId="7B971B7E">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（五）不同投标人的投标文件相互混装。</w:t>
      </w:r>
    </w:p>
    <w:p w14:paraId="20BA877F">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二、提供虚假材料谋取中标；</w:t>
      </w:r>
    </w:p>
    <w:p w14:paraId="5522EDF7">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三、采取不正当手段诋毁、排挤其他投标人；</w:t>
      </w:r>
    </w:p>
    <w:p w14:paraId="14B0864C">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四、与采购人或代理机构、其他投标人恶意串通；</w:t>
      </w:r>
    </w:p>
    <w:p w14:paraId="62E3A91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五、向采购人或代理机构、评标委员会成员行贿或者提供其他不正当利益；</w:t>
      </w:r>
    </w:p>
    <w:p w14:paraId="1889971B">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六、在招标过程中与采购人或代理机构进行协商谈判；</w:t>
      </w:r>
    </w:p>
    <w:p w14:paraId="4ADF915F">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七、中标后无正当理由拒不与采购人签订政府采购合同；</w:t>
      </w:r>
    </w:p>
    <w:p w14:paraId="6C4AC186">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八、未按照采购文件确定的事项签订政府采购合同；</w:t>
      </w:r>
    </w:p>
    <w:p w14:paraId="04291F90">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九、将政府采购合同转包或者违规分包；</w:t>
      </w:r>
    </w:p>
    <w:p w14:paraId="753B3B9D">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十、提供假冒伪劣产品；</w:t>
      </w:r>
    </w:p>
    <w:p w14:paraId="550EE666">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十一、擅自变更、中止或者终止政府采购合同；</w:t>
      </w:r>
    </w:p>
    <w:p w14:paraId="0731312B">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十二、拒绝有关部门的监督检查或者向监督检查部门提供虚假情况；</w:t>
      </w:r>
    </w:p>
    <w:p w14:paraId="5C7829C8">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十三、法律法规规定的其他禁止情形。</w:t>
      </w:r>
    </w:p>
    <w:p w14:paraId="7F843AA6">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投标人有上述情形的，按照规定追究法律责任，具备一至十一条情形之一的，其投标文件无效，或取消被确认为中标供应商的资格或认定中标无效。</w:t>
      </w:r>
    </w:p>
    <w:p w14:paraId="7536068D">
      <w:pPr>
        <w:pStyle w:val="12"/>
        <w:spacing w:line="360" w:lineRule="auto"/>
        <w:outlineLvl w:val="2"/>
        <w:rPr>
          <w:rFonts w:hint="eastAsia" w:ascii="仿宋" w:hAnsi="仿宋" w:eastAsia="仿宋" w:cs="仿宋"/>
          <w:sz w:val="24"/>
          <w:szCs w:val="24"/>
        </w:rPr>
      </w:pPr>
      <w:bookmarkStart w:id="29" w:name="_Toc25686"/>
      <w:r>
        <w:rPr>
          <w:rFonts w:hint="eastAsia" w:ascii="仿宋" w:hAnsi="仿宋" w:eastAsia="仿宋" w:cs="仿宋"/>
          <w:b/>
          <w:sz w:val="24"/>
          <w:szCs w:val="24"/>
        </w:rPr>
        <w:t>2.8询问、质疑和投诉</w:t>
      </w:r>
      <w:bookmarkEnd w:id="29"/>
    </w:p>
    <w:p w14:paraId="1F1D20B7">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一、询问、质疑、投诉的接收和处理严格按照《中华人民共和国政府采购法》《中华人民共和国政府采购法实施条例》《政府采购质疑和投诉办法》等规定办理。</w:t>
      </w:r>
    </w:p>
    <w:p w14:paraId="1EB2C23D">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二、供应商询问、质疑的答复主体：</w:t>
      </w:r>
    </w:p>
    <w:p w14:paraId="3FBBE198">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根据委托代理协议约定，供应商对招标文件中采购需求的询问、质疑由 华春建设工程项目管理有限责任公司 负责答复；供应商对除采购需求外的采购文件的询问、质疑由华春建设工程项目管理有限责任公司 负责答复；供应商对采购过程、采购结果的询问、质疑由 华春建设工程项目管理有限责任公司 负责答复。</w:t>
      </w:r>
    </w:p>
    <w:p w14:paraId="3AD15A32">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三、供应商提出的询问，应当明确询问事项，如以书面形式提出的，应由供应商签字并加盖公章。</w:t>
      </w:r>
    </w:p>
    <w:p w14:paraId="465D7F7D">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为提高采购效率，降低社会成本，鼓励询问主体对于不损害国家及社会利益或自身合法权益的问题或情形采用询问方式处理解决（包含但不限于文字错误、标点符号、不影响投标文件的编制的情形）。</w:t>
      </w:r>
    </w:p>
    <w:p w14:paraId="7CD4E326">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四、供应商认为采购文件、采购过程、中标或者成交结果使自己的权益受到损害的，可以在知道或者应知其权益受到损害之日起7个工作日内，以书面形式向采购人、代理机构提出质疑。供应商应在法定质疑期内一次性提出针对同一采购程序环节的质疑。供应商应知其权益受到损害之日，是指：</w:t>
      </w:r>
    </w:p>
    <w:p w14:paraId="55F2BBFE">
      <w:pPr>
        <w:pStyle w:val="12"/>
        <w:spacing w:line="360" w:lineRule="auto"/>
        <w:jc w:val="left"/>
        <w:rPr>
          <w:rFonts w:hint="eastAsia" w:ascii="仿宋" w:hAnsi="仿宋" w:eastAsia="仿宋" w:cs="仿宋"/>
          <w:sz w:val="24"/>
          <w:szCs w:val="24"/>
        </w:rPr>
      </w:pPr>
      <w:r>
        <w:rPr>
          <w:rFonts w:hint="eastAsia" w:ascii="仿宋" w:hAnsi="仿宋" w:eastAsia="仿宋" w:cs="仿宋"/>
          <w:sz w:val="24"/>
          <w:szCs w:val="24"/>
        </w:rPr>
        <w:t>（一）对可以质疑的采购文件提出质疑的，为收到采购文件之日或者采购文件公告期限届满之日</w:t>
      </w:r>
    </w:p>
    <w:p w14:paraId="5915B9B9">
      <w:pPr>
        <w:pStyle w:val="12"/>
        <w:spacing w:line="360" w:lineRule="auto"/>
        <w:jc w:val="left"/>
        <w:rPr>
          <w:rFonts w:hint="eastAsia" w:ascii="仿宋" w:hAnsi="仿宋" w:eastAsia="仿宋" w:cs="仿宋"/>
          <w:sz w:val="24"/>
          <w:szCs w:val="24"/>
        </w:rPr>
      </w:pPr>
      <w:r>
        <w:rPr>
          <w:rFonts w:hint="eastAsia" w:ascii="仿宋" w:hAnsi="仿宋" w:eastAsia="仿宋" w:cs="仿宋"/>
          <w:sz w:val="24"/>
          <w:szCs w:val="24"/>
        </w:rPr>
        <w:t>（二）对采购过程提出质疑的，为各采购程序环节结束之日；</w:t>
      </w:r>
    </w:p>
    <w:p w14:paraId="5349F93C">
      <w:pPr>
        <w:pStyle w:val="12"/>
        <w:spacing w:line="360" w:lineRule="auto"/>
        <w:jc w:val="left"/>
        <w:rPr>
          <w:rFonts w:hint="eastAsia" w:ascii="仿宋" w:hAnsi="仿宋" w:eastAsia="仿宋" w:cs="仿宋"/>
          <w:sz w:val="24"/>
          <w:szCs w:val="24"/>
        </w:rPr>
      </w:pPr>
      <w:r>
        <w:rPr>
          <w:rFonts w:hint="eastAsia" w:ascii="仿宋" w:hAnsi="仿宋" w:eastAsia="仿宋" w:cs="仿宋"/>
          <w:sz w:val="24"/>
          <w:szCs w:val="24"/>
        </w:rPr>
        <w:t>（三）对中标或者成交结果提出质疑的，为中标或者成交结果公告期限届满之日。</w:t>
      </w:r>
    </w:p>
    <w:p w14:paraId="2B6D7ED7">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五、本项目不接受在线提交质疑，供应商通过书面形式线下向采购人或代理机构提交质疑资料。</w:t>
      </w:r>
    </w:p>
    <w:p w14:paraId="193DF1B8">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六、供应商提出质疑时应当准备的资料</w:t>
      </w:r>
    </w:p>
    <w:p w14:paraId="2E778112">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（一）质疑书正本1份；（政府采购供应商质疑函范本详见附件一）</w:t>
      </w:r>
    </w:p>
    <w:p w14:paraId="68218609">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（二）法定代表人或主要负责人授权委托书1份（委托代理人办理质疑事宜的需提供）；</w:t>
      </w:r>
    </w:p>
    <w:p w14:paraId="7676235F">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（三）法定代表人或主要负责人身份证复印件1份；</w:t>
      </w:r>
    </w:p>
    <w:p w14:paraId="20F61445">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（四）委托代理人身份证复印件1份（委托代理人办理质疑事宜的需提供）；</w:t>
      </w:r>
    </w:p>
    <w:p w14:paraId="51AF38C5">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（五）针对质疑事项必要的证明材料（针对招标文件提出的质疑，需提交从项目电子化交易系统获取的招标文件回执单）。</w:t>
      </w:r>
    </w:p>
    <w:p w14:paraId="1FD74D9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答复主体：代理机构</w:t>
      </w:r>
    </w:p>
    <w:p w14:paraId="17FA55C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联系人：解征、冯建正</w:t>
      </w:r>
    </w:p>
    <w:p w14:paraId="4E1F957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联系电话：18629060219</w:t>
      </w:r>
    </w:p>
    <w:p w14:paraId="38147D0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地址：西安市南二环西段成长大厦8楼</w:t>
      </w:r>
    </w:p>
    <w:p w14:paraId="3CC25A7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邮编：710000</w:t>
      </w:r>
    </w:p>
    <w:p w14:paraId="3089046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注：根据《中华人民共和国政府采购法》的规定，供应商质疑不得超出采购文件、采购过程、采购结果的范围。</w:t>
      </w:r>
    </w:p>
    <w:p w14:paraId="61FAF50D">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七、供应商对采购人或代理机构的质疑答复不满意，或者采购人或代理机构未在规定期限内作出答复的，供应商可以在答复期满后15个工作日内向同级财政部门提起投诉。</w:t>
      </w:r>
    </w:p>
    <w:p w14:paraId="4D1B6834">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投诉受理单位：本采购项目同级财政部门。（政府采购供应商投诉书范本详见附件二）</w:t>
      </w:r>
    </w:p>
    <w:p w14:paraId="3015848D">
      <w:pPr>
        <w:pStyle w:val="12"/>
        <w:rPr>
          <w:rFonts w:hint="eastAsia" w:ascii="仿宋" w:hAnsi="仿宋" w:eastAsia="仿宋" w:cs="仿宋"/>
        </w:rPr>
      </w:pPr>
      <w:r>
        <w:rPr>
          <w:rFonts w:hint="eastAsia" w:ascii="仿宋" w:hAnsi="仿宋" w:eastAsia="仿宋" w:cs="仿宋"/>
        </w:rPr>
        <w:t xml:space="preserve"> </w:t>
      </w:r>
      <w:r>
        <w:rPr>
          <w:rFonts w:hint="eastAsia" w:ascii="仿宋" w:hAnsi="仿宋" w:eastAsia="仿宋" w:cs="仿宋"/>
        </w:rPr>
        <w:br w:type="textWrapping"/>
      </w:r>
      <w:r>
        <w:rPr>
          <w:rFonts w:hint="eastAsia" w:ascii="仿宋" w:hAnsi="仿宋" w:eastAsia="仿宋" w:cs="仿宋"/>
        </w:rPr>
        <w:br w:type="page"/>
      </w:r>
    </w:p>
    <w:p w14:paraId="781BD27C">
      <w:pPr>
        <w:pStyle w:val="12"/>
        <w:jc w:val="center"/>
        <w:outlineLvl w:val="1"/>
        <w:rPr>
          <w:rFonts w:hint="eastAsia" w:ascii="仿宋" w:hAnsi="仿宋" w:eastAsia="仿宋" w:cs="仿宋"/>
        </w:rPr>
      </w:pPr>
      <w:bookmarkStart w:id="30" w:name="_Toc27012"/>
      <w:r>
        <w:rPr>
          <w:rFonts w:hint="eastAsia" w:ascii="仿宋" w:hAnsi="仿宋" w:eastAsia="仿宋" w:cs="仿宋"/>
          <w:b/>
          <w:sz w:val="36"/>
        </w:rPr>
        <w:t>第三章 招标项目技术、服务、商务及其他要求</w:t>
      </w:r>
      <w:bookmarkEnd w:id="30"/>
    </w:p>
    <w:p w14:paraId="740DFC57">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注：当采购包的评标方法为综合评分法时带“★”的参数需求为实质性要求，供应商必须响应并满足的参数需求，采购人、采购代理机构应当根据项目实际需求合理设定，并明确具体要求。带“▲”号条款为允许负偏离的参数需求，若未响应或者不满足，将在综合评审中予以扣分处理。）</w:t>
      </w:r>
    </w:p>
    <w:p w14:paraId="631B348C">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（注：当采购包的评标方法为最低评标价法时带“★”的参数需求为实质性要求，供应商必须响应并满足的参数需求，采购人、采购代理机构应当根据项目实际需求合理设定，并明确具体要求。）</w:t>
      </w:r>
    </w:p>
    <w:p w14:paraId="2FBCC6C1">
      <w:pPr>
        <w:pStyle w:val="12"/>
        <w:spacing w:line="360" w:lineRule="auto"/>
        <w:outlineLvl w:val="2"/>
        <w:rPr>
          <w:rFonts w:hint="eastAsia" w:ascii="仿宋" w:hAnsi="仿宋" w:eastAsia="仿宋" w:cs="仿宋"/>
          <w:sz w:val="24"/>
          <w:szCs w:val="24"/>
        </w:rPr>
      </w:pPr>
      <w:bookmarkStart w:id="31" w:name="_Toc15278"/>
      <w:r>
        <w:rPr>
          <w:rFonts w:hint="eastAsia" w:ascii="仿宋" w:hAnsi="仿宋" w:eastAsia="仿宋" w:cs="仿宋"/>
          <w:b/>
          <w:sz w:val="24"/>
          <w:szCs w:val="24"/>
        </w:rPr>
        <w:t>3.1采购项目概况</w:t>
      </w:r>
      <w:bookmarkEnd w:id="31"/>
    </w:p>
    <w:p w14:paraId="09228497">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财务云共享中心。</w:t>
      </w:r>
    </w:p>
    <w:p w14:paraId="354A8F6F">
      <w:pPr>
        <w:pStyle w:val="12"/>
        <w:spacing w:line="360" w:lineRule="auto"/>
        <w:outlineLvl w:val="2"/>
        <w:rPr>
          <w:rFonts w:hint="eastAsia" w:ascii="仿宋" w:hAnsi="仿宋" w:eastAsia="仿宋" w:cs="仿宋"/>
          <w:sz w:val="24"/>
          <w:szCs w:val="24"/>
        </w:rPr>
      </w:pPr>
      <w:bookmarkStart w:id="32" w:name="_Toc5955"/>
      <w:r>
        <w:rPr>
          <w:rFonts w:hint="eastAsia" w:ascii="仿宋" w:hAnsi="仿宋" w:eastAsia="仿宋" w:cs="仿宋"/>
          <w:b/>
          <w:sz w:val="24"/>
          <w:szCs w:val="24"/>
        </w:rPr>
        <w:t>3.2采购内容</w:t>
      </w:r>
      <w:bookmarkEnd w:id="32"/>
    </w:p>
    <w:p w14:paraId="3D04F45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w:t>
      </w:r>
    </w:p>
    <w:p w14:paraId="7FA587E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采购包预算金额（元）: 800,000.00</w:t>
      </w:r>
    </w:p>
    <w:p w14:paraId="0EA11BE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采购包最高限价（元）: 800,000.00</w:t>
      </w:r>
    </w:p>
    <w:p w14:paraId="38AEED8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供应商报价不允许超过标的金额</w:t>
      </w:r>
    </w:p>
    <w:p w14:paraId="1BE7126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（招单价的）供应商报价不允许超过标的单价</w:t>
      </w:r>
    </w:p>
    <w:tbl>
      <w:tblPr>
        <w:tblStyle w:val="10"/>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86"/>
        <w:gridCol w:w="786"/>
        <w:gridCol w:w="815"/>
        <w:gridCol w:w="1416"/>
        <w:gridCol w:w="786"/>
        <w:gridCol w:w="786"/>
        <w:gridCol w:w="786"/>
        <w:gridCol w:w="787"/>
        <w:gridCol w:w="787"/>
        <w:gridCol w:w="787"/>
      </w:tblGrid>
      <w:tr w14:paraId="17A1C3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162A663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序号</w:t>
            </w:r>
          </w:p>
        </w:tc>
        <w:tc>
          <w:tcPr>
            <w:tcW w:w="831" w:type="dxa"/>
          </w:tcPr>
          <w:p w14:paraId="0449356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标的名称</w:t>
            </w:r>
          </w:p>
        </w:tc>
        <w:tc>
          <w:tcPr>
            <w:tcW w:w="831" w:type="dxa"/>
          </w:tcPr>
          <w:p w14:paraId="3FA6152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数量</w:t>
            </w:r>
          </w:p>
        </w:tc>
        <w:tc>
          <w:tcPr>
            <w:tcW w:w="831" w:type="dxa"/>
          </w:tcPr>
          <w:p w14:paraId="64EAEDE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标的金额 （元）</w:t>
            </w:r>
          </w:p>
        </w:tc>
        <w:tc>
          <w:tcPr>
            <w:tcW w:w="831" w:type="dxa"/>
          </w:tcPr>
          <w:p w14:paraId="1F0800D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计量单位</w:t>
            </w:r>
          </w:p>
        </w:tc>
        <w:tc>
          <w:tcPr>
            <w:tcW w:w="831" w:type="dxa"/>
          </w:tcPr>
          <w:p w14:paraId="62B583E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所属行业</w:t>
            </w:r>
          </w:p>
        </w:tc>
        <w:tc>
          <w:tcPr>
            <w:tcW w:w="831" w:type="dxa"/>
          </w:tcPr>
          <w:p w14:paraId="2E6E02C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是否核心产品</w:t>
            </w:r>
          </w:p>
        </w:tc>
        <w:tc>
          <w:tcPr>
            <w:tcW w:w="831" w:type="dxa"/>
          </w:tcPr>
          <w:p w14:paraId="207303F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是否允许进口产品</w:t>
            </w:r>
          </w:p>
        </w:tc>
        <w:tc>
          <w:tcPr>
            <w:tcW w:w="831" w:type="dxa"/>
          </w:tcPr>
          <w:p w14:paraId="7636C6A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是否属于节能产品</w:t>
            </w:r>
          </w:p>
        </w:tc>
        <w:tc>
          <w:tcPr>
            <w:tcW w:w="831" w:type="dxa"/>
          </w:tcPr>
          <w:p w14:paraId="1A913F5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是否属于环境标志产品</w:t>
            </w:r>
          </w:p>
        </w:tc>
      </w:tr>
      <w:tr w14:paraId="3DC315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3074023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w:t>
            </w:r>
          </w:p>
        </w:tc>
        <w:tc>
          <w:tcPr>
            <w:tcW w:w="831" w:type="dxa"/>
          </w:tcPr>
          <w:p w14:paraId="6F11100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财务云共享中心</w:t>
            </w:r>
          </w:p>
        </w:tc>
        <w:tc>
          <w:tcPr>
            <w:tcW w:w="831" w:type="dxa"/>
          </w:tcPr>
          <w:p w14:paraId="79C33AC3">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1.00</w:t>
            </w:r>
          </w:p>
        </w:tc>
        <w:tc>
          <w:tcPr>
            <w:tcW w:w="831" w:type="dxa"/>
          </w:tcPr>
          <w:p w14:paraId="5A86AECB">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800,000.00</w:t>
            </w:r>
          </w:p>
        </w:tc>
        <w:tc>
          <w:tcPr>
            <w:tcW w:w="831" w:type="dxa"/>
          </w:tcPr>
          <w:p w14:paraId="0768E3E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套</w:t>
            </w:r>
          </w:p>
        </w:tc>
        <w:tc>
          <w:tcPr>
            <w:tcW w:w="831" w:type="dxa"/>
          </w:tcPr>
          <w:p w14:paraId="30A5E50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软件和信息技术服务业</w:t>
            </w:r>
          </w:p>
        </w:tc>
        <w:tc>
          <w:tcPr>
            <w:tcW w:w="831" w:type="dxa"/>
          </w:tcPr>
          <w:p w14:paraId="292D763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是</w:t>
            </w:r>
          </w:p>
        </w:tc>
        <w:tc>
          <w:tcPr>
            <w:tcW w:w="831" w:type="dxa"/>
          </w:tcPr>
          <w:p w14:paraId="0A5D83F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否</w:t>
            </w:r>
          </w:p>
        </w:tc>
        <w:tc>
          <w:tcPr>
            <w:tcW w:w="831" w:type="dxa"/>
          </w:tcPr>
          <w:p w14:paraId="3195FD8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否</w:t>
            </w:r>
          </w:p>
        </w:tc>
        <w:tc>
          <w:tcPr>
            <w:tcW w:w="831" w:type="dxa"/>
          </w:tcPr>
          <w:p w14:paraId="2A24B6F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否</w:t>
            </w:r>
          </w:p>
        </w:tc>
      </w:tr>
    </w:tbl>
    <w:p w14:paraId="09D5B557">
      <w:pPr>
        <w:pStyle w:val="12"/>
        <w:spacing w:line="360" w:lineRule="auto"/>
        <w:outlineLvl w:val="2"/>
        <w:rPr>
          <w:rFonts w:hint="eastAsia" w:ascii="仿宋" w:hAnsi="仿宋" w:eastAsia="仿宋" w:cs="仿宋"/>
          <w:sz w:val="24"/>
          <w:szCs w:val="24"/>
        </w:rPr>
      </w:pPr>
      <w:bookmarkStart w:id="33" w:name="_Toc26809"/>
      <w:r>
        <w:rPr>
          <w:rFonts w:hint="eastAsia" w:ascii="仿宋" w:hAnsi="仿宋" w:eastAsia="仿宋" w:cs="仿宋"/>
          <w:b/>
          <w:sz w:val="24"/>
          <w:szCs w:val="24"/>
        </w:rPr>
        <w:t>3.3技术要求</w:t>
      </w:r>
      <w:bookmarkEnd w:id="33"/>
    </w:p>
    <w:p w14:paraId="7AB3FFC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w:t>
      </w:r>
    </w:p>
    <w:p w14:paraId="5956AA9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标的名称：财务云共享中心</w:t>
      </w:r>
    </w:p>
    <w:tbl>
      <w:tblPr>
        <w:tblStyle w:val="10"/>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67"/>
        <w:gridCol w:w="715"/>
        <w:gridCol w:w="7140"/>
      </w:tblGrid>
      <w:tr w14:paraId="3C0474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2" w:type="dxa"/>
          </w:tcPr>
          <w:p w14:paraId="37D511B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序号</w:t>
            </w:r>
          </w:p>
        </w:tc>
        <w:tc>
          <w:tcPr>
            <w:tcW w:w="720" w:type="dxa"/>
          </w:tcPr>
          <w:p w14:paraId="7E5026A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参数性质</w:t>
            </w:r>
          </w:p>
        </w:tc>
        <w:tc>
          <w:tcPr>
            <w:tcW w:w="7130" w:type="dxa"/>
          </w:tcPr>
          <w:p w14:paraId="3881464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技术参数与性能指标</w:t>
            </w:r>
          </w:p>
        </w:tc>
      </w:tr>
      <w:tr w14:paraId="316270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2" w:type="dxa"/>
          </w:tcPr>
          <w:p w14:paraId="2E1B6A9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w:t>
            </w:r>
          </w:p>
        </w:tc>
        <w:tc>
          <w:tcPr>
            <w:tcW w:w="720" w:type="dxa"/>
          </w:tcPr>
          <w:p w14:paraId="7CCC4B61">
            <w:pPr>
              <w:spacing w:line="360" w:lineRule="auto"/>
              <w:rPr>
                <w:rFonts w:hint="eastAsia" w:ascii="仿宋" w:hAnsi="仿宋" w:eastAsia="仿宋" w:cs="仿宋"/>
                <w:sz w:val="24"/>
                <w:szCs w:val="24"/>
              </w:rPr>
            </w:pPr>
          </w:p>
        </w:tc>
        <w:tc>
          <w:tcPr>
            <w:tcW w:w="7130" w:type="dxa"/>
          </w:tcPr>
          <w:tbl>
            <w:tblPr>
              <w:tblStyle w:val="10"/>
              <w:tblW w:w="69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39"/>
              <w:gridCol w:w="939"/>
              <w:gridCol w:w="1132"/>
              <w:gridCol w:w="2970"/>
              <w:gridCol w:w="939"/>
            </w:tblGrid>
            <w:tr w14:paraId="1F258D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28" w:hRule="atLeast"/>
              </w:trPr>
              <w:tc>
                <w:tcPr>
                  <w:tcW w:w="939" w:type="dxa"/>
                </w:tcPr>
                <w:p w14:paraId="664BED9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序号</w:t>
                  </w:r>
                </w:p>
              </w:tc>
              <w:tc>
                <w:tcPr>
                  <w:tcW w:w="2071" w:type="dxa"/>
                  <w:gridSpan w:val="2"/>
                </w:tcPr>
                <w:p w14:paraId="2D86028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设备名称</w:t>
                  </w:r>
                </w:p>
              </w:tc>
              <w:tc>
                <w:tcPr>
                  <w:tcW w:w="2970" w:type="dxa"/>
                </w:tcPr>
                <w:p w14:paraId="12F2971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主要技术参数</w:t>
                  </w:r>
                </w:p>
              </w:tc>
              <w:tc>
                <w:tcPr>
                  <w:tcW w:w="939" w:type="dxa"/>
                </w:tcPr>
                <w:p w14:paraId="470C825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数量</w:t>
                  </w:r>
                </w:p>
              </w:tc>
            </w:tr>
            <w:tr w14:paraId="5CFD4C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838" w:hRule="atLeast"/>
              </w:trPr>
              <w:tc>
                <w:tcPr>
                  <w:tcW w:w="939" w:type="dxa"/>
                  <w:vMerge w:val="restart"/>
                </w:tcPr>
                <w:p w14:paraId="695926C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w:t>
                  </w:r>
                </w:p>
              </w:tc>
              <w:tc>
                <w:tcPr>
                  <w:tcW w:w="939" w:type="dxa"/>
                  <w:vMerge w:val="restart"/>
                </w:tcPr>
                <w:p w14:paraId="1C27DB9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财务云共享中心</w:t>
                  </w:r>
                </w:p>
              </w:tc>
              <w:tc>
                <w:tcPr>
                  <w:tcW w:w="1132" w:type="dxa"/>
                </w:tcPr>
                <w:p w14:paraId="127FDF8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一、智能财务报账系统</w:t>
                  </w:r>
                </w:p>
              </w:tc>
              <w:tc>
                <w:tcPr>
                  <w:tcW w:w="2970" w:type="dxa"/>
                </w:tcPr>
                <w:p w14:paraId="1915305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（一）总体建设要求</w:t>
                  </w:r>
                </w:p>
                <w:p w14:paraId="6E450CB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1.软件技术要求</w:t>
                  </w:r>
                </w:p>
                <w:p w14:paraId="598E968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智能财务报账系统应支持Linux、Windows等操作，具有收集、处理百万级的业务数据；具有国产化操作系统；支持B/S模式，支持PC端、移动端使用，具有较好的伸缩性和扩展性，能够适应未来应用规模的扩展，提供的综合服务平台安全、稳定，能够支持较大容量并发用户。</w:t>
                  </w:r>
                </w:p>
                <w:p w14:paraId="79B4E90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平台应提供二次开发的接口，基于采购人需求可快速开发功能应用,可以提供详细开发指导文档；支持MySQL数据库，具有对关系型数据库的集成，可以与其他系统互换信息，保证系统的外拓或兼容。</w:t>
                  </w:r>
                </w:p>
                <w:p w14:paraId="05E9021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平台的功能扩充或使用单位增加时应不影响现有平台功能和结构，保证系统在并发上限的过负荷条件下运行，业务可操作、系统不崩溃，且能够保证数据的完整性和一致性。</w:t>
                  </w:r>
                </w:p>
                <w:p w14:paraId="13D7E1D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智能财务报账系统具有负载均衡和高可用的集群部署模式，应当可以有效避免单点故障,保证系统性能；对运行过程中的事件进行分类记录、历史记录，形成系统日志；应具备良好的可扩展性，具有横向基于模块功能深入的扩容以及纵向系统功能模块的新增，平台应提供快捷开发功能，具有代码在线生成，快速部署、调试。</w:t>
                  </w:r>
                </w:p>
                <w:p w14:paraId="59D5CBD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2.客户端适配需求</w:t>
                  </w:r>
                </w:p>
                <w:p w14:paraId="38CDFE1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系统要求能够充分发挥当前硬件和操作系统最新技术优势，须支持64位操作系统，充分发挥现有软件和硬件的先进功能，并支持多种主流操作系统，包括Windows、Linux等。</w:t>
                  </w:r>
                </w:p>
                <w:p w14:paraId="7DA53E8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3.部署与安全需求</w:t>
                  </w:r>
                </w:p>
                <w:p w14:paraId="1E8C64A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智能财务报账系统需要综合评估学校的信息安全现状，制定包括硬件、软件、数据、网络信息安全管控方案和应急、例外问题处理机制；保证信息存储安全、信息传输和处理安全，保证平台能够正常运行，不被非授权访问，不被攻击破坏。</w:t>
                  </w:r>
                </w:p>
                <w:p w14:paraId="0AEB232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3.1数据安全</w:t>
                  </w:r>
                </w:p>
                <w:p w14:paraId="3784578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智能财务报账系统应为B/S系统，应支持HTTPS，保证数据传输安全，并杜绝广告注入等系列问题。应当对业务数据有统一的权限体系控制，对业务数据细分查阅权和操作权，并通过权限角色做分配，确保没有经过授权的用户无权访问业务数据，杜绝越权访问。无论是产品标准功能和二次开发功能都遵循这套权限体系。</w:t>
                  </w:r>
                </w:p>
                <w:p w14:paraId="606ACE7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对高校智慧报销系统中传输和存储的所有敏感数据，包括但不限于教职工个人信息、银行卡号、报销金额、发票数据等，采用先进且成熟的加密算法进行加密处理。在数据传输过程中，使用 SSL/TLS 协议保障数据在网络中的安全传输，防止数据被窃取或篡改；在数据存储环节，采用 AES（高级加密标准）等高强度加密算法对数据进行加密存储，即使数据存储介质丢失或被非法访问，也能确保数据的保密性。</w:t>
                  </w:r>
                </w:p>
                <w:p w14:paraId="27A72D3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默认具有每天备份数据库到备份介质。如遇数据突发损坏，具有还原前一天数据库，将影响降至最低。</w:t>
                  </w:r>
                </w:p>
                <w:p w14:paraId="13BD2B1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3.2管理安全</w:t>
                  </w:r>
                </w:p>
                <w:p w14:paraId="2008463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智能财务报账系统应具有完备的操作日志，无论是管理员还是普通用户，都有记录操作日志，操作日志可按操作人员、操作时间、业务类型分类和多重分类查询，供后续进行审计。</w:t>
                  </w:r>
                </w:p>
                <w:p w14:paraId="4B1DE96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系统应集成工作流平台，在满足日常报销流程的同时，具有对各工作流节点单独设置认证方式（包括但不限于：密码认证、人脸识别、短信验证码等方式）。</w:t>
                  </w:r>
                </w:p>
                <w:p w14:paraId="3E10325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3.3用户安全</w:t>
                  </w:r>
                </w:p>
                <w:p w14:paraId="133A098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身份认证：采用多因素身份认证机制，确保用户身份的真实性和合法性。结合生物识别技术（如指纹识别、面部识别）、短信验证码、动态令牌等多种认证方式。系统应具有接入客户的统一身份认证中心，做到入口统一、用户统一、密码统一。</w:t>
                  </w:r>
                </w:p>
                <w:p w14:paraId="6159171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权限管理：建立严格的权限管理机制，对用户的操作权限进行精细划分。根据用户的角色、部门、职务、职能等因素，为用户分配相应的操作权限，确保用户只能进行与其职责相关的操作。同时，定期对用户权限进行审核和调整，当用户的角色或职责发生变化时，及时更新其权限，防止权限滥用和越权操作。</w:t>
                  </w:r>
                </w:p>
                <w:p w14:paraId="298AA2C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3.4系统安全</w:t>
                  </w:r>
                </w:p>
                <w:p w14:paraId="3E1ECB6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系统应针对网络安全，具有定期或不定期更新。主要用于修复已知的网络安全漏洞，保证系统平稳运行。针对突发情况，如服务器宕机，系统应具有高可用部署方案，满足业务和教学99.9%范围可用。针对异常停服，系统应当具有心跳检测，保证在停服最短时间内完成服务自启。</w:t>
                  </w:r>
                </w:p>
                <w:p w14:paraId="406AEE8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4.对接要求</w:t>
                  </w:r>
                </w:p>
                <w:p w14:paraId="74AA9EA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4.1可与学校现有财务核算、预算系统、银校互联等对接，应可实现经费项目信息和实时余额从财务系统读取、冻结/解冻/释放财务项目余额等同步,具有与学校标准组织机构数据对接，供应商在报价时应充分考虑涵盖所有对接相关费用。</w:t>
                  </w:r>
                </w:p>
                <w:p w14:paraId="2FB1AB4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4.2提供整套成体系的接口规范、提供对接第三方系统的标准接口。</w:t>
                  </w:r>
                </w:p>
                <w:p w14:paraId="0596770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4.3根据学校实际需求，移动端对接部署到对应的平台（微信公众号、企业微信、钉钉等）。</w:t>
                  </w:r>
                </w:p>
                <w:p w14:paraId="3508502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5.系统性能要求</w:t>
                  </w:r>
                </w:p>
                <w:p w14:paraId="3233A50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5.1易于理解和使用：界面友好简单，容易上手，省时高效。</w:t>
                  </w:r>
                </w:p>
                <w:p w14:paraId="1560D6F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5.2可拓展性强：考虑到智能财务报账系统将来有功能拓展的可能，对目前功能设计时做好可拓展性预留。</w:t>
                  </w:r>
                </w:p>
                <w:p w14:paraId="272E383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5.3良好的性能和速度：做好页面加载及网络设置，保证访问时的良好性能和速度。</w:t>
                  </w:r>
                </w:p>
                <w:p w14:paraId="1308186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5.4可维护性、可升级性：后台管理应采用模块化设计，功能结构清晰，页面布局合理，操作指引明确，使系统维护管理过程简单快捷，并保证各版本之间具有良好的兼容性，不会因为平台中某些模块的改变而影响整个系统的正常运行。</w:t>
                  </w:r>
                </w:p>
                <w:p w14:paraId="7236E3C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5.5系统应采用开放体系标准，遵循国家和地方有关标准规范，提供标准数据接口；系统应能够在目前主流平台上稳定运行，具备优秀的跨平台和可移植性能力。</w:t>
                  </w:r>
                </w:p>
                <w:p w14:paraId="222BA84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（二）软件功能要求</w:t>
                  </w:r>
                </w:p>
                <w:p w14:paraId="3DAADF3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1.系统整体功能要求</w:t>
                  </w:r>
                </w:p>
                <w:p w14:paraId="0E1CD42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须采用国产大模型如DeepSeek等人工智能技术实现财务智能体，通过财务智能体实现财务相关的智能化交互及作业，提供包括预算管控、智能识别、智能填报、智能稽核、智能核算、智能转账等业务全流程一体化智能化服务，全面提升财务作业效率及服务管理质量。通过财务智能体，提供良好用户体验的同时，大量减轻一线报账人员的填报工作量，全面提高报账效率和质量的同时，提升财务人员的审核及核算质效，真正解放基础财务工作，提升财务服务能力。</w:t>
                  </w:r>
                </w:p>
                <w:p w14:paraId="7BE77A7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2.关键业务功能需求</w:t>
                  </w:r>
                </w:p>
                <w:p w14:paraId="5C6C83F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2.1智能票夹(智能票据中心)</w:t>
                  </w:r>
                </w:p>
                <w:p w14:paraId="67C622D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智能票夹是为报账人提供可快速采集票据、进行票据智能化处理及具有一键提交报销功能的智能化应用。智能票夹须具有通过手机及PC端随时随地采集各类原始凭证，并集票据智能识别与提取、票据预审、票据归集、一键报销于一体，能从源头上保证数据采集的准确性、及时性和有效性。智能票夹需实现以下主要功能，包括：</w:t>
                  </w:r>
                </w:p>
                <w:p w14:paraId="0757E09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2.1.1智能识别与提取服务</w:t>
                  </w:r>
                </w:p>
                <w:p w14:paraId="2A62037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票夹的智能识别与提取服务通过综合运用计算机视觉、图像特征解析、大模型等人工智能技术，将各种原始财务凭证（发票类，如增值税票、机票、的士票等；高校内部管理表单文档类，如立项报告、审批报告、验收报告、劳务费用发放表、合同等；高校外部单据类，如会议通知、培训通知、酒店流水单、送货单、签收单、对账单、外部合同等），按照财务核算、管控分析要求的数据颗粒度、准确识别为结构化数据，准确率须≥98%，时效性达到分钟级，能有效改变传统手工摘录票据信息模式，由AI代替人工摘录工作，智能识别出票面信息为可用的结构化数据。智能识别与提取服务须满足以下需求：</w:t>
                  </w:r>
                </w:p>
                <w:p w14:paraId="3D1B04B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①须具有市面上通用型财务原始票据的全版面识别，包括增值税发票类（含纸质增值税发票、卷式发票、数字全电发票等）、通用发票类、飞机票、火车票、的士票、定额发票、财政电子票据、行政事业单位收据、银行回单等票种，识别准确率≥98%，处理时效达到分钟级；</w:t>
                  </w:r>
                </w:p>
                <w:p w14:paraId="1EA1F4F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②须具有非通用型财务原始凭证的识别和提取，包括高校内部管理表单文档类（如立项审批单、餐饮中心票据、验收单、劳务费用发放表、公务接待审批流程、租车审批单、合同等，若原始凭证有校内OA流程的，能按照既定条件直接提取已有数据作为原始凭证补充，固定资产采购需结合学校资产管理平台协同运行，对报销、建资、账务、付款能够进行一体化处理）、高校外部单据类（如会议通知、培训通知、酒店流水单、送货单、签收单、对账单、外部单位拟定的合同等），识别准确率≥98%，处理时效达到分钟级；（本条需进行功能演示）</w:t>
                  </w:r>
                </w:p>
                <w:p w14:paraId="5F4BFB5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③须具备各类原始凭证的快速自定义识别提取训练服务提供能力，具有通过智能识别及提取处理引擎，在一小时内完成新增票据类型的标注、模型训练和上线部署应用全流程。</w:t>
                  </w:r>
                </w:p>
                <w:p w14:paraId="697018A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2.1.2智能票据预审</w:t>
                  </w:r>
                </w:p>
                <w:p w14:paraId="57027D2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票据预审指针对上传到票夹的票据或文件等原始凭证进行报账前的智能审核，审核包括票据的真实性及合规性等，避免问题票据（如假发票、信息开具有误的发票、重复报销的发票等）进入报账业务流程，让报账用户及时纠错的同时，减少业务风险和无效审批工作。具有针对各类原始凭证包括通用型票据及非常规票据附件等的票据智能化审核，预审完成时间限制在票据上传成功后的5分钟内，具体功能要求如下：</w:t>
                  </w:r>
                </w:p>
                <w:p w14:paraId="0027A20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①具有通用型票据智能审核：具有市面上通用型财务原始票据的智能预审，包括增值税发票、飞机票、火车票、的士票、定额发票、财政电子票据、行政事业单位收据等票种。例如，预审发票真伪、发票抬头是否正确、打印码是否有误、印章使用是否准确、是否有签字、是否有不符合八项规定要求的敏感信息等。</w:t>
                  </w:r>
                </w:p>
                <w:p w14:paraId="6F1A74D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②▲具有非常规票据智能审核：具有包括高校内部管理表单文档类（如立项审批单、餐饮中心票据、验收单、劳务费用发放表、公务接待审批流程、租车审批单、合同等）、外部单据类（如会议通知、培训通知、酒店流水单、送货单、签收单、对账单、外部单位拟定的合同等），可按照财务核算、管控要求进行智能预审，可审核例如合同甲乙方与合同收付款账号名称的一致性、对账单汇总金额与明细的汇总金额的一致性、是否有签字、是否有盖章、某字段填写是否正确等。（提供相关证明资料）</w:t>
                  </w:r>
                </w:p>
                <w:p w14:paraId="045168C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③针对发票类票据，须具有以下审核要求：</w:t>
                  </w:r>
                </w:p>
                <w:p w14:paraId="4DBF186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（1）具有对接国税增值税发票查验平台提供增值税发票的验真服务；</w:t>
                  </w:r>
                </w:p>
                <w:p w14:paraId="3C6B4F0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（2）具有对接财政电子票据平台提供财政电子票据的验真服务；</w:t>
                  </w:r>
                </w:p>
                <w:p w14:paraId="28C6170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（3）具有发票购方及销方的正确性审核；</w:t>
                  </w:r>
                </w:p>
                <w:p w14:paraId="7422D31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（4）具有发票重复上传或重复使用的预警和提示；</w:t>
                  </w:r>
                </w:p>
                <w:p w14:paraId="78C210C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（5）具有发票连号的预警和提示；</w:t>
                  </w:r>
                </w:p>
                <w:p w14:paraId="312B5F4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（6）具有是否有盖章等特殊规则的预审和校验；</w:t>
                  </w:r>
                </w:p>
                <w:p w14:paraId="41A708D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（7）具有对票面不符合八项规定的敏感性信息进行预审及提示。</w:t>
                  </w:r>
                </w:p>
                <w:p w14:paraId="5DF0230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④▲可灵活设置的票据预审规则：具备智能化的票据预审引擎内核，可针对原始凭证的内容、字段等进行稽核及审查规则的灵活设定，规则设置须完全采用自然语言描述的方式完成，同时可根据业务的需要，对规则进行思维导图式的编排配置，易读易理解，无须通过开发的方式即可完成。（提供相关证明资料）</w:t>
                  </w:r>
                </w:p>
                <w:p w14:paraId="03871BB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2.1.3具有多种原始凭证归集方式：</w:t>
                  </w:r>
                </w:p>
                <w:p w14:paraId="47B0B41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目前财务票据获取渠道多样，报账用户归集整理过程繁复，智能票夹须具有用户快速通过多种渠道获取归集票据，随时随地完成原始凭证（包括票据、单据、文件等）的采集工作。智能票夹须具有以下主要采集方式，包括：手机拍照及相册图片导入；电子票据文件导入；OA流程直接提取；其他院部管理系统提取；支付宝票包票据导入；微信票夹导入；</w:t>
                  </w:r>
                </w:p>
                <w:p w14:paraId="086C539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①原始凭证智能整理</w:t>
                  </w:r>
                </w:p>
                <w:p w14:paraId="5EEC095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针对票据种类多、开具时间零散等导致的票据整理归集难等问题，智能票夹须具有原始凭证智能排序整理的功能，具有按票据的上传时间、业务发生日期、业务类型、经办人等对票据进行智能化整理及展示，方便用户在报账的时候进行选择及查看。</w:t>
                  </w:r>
                </w:p>
                <w:p w14:paraId="69CE36C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②一键提交报销</w:t>
                  </w:r>
                </w:p>
                <w:p w14:paraId="56C659D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为了方便用户快速提报，智能票夹须具有用户上传完票据或选择票据、提取资料后、预审、提交一键完成，实现票据上传到提报的一体化交互。</w:t>
                  </w:r>
                </w:p>
                <w:p w14:paraId="02CC736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③原始凭证管理</w:t>
                  </w:r>
                </w:p>
                <w:p w14:paraId="4878A4E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针对票夹中的原始凭证，需要对其使用状态进行管理，保证报账用户的正确使用。须具有当票夹中的原始凭证被单据引用并提交后，将默认展示在已使用的票据列表中，未使用的票据列表中将不再展示该原始凭证；当报销单审批不通过被驳回后并处于待提交状态时，则原始凭证将重新回到未使用的票据列表中，在票夹的未使用列表中可以重新查看到该原始凭证，但用户无需再次重新选择。</w:t>
                  </w:r>
                </w:p>
                <w:p w14:paraId="06F6BD6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2.2智能填报-对话式报销</w:t>
                  </w:r>
                </w:p>
                <w:p w14:paraId="7CBFEBB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系统通过“智能报账助理”协助用户完成单据提报，智能报账助理须通过智能及人性化的对话交互方式了解用户的报销事由，智能判断财务业务场景，同时须结合高校的管理制度、会计政策及标准，完成报销单据的智能填制、合规性校验及确认提交。（本条需进行功能演示）</w:t>
                  </w:r>
                </w:p>
                <w:p w14:paraId="30537D1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智能报账助理须基于财务大模型和知识图谱等AI技术，为用户提供智能化报账服务，在确保流程规范、数据准确、合规可靠的基础上，显著提升报账效率与用户体验。智能报账助理，须满足以下要求：</w:t>
                  </w:r>
                </w:p>
                <w:p w14:paraId="6DE2000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以国产大模型为基础的智能体交互模式；</w:t>
                  </w:r>
                </w:p>
                <w:p w14:paraId="04AFEA7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▲须以DeepSeek等国产大模型为基础，通过智能体的对话交互模式完成报账过程，全过程须具有采用文字、表单、图表等多模态展示交互形式。</w:t>
                  </w:r>
                </w:p>
                <w:p w14:paraId="379E5BF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报账用户无须理解财务业务场景，无须选择判断报销单类型，只需通过与报账助理交互说明报销事由并提交相应的报销票据及附件即可，报账助理将自动展示并完成报账过程，用户确认后自动提交后续审批。整个识别、分析、生成过程不超过5分钟，且准确率需≥98%。报账助理须具备财务专业的基于高校业务的经济活动知识体系，通过报销事由和上传的票据须能智能判断经济活动场景，还原每个经济活动下的具体业务行为（如差旅活动中的城际交通、住宿、市内交通等），须具有基于高校业务≥50个经济活动场景知识以及≥200个业务行为区分及还原能力。（提供相关证明资料）</w:t>
                  </w:r>
                </w:p>
                <w:p w14:paraId="0243E34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智能报账助理应具备完善、细致的财务业务数据构建及还原能力，通过大模型、知识图谱等AI技术将高校财务知识体系与我校的制度及要求相结合，生成符合要求的报账单据内容及业务数据。具体能力要求须包括以下内容：</w:t>
                  </w:r>
                </w:p>
                <w:p w14:paraId="28265F1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①业务场景还原能力：须具有通过报账提交的票据信息和报账事由等，即可智能判断识别出相应的经济活动及业务行为场景，所生成的数据能数字化地描述所发生业务的核心要素。例如：还原差旅活动应具备对出差行程的精细化还原能力，可以按照行程时序智能生成每段差旅行程的交通费、住宿费、差旅补贴等明细信息；公务接待业务能够智能还原出接待人数、陪同人数、接待人均支出，接待支出的细分类别等，便于发现业务中可能出现的问题和不合规风险。（本条需进行功能演示）</w:t>
                  </w:r>
                </w:p>
                <w:p w14:paraId="6FC8F64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②▲业务制度及标准匹配能力：须能根据业务发生的人员、项目、时间、地点等多种不同的维度智能适配相应的业务标准（如出行标准、住宿标准、接待标准、补贴标准等），自动计算匹配标准下的业务额度、补贴金额等；具有与对应政策制度文件及条款形成关联，并根据实际发生的经济业务，依照对应的制度和内容展开呈现。（提供相关证明资料）</w:t>
                  </w:r>
                </w:p>
                <w:p w14:paraId="5FF1EAC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③财务业务归类能力：须具有依据本校财务会计政策及管理制度等，对实际发生的业务细项（如发票明细、对话详情等）进行财务口径下的归类、分类和归口，在无须人为干预的情况下即可智能推理出各类明细费用对应的高校支出项目、预算科目及会计科目等。例如：日常办公用品采购报账业务中应能针对所采购物品的清单（如销货清单、采购清单）中物品、服务的明细和报账人对物品用途的表述，推断出适配的支出项目、预算科目及会计科目，能准确判断哪些是固定资产等。</w:t>
                  </w:r>
                </w:p>
                <w:p w14:paraId="5C04C31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④▲预算指标推理能力：须能根据报销人、部门、事由，智能选择推荐最符合实际业务的财务系统预算项目和财政云中的预算资金指标；须具备虚拟指标内的指标智能分配及自动选择能力，即针对虚拟指标可按照预算指标的优先级或分摊比例规则进行智能分配。（提供相关证明资料）</w:t>
                  </w:r>
                </w:p>
                <w:p w14:paraId="7D26F11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⑤事前单据关联选择能力：须具有根据报销事由、报账用户等信息智能判断经济活动并推理关联最符合业务的事前审批单，并自动与本单业务（OA系统）建立关联。比如：差旅活动中的出差申请单的智能选择匹配，公务接待中的接待审批单的智能选择匹配等。</w:t>
                  </w:r>
                </w:p>
                <w:p w14:paraId="06D1D92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⑥本校业务适配能力：具有基于本校的实际管理制度及业务要求，灵活配置经济活动场景与实际发生的业务行为的关系，可实现对本校专有的经济业务场景或片段的个性化定义。</w:t>
                  </w:r>
                </w:p>
                <w:p w14:paraId="5167688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智能报账助理应具备预校验审核能力，能准确识别经济活动场景并智能匹配相应的高校管理制度，智能校验所提交业务票据及附件的完整性及合规性、业务信息的完整性及准确性等，在智能报账处理提交过程中同步进行校验和稽查，有效防范风险并及时让用户纠错，避免后续审批过程的反复。校验审核结果须结合制度并采用自然语言的形式提示给到用户，让用户方便易懂。（提供相关证明资料）</w:t>
                  </w:r>
                </w:p>
                <w:p w14:paraId="0E027E4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2.3智能稽核</w:t>
                  </w:r>
                </w:p>
                <w:p w14:paraId="3AC039E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智能稽核的目标是通过财务大模型、知识图谱、专用算法模型等人工智能技术的综合应用，结合高校会计政策制度及财务标准，实现报账业务的智能稽核，最大程度的协助财务会计人员完成基础的财务稽核审查工作。智能稽核，具体能力要求应包括以下内容：</w:t>
                  </w:r>
                </w:p>
                <w:p w14:paraId="7E4FB88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▲(1)专业财务知识判断能力</w:t>
                  </w:r>
                </w:p>
                <w:p w14:paraId="1121290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须具备财务领域对商品服务分类的知识体系，能根据票面上开具的明细信息识别出相关的政府经济分类科目，对需要特别稽查的业务类型进行有效的稽核和审查。须具备财务专业的业务场景知识体系，能够智能化判断经济业务场景，包括经济业务活动和业务行为等，能推理出正确的预算科目和会计科目等，并自助生成默认收款人信息供报账人确认（若报账人修改，可自助更新存储现有收款人或收款单位数据库），能针对每个细化场景进行有效的稽核和审查。（提供相关证明资料）</w:t>
                  </w:r>
                </w:p>
                <w:p w14:paraId="200A095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(2)专业的财务审核能力</w:t>
                  </w:r>
                </w:p>
                <w:p w14:paraId="25F02EB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①通用业务的智能化审核能力：具有综合运用专业财务知识体系，融合税法、会计法规、高校规章制度等，对业务进行智能审核。</w:t>
                  </w:r>
                </w:p>
                <w:p w14:paraId="2F611C6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审核规则须包含单据规范性、业务合规性、票据合规性、单据完整性、金额准确性、预算有效性等相关规则，避免人工审核不到位、易出错、易遗漏的问题。</w:t>
                  </w:r>
                </w:p>
                <w:p w14:paraId="08C56F8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须具有根据提交的单据、发票、表单等文件进行综合性稽核。例如技能大赛报销业务种类多、报销金额复杂，是多种业务合并的综合报销，需检查所有相关业务合计是否超过技能大赛总预算，若其中有公务接待费需要提起办公平台公务招待审批流程，检查招待费申请表申请金额与报销金额是否一致、是否超标、违反八项规定等，若有专家费，需检查其职称、单位等信息是否符合省级标准，是否具有业务合理性等，以完成复杂业务的多重多维度审核。</w:t>
                  </w:r>
                </w:p>
                <w:p w14:paraId="0C652E0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②合同相关业务的智能化审核能力：具有针对涉及合同相关的业务的智能化审核和稽查。须具有审查合同的甲乙方、付款阶段、付款条件等是否满足要求；须具有与上传的票据、附件（如验收报告、立项报告、招标书等）等相关内容一致性的审查；须具有针对满足实际合同付款要求所需要的多方面的审核和稽查。（本条需进行功能演示）</w:t>
                  </w:r>
                </w:p>
                <w:p w14:paraId="45A71F0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③具有结合各类原始凭证的智能化审核能力：具有针对通用型票据及非常规票据及附件的智能审核和稽查。</w:t>
                  </w:r>
                </w:p>
                <w:p w14:paraId="13257F2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通用型票据智能审核：具有市面上通用型财务原始票据的全版面识别及智能预审，包括增值税发票、飞机票、火车票、的士票、定额发票、财政电子票据、行政事业单位收据等票种。例如，预审发票真伪、发票抬头是否正确、打印码是否有误、印章使用是否准确、是否有签字、是否有不符合八项规定要求的敏感信息等。</w:t>
                  </w:r>
                </w:p>
                <w:p w14:paraId="287944E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非常规票据智能审核：与文本中2.1.2智能票据预审部分要求相同</w:t>
                  </w:r>
                </w:p>
                <w:p w14:paraId="1B62733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全附件多格式综合稽核：须具有对多种附件格式的文件（附件格式须具有包含Word、Excel、pdf、ofd、图片等）进行稽核审查，根据高校的管理政策及制度智能提取并理解附件及报销业务中的关键数据及信息，实现全面的智能稽核及审查。</w:t>
                  </w:r>
                </w:p>
                <w:p w14:paraId="77A6028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(3)可视化的稽核结果展示</w:t>
                  </w:r>
                </w:p>
                <w:p w14:paraId="435944A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①稽核结果可视化</w:t>
                  </w:r>
                </w:p>
                <w:p w14:paraId="1C37EF7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提供可视化稽核结果（报告）查看界面，财务人员可通过可视化界面直观查看报销单信息、票据影像及识别的结构化数据结果、未通过稽核的原因以及通过的规则、违规&amp;疑似违规的规则。</w:t>
                  </w:r>
                </w:p>
                <w:p w14:paraId="3A0F118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稽核结果须清晰可视，简单易懂，AI审核推理过程可查，具体包括以下内容：</w:t>
                  </w:r>
                </w:p>
                <w:p w14:paraId="483A19D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须清晰的展现每一项稽核违规点，并给出明确的违规原因和审核依据；</w:t>
                  </w:r>
                </w:p>
                <w:p w14:paraId="7029B05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须完整的呈现每一笔业务所审查的所有稽核点及相应的稽核结果；</w:t>
                  </w:r>
                </w:p>
                <w:p w14:paraId="4B39FCE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须生成简洁易懂的稽核报告，稽核提示以大模型为基础，采用自然语言表达，便于相关审批人在审批时查阅参考，同时审批人可以查看报销单稽核和审批历史情况（若报账人新建业务，也能和已审批单据关联查看）。</w:t>
                  </w:r>
                </w:p>
                <w:p w14:paraId="3AA6F0E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②稽核结果干预</w:t>
                  </w:r>
                </w:p>
                <w:p w14:paraId="541F1E4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提供可视化的财务稽核结果干预功能，具有对稽核结果逐条或批量进行人工干预的操作。对干预功能进行细化，具体包括修改（修改范围需限定）、通过和驳回。</w:t>
                  </w:r>
                </w:p>
                <w:p w14:paraId="0585F64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(4)稽核规则管理功能</w:t>
                  </w:r>
                </w:p>
                <w:p w14:paraId="7552223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①须具有对稽核规则进行简单的配置与管理</w:t>
                  </w:r>
                </w:p>
                <w:p w14:paraId="6A54758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稽核规则须完全采用自然语言描述的方式完成规则的设置，方便相关人员对稽核规则的维护和管理。</w:t>
                  </w:r>
                </w:p>
                <w:p w14:paraId="597C362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须具有业务场景规则流程可视化配置，可根据业务的需要，对规则进行流程化的编排配置，易读易理解。</w:t>
                  </w:r>
                </w:p>
                <w:p w14:paraId="532E829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须覆盖业务合规性、票据合规性、金额准确性、报销单规范性、单据完整性等诸多方面，实现全方位智能审核；</w:t>
                  </w:r>
                </w:p>
                <w:p w14:paraId="2A747FB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须具有规则的强弱设定，须具有根据规则的强弱进行相应的管理和警示；</w:t>
                  </w:r>
                </w:p>
                <w:p w14:paraId="2760061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▲②须自带通用的稽核规则库</w:t>
                  </w:r>
                </w:p>
                <w:p w14:paraId="1C2BCF7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系统具有相对完整的通用的稽核规则库（包括业务合规性、报销单规范性、金额准确性、票据合规性、单据完整性等），内置标准规则条数须达100条以上，可根据高校情况进行快速地添加、设置和应用。（提供相关证明资料）</w:t>
                  </w:r>
                </w:p>
                <w:p w14:paraId="636489D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2.4全面核算</w:t>
                  </w:r>
                </w:p>
                <w:p w14:paraId="24CB0E0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须具有通过综合所有原始凭证（包括业务单据、发票、附件及合同等），智能推断出做账所需会计科目，最终推送至核算系统生成凭证，生成凭证包括现金流量、部门、项目、经济分类、固定资产数量单价（若有）等。（本条需进行功能演示）</w:t>
                  </w:r>
                </w:p>
                <w:p w14:paraId="49DBFF4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全面核算应具备以下能力：</w:t>
                  </w:r>
                </w:p>
                <w:p w14:paraId="1ECF569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(1)智能推理生成凭证分录的能力</w:t>
                  </w:r>
                </w:p>
                <w:p w14:paraId="003E144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应具备智能归类影像或数据、智能匹配适用的业务场景、智能适配凭证模版等归集映射能力。具有通过原始凭证、业务单据等智能推理生成凭证分录。</w:t>
                  </w:r>
                </w:p>
                <w:p w14:paraId="1ABAEEC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(2)智能生成多组平行账套的能力</w:t>
                  </w:r>
                </w:p>
                <w:p w14:paraId="616FB10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应具有对同一套原始凭证，按照财务核算口径、绩效考核口径、预算管理口径等不同的核算口径，同时生成多个平行账务的能力。</w:t>
                  </w:r>
                </w:p>
                <w:p w14:paraId="1A5C91C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(3)原始凭证自动推送至财务系统，推送凭证需包括银校互联的相关转账信息。</w:t>
                  </w:r>
                </w:p>
                <w:p w14:paraId="64186C0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▲2.5智能财务助手（提供相关证明资料）</w:t>
                  </w:r>
                </w:p>
                <w:p w14:paraId="71F7A12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（1）须提供7x24小时智能问答服务，为财务及业务人员提供全天候支持。</w:t>
                  </w:r>
                </w:p>
                <w:p w14:paraId="08D1B49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（2）具有查询国家/地方财税政策、高校财务制度。</w:t>
                  </w:r>
                </w:p>
                <w:p w14:paraId="5CCB6CF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（3）须自动关联最新政策变动（如差旅标准调整、发票新规等）。</w:t>
                  </w:r>
                </w:p>
                <w:p w14:paraId="073850F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（4）自动回答常见报销问题（如"出租车票能报销吗？"、"会议费报销需要哪些材料？"）。</w:t>
                  </w:r>
                </w:p>
                <w:p w14:paraId="720DA50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（5）具有模糊提问（如"超标住宿怎么处理？"）。</w:t>
                  </w:r>
                </w:p>
                <w:p w14:paraId="5CE8616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2.6网上审批</w:t>
                  </w:r>
                </w:p>
                <w:p w14:paraId="4B23B07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网上审批模块，用于支撑报账业务的在线流转和审批。具有定义、管理审批流程，包括：创建、废止、调整审批流程定义与配置信息；对已提交或需要审批的流程状态变化进行移动端提醒，提醒审批人或提交人处理相关审批和操作；对提交在执行的流程进行流转，包括按照汇报关系逐层提交、会签、条件、代理等不同的流转逻辑;对流转中流程进行审批，包括不同的审批意见（同意、驳回等）、附言、附件等。</w:t>
                  </w:r>
                </w:p>
                <w:p w14:paraId="41D94D5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网上审批模块应具有无代码配置、脚本编制、审批规则表设置、图形化编排等方式，提供灵活的、可快速编辑、调整的审批流程定义能力。（本条需进行功能演示）</w:t>
                  </w:r>
                </w:p>
              </w:tc>
              <w:tc>
                <w:tcPr>
                  <w:tcW w:w="939" w:type="dxa"/>
                </w:tcPr>
                <w:p w14:paraId="4B020F5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1套</w:t>
                  </w:r>
                </w:p>
              </w:tc>
            </w:tr>
            <w:tr w14:paraId="21FDB0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580" w:hRule="atLeast"/>
              </w:trPr>
              <w:tc>
                <w:tcPr>
                  <w:tcW w:w="939" w:type="dxa"/>
                  <w:vMerge w:val="continue"/>
                </w:tcPr>
                <w:p w14:paraId="700C7C73">
                  <w:pPr>
                    <w:spacing w:line="360" w:lineRule="auto"/>
                    <w:rPr>
                      <w:rFonts w:hint="eastAsia" w:ascii="仿宋" w:hAnsi="仿宋" w:eastAsia="仿宋" w:cs="仿宋"/>
                      <w:sz w:val="24"/>
                      <w:szCs w:val="24"/>
                    </w:rPr>
                  </w:pPr>
                </w:p>
              </w:tc>
              <w:tc>
                <w:tcPr>
                  <w:tcW w:w="939" w:type="dxa"/>
                  <w:vMerge w:val="continue"/>
                </w:tcPr>
                <w:p w14:paraId="38423C58">
                  <w:pPr>
                    <w:spacing w:line="360" w:lineRule="auto"/>
                    <w:rPr>
                      <w:rFonts w:hint="eastAsia" w:ascii="仿宋" w:hAnsi="仿宋" w:eastAsia="仿宋" w:cs="仿宋"/>
                      <w:sz w:val="24"/>
                      <w:szCs w:val="24"/>
                    </w:rPr>
                  </w:pPr>
                </w:p>
              </w:tc>
              <w:tc>
                <w:tcPr>
                  <w:tcW w:w="1132" w:type="dxa"/>
                </w:tcPr>
                <w:p w14:paraId="0A35D57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二、财务机器人应用与开发平台</w:t>
                  </w:r>
                </w:p>
              </w:tc>
              <w:tc>
                <w:tcPr>
                  <w:tcW w:w="2970" w:type="dxa"/>
                </w:tcPr>
                <w:p w14:paraId="7BEE1A4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（一）技术参数</w:t>
                  </w:r>
                </w:p>
                <w:p w14:paraId="66FEDC7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1.软件采用互联网技术，基于云模式，在线提供云服务，打造智慧财务云生态；</w:t>
                  </w:r>
                </w:p>
                <w:p w14:paraId="2E93855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1.1软件采用B/S架构，基于公有云与私有云混合模式，人工智能与会计的融合，打造智慧财务云生态。基于流行的J2EE技术栈，采用JDK1.8、Mysql、Spring Boot、Spring Cloud、MyBatis Plus、Vue、ElementUI、Redis等技术，应用稳定的Spring Cloud微服务框架进行构建，系统具有分布式的部署方式，具有服务的无缝扩展和对接，单个服务功能变更不影响整体系统的正常操作，同时可以随时获取更高的计算能力，有效降低实施成本及使用成本；</w:t>
                  </w:r>
                </w:p>
                <w:p w14:paraId="479117A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1.2 拥有自主知识产权的产品，确保客户在使用系统服务的过程中不会产生侵权的风险；</w:t>
                  </w:r>
                </w:p>
                <w:p w14:paraId="2FB9348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1.3 提供五年内的免费云服务技术支持，包含云平台运维服务及云平台内容服务；</w:t>
                  </w:r>
                </w:p>
                <w:p w14:paraId="084B6B7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1.3.1云平台运维服务：提供五年内的免费云服务技术支持，包含云服务器的硬件、软件、流量带宽及使用过程中发生的任何费用以及售后运维服务；</w:t>
                  </w:r>
                </w:p>
                <w:p w14:paraId="38263BD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1.3.2云平台内容服务：提供五年内平台内容方面的免费升级，包括因相关政策法规等相关因素引起的平台内容升级服务、平台供应商主动的内容升级服务、平台使用培训等服务；</w:t>
                  </w:r>
                </w:p>
                <w:p w14:paraId="2BC200F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RPA财务机器人应用与开发涵盖了课程导入、走进RPA财务机器人世界、RPA财务机器人基础UiPath认知、RPA财务机器人Excel应用、RPA财务机器人Email应用、RPA财务机器人Web应用、RPA财务机器人实战开发、RPA财务机器人部署与运维，注重RPA财务机器人的设计过程与开发实践应用，在课程中穿插了财务案例与操作练习，通过将RPA机器人开发工具与具体的财务场景相融合，培养学生运用RPA工具开发财务机器人的综合能力；</w:t>
                  </w:r>
                </w:p>
                <w:p w14:paraId="23937EB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在学习开发RPA机器人时，为满足大批量学生开发环境需求，内置了仿真网上银行系统、仿真防伪税控开票系统、仿真电子税务局系统、仿真会计信息化系统、仿真仓储进销存系统、仿真增值税发票认证系统、仿真个人所得税系统等开发环境。</w:t>
                  </w:r>
                </w:p>
                <w:p w14:paraId="31220EC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3.1仿真网上银行系统模拟现实企业网上银行用户端，具有银行转账付款申请、付款审批、余额查询、明细查询、回单查询等功能，系统将付款业务中的制单操作和审批操作权限分配给两个岗位人员，体现了内部控制流程和资金安全管理制度；</w:t>
                  </w:r>
                </w:p>
                <w:p w14:paraId="74F15BA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3.2仿真防伪税控开票系统模拟现实开票系统，包括商品编码和客户编码的系统设置、发票读入和发票填开（增值税专用发票填开、增值税普通发票填开）发票作废、红字发票、库存查询、汇总查询、发票打印等功能；</w:t>
                  </w:r>
                </w:p>
                <w:p w14:paraId="58B90E2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3.3仿真电子税务局系统模拟真实网上办税客户端及界面，能够进行增值税、企业所得税、附加税、印花税、房产税、土地使用税等税种的申报；</w:t>
                  </w:r>
                </w:p>
                <w:p w14:paraId="4EE231A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3.4仿真会计信息化系统模拟真实填制凭证、审核凭证、记账、结转损益、期末结账等会计电算化功能；</w:t>
                  </w:r>
                </w:p>
                <w:p w14:paraId="6A75BA0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3.5仿真仓储进销存系统模拟真实仓储管理客户端及界面，能够进行物料管理、单据管理、查看物料明细等功能，能够录入领料单、入库单等单据；</w:t>
                  </w:r>
                </w:p>
                <w:p w14:paraId="70D17A7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3.6仿真增值税发票认证系统模拟真实发票认证客户端及界面，能够进行发票抵扣勾选、发票不抵扣勾选、抵扣勾选统计等功能；</w:t>
                  </w:r>
                </w:p>
                <w:p w14:paraId="6FC1BF7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3.7仿真个人所得税系统模拟真实自然人税收管理系统，能够进行人员信息采集、专项附加扣除信息采集、综合所得申报、缴纳税款等功能；</w:t>
                  </w:r>
                </w:p>
                <w:p w14:paraId="5301561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4.学生可以通过系统上传RPA脚本压缩文件和RPA运行视频，提供已上传的RPA脚本压缩文件下载功能和已上传的RPA运行视频在线观看功能；</w:t>
                  </w:r>
                </w:p>
                <w:p w14:paraId="4BA0019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5.RPA判分：在教学管理中，可以查看学生上传的RPA运行视频，并判分；</w:t>
                  </w:r>
                </w:p>
                <w:p w14:paraId="0F2BE57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6.管理端：</w:t>
                  </w:r>
                </w:p>
                <w:p w14:paraId="038138C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6.1教师管理功能：提供新增、修改和删除教师账号功能，可进行批量新增、批量授权、批量延期等批量操作；提供控制教师账号权限管理，包括课程管理、试卷管理、竞赛试卷管理等权限；提供修改教师账号角色的功能；提供设置教师账号状态功能，状态包括有效、过期、锁定；提供设置教师账号到期时间功能，可选定一个具体的时间点（年月日）；</w:t>
                  </w:r>
                </w:p>
                <w:p w14:paraId="2F73005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6.2行政班级功能：提供新增、修改、删除和查找行政班的功能，具有行政班单个学生账号增加，也具有批量添加学生账号和Excel文件导入学生账号；提供根据用户名或者状态对学生信息进行增删改查功能，具有给学生设置有效、锁定、过期等多个状态，具有设置学生账号有效期（年月日）；提供行政班级教师授权功能，可授权其他教师以选择行政班级中的学生开展教学班授课；</w:t>
                  </w:r>
                </w:p>
                <w:p w14:paraId="56B3DC7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6.3教学班级功能：提供新增、修改、删除和查找教学班级的功能；具有设置课程和带班老师；提供学生管理、教学管理、考试管理和统计分析功能；</w:t>
                  </w:r>
                </w:p>
                <w:p w14:paraId="2288C17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6.3.1学生管理功能：提供新增、查询、移除学生等功能，提供批量移除功能；</w:t>
                  </w:r>
                </w:p>
                <w:p w14:paraId="7C86555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6.3.2教学管理功能：提供成绩总览、章节明细、进度控制、签到管理等功能；提供搜索查询学生、导出学生成绩功能，具有详细查看学生各个章节完成情况、学习进度和分数，具有详细查看和导出学生学习报告；具有锁定、隐藏章节节点，具有隐藏题目答案和答题结果（勾选后，学生无法查看题目答案和答题结果），也具有隐藏题目答案但显示答题结果（勾选后，学生无法查看题目答案，但可以查看答题结果）；提供新增、搜索签到活动，具有设置签到开始时间和结束时间，可跟踪学生签到状态及具体签到时间，具有修改学生签到状态（正常、缺勤、迟到、早退、事假、病假）；</w:t>
                  </w:r>
                </w:p>
                <w:p w14:paraId="15BE827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6.3.3考试管理功能：提供新增考试功能，可设置考试名称、试卷选择、考试时间、成绩查看权限（无法查看、交卷后可看、结束后可看）、学生范围（全部学生、指定学生）、发布状态和考试描述；具有直接查看学生成绩（交卷状态、总分）、导出成绩、生成和下载班级考试总报告，具有查看和导出学生单人报告，可重置交卷；</w:t>
                  </w:r>
                </w:p>
                <w:p w14:paraId="4636FD0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6.3.4成绩报告：具有生成班级所有学生的某个课程章节模块或某次考试的成绩报告，生成时具有进度条显示生成进度，生成完毕时进度条变成下载按钮，支持下载报告为PDF文档，支持单独查看每位学生的成绩报告及单独下载某位学生的成绩报告；</w:t>
                  </w:r>
                </w:p>
                <w:p w14:paraId="7BD7E2F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6.3.5▲统计分析：具有查看学生课程模块得分率统计图，统计图以条状图形式呈现，并支持按项目-模块-题型-题目多级查看，具有以不同的颜色显示不同的得分率区间，具有选择图例以单独显示某些指标信息；（投标人应提供充足的佐证材料，完整体现以上功能参数（佐证材料包括但不限于第三方检测机构出具的测试报告等证明材料）。）</w:t>
                  </w:r>
                </w:p>
                <w:p w14:paraId="6C6082B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6.3.6▲在线时长：具有查看学生的在线学习时间统计，包含首次登录时间、最后登录时间、在线总时长、今日在线时长、上次在线时长和在线状态等，并具有通过图表展示在线时长统计情况，图表以线形图形式呈现学生的在线总时长、今日在线时长、上次在线时长的信息，支持按不同维度排序，支持选择图例以单独显示某些指标信息，支持下载图表；（投标人应提供充足的佐证材料，完整体现以上功能参数（佐证材料包括但不限于第三方检测机构出具的测试报告等证明材料）。）</w:t>
                  </w:r>
                </w:p>
                <w:p w14:paraId="4086B74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6.4公告管理功能：提供新增、修改和删除公告的功能，可指定公告的启用时间、截止时间、启用状态；公告内容支持普通本文模式和MarkDown模式；</w:t>
                  </w:r>
                </w:p>
                <w:p w14:paraId="37A9E4B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6.5日志记录功能：提供查看用户登录时间、退出时间等功能日志，可详细跟踪用户使用平台状态；</w:t>
                  </w:r>
                </w:p>
                <w:p w14:paraId="2AC7C71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6.6课程管理：提供新增、查看、搜索课程功能，包括设置课程名称、课程类型、动态年、课程排序、课程描述、课程备注、LOGO引用或上传并使用；提供进入课程、模拟做题功能；</w:t>
                  </w:r>
                </w:p>
                <w:p w14:paraId="26BE434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6.7试卷管理功能：提供新增、查看、搜索试卷功能，包括设置试卷名称、关联产品、发布状态、开放状态、模式选择（普通模式、单题模式、案例模式、综合模式）、题目组合、题目乱序、排序、动态年和备注；查看试卷后提供题型汇总功能，可查看试卷内题目类型、题数和总分情况，可预览和查看题目；</w:t>
                  </w:r>
                </w:p>
                <w:p w14:paraId="75DCEE8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6.8资源管理功能：提供新建资源库文件夹，整理资源数据功能，支持删除、移动、分享、上传、重命名等功能；</w:t>
                  </w:r>
                </w:p>
                <w:p w14:paraId="794D92F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6.9统计分析：包含站点统计（管理员账号可查看）和教学统计（教师账号可查看）；</w:t>
                  </w:r>
                </w:p>
                <w:p w14:paraId="6F0C929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6.9.1站点统计；汇总官方课程总数、官方微课总数、官方PPT总数、官方PDF总数、官方试卷总数、教师总数、学生总数、行政班总数、教学班总数；以动态图表的方式展示课程资源汇总、教师开课情况、年度课程学习人数汇总、在线人数统计（支持最近3小时、6小时区间切换）、学生新增人数；</w:t>
                  </w:r>
                </w:p>
                <w:p w14:paraId="787CF0A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6.9.2教学统计：汇总官方课程总数、官方微课总数、官方PPT总数、官方PDF总数、官方试卷总数、学生总数、行政班总数、教学班总数；以动态图表的方式展示课程资源汇总、学生新增人数、年度行政班人数汇总、年度教学班人数汇总；</w:t>
                  </w:r>
                </w:p>
                <w:p w14:paraId="7282543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6.10 个人信息管理：</w:t>
                  </w:r>
                </w:p>
                <w:p w14:paraId="72ACBD9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6.10.1提供账号姓名、头像和密码等修改功能；</w:t>
                  </w:r>
                </w:p>
                <w:p w14:paraId="459B9E4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6.10.2提供绑定手机号码的功能，用户可以将账号与手机号码绑定，绑定后可以通过手机登录平台；</w:t>
                  </w:r>
                </w:p>
                <w:p w14:paraId="19CB71A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6.11帮助工具：提供帮助手册、密码锁屏和QQ咨询调用功能，用户可选择会计内容咨询或平台技术咨询，自动调用QQ跳转会话框进行咨询；提供数据查询列显隐功能；</w:t>
                  </w:r>
                </w:p>
                <w:p w14:paraId="5CC6747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7.学生端功能：</w:t>
                  </w:r>
                </w:p>
                <w:p w14:paraId="20AF3F7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7.1个人信息管理功能：</w:t>
                  </w:r>
                </w:p>
                <w:p w14:paraId="3CACF18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7.1.1提供账号姓名、密码等修改功能；</w:t>
                  </w:r>
                </w:p>
                <w:p w14:paraId="47E657B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7.1.2系统云平台提供绑定手机号码的功能，用户可以将账号与手机号码绑定，绑定后可以通过手机号输入验证码登录平台，同时支持绑定微信及QQ登录平台；</w:t>
                  </w:r>
                </w:p>
                <w:p w14:paraId="02B6D69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7.2学习统计功能：提供学生在课程下的学习状况统计雷达图，具有两张雷达图并可交互，一张雷达图显示每个项目的总分、合格分和得分信息，点击任意一个项目，另外一张雷达图对应显示该项目下每个任务的总分、合格分和得分信息；同时可以控制选择雷达图只显示总分、得分、合格分任意一种或组合信息；主界面还具有显示每个项目的总分、得分和正确率的统计列表，点击关闭按钮可隐藏该统计列表；</w:t>
                  </w:r>
                </w:p>
                <w:p w14:paraId="66AF110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7.3章节进度功能：在平台主界面展开任一项目，该项目下的每个子任务都自带有学习进度条，进度条具有百分比数值以及不同的颜色来展示学习进度；</w:t>
                  </w:r>
                </w:p>
                <w:p w14:paraId="60D57F2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7.4收藏题目功能：提供收藏题目功能，可在收藏列表中查看所有收藏的题目，方便针对性的学习；</w:t>
                  </w:r>
                </w:p>
                <w:p w14:paraId="7BFDFB4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7.5工具箱功能：提供普通计算器、科学计算器功能；提供金融计算器功能；</w:t>
                  </w:r>
                </w:p>
                <w:p w14:paraId="3FD15FC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7.6嵌入式网页PPT功能：提供画笔标注功能，包括画笔、荧光笔、橡皮擦；提供上下翻页、单页单独打开功能；提供PPT导航、模糊搜索内容功能；提供场景对话交互功能；内置客观题，包括单选、多选、判断等题型，支持将PPT切换成PDF模式阅览；</w:t>
                  </w:r>
                </w:p>
                <w:p w14:paraId="4D62FE7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7.7答题（试卷）报告功能：根据每个章节的课后练习或者试卷答题情况一一对应生成单独的答题报告或者试卷报告，报告中包含整份课后练习或整套试卷的总正确率以及每种题型的正确率统计图，包含课后练习或试卷的各类型题目的正确数、错误数、已做题目数、未做题目数和题目总数的统计表，可以查看到学生具体答题信息、正确答案以及题目解析，并支持将答题报告及试卷报告导出为PDF文档；</w:t>
                  </w:r>
                </w:p>
                <w:p w14:paraId="5BA3D0F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7.8签到系统：内嵌签到模块，在指定时间内进行签到，在表格模式进行签到操作及查看签到情况及状态，在图形模式下统计签到记录情况；</w:t>
                  </w:r>
                </w:p>
                <w:p w14:paraId="733F1BC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7.9排行榜：内嵌排行榜模块，可以查看同班同学的总分得分情况，图形模式以柱状图进行显示总分得分情况；</w:t>
                  </w:r>
                </w:p>
                <w:p w14:paraId="089EAB8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▲8.RPA实战开发案例，满足以下功能：</w:t>
                  </w:r>
                </w:p>
                <w:p w14:paraId="27008FF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提供配套PPT及慕课视频，慕课视频包含PPT课件讲解及RPA机器人开发实际操作过程；提供案例描述，提供流程梳理设计图、业务数据（支持下载预览）等内容，支持快捷跳转RPA开发环境系统；案例支持系统自动判分，要求能够查看结果展示包括分值、开发环境系统详情等信息，要求能够重置开发环境系统数据从而配合支持重复运行RPA机器人；提供具体的图文操作步骤讲解，以便学生能够对照讲解一步步完成RPA机器人的开发，并提供完整的RPA源码包（支持下载），提供相关总结拓展，引导学生拓展开发其他RPA机器人；（投标人应提供充足的佐证材料，完整体现以上功能参数（佐证材料包括但不限于第三方检测机构出具的测试报告等证明材料）。）</w:t>
                  </w:r>
                </w:p>
                <w:p w14:paraId="3FA2E27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9.平台配套提供终端载体单机版，要求具有在无网络状态使用，内置以下功能模块：（本条需进行功能演示）</w:t>
                  </w:r>
                </w:p>
                <w:p w14:paraId="2A9246B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9.1互动财会游戏功能模块，满足以下要求：</w:t>
                  </w:r>
                </w:p>
                <w:p w14:paraId="2DF0F4E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9.1.1要求游戏总数量≥50个；要求游戏类型应该是多样性的，具有支持拖拉拽操作、具有闯关模式等典型的游戏特征（不是简单的单选、多选、判断类型）；要求游戏内容与财会专业知识点相关，需随机抽取至少5个不同的游戏展示，游戏内容举例：战略地图游戏：通过拖拉拽的形式完成战略地图绘制。企业经营沙盘游戏：通过小沙盘的形式，模拟一家企业一年的经营，并且包含资产负债表的动态展示。数电发票识别游戏：通过游戏的形式，让学生学习了解财务机器人发票识别的步骤与过程；</w:t>
                  </w:r>
                </w:p>
                <w:p w14:paraId="4A01A3A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9.1.2自定义房间名称功能：设置游戏时间及次数限制，游戏开始时间及持续时间；</w:t>
                  </w:r>
                </w:p>
                <w:p w14:paraId="797FB85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9.1.3排行榜功能：具有竞赛比拼并提供排行，增加课堂趣味性，可重复进行游戏；</w:t>
                  </w:r>
                </w:p>
                <w:p w14:paraId="75504AF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9.1.4在线游戏互动功能：学生可通过手机扫描系统中的会计游戏二维码，实现在手机上进行随堂游戏的互动体验；</w:t>
                  </w:r>
                </w:p>
                <w:p w14:paraId="5815176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9.2微课制作功能模块，要求具有以下功能：</w:t>
                  </w:r>
                </w:p>
                <w:p w14:paraId="493A1D1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9.2.1可直接导入PPT并保留PPT所有动画效果，生成视频微课；</w:t>
                  </w:r>
                </w:p>
                <w:p w14:paraId="18A91DA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9.2.2制作过程可自动录音，可合成至生成的视频微课中；</w:t>
                  </w:r>
                </w:p>
                <w:p w14:paraId="46BDF1A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9.2.3微课制作时具有两个摄像头切换录制，第一摄像头和第二摄像头可随时切换录制现场人像或现场展示资料，录制内容可合成至生成的视频微课中；</w:t>
                  </w:r>
                </w:p>
                <w:p w14:paraId="03E2D4F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9.2.4微课制作过程中可随时板书，录制板书操作，并合成到生成的视频微课；</w:t>
                  </w:r>
                </w:p>
                <w:p w14:paraId="62B1850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9.2.5微课保存为视频时，可选择添加背景音乐，使制作的微课全程具有背景音乐效果，背景音乐提供多种选择；</w:t>
                  </w:r>
                </w:p>
                <w:p w14:paraId="7CA98BD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10.平台配套提供云课堂手机APP，实现云课堂功能，可以为老师和学生在互联环境下达到沟通、资源共享、课堂考核的作用，体验互动教学与作业跟踪等新的教学模式：</w:t>
                  </w:r>
                </w:p>
                <w:p w14:paraId="5CEDA94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10.1自定义签到：教师端可自定义课堂签到手势，学生端即可以规定手势进行签到；</w:t>
                  </w:r>
                </w:p>
                <w:p w14:paraId="79F2AF5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10.2投票管理：教师端可自主编辑投票的标题、投票的内容、投票后是否立即显示结果、投票，学生端即可参与老师编辑好的投票；</w:t>
                  </w:r>
                </w:p>
                <w:p w14:paraId="767D8CD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10.3签章划线功能：APP版具有实务题签章划线。记账凭证具有盖章，盖章位置直接通过手势滑动确定位置，记账凭证具有画线，画线起点和终点位置直接通过手势滑动确定，实训题具有业务流程，具有提交下一步、退回上一步操作功能，能够进行智能答案判断，错误之处使用深色背景标识；</w:t>
                  </w:r>
                </w:p>
                <w:p w14:paraId="1C0DD0C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11.平台配套提供会计信息化账务处理手机APP，供学生移动学习体验会计信息化常见功能模块：</w:t>
                  </w:r>
                </w:p>
                <w:p w14:paraId="35EBE7E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11.1初始设置：登录后可自定义创建账套，若已有账套，则直接进入角色登录界面；</w:t>
                  </w:r>
                </w:p>
                <w:p w14:paraId="4675609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11.2角色登录：提供四个岗位角色登录，具有网络版管理员针对实际情况分配角色登录权限；</w:t>
                  </w:r>
                </w:p>
                <w:p w14:paraId="432B16B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11.3登录首页：包含凭证列表、审核凭证、记账、期末结账、结转损益、财务报表、查询/修改、明细账、总账、科目余额表等十个子功能模块；</w:t>
                  </w:r>
                </w:p>
                <w:p w14:paraId="1004A8B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12.▲平台配套提供电子游戏沙盘：采用趣味小游戏的方式模拟财务共享推演，沙盘包含FSSC战略定位、建设模式设计、选址城市评估、职能调整、组织结构、人员测算、流程优化前提、流程职责切分、流程优化设计共9个关卡；游戏沙盘包含前情提要、集团背景、关卡任务资料、工具箱、自动判分、正确答案查看等功能，采用拖拽小旗、拖拽卡片、动态箭头指示等游戏互动操作方式完成沙盘推演；（投标人应提供充足的佐证材料，完整体现以上功能参数（佐证材料包括但不限于第三方检测机构出具的测试报告等证明材料）。）</w:t>
                  </w:r>
                </w:p>
                <w:p w14:paraId="582FFBB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13.平台配套提供物理沙盘：包括1个盘面、2本手册，以及演算表不少于10张、流程清单不少于35张、操作卡片不少于180个。盘面与电子游戏沙盘9大关卡对应，用于放置和调整操作卡片；手册是物理沙盘的参考资料，用于提供案例主体的基础信息及背景；演算表用于提供操作指导，记录推演中的计算过程和结果；操作卡片用于摆盘，玩家可以通过放置、移动操作卡片模拟建设财务共享中心的过程；</w:t>
                  </w:r>
                </w:p>
                <w:p w14:paraId="15216A6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（二）内容参数</w:t>
                  </w:r>
                </w:p>
                <w:p w14:paraId="31ADC8A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1.主要章节内容：</w:t>
                  </w:r>
                </w:p>
                <w:p w14:paraId="5A00675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1.1前言课程导入：认识RPA及其应用领域；RPA机器人——UiPath；</w:t>
                  </w:r>
                </w:p>
                <w:p w14:paraId="7E5540D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1.2项目一 走进RPA财务机器人世界：任务一 什么是RPA机器人（RPA的概念，RPA的功能和特点，RPA的优势，RPA财务机器人）；任务二 RPA机器人的应用领域（RPA机器人的应用领域，经典应用案例介绍）；任务三 财务人员为什么要学RPA；</w:t>
                  </w:r>
                </w:p>
                <w:p w14:paraId="456AFB0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1.3项目二 RPA财务机器人基础UiPath认知：任务一 UiPath介绍（UiPath概述，UiPath界面介绍，项目的新建与打开）；任务二 UiPath 变量（变量的概念，变量的创建与删除，变量的数据类型，变量数据类型的转换，运算符）；任务三 UiPath 常用活动介绍（初识活动，工作流类型，常用鼠标操作活动，常用键盘输入活动，其他常用活动）；小案例 股票信息查询机器人；小案例 利润计算机器人；任务四 条件分支活动（IF条件，流程决策，切换，流程切换）；小案例 居民工资薪金所得计算机器人；小案例 猜数字游戏机器人；任务五 条件循环活动（先条件循环，后条件循环，遍历循环，循环中断）；小案例 企业所得税测算机器人；</w:t>
                  </w:r>
                </w:p>
                <w:p w14:paraId="5238CD7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1.4项目三 RPA财务机器人Excel应用：任务一 Excel基本活动介绍（Excel操作自动化，表格类活动，正在处理类活动）；小案例 工资结算机器人；任务二 数据表活动介绍（认识数据表，数据表常用活动介绍）；小案例 费用汇总机器人；</w:t>
                  </w:r>
                </w:p>
                <w:p w14:paraId="16D07F5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1.5项目四 RPA财务机器人Email应用：任务一 RPA操作Email的环境准备（E-mail简介，开启POP3、IMAP、SMTP协议，RPA机器人如何操作Email）；任务二 RPA发送邮件（认识发送 SMTP 邮件消息活动，使用RPA发送单个邮件，使用RPA批量发送邮件）；小案例  RPA E-mail工资条发放机器人；任务三 RPA读取邮件（使用RPA获取邮件消息；使用RPA保存邮件附件）；小案例 批量下载邮件附件机器人；</w:t>
                  </w:r>
                </w:p>
                <w:p w14:paraId="220099E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1.6项目五 RPA财务机器人Web应用：任务一 Web基本操作介绍（操作浏览器活动介绍；录制器；选取器；选取UI元素的快捷键）；小案例 企业信息查询机器人；任务二 Web数据抓取（数据抓取；屏幕抓取）；小案例 抓取招聘信息机器人；小案例 RPA数据抓取机器人；</w:t>
                  </w:r>
                </w:p>
                <w:p w14:paraId="1EA538C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1.7项目六 RPA财务机器人实战开发：实战案例 网银付款机器人，实战案例 银企对账机器人；（Part1案例描述；Part2流程设计；Part3实施开发；Part4总结拓展）；</w:t>
                  </w:r>
                </w:p>
                <w:p w14:paraId="135D3FD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1.8 项目七 RPA财务机器人部署与运维：任务一 RPA财务机器人部署（影响流程选择的因素，Orchestrator，本地发布）；任务二 RPA财务机器人运维（运维方法，UiPath常见异常，UiPath常见异常处理活动，UiPath版本建议）；</w:t>
                  </w:r>
                </w:p>
                <w:p w14:paraId="640D8CF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1.9 项目八 AI+RPA融合应用：决策支持：投资理财决策；</w:t>
                  </w:r>
                </w:p>
                <w:p w14:paraId="057DCA7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2.教学资源：</w:t>
                  </w:r>
                </w:p>
                <w:p w14:paraId="7241A76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2.1 PPT课件（不少于30个）：包含上述项目任务内容；</w:t>
                  </w:r>
                </w:p>
                <w:p w14:paraId="5203358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2.2慕课视频（不少于40个）：包含上述项目任务内容；</w:t>
                  </w:r>
                </w:p>
                <w:p w14:paraId="0D482A7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2.3教学动画微课视频（不少于2个）；</w:t>
                  </w:r>
                </w:p>
                <w:p w14:paraId="6FBD285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2.4机器人运行小视频（不少于10个）：包含RPA网银付款机器人、RPA银企对账机器人、PA发票填开机器人、RPA仓储物料开单机器人、RPA增值税申报机器人等各典型财务应用机器人运行演示视频；</w:t>
                  </w:r>
                </w:p>
                <w:p w14:paraId="00D1621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2.5课堂习题（不少于60题）；</w:t>
                  </w:r>
                </w:p>
                <w:p w14:paraId="1EF33EA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2.6课后练习（不少于100题）；</w:t>
                  </w:r>
                </w:p>
                <w:p w14:paraId="1151EB6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实操案例（不少于10个）：包含RPA发票填开机器人、RPA仓储物料开单机器人、RPA网银复核机器人、RPA账龄分析机器人、RPA增值税申报机器人、RPA企业所得税申报机器人等各典型财务应用机器人实操案例，各案例提供对应操作文档、源码包及开发环境；</w:t>
                  </w:r>
                </w:p>
                <w:p w14:paraId="51A0EFB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4.拓展资源（不少于10个）：包含RPA网银付款机器人、RPA银企对账机器人、RPA企业往来对账机器人、RPA费用报销机器人等典型财务应用机器人的源码包及运行视频。</w:t>
                  </w:r>
                </w:p>
                <w:p w14:paraId="6AF13A6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（三）AIGC智教平台模块</w:t>
                  </w:r>
                </w:p>
                <w:p w14:paraId="5CD39A4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1.AIGC智教在线云平台，无需本地安装，提供在线云服务，平台涵盖智能问答、课程设计、教学大纲、教案设计、智能出题、PPT 生成、财务分析七大核心模块。</w:t>
                  </w:r>
                </w:p>
                <w:p w14:paraId="60AD161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1.1智能问答模块：包含会计助手、平台助手、出题助手、Python智能助手等功能，还具有自由提问交互。</w:t>
                  </w:r>
                </w:p>
                <w:p w14:paraId="382C072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1.2课程设计模块：具有输入课程名称、专业年级、课程定位及其他构思详情等关键信息，在 AI 课程设计生成区输出一套完整的课程设计方案。</w:t>
                  </w:r>
                </w:p>
                <w:p w14:paraId="4836F43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1.3教学大纲模块：完成前置设计、教学内容以及考核设计三大关键步骤，快速生成逻辑严谨、内容详实的教学大纲。</w:t>
                  </w:r>
                </w:p>
                <w:p w14:paraId="0400BF1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1.4教案设计模块:完成前置设计环节、教学过程环节两步骤关键信息设计，快速生成步骤详实、互动性强的教案。</w:t>
                  </w:r>
                </w:p>
                <w:p w14:paraId="5A57917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1.5智能出题模块:完成设置出题方式、题目数量、知识点及难易程度等参数，自动高效生成知识点覆盖率高、重复率低的优质题目。</w:t>
                  </w:r>
                </w:p>
                <w:p w14:paraId="074DB2B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1.6 PPT生成模块：具有输入的 PPT 生成要求，迅速转化为结构清晰的大纲，提供丰富多样的主题样式供选择，一键生成图文并茂、排版美观的 PPT。</w:t>
                  </w:r>
                </w:p>
                <w:p w14:paraId="1CEF8D5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1.7财务分析模块：具有选定所属行业、企业名称、起止年份及分析维度等关键参数。一键生成财务分析报告，报告涵盖核心指标计算、趋势分析与同行业对比。</w:t>
                  </w:r>
                </w:p>
                <w:p w14:paraId="05754D2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2.课程思政资源库，划分为思政案例库、思政专题库和思政元素库等模块。</w:t>
                  </w:r>
                </w:p>
                <w:p w14:paraId="20D9139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2.1思政案例库内容丰富，涵盖爱岗敬业、诚实守信、廉洁自律、法治精神等不少于10个核心主题，收录超过100个生动案例，旨在通过具体事例引导师生树立正确的价值观念。</w:t>
                  </w:r>
                </w:p>
                <w:p w14:paraId="729B905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2.2思政专题库包含“向总书记学习”、“红色历史”、“时代楷模”、“科技强国”等不少于50个专题案例，深入挖掘时代主题，传承红色基因。</w:t>
                  </w:r>
                </w:p>
                <w:p w14:paraId="5C8F869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2.3思政元素库涵盖马克思主义基本观点与方法、社会主义核心价值观、乡村振兴等不少于250个元素案例，为教育教学提供了丰富的思政素材，助力全面提升师生的思想政治素养。</w:t>
                  </w:r>
                </w:p>
                <w:p w14:paraId="0A59A65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（四）线上共享记账平台（配套≥50个为期24个月在线共享记账平台账号）</w:t>
                  </w:r>
                </w:p>
                <w:p w14:paraId="41BD866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1.智能日记账：</w:t>
                  </w:r>
                </w:p>
                <w:p w14:paraId="666A4B2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1.1日记账能够支持电脑、手机使用，手机上使用时按手机屏幕比例显示清晰，具有权限设置，分登记权限、修改权限、删除权限、对账权限等；可设置账户管理人员，只有具备账户管理权限的人员才能查询、并且管理此账户中的收支记录；</w:t>
                  </w:r>
                </w:p>
                <w:p w14:paraId="036FFE7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1.2▲具备智能记账功能，录入一段文字就可智能分析出交易日期、交易金额、收支科目、对方单位、部门、经办人，并且根据部门分析收支科目为销售费用、管理费用等；（投标人应提供充足的佐证材料，完整体现以上功能参数（佐证材料包括但不限于第三方检测机构出具的测试报告等证明材料）。）</w:t>
                  </w:r>
                </w:p>
                <w:p w14:paraId="5002627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1.3记账时具有选择本地图片、QQ截图并直接粘贴在界面上、手机微信扫码无缝上传三种方式将原始票据附在账目上，并且可进行放大、缩小、旋转、拖拽显示；</w:t>
                  </w:r>
                </w:p>
                <w:p w14:paraId="6DC255C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1.4能生成月报表，按柱状图显示13个月收入、支出、利润、账面余额；可同时选取5个收支科目进行13个月对比，以曲线图方式展示数据的变化趋势及相互作用关系；能将月报表导出成Excel文件格式；</w:t>
                  </w:r>
                </w:p>
                <w:p w14:paraId="38829DD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1.5▲账面总览：展示总金额以及银行账户的余额并按照月份进行图表的呈现。根据需要进行本月收入小计、本月支出小计、本月收支差、本月应收余额、本月应付余额、全部应收余额、全部应付余额以及本月支出TOP5等项目的统计分析；（投标人应提供充足的佐证材料，完整体现以上功能参数（佐证材料包括但不限于第三方检测机构出具的测试报告等证明材料）。）</w:t>
                  </w:r>
                </w:p>
                <w:p w14:paraId="139BA35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2.应收应付：</w:t>
                  </w:r>
                </w:p>
                <w:p w14:paraId="37E4254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2.1具有收款核销或付款核销，核销过程中允许抹零扣费，即抹掉零头、扣除手续费、其他扣费，具有两种核销方式，直接录入核销金额或者从已有的收支账目中选取进行核销；</w:t>
                  </w:r>
                </w:p>
                <w:p w14:paraId="2BADA6A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2.2登记应收应付时具有选择本地图片、QQ截图并直接粘贴在界面上、手机微信扫码无缝上传三种方式将原始票据附在日记账上；</w:t>
                  </w:r>
                </w:p>
                <w:p w14:paraId="4E34E42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2.3具有合并收款或合并付款，多笔应收应付可合并，合并后还可跟未合并的记录进行多次合并，应收应付金额自动根据被合并的记录计算，合并后的记录可取消合并；</w:t>
                  </w:r>
                </w:p>
                <w:p w14:paraId="58C931E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3.物品管理：</w:t>
                  </w:r>
                </w:p>
                <w:p w14:paraId="4F4C5DA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3.1▲原材料、产成品、礼品管理：对企业的原材料、产成品、礼品进行入库、领用、库存等方面的管理，以及查看领用流水、原材料、产成品、礼品报表等功能，帮助掌握公司的原材料、产成品及礼品的实际情况；（投标人应提供充足的佐证材料，完整体现以上功能参数（佐证材料包括但不限于第三方检测机构出具的测试报告等证明材料）。）</w:t>
                  </w:r>
                </w:p>
                <w:p w14:paraId="108601F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3.2▲具有打印送货单，送货单可根据需要设置是否显示单价、金额，送货单上打印二维码，通过微信扫一扫查看电子送货单；（投标人应提供充足的佐证材料，完整体现以上功能参数（佐证材料包括但不限于第三方检测机构出具的测试报告等证明材料）。）</w:t>
                  </w:r>
                </w:p>
                <w:p w14:paraId="58B8A08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3.3▲物品统计报表：按月份统计并列表显示出每一种物品的月初余额、本月入库、本月出库、月末库存余额；支持用曲线图表显示出某一种物品在多个月内入库、出库的曲线；（投标人应提供充足的佐证材料，完整体现以上功能参数（佐证材料包括但不限于第三方检测机构出具的测试报告等证明材料）。）</w:t>
                  </w:r>
                </w:p>
                <w:p w14:paraId="4D3C76A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4.费用报销：</w:t>
                  </w:r>
                </w:p>
                <w:p w14:paraId="653449B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4.1费用报销具有自定义报销类别，如差旅报销、日常费用报销等；填写报销单时允许自己为自己填写报销单，也允许为他们填写报销单；一笔报销单允许多行明细，如机票费、住宿费等；</w:t>
                  </w:r>
                </w:p>
                <w:p w14:paraId="7F34C0C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4.2填写报销单时具有选择本地图片、QQ截图并直接粘贴在界面上、手机微信扫码无缝上传三种方式附上原始票据附，最多可附15张原始票据；（本条需进行功能演示）</w:t>
                  </w:r>
                </w:p>
                <w:p w14:paraId="6D5ED2A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4.3具有费用报销审批，可一次选择多级审批，也可一次选择一级，等这一级审批通过后填报人再选择一级进行审批的方式，最后一级审批完成可设置为自动交出纳付款；审批过程中，可审批通过、审批不通过，退回，或者提交人可撤回；</w:t>
                  </w:r>
                </w:p>
                <w:p w14:paraId="65C0041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5.项目（合同）管理：</w:t>
                  </w:r>
                </w:p>
                <w:p w14:paraId="231A290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5.1项目管理列表显示项目金额、已收金额、应收余额、已付金额、应付余额、利润；</w:t>
                  </w:r>
                </w:p>
                <w:p w14:paraId="748583B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5.2项目详情显示与本项目（合同）有关的全部收支记录，有关的全部物品入库出库记录，有关的全部应收应付记录；</w:t>
                  </w:r>
                </w:p>
                <w:p w14:paraId="4D22D7B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5.3项目（合同）利润计算方式，可设置为按已收金额减去已付金额、应收金额减去应付金额、应收金额-已付金额、已收金额-应付金额或者应收金额-应付金额-日记账支出金额等≥五种方式；（本条需进行功能演示）</w:t>
                  </w:r>
                </w:p>
                <w:p w14:paraId="3D9E5A0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6.工资管理：</w:t>
                  </w:r>
                </w:p>
                <w:p w14:paraId="7D16116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6.1▲工资管理：具有添加、查询工资表。以工资模版的形式对工资表进行工资项目的调整。按年或者部门等方式进行工资的统计分析。工资表可以逐月进行调整、复核以及工资条发放以及工资条的导出备份，同时发放工资条时还可以以短信的方式进行通知；（投标人应提供充足的佐证材料，完整体现以上功能参数（佐证材料包括但不限于第三方检测机构出具的测试报告等证明材料）。）</w:t>
                  </w:r>
                </w:p>
                <w:p w14:paraId="07661D0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6.2具有复核工资表，复核时可选择已有工资表进行对比，高亮显示同一员工不同之处，便于领导发现本月工资表与往月不一样之处；</w:t>
                  </w:r>
                </w:p>
                <w:p w14:paraId="33EB290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6.3具有工资表记账，可将选定的员工工资记录合并为一笔产生一笔日记账，也可批量逐笔自动生成相同数量的日记账记录，具有从已有日记账中选取记录关联到工资表；</w:t>
                  </w:r>
                </w:p>
                <w:p w14:paraId="67843CE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6.4具有将工资表导出为Excel文件，并且可选择是否每一行打印表头，方便打印成工资条；</w:t>
                  </w:r>
                </w:p>
                <w:p w14:paraId="42907CF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7.其他功能：</w:t>
                  </w:r>
                </w:p>
                <w:p w14:paraId="4F0F14F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7.1▲客户管理：具有客户的添加、收回、分配以及查询功能，并且具有excel的形式进行客户的导入与导出功能；（投标人应提供充足的佐证材料，完整体现以上功能参数（佐证材料包括但不限于第三方检测机构出具的测试报告等证明材料）。）</w:t>
                  </w:r>
                </w:p>
                <w:p w14:paraId="3EDEE24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7.2项目管理：包括项目开始结束日期，项目类别、项目金额、应付金额、应收金额，自动关联日记账数据，自动计算出已付金额、应付余额或已收金额、应收余额；（本条需进行功能演示）</w:t>
                  </w:r>
                </w:p>
                <w:p w14:paraId="3019B33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7.3工作周记：按照工作计划以及工作日记的形式进行记录，同时可以提供附加图片功能。管理员可以对每个用户进行权限管辖，以控制该用户查看周记的范围；（本条需进行功能演示）</w:t>
                  </w:r>
                </w:p>
                <w:p w14:paraId="5577157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7.4外部报表功能：供上传税务账报表功能，可接受多种格式excel税务账报表，包括资产负债表，利润表、科目余额表等，上传的表格可设置分栏显示，包括分栏列头，方便在移动设备上查看报表；</w:t>
                  </w:r>
                </w:p>
                <w:p w14:paraId="311A168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7.5发票查重：提供发票查重具有两种方式，可通过手机扫一扫扫描电子发票的二维码实现查重，也可通过手工输入发票号码实现查重。</w:t>
                  </w:r>
                </w:p>
              </w:tc>
              <w:tc>
                <w:tcPr>
                  <w:tcW w:w="939" w:type="dxa"/>
                </w:tcPr>
                <w:p w14:paraId="5642E24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1套</w:t>
                  </w:r>
                </w:p>
              </w:tc>
            </w:tr>
          </w:tbl>
          <w:p w14:paraId="1EBE0D98">
            <w:pPr>
              <w:spacing w:line="360" w:lineRule="auto"/>
              <w:rPr>
                <w:rFonts w:hint="eastAsia" w:ascii="仿宋" w:hAnsi="仿宋" w:eastAsia="仿宋" w:cs="仿宋"/>
                <w:sz w:val="24"/>
                <w:szCs w:val="24"/>
              </w:rPr>
            </w:pPr>
          </w:p>
        </w:tc>
      </w:tr>
    </w:tbl>
    <w:p w14:paraId="3BF85DE3">
      <w:pPr>
        <w:pStyle w:val="12"/>
        <w:spacing w:line="360" w:lineRule="auto"/>
        <w:outlineLvl w:val="2"/>
        <w:rPr>
          <w:rFonts w:hint="eastAsia" w:ascii="仿宋" w:hAnsi="仿宋" w:eastAsia="仿宋" w:cs="仿宋"/>
          <w:sz w:val="24"/>
          <w:szCs w:val="24"/>
        </w:rPr>
      </w:pPr>
      <w:bookmarkStart w:id="34" w:name="_Toc30825"/>
      <w:r>
        <w:rPr>
          <w:rFonts w:hint="eastAsia" w:ascii="仿宋" w:hAnsi="仿宋" w:eastAsia="仿宋" w:cs="仿宋"/>
          <w:b/>
          <w:sz w:val="24"/>
          <w:szCs w:val="24"/>
        </w:rPr>
        <w:t>3.4商务要求</w:t>
      </w:r>
      <w:bookmarkEnd w:id="34"/>
    </w:p>
    <w:p w14:paraId="3F420185">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 xml:space="preserve"> 3.4.1交货时间</w:t>
      </w:r>
    </w:p>
    <w:p w14:paraId="244C256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w:t>
      </w:r>
    </w:p>
    <w:p w14:paraId="0557253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合同签订后30个日历日内。</w:t>
      </w:r>
    </w:p>
    <w:p w14:paraId="0B23264C">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3.4.2交货地点</w:t>
      </w:r>
    </w:p>
    <w:p w14:paraId="7AB5DD1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w:t>
      </w:r>
    </w:p>
    <w:p w14:paraId="4DE49AE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陕西铁路工程职业技术学院指定地点</w:t>
      </w:r>
    </w:p>
    <w:p w14:paraId="0143AF93">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3.4.3支付方式</w:t>
      </w:r>
    </w:p>
    <w:p w14:paraId="55AE3CD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w:t>
      </w:r>
    </w:p>
    <w:p w14:paraId="545CBDC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分期付款</w:t>
      </w:r>
    </w:p>
    <w:p w14:paraId="6C5CE9F6">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3.4.4支付约定</w:t>
      </w:r>
    </w:p>
    <w:p w14:paraId="312C91C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 付款条件说明： 软件安装部署完成后 ，达到付款条件起 15 日内，支付合同总金额的 80.00%。</w:t>
      </w:r>
    </w:p>
    <w:p w14:paraId="6AC28EC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 付款条件说明： 最终验收合格后，乙方持《终验合格单》原件和全额增值税专用发票 ，达到付款条件起 15 日内，支付合同总金额的 20.00%。</w:t>
      </w:r>
    </w:p>
    <w:p w14:paraId="1EFB7D24">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3.4.5验收标准和方法</w:t>
      </w:r>
    </w:p>
    <w:p w14:paraId="5E642F3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w:t>
      </w:r>
    </w:p>
    <w:p w14:paraId="5CBC964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产品质量必须符合国家有关规范和相关政策。 1.项目验收分初验和终验: 初验：产品交付后，由使用单位根据合同对产品的名称、品牌、规格、型号等进行检查。终验：产品安装、调试完毕，正常使用10个日历日后，由采购人进行终验（最终验收）。 2.验收不合格的中标单位，必须在接到通知后7个日历日内确保产品通过验收。如接到通知后7个日历日内验收仍不合格，采购人可提出索赔或取消其供货合同。 3.验收依据： 3.1合同文本及合同补充文件（条款）； 3.2产品的合法来源渠道证明文件、响应功能证明材料； 3.3招标文件； 3.4中标人的投标文件； 3.5产品清单； 3.6生产厂家的企业资质、产品的执行标准。</w:t>
      </w:r>
    </w:p>
    <w:p w14:paraId="3F0FCE43">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3.4.6包装方式及运输</w:t>
      </w:r>
    </w:p>
    <w:p w14:paraId="1C949CA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w:t>
      </w:r>
    </w:p>
    <w:p w14:paraId="5FB469C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涉及的商品包装和快递包装，均应符合《商品包装政府采购需求标准（试行）》《快递包装政府采购需求标准（试行）》的要求，包装应适应于远距离运输、防潮、防震、防锈和防野蛮装卸，以确保货物安全无损运抵指定地点。</w:t>
      </w:r>
    </w:p>
    <w:p w14:paraId="269EDD39">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3.4.7质量保修范围和保修期</w:t>
      </w:r>
    </w:p>
    <w:p w14:paraId="32568DA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w:t>
      </w:r>
    </w:p>
    <w:p w14:paraId="17F492F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1.自验收合格之日起智能财务报账系统三年、财务机器人应用与开发平台五年。 2.培训及服务要求 2.1中标人需派专业技术人员向采购人提供全面的培训，确保用户能够对本次采购的系统、设备有足够的了解，包括但不限于其基本结构、性能、日常使用操作、常见故障的排除、紧急情况的处理,培训方式不限于文本、视频等。 2.2中标人建设完成后需每月按要求出具系统运维服务报告（内容主要包括系统运行数据及专项服务内容等）；每月应上门向用户提供系统维护技术信息，便于用户及时地获取最新的系统维护技术，合理地配置、维护资源。</w:t>
      </w:r>
    </w:p>
    <w:p w14:paraId="0C015EE7">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3.4.8违约责任与解决争议的方法</w:t>
      </w:r>
    </w:p>
    <w:p w14:paraId="69141D4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w:t>
      </w:r>
    </w:p>
    <w:p w14:paraId="3A48AB3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按《中华人民共和国民法典》中的相关条款执行。2.未按合同要求提供产品或设备质量不能满足技术要求，采购人有权终止合同，并对供方违约行为进行追究，同时按《中华人民共和国政府采购法》的有关规定进行处罚。</w:t>
      </w:r>
    </w:p>
    <w:p w14:paraId="54C38B15">
      <w:pPr>
        <w:pStyle w:val="12"/>
        <w:spacing w:line="360" w:lineRule="auto"/>
        <w:jc w:val="left"/>
        <w:outlineLvl w:val="2"/>
        <w:rPr>
          <w:rFonts w:hint="eastAsia" w:ascii="仿宋" w:hAnsi="仿宋" w:eastAsia="仿宋" w:cs="仿宋"/>
          <w:sz w:val="24"/>
          <w:szCs w:val="24"/>
        </w:rPr>
      </w:pPr>
      <w:bookmarkStart w:id="35" w:name="_Toc27407"/>
      <w:r>
        <w:rPr>
          <w:rFonts w:hint="eastAsia" w:ascii="仿宋" w:hAnsi="仿宋" w:eastAsia="仿宋" w:cs="仿宋"/>
          <w:b/>
          <w:sz w:val="24"/>
          <w:szCs w:val="24"/>
        </w:rPr>
        <w:t>3.5其他要求</w:t>
      </w:r>
      <w:bookmarkEnd w:id="35"/>
    </w:p>
    <w:p w14:paraId="7912659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1.本项目采购标的对应的中小企业划分标准所属行业为软件和信息技术服务业。 2.演示要求：演示时长不得超过20分钟，演示内容详见评分标准，演示方式为现场真实环境演示，投标人自行准备演示设备。 3.中标人在领取中标通知书时提供一正三副纸质投标文件，纸质投标文件采用书籍（胶装）方式装订成册，须编制目录、页码和书脊，在书脊处标注项目名称和项目编号，与电子投标文件一致的签字、盖章的完整版本。 4.保证金汇款时请备注项目编号，保证金的退还：自中标通知书发出之日起5个工作日内退还未中标人的投标保证金,自采购合同签订之日起5个工作日内退还中标人的投标保证金。 5.采购人应按照采购文件和中标人投标文件，在中标通知书发出之日起25日内签订合同。</w:t>
      </w:r>
    </w:p>
    <w:p w14:paraId="119B06E7">
      <w:pPr>
        <w:pStyle w:val="12"/>
        <w:rPr>
          <w:rFonts w:hint="eastAsia" w:ascii="仿宋" w:hAnsi="仿宋" w:eastAsia="仿宋" w:cs="仿宋"/>
        </w:rPr>
      </w:pPr>
      <w:r>
        <w:rPr>
          <w:rFonts w:hint="eastAsia" w:ascii="仿宋" w:hAnsi="仿宋" w:eastAsia="仿宋" w:cs="仿宋"/>
        </w:rPr>
        <w:t xml:space="preserve"> </w:t>
      </w:r>
      <w:r>
        <w:rPr>
          <w:rFonts w:hint="eastAsia" w:ascii="仿宋" w:hAnsi="仿宋" w:eastAsia="仿宋" w:cs="仿宋"/>
        </w:rPr>
        <w:br w:type="textWrapping"/>
      </w:r>
      <w:r>
        <w:rPr>
          <w:rFonts w:hint="eastAsia" w:ascii="仿宋" w:hAnsi="仿宋" w:eastAsia="仿宋" w:cs="仿宋"/>
        </w:rPr>
        <w:br w:type="page"/>
      </w:r>
    </w:p>
    <w:p w14:paraId="2CC286CE">
      <w:pPr>
        <w:pStyle w:val="12"/>
        <w:jc w:val="center"/>
        <w:outlineLvl w:val="1"/>
        <w:rPr>
          <w:rFonts w:hint="eastAsia" w:ascii="仿宋" w:hAnsi="仿宋" w:eastAsia="仿宋" w:cs="仿宋"/>
        </w:rPr>
      </w:pPr>
      <w:bookmarkStart w:id="36" w:name="_Toc25638"/>
      <w:r>
        <w:rPr>
          <w:rFonts w:hint="eastAsia" w:ascii="仿宋" w:hAnsi="仿宋" w:eastAsia="仿宋" w:cs="仿宋"/>
          <w:b/>
          <w:sz w:val="36"/>
        </w:rPr>
        <w:t>第四章 资格审查</w:t>
      </w:r>
      <w:bookmarkEnd w:id="36"/>
    </w:p>
    <w:p w14:paraId="56A42CEA">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资格审查由采购人或代理机构组建的资格审查小组依据法律法规和招标文件的规定，对投标文件中的资格证明等进行审查，以确定投标人是否具备投标资格，并出具资格审查报告。</w:t>
      </w:r>
    </w:p>
    <w:p w14:paraId="682EB36A">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资格审查标准及要求如下：</w:t>
      </w:r>
    </w:p>
    <w:p w14:paraId="384600F8">
      <w:pPr>
        <w:pStyle w:val="12"/>
        <w:spacing w:line="360" w:lineRule="auto"/>
        <w:outlineLvl w:val="2"/>
        <w:rPr>
          <w:rFonts w:hint="eastAsia" w:ascii="仿宋" w:hAnsi="仿宋" w:eastAsia="仿宋" w:cs="仿宋"/>
          <w:sz w:val="24"/>
          <w:szCs w:val="24"/>
        </w:rPr>
      </w:pPr>
      <w:bookmarkStart w:id="37" w:name="_Toc9017"/>
      <w:r>
        <w:rPr>
          <w:rFonts w:hint="eastAsia" w:ascii="仿宋" w:hAnsi="仿宋" w:eastAsia="仿宋" w:cs="仿宋"/>
          <w:b/>
          <w:sz w:val="24"/>
          <w:szCs w:val="24"/>
        </w:rPr>
        <w:t>4.1一般资格审查</w:t>
      </w:r>
      <w:bookmarkEnd w:id="37"/>
    </w:p>
    <w:p w14:paraId="5BDF001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w:t>
      </w:r>
    </w:p>
    <w:tbl>
      <w:tblPr>
        <w:tblStyle w:val="10"/>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2492"/>
        <w:gridCol w:w="3322"/>
        <w:gridCol w:w="1661"/>
      </w:tblGrid>
      <w:tr w14:paraId="3C440AD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4DE0D01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序号</w:t>
            </w:r>
          </w:p>
        </w:tc>
        <w:tc>
          <w:tcPr>
            <w:tcW w:w="2492" w:type="dxa"/>
          </w:tcPr>
          <w:p w14:paraId="00B142E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审查内容</w:t>
            </w:r>
          </w:p>
        </w:tc>
        <w:tc>
          <w:tcPr>
            <w:tcW w:w="3322" w:type="dxa"/>
          </w:tcPr>
          <w:p w14:paraId="495493B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具体标准和要求</w:t>
            </w:r>
          </w:p>
        </w:tc>
        <w:tc>
          <w:tcPr>
            <w:tcW w:w="1661" w:type="dxa"/>
          </w:tcPr>
          <w:p w14:paraId="6834F4F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关联投标（响应）文件格式文件</w:t>
            </w:r>
          </w:p>
        </w:tc>
      </w:tr>
      <w:tr w14:paraId="646D9D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37EFE2C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w:t>
            </w:r>
          </w:p>
        </w:tc>
        <w:tc>
          <w:tcPr>
            <w:tcW w:w="2492" w:type="dxa"/>
          </w:tcPr>
          <w:p w14:paraId="2F5F340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供应商应具备《中华人民共和国政府采购法》第二十二条规定的条件</w:t>
            </w:r>
          </w:p>
        </w:tc>
        <w:tc>
          <w:tcPr>
            <w:tcW w:w="3322" w:type="dxa"/>
          </w:tcPr>
          <w:p w14:paraId="48EEF36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投标人需在项目电子化交易系统中按要求填写《投标函》完成承诺并进行电子签章。</w:t>
            </w:r>
          </w:p>
        </w:tc>
        <w:tc>
          <w:tcPr>
            <w:tcW w:w="1661" w:type="dxa"/>
          </w:tcPr>
          <w:p w14:paraId="5833930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资格证明文件 投标函</w:t>
            </w:r>
          </w:p>
        </w:tc>
      </w:tr>
      <w:tr w14:paraId="579BAD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259FA77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w:t>
            </w:r>
          </w:p>
        </w:tc>
        <w:tc>
          <w:tcPr>
            <w:tcW w:w="2492" w:type="dxa"/>
          </w:tcPr>
          <w:p w14:paraId="5BC9C86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供应商应提供健全的财务会计制度的证明材料；</w:t>
            </w:r>
          </w:p>
        </w:tc>
        <w:tc>
          <w:tcPr>
            <w:tcW w:w="3322" w:type="dxa"/>
          </w:tcPr>
          <w:p w14:paraId="080FBFB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投标人需在项目电子化交易系统中按要求上传相应证明文件并进行电子签章。与投标人特殊资格要求“财务状况报告”为同一审查项。</w:t>
            </w:r>
          </w:p>
        </w:tc>
        <w:tc>
          <w:tcPr>
            <w:tcW w:w="1661" w:type="dxa"/>
          </w:tcPr>
          <w:p w14:paraId="378B3E1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资格证明文件</w:t>
            </w:r>
          </w:p>
        </w:tc>
      </w:tr>
      <w:tr w14:paraId="4B487B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116A710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w:t>
            </w:r>
          </w:p>
        </w:tc>
        <w:tc>
          <w:tcPr>
            <w:tcW w:w="2492" w:type="dxa"/>
          </w:tcPr>
          <w:p w14:paraId="1DB6619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单位负责人为同一人或者存在直接控股、管理关系的不同供应商不得参加同一合同项下的政府采购活动； 为本项目提供整体设计、规范编制或者项目管理、监理、检测等服务的供应商，不得再参加该采购项目的其他采购活动。</w:t>
            </w:r>
          </w:p>
        </w:tc>
        <w:tc>
          <w:tcPr>
            <w:tcW w:w="3322" w:type="dxa"/>
          </w:tcPr>
          <w:p w14:paraId="4F700EE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投标人需在项目电子化交易系统中按要求上传相应证明文件并进行电子签章。与投标人特殊资格要求“控股关系查询”为同一审查项。</w:t>
            </w:r>
          </w:p>
        </w:tc>
        <w:tc>
          <w:tcPr>
            <w:tcW w:w="1661" w:type="dxa"/>
          </w:tcPr>
          <w:p w14:paraId="5F37389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资格证明文件 投标函</w:t>
            </w:r>
          </w:p>
        </w:tc>
      </w:tr>
    </w:tbl>
    <w:p w14:paraId="10AF2A18">
      <w:pPr>
        <w:pStyle w:val="12"/>
        <w:spacing w:line="360" w:lineRule="auto"/>
        <w:outlineLvl w:val="2"/>
        <w:rPr>
          <w:rFonts w:hint="eastAsia" w:ascii="仿宋" w:hAnsi="仿宋" w:eastAsia="仿宋" w:cs="仿宋"/>
          <w:sz w:val="24"/>
          <w:szCs w:val="24"/>
        </w:rPr>
      </w:pPr>
      <w:bookmarkStart w:id="38" w:name="_Toc20141"/>
      <w:r>
        <w:rPr>
          <w:rFonts w:hint="eastAsia" w:ascii="仿宋" w:hAnsi="仿宋" w:eastAsia="仿宋" w:cs="仿宋"/>
          <w:b/>
          <w:sz w:val="24"/>
          <w:szCs w:val="24"/>
        </w:rPr>
        <w:t>4.2特殊资格审查</w:t>
      </w:r>
      <w:bookmarkEnd w:id="38"/>
    </w:p>
    <w:p w14:paraId="2E394A5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w:t>
      </w:r>
    </w:p>
    <w:tbl>
      <w:tblPr>
        <w:tblStyle w:val="10"/>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54"/>
        <w:gridCol w:w="1646"/>
        <w:gridCol w:w="5016"/>
        <w:gridCol w:w="1206"/>
      </w:tblGrid>
      <w:tr w14:paraId="55EE77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25CAC9E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序号</w:t>
            </w:r>
          </w:p>
        </w:tc>
        <w:tc>
          <w:tcPr>
            <w:tcW w:w="2492" w:type="dxa"/>
          </w:tcPr>
          <w:p w14:paraId="07ED893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审查内容</w:t>
            </w:r>
          </w:p>
        </w:tc>
        <w:tc>
          <w:tcPr>
            <w:tcW w:w="3322" w:type="dxa"/>
          </w:tcPr>
          <w:p w14:paraId="22E66FF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具体标准和要求</w:t>
            </w:r>
          </w:p>
        </w:tc>
        <w:tc>
          <w:tcPr>
            <w:tcW w:w="1661" w:type="dxa"/>
          </w:tcPr>
          <w:p w14:paraId="648245F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关联投标（响应）文件格式文件</w:t>
            </w:r>
          </w:p>
        </w:tc>
      </w:tr>
      <w:tr w14:paraId="3B80BB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5448D2F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w:t>
            </w:r>
          </w:p>
        </w:tc>
        <w:tc>
          <w:tcPr>
            <w:tcW w:w="2492" w:type="dxa"/>
          </w:tcPr>
          <w:p w14:paraId="78F57C2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提供投标人合法注册的法人或者其他组织的营业执照等证明文件、自然人的身份证明</w:t>
            </w:r>
          </w:p>
        </w:tc>
        <w:tc>
          <w:tcPr>
            <w:tcW w:w="3322" w:type="dxa"/>
          </w:tcPr>
          <w:p w14:paraId="6B15B0A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提供投标人合法注册的法人或者其他组织的营业执照等证明文件、自然人的身份证明；</w:t>
            </w:r>
          </w:p>
        </w:tc>
        <w:tc>
          <w:tcPr>
            <w:tcW w:w="1661" w:type="dxa"/>
          </w:tcPr>
          <w:p w14:paraId="5EDBAB4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资格证明文件</w:t>
            </w:r>
          </w:p>
        </w:tc>
      </w:tr>
      <w:tr w14:paraId="016979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7DD18B6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w:t>
            </w:r>
          </w:p>
        </w:tc>
        <w:tc>
          <w:tcPr>
            <w:tcW w:w="2492" w:type="dxa"/>
          </w:tcPr>
          <w:p w14:paraId="74269F3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财务状况报告</w:t>
            </w:r>
          </w:p>
        </w:tc>
        <w:tc>
          <w:tcPr>
            <w:tcW w:w="3322" w:type="dxa"/>
          </w:tcPr>
          <w:p w14:paraId="6655B24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财务状况报告：提供2023年度或2024年度经第三方审计的审计报告，包括四表一注（成立时间至提交投标文件截止时间不足一年的可提供成立后任意时段的资产负债表）或开标前六个月内其基本存款账户开户银行出具的资信证明及开户银行许可证（或开户行出具的基本户证明材料）；注：财会〔〔2023〕15号文《财政部 国务院国资委 金融监管总局关于加强审计报告查验工作的通知》会计师事务所应当主动向被审计单位提供附验证码的审计报告。即2023年及以后的审计报告需附验证码；</w:t>
            </w:r>
          </w:p>
        </w:tc>
        <w:tc>
          <w:tcPr>
            <w:tcW w:w="1661" w:type="dxa"/>
          </w:tcPr>
          <w:p w14:paraId="4BE95DB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资格证明文件</w:t>
            </w:r>
          </w:p>
        </w:tc>
      </w:tr>
      <w:tr w14:paraId="12E657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432E972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w:t>
            </w:r>
          </w:p>
        </w:tc>
        <w:tc>
          <w:tcPr>
            <w:tcW w:w="2492" w:type="dxa"/>
          </w:tcPr>
          <w:p w14:paraId="3A4B74D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税收缴纳证明</w:t>
            </w:r>
          </w:p>
        </w:tc>
        <w:tc>
          <w:tcPr>
            <w:tcW w:w="3322" w:type="dxa"/>
          </w:tcPr>
          <w:p w14:paraId="14F7DF9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税收缴纳证明：提供截止至开标时间前一年内任意一个月的税收缴纳凭据（增值税、企业所得税至少提供一种，依法免税的投标人应提供相关文件证明）；</w:t>
            </w:r>
          </w:p>
        </w:tc>
        <w:tc>
          <w:tcPr>
            <w:tcW w:w="1661" w:type="dxa"/>
          </w:tcPr>
          <w:p w14:paraId="5A50CD0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资格证明文件</w:t>
            </w:r>
          </w:p>
        </w:tc>
      </w:tr>
      <w:tr w14:paraId="04BB1F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478882E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4</w:t>
            </w:r>
          </w:p>
        </w:tc>
        <w:tc>
          <w:tcPr>
            <w:tcW w:w="2492" w:type="dxa"/>
          </w:tcPr>
          <w:p w14:paraId="227A616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社会保障资金缴纳证明</w:t>
            </w:r>
          </w:p>
        </w:tc>
        <w:tc>
          <w:tcPr>
            <w:tcW w:w="3322" w:type="dxa"/>
          </w:tcPr>
          <w:p w14:paraId="56D2B44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社会保障资金缴纳证明：提供截止至开标时间前六个月内任意一个月的社保缴纳凭据或社保机构开具的社会保险参保缴纳情况证明（依法不需要缴纳社会保障资金的投标人应提供相关证明）；</w:t>
            </w:r>
          </w:p>
        </w:tc>
        <w:tc>
          <w:tcPr>
            <w:tcW w:w="1661" w:type="dxa"/>
          </w:tcPr>
          <w:p w14:paraId="19CF078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资格证明文件</w:t>
            </w:r>
          </w:p>
        </w:tc>
      </w:tr>
      <w:tr w14:paraId="07D5B4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1AE081D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5</w:t>
            </w:r>
          </w:p>
        </w:tc>
        <w:tc>
          <w:tcPr>
            <w:tcW w:w="2492" w:type="dxa"/>
          </w:tcPr>
          <w:p w14:paraId="32CCFD9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提供具有履行本合同所必需的设备和专业技术能力的说明及承诺</w:t>
            </w:r>
          </w:p>
        </w:tc>
        <w:tc>
          <w:tcPr>
            <w:tcW w:w="3322" w:type="dxa"/>
          </w:tcPr>
          <w:p w14:paraId="3FEB6CD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提供具有履行本合同所必需的设备和专业技术能力的说明及承诺（提供书面说明及承诺，加盖投标人公章）；</w:t>
            </w:r>
          </w:p>
        </w:tc>
        <w:tc>
          <w:tcPr>
            <w:tcW w:w="1661" w:type="dxa"/>
          </w:tcPr>
          <w:p w14:paraId="2129C97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资格证明文件</w:t>
            </w:r>
          </w:p>
        </w:tc>
      </w:tr>
      <w:tr w14:paraId="750170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7A17100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w:t>
            </w:r>
          </w:p>
        </w:tc>
        <w:tc>
          <w:tcPr>
            <w:tcW w:w="2492" w:type="dxa"/>
          </w:tcPr>
          <w:p w14:paraId="151AD67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提供参加政府采购活动前三年内在经营活动中没有重大违法记录的书面声明</w:t>
            </w:r>
          </w:p>
        </w:tc>
        <w:tc>
          <w:tcPr>
            <w:tcW w:w="3322" w:type="dxa"/>
          </w:tcPr>
          <w:p w14:paraId="2694B67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提供参加政府采购活动前三年内在经营活动中没有重大违法记录的书面声明（提供书面声明，加盖投标人公章）；</w:t>
            </w:r>
          </w:p>
        </w:tc>
        <w:tc>
          <w:tcPr>
            <w:tcW w:w="1661" w:type="dxa"/>
          </w:tcPr>
          <w:p w14:paraId="34D0668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资格证明文件</w:t>
            </w:r>
          </w:p>
        </w:tc>
      </w:tr>
      <w:tr w14:paraId="7AF491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4A45A67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w:t>
            </w:r>
          </w:p>
        </w:tc>
        <w:tc>
          <w:tcPr>
            <w:tcW w:w="2492" w:type="dxa"/>
          </w:tcPr>
          <w:p w14:paraId="28F9BFA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法定代表人授权委托书</w:t>
            </w:r>
          </w:p>
        </w:tc>
        <w:tc>
          <w:tcPr>
            <w:tcW w:w="3322" w:type="dxa"/>
          </w:tcPr>
          <w:p w14:paraId="41579BF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法定代表人授权委托书（附法定代表人身份证复印件、被授权人身份证复印件）；法定代表人直接参加投标提供法定代表人资格证明书（附法定代表人身份证复印件）；采购文件凡是法定代表人之处，非法人单位的负责人均参照执行（式样见投标文件格式）；</w:t>
            </w:r>
          </w:p>
        </w:tc>
        <w:tc>
          <w:tcPr>
            <w:tcW w:w="1661" w:type="dxa"/>
          </w:tcPr>
          <w:p w14:paraId="3357365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资格证明文件 法定代表人授权书</w:t>
            </w:r>
          </w:p>
        </w:tc>
      </w:tr>
      <w:tr w14:paraId="4893DB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77E9E6F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8</w:t>
            </w:r>
          </w:p>
        </w:tc>
        <w:tc>
          <w:tcPr>
            <w:tcW w:w="2492" w:type="dxa"/>
          </w:tcPr>
          <w:p w14:paraId="6B88775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信用查询</w:t>
            </w:r>
          </w:p>
        </w:tc>
        <w:tc>
          <w:tcPr>
            <w:tcW w:w="3322" w:type="dxa"/>
          </w:tcPr>
          <w:p w14:paraId="5C5CB22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不得为“信用中国”网站(http://www.creditchina.gov.cn)列入“失信被执行人（页面跳转至“中国执行信息公开网”http://zxgk.court.gov.cn/shixin/）、重大税收违法失信主体、政府采购严重违法失信行为记录名单”的投标人；不得为“中国政府采购网”网站(http://www.ccgp.gov.cn)“政府采购严重违法失信行为记录名单”中的投标人（根据财库【2019】38号文规定，此项由采购代理机构在投标截止日当天在“信用中国”网站和中国政府采购网站进行查询，截图留档；如网站无投标人信息的，投标人须提供相关证明资料或书面声明）；</w:t>
            </w:r>
          </w:p>
        </w:tc>
        <w:tc>
          <w:tcPr>
            <w:tcW w:w="1661" w:type="dxa"/>
          </w:tcPr>
          <w:p w14:paraId="587A558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资格证明文件</w:t>
            </w:r>
          </w:p>
        </w:tc>
      </w:tr>
      <w:tr w14:paraId="450373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48F9956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9</w:t>
            </w:r>
          </w:p>
        </w:tc>
        <w:tc>
          <w:tcPr>
            <w:tcW w:w="2492" w:type="dxa"/>
          </w:tcPr>
          <w:p w14:paraId="7381032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控股关系查询</w:t>
            </w:r>
          </w:p>
        </w:tc>
        <w:tc>
          <w:tcPr>
            <w:tcW w:w="3322" w:type="dxa"/>
          </w:tcPr>
          <w:p w14:paraId="7F59877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单位负责人为同一人或者存在直接控股、管理关系的不同投标人，不得参加同一合同项下的政府采购活动（根据财库【2019】38号文规定，此项由采购代理机构在投标截止日当天在“国家企业信用信息公示系统”进行查询，截图留档；如网站无投标人信息的，投标人须提供相关证明资料或书面声明）。</w:t>
            </w:r>
          </w:p>
        </w:tc>
        <w:tc>
          <w:tcPr>
            <w:tcW w:w="1661" w:type="dxa"/>
          </w:tcPr>
          <w:p w14:paraId="298EAD6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资格证明文件</w:t>
            </w:r>
          </w:p>
        </w:tc>
      </w:tr>
    </w:tbl>
    <w:p w14:paraId="51037883">
      <w:pPr>
        <w:pStyle w:val="12"/>
        <w:spacing w:line="360" w:lineRule="auto"/>
        <w:outlineLvl w:val="2"/>
        <w:rPr>
          <w:rFonts w:hint="eastAsia" w:ascii="仿宋" w:hAnsi="仿宋" w:eastAsia="仿宋" w:cs="仿宋"/>
          <w:sz w:val="24"/>
          <w:szCs w:val="24"/>
        </w:rPr>
      </w:pPr>
      <w:bookmarkStart w:id="39" w:name="_Toc6967"/>
      <w:r>
        <w:rPr>
          <w:rFonts w:hint="eastAsia" w:ascii="仿宋" w:hAnsi="仿宋" w:eastAsia="仿宋" w:cs="仿宋"/>
          <w:b/>
          <w:sz w:val="24"/>
          <w:szCs w:val="24"/>
        </w:rPr>
        <w:t>4.3落实政府采购政策资格审查</w:t>
      </w:r>
      <w:bookmarkEnd w:id="39"/>
    </w:p>
    <w:p w14:paraId="109BABF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w:t>
      </w:r>
    </w:p>
    <w:tbl>
      <w:tblPr>
        <w:tblStyle w:val="10"/>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2492"/>
        <w:gridCol w:w="3322"/>
        <w:gridCol w:w="1661"/>
      </w:tblGrid>
      <w:tr w14:paraId="26CCB0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422A999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序号</w:t>
            </w:r>
          </w:p>
        </w:tc>
        <w:tc>
          <w:tcPr>
            <w:tcW w:w="2492" w:type="dxa"/>
          </w:tcPr>
          <w:p w14:paraId="1CC6A10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审查内容</w:t>
            </w:r>
          </w:p>
        </w:tc>
        <w:tc>
          <w:tcPr>
            <w:tcW w:w="3322" w:type="dxa"/>
          </w:tcPr>
          <w:p w14:paraId="2C4F7D0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具体标准和要求</w:t>
            </w:r>
          </w:p>
        </w:tc>
        <w:tc>
          <w:tcPr>
            <w:tcW w:w="1661" w:type="dxa"/>
          </w:tcPr>
          <w:p w14:paraId="4EE66C0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关联投标（响应）文件格式文件</w:t>
            </w:r>
          </w:p>
        </w:tc>
      </w:tr>
      <w:tr w14:paraId="7B0342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65631BF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w:t>
            </w:r>
          </w:p>
        </w:tc>
        <w:tc>
          <w:tcPr>
            <w:tcW w:w="2492" w:type="dxa"/>
          </w:tcPr>
          <w:p w14:paraId="0B5AF8D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本采购包专门面向中小企业采购</w:t>
            </w:r>
          </w:p>
        </w:tc>
        <w:tc>
          <w:tcPr>
            <w:tcW w:w="3322" w:type="dxa"/>
          </w:tcPr>
          <w:p w14:paraId="719D402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参与的供应商（联合体）提供的货物全部由符合政策要求的中小企业制造。</w:t>
            </w:r>
          </w:p>
        </w:tc>
        <w:tc>
          <w:tcPr>
            <w:tcW w:w="1661" w:type="dxa"/>
          </w:tcPr>
          <w:p w14:paraId="297040C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中小企业声明函 残疾人福利性单位声明函 监狱企业的证明文件</w:t>
            </w:r>
          </w:p>
        </w:tc>
      </w:tr>
    </w:tbl>
    <w:p w14:paraId="1B0C4816">
      <w:pPr>
        <w:pStyle w:val="12"/>
        <w:rPr>
          <w:rFonts w:hint="eastAsia" w:ascii="仿宋" w:hAnsi="仿宋" w:eastAsia="仿宋" w:cs="仿宋"/>
        </w:rPr>
      </w:pPr>
      <w:r>
        <w:rPr>
          <w:rFonts w:hint="eastAsia" w:ascii="仿宋" w:hAnsi="仿宋" w:eastAsia="仿宋" w:cs="仿宋"/>
        </w:rPr>
        <w:t xml:space="preserve"> </w:t>
      </w:r>
      <w:r>
        <w:rPr>
          <w:rFonts w:hint="eastAsia" w:ascii="仿宋" w:hAnsi="仿宋" w:eastAsia="仿宋" w:cs="仿宋"/>
        </w:rPr>
        <w:br w:type="textWrapping"/>
      </w:r>
      <w:r>
        <w:rPr>
          <w:rFonts w:hint="eastAsia" w:ascii="仿宋" w:hAnsi="仿宋" w:eastAsia="仿宋" w:cs="仿宋"/>
        </w:rPr>
        <w:br w:type="page"/>
      </w:r>
    </w:p>
    <w:p w14:paraId="485B999D">
      <w:pPr>
        <w:pStyle w:val="12"/>
        <w:jc w:val="center"/>
        <w:outlineLvl w:val="1"/>
        <w:rPr>
          <w:rFonts w:hint="eastAsia" w:ascii="仿宋" w:hAnsi="仿宋" w:eastAsia="仿宋" w:cs="仿宋"/>
        </w:rPr>
      </w:pPr>
      <w:bookmarkStart w:id="40" w:name="_Toc28179"/>
      <w:r>
        <w:rPr>
          <w:rFonts w:hint="eastAsia" w:ascii="仿宋" w:hAnsi="仿宋" w:eastAsia="仿宋" w:cs="仿宋"/>
          <w:b/>
          <w:sz w:val="36"/>
        </w:rPr>
        <w:t>第五章 评标办法</w:t>
      </w:r>
      <w:bookmarkEnd w:id="40"/>
    </w:p>
    <w:p w14:paraId="3BFCCE30">
      <w:pPr>
        <w:pStyle w:val="12"/>
        <w:spacing w:line="360" w:lineRule="auto"/>
        <w:outlineLvl w:val="2"/>
        <w:rPr>
          <w:rFonts w:hint="eastAsia" w:ascii="仿宋" w:hAnsi="仿宋" w:eastAsia="仿宋" w:cs="仿宋"/>
          <w:sz w:val="24"/>
          <w:szCs w:val="24"/>
        </w:rPr>
      </w:pPr>
      <w:bookmarkStart w:id="41" w:name="_Toc7299"/>
      <w:r>
        <w:rPr>
          <w:rFonts w:hint="eastAsia" w:ascii="仿宋" w:hAnsi="仿宋" w:eastAsia="仿宋" w:cs="仿宋"/>
          <w:b/>
          <w:sz w:val="24"/>
          <w:szCs w:val="24"/>
        </w:rPr>
        <w:t>5.1总则</w:t>
      </w:r>
      <w:bookmarkEnd w:id="41"/>
    </w:p>
    <w:p w14:paraId="3109D8FA">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一、根据《中华人民共和国政府采购法》《中华人民共和国政府采购法实施条例》《政府采购货物和服务招标投标管理办法》《陕西省政府采购评审专家管理实施办法》等法律规章，结合采购项目特点制定本评标办法。</w:t>
      </w:r>
    </w:p>
    <w:p w14:paraId="1DAB0BE6">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二、评标工作由代理机构负责组织，具体评标事务由采购人或代理机构依法组建的评标委员会负责。评标委员会由采购人代表和评审专家组成。</w:t>
      </w:r>
    </w:p>
    <w:p w14:paraId="0103490A">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三、评标工作应遵循公平、公正、科学及择优的原则，并以相同的评标程序和标准对待所有的投标人。</w:t>
      </w:r>
    </w:p>
    <w:p w14:paraId="656EF719">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四、本项目采取电子评标，通过项目电子化交易系统完成评标工作。评标委员会成员、采购人、代理机构和投标人应当按照本招标文件规定和项目电子化交易系统操作要求开展或者参加评标活动。</w:t>
      </w:r>
    </w:p>
    <w:p w14:paraId="093992B8">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五、评标过程中的书面材料往来均通过项目电子化交易系统传递，投标人通过互认的证书及签章加盖其电子印章后生效。出现无法在线签章的特殊情况，评标委员会成员可以线下签署评标报告，由代理机构对原件扫描后以附件形式上传。</w:t>
      </w:r>
    </w:p>
    <w:p w14:paraId="18C14367">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六、评标过程应当独立、保密，任何单位和个人不得非法干预评标活动。投标人非法干预评标活动的，其投标文件将作无效处理；代理机构、采购人及其工作人员、采购人监督人员非法干预评标活动的，将依法追究其责任。</w:t>
      </w:r>
    </w:p>
    <w:p w14:paraId="0297CA7D">
      <w:pPr>
        <w:pStyle w:val="12"/>
        <w:spacing w:line="360" w:lineRule="auto"/>
        <w:outlineLvl w:val="2"/>
        <w:rPr>
          <w:rFonts w:hint="eastAsia" w:ascii="仿宋" w:hAnsi="仿宋" w:eastAsia="仿宋" w:cs="仿宋"/>
          <w:sz w:val="24"/>
          <w:szCs w:val="24"/>
        </w:rPr>
      </w:pPr>
      <w:bookmarkStart w:id="42" w:name="_Toc27353"/>
      <w:r>
        <w:rPr>
          <w:rFonts w:hint="eastAsia" w:ascii="仿宋" w:hAnsi="仿宋" w:eastAsia="仿宋" w:cs="仿宋"/>
          <w:b/>
          <w:sz w:val="24"/>
          <w:szCs w:val="24"/>
        </w:rPr>
        <w:t>5.2评标委员会</w:t>
      </w:r>
      <w:bookmarkEnd w:id="42"/>
    </w:p>
    <w:p w14:paraId="6B91D62B">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 评审专家是采取随机方式在政府采购平台的专家库系统（以下简称专家库系统）抽取/由采购人根据《陕西省政府采购评审专家管理实施办法》（陕财办采〔2018〕20号）的规定，报主管部门同意后自行选定。</w:t>
      </w:r>
    </w:p>
    <w:p w14:paraId="6EDC9B92">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二、评标委员会成员应当满足并适应电子化采购评审的工作需要，使用已身份认证并具备签章功能的证书，登录项目电子化交易系统进入项目评审功能模块确认身份、签到、推荐评标委员会组长。采购人代表可以使用采购人代表专用签章确认评审意见。</w:t>
      </w:r>
    </w:p>
    <w:p w14:paraId="2B0DD77F">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三、评标委员会成员获取解密后的投标文件，开展评标活动。出现应当回避的情形时，评标委员会成员应当主动回避；代理机构按规定申请补充抽取评审专家；无法及时补充抽取的，采购人或者代理机构应当封存供应商投标文件，按规定重新组建评标委员会，解封投标文件后，开展评标活动。</w:t>
      </w:r>
    </w:p>
    <w:p w14:paraId="3B4AB645">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四、评标委员会按照招标文件规定的评标程序、评标方法和标准进行评标，并独立履行下列职责：</w:t>
      </w:r>
    </w:p>
    <w:p w14:paraId="3E358DF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（一）熟悉和理解招标文件；</w:t>
      </w:r>
    </w:p>
    <w:p w14:paraId="5CE16044">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（二）审查供应商投标文件等是否满足招标文件要求，并作出评价；</w:t>
      </w:r>
    </w:p>
    <w:p w14:paraId="1B634569">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（三）根据需要要求采购组织单位对招标文件作出解释；根据需要要求供应商对投标文件有关事项作出澄清、说明或者更正；</w:t>
      </w:r>
    </w:p>
    <w:p w14:paraId="32012880">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（四）推荐中标候选供应商，或者受采购人委托确定中标供应商；</w:t>
      </w:r>
    </w:p>
    <w:p w14:paraId="46A05FA8">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（五）起草评标报告并进行签署；</w:t>
      </w:r>
    </w:p>
    <w:p w14:paraId="77C48274">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（六）向采购组织单位、财政部门或者其他监督部门报告非法干预评审工作的行为</w:t>
      </w:r>
    </w:p>
    <w:p w14:paraId="3AB59D5F">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（七）法律、法规和规章规定的其他职责。</w:t>
      </w:r>
    </w:p>
    <w:p w14:paraId="47576F78">
      <w:pPr>
        <w:pStyle w:val="12"/>
        <w:spacing w:line="360" w:lineRule="auto"/>
        <w:outlineLvl w:val="2"/>
        <w:rPr>
          <w:rFonts w:hint="eastAsia" w:ascii="仿宋" w:hAnsi="仿宋" w:eastAsia="仿宋" w:cs="仿宋"/>
          <w:sz w:val="24"/>
          <w:szCs w:val="24"/>
        </w:rPr>
      </w:pPr>
      <w:bookmarkStart w:id="43" w:name="_Toc18137"/>
      <w:r>
        <w:rPr>
          <w:rFonts w:hint="eastAsia" w:ascii="仿宋" w:hAnsi="仿宋" w:eastAsia="仿宋" w:cs="仿宋"/>
          <w:b/>
          <w:sz w:val="24"/>
          <w:szCs w:val="24"/>
        </w:rPr>
        <w:t>5.3 评标方法</w:t>
      </w:r>
      <w:bookmarkEnd w:id="43"/>
    </w:p>
    <w:p w14:paraId="75D8585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采购包1：综合评分法</w:t>
      </w:r>
    </w:p>
    <w:p w14:paraId="2FC318B1">
      <w:pPr>
        <w:pStyle w:val="12"/>
        <w:spacing w:line="360" w:lineRule="auto"/>
        <w:outlineLvl w:val="2"/>
        <w:rPr>
          <w:rFonts w:hint="eastAsia" w:ascii="仿宋" w:hAnsi="仿宋" w:eastAsia="仿宋" w:cs="仿宋"/>
          <w:sz w:val="24"/>
          <w:szCs w:val="24"/>
        </w:rPr>
      </w:pPr>
      <w:bookmarkStart w:id="44" w:name="_Toc8703"/>
      <w:r>
        <w:rPr>
          <w:rFonts w:hint="eastAsia" w:ascii="仿宋" w:hAnsi="仿宋" w:eastAsia="仿宋" w:cs="仿宋"/>
          <w:b/>
          <w:sz w:val="24"/>
          <w:szCs w:val="24"/>
        </w:rPr>
        <w:t>5.4评标程序</w:t>
      </w:r>
      <w:bookmarkEnd w:id="44"/>
    </w:p>
    <w:p w14:paraId="1050CB0F">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 xml:space="preserve"> 5.4.1熟悉和理解招标文件和停止评标</w:t>
      </w:r>
    </w:p>
    <w:p w14:paraId="49FBA486">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一、评标委员会正式评审前，应当对招标文件进行熟悉和理解，内容主要包括招标文件中供应商资格资质性要求、采购项目技术、服务和商务要求、评审方法和标准以及可能涉及签订政府采购合同的内容等。</w:t>
      </w:r>
    </w:p>
    <w:p w14:paraId="268CA675">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二、本招标文件有下列情形之一的，评标委员会应当停止评标：</w:t>
      </w:r>
    </w:p>
    <w:p w14:paraId="1A8B6D09">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（一）招标文件的规定存在歧义、重大缺陷的；</w:t>
      </w:r>
    </w:p>
    <w:p w14:paraId="61904D50">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（二）招标文件明显以不合理条件对供应商实行差别待遇或者歧视待遇的；</w:t>
      </w:r>
    </w:p>
    <w:p w14:paraId="1CCB400C">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（三）采购项目属于国家规定的优先、强制采购范围，但是招标文件未依法体现优先、强制采购相关规定的；</w:t>
      </w:r>
    </w:p>
    <w:p w14:paraId="7D7655F0">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（四）采购项目属于政府采购促进中小企业发展的范围，但是招标文件未依法体现促进中小企业发展相关规定的；</w:t>
      </w:r>
    </w:p>
    <w:p w14:paraId="49E85E60">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（五）招标文件规定的评标方法是综合评分法、最低评标价法之外的评标方法，或者虽然名称为综合评分法、最低评标价法，但实际上不符合国家规定；</w:t>
      </w:r>
    </w:p>
    <w:p w14:paraId="786C66A9">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（六）招标文件将投标人的资格条件列为评分因素的；</w:t>
      </w:r>
    </w:p>
    <w:p w14:paraId="2106E062">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（七）招标文件有违反国家其他有关强制性规定的情形。</w:t>
      </w:r>
    </w:p>
    <w:p w14:paraId="4DD09179">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出现上述应当停止评标情形的，评标委员会应当通过项目电子化交易系统向采购组织单位提交相关说明材料，说明停止评审的情形和具体理由。除上述情形外，评标委员会不得以任何方式和理由停止评标。</w:t>
      </w:r>
    </w:p>
    <w:p w14:paraId="728971EA">
      <w:pPr>
        <w:pStyle w:val="12"/>
        <w:spacing w:line="360" w:lineRule="auto"/>
        <w:ind w:firstLine="480"/>
        <w:jc w:val="left"/>
        <w:rPr>
          <w:rFonts w:hint="eastAsia" w:ascii="仿宋" w:hAnsi="仿宋" w:eastAsia="仿宋" w:cs="仿宋"/>
          <w:sz w:val="24"/>
          <w:szCs w:val="24"/>
        </w:rPr>
      </w:pPr>
      <w:r>
        <w:rPr>
          <w:rFonts w:hint="eastAsia" w:ascii="仿宋" w:hAnsi="仿宋" w:eastAsia="仿宋" w:cs="仿宋"/>
          <w:sz w:val="24"/>
          <w:szCs w:val="24"/>
        </w:rPr>
        <w:br w:type="textWrapping"/>
      </w:r>
      <w:r>
        <w:rPr>
          <w:rFonts w:hint="eastAsia" w:ascii="仿宋" w:hAnsi="仿宋" w:eastAsia="仿宋" w:cs="仿宋"/>
          <w:sz w:val="24"/>
          <w:szCs w:val="24"/>
        </w:rPr>
        <w:t xml:space="preserve"> 出现上述应当停止评标情形的，采购组织单位应当通过项目电子化交易系统书面告知参加采购活动的供应商，并说明具体原因，同时在陕西省政府采购网公告。采购组织单位认为评标委员会不应当停止评标的，可以书面报告采购项目同级财政部门依法处理，并提供相关证明材料。</w:t>
      </w:r>
    </w:p>
    <w:p w14:paraId="592816D9">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5.4.2符合性审查</w:t>
      </w:r>
    </w:p>
    <w:p w14:paraId="6CEA4A29">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评标委员会依据本招标文件的实质性要求，对符合资格的投标文件进行审查，以确定其是否满足本招标文件的实质性要求。本项目符合性审查事项，必须以本招标文件的明确规定的实质性要求作为依据。</w:t>
      </w:r>
    </w:p>
    <w:p w14:paraId="06CBD0E5">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在符合性审查过程中，如果出现评标委员会成员意见不一致的情况，按照少数服从多数的原则确定，但不得违背政府采购基本原则和招标文件规定。</w:t>
      </w:r>
    </w:p>
    <w:p w14:paraId="406A01F0">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符合性审查标准见下表（按以下顺序审查）：</w:t>
      </w:r>
    </w:p>
    <w:p w14:paraId="46D3ED3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w:t>
      </w:r>
    </w:p>
    <w:tbl>
      <w:tblPr>
        <w:tblStyle w:val="10"/>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52"/>
        <w:gridCol w:w="1320"/>
        <w:gridCol w:w="4773"/>
        <w:gridCol w:w="1661"/>
      </w:tblGrid>
      <w:tr w14:paraId="09A775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2" w:type="dxa"/>
          </w:tcPr>
          <w:p w14:paraId="685C75D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序号</w:t>
            </w:r>
          </w:p>
        </w:tc>
        <w:tc>
          <w:tcPr>
            <w:tcW w:w="1320" w:type="dxa"/>
          </w:tcPr>
          <w:p w14:paraId="5933CCB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审查内容</w:t>
            </w:r>
          </w:p>
        </w:tc>
        <w:tc>
          <w:tcPr>
            <w:tcW w:w="4773" w:type="dxa"/>
          </w:tcPr>
          <w:p w14:paraId="4CCC597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具体标准和要求</w:t>
            </w:r>
          </w:p>
        </w:tc>
        <w:tc>
          <w:tcPr>
            <w:tcW w:w="1661" w:type="dxa"/>
          </w:tcPr>
          <w:p w14:paraId="35FB9E7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关联投标（响应）文件格式文件</w:t>
            </w:r>
          </w:p>
        </w:tc>
      </w:tr>
      <w:tr w14:paraId="758047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2" w:type="dxa"/>
          </w:tcPr>
          <w:p w14:paraId="0DE32B8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w:t>
            </w:r>
          </w:p>
        </w:tc>
        <w:tc>
          <w:tcPr>
            <w:tcW w:w="1320" w:type="dxa"/>
          </w:tcPr>
          <w:p w14:paraId="2BB44F2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不正当竞争预防措施（实质性要求）</w:t>
            </w:r>
          </w:p>
        </w:tc>
        <w:tc>
          <w:tcPr>
            <w:tcW w:w="4773" w:type="dxa"/>
          </w:tcPr>
          <w:p w14:paraId="17DB1C6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（一）根据《财政部关于推动解决政府采购异常低价问题的通知》（财库〔2026〕2 号）相关规定，政府采购评审中出现下列情形之一的，评审委员会应当启动异常低价投标（响应）审查程序： 1.投标（响应）报价低于全部通过符合性审查供应商投标（响应）报价平均值50%的，即投标（响应）报价&lt;全部通过符合性审查供应商投标（响应）报价平均值×50%；  2.投标（响应）报价低于通过符合性审查的次低报价供应商投标（响应）报价50%的，即投标（响应）报价&lt;通过符合性审查的次低报价供应商投标（响应）报价×50%；  3.投标（响应）报价低于采购项目最高限价45%的，即投标（响应）报价&lt;采购项目最高限价×45%；  4.评审委员会基于专业判断，认为供应商报价过低，有可能影响产品质量或者不能诚信履约的其他情形。  （二）在评标过程中，评标委员会认为投标人报价明显低于其他实质性响应的投标人报价，有可能影响产品质量或者不能诚信履约的，评标委员会应当要求其在合理的时间内提供成本构成书面说明，并提交相关证明材料。书面说明应当按照国家财务会计制度的规定要求，逐项就投标人提供的货物、工程和服务的主营业务成本（应根据投标人企业类型予以区别）、税金及附加、销售费用、管理费用、财务费用等成本构成事项详细陈述。 （三）投标人提交的相关说明和证明材料，应当加盖投标人（法定名称）电子印章，在评标委员会要求的时间内通过项目电子化交易系统进行提交，否则提交的相关证明材料无效。投标人不能证明其投标报价合理性的，评标委员会应当将其投标文件作为无效处理。</w:t>
            </w:r>
          </w:p>
        </w:tc>
        <w:tc>
          <w:tcPr>
            <w:tcW w:w="1661" w:type="dxa"/>
          </w:tcPr>
          <w:p w14:paraId="1C67C45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开标一览表 标的清单</w:t>
            </w:r>
          </w:p>
        </w:tc>
      </w:tr>
      <w:tr w14:paraId="2A993D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2" w:type="dxa"/>
          </w:tcPr>
          <w:p w14:paraId="1149D4E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2</w:t>
            </w:r>
          </w:p>
        </w:tc>
        <w:tc>
          <w:tcPr>
            <w:tcW w:w="1320" w:type="dxa"/>
          </w:tcPr>
          <w:p w14:paraId="40D4578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投标人名称</w:t>
            </w:r>
          </w:p>
        </w:tc>
        <w:tc>
          <w:tcPr>
            <w:tcW w:w="4773" w:type="dxa"/>
          </w:tcPr>
          <w:p w14:paraId="43BC4BD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投标人名称应与获取招标文件的单位名称一致。</w:t>
            </w:r>
          </w:p>
        </w:tc>
        <w:tc>
          <w:tcPr>
            <w:tcW w:w="1661" w:type="dxa"/>
          </w:tcPr>
          <w:p w14:paraId="15B9294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开标一览表 售后服务方案 投标保证金 中小企业声明函 业绩 技术指标佐证资料 承诺书 技术方案 拒绝政府采购领域商业贿赂承诺书 法定代表人授权书 商务条款响应偏离表 资格证明文件 校园文化 投标函 培训方案 演示内容 残疾人福利性单位声明函 标的清单 投标文件封面 技术规格响应偏离表 监狱企业的证明文件 实施方案 质量保障 投标人认为有必要补充说明的事宜</w:t>
            </w:r>
          </w:p>
        </w:tc>
      </w:tr>
      <w:tr w14:paraId="6513DC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2" w:type="dxa"/>
          </w:tcPr>
          <w:p w14:paraId="42770E0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3</w:t>
            </w:r>
          </w:p>
        </w:tc>
        <w:tc>
          <w:tcPr>
            <w:tcW w:w="1320" w:type="dxa"/>
          </w:tcPr>
          <w:p w14:paraId="3937E2E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投标文件格式编制</w:t>
            </w:r>
          </w:p>
        </w:tc>
        <w:tc>
          <w:tcPr>
            <w:tcW w:w="4773" w:type="dxa"/>
          </w:tcPr>
          <w:p w14:paraId="39BB033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除明确允许投标人可以自行编写的外，投标文件应按照招标文件给定的格式编制。</w:t>
            </w:r>
          </w:p>
        </w:tc>
        <w:tc>
          <w:tcPr>
            <w:tcW w:w="1661" w:type="dxa"/>
          </w:tcPr>
          <w:p w14:paraId="6471506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开标一览表 售后服务方案 投标保证金 中小企业声明函 业绩 技术指标佐证资料 承诺书 技术方案 拒绝政府采购领域商业贿赂承诺书 法定代表人授权书 商务条款响应偏离表 资格证明文件 校园文化 投标函 培训方案 演示内容 残疾人福利性单位声明函 标的清单 投标文件封面 技术规格响应偏离表 监狱企业的证明文件 实施方案 质量保障 投标人认为有必要补充说明的事宜</w:t>
            </w:r>
          </w:p>
        </w:tc>
      </w:tr>
      <w:tr w14:paraId="331913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2" w:type="dxa"/>
          </w:tcPr>
          <w:p w14:paraId="267F81D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4</w:t>
            </w:r>
          </w:p>
        </w:tc>
        <w:tc>
          <w:tcPr>
            <w:tcW w:w="1320" w:type="dxa"/>
          </w:tcPr>
          <w:p w14:paraId="3A97FCB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盖章签字</w:t>
            </w:r>
          </w:p>
        </w:tc>
        <w:tc>
          <w:tcPr>
            <w:tcW w:w="4773" w:type="dxa"/>
          </w:tcPr>
          <w:p w14:paraId="0FFC020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投标文件应按照招标文件的要求盖章签字。</w:t>
            </w:r>
          </w:p>
        </w:tc>
        <w:tc>
          <w:tcPr>
            <w:tcW w:w="1661" w:type="dxa"/>
          </w:tcPr>
          <w:p w14:paraId="0BDF9B8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开标一览表 售后服务方案 投标保证金 中小企业声明函 业绩 技术指标佐证资料 承诺书 技术方案 拒绝政府采购领域商业贿赂承诺书 法定代表人授权书 商务条款响应偏离表 资格证明文件 校园文化 投标函 培训方案 演示内容 残疾人福利性单位声明函 标的清单 投标文件封面 技术规格响应偏离表 监狱企业的证明文件 实施方案 质量保障 投标人认为有必要补充说明的事宜</w:t>
            </w:r>
          </w:p>
        </w:tc>
      </w:tr>
      <w:tr w14:paraId="320B3A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2" w:type="dxa"/>
          </w:tcPr>
          <w:p w14:paraId="17F9F2E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5</w:t>
            </w:r>
          </w:p>
        </w:tc>
        <w:tc>
          <w:tcPr>
            <w:tcW w:w="1320" w:type="dxa"/>
          </w:tcPr>
          <w:p w14:paraId="1275B6A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投标报价</w:t>
            </w:r>
          </w:p>
        </w:tc>
        <w:tc>
          <w:tcPr>
            <w:tcW w:w="4773" w:type="dxa"/>
          </w:tcPr>
          <w:p w14:paraId="42D028E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投标报价未超过最高限价。</w:t>
            </w:r>
          </w:p>
        </w:tc>
        <w:tc>
          <w:tcPr>
            <w:tcW w:w="1661" w:type="dxa"/>
          </w:tcPr>
          <w:p w14:paraId="67304A3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开标一览表 标的清单</w:t>
            </w:r>
          </w:p>
        </w:tc>
      </w:tr>
      <w:tr w14:paraId="62362E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2" w:type="dxa"/>
          </w:tcPr>
          <w:p w14:paraId="7D39F10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6</w:t>
            </w:r>
          </w:p>
        </w:tc>
        <w:tc>
          <w:tcPr>
            <w:tcW w:w="1320" w:type="dxa"/>
          </w:tcPr>
          <w:p w14:paraId="599991C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投标有效期</w:t>
            </w:r>
          </w:p>
        </w:tc>
        <w:tc>
          <w:tcPr>
            <w:tcW w:w="4773" w:type="dxa"/>
          </w:tcPr>
          <w:p w14:paraId="5017B83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投标有效期应符合招标文件的要求。</w:t>
            </w:r>
          </w:p>
        </w:tc>
        <w:tc>
          <w:tcPr>
            <w:tcW w:w="1661" w:type="dxa"/>
          </w:tcPr>
          <w:p w14:paraId="788D230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投标函</w:t>
            </w:r>
          </w:p>
        </w:tc>
      </w:tr>
      <w:tr w14:paraId="1D9D04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2" w:type="dxa"/>
          </w:tcPr>
          <w:p w14:paraId="1601172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7</w:t>
            </w:r>
          </w:p>
        </w:tc>
        <w:tc>
          <w:tcPr>
            <w:tcW w:w="1320" w:type="dxa"/>
          </w:tcPr>
          <w:p w14:paraId="5A1C14E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商务要求响应</w:t>
            </w:r>
          </w:p>
        </w:tc>
        <w:tc>
          <w:tcPr>
            <w:tcW w:w="4773" w:type="dxa"/>
          </w:tcPr>
          <w:p w14:paraId="2575E24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对投标文件商务要求须作出明确且实质性响应。</w:t>
            </w:r>
          </w:p>
        </w:tc>
        <w:tc>
          <w:tcPr>
            <w:tcW w:w="1661" w:type="dxa"/>
          </w:tcPr>
          <w:p w14:paraId="6A28702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商务条款响应偏离表</w:t>
            </w:r>
          </w:p>
        </w:tc>
      </w:tr>
      <w:tr w14:paraId="7B11CF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2" w:type="dxa"/>
          </w:tcPr>
          <w:p w14:paraId="598BEC4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8</w:t>
            </w:r>
          </w:p>
        </w:tc>
        <w:tc>
          <w:tcPr>
            <w:tcW w:w="1320" w:type="dxa"/>
          </w:tcPr>
          <w:p w14:paraId="297DD04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投标保证金</w:t>
            </w:r>
          </w:p>
        </w:tc>
        <w:tc>
          <w:tcPr>
            <w:tcW w:w="4773" w:type="dxa"/>
          </w:tcPr>
          <w:p w14:paraId="2136B07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投标保证金交纳凭证或担保函；（投标保证交纳金凭证为银行凭证及基本账户证明资料，担保函为财政部门认可的政府采购信用担保机构出具）。</w:t>
            </w:r>
          </w:p>
        </w:tc>
        <w:tc>
          <w:tcPr>
            <w:tcW w:w="1661" w:type="dxa"/>
          </w:tcPr>
          <w:p w14:paraId="49CF560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投标保证金</w:t>
            </w:r>
          </w:p>
        </w:tc>
      </w:tr>
      <w:tr w14:paraId="73F606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2" w:type="dxa"/>
          </w:tcPr>
          <w:p w14:paraId="43CBD82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9</w:t>
            </w:r>
          </w:p>
        </w:tc>
        <w:tc>
          <w:tcPr>
            <w:tcW w:w="1320" w:type="dxa"/>
          </w:tcPr>
          <w:p w14:paraId="77C2B58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采购人不能接受的附加条件</w:t>
            </w:r>
          </w:p>
        </w:tc>
        <w:tc>
          <w:tcPr>
            <w:tcW w:w="4773" w:type="dxa"/>
          </w:tcPr>
          <w:p w14:paraId="50BB6F3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投标文件不得含有采购人不能接受的附加条件。</w:t>
            </w:r>
          </w:p>
        </w:tc>
        <w:tc>
          <w:tcPr>
            <w:tcW w:w="1661" w:type="dxa"/>
          </w:tcPr>
          <w:p w14:paraId="6A38FB3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投标人认为有必要补充说明的事宜</w:t>
            </w:r>
          </w:p>
        </w:tc>
      </w:tr>
      <w:tr w14:paraId="2A89CE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2" w:type="dxa"/>
          </w:tcPr>
          <w:p w14:paraId="2AA69C7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10</w:t>
            </w:r>
          </w:p>
        </w:tc>
        <w:tc>
          <w:tcPr>
            <w:tcW w:w="1320" w:type="dxa"/>
          </w:tcPr>
          <w:p w14:paraId="397DA23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法律、法规和招标文件规定的其他无效响应情形</w:t>
            </w:r>
          </w:p>
        </w:tc>
        <w:tc>
          <w:tcPr>
            <w:tcW w:w="4773" w:type="dxa"/>
          </w:tcPr>
          <w:p w14:paraId="425BA35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无法律、法规和招标文件规定的其他无效响应情形。</w:t>
            </w:r>
          </w:p>
        </w:tc>
        <w:tc>
          <w:tcPr>
            <w:tcW w:w="1661" w:type="dxa"/>
          </w:tcPr>
          <w:p w14:paraId="75934BC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投标人认为有必要补充说明的事宜</w:t>
            </w:r>
          </w:p>
        </w:tc>
      </w:tr>
    </w:tbl>
    <w:p w14:paraId="661568B8">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以上实质性要求全部响应并满足采购需求的，则通过符合性审查；如有任意一项未响应或不满足采购需求的，则按无效投标文件处理。如果评标委员会认为投标人有任意一项不通过的，应在符合性审查表中载明不通过的具体原因。</w:t>
      </w:r>
    </w:p>
    <w:p w14:paraId="2B216621">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5.4.3解释、澄清有关问题</w:t>
      </w:r>
    </w:p>
    <w:p w14:paraId="06E54844">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一、评标过程中，评标委员会认为招标文件有关事项表述不明确或需要说明的，可以提请代理机构书面解释。代理机构的解释不得改变招标文件的原义或者影响公平、公正，解释事项如果涉及投标人权益的以有利于投标人的原则进行解释。</w:t>
      </w:r>
    </w:p>
    <w:p w14:paraId="5AC25968">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二、对投标文件中含义不明确、同类问题表述不一致或者有明显文字和计算错误的内容，评标委员会应当要求投标人作出必要的澄清、说明或更正，并给予投标人必要的反馈时间。投标人应当按评标委员会的要求进行澄清、说明或者更正。投标人的澄清、说明或者更正不得超出投标文件的范围或者改变投标文件的实质性内容。澄清、说明或者更正不影响投标文件的效力，有效的澄清、说明或者更正材料是投标文件的组成部分。</w:t>
      </w:r>
    </w:p>
    <w:p w14:paraId="4381C092">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三、投标人的澄清、说明或者更正需进行电子签章，应当不超出投标文件的范围、不实质性改变投标文件的内容、不影响投标人的公平竞争、不导致投标文件从不响应招标文件变为响应招标文件的条件。下列内容不得澄清：</w:t>
      </w:r>
    </w:p>
    <w:p w14:paraId="21110F5C">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（一）投标人投标文件中不响应招标文件规定的技术参数指标和商务应答；</w:t>
      </w:r>
    </w:p>
    <w:p w14:paraId="0043974C">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（二）投标人投标文件中未提供的证明其是否符合招标文件资格、符合性规定要求的相关材料。</w:t>
      </w:r>
    </w:p>
    <w:p w14:paraId="07002B82">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（三）投标人投标文件中的材料因印刷、影印等不清晰而难以辨认的。</w:t>
      </w:r>
    </w:p>
    <w:p w14:paraId="611924BB">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四、投标文件报价出现下列情况的，按以下原则处理：</w:t>
      </w:r>
    </w:p>
    <w:p w14:paraId="5AB339A6">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（一）投标文件中开标一览表（报价表）内容与投标文件中相应内容不一致的，以开标一览表（报价表）为准；</w:t>
      </w:r>
    </w:p>
    <w:p w14:paraId="74024E4C">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（二）大写金额和小写金额不一致的，以大写金额为准，但大写金额出现文字错误，导致金额无法判断的除外；</w:t>
      </w:r>
    </w:p>
    <w:p w14:paraId="6D8DD496">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（三）单价金额小数点或者百分比有明显错位的，以开标一览表总价为准，并修改单价；</w:t>
      </w:r>
    </w:p>
    <w:p w14:paraId="30BC93D5">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（四）总价金额与按单价汇总金额不一致的，以单价金额计算结果为准。</w:t>
      </w:r>
    </w:p>
    <w:p w14:paraId="71CA870A">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同时出现两种以上不一致的，按照前款规定的顺序修正。修正后的报价经投标人确认后产生约束力，投标人不确认的，其投标无效。</w:t>
      </w:r>
    </w:p>
    <w:p w14:paraId="76069BD2">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五、对不同语言文本投标文件的解释发生异议的，以中文文本为准。</w:t>
      </w:r>
    </w:p>
    <w:p w14:paraId="26F30E5E">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六、代理机构宣布评标结束前，投标人应通过项目电子化交易系统随时关注评标消息提示，及时响应评标委员会发出的澄清、说明或更正要求。投标人未能及时响应的，自行承担不利后果。</w:t>
      </w:r>
    </w:p>
    <w:p w14:paraId="0FE7D27E">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评标委员会应当积极履行澄清、说明或者更正的职责，不得滥用权力。</w:t>
      </w:r>
    </w:p>
    <w:p w14:paraId="0E116625">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5.4.4比较与评价</w:t>
      </w:r>
    </w:p>
    <w:p w14:paraId="40832AAB">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评标委员会应当按照招标文件规定的评标细则及标准，对符合性检查合格的投标文件进行商务和技术评估，综合比较和评价。</w:t>
      </w:r>
    </w:p>
    <w:p w14:paraId="03D769B1">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 xml:space="preserve"> 5.4.5复核</w:t>
      </w:r>
    </w:p>
    <w:p w14:paraId="632B7D96">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评分汇总结束后，评标委员会应当进行复核，对拟推荐为中标候选供应商、报价最低、投标文件被认定为无效等进行重点复核。</w:t>
      </w:r>
    </w:p>
    <w:p w14:paraId="0D14655C">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评标结果汇总完成后，评标委员会拟出具评标报告前，代理机构应当组织不少于2名工作人员，在采购监督人员的监督之下，依据有关的法律制度和招标文件对评标结果进行复核，出具复核报告。</w:t>
      </w:r>
    </w:p>
    <w:p w14:paraId="0273ABFE">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评标结果汇总完成后，除下列情形外，任何人不得修改评标结果：</w:t>
      </w:r>
    </w:p>
    <w:p w14:paraId="06AC9BFE">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（一）分值汇总计算错误的；</w:t>
      </w:r>
    </w:p>
    <w:p w14:paraId="5FE9ECCA">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（二）分项评分超出评分标准范围的；</w:t>
      </w:r>
    </w:p>
    <w:p w14:paraId="04C08D18">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（三）评标委员会成员对客观评审因素评分不一致的；</w:t>
      </w:r>
    </w:p>
    <w:p w14:paraId="23C5DC0E">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（四）经评标委员会认定评分畸高、畸低的。</w:t>
      </w:r>
    </w:p>
    <w:p w14:paraId="56CA25A5">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评标报告签署前，经复核发现存在以上情形之一的，评标委员会应当当场修改评标结果，并在评标报告中记载；评标报告签署后，采购人或者代理机构发现存在以上情形之一的，应当组织原评标委员会进行重新评标，重新评标改变评标结果的，书面报告本级财政部门。</w:t>
      </w:r>
    </w:p>
    <w:p w14:paraId="606D213A">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5.4.6确定中标候选人名单</w:t>
      </w:r>
    </w:p>
    <w:p w14:paraId="675F4A3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按投标人综合得分从高到低进行排序，确定3名中标候选人。综合得分相同的，按投标报价由低到高顺序排列；得分且投标报价相同的，按投标人提供的优先采购产品认证证书数量由多到少顺序排列；得分且投标报价且提供的优先采购产品认证证书数量相同的并列。投标文件满足招标文件全部实质性要求，且按照评审因素的量化指标评审得分最高的投标人为排名第一的中标候选人。</w:t>
      </w:r>
    </w:p>
    <w:p w14:paraId="0F621386">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5.4.7编写评标报告</w:t>
      </w:r>
    </w:p>
    <w:p w14:paraId="469F8D0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评标报告是评标委员会根据全体评标成员签字的评标记录和评标结果编写的报告，其主要内容包括：</w:t>
      </w:r>
    </w:p>
    <w:p w14:paraId="4D759CC3">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一、招标公告刊登的媒体名称、开标日期和地点；</w:t>
      </w:r>
    </w:p>
    <w:p w14:paraId="41FC173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二、投标人名单和评标委员会成员名单；</w:t>
      </w:r>
    </w:p>
    <w:p w14:paraId="55C3AD67">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三、评审方法和标准；</w:t>
      </w:r>
    </w:p>
    <w:p w14:paraId="7B5B48A3">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四、开标记录和评审情况及说明，包括投标无效供应商名单及原因；</w:t>
      </w:r>
    </w:p>
    <w:p w14:paraId="05E7EA5E">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五、评标结果，确定的中标候选人名单或者经采购人委托直接确定的中标人</w:t>
      </w:r>
    </w:p>
    <w:p w14:paraId="102C2A1B">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六、其他需要说明的情况，包括评标过程中投标人根据评标委员会要求进行的澄清、说明或者补正，评标委员会成员的更换等；</w:t>
      </w:r>
    </w:p>
    <w:p w14:paraId="53BBEA7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七、报价最高的投标人为中标候选人的，评标委员会应当对其报价的合理性予以特别说明。</w:t>
      </w:r>
    </w:p>
    <w:p w14:paraId="4B542ABF">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评标委员会成员应当在评标报告中签字或加盖电子签章确认，对评标过程和结果有不同意见的，应当在评标报告中写明并说明理由。签字但未写明不同意见或者未说明理由的，视同无意见。拒不签字或加盖电子签章又未另行说明其不同意见和理由的，视同同意评标结果。</w:t>
      </w:r>
    </w:p>
    <w:p w14:paraId="4FF59A2E">
      <w:pPr>
        <w:pStyle w:val="12"/>
        <w:spacing w:line="360" w:lineRule="auto"/>
        <w:outlineLvl w:val="2"/>
        <w:rPr>
          <w:rFonts w:hint="eastAsia" w:ascii="仿宋" w:hAnsi="仿宋" w:eastAsia="仿宋" w:cs="仿宋"/>
          <w:sz w:val="24"/>
          <w:szCs w:val="24"/>
        </w:rPr>
      </w:pPr>
      <w:bookmarkStart w:id="45" w:name="_Toc13962"/>
      <w:r>
        <w:rPr>
          <w:rFonts w:hint="eastAsia" w:ascii="仿宋" w:hAnsi="仿宋" w:eastAsia="仿宋" w:cs="仿宋"/>
          <w:b/>
          <w:sz w:val="24"/>
          <w:szCs w:val="24"/>
        </w:rPr>
        <w:t>5.5评标争议处理规则</w:t>
      </w:r>
      <w:bookmarkEnd w:id="45"/>
    </w:p>
    <w:p w14:paraId="20463B0A">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评标委员会在评标过程中，对于符合性审查、对投标人文件作无效投标处理及其他需要共同认定的事项存在争议的，应当以少数服从多数的原则作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代理机构书面反映。采购人或代理机构收到书面反映后，应当书面报告采购项目同级财政部门依法处理</w:t>
      </w:r>
    </w:p>
    <w:p w14:paraId="4CF61133">
      <w:pPr>
        <w:pStyle w:val="12"/>
        <w:spacing w:line="360" w:lineRule="auto"/>
        <w:outlineLvl w:val="2"/>
        <w:rPr>
          <w:rFonts w:hint="eastAsia" w:ascii="仿宋" w:hAnsi="仿宋" w:eastAsia="仿宋" w:cs="仿宋"/>
          <w:sz w:val="24"/>
          <w:szCs w:val="24"/>
        </w:rPr>
      </w:pPr>
      <w:bookmarkStart w:id="46" w:name="_Toc27808"/>
      <w:r>
        <w:rPr>
          <w:rFonts w:hint="eastAsia" w:ascii="仿宋" w:hAnsi="仿宋" w:eastAsia="仿宋" w:cs="仿宋"/>
          <w:b/>
          <w:sz w:val="24"/>
          <w:szCs w:val="24"/>
        </w:rPr>
        <w:t>5.6评标细则及标准</w:t>
      </w:r>
      <w:bookmarkEnd w:id="46"/>
    </w:p>
    <w:p w14:paraId="7FEE731C">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一、评标委员会只对通过资格审查的投标文件，根据招标文件的要求采用相同的评标程序、评分办法及标准进行评价和比较。</w:t>
      </w:r>
    </w:p>
    <w:p w14:paraId="41AC505B">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二、评标委员会成员应依据招标文件规定的评分标准和方法独立评审。</w:t>
      </w:r>
    </w:p>
    <w:p w14:paraId="63DF5FC8">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5.6.1评分办法</w:t>
      </w:r>
    </w:p>
    <w:p w14:paraId="0C8DD57E">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若采用综合评分法的，由评标委员会各成员对通过资格检查和符合性审查的投标人的投标文件进行独立评审。 投标报价得分=（评标基准价／投标报价）×100</w:t>
      </w:r>
    </w:p>
    <w:p w14:paraId="2DABCFDF">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评标总得分＝F1×A1＋F2×A2＋……＋Fn×An</w:t>
      </w:r>
    </w:p>
    <w:p w14:paraId="40BFCBB2">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F1、F2……Fn分别为各项评审因素的得分；</w:t>
      </w:r>
    </w:p>
    <w:p w14:paraId="6FC6F10B">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A1、A2、……An 分别为各项评审因素所占的权重（A1＋A2＋……＋An＝1）。</w:t>
      </w:r>
    </w:p>
    <w:p w14:paraId="0F9130EA">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评标过程中，不得去掉报价中的最高报价和最低报价。</w:t>
      </w:r>
    </w:p>
    <w:p w14:paraId="2ED65F4D">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因落实政府采购政策进行价格调整的，以调整后的价格计算评标基准价和投标报价。</w:t>
      </w:r>
    </w:p>
    <w:p w14:paraId="34737CBD">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5.6.2评分标准</w:t>
      </w:r>
    </w:p>
    <w:p w14:paraId="1732996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采购包1：</w:t>
      </w:r>
    </w:p>
    <w:tbl>
      <w:tblPr>
        <w:tblStyle w:val="10"/>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0"/>
        <w:gridCol w:w="949"/>
        <w:gridCol w:w="3198"/>
        <w:gridCol w:w="1056"/>
        <w:gridCol w:w="830"/>
        <w:gridCol w:w="1659"/>
      </w:tblGrid>
      <w:tr w14:paraId="7E4A01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779" w:type="dxa"/>
            <w:gridSpan w:val="2"/>
          </w:tcPr>
          <w:p w14:paraId="737F65E0">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 xml:space="preserve"> 评审内容</w:t>
            </w:r>
          </w:p>
        </w:tc>
        <w:tc>
          <w:tcPr>
            <w:tcW w:w="6743" w:type="dxa"/>
            <w:gridSpan w:val="4"/>
          </w:tcPr>
          <w:p w14:paraId="6B2798C2">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 xml:space="preserve"> 评审标准</w:t>
            </w:r>
          </w:p>
        </w:tc>
      </w:tr>
      <w:tr w14:paraId="7F96E5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779" w:type="dxa"/>
            <w:gridSpan w:val="2"/>
          </w:tcPr>
          <w:p w14:paraId="7565B854">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 xml:space="preserve"> 分值构成</w:t>
            </w:r>
          </w:p>
        </w:tc>
        <w:tc>
          <w:tcPr>
            <w:tcW w:w="6743" w:type="dxa"/>
            <w:gridSpan w:val="4"/>
          </w:tcPr>
          <w:p w14:paraId="626279C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详细评审65.00分</w:t>
            </w:r>
          </w:p>
          <w:p w14:paraId="0260F0A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报价得分35.00分</w:t>
            </w:r>
          </w:p>
        </w:tc>
      </w:tr>
      <w:tr w14:paraId="4DD784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tcPr>
          <w:p w14:paraId="038E085C">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 xml:space="preserve"> 评审因素分类</w:t>
            </w:r>
          </w:p>
        </w:tc>
        <w:tc>
          <w:tcPr>
            <w:tcW w:w="949" w:type="dxa"/>
          </w:tcPr>
          <w:p w14:paraId="13B41623">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 xml:space="preserve"> 评审内容</w:t>
            </w:r>
          </w:p>
        </w:tc>
        <w:tc>
          <w:tcPr>
            <w:tcW w:w="3198" w:type="dxa"/>
          </w:tcPr>
          <w:p w14:paraId="7BDD6630">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 xml:space="preserve"> 具体标准和要求</w:t>
            </w:r>
          </w:p>
        </w:tc>
        <w:tc>
          <w:tcPr>
            <w:tcW w:w="1056" w:type="dxa"/>
          </w:tcPr>
          <w:p w14:paraId="31B0106C">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 xml:space="preserve"> 分值</w:t>
            </w:r>
          </w:p>
        </w:tc>
        <w:tc>
          <w:tcPr>
            <w:tcW w:w="830" w:type="dxa"/>
          </w:tcPr>
          <w:p w14:paraId="290EF9C2">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 xml:space="preserve"> 客观/主观</w:t>
            </w:r>
          </w:p>
        </w:tc>
        <w:tc>
          <w:tcPr>
            <w:tcW w:w="1659" w:type="dxa"/>
          </w:tcPr>
          <w:p w14:paraId="37B08C7D">
            <w:pPr>
              <w:pStyle w:val="12"/>
              <w:spacing w:line="360" w:lineRule="auto"/>
              <w:jc w:val="center"/>
              <w:rPr>
                <w:rFonts w:hint="eastAsia" w:ascii="仿宋" w:hAnsi="仿宋" w:eastAsia="仿宋" w:cs="仿宋"/>
                <w:sz w:val="24"/>
                <w:szCs w:val="24"/>
              </w:rPr>
            </w:pPr>
            <w:r>
              <w:rPr>
                <w:rFonts w:hint="eastAsia" w:ascii="仿宋" w:hAnsi="仿宋" w:eastAsia="仿宋" w:cs="仿宋"/>
                <w:sz w:val="24"/>
                <w:szCs w:val="24"/>
              </w:rPr>
              <w:t xml:space="preserve"> 关联投标（响应）文件格式文件</w:t>
            </w:r>
          </w:p>
        </w:tc>
      </w:tr>
      <w:tr w14:paraId="37B335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vMerge w:val="restart"/>
          </w:tcPr>
          <w:p w14:paraId="1D7F1DF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详细评审</w:t>
            </w:r>
          </w:p>
        </w:tc>
        <w:tc>
          <w:tcPr>
            <w:tcW w:w="949" w:type="dxa"/>
          </w:tcPr>
          <w:p w14:paraId="041CE61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技术指标和配置</w:t>
            </w:r>
          </w:p>
        </w:tc>
        <w:tc>
          <w:tcPr>
            <w:tcW w:w="3198" w:type="dxa"/>
          </w:tcPr>
          <w:p w14:paraId="1D94B87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完全符合、满足招标文件技术要求的，计20分；参数中“▲”号技术参数每有一条负偏离扣1分，非“▲”号技术参数每有一条负偏离扣0.5分，基本分扣完为止。 备注：投标人按照参数要求提供充足的佐证材料予以佐证，完整体现以上功能参数。佐证材料应编制在投标文件（技术指标佐证资料）中，经评审专家审定得分，未提供的视为负偏离。</w:t>
            </w:r>
          </w:p>
        </w:tc>
        <w:tc>
          <w:tcPr>
            <w:tcW w:w="1056" w:type="dxa"/>
          </w:tcPr>
          <w:p w14:paraId="12B2EDD0">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20.0000</w:t>
            </w:r>
          </w:p>
        </w:tc>
        <w:tc>
          <w:tcPr>
            <w:tcW w:w="830" w:type="dxa"/>
          </w:tcPr>
          <w:p w14:paraId="1476F9D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客观</w:t>
            </w:r>
          </w:p>
        </w:tc>
        <w:tc>
          <w:tcPr>
            <w:tcW w:w="1659" w:type="dxa"/>
          </w:tcPr>
          <w:p w14:paraId="76A8789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技术指标佐证资料</w:t>
            </w:r>
          </w:p>
          <w:p w14:paraId="1B550AA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技术规格响应偏离表</w:t>
            </w:r>
          </w:p>
        </w:tc>
      </w:tr>
      <w:tr w14:paraId="027B46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vMerge w:val="continue"/>
          </w:tcPr>
          <w:p w14:paraId="52D1E14B">
            <w:pPr>
              <w:spacing w:line="360" w:lineRule="auto"/>
              <w:rPr>
                <w:rFonts w:hint="eastAsia" w:ascii="仿宋" w:hAnsi="仿宋" w:eastAsia="仿宋" w:cs="仿宋"/>
                <w:sz w:val="24"/>
                <w:szCs w:val="24"/>
              </w:rPr>
            </w:pPr>
          </w:p>
        </w:tc>
        <w:tc>
          <w:tcPr>
            <w:tcW w:w="949" w:type="dxa"/>
          </w:tcPr>
          <w:p w14:paraId="2D243E3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技术方案</w:t>
            </w:r>
          </w:p>
        </w:tc>
        <w:tc>
          <w:tcPr>
            <w:tcW w:w="3198" w:type="dxa"/>
          </w:tcPr>
          <w:p w14:paraId="2C16075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投标人针对本项目提供详细的技术方案，包括：1、技术路线方案；2、系统整体架构设计；3、与现有系统的兼容性、扩展性。 满分6分。每有一项缺项扣2分；每有一处内容存在缺陷，扣1分，扣完为止。备注：缺陷是指内容不合理、虽有内容但不完善、内容表述前后不一致、套用其他项目方案或与项目需求不匹配及其他不利于项目实施的等任意一种情形。未提供不得分。</w:t>
            </w:r>
          </w:p>
        </w:tc>
        <w:tc>
          <w:tcPr>
            <w:tcW w:w="1056" w:type="dxa"/>
          </w:tcPr>
          <w:p w14:paraId="78B225B6">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6.0000</w:t>
            </w:r>
          </w:p>
        </w:tc>
        <w:tc>
          <w:tcPr>
            <w:tcW w:w="830" w:type="dxa"/>
          </w:tcPr>
          <w:p w14:paraId="2B5299F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主观</w:t>
            </w:r>
          </w:p>
        </w:tc>
        <w:tc>
          <w:tcPr>
            <w:tcW w:w="1659" w:type="dxa"/>
          </w:tcPr>
          <w:p w14:paraId="3D3DBE1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技术方案</w:t>
            </w:r>
          </w:p>
        </w:tc>
      </w:tr>
      <w:tr w14:paraId="396131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vMerge w:val="continue"/>
          </w:tcPr>
          <w:p w14:paraId="0C323D1F">
            <w:pPr>
              <w:spacing w:line="360" w:lineRule="auto"/>
              <w:rPr>
                <w:rFonts w:hint="eastAsia" w:ascii="仿宋" w:hAnsi="仿宋" w:eastAsia="仿宋" w:cs="仿宋"/>
                <w:sz w:val="24"/>
                <w:szCs w:val="24"/>
              </w:rPr>
            </w:pPr>
          </w:p>
        </w:tc>
        <w:tc>
          <w:tcPr>
            <w:tcW w:w="949" w:type="dxa"/>
          </w:tcPr>
          <w:p w14:paraId="636A4FA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实施方案</w:t>
            </w:r>
          </w:p>
        </w:tc>
        <w:tc>
          <w:tcPr>
            <w:tcW w:w="3198" w:type="dxa"/>
          </w:tcPr>
          <w:p w14:paraId="43FB1BC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投标人针对本项目有详细的实施方案，包括：1、供货组织安排；2、实施计划及实施进度保障计划；3、设备安装调试验收方案；4、人力、物力调配及保障措施。 满分8分。每有一项缺项扣2分；每有一处内容存在缺陷，扣1分，扣完为止。备注：缺陷是指内容不合理、虽有内容但不完善、内容表述前后不一致、套用其他项目方案或与项目需求不匹配及其他不利于项目实施的等任意一种情形。未提供不得分。</w:t>
            </w:r>
          </w:p>
        </w:tc>
        <w:tc>
          <w:tcPr>
            <w:tcW w:w="1056" w:type="dxa"/>
          </w:tcPr>
          <w:p w14:paraId="74303CD8">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8.0000</w:t>
            </w:r>
          </w:p>
        </w:tc>
        <w:tc>
          <w:tcPr>
            <w:tcW w:w="830" w:type="dxa"/>
          </w:tcPr>
          <w:p w14:paraId="385630F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主观</w:t>
            </w:r>
          </w:p>
        </w:tc>
        <w:tc>
          <w:tcPr>
            <w:tcW w:w="1659" w:type="dxa"/>
          </w:tcPr>
          <w:p w14:paraId="4FA2A79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实施方案</w:t>
            </w:r>
          </w:p>
        </w:tc>
      </w:tr>
      <w:tr w14:paraId="0515B2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vMerge w:val="continue"/>
          </w:tcPr>
          <w:p w14:paraId="2441E38C">
            <w:pPr>
              <w:spacing w:line="360" w:lineRule="auto"/>
              <w:rPr>
                <w:rFonts w:hint="eastAsia" w:ascii="仿宋" w:hAnsi="仿宋" w:eastAsia="仿宋" w:cs="仿宋"/>
                <w:sz w:val="24"/>
                <w:szCs w:val="24"/>
              </w:rPr>
            </w:pPr>
          </w:p>
        </w:tc>
        <w:tc>
          <w:tcPr>
            <w:tcW w:w="949" w:type="dxa"/>
          </w:tcPr>
          <w:p w14:paraId="04DEEC1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质量保障</w:t>
            </w:r>
          </w:p>
        </w:tc>
        <w:tc>
          <w:tcPr>
            <w:tcW w:w="3198" w:type="dxa"/>
          </w:tcPr>
          <w:p w14:paraId="4A890C6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投标人针对本项目提供详细的质量保障方案，包括：1、提供所投产品的合法来源渠道证明文件（包含但不限于销售协议、代理协议、原厂授权等）；2、质量保证措施。 满分4分。每有一项缺项扣2分；每有一处内容存在缺陷，扣1分，扣完为止。备注：缺陷是指内容不合理、虽有内容但不完善、内容表述前后不一致、套用其他项目方案或与项目需求不匹配及其他不利于项目实施的等任意一种情形。未提供不得分。</w:t>
            </w:r>
          </w:p>
        </w:tc>
        <w:tc>
          <w:tcPr>
            <w:tcW w:w="1056" w:type="dxa"/>
          </w:tcPr>
          <w:p w14:paraId="28A69114">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4.0000</w:t>
            </w:r>
          </w:p>
        </w:tc>
        <w:tc>
          <w:tcPr>
            <w:tcW w:w="830" w:type="dxa"/>
          </w:tcPr>
          <w:p w14:paraId="6E202D8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主观</w:t>
            </w:r>
          </w:p>
        </w:tc>
        <w:tc>
          <w:tcPr>
            <w:tcW w:w="1659" w:type="dxa"/>
          </w:tcPr>
          <w:p w14:paraId="55C902F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质量保障</w:t>
            </w:r>
          </w:p>
        </w:tc>
      </w:tr>
      <w:tr w14:paraId="0A97CC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vMerge w:val="continue"/>
          </w:tcPr>
          <w:p w14:paraId="5AE840FB">
            <w:pPr>
              <w:spacing w:line="360" w:lineRule="auto"/>
              <w:rPr>
                <w:rFonts w:hint="eastAsia" w:ascii="仿宋" w:hAnsi="仿宋" w:eastAsia="仿宋" w:cs="仿宋"/>
                <w:sz w:val="24"/>
                <w:szCs w:val="24"/>
              </w:rPr>
            </w:pPr>
          </w:p>
        </w:tc>
        <w:tc>
          <w:tcPr>
            <w:tcW w:w="949" w:type="dxa"/>
          </w:tcPr>
          <w:p w14:paraId="274AAB2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培训方案</w:t>
            </w:r>
          </w:p>
        </w:tc>
        <w:tc>
          <w:tcPr>
            <w:tcW w:w="3198" w:type="dxa"/>
          </w:tcPr>
          <w:p w14:paraId="69B6702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针对本项目有具体的培训方案，该方案包含但不限于1、培训计划，含培训方式、地点、时间及培训人员等；2、培训内容，包含所提供产品的基本结构、技术性能、日常使用操作；3、培训常见故障的排除、紧急情况的处理等。 满分6分。每有一项缺项扣2分；每有一处内容存在缺陷，扣1分，扣完为止。备注：缺陷是指内容不合理、虽有内容但不完善、内容表述前后不一致、套用其他项目方案或与项目需求不匹配及其他不利于项目实施的等任意一种情形。未提供不得分。</w:t>
            </w:r>
          </w:p>
        </w:tc>
        <w:tc>
          <w:tcPr>
            <w:tcW w:w="1056" w:type="dxa"/>
          </w:tcPr>
          <w:p w14:paraId="5CF2BE80">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6.0000</w:t>
            </w:r>
          </w:p>
        </w:tc>
        <w:tc>
          <w:tcPr>
            <w:tcW w:w="830" w:type="dxa"/>
          </w:tcPr>
          <w:p w14:paraId="3E9DDBF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主观</w:t>
            </w:r>
          </w:p>
        </w:tc>
        <w:tc>
          <w:tcPr>
            <w:tcW w:w="1659" w:type="dxa"/>
          </w:tcPr>
          <w:p w14:paraId="573C7AC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培训方案</w:t>
            </w:r>
          </w:p>
        </w:tc>
      </w:tr>
      <w:tr w14:paraId="1E5957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vMerge w:val="continue"/>
          </w:tcPr>
          <w:p w14:paraId="779ABDEC">
            <w:pPr>
              <w:spacing w:line="360" w:lineRule="auto"/>
              <w:rPr>
                <w:rFonts w:hint="eastAsia" w:ascii="仿宋" w:hAnsi="仿宋" w:eastAsia="仿宋" w:cs="仿宋"/>
                <w:sz w:val="24"/>
                <w:szCs w:val="24"/>
              </w:rPr>
            </w:pPr>
          </w:p>
        </w:tc>
        <w:tc>
          <w:tcPr>
            <w:tcW w:w="949" w:type="dxa"/>
          </w:tcPr>
          <w:p w14:paraId="7E9804A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售后服务</w:t>
            </w:r>
          </w:p>
        </w:tc>
        <w:tc>
          <w:tcPr>
            <w:tcW w:w="3198" w:type="dxa"/>
          </w:tcPr>
          <w:p w14:paraId="4D323ED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针对本项目有具体的售后服务方案,包括：1、售后服务承诺；2、售后服务方案（须包含售后服务机构设置的便捷性、解决问题能力、紧急故障处理预案、故障维修响应时间等）。 满分4分。每有一项缺项扣2分；每有一处内容存在缺陷，扣1分，扣完为止。备注：缺陷是指内容不合理、虽有内容但不完善、内容表述前后不一致、套用其他项目方案或与项目需求不匹配及其他不利于项目实施的等任意一种情形。未提供不得分。</w:t>
            </w:r>
          </w:p>
        </w:tc>
        <w:tc>
          <w:tcPr>
            <w:tcW w:w="1056" w:type="dxa"/>
          </w:tcPr>
          <w:p w14:paraId="46757298">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4.0000</w:t>
            </w:r>
          </w:p>
        </w:tc>
        <w:tc>
          <w:tcPr>
            <w:tcW w:w="830" w:type="dxa"/>
          </w:tcPr>
          <w:p w14:paraId="020C254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主观</w:t>
            </w:r>
          </w:p>
        </w:tc>
        <w:tc>
          <w:tcPr>
            <w:tcW w:w="1659" w:type="dxa"/>
          </w:tcPr>
          <w:p w14:paraId="20D62B4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售后服务方案</w:t>
            </w:r>
          </w:p>
        </w:tc>
      </w:tr>
      <w:tr w14:paraId="71DD74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vMerge w:val="continue"/>
          </w:tcPr>
          <w:p w14:paraId="49F3CE8E">
            <w:pPr>
              <w:spacing w:line="360" w:lineRule="auto"/>
              <w:rPr>
                <w:rFonts w:hint="eastAsia" w:ascii="仿宋" w:hAnsi="仿宋" w:eastAsia="仿宋" w:cs="仿宋"/>
                <w:sz w:val="24"/>
                <w:szCs w:val="24"/>
              </w:rPr>
            </w:pPr>
          </w:p>
        </w:tc>
        <w:tc>
          <w:tcPr>
            <w:tcW w:w="949" w:type="dxa"/>
          </w:tcPr>
          <w:p w14:paraId="57472DB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业绩</w:t>
            </w:r>
          </w:p>
        </w:tc>
        <w:tc>
          <w:tcPr>
            <w:tcW w:w="3198" w:type="dxa"/>
          </w:tcPr>
          <w:p w14:paraId="7D41618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以合同形式提供投标人2023年1月1日至今类似项目业绩，每提供1份计1分，满分3分。（提供加盖投标人公章的合同复印件，提供合同包含签字盖章页、采购内容、合同签订日期等完整合同内容）</w:t>
            </w:r>
          </w:p>
        </w:tc>
        <w:tc>
          <w:tcPr>
            <w:tcW w:w="1056" w:type="dxa"/>
          </w:tcPr>
          <w:p w14:paraId="7ED0520A">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3.0000</w:t>
            </w:r>
          </w:p>
        </w:tc>
        <w:tc>
          <w:tcPr>
            <w:tcW w:w="830" w:type="dxa"/>
          </w:tcPr>
          <w:p w14:paraId="50CE4C8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客观</w:t>
            </w:r>
          </w:p>
        </w:tc>
        <w:tc>
          <w:tcPr>
            <w:tcW w:w="1659" w:type="dxa"/>
          </w:tcPr>
          <w:p w14:paraId="3887579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业绩</w:t>
            </w:r>
          </w:p>
        </w:tc>
      </w:tr>
      <w:tr w14:paraId="0F824C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vMerge w:val="continue"/>
          </w:tcPr>
          <w:p w14:paraId="637F2B86">
            <w:pPr>
              <w:spacing w:line="360" w:lineRule="auto"/>
              <w:rPr>
                <w:rFonts w:hint="eastAsia" w:ascii="仿宋" w:hAnsi="仿宋" w:eastAsia="仿宋" w:cs="仿宋"/>
                <w:sz w:val="24"/>
                <w:szCs w:val="24"/>
              </w:rPr>
            </w:pPr>
          </w:p>
        </w:tc>
        <w:tc>
          <w:tcPr>
            <w:tcW w:w="949" w:type="dxa"/>
          </w:tcPr>
          <w:p w14:paraId="5435CA9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校园文化</w:t>
            </w:r>
          </w:p>
        </w:tc>
        <w:tc>
          <w:tcPr>
            <w:tcW w:w="3198" w:type="dxa"/>
          </w:tcPr>
          <w:p w14:paraId="48D7158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投标人应遵循学校校园文化育人体系，配合学校营造良好的校园育人环境，围绕环境育人、文化育人、活动育人、服务育人等各个方面，提供相应的承诺方案；完全满足得3分。有缺项或未提供不得分。</w:t>
            </w:r>
          </w:p>
        </w:tc>
        <w:tc>
          <w:tcPr>
            <w:tcW w:w="1056" w:type="dxa"/>
          </w:tcPr>
          <w:p w14:paraId="0E7AC95A">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3.0000</w:t>
            </w:r>
          </w:p>
        </w:tc>
        <w:tc>
          <w:tcPr>
            <w:tcW w:w="830" w:type="dxa"/>
          </w:tcPr>
          <w:p w14:paraId="1AFE8AF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客观</w:t>
            </w:r>
          </w:p>
        </w:tc>
        <w:tc>
          <w:tcPr>
            <w:tcW w:w="1659" w:type="dxa"/>
          </w:tcPr>
          <w:p w14:paraId="5E88421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校园文化</w:t>
            </w:r>
          </w:p>
        </w:tc>
      </w:tr>
      <w:tr w14:paraId="21FE1F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vMerge w:val="continue"/>
          </w:tcPr>
          <w:p w14:paraId="574CFF9B">
            <w:pPr>
              <w:spacing w:line="360" w:lineRule="auto"/>
              <w:rPr>
                <w:rFonts w:hint="eastAsia" w:ascii="仿宋" w:hAnsi="仿宋" w:eastAsia="仿宋" w:cs="仿宋"/>
                <w:sz w:val="24"/>
                <w:szCs w:val="24"/>
              </w:rPr>
            </w:pPr>
          </w:p>
        </w:tc>
        <w:tc>
          <w:tcPr>
            <w:tcW w:w="949" w:type="dxa"/>
          </w:tcPr>
          <w:p w14:paraId="79974B7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演示1</w:t>
            </w:r>
          </w:p>
        </w:tc>
        <w:tc>
          <w:tcPr>
            <w:tcW w:w="3198" w:type="dxa"/>
          </w:tcPr>
          <w:p w14:paraId="3577BCA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对以下内容进行现场真实环境演示，不接受PPT、视频录制、word文档等形式演示，每有1项演示内容未提供或者不满足参数要求的扣1分；每项演示内容存在缺陷的，扣0.5分。注：缺陷是指运行系统卡顿，界面设置不合理。演示时间不超过20分钟，不包括提问时间。 演示要求及内容一（分别演示手机APP端和PC端智能报账全过程）:2.1.1智能识别与提取服务-②须须具有非通用型财务原始凭证的识别和提取，包括高校内部管理表单文档类（如立项审批单、餐饮中心票据、验收单、劳务费用发放表、公务接待审批流程、租车审批单、合同等，若原始凭证有校内OA流程的，能按照既定条件直接提取已有数据作为原始凭证补充，固定资产采购需结合学校资产管理平台协同运行，对报销、建资、账务、付款能够进行一体化处理）、高校外部单据类（如会议通知、培训通知、酒店流水单、送货单、签收单、对账单、外部单位拟定的合同等），识别准确率≥98%，处理时效达到分钟级。</w:t>
            </w:r>
          </w:p>
        </w:tc>
        <w:tc>
          <w:tcPr>
            <w:tcW w:w="1056" w:type="dxa"/>
          </w:tcPr>
          <w:p w14:paraId="69A89292">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1.0000</w:t>
            </w:r>
          </w:p>
        </w:tc>
        <w:tc>
          <w:tcPr>
            <w:tcW w:w="830" w:type="dxa"/>
          </w:tcPr>
          <w:p w14:paraId="66F111C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主观</w:t>
            </w:r>
          </w:p>
        </w:tc>
        <w:tc>
          <w:tcPr>
            <w:tcW w:w="1659" w:type="dxa"/>
          </w:tcPr>
          <w:p w14:paraId="58EE169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演示内容</w:t>
            </w:r>
          </w:p>
        </w:tc>
      </w:tr>
      <w:tr w14:paraId="63841D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vMerge w:val="continue"/>
          </w:tcPr>
          <w:p w14:paraId="5A75CB2E">
            <w:pPr>
              <w:spacing w:line="360" w:lineRule="auto"/>
              <w:rPr>
                <w:rFonts w:hint="eastAsia" w:ascii="仿宋" w:hAnsi="仿宋" w:eastAsia="仿宋" w:cs="仿宋"/>
                <w:sz w:val="24"/>
                <w:szCs w:val="24"/>
              </w:rPr>
            </w:pPr>
          </w:p>
        </w:tc>
        <w:tc>
          <w:tcPr>
            <w:tcW w:w="949" w:type="dxa"/>
          </w:tcPr>
          <w:p w14:paraId="42C79F8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演示2</w:t>
            </w:r>
          </w:p>
        </w:tc>
        <w:tc>
          <w:tcPr>
            <w:tcW w:w="3198" w:type="dxa"/>
          </w:tcPr>
          <w:p w14:paraId="53E6EF5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要求及内容二:2.2智能填报-对话式报销-系统通过“智能报账助理”协助用户完成单据提报，智能报账助理须通过智能及人性化的对话交互方式了解用户的报销事由，智能判断财务业务场景，同时须结合高校的管理制度、会计政策及标准，完成报销单据的智能填制、合规性校验及确认提交。</w:t>
            </w:r>
          </w:p>
        </w:tc>
        <w:tc>
          <w:tcPr>
            <w:tcW w:w="1056" w:type="dxa"/>
          </w:tcPr>
          <w:p w14:paraId="01DC6809">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1.0000</w:t>
            </w:r>
          </w:p>
        </w:tc>
        <w:tc>
          <w:tcPr>
            <w:tcW w:w="830" w:type="dxa"/>
          </w:tcPr>
          <w:p w14:paraId="46229FA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主观</w:t>
            </w:r>
          </w:p>
        </w:tc>
        <w:tc>
          <w:tcPr>
            <w:tcW w:w="1659" w:type="dxa"/>
          </w:tcPr>
          <w:p w14:paraId="7782DE1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演示内容</w:t>
            </w:r>
          </w:p>
        </w:tc>
      </w:tr>
      <w:tr w14:paraId="38F085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vMerge w:val="continue"/>
          </w:tcPr>
          <w:p w14:paraId="5B503C48">
            <w:pPr>
              <w:spacing w:line="360" w:lineRule="auto"/>
              <w:rPr>
                <w:rFonts w:hint="eastAsia" w:ascii="仿宋" w:hAnsi="仿宋" w:eastAsia="仿宋" w:cs="仿宋"/>
                <w:sz w:val="24"/>
                <w:szCs w:val="24"/>
              </w:rPr>
            </w:pPr>
          </w:p>
        </w:tc>
        <w:tc>
          <w:tcPr>
            <w:tcW w:w="949" w:type="dxa"/>
          </w:tcPr>
          <w:p w14:paraId="120F6CE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演示3</w:t>
            </w:r>
          </w:p>
        </w:tc>
        <w:tc>
          <w:tcPr>
            <w:tcW w:w="3198" w:type="dxa"/>
          </w:tcPr>
          <w:p w14:paraId="333218F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要求及内容三:2.2智能填报-对话式报销-①业务场景还原能力：须具有通过报账提交的票据信息和报账事由等，即可智能判断识别出相应的经济活动及业务行为场景，所生成的数据能数字化地描述所发生业务的核心要素。例如：还原差旅活动应具备对出差行程的精细化还原能力，可以按照行程时序智能生成每段差旅行程的交通费、住宿费、差旅补贴等明细信息；公务接待业务能够智能还原出接待人数、陪同人数、接待人均支出，接待支出的细分类别等，便于发现业务中可能出现的问题和不合规风险。</w:t>
            </w:r>
          </w:p>
        </w:tc>
        <w:tc>
          <w:tcPr>
            <w:tcW w:w="1056" w:type="dxa"/>
          </w:tcPr>
          <w:p w14:paraId="585D60F2">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1.0000</w:t>
            </w:r>
          </w:p>
        </w:tc>
        <w:tc>
          <w:tcPr>
            <w:tcW w:w="830" w:type="dxa"/>
          </w:tcPr>
          <w:p w14:paraId="22A917F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主观</w:t>
            </w:r>
          </w:p>
        </w:tc>
        <w:tc>
          <w:tcPr>
            <w:tcW w:w="1659" w:type="dxa"/>
          </w:tcPr>
          <w:p w14:paraId="075EED8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演示内容</w:t>
            </w:r>
          </w:p>
        </w:tc>
      </w:tr>
      <w:tr w14:paraId="40FE10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vMerge w:val="continue"/>
          </w:tcPr>
          <w:p w14:paraId="5BEFC1D1">
            <w:pPr>
              <w:spacing w:line="360" w:lineRule="auto"/>
              <w:rPr>
                <w:rFonts w:hint="eastAsia" w:ascii="仿宋" w:hAnsi="仿宋" w:eastAsia="仿宋" w:cs="仿宋"/>
                <w:sz w:val="24"/>
                <w:szCs w:val="24"/>
              </w:rPr>
            </w:pPr>
          </w:p>
        </w:tc>
        <w:tc>
          <w:tcPr>
            <w:tcW w:w="949" w:type="dxa"/>
          </w:tcPr>
          <w:p w14:paraId="5BFBD6E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演示4</w:t>
            </w:r>
          </w:p>
        </w:tc>
        <w:tc>
          <w:tcPr>
            <w:tcW w:w="3198" w:type="dxa"/>
          </w:tcPr>
          <w:p w14:paraId="70777C6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要求及内容四:2.3智能稽核-②合同相关业务的智能化审核能力：具有针对涉及合同相关的业务的智能化审核和稽查。须具有审查合同的甲乙方、付款阶段、付款条件等是否满足要求；须具有与上传的票据、附件（如验收报告、立项报告、招标书等）等相关内容一致性的审查；须具有针对满足实际合同付款要求所需要的多方面的审核和稽查。</w:t>
            </w:r>
          </w:p>
        </w:tc>
        <w:tc>
          <w:tcPr>
            <w:tcW w:w="1056" w:type="dxa"/>
          </w:tcPr>
          <w:p w14:paraId="7C70A036">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1.0000</w:t>
            </w:r>
          </w:p>
        </w:tc>
        <w:tc>
          <w:tcPr>
            <w:tcW w:w="830" w:type="dxa"/>
          </w:tcPr>
          <w:p w14:paraId="404422B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主观</w:t>
            </w:r>
          </w:p>
        </w:tc>
        <w:tc>
          <w:tcPr>
            <w:tcW w:w="1659" w:type="dxa"/>
          </w:tcPr>
          <w:p w14:paraId="5CC153A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演示内容</w:t>
            </w:r>
          </w:p>
        </w:tc>
      </w:tr>
      <w:tr w14:paraId="283F63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vMerge w:val="continue"/>
          </w:tcPr>
          <w:p w14:paraId="4DACC4B0">
            <w:pPr>
              <w:spacing w:line="360" w:lineRule="auto"/>
              <w:rPr>
                <w:rFonts w:hint="eastAsia" w:ascii="仿宋" w:hAnsi="仿宋" w:eastAsia="仿宋" w:cs="仿宋"/>
                <w:sz w:val="24"/>
                <w:szCs w:val="24"/>
              </w:rPr>
            </w:pPr>
          </w:p>
        </w:tc>
        <w:tc>
          <w:tcPr>
            <w:tcW w:w="949" w:type="dxa"/>
          </w:tcPr>
          <w:p w14:paraId="15A4C6A4">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演示5</w:t>
            </w:r>
          </w:p>
        </w:tc>
        <w:tc>
          <w:tcPr>
            <w:tcW w:w="3198" w:type="dxa"/>
          </w:tcPr>
          <w:p w14:paraId="164F213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要求及内容五:2.4全面核算-须具有通过综合所有原始凭证（包括业务单据、发票、附件及合同等），智能推断出做账所需会计科目，最终推送至核算系统生成凭证，生成凭证包括现金流量、部门、项目、经济分类、固定资产数量单价（若有）等。</w:t>
            </w:r>
          </w:p>
        </w:tc>
        <w:tc>
          <w:tcPr>
            <w:tcW w:w="1056" w:type="dxa"/>
          </w:tcPr>
          <w:p w14:paraId="5758594E">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1.0000</w:t>
            </w:r>
          </w:p>
        </w:tc>
        <w:tc>
          <w:tcPr>
            <w:tcW w:w="830" w:type="dxa"/>
          </w:tcPr>
          <w:p w14:paraId="7E8589B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主观</w:t>
            </w:r>
          </w:p>
        </w:tc>
        <w:tc>
          <w:tcPr>
            <w:tcW w:w="1659" w:type="dxa"/>
          </w:tcPr>
          <w:p w14:paraId="5EB1E14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演示内容</w:t>
            </w:r>
          </w:p>
        </w:tc>
      </w:tr>
      <w:tr w14:paraId="314530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vMerge w:val="continue"/>
          </w:tcPr>
          <w:p w14:paraId="6A099D8C">
            <w:pPr>
              <w:spacing w:line="360" w:lineRule="auto"/>
              <w:rPr>
                <w:rFonts w:hint="eastAsia" w:ascii="仿宋" w:hAnsi="仿宋" w:eastAsia="仿宋" w:cs="仿宋"/>
                <w:sz w:val="24"/>
                <w:szCs w:val="24"/>
              </w:rPr>
            </w:pPr>
          </w:p>
        </w:tc>
        <w:tc>
          <w:tcPr>
            <w:tcW w:w="949" w:type="dxa"/>
          </w:tcPr>
          <w:p w14:paraId="5D95A4F3">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演示6</w:t>
            </w:r>
          </w:p>
        </w:tc>
        <w:tc>
          <w:tcPr>
            <w:tcW w:w="3198" w:type="dxa"/>
          </w:tcPr>
          <w:p w14:paraId="1E8BFD4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演示要求及内容六:2.6网上审批-网上审批模块应具有无代码配置、脚本编制、审批规则表设置、图形化编排等方式，提供灵活的、可快速编辑、调整的审批流程定义能力。</w:t>
            </w:r>
          </w:p>
        </w:tc>
        <w:tc>
          <w:tcPr>
            <w:tcW w:w="1056" w:type="dxa"/>
          </w:tcPr>
          <w:p w14:paraId="3BDA4814">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1.0000</w:t>
            </w:r>
          </w:p>
        </w:tc>
        <w:tc>
          <w:tcPr>
            <w:tcW w:w="830" w:type="dxa"/>
          </w:tcPr>
          <w:p w14:paraId="4FCDA880">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主观</w:t>
            </w:r>
          </w:p>
        </w:tc>
        <w:tc>
          <w:tcPr>
            <w:tcW w:w="1659" w:type="dxa"/>
          </w:tcPr>
          <w:p w14:paraId="7136D11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演示内容</w:t>
            </w:r>
          </w:p>
        </w:tc>
      </w:tr>
      <w:tr w14:paraId="71D59A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vMerge w:val="continue"/>
          </w:tcPr>
          <w:p w14:paraId="29029131">
            <w:pPr>
              <w:spacing w:line="360" w:lineRule="auto"/>
              <w:rPr>
                <w:rFonts w:hint="eastAsia" w:ascii="仿宋" w:hAnsi="仿宋" w:eastAsia="仿宋" w:cs="仿宋"/>
                <w:sz w:val="24"/>
                <w:szCs w:val="24"/>
              </w:rPr>
            </w:pPr>
          </w:p>
        </w:tc>
        <w:tc>
          <w:tcPr>
            <w:tcW w:w="949" w:type="dxa"/>
          </w:tcPr>
          <w:p w14:paraId="121723A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演示7</w:t>
            </w:r>
          </w:p>
        </w:tc>
        <w:tc>
          <w:tcPr>
            <w:tcW w:w="3198" w:type="dxa"/>
          </w:tcPr>
          <w:p w14:paraId="6A59C3E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演示要求及内容七：9.平台配套提供终端载体单机版，要求具有在无网络状态使用，内置以下功能模块：9.1 互动财会游戏功能模块；9.2 微课制作功能模块。</w:t>
            </w:r>
          </w:p>
        </w:tc>
        <w:tc>
          <w:tcPr>
            <w:tcW w:w="1056" w:type="dxa"/>
          </w:tcPr>
          <w:p w14:paraId="63686A68">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1.0000</w:t>
            </w:r>
          </w:p>
        </w:tc>
        <w:tc>
          <w:tcPr>
            <w:tcW w:w="830" w:type="dxa"/>
          </w:tcPr>
          <w:p w14:paraId="4A1C447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主观</w:t>
            </w:r>
          </w:p>
        </w:tc>
        <w:tc>
          <w:tcPr>
            <w:tcW w:w="1659" w:type="dxa"/>
          </w:tcPr>
          <w:p w14:paraId="213AB34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演示内容</w:t>
            </w:r>
          </w:p>
        </w:tc>
      </w:tr>
      <w:tr w14:paraId="1733EB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vMerge w:val="continue"/>
          </w:tcPr>
          <w:p w14:paraId="50E6329A">
            <w:pPr>
              <w:spacing w:line="360" w:lineRule="auto"/>
              <w:rPr>
                <w:rFonts w:hint="eastAsia" w:ascii="仿宋" w:hAnsi="仿宋" w:eastAsia="仿宋" w:cs="仿宋"/>
                <w:sz w:val="24"/>
                <w:szCs w:val="24"/>
              </w:rPr>
            </w:pPr>
          </w:p>
        </w:tc>
        <w:tc>
          <w:tcPr>
            <w:tcW w:w="949" w:type="dxa"/>
          </w:tcPr>
          <w:p w14:paraId="74D79C7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演示8</w:t>
            </w:r>
          </w:p>
        </w:tc>
        <w:tc>
          <w:tcPr>
            <w:tcW w:w="3198" w:type="dxa"/>
          </w:tcPr>
          <w:p w14:paraId="38439276">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演示要求及内容八：4.2填写报销单时具有选择本地图片、QQ截图并直接粘贴在界面上、手机微信扫码无缝上传三种方式附上原始票据附，最多可附15张原始票据。</w:t>
            </w:r>
          </w:p>
        </w:tc>
        <w:tc>
          <w:tcPr>
            <w:tcW w:w="1056" w:type="dxa"/>
          </w:tcPr>
          <w:p w14:paraId="5DB852EC">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1.0000</w:t>
            </w:r>
          </w:p>
        </w:tc>
        <w:tc>
          <w:tcPr>
            <w:tcW w:w="830" w:type="dxa"/>
          </w:tcPr>
          <w:p w14:paraId="0E409DA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主观</w:t>
            </w:r>
          </w:p>
        </w:tc>
        <w:tc>
          <w:tcPr>
            <w:tcW w:w="1659" w:type="dxa"/>
          </w:tcPr>
          <w:p w14:paraId="33ECAC97">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演示内容</w:t>
            </w:r>
          </w:p>
        </w:tc>
      </w:tr>
      <w:tr w14:paraId="17F407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vMerge w:val="continue"/>
          </w:tcPr>
          <w:p w14:paraId="68CB6D2C">
            <w:pPr>
              <w:spacing w:line="360" w:lineRule="auto"/>
              <w:rPr>
                <w:rFonts w:hint="eastAsia" w:ascii="仿宋" w:hAnsi="仿宋" w:eastAsia="仿宋" w:cs="仿宋"/>
                <w:sz w:val="24"/>
                <w:szCs w:val="24"/>
              </w:rPr>
            </w:pPr>
          </w:p>
        </w:tc>
        <w:tc>
          <w:tcPr>
            <w:tcW w:w="949" w:type="dxa"/>
          </w:tcPr>
          <w:p w14:paraId="20C8D63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演示9</w:t>
            </w:r>
          </w:p>
        </w:tc>
        <w:tc>
          <w:tcPr>
            <w:tcW w:w="3198" w:type="dxa"/>
          </w:tcPr>
          <w:p w14:paraId="7D9593C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演示要求及内容九：5.3 项目（合同）利润计算方式，可设置为按已收金额减去已付金额、应收金额减去应付金额、应收金额-已付金额、已收金额-应付金额或者应收金额-应付金额-日记账支出金额等≥五种方式。</w:t>
            </w:r>
          </w:p>
        </w:tc>
        <w:tc>
          <w:tcPr>
            <w:tcW w:w="1056" w:type="dxa"/>
          </w:tcPr>
          <w:p w14:paraId="771E76EC">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1.0000</w:t>
            </w:r>
          </w:p>
        </w:tc>
        <w:tc>
          <w:tcPr>
            <w:tcW w:w="830" w:type="dxa"/>
          </w:tcPr>
          <w:p w14:paraId="4D3AEAA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主观</w:t>
            </w:r>
          </w:p>
        </w:tc>
        <w:tc>
          <w:tcPr>
            <w:tcW w:w="1659" w:type="dxa"/>
          </w:tcPr>
          <w:p w14:paraId="6891F59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演示内容</w:t>
            </w:r>
          </w:p>
        </w:tc>
      </w:tr>
      <w:tr w14:paraId="67DD93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vMerge w:val="continue"/>
          </w:tcPr>
          <w:p w14:paraId="136B8E4D">
            <w:pPr>
              <w:spacing w:line="360" w:lineRule="auto"/>
              <w:rPr>
                <w:rFonts w:hint="eastAsia" w:ascii="仿宋" w:hAnsi="仿宋" w:eastAsia="仿宋" w:cs="仿宋"/>
                <w:sz w:val="24"/>
                <w:szCs w:val="24"/>
              </w:rPr>
            </w:pPr>
          </w:p>
        </w:tc>
        <w:tc>
          <w:tcPr>
            <w:tcW w:w="949" w:type="dxa"/>
          </w:tcPr>
          <w:p w14:paraId="7C931A0A">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演示10</w:t>
            </w:r>
          </w:p>
        </w:tc>
        <w:tc>
          <w:tcPr>
            <w:tcW w:w="3198" w:type="dxa"/>
          </w:tcPr>
          <w:p w14:paraId="300ECF4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演示要求及内容十：7.2 项目管理：包括项目开始结束日期，项目类别、项目金额、应付金额、应收金额，自动关联日记账数据，自动计算出已付金额、应付余额或已收金额、应收余额。</w:t>
            </w:r>
          </w:p>
        </w:tc>
        <w:tc>
          <w:tcPr>
            <w:tcW w:w="1056" w:type="dxa"/>
          </w:tcPr>
          <w:p w14:paraId="0BD00608">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1.0000</w:t>
            </w:r>
          </w:p>
        </w:tc>
        <w:tc>
          <w:tcPr>
            <w:tcW w:w="830" w:type="dxa"/>
          </w:tcPr>
          <w:p w14:paraId="23A749A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主观</w:t>
            </w:r>
          </w:p>
        </w:tc>
        <w:tc>
          <w:tcPr>
            <w:tcW w:w="1659" w:type="dxa"/>
          </w:tcPr>
          <w:p w14:paraId="684460C5">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演示内容</w:t>
            </w:r>
          </w:p>
        </w:tc>
      </w:tr>
      <w:tr w14:paraId="2134D6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vMerge w:val="continue"/>
          </w:tcPr>
          <w:p w14:paraId="57F763B4">
            <w:pPr>
              <w:spacing w:line="360" w:lineRule="auto"/>
              <w:rPr>
                <w:rFonts w:hint="eastAsia" w:ascii="仿宋" w:hAnsi="仿宋" w:eastAsia="仿宋" w:cs="仿宋"/>
                <w:sz w:val="24"/>
                <w:szCs w:val="24"/>
              </w:rPr>
            </w:pPr>
          </w:p>
        </w:tc>
        <w:tc>
          <w:tcPr>
            <w:tcW w:w="949" w:type="dxa"/>
          </w:tcPr>
          <w:p w14:paraId="3C15B34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演示11</w:t>
            </w:r>
          </w:p>
        </w:tc>
        <w:tc>
          <w:tcPr>
            <w:tcW w:w="3198" w:type="dxa"/>
          </w:tcPr>
          <w:p w14:paraId="10E550D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演示要求及内容十一：7.3 工作周记：按照工作计划以及工作日记的形式进行记录，同时可以提供附加图片功能。管理员可以对每个用户进行权限管辖，以控制该用户查看周记的范围。</w:t>
            </w:r>
          </w:p>
        </w:tc>
        <w:tc>
          <w:tcPr>
            <w:tcW w:w="1056" w:type="dxa"/>
          </w:tcPr>
          <w:p w14:paraId="77C51226">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1.0000</w:t>
            </w:r>
          </w:p>
        </w:tc>
        <w:tc>
          <w:tcPr>
            <w:tcW w:w="830" w:type="dxa"/>
          </w:tcPr>
          <w:p w14:paraId="6DFEB2B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主观</w:t>
            </w:r>
          </w:p>
        </w:tc>
        <w:tc>
          <w:tcPr>
            <w:tcW w:w="1659" w:type="dxa"/>
          </w:tcPr>
          <w:p w14:paraId="37FA18F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演示内容</w:t>
            </w:r>
          </w:p>
        </w:tc>
      </w:tr>
      <w:tr w14:paraId="78CC1A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 w:type="dxa"/>
          </w:tcPr>
          <w:p w14:paraId="638EEDC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价格分</w:t>
            </w:r>
          </w:p>
        </w:tc>
        <w:tc>
          <w:tcPr>
            <w:tcW w:w="949" w:type="dxa"/>
          </w:tcPr>
          <w:p w14:paraId="2E0186E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价格分</w:t>
            </w:r>
          </w:p>
        </w:tc>
        <w:tc>
          <w:tcPr>
            <w:tcW w:w="3198" w:type="dxa"/>
          </w:tcPr>
          <w:p w14:paraId="6CD64B7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按照财政部《政府采购货物和服务招标投标管理办法》（财政部令第87号）的有关规定：价格分采用低价优先法计算，即满足招标文件要求且投标价格最低的投标报价为评标基准价，其价格分为满分。其他投标人的价格分统一按照下列公式计算：投标报价得分=（评标基准价/投标报价）×价格权值（即35%)×100</w:t>
            </w:r>
          </w:p>
        </w:tc>
        <w:tc>
          <w:tcPr>
            <w:tcW w:w="1056" w:type="dxa"/>
          </w:tcPr>
          <w:p w14:paraId="1FFF0416">
            <w:pPr>
              <w:pStyle w:val="12"/>
              <w:spacing w:line="360" w:lineRule="auto"/>
              <w:jc w:val="right"/>
              <w:rPr>
                <w:rFonts w:hint="eastAsia" w:ascii="仿宋" w:hAnsi="仿宋" w:eastAsia="仿宋" w:cs="仿宋"/>
                <w:sz w:val="24"/>
                <w:szCs w:val="24"/>
              </w:rPr>
            </w:pPr>
            <w:r>
              <w:rPr>
                <w:rFonts w:hint="eastAsia" w:ascii="仿宋" w:hAnsi="仿宋" w:eastAsia="仿宋" w:cs="仿宋"/>
                <w:sz w:val="24"/>
                <w:szCs w:val="24"/>
              </w:rPr>
              <w:t>35.0000</w:t>
            </w:r>
          </w:p>
        </w:tc>
        <w:tc>
          <w:tcPr>
            <w:tcW w:w="830" w:type="dxa"/>
          </w:tcPr>
          <w:p w14:paraId="03AEB31B">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客观</w:t>
            </w:r>
          </w:p>
        </w:tc>
        <w:tc>
          <w:tcPr>
            <w:tcW w:w="1659" w:type="dxa"/>
          </w:tcPr>
          <w:p w14:paraId="5CC8073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开标一览表</w:t>
            </w:r>
          </w:p>
          <w:p w14:paraId="49E011C8">
            <w:pPr>
              <w:pStyle w:val="12"/>
              <w:spacing w:line="360" w:lineRule="auto"/>
              <w:rPr>
                <w:rFonts w:hint="eastAsia" w:ascii="仿宋" w:hAnsi="仿宋" w:eastAsia="仿宋" w:cs="仿宋"/>
                <w:sz w:val="24"/>
                <w:szCs w:val="24"/>
              </w:rPr>
            </w:pPr>
            <w:r>
              <w:rPr>
                <w:rFonts w:hint="eastAsia" w:ascii="仿宋" w:hAnsi="仿宋" w:eastAsia="仿宋" w:cs="仿宋"/>
                <w:sz w:val="24"/>
                <w:szCs w:val="24"/>
              </w:rPr>
              <w:t>标的清单</w:t>
            </w:r>
          </w:p>
        </w:tc>
      </w:tr>
    </w:tbl>
    <w:p w14:paraId="0B9CE3E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价格扣除</w:t>
      </w:r>
    </w:p>
    <w:tbl>
      <w:tblPr>
        <w:tblStyle w:val="10"/>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1661"/>
        <w:gridCol w:w="1661"/>
        <w:gridCol w:w="936"/>
        <w:gridCol w:w="1661"/>
        <w:gridCol w:w="1661"/>
      </w:tblGrid>
      <w:tr w14:paraId="2BDD15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08301F6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序号</w:t>
            </w:r>
          </w:p>
        </w:tc>
        <w:tc>
          <w:tcPr>
            <w:tcW w:w="1661" w:type="dxa"/>
          </w:tcPr>
          <w:p w14:paraId="479D981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价格扣除评审内容</w:t>
            </w:r>
          </w:p>
        </w:tc>
        <w:tc>
          <w:tcPr>
            <w:tcW w:w="1661" w:type="dxa"/>
          </w:tcPr>
          <w:p w14:paraId="225A9E4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适用情形</w:t>
            </w:r>
          </w:p>
        </w:tc>
        <w:tc>
          <w:tcPr>
            <w:tcW w:w="831" w:type="dxa"/>
          </w:tcPr>
          <w:p w14:paraId="721C0A3D">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扣除比例（C1）</w:t>
            </w:r>
          </w:p>
        </w:tc>
        <w:tc>
          <w:tcPr>
            <w:tcW w:w="1661" w:type="dxa"/>
          </w:tcPr>
          <w:p w14:paraId="027CBBF2">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具体标准和要求</w:t>
            </w:r>
          </w:p>
        </w:tc>
        <w:tc>
          <w:tcPr>
            <w:tcW w:w="1661" w:type="dxa"/>
          </w:tcPr>
          <w:p w14:paraId="190E2B2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关联投标（响应）文件格式文件</w:t>
            </w:r>
          </w:p>
        </w:tc>
      </w:tr>
      <w:tr w14:paraId="051121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gridSpan w:val="6"/>
          </w:tcPr>
          <w:p w14:paraId="1A5092E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 xml:space="preserve"> 无</w:t>
            </w:r>
          </w:p>
        </w:tc>
      </w:tr>
    </w:tbl>
    <w:p w14:paraId="25105D4E">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说明：</w:t>
      </w:r>
    </w:p>
    <w:p w14:paraId="466FBE9C">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1、评分的取值按四舍五入法，保留小数点后两位；</w:t>
      </w:r>
    </w:p>
    <w:p w14:paraId="5E773AC4">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2、评分标准中要求提供复印件的证明材料须清晰可辨。</w:t>
      </w:r>
    </w:p>
    <w:p w14:paraId="4D59AFDB">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若采用最低评标价法的，投标文件满足招标文件全部实质性要求，且投标报价最低的投标人为中标候选人。采用最低评标价法评标时，除了算术修正和落实政府采购政策需进行的价格扣除外，不能对投标人的投标价格进行任何调整。</w:t>
      </w:r>
    </w:p>
    <w:p w14:paraId="28D4B1AB">
      <w:pPr>
        <w:pStyle w:val="12"/>
        <w:spacing w:line="360" w:lineRule="auto"/>
        <w:outlineLvl w:val="2"/>
        <w:rPr>
          <w:rFonts w:hint="eastAsia" w:ascii="仿宋" w:hAnsi="仿宋" w:eastAsia="仿宋" w:cs="仿宋"/>
          <w:sz w:val="24"/>
          <w:szCs w:val="24"/>
        </w:rPr>
      </w:pPr>
      <w:bookmarkStart w:id="47" w:name="_Toc32298"/>
      <w:r>
        <w:rPr>
          <w:rFonts w:hint="eastAsia" w:ascii="仿宋" w:hAnsi="仿宋" w:eastAsia="仿宋" w:cs="仿宋"/>
          <w:b/>
          <w:sz w:val="24"/>
          <w:szCs w:val="24"/>
        </w:rPr>
        <w:t>5.7废标</w:t>
      </w:r>
      <w:bookmarkEnd w:id="47"/>
    </w:p>
    <w:p w14:paraId="7AD5A8A4">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本次政府采购活动中，出现下列情形之一的，予以废标：</w:t>
      </w:r>
    </w:p>
    <w:p w14:paraId="031D1940">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一、符合专业条件的投标人或者对招标文件作实质响应的投标人不足三家的；</w:t>
      </w:r>
    </w:p>
    <w:p w14:paraId="115A14A0">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二、出现影响采购公正的违法、违规行为的；</w:t>
      </w:r>
    </w:p>
    <w:p w14:paraId="73F24206">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三、投标人的报价均超过了采购预算，采购人不能支付的；</w:t>
      </w:r>
    </w:p>
    <w:p w14:paraId="7AAC1789">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四、因重大变故，采购任务取消的；</w:t>
      </w:r>
    </w:p>
    <w:p w14:paraId="2D65A92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废标后，代理机构将在“陕西省政府采购网”上公告。对于评标过程中废标的采购项目，评标委员会应当对招标文件是否存在不合理条款进行论证，并出具书面论证意见。</w:t>
      </w:r>
    </w:p>
    <w:p w14:paraId="4A0270C3">
      <w:pPr>
        <w:pStyle w:val="12"/>
        <w:spacing w:line="360" w:lineRule="auto"/>
        <w:outlineLvl w:val="2"/>
        <w:rPr>
          <w:rFonts w:hint="eastAsia" w:ascii="仿宋" w:hAnsi="仿宋" w:eastAsia="仿宋" w:cs="仿宋"/>
          <w:sz w:val="24"/>
          <w:szCs w:val="24"/>
        </w:rPr>
      </w:pPr>
      <w:bookmarkStart w:id="48" w:name="_Toc16730"/>
      <w:r>
        <w:rPr>
          <w:rFonts w:hint="eastAsia" w:ascii="仿宋" w:hAnsi="仿宋" w:eastAsia="仿宋" w:cs="仿宋"/>
          <w:b/>
          <w:sz w:val="24"/>
          <w:szCs w:val="24"/>
        </w:rPr>
        <w:t>5.8定标</w:t>
      </w:r>
      <w:bookmarkEnd w:id="48"/>
    </w:p>
    <w:p w14:paraId="47623F64">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5.8.1 定标原则</w:t>
      </w:r>
    </w:p>
    <w:p w14:paraId="6A11DE5C">
      <w:pPr>
        <w:pStyle w:val="12"/>
        <w:spacing w:line="360" w:lineRule="auto"/>
        <w:rPr>
          <w:rFonts w:hint="eastAsia" w:ascii="仿宋" w:hAnsi="仿宋" w:eastAsia="仿宋" w:cs="仿宋"/>
          <w:sz w:val="24"/>
          <w:szCs w:val="24"/>
        </w:rPr>
      </w:pPr>
      <w:r>
        <w:rPr>
          <w:rFonts w:hint="eastAsia" w:ascii="仿宋" w:hAnsi="仿宋" w:eastAsia="仿宋" w:cs="仿宋"/>
          <w:sz w:val="24"/>
          <w:szCs w:val="24"/>
        </w:rPr>
        <w:t>采购人在评标报告确定的中标候选人名单中按顺序确定1名中标人。中标候选人并列的，由采购人采取随机抽取的方式确定中标人。</w:t>
      </w:r>
    </w:p>
    <w:p w14:paraId="68F6E6B8">
      <w:pPr>
        <w:pStyle w:val="12"/>
        <w:spacing w:line="360" w:lineRule="auto"/>
        <w:outlineLvl w:val="3"/>
        <w:rPr>
          <w:rFonts w:hint="eastAsia" w:ascii="仿宋" w:hAnsi="仿宋" w:eastAsia="仿宋" w:cs="仿宋"/>
          <w:sz w:val="24"/>
          <w:szCs w:val="24"/>
        </w:rPr>
      </w:pPr>
      <w:r>
        <w:rPr>
          <w:rFonts w:hint="eastAsia" w:ascii="仿宋" w:hAnsi="仿宋" w:eastAsia="仿宋" w:cs="仿宋"/>
          <w:b/>
          <w:sz w:val="24"/>
          <w:szCs w:val="24"/>
        </w:rPr>
        <w:t>5.8.2定标程序</w:t>
      </w:r>
    </w:p>
    <w:p w14:paraId="72304E51">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一、评标委员会在项目电子化交易系统中编制评标情况，生成评标报告。</w:t>
      </w:r>
    </w:p>
    <w:p w14:paraId="21A1F749">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二、代理机构在评标结束之日起2个工作日内将评标报告送采购人。</w:t>
      </w:r>
    </w:p>
    <w:p w14:paraId="100038CF">
      <w:pPr>
        <w:pStyle w:val="12"/>
        <w:spacing w:line="360" w:lineRule="auto"/>
        <w:rPr>
          <w:rFonts w:hint="eastAsia" w:ascii="仿宋" w:hAnsi="仿宋" w:eastAsia="仿宋" w:cs="仿宋"/>
          <w:sz w:val="24"/>
          <w:szCs w:val="24"/>
        </w:rPr>
      </w:pPr>
      <w:r>
        <w:rPr>
          <w:rFonts w:hint="eastAsia" w:ascii="仿宋" w:hAnsi="仿宋" w:eastAsia="仿宋" w:cs="仿宋"/>
          <w:sz w:val="24"/>
          <w:szCs w:val="24"/>
        </w:rPr>
        <w:t>三、采购人在收到评标报告后5个工作日内，按照评标报告中推荐的中标候选人顺序确定中标供应商。逾期未确认的，又不能说明合法理由的，视同按评标报告推荐的顺序确定排名第一的中标候选人为中标供应商。</w:t>
      </w:r>
    </w:p>
    <w:p w14:paraId="102111BE">
      <w:pPr>
        <w:pStyle w:val="12"/>
        <w:spacing w:line="360" w:lineRule="auto"/>
        <w:rPr>
          <w:rFonts w:hint="eastAsia" w:ascii="仿宋" w:hAnsi="仿宋" w:eastAsia="仿宋" w:cs="仿宋"/>
          <w:sz w:val="24"/>
          <w:szCs w:val="24"/>
        </w:rPr>
      </w:pPr>
      <w:r>
        <w:rPr>
          <w:rFonts w:hint="eastAsia" w:ascii="仿宋" w:hAnsi="仿宋" w:eastAsia="仿宋" w:cs="仿宋"/>
          <w:sz w:val="24"/>
          <w:szCs w:val="24"/>
        </w:rPr>
        <w:t>四、根据确定的中标供应商，代理机构在陕西省政府采购网上发布中标结果公告，通过项目电子化交易系统向中标供应商发出中标通知书。</w:t>
      </w:r>
    </w:p>
    <w:p w14:paraId="5F550810">
      <w:pPr>
        <w:pStyle w:val="12"/>
        <w:spacing w:line="360" w:lineRule="auto"/>
        <w:outlineLvl w:val="2"/>
        <w:rPr>
          <w:rFonts w:hint="eastAsia" w:ascii="仿宋" w:hAnsi="仿宋" w:eastAsia="仿宋" w:cs="仿宋"/>
          <w:sz w:val="24"/>
          <w:szCs w:val="24"/>
        </w:rPr>
      </w:pPr>
      <w:bookmarkStart w:id="49" w:name="_Toc5839"/>
      <w:r>
        <w:rPr>
          <w:rFonts w:hint="eastAsia" w:ascii="仿宋" w:hAnsi="仿宋" w:eastAsia="仿宋" w:cs="仿宋"/>
          <w:b/>
          <w:sz w:val="24"/>
          <w:szCs w:val="24"/>
        </w:rPr>
        <w:t>5.9评审专家在政府采购活动中承担以下义务</w:t>
      </w:r>
      <w:bookmarkEnd w:id="49"/>
    </w:p>
    <w:p w14:paraId="1E0982C2">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（一）遵守评审工作纪律；</w:t>
      </w:r>
    </w:p>
    <w:p w14:paraId="7188E27C">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（二）按照客观、公正、审慎的原则，根据采购文件规定的评审程序、评审方法和评审标准进行独立评审；</w:t>
      </w:r>
    </w:p>
    <w:p w14:paraId="5E3DE6A9">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（三）不得泄露评审文件、评审情况和在评审过程中获悉的商业秘密；</w:t>
      </w:r>
    </w:p>
    <w:p w14:paraId="7EE5F830">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（四）及时向监督管理部门报告评审过程中的违法违规情况，包括采购组织单位向评审专家作出倾向性、误导性的解释或者说明情况，供应商行贿、提供虚假材料或者串通情况，其他非法干预评审情况等；</w:t>
      </w:r>
    </w:p>
    <w:p w14:paraId="695A8731">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（五）发现采购文件内容违反国家有关强制性规定或者存在歧义、重大缺陷导致评审工作无法进行时，停止评审并通过项目电子化交易系统向采购组织单位书面说明情况，说明停止评审的情形和具体理由；</w:t>
      </w:r>
    </w:p>
    <w:p w14:paraId="73097487">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（六）配合答复处理供应商的询问、质疑和投诉等事项；</w:t>
      </w:r>
    </w:p>
    <w:p w14:paraId="036D0EF4">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（七）法律、法规和规章规定的其他义务。</w:t>
      </w:r>
    </w:p>
    <w:p w14:paraId="36815DD4">
      <w:pPr>
        <w:pStyle w:val="12"/>
        <w:spacing w:line="360" w:lineRule="auto"/>
        <w:outlineLvl w:val="2"/>
        <w:rPr>
          <w:rFonts w:hint="eastAsia" w:ascii="仿宋" w:hAnsi="仿宋" w:eastAsia="仿宋" w:cs="仿宋"/>
          <w:sz w:val="24"/>
          <w:szCs w:val="24"/>
        </w:rPr>
      </w:pPr>
      <w:bookmarkStart w:id="50" w:name="_Toc26132"/>
      <w:r>
        <w:rPr>
          <w:rFonts w:hint="eastAsia" w:ascii="仿宋" w:hAnsi="仿宋" w:eastAsia="仿宋" w:cs="仿宋"/>
          <w:b/>
          <w:sz w:val="24"/>
          <w:szCs w:val="24"/>
        </w:rPr>
        <w:t>5.10评审专家在政府采购活动中应当遵守以下工作纪律</w:t>
      </w:r>
      <w:bookmarkEnd w:id="50"/>
    </w:p>
    <w:p w14:paraId="2F09A33F">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（一）遵行《中华人民共和国政府采购法》第十二条和《中华人民共和国政府采购法实施条例》第九条及财政部关于回避的规定。</w:t>
      </w:r>
    </w:p>
    <w:p w14:paraId="4B3BD513">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（二）评审前，应当将通讯工具或者相关电子设备交由采购组织单位统一保管。</w:t>
      </w:r>
    </w:p>
    <w:p w14:paraId="4D062D29">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（三）评审过程中，不得与外界联系，因发生不可预见情况，确实需要与外界联系的，应当在监督人员监督之下办理。</w:t>
      </w:r>
    </w:p>
    <w:p w14:paraId="11085ED7">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（四）评审过程中，不得干预或者影响正常评审工作， 不得发表倾向性、引导性意见，不得修改或细化采购文件确定的评审程序、评审方法、评审因素和评审标准，不得接受供应商主动提出的澄清和解释，不得征询采购人代表的意见，不得协商评分，不得违反规定的评审格式评分和撰写评审意见，不得拒绝对自己的评审意见签字确认。</w:t>
      </w:r>
    </w:p>
    <w:p w14:paraId="46EEF9F7">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 （五）在评审过程中和评审结束后，不得记录、复制或带走任何评审资料，除因配合答复处理供应商的询问、质疑和投诉等事项外，不得向外界透露评审内容。</w:t>
      </w:r>
    </w:p>
    <w:p w14:paraId="05B5EB7C">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（六）服从评审现场采购组织单位的现场秩序管理，接受评审现场监督人员的合法监督。</w:t>
      </w:r>
    </w:p>
    <w:p w14:paraId="59F6F77C">
      <w:pPr>
        <w:pStyle w:val="12"/>
        <w:spacing w:line="360" w:lineRule="auto"/>
        <w:ind w:firstLine="480"/>
        <w:rPr>
          <w:rFonts w:hint="eastAsia" w:ascii="仿宋" w:hAnsi="仿宋" w:eastAsia="仿宋" w:cs="仿宋"/>
          <w:sz w:val="24"/>
          <w:szCs w:val="24"/>
        </w:rPr>
      </w:pPr>
      <w:r>
        <w:rPr>
          <w:rFonts w:hint="eastAsia" w:ascii="仿宋" w:hAnsi="仿宋" w:eastAsia="仿宋" w:cs="仿宋"/>
          <w:sz w:val="24"/>
          <w:szCs w:val="24"/>
        </w:rPr>
        <w:t>（七）遵守有关廉洁自律规定，不得私下接触供应商， 不得收受供应商及有关业务单位和个人的财物或好处，不得接受采购组织单位的请托。</w:t>
      </w:r>
    </w:p>
    <w:p w14:paraId="45A92E87">
      <w:pPr>
        <w:pStyle w:val="12"/>
        <w:rPr>
          <w:rFonts w:hint="eastAsia" w:ascii="仿宋" w:hAnsi="仿宋" w:eastAsia="仿宋" w:cs="仿宋"/>
        </w:rPr>
      </w:pPr>
      <w:r>
        <w:rPr>
          <w:rFonts w:hint="eastAsia" w:ascii="仿宋" w:hAnsi="仿宋" w:eastAsia="仿宋" w:cs="仿宋"/>
        </w:rPr>
        <w:t xml:space="preserve"> </w:t>
      </w:r>
      <w:r>
        <w:rPr>
          <w:rFonts w:hint="eastAsia" w:ascii="仿宋" w:hAnsi="仿宋" w:eastAsia="仿宋" w:cs="仿宋"/>
        </w:rPr>
        <w:br w:type="textWrapping"/>
      </w:r>
      <w:r>
        <w:rPr>
          <w:rFonts w:hint="eastAsia" w:ascii="仿宋" w:hAnsi="仿宋" w:eastAsia="仿宋" w:cs="仿宋"/>
        </w:rPr>
        <w:br w:type="page"/>
      </w:r>
    </w:p>
    <w:p w14:paraId="1468DFC4">
      <w:pPr>
        <w:pStyle w:val="12"/>
        <w:jc w:val="center"/>
        <w:outlineLvl w:val="1"/>
        <w:rPr>
          <w:rFonts w:hint="eastAsia" w:ascii="仿宋" w:hAnsi="仿宋" w:eastAsia="仿宋" w:cs="仿宋"/>
        </w:rPr>
      </w:pPr>
      <w:bookmarkStart w:id="51" w:name="_Toc17222"/>
      <w:r>
        <w:rPr>
          <w:rFonts w:hint="eastAsia" w:ascii="仿宋" w:hAnsi="仿宋" w:eastAsia="仿宋" w:cs="仿宋"/>
          <w:b/>
          <w:sz w:val="36"/>
        </w:rPr>
        <w:t>第六章 投标文件格式</w:t>
      </w:r>
      <w:bookmarkEnd w:id="51"/>
    </w:p>
    <w:p w14:paraId="37787436">
      <w:pPr>
        <w:pStyle w:val="12"/>
        <w:rPr>
          <w:rFonts w:hint="eastAsia" w:ascii="仿宋" w:hAnsi="仿宋" w:eastAsia="仿宋" w:cs="仿宋"/>
        </w:rPr>
      </w:pPr>
      <w:r>
        <w:rPr>
          <w:rFonts w:hint="eastAsia" w:ascii="仿宋" w:hAnsi="仿宋" w:eastAsia="仿宋" w:cs="仿宋"/>
        </w:rPr>
        <w:t>采购包1：</w:t>
      </w:r>
    </w:p>
    <w:p w14:paraId="1D78E50D">
      <w:pPr>
        <w:pStyle w:val="12"/>
        <w:rPr>
          <w:rFonts w:hint="eastAsia" w:ascii="仿宋" w:hAnsi="仿宋" w:eastAsia="仿宋" w:cs="仿宋"/>
        </w:rPr>
      </w:pPr>
      <w:r>
        <w:rPr>
          <w:rFonts w:hint="eastAsia" w:ascii="仿宋" w:hAnsi="仿宋" w:eastAsia="仿宋" w:cs="仿宋"/>
        </w:rPr>
        <w:t>分册名称：投标响应文件分册</w:t>
      </w:r>
    </w:p>
    <w:p w14:paraId="20F66002">
      <w:pPr>
        <w:pStyle w:val="12"/>
        <w:ind w:firstLine="960"/>
        <w:rPr>
          <w:rFonts w:hint="eastAsia" w:ascii="仿宋" w:hAnsi="仿宋" w:eastAsia="仿宋" w:cs="仿宋"/>
        </w:rPr>
      </w:pPr>
      <w:r>
        <w:rPr>
          <w:rFonts w:hint="eastAsia" w:ascii="仿宋" w:hAnsi="仿宋" w:eastAsia="仿宋" w:cs="仿宋"/>
        </w:rPr>
        <w:t>详见附件：投标文件封面</w:t>
      </w:r>
    </w:p>
    <w:p w14:paraId="70BE5215">
      <w:pPr>
        <w:pStyle w:val="12"/>
        <w:ind w:firstLine="960"/>
        <w:rPr>
          <w:rFonts w:hint="eastAsia" w:ascii="仿宋" w:hAnsi="仿宋" w:eastAsia="仿宋" w:cs="仿宋"/>
        </w:rPr>
      </w:pPr>
      <w:r>
        <w:rPr>
          <w:rFonts w:hint="eastAsia" w:ascii="仿宋" w:hAnsi="仿宋" w:eastAsia="仿宋" w:cs="仿宋"/>
        </w:rPr>
        <w:t>详见附件：投标函</w:t>
      </w:r>
    </w:p>
    <w:p w14:paraId="16CA2E9E">
      <w:pPr>
        <w:pStyle w:val="12"/>
        <w:ind w:firstLine="960"/>
        <w:rPr>
          <w:rFonts w:hint="eastAsia" w:ascii="仿宋" w:hAnsi="仿宋" w:eastAsia="仿宋" w:cs="仿宋"/>
        </w:rPr>
      </w:pPr>
      <w:r>
        <w:rPr>
          <w:rFonts w:hint="eastAsia" w:ascii="仿宋" w:hAnsi="仿宋" w:eastAsia="仿宋" w:cs="仿宋"/>
        </w:rPr>
        <w:t>详见附件：中小企业声明函</w:t>
      </w:r>
    </w:p>
    <w:p w14:paraId="44E42D94">
      <w:pPr>
        <w:pStyle w:val="12"/>
        <w:ind w:firstLine="960"/>
        <w:rPr>
          <w:rFonts w:hint="eastAsia" w:ascii="仿宋" w:hAnsi="仿宋" w:eastAsia="仿宋" w:cs="仿宋"/>
        </w:rPr>
      </w:pPr>
      <w:r>
        <w:rPr>
          <w:rFonts w:hint="eastAsia" w:ascii="仿宋" w:hAnsi="仿宋" w:eastAsia="仿宋" w:cs="仿宋"/>
        </w:rPr>
        <w:t>详见附件：残疾人福利性单位声明函</w:t>
      </w:r>
    </w:p>
    <w:p w14:paraId="368855BA">
      <w:pPr>
        <w:pStyle w:val="12"/>
        <w:ind w:firstLine="960"/>
        <w:rPr>
          <w:rFonts w:hint="eastAsia" w:ascii="仿宋" w:hAnsi="仿宋" w:eastAsia="仿宋" w:cs="仿宋"/>
        </w:rPr>
      </w:pPr>
      <w:r>
        <w:rPr>
          <w:rFonts w:hint="eastAsia" w:ascii="仿宋" w:hAnsi="仿宋" w:eastAsia="仿宋" w:cs="仿宋"/>
        </w:rPr>
        <w:t>详见附件：监狱企业的证明文件</w:t>
      </w:r>
    </w:p>
    <w:p w14:paraId="01858001">
      <w:pPr>
        <w:pStyle w:val="12"/>
        <w:ind w:firstLine="960"/>
        <w:rPr>
          <w:rFonts w:hint="eastAsia" w:ascii="仿宋" w:hAnsi="仿宋" w:eastAsia="仿宋" w:cs="仿宋"/>
        </w:rPr>
      </w:pPr>
      <w:r>
        <w:rPr>
          <w:rFonts w:hint="eastAsia" w:ascii="仿宋" w:hAnsi="仿宋" w:eastAsia="仿宋" w:cs="仿宋"/>
        </w:rPr>
        <w:t>详见附件：开标一览表</w:t>
      </w:r>
    </w:p>
    <w:p w14:paraId="6516E6E6">
      <w:pPr>
        <w:pStyle w:val="12"/>
        <w:ind w:firstLine="960"/>
        <w:rPr>
          <w:rFonts w:hint="eastAsia" w:ascii="仿宋" w:hAnsi="仿宋" w:eastAsia="仿宋" w:cs="仿宋"/>
        </w:rPr>
      </w:pPr>
      <w:r>
        <w:rPr>
          <w:rFonts w:hint="eastAsia" w:ascii="仿宋" w:hAnsi="仿宋" w:eastAsia="仿宋" w:cs="仿宋"/>
        </w:rPr>
        <w:t>详见附件：标的清单</w:t>
      </w:r>
    </w:p>
    <w:p w14:paraId="67BB7261">
      <w:pPr>
        <w:pStyle w:val="12"/>
        <w:ind w:firstLine="960"/>
        <w:rPr>
          <w:rFonts w:hint="eastAsia" w:ascii="仿宋" w:hAnsi="仿宋" w:eastAsia="仿宋" w:cs="仿宋"/>
        </w:rPr>
      </w:pPr>
      <w:r>
        <w:rPr>
          <w:rFonts w:hint="eastAsia" w:ascii="仿宋" w:hAnsi="仿宋" w:eastAsia="仿宋" w:cs="仿宋"/>
        </w:rPr>
        <w:t>详见附件：技术规格响应偏离表</w:t>
      </w:r>
    </w:p>
    <w:p w14:paraId="184C2FA3">
      <w:pPr>
        <w:pStyle w:val="12"/>
        <w:ind w:firstLine="960"/>
        <w:rPr>
          <w:rFonts w:hint="eastAsia" w:ascii="仿宋" w:hAnsi="仿宋" w:eastAsia="仿宋" w:cs="仿宋"/>
        </w:rPr>
      </w:pPr>
      <w:r>
        <w:rPr>
          <w:rFonts w:hint="eastAsia" w:ascii="仿宋" w:hAnsi="仿宋" w:eastAsia="仿宋" w:cs="仿宋"/>
        </w:rPr>
        <w:t>详见附件：商务条款响应偏离表</w:t>
      </w:r>
    </w:p>
    <w:p w14:paraId="774CA4D6">
      <w:pPr>
        <w:pStyle w:val="12"/>
        <w:ind w:firstLine="960"/>
        <w:rPr>
          <w:rFonts w:hint="eastAsia" w:ascii="仿宋" w:hAnsi="仿宋" w:eastAsia="仿宋" w:cs="仿宋"/>
        </w:rPr>
      </w:pPr>
      <w:r>
        <w:rPr>
          <w:rFonts w:hint="eastAsia" w:ascii="仿宋" w:hAnsi="仿宋" w:eastAsia="仿宋" w:cs="仿宋"/>
        </w:rPr>
        <w:t>详见附件：法定代表人授权书</w:t>
      </w:r>
    </w:p>
    <w:p w14:paraId="5C115D76">
      <w:pPr>
        <w:pStyle w:val="12"/>
        <w:ind w:firstLine="960"/>
        <w:rPr>
          <w:rFonts w:hint="eastAsia" w:ascii="仿宋" w:hAnsi="仿宋" w:eastAsia="仿宋" w:cs="仿宋"/>
        </w:rPr>
      </w:pPr>
      <w:r>
        <w:rPr>
          <w:rFonts w:hint="eastAsia" w:ascii="仿宋" w:hAnsi="仿宋" w:eastAsia="仿宋" w:cs="仿宋"/>
        </w:rPr>
        <w:t>详见附件：承诺书</w:t>
      </w:r>
    </w:p>
    <w:p w14:paraId="6F00A217">
      <w:pPr>
        <w:pStyle w:val="12"/>
        <w:ind w:firstLine="960"/>
        <w:rPr>
          <w:rFonts w:hint="eastAsia" w:ascii="仿宋" w:hAnsi="仿宋" w:eastAsia="仿宋" w:cs="仿宋"/>
        </w:rPr>
      </w:pPr>
      <w:r>
        <w:rPr>
          <w:rFonts w:hint="eastAsia" w:ascii="仿宋" w:hAnsi="仿宋" w:eastAsia="仿宋" w:cs="仿宋"/>
        </w:rPr>
        <w:t>详见附件：资格证明文件</w:t>
      </w:r>
    </w:p>
    <w:p w14:paraId="15B0EDF6">
      <w:pPr>
        <w:pStyle w:val="12"/>
        <w:ind w:firstLine="960"/>
        <w:rPr>
          <w:rFonts w:hint="eastAsia" w:ascii="仿宋" w:hAnsi="仿宋" w:eastAsia="仿宋" w:cs="仿宋"/>
        </w:rPr>
      </w:pPr>
      <w:r>
        <w:rPr>
          <w:rFonts w:hint="eastAsia" w:ascii="仿宋" w:hAnsi="仿宋" w:eastAsia="仿宋" w:cs="仿宋"/>
        </w:rPr>
        <w:t>详见附件：技术指标佐证资料</w:t>
      </w:r>
    </w:p>
    <w:p w14:paraId="26719282">
      <w:pPr>
        <w:pStyle w:val="12"/>
        <w:ind w:firstLine="960"/>
        <w:rPr>
          <w:rFonts w:hint="eastAsia" w:ascii="仿宋" w:hAnsi="仿宋" w:eastAsia="仿宋" w:cs="仿宋"/>
        </w:rPr>
      </w:pPr>
      <w:r>
        <w:rPr>
          <w:rFonts w:hint="eastAsia" w:ascii="仿宋" w:hAnsi="仿宋" w:eastAsia="仿宋" w:cs="仿宋"/>
        </w:rPr>
        <w:t>详见附件：技术方案</w:t>
      </w:r>
    </w:p>
    <w:p w14:paraId="3684D672">
      <w:pPr>
        <w:pStyle w:val="12"/>
        <w:ind w:firstLine="960"/>
        <w:rPr>
          <w:rFonts w:hint="eastAsia" w:ascii="仿宋" w:hAnsi="仿宋" w:eastAsia="仿宋" w:cs="仿宋"/>
        </w:rPr>
      </w:pPr>
      <w:r>
        <w:rPr>
          <w:rFonts w:hint="eastAsia" w:ascii="仿宋" w:hAnsi="仿宋" w:eastAsia="仿宋" w:cs="仿宋"/>
        </w:rPr>
        <w:t>详见附件：实施方案</w:t>
      </w:r>
    </w:p>
    <w:p w14:paraId="383E5DE2">
      <w:pPr>
        <w:pStyle w:val="12"/>
        <w:ind w:firstLine="960"/>
        <w:rPr>
          <w:rFonts w:hint="eastAsia" w:ascii="仿宋" w:hAnsi="仿宋" w:eastAsia="仿宋" w:cs="仿宋"/>
        </w:rPr>
      </w:pPr>
      <w:r>
        <w:rPr>
          <w:rFonts w:hint="eastAsia" w:ascii="仿宋" w:hAnsi="仿宋" w:eastAsia="仿宋" w:cs="仿宋"/>
        </w:rPr>
        <w:t>详见附件：质量保障</w:t>
      </w:r>
    </w:p>
    <w:p w14:paraId="695E53FF">
      <w:pPr>
        <w:pStyle w:val="12"/>
        <w:ind w:firstLine="960"/>
        <w:rPr>
          <w:rFonts w:hint="eastAsia" w:ascii="仿宋" w:hAnsi="仿宋" w:eastAsia="仿宋" w:cs="仿宋"/>
        </w:rPr>
      </w:pPr>
      <w:r>
        <w:rPr>
          <w:rFonts w:hint="eastAsia" w:ascii="仿宋" w:hAnsi="仿宋" w:eastAsia="仿宋" w:cs="仿宋"/>
        </w:rPr>
        <w:t>详见附件：培训方案</w:t>
      </w:r>
    </w:p>
    <w:p w14:paraId="3E8C6DB0">
      <w:pPr>
        <w:pStyle w:val="12"/>
        <w:ind w:firstLine="960"/>
        <w:rPr>
          <w:rFonts w:hint="eastAsia" w:ascii="仿宋" w:hAnsi="仿宋" w:eastAsia="仿宋" w:cs="仿宋"/>
        </w:rPr>
      </w:pPr>
      <w:r>
        <w:rPr>
          <w:rFonts w:hint="eastAsia" w:ascii="仿宋" w:hAnsi="仿宋" w:eastAsia="仿宋" w:cs="仿宋"/>
        </w:rPr>
        <w:t>详见附件：售后服务方案</w:t>
      </w:r>
    </w:p>
    <w:p w14:paraId="613C36E2">
      <w:pPr>
        <w:pStyle w:val="12"/>
        <w:ind w:firstLine="960"/>
        <w:rPr>
          <w:rFonts w:hint="eastAsia" w:ascii="仿宋" w:hAnsi="仿宋" w:eastAsia="仿宋" w:cs="仿宋"/>
        </w:rPr>
      </w:pPr>
      <w:r>
        <w:rPr>
          <w:rFonts w:hint="eastAsia" w:ascii="仿宋" w:hAnsi="仿宋" w:eastAsia="仿宋" w:cs="仿宋"/>
        </w:rPr>
        <w:t>详见附件：业绩</w:t>
      </w:r>
    </w:p>
    <w:p w14:paraId="2CE35F28">
      <w:pPr>
        <w:pStyle w:val="12"/>
        <w:ind w:firstLine="960"/>
        <w:rPr>
          <w:rFonts w:hint="eastAsia" w:ascii="仿宋" w:hAnsi="仿宋" w:eastAsia="仿宋" w:cs="仿宋"/>
        </w:rPr>
      </w:pPr>
      <w:r>
        <w:rPr>
          <w:rFonts w:hint="eastAsia" w:ascii="仿宋" w:hAnsi="仿宋" w:eastAsia="仿宋" w:cs="仿宋"/>
        </w:rPr>
        <w:t>详见附件：校园文化</w:t>
      </w:r>
    </w:p>
    <w:p w14:paraId="62273507">
      <w:pPr>
        <w:pStyle w:val="12"/>
        <w:ind w:firstLine="960"/>
        <w:rPr>
          <w:rFonts w:hint="eastAsia" w:ascii="仿宋" w:hAnsi="仿宋" w:eastAsia="仿宋" w:cs="仿宋"/>
        </w:rPr>
      </w:pPr>
      <w:r>
        <w:rPr>
          <w:rFonts w:hint="eastAsia" w:ascii="仿宋" w:hAnsi="仿宋" w:eastAsia="仿宋" w:cs="仿宋"/>
        </w:rPr>
        <w:t>详见附件：演示内容</w:t>
      </w:r>
    </w:p>
    <w:p w14:paraId="13B3C42C">
      <w:pPr>
        <w:pStyle w:val="12"/>
        <w:ind w:firstLine="960"/>
        <w:rPr>
          <w:rFonts w:hint="eastAsia" w:ascii="仿宋" w:hAnsi="仿宋" w:eastAsia="仿宋" w:cs="仿宋"/>
        </w:rPr>
      </w:pPr>
      <w:r>
        <w:rPr>
          <w:rFonts w:hint="eastAsia" w:ascii="仿宋" w:hAnsi="仿宋" w:eastAsia="仿宋" w:cs="仿宋"/>
        </w:rPr>
        <w:t>详见附件：投标保证金</w:t>
      </w:r>
    </w:p>
    <w:p w14:paraId="5CDBBA89">
      <w:pPr>
        <w:pStyle w:val="12"/>
        <w:ind w:firstLine="960"/>
        <w:rPr>
          <w:rFonts w:hint="eastAsia" w:ascii="仿宋" w:hAnsi="仿宋" w:eastAsia="仿宋" w:cs="仿宋"/>
        </w:rPr>
      </w:pPr>
      <w:r>
        <w:rPr>
          <w:rFonts w:hint="eastAsia" w:ascii="仿宋" w:hAnsi="仿宋" w:eastAsia="仿宋" w:cs="仿宋"/>
        </w:rPr>
        <w:t>详见附件：拒绝政府采购领域商业贿赂承诺书</w:t>
      </w:r>
    </w:p>
    <w:p w14:paraId="33242A21">
      <w:pPr>
        <w:pStyle w:val="12"/>
        <w:ind w:firstLine="960"/>
        <w:rPr>
          <w:rFonts w:hint="eastAsia" w:ascii="仿宋" w:hAnsi="仿宋" w:eastAsia="仿宋" w:cs="仿宋"/>
        </w:rPr>
      </w:pPr>
      <w:r>
        <w:rPr>
          <w:rFonts w:hint="eastAsia" w:ascii="仿宋" w:hAnsi="仿宋" w:eastAsia="仿宋" w:cs="仿宋"/>
        </w:rPr>
        <w:t>详见附件：投标人认为有必要补充说明的事宜</w:t>
      </w:r>
    </w:p>
    <w:p w14:paraId="5EDA6F94">
      <w:pPr>
        <w:pStyle w:val="12"/>
        <w:rPr>
          <w:rFonts w:hint="eastAsia" w:ascii="仿宋" w:hAnsi="仿宋" w:eastAsia="仿宋" w:cs="仿宋"/>
        </w:rPr>
      </w:pPr>
      <w:r>
        <w:rPr>
          <w:rFonts w:hint="eastAsia" w:ascii="仿宋" w:hAnsi="仿宋" w:eastAsia="仿宋" w:cs="仿宋"/>
        </w:rPr>
        <w:t xml:space="preserve"> </w:t>
      </w:r>
    </w:p>
    <w:p w14:paraId="23F8A4E5">
      <w:pPr>
        <w:pStyle w:val="12"/>
        <w:rPr>
          <w:rFonts w:hint="eastAsia" w:ascii="仿宋" w:hAnsi="仿宋" w:eastAsia="仿宋" w:cs="仿宋"/>
        </w:rPr>
      </w:pPr>
    </w:p>
    <w:p w14:paraId="3DE215DF">
      <w:pPr>
        <w:rPr>
          <w:rFonts w:hint="eastAsia" w:ascii="仿宋" w:hAnsi="仿宋" w:eastAsia="仿宋" w:cs="仿宋"/>
        </w:rPr>
      </w:pPr>
      <w:r>
        <w:rPr>
          <w:rFonts w:hint="eastAsia" w:ascii="仿宋" w:hAnsi="仿宋" w:eastAsia="仿宋" w:cs="仿宋"/>
        </w:rPr>
        <w:br w:type="page"/>
      </w:r>
    </w:p>
    <w:p w14:paraId="41352438">
      <w:pPr>
        <w:pStyle w:val="12"/>
        <w:rPr>
          <w:rFonts w:hint="eastAsia" w:ascii="仿宋" w:hAnsi="仿宋" w:eastAsia="仿宋" w:cs="仿宋"/>
        </w:rPr>
      </w:pPr>
      <w:r>
        <w:rPr>
          <w:rFonts w:hint="eastAsia" w:ascii="仿宋" w:hAnsi="仿宋" w:eastAsia="仿宋" w:cs="仿宋"/>
        </w:rPr>
        <w:br w:type="textWrapping"/>
      </w:r>
      <w:r>
        <w:rPr>
          <w:rFonts w:hint="eastAsia" w:ascii="仿宋" w:hAnsi="仿宋" w:eastAsia="仿宋" w:cs="仿宋"/>
        </w:rPr>
        <w:drawing>
          <wp:inline distT="0" distB="0" distL="114300" distR="114300">
            <wp:extent cx="5273040" cy="520509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3040" cy="5205095"/>
                    </a:xfrm>
                    <a:prstGeom prst="rect">
                      <a:avLst/>
                    </a:prstGeom>
                    <a:noFill/>
                    <a:ln>
                      <a:noFill/>
                    </a:ln>
                  </pic:spPr>
                </pic:pic>
              </a:graphicData>
            </a:graphic>
          </wp:inline>
        </w:drawing>
      </w:r>
    </w:p>
    <w:p w14:paraId="1F1C967E">
      <w:pPr>
        <w:pStyle w:val="12"/>
        <w:rPr>
          <w:rFonts w:hint="eastAsia" w:ascii="仿宋" w:hAnsi="仿宋" w:eastAsia="仿宋" w:cs="仿宋"/>
        </w:rPr>
      </w:pPr>
    </w:p>
    <w:p w14:paraId="069F2F32">
      <w:pPr>
        <w:rPr>
          <w:rFonts w:hint="eastAsia" w:ascii="仿宋" w:hAnsi="仿宋" w:eastAsia="仿宋" w:cs="仿宋"/>
        </w:rPr>
      </w:pPr>
      <w:r>
        <w:rPr>
          <w:rFonts w:hint="eastAsia" w:ascii="仿宋" w:hAnsi="仿宋" w:eastAsia="仿宋" w:cs="仿宋"/>
        </w:rPr>
        <w:br w:type="page"/>
      </w:r>
    </w:p>
    <w:p w14:paraId="4563758E">
      <w:pPr>
        <w:pStyle w:val="12"/>
        <w:rPr>
          <w:rFonts w:hint="eastAsia" w:ascii="仿宋" w:hAnsi="仿宋" w:eastAsia="仿宋" w:cs="仿宋"/>
        </w:rPr>
      </w:pPr>
      <w:r>
        <w:rPr>
          <w:rFonts w:hint="eastAsia" w:ascii="仿宋" w:hAnsi="仿宋" w:eastAsia="仿宋" w:cs="仿宋"/>
        </w:rPr>
        <w:drawing>
          <wp:inline distT="0" distB="0" distL="114300" distR="114300">
            <wp:extent cx="5252085" cy="7431405"/>
            <wp:effectExtent l="0" t="0" r="5715" b="5715"/>
            <wp:docPr id="4" name="图片 4" descr="投标函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投标函_01"/>
                    <pic:cNvPicPr>
                      <a:picLocks noChangeAspect="1"/>
                    </pic:cNvPicPr>
                  </pic:nvPicPr>
                  <pic:blipFill>
                    <a:blip r:embed="rId6"/>
                    <a:stretch>
                      <a:fillRect/>
                    </a:stretch>
                  </pic:blipFill>
                  <pic:spPr>
                    <a:xfrm>
                      <a:off x="0" y="0"/>
                      <a:ext cx="5252085" cy="7431405"/>
                    </a:xfrm>
                    <a:prstGeom prst="rect">
                      <a:avLst/>
                    </a:prstGeom>
                  </pic:spPr>
                </pic:pic>
              </a:graphicData>
            </a:graphic>
          </wp:inline>
        </w:drawing>
      </w:r>
      <w:r>
        <w:rPr>
          <w:rFonts w:hint="eastAsia" w:ascii="仿宋" w:hAnsi="仿宋" w:eastAsia="仿宋" w:cs="仿宋"/>
        </w:rPr>
        <w:drawing>
          <wp:inline distT="0" distB="0" distL="114300" distR="114300">
            <wp:extent cx="5252085" cy="7431405"/>
            <wp:effectExtent l="0" t="0" r="5715" b="5715"/>
            <wp:docPr id="3" name="图片 3" descr="投标函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投标函_02"/>
                    <pic:cNvPicPr>
                      <a:picLocks noChangeAspect="1"/>
                    </pic:cNvPicPr>
                  </pic:nvPicPr>
                  <pic:blipFill>
                    <a:blip r:embed="rId7"/>
                    <a:stretch>
                      <a:fillRect/>
                    </a:stretch>
                  </pic:blipFill>
                  <pic:spPr>
                    <a:xfrm>
                      <a:off x="0" y="0"/>
                      <a:ext cx="5252085" cy="7431405"/>
                    </a:xfrm>
                    <a:prstGeom prst="rect">
                      <a:avLst/>
                    </a:prstGeom>
                  </pic:spPr>
                </pic:pic>
              </a:graphicData>
            </a:graphic>
          </wp:inline>
        </w:drawing>
      </w:r>
    </w:p>
    <w:p w14:paraId="39D0C226">
      <w:pPr>
        <w:pStyle w:val="12"/>
        <w:rPr>
          <w:rFonts w:hint="eastAsia" w:ascii="仿宋" w:hAnsi="仿宋" w:eastAsia="仿宋" w:cs="仿宋"/>
        </w:rPr>
      </w:pPr>
    </w:p>
    <w:p w14:paraId="4B590A9E">
      <w:pPr>
        <w:pStyle w:val="12"/>
        <w:rPr>
          <w:rFonts w:hint="eastAsia" w:ascii="仿宋" w:hAnsi="仿宋" w:eastAsia="仿宋" w:cs="仿宋"/>
        </w:rPr>
      </w:pPr>
    </w:p>
    <w:p w14:paraId="2522FD7E">
      <w:pPr>
        <w:pStyle w:val="12"/>
        <w:rPr>
          <w:rFonts w:hint="eastAsia" w:ascii="仿宋" w:hAnsi="仿宋" w:eastAsia="仿宋" w:cs="仿宋"/>
        </w:rPr>
      </w:pPr>
    </w:p>
    <w:p w14:paraId="03F13376">
      <w:pPr>
        <w:rPr>
          <w:rFonts w:hint="eastAsia" w:ascii="仿宋" w:hAnsi="仿宋" w:eastAsia="仿宋" w:cs="仿宋"/>
        </w:rPr>
      </w:pPr>
      <w:r>
        <w:rPr>
          <w:rFonts w:hint="eastAsia" w:ascii="仿宋" w:hAnsi="仿宋" w:eastAsia="仿宋" w:cs="仿宋"/>
        </w:rPr>
        <w:br w:type="page"/>
      </w:r>
      <w:r>
        <w:rPr>
          <w:rFonts w:hint="eastAsia" w:ascii="仿宋" w:hAnsi="仿宋" w:eastAsia="仿宋" w:cs="仿宋"/>
        </w:rPr>
        <w:drawing>
          <wp:inline distT="0" distB="0" distL="114300" distR="114300">
            <wp:extent cx="5271135" cy="5166360"/>
            <wp:effectExtent l="0" t="0" r="1905"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5271135" cy="516636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273040" cy="4684395"/>
            <wp:effectExtent l="0" t="0" r="0"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5273040" cy="4684395"/>
                    </a:xfrm>
                    <a:prstGeom prst="rect">
                      <a:avLst/>
                    </a:prstGeom>
                    <a:noFill/>
                    <a:ln>
                      <a:noFill/>
                    </a:ln>
                  </pic:spPr>
                </pic:pic>
              </a:graphicData>
            </a:graphic>
          </wp:inline>
        </w:drawing>
      </w:r>
      <w:r>
        <w:rPr>
          <w:rFonts w:hint="eastAsia" w:ascii="仿宋" w:hAnsi="仿宋" w:eastAsia="仿宋" w:cs="仿宋"/>
        </w:rPr>
        <w:br w:type="page"/>
      </w:r>
    </w:p>
    <w:p w14:paraId="01C3D05C">
      <w:pPr>
        <w:keepNext/>
        <w:keepLines/>
        <w:numPr>
          <w:ilvl w:val="0"/>
          <w:numId w:val="0"/>
        </w:numPr>
        <w:spacing w:line="360" w:lineRule="auto"/>
        <w:ind w:leftChars="0"/>
        <w:jc w:val="center"/>
        <w:outlineLvl w:val="2"/>
        <w:rPr>
          <w:rFonts w:hint="eastAsia" w:ascii="仿宋" w:hAnsi="仿宋" w:eastAsia="仿宋" w:cs="仿宋"/>
          <w:b/>
          <w:bCs/>
          <w:sz w:val="28"/>
          <w:szCs w:val="28"/>
        </w:rPr>
      </w:pPr>
      <w:r>
        <w:rPr>
          <w:rFonts w:hint="eastAsia" w:ascii="仿宋" w:hAnsi="仿宋" w:eastAsia="仿宋" w:cs="仿宋"/>
          <w:b/>
          <w:bCs/>
          <w:sz w:val="28"/>
          <w:szCs w:val="28"/>
        </w:rPr>
        <w:t>监狱企业的证明文件</w:t>
      </w:r>
    </w:p>
    <w:p w14:paraId="192E6388">
      <w:pPr>
        <w:rPr>
          <w:rFonts w:hint="eastAsia" w:ascii="仿宋" w:hAnsi="仿宋" w:eastAsia="仿宋" w:cs="仿宋"/>
          <w:b/>
          <w:bCs/>
          <w:sz w:val="28"/>
          <w:szCs w:val="28"/>
        </w:rPr>
      </w:pPr>
    </w:p>
    <w:p w14:paraId="10984DAE">
      <w:pPr>
        <w:rPr>
          <w:rFonts w:hint="eastAsia" w:ascii="仿宋" w:hAnsi="仿宋" w:eastAsia="仿宋" w:cs="仿宋"/>
        </w:rPr>
      </w:pPr>
      <w:r>
        <w:rPr>
          <w:rFonts w:hint="eastAsia" w:ascii="仿宋" w:hAnsi="仿宋" w:eastAsia="仿宋" w:cs="仿宋"/>
          <w:b/>
          <w:spacing w:val="6"/>
          <w:sz w:val="28"/>
          <w:szCs w:val="28"/>
        </w:rPr>
        <w:t>注：</w:t>
      </w:r>
      <w:r>
        <w:rPr>
          <w:rFonts w:hint="eastAsia" w:ascii="仿宋" w:hAnsi="仿宋" w:eastAsia="仿宋" w:cs="仿宋"/>
          <w:b/>
          <w:spacing w:val="6"/>
          <w:sz w:val="28"/>
          <w:szCs w:val="28"/>
        </w:rPr>
        <w:t>1、根据《司法部关于政府采购支持监狱企业发展有关问题的通知》财库〔2014〕68号，监狱企业参加政府采购活动时，应当提供由省级以上监狱管理局、戒毒管理局（含新疆生产建设兵团）出具的属于监狱企业的证明文件。</w:t>
      </w:r>
    </w:p>
    <w:p w14:paraId="59E20733">
      <w:pPr>
        <w:rPr>
          <w:rFonts w:hint="eastAsia" w:ascii="仿宋" w:hAnsi="仿宋" w:eastAsia="仿宋" w:cs="仿宋"/>
        </w:rPr>
      </w:pPr>
      <w:r>
        <w:rPr>
          <w:rFonts w:hint="eastAsia" w:ascii="仿宋" w:hAnsi="仿宋" w:eastAsia="仿宋" w:cs="仿宋"/>
        </w:rPr>
        <w:br w:type="page"/>
      </w:r>
    </w:p>
    <w:p w14:paraId="4AE4AB90">
      <w:pPr>
        <w:rPr>
          <w:rFonts w:hint="eastAsia" w:ascii="仿宋" w:hAnsi="仿宋" w:eastAsia="仿宋" w:cs="仿宋"/>
        </w:rPr>
      </w:pPr>
    </w:p>
    <w:p w14:paraId="66D8B93E">
      <w:pPr>
        <w:pStyle w:val="12"/>
        <w:rPr>
          <w:rFonts w:hint="eastAsia" w:ascii="仿宋" w:hAnsi="仿宋" w:eastAsia="仿宋" w:cs="仿宋"/>
        </w:rPr>
      </w:pPr>
      <w:r>
        <w:rPr>
          <w:rFonts w:hint="eastAsia" w:ascii="仿宋" w:hAnsi="仿宋" w:eastAsia="仿宋" w:cs="仿宋"/>
        </w:rPr>
        <w:drawing>
          <wp:inline distT="0" distB="0" distL="114300" distR="114300">
            <wp:extent cx="5271770" cy="3321050"/>
            <wp:effectExtent l="0" t="0" r="1270"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271770" cy="33210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271770" cy="4246880"/>
            <wp:effectExtent l="0" t="0" r="1270"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5271770" cy="4246880"/>
                    </a:xfrm>
                    <a:prstGeom prst="rect">
                      <a:avLst/>
                    </a:prstGeom>
                    <a:noFill/>
                    <a:ln>
                      <a:noFill/>
                    </a:ln>
                  </pic:spPr>
                </pic:pic>
              </a:graphicData>
            </a:graphic>
          </wp:inline>
        </w:drawing>
      </w:r>
    </w:p>
    <w:p w14:paraId="6DA487B7">
      <w:pPr>
        <w:rPr>
          <w:rFonts w:hint="eastAsia" w:ascii="仿宋" w:hAnsi="仿宋" w:eastAsia="仿宋" w:cs="仿宋"/>
        </w:rPr>
      </w:pPr>
      <w:r>
        <w:rPr>
          <w:rFonts w:hint="eastAsia" w:ascii="仿宋" w:hAnsi="仿宋" w:eastAsia="仿宋" w:cs="仿宋"/>
        </w:rPr>
        <w:br w:type="page"/>
      </w:r>
    </w:p>
    <w:p w14:paraId="339E51D7">
      <w:pPr>
        <w:pStyle w:val="13"/>
        <w:ind w:firstLine="0" w:firstLineChars="0"/>
        <w:rPr>
          <w:rFonts w:hint="eastAsia" w:ascii="仿宋" w:hAnsi="仿宋" w:eastAsia="仿宋" w:cs="仿宋"/>
          <w:b/>
          <w:sz w:val="24"/>
          <w:szCs w:val="24"/>
        </w:rPr>
      </w:pPr>
      <w:r>
        <w:rPr>
          <w:rFonts w:hint="eastAsia" w:ascii="仿宋" w:hAnsi="仿宋" w:eastAsia="仿宋" w:cs="仿宋"/>
          <w:b/>
          <w:sz w:val="24"/>
          <w:szCs w:val="24"/>
        </w:rPr>
        <w:t>技术规格响应偏离表</w:t>
      </w:r>
      <w:r>
        <w:rPr>
          <w:rFonts w:hint="eastAsia" w:ascii="仿宋" w:hAnsi="仿宋" w:eastAsia="仿宋" w:cs="仿宋"/>
          <w:sz w:val="24"/>
          <w:szCs w:val="24"/>
        </w:rPr>
        <w:t>（格式）</w:t>
      </w:r>
    </w:p>
    <w:p w14:paraId="6FB73ABC">
      <w:pPr>
        <w:pStyle w:val="13"/>
        <w:ind w:firstLineChars="71"/>
        <w:rPr>
          <w:rFonts w:hint="eastAsia" w:ascii="仿宋" w:hAnsi="仿宋" w:eastAsia="仿宋" w:cs="仿宋"/>
          <w:b/>
        </w:rPr>
      </w:pPr>
    </w:p>
    <w:p w14:paraId="1C85DE5A">
      <w:pPr>
        <w:spacing w:line="480" w:lineRule="exact"/>
        <w:jc w:val="left"/>
        <w:rPr>
          <w:rFonts w:hint="eastAsia" w:ascii="仿宋" w:hAnsi="仿宋" w:eastAsia="仿宋" w:cs="仿宋"/>
          <w:szCs w:val="24"/>
          <w:u w:val="single"/>
        </w:rPr>
      </w:pPr>
      <w:r>
        <w:rPr>
          <w:rFonts w:hint="eastAsia" w:ascii="仿宋" w:hAnsi="仿宋" w:eastAsia="仿宋" w:cs="仿宋"/>
          <w:szCs w:val="24"/>
        </w:rPr>
        <w:t>投标人名称：</w:t>
      </w:r>
      <w:r>
        <w:rPr>
          <w:rFonts w:hint="eastAsia" w:ascii="仿宋" w:hAnsi="仿宋" w:eastAsia="仿宋" w:cs="仿宋"/>
          <w:szCs w:val="24"/>
          <w:u w:val="single"/>
        </w:rPr>
        <w:t xml:space="preserve">                    </w:t>
      </w:r>
      <w:r>
        <w:rPr>
          <w:rFonts w:hint="eastAsia" w:ascii="仿宋" w:hAnsi="仿宋" w:eastAsia="仿宋" w:cs="仿宋"/>
          <w:szCs w:val="24"/>
        </w:rPr>
        <w:t xml:space="preserve"> （投标人单位公章）  </w:t>
      </w:r>
      <w:r>
        <w:rPr>
          <w:rFonts w:hint="eastAsia" w:ascii="仿宋" w:hAnsi="仿宋" w:eastAsia="仿宋" w:cs="仿宋"/>
          <w:szCs w:val="24"/>
        </w:rPr>
        <w:t xml:space="preserve">  </w:t>
      </w:r>
      <w:r>
        <w:rPr>
          <w:rFonts w:hint="eastAsia" w:ascii="仿宋" w:hAnsi="仿宋" w:eastAsia="仿宋" w:cs="仿宋"/>
          <w:szCs w:val="24"/>
        </w:rPr>
        <w:t>项目编号：</w:t>
      </w:r>
      <w:r>
        <w:rPr>
          <w:rFonts w:hint="eastAsia" w:ascii="仿宋" w:hAnsi="仿宋" w:eastAsia="仿宋" w:cs="仿宋"/>
          <w:szCs w:val="24"/>
          <w:u w:val="single"/>
        </w:rPr>
        <w:t xml:space="preserve">               </w:t>
      </w:r>
    </w:p>
    <w:tbl>
      <w:tblPr>
        <w:tblStyle w:val="10"/>
        <w:tblpPr w:leftFromText="180" w:rightFromText="180" w:vertAnchor="text" w:horzAnchor="margin" w:tblpY="162"/>
        <w:tblOverlap w:val="never"/>
        <w:tblW w:w="9384"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794"/>
        <w:gridCol w:w="2303"/>
        <w:gridCol w:w="1593"/>
        <w:gridCol w:w="1701"/>
      </w:tblGrid>
      <w:tr w14:paraId="60749F9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3" w:type="dxa"/>
            <w:noWrap w:val="0"/>
            <w:tcMar>
              <w:top w:w="57" w:type="dxa"/>
              <w:left w:w="28" w:type="dxa"/>
              <w:bottom w:w="57" w:type="dxa"/>
              <w:right w:w="28" w:type="dxa"/>
            </w:tcMar>
            <w:vAlign w:val="center"/>
          </w:tcPr>
          <w:p w14:paraId="39AEBA99">
            <w:pPr>
              <w:spacing w:line="360" w:lineRule="exact"/>
              <w:ind w:left="40" w:leftChars="19"/>
              <w:jc w:val="center"/>
              <w:rPr>
                <w:rFonts w:hint="eastAsia" w:ascii="仿宋" w:hAnsi="仿宋" w:eastAsia="仿宋" w:cs="仿宋"/>
                <w:b/>
                <w:szCs w:val="24"/>
              </w:rPr>
            </w:pPr>
            <w:r>
              <w:rPr>
                <w:rFonts w:hint="eastAsia" w:ascii="仿宋" w:hAnsi="仿宋" w:eastAsia="仿宋" w:cs="仿宋"/>
                <w:b/>
                <w:szCs w:val="24"/>
              </w:rPr>
              <w:t>序号</w:t>
            </w:r>
          </w:p>
        </w:tc>
        <w:tc>
          <w:tcPr>
            <w:tcW w:w="2794" w:type="dxa"/>
            <w:noWrap w:val="0"/>
            <w:tcMar>
              <w:top w:w="57" w:type="dxa"/>
              <w:left w:w="28" w:type="dxa"/>
              <w:bottom w:w="57" w:type="dxa"/>
              <w:right w:w="28" w:type="dxa"/>
            </w:tcMar>
            <w:vAlign w:val="center"/>
          </w:tcPr>
          <w:p w14:paraId="3C0E7330">
            <w:pPr>
              <w:spacing w:line="360" w:lineRule="exact"/>
              <w:ind w:left="210" w:leftChars="100"/>
              <w:jc w:val="center"/>
              <w:rPr>
                <w:rFonts w:hint="eastAsia" w:ascii="仿宋" w:hAnsi="仿宋" w:eastAsia="仿宋" w:cs="仿宋"/>
                <w:b/>
                <w:szCs w:val="24"/>
              </w:rPr>
            </w:pPr>
            <w:r>
              <w:rPr>
                <w:rFonts w:hint="eastAsia" w:ascii="仿宋" w:hAnsi="仿宋" w:eastAsia="仿宋" w:cs="仿宋"/>
                <w:b/>
                <w:szCs w:val="24"/>
              </w:rPr>
              <w:t>招标文件</w:t>
            </w:r>
            <w:r>
              <w:rPr>
                <w:rFonts w:hint="eastAsia" w:ascii="仿宋" w:hAnsi="仿宋" w:eastAsia="仿宋" w:cs="仿宋"/>
                <w:b/>
                <w:bCs/>
                <w:sz w:val="24"/>
                <w:lang w:eastAsia="zh-CN"/>
              </w:rPr>
              <w:t>采购内容及技术要求</w:t>
            </w:r>
          </w:p>
        </w:tc>
        <w:tc>
          <w:tcPr>
            <w:tcW w:w="2303" w:type="dxa"/>
            <w:noWrap w:val="0"/>
            <w:tcMar>
              <w:top w:w="57" w:type="dxa"/>
              <w:left w:w="28" w:type="dxa"/>
              <w:bottom w:w="57" w:type="dxa"/>
              <w:right w:w="28" w:type="dxa"/>
            </w:tcMar>
            <w:vAlign w:val="center"/>
          </w:tcPr>
          <w:p w14:paraId="26A85E73">
            <w:pPr>
              <w:spacing w:line="360" w:lineRule="exact"/>
              <w:jc w:val="center"/>
              <w:rPr>
                <w:rFonts w:hint="eastAsia" w:ascii="仿宋" w:hAnsi="仿宋" w:eastAsia="仿宋" w:cs="仿宋"/>
                <w:b/>
                <w:szCs w:val="24"/>
              </w:rPr>
            </w:pPr>
            <w:r>
              <w:rPr>
                <w:rFonts w:hint="eastAsia" w:ascii="仿宋" w:hAnsi="仿宋" w:eastAsia="仿宋" w:cs="仿宋"/>
                <w:b/>
                <w:szCs w:val="24"/>
              </w:rPr>
              <w:t>投标文件</w:t>
            </w:r>
            <w:r>
              <w:rPr>
                <w:rFonts w:hint="eastAsia" w:ascii="仿宋" w:hAnsi="仿宋" w:eastAsia="仿宋" w:cs="仿宋"/>
                <w:b/>
                <w:szCs w:val="24"/>
              </w:rPr>
              <w:t>技术响应</w:t>
            </w:r>
          </w:p>
        </w:tc>
        <w:tc>
          <w:tcPr>
            <w:tcW w:w="1593" w:type="dxa"/>
            <w:noWrap w:val="0"/>
            <w:tcMar>
              <w:top w:w="57" w:type="dxa"/>
              <w:left w:w="28" w:type="dxa"/>
              <w:bottom w:w="57" w:type="dxa"/>
              <w:right w:w="28" w:type="dxa"/>
            </w:tcMar>
            <w:vAlign w:val="center"/>
          </w:tcPr>
          <w:p w14:paraId="45C88C20">
            <w:pPr>
              <w:spacing w:line="360" w:lineRule="exact"/>
              <w:jc w:val="center"/>
              <w:rPr>
                <w:rFonts w:hint="eastAsia" w:ascii="仿宋" w:hAnsi="仿宋" w:eastAsia="仿宋" w:cs="仿宋"/>
                <w:b/>
                <w:szCs w:val="24"/>
              </w:rPr>
            </w:pPr>
            <w:r>
              <w:rPr>
                <w:rFonts w:hint="eastAsia" w:ascii="仿宋" w:hAnsi="仿宋" w:eastAsia="仿宋" w:cs="仿宋"/>
                <w:b/>
                <w:szCs w:val="24"/>
                <w:lang w:eastAsia="zh-CN"/>
              </w:rPr>
              <w:t>响应情况</w:t>
            </w:r>
          </w:p>
        </w:tc>
        <w:tc>
          <w:tcPr>
            <w:tcW w:w="1701" w:type="dxa"/>
            <w:noWrap w:val="0"/>
            <w:vAlign w:val="center"/>
          </w:tcPr>
          <w:p w14:paraId="40934E03">
            <w:pPr>
              <w:spacing w:line="360" w:lineRule="exact"/>
              <w:jc w:val="center"/>
              <w:rPr>
                <w:rFonts w:hint="eastAsia" w:ascii="仿宋" w:hAnsi="仿宋" w:eastAsia="仿宋" w:cs="仿宋"/>
                <w:b/>
                <w:szCs w:val="24"/>
              </w:rPr>
            </w:pPr>
            <w:r>
              <w:rPr>
                <w:rFonts w:hint="eastAsia" w:ascii="仿宋" w:hAnsi="仿宋" w:eastAsia="仿宋" w:cs="仿宋"/>
                <w:b/>
                <w:szCs w:val="24"/>
                <w:lang w:eastAsia="zh-CN"/>
              </w:rPr>
              <w:t>响应说明</w:t>
            </w:r>
          </w:p>
        </w:tc>
      </w:tr>
      <w:tr w14:paraId="40FEAF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93" w:type="dxa"/>
            <w:tcBorders>
              <w:bottom w:val="single" w:color="auto" w:sz="4" w:space="0"/>
            </w:tcBorders>
            <w:noWrap w:val="0"/>
            <w:tcMar>
              <w:top w:w="57" w:type="dxa"/>
              <w:left w:w="28" w:type="dxa"/>
              <w:bottom w:w="57" w:type="dxa"/>
              <w:right w:w="28" w:type="dxa"/>
            </w:tcMar>
            <w:vAlign w:val="center"/>
          </w:tcPr>
          <w:p w14:paraId="068FB431">
            <w:pPr>
              <w:spacing w:line="480" w:lineRule="exact"/>
              <w:ind w:left="210" w:leftChars="100"/>
              <w:rPr>
                <w:rFonts w:hint="eastAsia" w:ascii="仿宋" w:hAnsi="仿宋" w:eastAsia="仿宋" w:cs="仿宋"/>
                <w:szCs w:val="24"/>
              </w:rPr>
            </w:pPr>
          </w:p>
        </w:tc>
        <w:tc>
          <w:tcPr>
            <w:tcW w:w="2794" w:type="dxa"/>
            <w:tcBorders>
              <w:bottom w:val="single" w:color="auto" w:sz="4" w:space="0"/>
            </w:tcBorders>
            <w:noWrap w:val="0"/>
            <w:tcMar>
              <w:top w:w="57" w:type="dxa"/>
              <w:left w:w="28" w:type="dxa"/>
              <w:bottom w:w="57" w:type="dxa"/>
              <w:right w:w="28" w:type="dxa"/>
            </w:tcMar>
            <w:vAlign w:val="center"/>
          </w:tcPr>
          <w:p w14:paraId="4A282183">
            <w:pPr>
              <w:spacing w:line="480" w:lineRule="exact"/>
              <w:ind w:left="210" w:leftChars="100"/>
              <w:rPr>
                <w:rFonts w:hint="eastAsia" w:ascii="仿宋" w:hAnsi="仿宋" w:eastAsia="仿宋" w:cs="仿宋"/>
                <w:szCs w:val="24"/>
              </w:rPr>
            </w:pPr>
          </w:p>
        </w:tc>
        <w:tc>
          <w:tcPr>
            <w:tcW w:w="2303" w:type="dxa"/>
            <w:tcBorders>
              <w:bottom w:val="single" w:color="auto" w:sz="4" w:space="0"/>
            </w:tcBorders>
            <w:noWrap w:val="0"/>
            <w:tcMar>
              <w:top w:w="57" w:type="dxa"/>
              <w:left w:w="28" w:type="dxa"/>
              <w:bottom w:w="57" w:type="dxa"/>
              <w:right w:w="28" w:type="dxa"/>
            </w:tcMar>
            <w:vAlign w:val="center"/>
          </w:tcPr>
          <w:p w14:paraId="3A028FC8">
            <w:pPr>
              <w:spacing w:line="480" w:lineRule="exact"/>
              <w:ind w:left="210" w:leftChars="100"/>
              <w:rPr>
                <w:rFonts w:hint="eastAsia" w:ascii="仿宋" w:hAnsi="仿宋" w:eastAsia="仿宋" w:cs="仿宋"/>
                <w:szCs w:val="24"/>
              </w:rPr>
            </w:pPr>
          </w:p>
        </w:tc>
        <w:tc>
          <w:tcPr>
            <w:tcW w:w="1593" w:type="dxa"/>
            <w:tcBorders>
              <w:bottom w:val="single" w:color="auto" w:sz="4" w:space="0"/>
            </w:tcBorders>
            <w:shd w:val="clear" w:color="auto" w:fill="auto"/>
            <w:noWrap w:val="0"/>
            <w:tcMar>
              <w:top w:w="57" w:type="dxa"/>
              <w:left w:w="28" w:type="dxa"/>
              <w:bottom w:w="57" w:type="dxa"/>
              <w:right w:w="28" w:type="dxa"/>
            </w:tcMar>
            <w:vAlign w:val="center"/>
          </w:tcPr>
          <w:p w14:paraId="0B8458E3">
            <w:pPr>
              <w:jc w:val="center"/>
              <w:rPr>
                <w:rFonts w:hint="eastAsia"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sz w:val="24"/>
                <w:szCs w:val="24"/>
                <w:highlight w:val="none"/>
              </w:rPr>
              <w:t>按实际响应情况填写“正偏离”、“负偏离”</w:t>
            </w:r>
          </w:p>
        </w:tc>
        <w:tc>
          <w:tcPr>
            <w:tcW w:w="1701" w:type="dxa"/>
            <w:tcBorders>
              <w:bottom w:val="single" w:color="auto" w:sz="4" w:space="0"/>
            </w:tcBorders>
            <w:shd w:val="clear" w:color="auto" w:fill="auto"/>
            <w:noWrap w:val="0"/>
            <w:vAlign w:val="center"/>
          </w:tcPr>
          <w:p w14:paraId="72F7CE5B">
            <w:pPr>
              <w:jc w:val="center"/>
              <w:rPr>
                <w:rFonts w:hint="eastAsia"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sz w:val="24"/>
                <w:szCs w:val="24"/>
                <w:highlight w:val="none"/>
              </w:rPr>
              <w:t>如有正负偏离情况在此列详细说明</w:t>
            </w:r>
          </w:p>
        </w:tc>
      </w:tr>
      <w:tr w14:paraId="4BB78BD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3" w:type="dxa"/>
            <w:noWrap w:val="0"/>
            <w:tcMar>
              <w:top w:w="57" w:type="dxa"/>
              <w:left w:w="28" w:type="dxa"/>
              <w:bottom w:w="57" w:type="dxa"/>
              <w:right w:w="28" w:type="dxa"/>
            </w:tcMar>
            <w:vAlign w:val="center"/>
          </w:tcPr>
          <w:p w14:paraId="2F0DC33F">
            <w:pPr>
              <w:spacing w:line="480" w:lineRule="exact"/>
              <w:ind w:left="210" w:leftChars="100"/>
              <w:rPr>
                <w:rFonts w:hint="eastAsia" w:ascii="仿宋" w:hAnsi="仿宋" w:eastAsia="仿宋" w:cs="仿宋"/>
                <w:szCs w:val="24"/>
              </w:rPr>
            </w:pPr>
          </w:p>
        </w:tc>
        <w:tc>
          <w:tcPr>
            <w:tcW w:w="2794" w:type="dxa"/>
            <w:noWrap w:val="0"/>
            <w:tcMar>
              <w:top w:w="57" w:type="dxa"/>
              <w:left w:w="28" w:type="dxa"/>
              <w:bottom w:w="57" w:type="dxa"/>
              <w:right w:w="28" w:type="dxa"/>
            </w:tcMar>
            <w:vAlign w:val="center"/>
          </w:tcPr>
          <w:p w14:paraId="701D196A">
            <w:pPr>
              <w:spacing w:line="480" w:lineRule="exact"/>
              <w:ind w:left="210" w:leftChars="100"/>
              <w:rPr>
                <w:rFonts w:hint="eastAsia" w:ascii="仿宋" w:hAnsi="仿宋" w:eastAsia="仿宋" w:cs="仿宋"/>
                <w:szCs w:val="24"/>
              </w:rPr>
            </w:pPr>
          </w:p>
        </w:tc>
        <w:tc>
          <w:tcPr>
            <w:tcW w:w="2303" w:type="dxa"/>
            <w:noWrap w:val="0"/>
            <w:tcMar>
              <w:top w:w="57" w:type="dxa"/>
              <w:left w:w="28" w:type="dxa"/>
              <w:bottom w:w="57" w:type="dxa"/>
              <w:right w:w="28" w:type="dxa"/>
            </w:tcMar>
            <w:vAlign w:val="center"/>
          </w:tcPr>
          <w:p w14:paraId="1B5710AE">
            <w:pPr>
              <w:spacing w:line="480" w:lineRule="exact"/>
              <w:ind w:left="210" w:leftChars="100"/>
              <w:rPr>
                <w:rFonts w:hint="eastAsia" w:ascii="仿宋" w:hAnsi="仿宋" w:eastAsia="仿宋" w:cs="仿宋"/>
                <w:szCs w:val="24"/>
              </w:rPr>
            </w:pPr>
          </w:p>
        </w:tc>
        <w:tc>
          <w:tcPr>
            <w:tcW w:w="1593" w:type="dxa"/>
            <w:noWrap w:val="0"/>
            <w:tcMar>
              <w:top w:w="57" w:type="dxa"/>
              <w:left w:w="28" w:type="dxa"/>
              <w:bottom w:w="57" w:type="dxa"/>
              <w:right w:w="28" w:type="dxa"/>
            </w:tcMar>
            <w:vAlign w:val="center"/>
          </w:tcPr>
          <w:p w14:paraId="1DCA537F">
            <w:pPr>
              <w:spacing w:line="480" w:lineRule="exact"/>
              <w:rPr>
                <w:rFonts w:hint="eastAsia" w:ascii="仿宋" w:hAnsi="仿宋" w:eastAsia="仿宋" w:cs="仿宋"/>
                <w:szCs w:val="24"/>
              </w:rPr>
            </w:pPr>
          </w:p>
        </w:tc>
        <w:tc>
          <w:tcPr>
            <w:tcW w:w="1701" w:type="dxa"/>
            <w:noWrap w:val="0"/>
            <w:vAlign w:val="top"/>
          </w:tcPr>
          <w:p w14:paraId="28A5ABED">
            <w:pPr>
              <w:spacing w:line="480" w:lineRule="exact"/>
              <w:rPr>
                <w:rFonts w:hint="eastAsia" w:ascii="仿宋" w:hAnsi="仿宋" w:eastAsia="仿宋" w:cs="仿宋"/>
                <w:szCs w:val="24"/>
              </w:rPr>
            </w:pPr>
          </w:p>
        </w:tc>
      </w:tr>
      <w:tr w14:paraId="1711B7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3" w:type="dxa"/>
            <w:noWrap w:val="0"/>
            <w:tcMar>
              <w:top w:w="57" w:type="dxa"/>
              <w:left w:w="28" w:type="dxa"/>
              <w:bottom w:w="57" w:type="dxa"/>
              <w:right w:w="28" w:type="dxa"/>
            </w:tcMar>
            <w:vAlign w:val="center"/>
          </w:tcPr>
          <w:p w14:paraId="109B7F43">
            <w:pPr>
              <w:spacing w:line="480" w:lineRule="exact"/>
              <w:ind w:left="210" w:leftChars="100"/>
              <w:rPr>
                <w:rFonts w:hint="eastAsia" w:ascii="仿宋" w:hAnsi="仿宋" w:eastAsia="仿宋" w:cs="仿宋"/>
                <w:szCs w:val="24"/>
              </w:rPr>
            </w:pPr>
          </w:p>
        </w:tc>
        <w:tc>
          <w:tcPr>
            <w:tcW w:w="2794" w:type="dxa"/>
            <w:noWrap w:val="0"/>
            <w:tcMar>
              <w:top w:w="57" w:type="dxa"/>
              <w:left w:w="28" w:type="dxa"/>
              <w:bottom w:w="57" w:type="dxa"/>
              <w:right w:w="28" w:type="dxa"/>
            </w:tcMar>
            <w:vAlign w:val="center"/>
          </w:tcPr>
          <w:p w14:paraId="0A71F652">
            <w:pPr>
              <w:spacing w:line="480" w:lineRule="exact"/>
              <w:ind w:left="210" w:leftChars="100"/>
              <w:rPr>
                <w:rFonts w:hint="eastAsia" w:ascii="仿宋" w:hAnsi="仿宋" w:eastAsia="仿宋" w:cs="仿宋"/>
                <w:szCs w:val="24"/>
              </w:rPr>
            </w:pPr>
          </w:p>
        </w:tc>
        <w:tc>
          <w:tcPr>
            <w:tcW w:w="2303" w:type="dxa"/>
            <w:noWrap w:val="0"/>
            <w:tcMar>
              <w:top w:w="57" w:type="dxa"/>
              <w:left w:w="28" w:type="dxa"/>
              <w:bottom w:w="57" w:type="dxa"/>
              <w:right w:w="28" w:type="dxa"/>
            </w:tcMar>
            <w:vAlign w:val="center"/>
          </w:tcPr>
          <w:p w14:paraId="0778A126">
            <w:pPr>
              <w:spacing w:line="480" w:lineRule="exact"/>
              <w:ind w:left="210" w:leftChars="100"/>
              <w:rPr>
                <w:rFonts w:hint="eastAsia" w:ascii="仿宋" w:hAnsi="仿宋" w:eastAsia="仿宋" w:cs="仿宋"/>
                <w:szCs w:val="24"/>
              </w:rPr>
            </w:pPr>
          </w:p>
        </w:tc>
        <w:tc>
          <w:tcPr>
            <w:tcW w:w="1593" w:type="dxa"/>
            <w:noWrap w:val="0"/>
            <w:tcMar>
              <w:top w:w="57" w:type="dxa"/>
              <w:left w:w="28" w:type="dxa"/>
              <w:bottom w:w="57" w:type="dxa"/>
              <w:right w:w="28" w:type="dxa"/>
            </w:tcMar>
            <w:vAlign w:val="center"/>
          </w:tcPr>
          <w:p w14:paraId="52F532F7">
            <w:pPr>
              <w:spacing w:line="480" w:lineRule="exact"/>
              <w:rPr>
                <w:rFonts w:hint="eastAsia" w:ascii="仿宋" w:hAnsi="仿宋" w:eastAsia="仿宋" w:cs="仿宋"/>
                <w:szCs w:val="24"/>
              </w:rPr>
            </w:pPr>
          </w:p>
        </w:tc>
        <w:tc>
          <w:tcPr>
            <w:tcW w:w="1701" w:type="dxa"/>
            <w:noWrap w:val="0"/>
            <w:vAlign w:val="top"/>
          </w:tcPr>
          <w:p w14:paraId="3C9AF81A">
            <w:pPr>
              <w:spacing w:line="480" w:lineRule="exact"/>
              <w:rPr>
                <w:rFonts w:hint="eastAsia" w:ascii="仿宋" w:hAnsi="仿宋" w:eastAsia="仿宋" w:cs="仿宋"/>
                <w:szCs w:val="24"/>
              </w:rPr>
            </w:pPr>
          </w:p>
        </w:tc>
      </w:tr>
      <w:tr w14:paraId="5C4A334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3" w:type="dxa"/>
            <w:noWrap w:val="0"/>
            <w:tcMar>
              <w:top w:w="57" w:type="dxa"/>
              <w:left w:w="28" w:type="dxa"/>
              <w:bottom w:w="57" w:type="dxa"/>
              <w:right w:w="28" w:type="dxa"/>
            </w:tcMar>
            <w:vAlign w:val="center"/>
          </w:tcPr>
          <w:p w14:paraId="016ED4A7">
            <w:pPr>
              <w:spacing w:line="480" w:lineRule="exact"/>
              <w:ind w:left="210" w:leftChars="100"/>
              <w:rPr>
                <w:rFonts w:hint="eastAsia" w:ascii="仿宋" w:hAnsi="仿宋" w:eastAsia="仿宋" w:cs="仿宋"/>
                <w:szCs w:val="24"/>
              </w:rPr>
            </w:pPr>
          </w:p>
        </w:tc>
        <w:tc>
          <w:tcPr>
            <w:tcW w:w="2794" w:type="dxa"/>
            <w:noWrap w:val="0"/>
            <w:tcMar>
              <w:top w:w="57" w:type="dxa"/>
              <w:left w:w="28" w:type="dxa"/>
              <w:bottom w:w="57" w:type="dxa"/>
              <w:right w:w="28" w:type="dxa"/>
            </w:tcMar>
            <w:vAlign w:val="center"/>
          </w:tcPr>
          <w:p w14:paraId="010ACD36">
            <w:pPr>
              <w:spacing w:line="480" w:lineRule="exact"/>
              <w:ind w:left="210" w:leftChars="100"/>
              <w:rPr>
                <w:rFonts w:hint="eastAsia" w:ascii="仿宋" w:hAnsi="仿宋" w:eastAsia="仿宋" w:cs="仿宋"/>
                <w:szCs w:val="24"/>
              </w:rPr>
            </w:pPr>
          </w:p>
        </w:tc>
        <w:tc>
          <w:tcPr>
            <w:tcW w:w="2303" w:type="dxa"/>
            <w:noWrap w:val="0"/>
            <w:tcMar>
              <w:top w:w="57" w:type="dxa"/>
              <w:left w:w="28" w:type="dxa"/>
              <w:bottom w:w="57" w:type="dxa"/>
              <w:right w:w="28" w:type="dxa"/>
            </w:tcMar>
            <w:vAlign w:val="center"/>
          </w:tcPr>
          <w:p w14:paraId="357ED53D">
            <w:pPr>
              <w:spacing w:line="480" w:lineRule="exact"/>
              <w:ind w:left="210" w:leftChars="100"/>
              <w:rPr>
                <w:rFonts w:hint="eastAsia" w:ascii="仿宋" w:hAnsi="仿宋" w:eastAsia="仿宋" w:cs="仿宋"/>
                <w:szCs w:val="24"/>
              </w:rPr>
            </w:pPr>
          </w:p>
        </w:tc>
        <w:tc>
          <w:tcPr>
            <w:tcW w:w="1593" w:type="dxa"/>
            <w:noWrap w:val="0"/>
            <w:tcMar>
              <w:top w:w="57" w:type="dxa"/>
              <w:left w:w="28" w:type="dxa"/>
              <w:bottom w:w="57" w:type="dxa"/>
              <w:right w:w="28" w:type="dxa"/>
            </w:tcMar>
            <w:vAlign w:val="center"/>
          </w:tcPr>
          <w:p w14:paraId="7EB8FAC1">
            <w:pPr>
              <w:spacing w:line="480" w:lineRule="exact"/>
              <w:rPr>
                <w:rFonts w:hint="eastAsia" w:ascii="仿宋" w:hAnsi="仿宋" w:eastAsia="仿宋" w:cs="仿宋"/>
                <w:szCs w:val="24"/>
              </w:rPr>
            </w:pPr>
          </w:p>
        </w:tc>
        <w:tc>
          <w:tcPr>
            <w:tcW w:w="1701" w:type="dxa"/>
            <w:noWrap w:val="0"/>
            <w:vAlign w:val="top"/>
          </w:tcPr>
          <w:p w14:paraId="77C2A1A7">
            <w:pPr>
              <w:spacing w:line="480" w:lineRule="exact"/>
              <w:rPr>
                <w:rFonts w:hint="eastAsia" w:ascii="仿宋" w:hAnsi="仿宋" w:eastAsia="仿宋" w:cs="仿宋"/>
                <w:szCs w:val="24"/>
              </w:rPr>
            </w:pPr>
          </w:p>
        </w:tc>
      </w:tr>
      <w:tr w14:paraId="089C88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3" w:type="dxa"/>
            <w:noWrap w:val="0"/>
            <w:tcMar>
              <w:top w:w="57" w:type="dxa"/>
              <w:left w:w="28" w:type="dxa"/>
              <w:bottom w:w="57" w:type="dxa"/>
              <w:right w:w="28" w:type="dxa"/>
            </w:tcMar>
            <w:vAlign w:val="center"/>
          </w:tcPr>
          <w:p w14:paraId="6AD44B1A">
            <w:pPr>
              <w:spacing w:line="480" w:lineRule="exact"/>
              <w:ind w:left="210" w:leftChars="100"/>
              <w:rPr>
                <w:rFonts w:hint="eastAsia" w:ascii="仿宋" w:hAnsi="仿宋" w:eastAsia="仿宋" w:cs="仿宋"/>
                <w:szCs w:val="24"/>
              </w:rPr>
            </w:pPr>
          </w:p>
        </w:tc>
        <w:tc>
          <w:tcPr>
            <w:tcW w:w="2794" w:type="dxa"/>
            <w:noWrap w:val="0"/>
            <w:tcMar>
              <w:top w:w="57" w:type="dxa"/>
              <w:left w:w="28" w:type="dxa"/>
              <w:bottom w:w="57" w:type="dxa"/>
              <w:right w:w="28" w:type="dxa"/>
            </w:tcMar>
            <w:vAlign w:val="center"/>
          </w:tcPr>
          <w:p w14:paraId="5BE3595E">
            <w:pPr>
              <w:spacing w:line="480" w:lineRule="exact"/>
              <w:ind w:left="210" w:leftChars="100"/>
              <w:rPr>
                <w:rFonts w:hint="eastAsia" w:ascii="仿宋" w:hAnsi="仿宋" w:eastAsia="仿宋" w:cs="仿宋"/>
                <w:szCs w:val="24"/>
              </w:rPr>
            </w:pPr>
          </w:p>
        </w:tc>
        <w:tc>
          <w:tcPr>
            <w:tcW w:w="2303" w:type="dxa"/>
            <w:noWrap w:val="0"/>
            <w:tcMar>
              <w:top w:w="57" w:type="dxa"/>
              <w:left w:w="28" w:type="dxa"/>
              <w:bottom w:w="57" w:type="dxa"/>
              <w:right w:w="28" w:type="dxa"/>
            </w:tcMar>
            <w:vAlign w:val="center"/>
          </w:tcPr>
          <w:p w14:paraId="35AEC459">
            <w:pPr>
              <w:spacing w:line="480" w:lineRule="exact"/>
              <w:ind w:left="210" w:leftChars="100"/>
              <w:rPr>
                <w:rFonts w:hint="eastAsia" w:ascii="仿宋" w:hAnsi="仿宋" w:eastAsia="仿宋" w:cs="仿宋"/>
                <w:szCs w:val="24"/>
              </w:rPr>
            </w:pPr>
          </w:p>
        </w:tc>
        <w:tc>
          <w:tcPr>
            <w:tcW w:w="1593" w:type="dxa"/>
            <w:noWrap w:val="0"/>
            <w:tcMar>
              <w:top w:w="57" w:type="dxa"/>
              <w:left w:w="28" w:type="dxa"/>
              <w:bottom w:w="57" w:type="dxa"/>
              <w:right w:w="28" w:type="dxa"/>
            </w:tcMar>
            <w:vAlign w:val="center"/>
          </w:tcPr>
          <w:p w14:paraId="28DD2D42">
            <w:pPr>
              <w:spacing w:line="480" w:lineRule="exact"/>
              <w:rPr>
                <w:rFonts w:hint="eastAsia" w:ascii="仿宋" w:hAnsi="仿宋" w:eastAsia="仿宋" w:cs="仿宋"/>
                <w:szCs w:val="24"/>
              </w:rPr>
            </w:pPr>
          </w:p>
        </w:tc>
        <w:tc>
          <w:tcPr>
            <w:tcW w:w="1701" w:type="dxa"/>
            <w:noWrap w:val="0"/>
            <w:vAlign w:val="top"/>
          </w:tcPr>
          <w:p w14:paraId="422291B7">
            <w:pPr>
              <w:spacing w:line="480" w:lineRule="exact"/>
              <w:rPr>
                <w:rFonts w:hint="eastAsia" w:ascii="仿宋" w:hAnsi="仿宋" w:eastAsia="仿宋" w:cs="仿宋"/>
                <w:szCs w:val="24"/>
              </w:rPr>
            </w:pPr>
          </w:p>
        </w:tc>
      </w:tr>
      <w:tr w14:paraId="5F61C7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3" w:type="dxa"/>
            <w:noWrap w:val="0"/>
            <w:tcMar>
              <w:top w:w="57" w:type="dxa"/>
              <w:left w:w="28" w:type="dxa"/>
              <w:bottom w:w="57" w:type="dxa"/>
              <w:right w:w="28" w:type="dxa"/>
            </w:tcMar>
            <w:vAlign w:val="center"/>
          </w:tcPr>
          <w:p w14:paraId="36D8206E">
            <w:pPr>
              <w:spacing w:line="480" w:lineRule="exact"/>
              <w:ind w:left="210" w:leftChars="100"/>
              <w:rPr>
                <w:rFonts w:hint="eastAsia" w:ascii="仿宋" w:hAnsi="仿宋" w:eastAsia="仿宋" w:cs="仿宋"/>
                <w:szCs w:val="24"/>
              </w:rPr>
            </w:pPr>
          </w:p>
        </w:tc>
        <w:tc>
          <w:tcPr>
            <w:tcW w:w="2794" w:type="dxa"/>
            <w:noWrap w:val="0"/>
            <w:tcMar>
              <w:top w:w="57" w:type="dxa"/>
              <w:left w:w="28" w:type="dxa"/>
              <w:bottom w:w="57" w:type="dxa"/>
              <w:right w:w="28" w:type="dxa"/>
            </w:tcMar>
            <w:vAlign w:val="center"/>
          </w:tcPr>
          <w:p w14:paraId="55FA8C78">
            <w:pPr>
              <w:spacing w:line="480" w:lineRule="exact"/>
              <w:ind w:left="210" w:leftChars="100"/>
              <w:rPr>
                <w:rFonts w:hint="eastAsia" w:ascii="仿宋" w:hAnsi="仿宋" w:eastAsia="仿宋" w:cs="仿宋"/>
                <w:szCs w:val="24"/>
              </w:rPr>
            </w:pPr>
          </w:p>
        </w:tc>
        <w:tc>
          <w:tcPr>
            <w:tcW w:w="2303" w:type="dxa"/>
            <w:noWrap w:val="0"/>
            <w:tcMar>
              <w:top w:w="57" w:type="dxa"/>
              <w:left w:w="28" w:type="dxa"/>
              <w:bottom w:w="57" w:type="dxa"/>
              <w:right w:w="28" w:type="dxa"/>
            </w:tcMar>
            <w:vAlign w:val="center"/>
          </w:tcPr>
          <w:p w14:paraId="7D82BF98">
            <w:pPr>
              <w:spacing w:line="480" w:lineRule="exact"/>
              <w:ind w:left="210" w:leftChars="100"/>
              <w:rPr>
                <w:rFonts w:hint="eastAsia" w:ascii="仿宋" w:hAnsi="仿宋" w:eastAsia="仿宋" w:cs="仿宋"/>
                <w:szCs w:val="24"/>
              </w:rPr>
            </w:pPr>
          </w:p>
        </w:tc>
        <w:tc>
          <w:tcPr>
            <w:tcW w:w="1593" w:type="dxa"/>
            <w:noWrap w:val="0"/>
            <w:tcMar>
              <w:top w:w="57" w:type="dxa"/>
              <w:left w:w="28" w:type="dxa"/>
              <w:bottom w:w="57" w:type="dxa"/>
              <w:right w:w="28" w:type="dxa"/>
            </w:tcMar>
            <w:vAlign w:val="center"/>
          </w:tcPr>
          <w:p w14:paraId="5A12FFDA">
            <w:pPr>
              <w:spacing w:line="480" w:lineRule="exact"/>
              <w:rPr>
                <w:rFonts w:hint="eastAsia" w:ascii="仿宋" w:hAnsi="仿宋" w:eastAsia="仿宋" w:cs="仿宋"/>
                <w:szCs w:val="24"/>
              </w:rPr>
            </w:pPr>
          </w:p>
        </w:tc>
        <w:tc>
          <w:tcPr>
            <w:tcW w:w="1701" w:type="dxa"/>
            <w:noWrap w:val="0"/>
            <w:vAlign w:val="top"/>
          </w:tcPr>
          <w:p w14:paraId="10AE1445">
            <w:pPr>
              <w:spacing w:line="480" w:lineRule="exact"/>
              <w:rPr>
                <w:rFonts w:hint="eastAsia" w:ascii="仿宋" w:hAnsi="仿宋" w:eastAsia="仿宋" w:cs="仿宋"/>
                <w:szCs w:val="24"/>
              </w:rPr>
            </w:pPr>
          </w:p>
        </w:tc>
      </w:tr>
    </w:tbl>
    <w:p w14:paraId="186A5297">
      <w:pPr>
        <w:spacing w:line="320" w:lineRule="exact"/>
        <w:rPr>
          <w:rFonts w:hint="eastAsia" w:ascii="仿宋" w:hAnsi="仿宋" w:eastAsia="仿宋" w:cs="仿宋"/>
          <w:b/>
          <w:szCs w:val="24"/>
        </w:rPr>
      </w:pPr>
    </w:p>
    <w:p w14:paraId="11F9D88D">
      <w:pPr>
        <w:spacing w:line="480" w:lineRule="auto"/>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备注:</w:t>
      </w:r>
    </w:p>
    <w:p w14:paraId="737E9E8D">
      <w:pPr>
        <w:spacing w:line="480" w:lineRule="auto"/>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本表只填写投标文件中与招标文件有偏离(包括正偏离和负偏离)的内容，“投标文件技术响应”与招标文件“3.2采购内容及3.3技术要求”完全一致的，不用在此表中列出，但必须提交空白表（否则视为未完全响应招标文件要求)。</w:t>
      </w:r>
    </w:p>
    <w:p w14:paraId="3AB795F1">
      <w:pPr>
        <w:spacing w:line="480" w:lineRule="auto"/>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2.投标人必须据实填写，不得虚假响应，否则将取消其投标或中标资格，并按有关规定进行处罚。</w:t>
      </w:r>
    </w:p>
    <w:p w14:paraId="031A5822">
      <w:pPr>
        <w:rPr>
          <w:rFonts w:hint="eastAsia" w:ascii="仿宋" w:hAnsi="仿宋" w:eastAsia="仿宋" w:cs="仿宋"/>
        </w:rPr>
      </w:pPr>
    </w:p>
    <w:p w14:paraId="0FD6C65B">
      <w:pPr>
        <w:rPr>
          <w:rFonts w:hint="eastAsia" w:ascii="仿宋" w:hAnsi="仿宋" w:eastAsia="仿宋" w:cs="仿宋"/>
        </w:rPr>
      </w:pPr>
    </w:p>
    <w:p w14:paraId="265E0F23">
      <w:pPr>
        <w:rPr>
          <w:rFonts w:hint="eastAsia" w:ascii="仿宋" w:hAnsi="仿宋" w:eastAsia="仿宋" w:cs="仿宋"/>
        </w:rPr>
      </w:pPr>
      <w:r>
        <w:rPr>
          <w:rFonts w:hint="eastAsia" w:ascii="仿宋" w:hAnsi="仿宋" w:eastAsia="仿宋" w:cs="仿宋"/>
        </w:rPr>
        <w:t>法定代表人或被授权人（签字或盖章）：                 日 期：</w:t>
      </w:r>
    </w:p>
    <w:p w14:paraId="5E4A9EBA">
      <w:pPr>
        <w:rPr>
          <w:rFonts w:hint="eastAsia" w:ascii="仿宋" w:hAnsi="仿宋" w:eastAsia="仿宋" w:cs="仿宋"/>
        </w:rPr>
      </w:pPr>
      <w:r>
        <w:rPr>
          <w:rFonts w:hint="eastAsia" w:ascii="仿宋" w:hAnsi="仿宋" w:eastAsia="仿宋" w:cs="仿宋"/>
        </w:rPr>
        <w:br w:type="page"/>
      </w:r>
    </w:p>
    <w:p w14:paraId="08BA2003">
      <w:pPr>
        <w:pStyle w:val="13"/>
        <w:ind w:firstLine="171" w:firstLineChars="71"/>
        <w:rPr>
          <w:rFonts w:hint="eastAsia" w:ascii="仿宋" w:hAnsi="仿宋" w:eastAsia="仿宋" w:cs="仿宋"/>
          <w:b/>
          <w:sz w:val="24"/>
          <w:szCs w:val="24"/>
        </w:rPr>
      </w:pPr>
      <w:r>
        <w:rPr>
          <w:rFonts w:hint="eastAsia" w:ascii="仿宋" w:hAnsi="仿宋" w:eastAsia="仿宋" w:cs="仿宋"/>
          <w:b/>
          <w:sz w:val="24"/>
          <w:szCs w:val="24"/>
        </w:rPr>
        <w:t>商务条款响应偏离表</w:t>
      </w:r>
      <w:r>
        <w:rPr>
          <w:rFonts w:hint="eastAsia" w:ascii="仿宋" w:hAnsi="仿宋" w:eastAsia="仿宋" w:cs="仿宋"/>
          <w:sz w:val="24"/>
          <w:szCs w:val="24"/>
        </w:rPr>
        <w:t>（格式）</w:t>
      </w:r>
    </w:p>
    <w:p w14:paraId="6E116DD3">
      <w:pPr>
        <w:spacing w:line="240" w:lineRule="exact"/>
        <w:ind w:left="210" w:leftChars="100"/>
        <w:rPr>
          <w:rFonts w:hint="eastAsia" w:ascii="仿宋" w:hAnsi="仿宋" w:eastAsia="仿宋" w:cs="仿宋"/>
          <w:b/>
          <w:bCs/>
          <w:szCs w:val="32"/>
        </w:rPr>
      </w:pPr>
    </w:p>
    <w:p w14:paraId="08FBA823">
      <w:pPr>
        <w:spacing w:line="480" w:lineRule="exact"/>
        <w:rPr>
          <w:rFonts w:hint="eastAsia" w:ascii="仿宋" w:hAnsi="仿宋" w:eastAsia="仿宋" w:cs="仿宋"/>
          <w:szCs w:val="24"/>
        </w:rPr>
      </w:pPr>
      <w:r>
        <w:rPr>
          <w:rFonts w:hint="eastAsia" w:ascii="仿宋" w:hAnsi="仿宋" w:eastAsia="仿宋" w:cs="仿宋"/>
          <w:szCs w:val="24"/>
        </w:rPr>
        <w:t>投标人名称：</w:t>
      </w:r>
      <w:r>
        <w:rPr>
          <w:rFonts w:hint="eastAsia" w:ascii="仿宋" w:hAnsi="仿宋" w:eastAsia="仿宋" w:cs="仿宋"/>
          <w:szCs w:val="24"/>
          <w:u w:val="single"/>
        </w:rPr>
        <w:t xml:space="preserve">    </w:t>
      </w:r>
      <w:r>
        <w:rPr>
          <w:rFonts w:hint="eastAsia" w:ascii="仿宋" w:hAnsi="仿宋" w:eastAsia="仿宋" w:cs="仿宋"/>
          <w:szCs w:val="24"/>
          <w:u w:val="single"/>
        </w:rPr>
        <w:t xml:space="preserve">        </w:t>
      </w:r>
      <w:r>
        <w:rPr>
          <w:rFonts w:hint="eastAsia" w:ascii="仿宋" w:hAnsi="仿宋" w:eastAsia="仿宋" w:cs="仿宋"/>
          <w:szCs w:val="24"/>
          <w:u w:val="single"/>
        </w:rPr>
        <w:t xml:space="preserve">     </w:t>
      </w:r>
      <w:r>
        <w:rPr>
          <w:rFonts w:hint="eastAsia" w:ascii="仿宋" w:hAnsi="仿宋" w:eastAsia="仿宋" w:cs="仿宋"/>
          <w:szCs w:val="24"/>
        </w:rPr>
        <w:t>（投标人单位公章）           项目编号：</w:t>
      </w:r>
      <w:r>
        <w:rPr>
          <w:rFonts w:hint="eastAsia" w:ascii="仿宋" w:hAnsi="仿宋" w:eastAsia="仿宋" w:cs="仿宋"/>
          <w:szCs w:val="24"/>
          <w:u w:val="single"/>
        </w:rPr>
        <w:t xml:space="preserve">             </w:t>
      </w:r>
    </w:p>
    <w:tbl>
      <w:tblPr>
        <w:tblStyle w:val="10"/>
        <w:tblW w:w="929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2383"/>
        <w:gridCol w:w="2268"/>
        <w:gridCol w:w="2032"/>
        <w:gridCol w:w="1681"/>
      </w:tblGrid>
      <w:tr w14:paraId="6B95029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noWrap w:val="0"/>
            <w:tcMar>
              <w:top w:w="57" w:type="dxa"/>
              <w:left w:w="28" w:type="dxa"/>
              <w:bottom w:w="57" w:type="dxa"/>
              <w:right w:w="28" w:type="dxa"/>
            </w:tcMar>
            <w:vAlign w:val="center"/>
          </w:tcPr>
          <w:p w14:paraId="44E62F46">
            <w:pPr>
              <w:spacing w:line="320" w:lineRule="exact"/>
              <w:ind w:left="-97" w:leftChars="-46"/>
              <w:jc w:val="center"/>
              <w:rPr>
                <w:rFonts w:hint="eastAsia" w:ascii="仿宋" w:hAnsi="仿宋" w:eastAsia="仿宋" w:cs="仿宋"/>
                <w:b/>
                <w:szCs w:val="24"/>
              </w:rPr>
            </w:pPr>
            <w:r>
              <w:rPr>
                <w:rFonts w:hint="eastAsia" w:ascii="仿宋" w:hAnsi="仿宋" w:eastAsia="仿宋" w:cs="仿宋"/>
                <w:b/>
                <w:szCs w:val="24"/>
              </w:rPr>
              <w:t xml:space="preserve"> 序号</w:t>
            </w:r>
          </w:p>
        </w:tc>
        <w:tc>
          <w:tcPr>
            <w:tcW w:w="2383" w:type="dxa"/>
            <w:noWrap w:val="0"/>
            <w:tcMar>
              <w:top w:w="57" w:type="dxa"/>
              <w:left w:w="28" w:type="dxa"/>
              <w:bottom w:w="57" w:type="dxa"/>
              <w:right w:w="28" w:type="dxa"/>
            </w:tcMar>
            <w:vAlign w:val="center"/>
          </w:tcPr>
          <w:p w14:paraId="04DB2DF0">
            <w:pPr>
              <w:spacing w:line="320" w:lineRule="exact"/>
              <w:ind w:left="210" w:leftChars="100"/>
              <w:jc w:val="center"/>
              <w:rPr>
                <w:rFonts w:hint="eastAsia" w:ascii="仿宋" w:hAnsi="仿宋" w:eastAsia="仿宋" w:cs="仿宋"/>
                <w:b/>
                <w:szCs w:val="24"/>
              </w:rPr>
            </w:pPr>
            <w:r>
              <w:rPr>
                <w:rFonts w:hint="eastAsia" w:ascii="仿宋" w:hAnsi="仿宋" w:eastAsia="仿宋" w:cs="仿宋"/>
                <w:b/>
                <w:szCs w:val="24"/>
              </w:rPr>
              <w:t>招标文件</w:t>
            </w:r>
            <w:r>
              <w:rPr>
                <w:rFonts w:hint="eastAsia" w:ascii="仿宋" w:hAnsi="仿宋" w:eastAsia="仿宋" w:cs="仿宋"/>
                <w:b/>
                <w:sz w:val="24"/>
              </w:rPr>
              <w:t>商务</w:t>
            </w:r>
            <w:r>
              <w:rPr>
                <w:rFonts w:hint="eastAsia" w:ascii="仿宋" w:hAnsi="仿宋" w:eastAsia="仿宋" w:cs="仿宋"/>
                <w:b/>
                <w:sz w:val="24"/>
                <w:lang w:eastAsia="zh-CN"/>
              </w:rPr>
              <w:t>要求</w:t>
            </w:r>
          </w:p>
        </w:tc>
        <w:tc>
          <w:tcPr>
            <w:tcW w:w="2268" w:type="dxa"/>
            <w:noWrap w:val="0"/>
            <w:tcMar>
              <w:top w:w="57" w:type="dxa"/>
              <w:left w:w="28" w:type="dxa"/>
              <w:bottom w:w="57" w:type="dxa"/>
              <w:right w:w="28" w:type="dxa"/>
            </w:tcMar>
            <w:vAlign w:val="center"/>
          </w:tcPr>
          <w:p w14:paraId="789A1E06">
            <w:pPr>
              <w:spacing w:line="320" w:lineRule="exact"/>
              <w:ind w:left="210" w:leftChars="100"/>
              <w:jc w:val="center"/>
              <w:rPr>
                <w:rFonts w:hint="eastAsia" w:ascii="仿宋" w:hAnsi="仿宋" w:eastAsia="仿宋" w:cs="仿宋"/>
                <w:b/>
                <w:szCs w:val="24"/>
                <w:lang w:eastAsia="zh-CN"/>
              </w:rPr>
            </w:pPr>
            <w:r>
              <w:rPr>
                <w:rFonts w:hint="eastAsia" w:ascii="仿宋" w:hAnsi="仿宋" w:eastAsia="仿宋" w:cs="仿宋"/>
                <w:b/>
                <w:sz w:val="24"/>
                <w:lang w:val="en-US" w:eastAsia="zh-CN"/>
              </w:rPr>
              <w:t>投标文件商务响应</w:t>
            </w:r>
          </w:p>
        </w:tc>
        <w:tc>
          <w:tcPr>
            <w:tcW w:w="2032" w:type="dxa"/>
            <w:noWrap w:val="0"/>
            <w:tcMar>
              <w:top w:w="57" w:type="dxa"/>
              <w:left w:w="28" w:type="dxa"/>
              <w:bottom w:w="57" w:type="dxa"/>
              <w:right w:w="28" w:type="dxa"/>
            </w:tcMar>
            <w:vAlign w:val="center"/>
          </w:tcPr>
          <w:p w14:paraId="354B30F6">
            <w:pPr>
              <w:spacing w:line="320" w:lineRule="exact"/>
              <w:jc w:val="center"/>
              <w:rPr>
                <w:rFonts w:hint="eastAsia" w:ascii="仿宋" w:hAnsi="仿宋" w:eastAsia="仿宋" w:cs="仿宋"/>
                <w:b/>
                <w:szCs w:val="24"/>
              </w:rPr>
            </w:pPr>
            <w:r>
              <w:rPr>
                <w:rFonts w:hint="eastAsia" w:ascii="仿宋" w:hAnsi="仿宋" w:eastAsia="仿宋" w:cs="仿宋"/>
                <w:b/>
                <w:sz w:val="24"/>
                <w:lang w:eastAsia="zh-CN"/>
              </w:rPr>
              <w:t>响应情况</w:t>
            </w:r>
          </w:p>
        </w:tc>
        <w:tc>
          <w:tcPr>
            <w:tcW w:w="1681" w:type="dxa"/>
            <w:noWrap w:val="0"/>
            <w:vAlign w:val="center"/>
          </w:tcPr>
          <w:p w14:paraId="3DD6C04B">
            <w:pPr>
              <w:spacing w:line="320" w:lineRule="exact"/>
              <w:jc w:val="center"/>
              <w:rPr>
                <w:rFonts w:hint="eastAsia" w:ascii="仿宋" w:hAnsi="仿宋" w:eastAsia="仿宋" w:cs="仿宋"/>
                <w:b/>
                <w:szCs w:val="24"/>
              </w:rPr>
            </w:pPr>
            <w:r>
              <w:rPr>
                <w:rFonts w:hint="eastAsia" w:ascii="仿宋" w:hAnsi="仿宋" w:eastAsia="仿宋" w:cs="仿宋"/>
                <w:b/>
                <w:sz w:val="24"/>
              </w:rPr>
              <w:t>响应说明</w:t>
            </w:r>
          </w:p>
        </w:tc>
      </w:tr>
      <w:tr w14:paraId="5BB301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33" w:type="dxa"/>
            <w:tcBorders>
              <w:bottom w:val="single" w:color="auto" w:sz="4" w:space="0"/>
            </w:tcBorders>
            <w:noWrap w:val="0"/>
            <w:tcMar>
              <w:top w:w="57" w:type="dxa"/>
              <w:left w:w="28" w:type="dxa"/>
              <w:bottom w:w="57" w:type="dxa"/>
              <w:right w:w="28" w:type="dxa"/>
            </w:tcMar>
            <w:vAlign w:val="center"/>
          </w:tcPr>
          <w:p w14:paraId="3086E1B6">
            <w:pPr>
              <w:spacing w:line="480" w:lineRule="exact"/>
              <w:ind w:left="210" w:leftChars="100"/>
              <w:rPr>
                <w:rFonts w:hint="eastAsia" w:ascii="仿宋" w:hAnsi="仿宋" w:eastAsia="仿宋" w:cs="仿宋"/>
                <w:szCs w:val="24"/>
              </w:rPr>
            </w:pPr>
          </w:p>
        </w:tc>
        <w:tc>
          <w:tcPr>
            <w:tcW w:w="2383" w:type="dxa"/>
            <w:tcBorders>
              <w:bottom w:val="single" w:color="auto" w:sz="4" w:space="0"/>
            </w:tcBorders>
            <w:noWrap w:val="0"/>
            <w:tcMar>
              <w:top w:w="57" w:type="dxa"/>
              <w:left w:w="28" w:type="dxa"/>
              <w:bottom w:w="57" w:type="dxa"/>
              <w:right w:w="28" w:type="dxa"/>
            </w:tcMar>
            <w:vAlign w:val="center"/>
          </w:tcPr>
          <w:p w14:paraId="5210EAFE">
            <w:pPr>
              <w:spacing w:line="480" w:lineRule="exact"/>
              <w:ind w:left="210" w:leftChars="100"/>
              <w:rPr>
                <w:rFonts w:hint="eastAsia" w:ascii="仿宋" w:hAnsi="仿宋" w:eastAsia="仿宋" w:cs="仿宋"/>
                <w:szCs w:val="24"/>
              </w:rPr>
            </w:pPr>
          </w:p>
        </w:tc>
        <w:tc>
          <w:tcPr>
            <w:tcW w:w="2268" w:type="dxa"/>
            <w:tcBorders>
              <w:bottom w:val="single" w:color="auto" w:sz="4" w:space="0"/>
            </w:tcBorders>
            <w:noWrap w:val="0"/>
            <w:tcMar>
              <w:top w:w="57" w:type="dxa"/>
              <w:left w:w="28" w:type="dxa"/>
              <w:bottom w:w="57" w:type="dxa"/>
              <w:right w:w="28" w:type="dxa"/>
            </w:tcMar>
            <w:vAlign w:val="center"/>
          </w:tcPr>
          <w:p w14:paraId="7878BD0B">
            <w:pPr>
              <w:spacing w:line="480" w:lineRule="exact"/>
              <w:ind w:left="210" w:leftChars="100"/>
              <w:rPr>
                <w:rFonts w:hint="eastAsia" w:ascii="仿宋" w:hAnsi="仿宋" w:eastAsia="仿宋" w:cs="仿宋"/>
                <w:szCs w:val="24"/>
              </w:rPr>
            </w:pPr>
          </w:p>
        </w:tc>
        <w:tc>
          <w:tcPr>
            <w:tcW w:w="2032" w:type="dxa"/>
            <w:tcBorders>
              <w:bottom w:val="single" w:color="auto" w:sz="4" w:space="0"/>
            </w:tcBorders>
            <w:noWrap w:val="0"/>
            <w:tcMar>
              <w:top w:w="57" w:type="dxa"/>
              <w:left w:w="28" w:type="dxa"/>
              <w:bottom w:w="57" w:type="dxa"/>
              <w:right w:w="28" w:type="dxa"/>
            </w:tcMar>
            <w:vAlign w:val="center"/>
          </w:tcPr>
          <w:p w14:paraId="7B4D1ADB">
            <w:pPr>
              <w:jc w:val="center"/>
              <w:rPr>
                <w:rFonts w:hint="eastAsia" w:ascii="仿宋" w:hAnsi="仿宋" w:eastAsia="仿宋" w:cs="仿宋"/>
                <w:szCs w:val="24"/>
              </w:rPr>
            </w:pPr>
            <w:r>
              <w:rPr>
                <w:rFonts w:hint="eastAsia" w:ascii="仿宋" w:hAnsi="仿宋" w:eastAsia="仿宋" w:cs="仿宋"/>
                <w:b w:val="0"/>
                <w:bCs/>
                <w:color w:val="auto"/>
                <w:sz w:val="24"/>
                <w:szCs w:val="24"/>
                <w:highlight w:val="none"/>
              </w:rPr>
              <w:t>按实际响应情况填写“正偏离”、“负偏离”</w:t>
            </w:r>
          </w:p>
        </w:tc>
        <w:tc>
          <w:tcPr>
            <w:tcW w:w="1681" w:type="dxa"/>
            <w:tcBorders>
              <w:bottom w:val="single" w:color="auto" w:sz="4" w:space="0"/>
            </w:tcBorders>
            <w:noWrap w:val="0"/>
            <w:vAlign w:val="center"/>
          </w:tcPr>
          <w:p w14:paraId="2A7EB917">
            <w:pPr>
              <w:jc w:val="center"/>
              <w:rPr>
                <w:rFonts w:hint="eastAsia" w:ascii="仿宋" w:hAnsi="仿宋" w:eastAsia="仿宋" w:cs="仿宋"/>
                <w:szCs w:val="24"/>
              </w:rPr>
            </w:pPr>
            <w:r>
              <w:rPr>
                <w:rFonts w:hint="eastAsia" w:ascii="仿宋" w:hAnsi="仿宋" w:eastAsia="仿宋" w:cs="仿宋"/>
                <w:b w:val="0"/>
                <w:bCs/>
                <w:color w:val="auto"/>
                <w:sz w:val="24"/>
                <w:szCs w:val="24"/>
                <w:highlight w:val="none"/>
              </w:rPr>
              <w:t>如有正负偏离情况在此列详细说明</w:t>
            </w:r>
          </w:p>
        </w:tc>
      </w:tr>
      <w:tr w14:paraId="79DD1E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33" w:type="dxa"/>
            <w:tcBorders>
              <w:bottom w:val="single" w:color="auto" w:sz="4" w:space="0"/>
            </w:tcBorders>
            <w:noWrap w:val="0"/>
            <w:tcMar>
              <w:top w:w="57" w:type="dxa"/>
              <w:left w:w="28" w:type="dxa"/>
              <w:bottom w:w="57" w:type="dxa"/>
              <w:right w:w="28" w:type="dxa"/>
            </w:tcMar>
            <w:vAlign w:val="center"/>
          </w:tcPr>
          <w:p w14:paraId="59DB0EC5">
            <w:pPr>
              <w:spacing w:line="480" w:lineRule="exact"/>
              <w:ind w:left="210" w:leftChars="100"/>
              <w:rPr>
                <w:rFonts w:hint="eastAsia" w:ascii="仿宋" w:hAnsi="仿宋" w:eastAsia="仿宋" w:cs="仿宋"/>
                <w:szCs w:val="24"/>
              </w:rPr>
            </w:pPr>
          </w:p>
        </w:tc>
        <w:tc>
          <w:tcPr>
            <w:tcW w:w="2383" w:type="dxa"/>
            <w:tcBorders>
              <w:bottom w:val="single" w:color="auto" w:sz="4" w:space="0"/>
            </w:tcBorders>
            <w:noWrap w:val="0"/>
            <w:tcMar>
              <w:top w:w="57" w:type="dxa"/>
              <w:left w:w="28" w:type="dxa"/>
              <w:bottom w:w="57" w:type="dxa"/>
              <w:right w:w="28" w:type="dxa"/>
            </w:tcMar>
            <w:vAlign w:val="center"/>
          </w:tcPr>
          <w:p w14:paraId="6C585A16">
            <w:pPr>
              <w:spacing w:line="480" w:lineRule="exact"/>
              <w:ind w:left="210" w:leftChars="100"/>
              <w:rPr>
                <w:rFonts w:hint="eastAsia" w:ascii="仿宋" w:hAnsi="仿宋" w:eastAsia="仿宋" w:cs="仿宋"/>
                <w:szCs w:val="24"/>
              </w:rPr>
            </w:pPr>
          </w:p>
        </w:tc>
        <w:tc>
          <w:tcPr>
            <w:tcW w:w="2268" w:type="dxa"/>
            <w:tcBorders>
              <w:bottom w:val="single" w:color="auto" w:sz="4" w:space="0"/>
            </w:tcBorders>
            <w:noWrap w:val="0"/>
            <w:tcMar>
              <w:top w:w="57" w:type="dxa"/>
              <w:left w:w="28" w:type="dxa"/>
              <w:bottom w:w="57" w:type="dxa"/>
              <w:right w:w="28" w:type="dxa"/>
            </w:tcMar>
            <w:vAlign w:val="center"/>
          </w:tcPr>
          <w:p w14:paraId="690CB197">
            <w:pPr>
              <w:spacing w:line="480" w:lineRule="exact"/>
              <w:ind w:left="210" w:leftChars="100"/>
              <w:rPr>
                <w:rFonts w:hint="eastAsia" w:ascii="仿宋" w:hAnsi="仿宋" w:eastAsia="仿宋" w:cs="仿宋"/>
                <w:szCs w:val="24"/>
              </w:rPr>
            </w:pPr>
          </w:p>
        </w:tc>
        <w:tc>
          <w:tcPr>
            <w:tcW w:w="2032" w:type="dxa"/>
            <w:tcBorders>
              <w:bottom w:val="single" w:color="auto" w:sz="4" w:space="0"/>
            </w:tcBorders>
            <w:noWrap w:val="0"/>
            <w:tcMar>
              <w:top w:w="57" w:type="dxa"/>
              <w:left w:w="28" w:type="dxa"/>
              <w:bottom w:w="57" w:type="dxa"/>
              <w:right w:w="28" w:type="dxa"/>
            </w:tcMar>
            <w:vAlign w:val="center"/>
          </w:tcPr>
          <w:p w14:paraId="5F4982EC">
            <w:pPr>
              <w:spacing w:line="480" w:lineRule="exact"/>
              <w:ind w:left="210" w:leftChars="100"/>
              <w:rPr>
                <w:rFonts w:hint="eastAsia" w:ascii="仿宋" w:hAnsi="仿宋" w:eastAsia="仿宋" w:cs="仿宋"/>
                <w:szCs w:val="24"/>
              </w:rPr>
            </w:pPr>
          </w:p>
        </w:tc>
        <w:tc>
          <w:tcPr>
            <w:tcW w:w="1681" w:type="dxa"/>
            <w:tcBorders>
              <w:bottom w:val="single" w:color="auto" w:sz="4" w:space="0"/>
            </w:tcBorders>
            <w:noWrap w:val="0"/>
            <w:vAlign w:val="center"/>
          </w:tcPr>
          <w:p w14:paraId="5E94D6FA">
            <w:pPr>
              <w:spacing w:line="480" w:lineRule="exact"/>
              <w:ind w:left="210" w:leftChars="100"/>
              <w:rPr>
                <w:rFonts w:hint="eastAsia" w:ascii="仿宋" w:hAnsi="仿宋" w:eastAsia="仿宋" w:cs="仿宋"/>
                <w:szCs w:val="24"/>
              </w:rPr>
            </w:pPr>
          </w:p>
        </w:tc>
      </w:tr>
      <w:tr w14:paraId="62DFCC6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noWrap w:val="0"/>
            <w:tcMar>
              <w:top w:w="57" w:type="dxa"/>
              <w:left w:w="28" w:type="dxa"/>
              <w:bottom w:w="57" w:type="dxa"/>
              <w:right w:w="28" w:type="dxa"/>
            </w:tcMar>
            <w:vAlign w:val="center"/>
          </w:tcPr>
          <w:p w14:paraId="6E14AE9E">
            <w:pPr>
              <w:spacing w:line="480" w:lineRule="exact"/>
              <w:ind w:left="210" w:leftChars="100"/>
              <w:rPr>
                <w:rFonts w:hint="eastAsia" w:ascii="仿宋" w:hAnsi="仿宋" w:eastAsia="仿宋" w:cs="仿宋"/>
                <w:szCs w:val="24"/>
              </w:rPr>
            </w:pPr>
          </w:p>
        </w:tc>
        <w:tc>
          <w:tcPr>
            <w:tcW w:w="2383" w:type="dxa"/>
            <w:noWrap w:val="0"/>
            <w:tcMar>
              <w:top w:w="57" w:type="dxa"/>
              <w:left w:w="28" w:type="dxa"/>
              <w:bottom w:w="57" w:type="dxa"/>
              <w:right w:w="28" w:type="dxa"/>
            </w:tcMar>
            <w:vAlign w:val="center"/>
          </w:tcPr>
          <w:p w14:paraId="79FA029C">
            <w:pPr>
              <w:spacing w:line="480" w:lineRule="exact"/>
              <w:ind w:left="210" w:leftChars="100"/>
              <w:rPr>
                <w:rFonts w:hint="eastAsia" w:ascii="仿宋" w:hAnsi="仿宋" w:eastAsia="仿宋" w:cs="仿宋"/>
                <w:szCs w:val="24"/>
              </w:rPr>
            </w:pPr>
          </w:p>
        </w:tc>
        <w:tc>
          <w:tcPr>
            <w:tcW w:w="2268" w:type="dxa"/>
            <w:noWrap w:val="0"/>
            <w:tcMar>
              <w:top w:w="57" w:type="dxa"/>
              <w:left w:w="28" w:type="dxa"/>
              <w:bottom w:w="57" w:type="dxa"/>
              <w:right w:w="28" w:type="dxa"/>
            </w:tcMar>
            <w:vAlign w:val="center"/>
          </w:tcPr>
          <w:p w14:paraId="05BD0A57">
            <w:pPr>
              <w:spacing w:line="480" w:lineRule="exact"/>
              <w:ind w:left="210" w:leftChars="100"/>
              <w:rPr>
                <w:rFonts w:hint="eastAsia" w:ascii="仿宋" w:hAnsi="仿宋" w:eastAsia="仿宋" w:cs="仿宋"/>
                <w:szCs w:val="24"/>
              </w:rPr>
            </w:pPr>
          </w:p>
        </w:tc>
        <w:tc>
          <w:tcPr>
            <w:tcW w:w="2032" w:type="dxa"/>
            <w:noWrap w:val="0"/>
            <w:tcMar>
              <w:top w:w="57" w:type="dxa"/>
              <w:left w:w="28" w:type="dxa"/>
              <w:bottom w:w="57" w:type="dxa"/>
              <w:right w:w="28" w:type="dxa"/>
            </w:tcMar>
            <w:vAlign w:val="center"/>
          </w:tcPr>
          <w:p w14:paraId="77CE00B9">
            <w:pPr>
              <w:spacing w:line="480" w:lineRule="exact"/>
              <w:ind w:left="210" w:leftChars="100"/>
              <w:rPr>
                <w:rFonts w:hint="eastAsia" w:ascii="仿宋" w:hAnsi="仿宋" w:eastAsia="仿宋" w:cs="仿宋"/>
                <w:szCs w:val="24"/>
              </w:rPr>
            </w:pPr>
          </w:p>
        </w:tc>
        <w:tc>
          <w:tcPr>
            <w:tcW w:w="1681" w:type="dxa"/>
            <w:noWrap w:val="0"/>
            <w:vAlign w:val="center"/>
          </w:tcPr>
          <w:p w14:paraId="3AB8B2E7">
            <w:pPr>
              <w:spacing w:line="480" w:lineRule="exact"/>
              <w:ind w:left="210" w:leftChars="100"/>
              <w:rPr>
                <w:rFonts w:hint="eastAsia" w:ascii="仿宋" w:hAnsi="仿宋" w:eastAsia="仿宋" w:cs="仿宋"/>
                <w:szCs w:val="24"/>
              </w:rPr>
            </w:pPr>
          </w:p>
        </w:tc>
      </w:tr>
      <w:tr w14:paraId="4BB639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noWrap w:val="0"/>
            <w:tcMar>
              <w:top w:w="57" w:type="dxa"/>
              <w:left w:w="28" w:type="dxa"/>
              <w:bottom w:w="57" w:type="dxa"/>
              <w:right w:w="28" w:type="dxa"/>
            </w:tcMar>
            <w:vAlign w:val="center"/>
          </w:tcPr>
          <w:p w14:paraId="65E600C4">
            <w:pPr>
              <w:spacing w:line="480" w:lineRule="exact"/>
              <w:ind w:left="210" w:leftChars="100"/>
              <w:rPr>
                <w:rFonts w:hint="eastAsia" w:ascii="仿宋" w:hAnsi="仿宋" w:eastAsia="仿宋" w:cs="仿宋"/>
                <w:szCs w:val="24"/>
              </w:rPr>
            </w:pPr>
          </w:p>
        </w:tc>
        <w:tc>
          <w:tcPr>
            <w:tcW w:w="2383" w:type="dxa"/>
            <w:noWrap w:val="0"/>
            <w:tcMar>
              <w:top w:w="57" w:type="dxa"/>
              <w:left w:w="28" w:type="dxa"/>
              <w:bottom w:w="57" w:type="dxa"/>
              <w:right w:w="28" w:type="dxa"/>
            </w:tcMar>
            <w:vAlign w:val="center"/>
          </w:tcPr>
          <w:p w14:paraId="2A558E4E">
            <w:pPr>
              <w:spacing w:line="480" w:lineRule="exact"/>
              <w:ind w:left="210" w:leftChars="100"/>
              <w:rPr>
                <w:rFonts w:hint="eastAsia" w:ascii="仿宋" w:hAnsi="仿宋" w:eastAsia="仿宋" w:cs="仿宋"/>
                <w:szCs w:val="24"/>
              </w:rPr>
            </w:pPr>
          </w:p>
        </w:tc>
        <w:tc>
          <w:tcPr>
            <w:tcW w:w="2268" w:type="dxa"/>
            <w:noWrap w:val="0"/>
            <w:tcMar>
              <w:top w:w="57" w:type="dxa"/>
              <w:left w:w="28" w:type="dxa"/>
              <w:bottom w:w="57" w:type="dxa"/>
              <w:right w:w="28" w:type="dxa"/>
            </w:tcMar>
            <w:vAlign w:val="center"/>
          </w:tcPr>
          <w:p w14:paraId="19A508AF">
            <w:pPr>
              <w:spacing w:line="480" w:lineRule="exact"/>
              <w:ind w:left="210" w:leftChars="100"/>
              <w:rPr>
                <w:rFonts w:hint="eastAsia" w:ascii="仿宋" w:hAnsi="仿宋" w:eastAsia="仿宋" w:cs="仿宋"/>
                <w:szCs w:val="24"/>
              </w:rPr>
            </w:pPr>
          </w:p>
        </w:tc>
        <w:tc>
          <w:tcPr>
            <w:tcW w:w="2032" w:type="dxa"/>
            <w:noWrap w:val="0"/>
            <w:tcMar>
              <w:top w:w="57" w:type="dxa"/>
              <w:left w:w="28" w:type="dxa"/>
              <w:bottom w:w="57" w:type="dxa"/>
              <w:right w:w="28" w:type="dxa"/>
            </w:tcMar>
            <w:vAlign w:val="center"/>
          </w:tcPr>
          <w:p w14:paraId="6A3AAFA7">
            <w:pPr>
              <w:spacing w:line="480" w:lineRule="exact"/>
              <w:ind w:left="210" w:leftChars="100"/>
              <w:rPr>
                <w:rFonts w:hint="eastAsia" w:ascii="仿宋" w:hAnsi="仿宋" w:eastAsia="仿宋" w:cs="仿宋"/>
                <w:szCs w:val="24"/>
              </w:rPr>
            </w:pPr>
          </w:p>
        </w:tc>
        <w:tc>
          <w:tcPr>
            <w:tcW w:w="1681" w:type="dxa"/>
            <w:noWrap w:val="0"/>
            <w:vAlign w:val="center"/>
          </w:tcPr>
          <w:p w14:paraId="61AC6821">
            <w:pPr>
              <w:spacing w:line="480" w:lineRule="exact"/>
              <w:ind w:left="210" w:leftChars="100"/>
              <w:rPr>
                <w:rFonts w:hint="eastAsia" w:ascii="仿宋" w:hAnsi="仿宋" w:eastAsia="仿宋" w:cs="仿宋"/>
                <w:szCs w:val="24"/>
              </w:rPr>
            </w:pPr>
          </w:p>
        </w:tc>
      </w:tr>
      <w:tr w14:paraId="5EF222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noWrap w:val="0"/>
            <w:tcMar>
              <w:top w:w="57" w:type="dxa"/>
              <w:left w:w="28" w:type="dxa"/>
              <w:bottom w:w="57" w:type="dxa"/>
              <w:right w:w="28" w:type="dxa"/>
            </w:tcMar>
            <w:vAlign w:val="center"/>
          </w:tcPr>
          <w:p w14:paraId="396412F6">
            <w:pPr>
              <w:spacing w:line="480" w:lineRule="exact"/>
              <w:ind w:left="210" w:leftChars="100"/>
              <w:rPr>
                <w:rFonts w:hint="eastAsia" w:ascii="仿宋" w:hAnsi="仿宋" w:eastAsia="仿宋" w:cs="仿宋"/>
                <w:szCs w:val="24"/>
              </w:rPr>
            </w:pPr>
          </w:p>
        </w:tc>
        <w:tc>
          <w:tcPr>
            <w:tcW w:w="2383" w:type="dxa"/>
            <w:noWrap w:val="0"/>
            <w:tcMar>
              <w:top w:w="57" w:type="dxa"/>
              <w:left w:w="28" w:type="dxa"/>
              <w:bottom w:w="57" w:type="dxa"/>
              <w:right w:w="28" w:type="dxa"/>
            </w:tcMar>
            <w:vAlign w:val="center"/>
          </w:tcPr>
          <w:p w14:paraId="0C7D017C">
            <w:pPr>
              <w:spacing w:line="480" w:lineRule="exact"/>
              <w:ind w:left="210" w:leftChars="100"/>
              <w:rPr>
                <w:rFonts w:hint="eastAsia" w:ascii="仿宋" w:hAnsi="仿宋" w:eastAsia="仿宋" w:cs="仿宋"/>
                <w:szCs w:val="24"/>
              </w:rPr>
            </w:pPr>
          </w:p>
        </w:tc>
        <w:tc>
          <w:tcPr>
            <w:tcW w:w="2268" w:type="dxa"/>
            <w:noWrap w:val="0"/>
            <w:tcMar>
              <w:top w:w="57" w:type="dxa"/>
              <w:left w:w="28" w:type="dxa"/>
              <w:bottom w:w="57" w:type="dxa"/>
              <w:right w:w="28" w:type="dxa"/>
            </w:tcMar>
            <w:vAlign w:val="center"/>
          </w:tcPr>
          <w:p w14:paraId="609A1BE7">
            <w:pPr>
              <w:spacing w:line="480" w:lineRule="exact"/>
              <w:ind w:left="210" w:leftChars="100"/>
              <w:rPr>
                <w:rFonts w:hint="eastAsia" w:ascii="仿宋" w:hAnsi="仿宋" w:eastAsia="仿宋" w:cs="仿宋"/>
                <w:szCs w:val="24"/>
              </w:rPr>
            </w:pPr>
          </w:p>
        </w:tc>
        <w:tc>
          <w:tcPr>
            <w:tcW w:w="2032" w:type="dxa"/>
            <w:noWrap w:val="0"/>
            <w:tcMar>
              <w:top w:w="57" w:type="dxa"/>
              <w:left w:w="28" w:type="dxa"/>
              <w:bottom w:w="57" w:type="dxa"/>
              <w:right w:w="28" w:type="dxa"/>
            </w:tcMar>
            <w:vAlign w:val="center"/>
          </w:tcPr>
          <w:p w14:paraId="0C3B253D">
            <w:pPr>
              <w:spacing w:line="480" w:lineRule="exact"/>
              <w:ind w:left="210" w:leftChars="100"/>
              <w:rPr>
                <w:rFonts w:hint="eastAsia" w:ascii="仿宋" w:hAnsi="仿宋" w:eastAsia="仿宋" w:cs="仿宋"/>
                <w:szCs w:val="24"/>
              </w:rPr>
            </w:pPr>
          </w:p>
        </w:tc>
        <w:tc>
          <w:tcPr>
            <w:tcW w:w="1681" w:type="dxa"/>
            <w:noWrap w:val="0"/>
            <w:vAlign w:val="center"/>
          </w:tcPr>
          <w:p w14:paraId="791E4573">
            <w:pPr>
              <w:spacing w:line="480" w:lineRule="exact"/>
              <w:ind w:left="210" w:leftChars="100"/>
              <w:rPr>
                <w:rFonts w:hint="eastAsia" w:ascii="仿宋" w:hAnsi="仿宋" w:eastAsia="仿宋" w:cs="仿宋"/>
                <w:szCs w:val="24"/>
              </w:rPr>
            </w:pPr>
          </w:p>
        </w:tc>
      </w:tr>
      <w:tr w14:paraId="15C7D4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noWrap w:val="0"/>
            <w:tcMar>
              <w:top w:w="57" w:type="dxa"/>
              <w:left w:w="28" w:type="dxa"/>
              <w:bottom w:w="57" w:type="dxa"/>
              <w:right w:w="28" w:type="dxa"/>
            </w:tcMar>
            <w:vAlign w:val="center"/>
          </w:tcPr>
          <w:p w14:paraId="78DEE867">
            <w:pPr>
              <w:spacing w:line="480" w:lineRule="exact"/>
              <w:ind w:left="210" w:leftChars="100"/>
              <w:rPr>
                <w:rFonts w:hint="eastAsia" w:ascii="仿宋" w:hAnsi="仿宋" w:eastAsia="仿宋" w:cs="仿宋"/>
                <w:szCs w:val="24"/>
              </w:rPr>
            </w:pPr>
          </w:p>
        </w:tc>
        <w:tc>
          <w:tcPr>
            <w:tcW w:w="2383" w:type="dxa"/>
            <w:noWrap w:val="0"/>
            <w:tcMar>
              <w:top w:w="57" w:type="dxa"/>
              <w:left w:w="28" w:type="dxa"/>
              <w:bottom w:w="57" w:type="dxa"/>
              <w:right w:w="28" w:type="dxa"/>
            </w:tcMar>
            <w:vAlign w:val="center"/>
          </w:tcPr>
          <w:p w14:paraId="7CF8ED13">
            <w:pPr>
              <w:spacing w:line="480" w:lineRule="exact"/>
              <w:ind w:left="210" w:leftChars="100"/>
              <w:rPr>
                <w:rFonts w:hint="eastAsia" w:ascii="仿宋" w:hAnsi="仿宋" w:eastAsia="仿宋" w:cs="仿宋"/>
                <w:szCs w:val="24"/>
              </w:rPr>
            </w:pPr>
          </w:p>
        </w:tc>
        <w:tc>
          <w:tcPr>
            <w:tcW w:w="2268" w:type="dxa"/>
            <w:noWrap w:val="0"/>
            <w:tcMar>
              <w:top w:w="57" w:type="dxa"/>
              <w:left w:w="28" w:type="dxa"/>
              <w:bottom w:w="57" w:type="dxa"/>
              <w:right w:w="28" w:type="dxa"/>
            </w:tcMar>
            <w:vAlign w:val="center"/>
          </w:tcPr>
          <w:p w14:paraId="3A599453">
            <w:pPr>
              <w:spacing w:line="480" w:lineRule="exact"/>
              <w:ind w:left="210" w:leftChars="100"/>
              <w:rPr>
                <w:rFonts w:hint="eastAsia" w:ascii="仿宋" w:hAnsi="仿宋" w:eastAsia="仿宋" w:cs="仿宋"/>
                <w:szCs w:val="24"/>
              </w:rPr>
            </w:pPr>
          </w:p>
        </w:tc>
        <w:tc>
          <w:tcPr>
            <w:tcW w:w="2032" w:type="dxa"/>
            <w:noWrap w:val="0"/>
            <w:tcMar>
              <w:top w:w="57" w:type="dxa"/>
              <w:left w:w="28" w:type="dxa"/>
              <w:bottom w:w="57" w:type="dxa"/>
              <w:right w:w="28" w:type="dxa"/>
            </w:tcMar>
            <w:vAlign w:val="center"/>
          </w:tcPr>
          <w:p w14:paraId="41D8FB78">
            <w:pPr>
              <w:spacing w:line="480" w:lineRule="exact"/>
              <w:ind w:left="210" w:leftChars="100"/>
              <w:rPr>
                <w:rFonts w:hint="eastAsia" w:ascii="仿宋" w:hAnsi="仿宋" w:eastAsia="仿宋" w:cs="仿宋"/>
                <w:szCs w:val="24"/>
              </w:rPr>
            </w:pPr>
          </w:p>
        </w:tc>
        <w:tc>
          <w:tcPr>
            <w:tcW w:w="1681" w:type="dxa"/>
            <w:noWrap w:val="0"/>
            <w:vAlign w:val="center"/>
          </w:tcPr>
          <w:p w14:paraId="11005408">
            <w:pPr>
              <w:spacing w:line="480" w:lineRule="exact"/>
              <w:ind w:left="210" w:leftChars="100"/>
              <w:rPr>
                <w:rFonts w:hint="eastAsia" w:ascii="仿宋" w:hAnsi="仿宋" w:eastAsia="仿宋" w:cs="仿宋"/>
                <w:szCs w:val="24"/>
              </w:rPr>
            </w:pPr>
          </w:p>
        </w:tc>
      </w:tr>
      <w:tr w14:paraId="205DB6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noWrap w:val="0"/>
            <w:tcMar>
              <w:top w:w="57" w:type="dxa"/>
              <w:left w:w="28" w:type="dxa"/>
              <w:bottom w:w="57" w:type="dxa"/>
              <w:right w:w="28" w:type="dxa"/>
            </w:tcMar>
            <w:vAlign w:val="center"/>
          </w:tcPr>
          <w:p w14:paraId="67689A57">
            <w:pPr>
              <w:spacing w:line="480" w:lineRule="exact"/>
              <w:ind w:left="210" w:leftChars="100"/>
              <w:rPr>
                <w:rFonts w:hint="eastAsia" w:ascii="仿宋" w:hAnsi="仿宋" w:eastAsia="仿宋" w:cs="仿宋"/>
                <w:szCs w:val="24"/>
              </w:rPr>
            </w:pPr>
          </w:p>
        </w:tc>
        <w:tc>
          <w:tcPr>
            <w:tcW w:w="2383" w:type="dxa"/>
            <w:noWrap w:val="0"/>
            <w:tcMar>
              <w:top w:w="57" w:type="dxa"/>
              <w:left w:w="28" w:type="dxa"/>
              <w:bottom w:w="57" w:type="dxa"/>
              <w:right w:w="28" w:type="dxa"/>
            </w:tcMar>
            <w:vAlign w:val="center"/>
          </w:tcPr>
          <w:p w14:paraId="44ABDA9E">
            <w:pPr>
              <w:spacing w:line="480" w:lineRule="exact"/>
              <w:ind w:left="210" w:leftChars="100"/>
              <w:rPr>
                <w:rFonts w:hint="eastAsia" w:ascii="仿宋" w:hAnsi="仿宋" w:eastAsia="仿宋" w:cs="仿宋"/>
                <w:szCs w:val="24"/>
              </w:rPr>
            </w:pPr>
          </w:p>
        </w:tc>
        <w:tc>
          <w:tcPr>
            <w:tcW w:w="2268" w:type="dxa"/>
            <w:noWrap w:val="0"/>
            <w:tcMar>
              <w:top w:w="57" w:type="dxa"/>
              <w:left w:w="28" w:type="dxa"/>
              <w:bottom w:w="57" w:type="dxa"/>
              <w:right w:w="28" w:type="dxa"/>
            </w:tcMar>
            <w:vAlign w:val="center"/>
          </w:tcPr>
          <w:p w14:paraId="35F31982">
            <w:pPr>
              <w:spacing w:line="480" w:lineRule="exact"/>
              <w:ind w:left="210" w:leftChars="100"/>
              <w:rPr>
                <w:rFonts w:hint="eastAsia" w:ascii="仿宋" w:hAnsi="仿宋" w:eastAsia="仿宋" w:cs="仿宋"/>
                <w:szCs w:val="24"/>
              </w:rPr>
            </w:pPr>
          </w:p>
        </w:tc>
        <w:tc>
          <w:tcPr>
            <w:tcW w:w="2032" w:type="dxa"/>
            <w:noWrap w:val="0"/>
            <w:tcMar>
              <w:top w:w="57" w:type="dxa"/>
              <w:left w:w="28" w:type="dxa"/>
              <w:bottom w:w="57" w:type="dxa"/>
              <w:right w:w="28" w:type="dxa"/>
            </w:tcMar>
            <w:vAlign w:val="center"/>
          </w:tcPr>
          <w:p w14:paraId="7BF0CA7A">
            <w:pPr>
              <w:spacing w:line="480" w:lineRule="exact"/>
              <w:ind w:left="210" w:leftChars="100"/>
              <w:rPr>
                <w:rFonts w:hint="eastAsia" w:ascii="仿宋" w:hAnsi="仿宋" w:eastAsia="仿宋" w:cs="仿宋"/>
                <w:szCs w:val="24"/>
              </w:rPr>
            </w:pPr>
          </w:p>
        </w:tc>
        <w:tc>
          <w:tcPr>
            <w:tcW w:w="1681" w:type="dxa"/>
            <w:noWrap w:val="0"/>
            <w:vAlign w:val="center"/>
          </w:tcPr>
          <w:p w14:paraId="766C782F">
            <w:pPr>
              <w:spacing w:line="480" w:lineRule="exact"/>
              <w:ind w:left="210" w:leftChars="100"/>
              <w:rPr>
                <w:rFonts w:hint="eastAsia" w:ascii="仿宋" w:hAnsi="仿宋" w:eastAsia="仿宋" w:cs="仿宋"/>
                <w:szCs w:val="24"/>
              </w:rPr>
            </w:pPr>
          </w:p>
        </w:tc>
      </w:tr>
    </w:tbl>
    <w:p w14:paraId="39D5A445">
      <w:pPr>
        <w:spacing w:line="240" w:lineRule="exact"/>
        <w:ind w:left="210" w:leftChars="100"/>
        <w:rPr>
          <w:rFonts w:hint="eastAsia" w:ascii="仿宋" w:hAnsi="仿宋" w:eastAsia="仿宋" w:cs="仿宋"/>
          <w:szCs w:val="24"/>
        </w:rPr>
      </w:pPr>
    </w:p>
    <w:p w14:paraId="5E3B3E34">
      <w:pPr>
        <w:spacing w:line="240" w:lineRule="exact"/>
        <w:ind w:left="210" w:leftChars="100"/>
        <w:rPr>
          <w:rFonts w:hint="eastAsia" w:ascii="仿宋" w:hAnsi="仿宋" w:eastAsia="仿宋" w:cs="仿宋"/>
          <w:szCs w:val="24"/>
        </w:rPr>
      </w:pPr>
    </w:p>
    <w:p w14:paraId="7CC91E54">
      <w:pPr>
        <w:spacing w:line="440" w:lineRule="exact"/>
        <w:rPr>
          <w:rFonts w:hint="eastAsia" w:ascii="仿宋" w:hAnsi="仿宋" w:eastAsia="仿宋" w:cs="仿宋"/>
          <w:b w:val="0"/>
          <w:bCs/>
          <w:color w:val="auto"/>
          <w:sz w:val="24"/>
        </w:rPr>
      </w:pPr>
      <w:r>
        <w:rPr>
          <w:rFonts w:hint="eastAsia" w:ascii="仿宋" w:hAnsi="仿宋" w:eastAsia="仿宋" w:cs="仿宋"/>
          <w:b w:val="0"/>
          <w:bCs/>
          <w:color w:val="auto"/>
          <w:sz w:val="24"/>
        </w:rPr>
        <w:t>备注:</w:t>
      </w:r>
    </w:p>
    <w:p w14:paraId="397EDB01">
      <w:pPr>
        <w:spacing w:line="440" w:lineRule="exact"/>
        <w:ind w:firstLine="480" w:firstLineChars="200"/>
        <w:rPr>
          <w:rFonts w:hint="eastAsia" w:ascii="仿宋" w:hAnsi="仿宋" w:eastAsia="仿宋" w:cs="仿宋"/>
          <w:b w:val="0"/>
          <w:bCs/>
          <w:color w:val="auto"/>
          <w:sz w:val="24"/>
        </w:rPr>
      </w:pPr>
      <w:r>
        <w:rPr>
          <w:rFonts w:hint="eastAsia" w:ascii="仿宋" w:hAnsi="仿宋" w:eastAsia="仿宋" w:cs="仿宋"/>
          <w:b w:val="0"/>
          <w:bCs/>
          <w:color w:val="auto"/>
          <w:sz w:val="24"/>
        </w:rPr>
        <w:t>1</w:t>
      </w:r>
      <w:r>
        <w:rPr>
          <w:rFonts w:hint="eastAsia" w:ascii="仿宋" w:hAnsi="仿宋" w:eastAsia="仿宋" w:cs="仿宋"/>
          <w:b w:val="0"/>
          <w:bCs/>
          <w:color w:val="auto"/>
          <w:sz w:val="24"/>
          <w:lang w:val="en-US" w:eastAsia="zh-CN"/>
        </w:rPr>
        <w:t>.</w:t>
      </w:r>
      <w:r>
        <w:rPr>
          <w:rFonts w:hint="eastAsia" w:ascii="仿宋" w:hAnsi="仿宋" w:eastAsia="仿宋" w:cs="仿宋"/>
          <w:b w:val="0"/>
          <w:bCs/>
          <w:color w:val="auto"/>
          <w:sz w:val="24"/>
        </w:rPr>
        <w:t>本表只填写</w:t>
      </w:r>
      <w:r>
        <w:rPr>
          <w:rFonts w:hint="eastAsia" w:ascii="仿宋" w:hAnsi="仿宋" w:eastAsia="仿宋" w:cs="仿宋"/>
          <w:b w:val="0"/>
          <w:bCs/>
          <w:color w:val="auto"/>
          <w:sz w:val="24"/>
          <w:lang w:val="en-US" w:eastAsia="zh-CN"/>
        </w:rPr>
        <w:t>投标</w:t>
      </w:r>
      <w:r>
        <w:rPr>
          <w:rFonts w:hint="eastAsia" w:ascii="仿宋" w:hAnsi="仿宋" w:eastAsia="仿宋" w:cs="仿宋"/>
          <w:b w:val="0"/>
          <w:bCs/>
          <w:color w:val="auto"/>
          <w:sz w:val="24"/>
        </w:rPr>
        <w:t>文件中与</w:t>
      </w:r>
      <w:r>
        <w:rPr>
          <w:rFonts w:hint="eastAsia" w:ascii="仿宋" w:hAnsi="仿宋" w:eastAsia="仿宋" w:cs="仿宋"/>
          <w:b w:val="0"/>
          <w:bCs/>
          <w:color w:val="auto"/>
          <w:sz w:val="24"/>
          <w:lang w:val="en-US" w:eastAsia="zh-CN"/>
        </w:rPr>
        <w:t>招标</w:t>
      </w:r>
      <w:r>
        <w:rPr>
          <w:rFonts w:hint="eastAsia" w:ascii="仿宋" w:hAnsi="仿宋" w:eastAsia="仿宋" w:cs="仿宋"/>
          <w:b w:val="0"/>
          <w:bCs/>
          <w:color w:val="auto"/>
          <w:sz w:val="24"/>
        </w:rPr>
        <w:t>文件有偏离(包括正偏离和负偏离)的内容，</w:t>
      </w:r>
      <w:r>
        <w:rPr>
          <w:rFonts w:hint="eastAsia" w:ascii="仿宋" w:hAnsi="仿宋" w:eastAsia="仿宋" w:cs="仿宋"/>
          <w:b w:val="0"/>
          <w:bCs/>
          <w:color w:val="auto"/>
          <w:sz w:val="24"/>
          <w:lang w:eastAsia="zh-CN"/>
        </w:rPr>
        <w:t>“</w:t>
      </w:r>
      <w:r>
        <w:rPr>
          <w:rFonts w:hint="eastAsia" w:ascii="仿宋" w:hAnsi="仿宋" w:eastAsia="仿宋" w:cs="仿宋"/>
          <w:b w:val="0"/>
          <w:bCs/>
          <w:color w:val="auto"/>
          <w:sz w:val="24"/>
          <w:lang w:val="en-US" w:eastAsia="zh-CN"/>
        </w:rPr>
        <w:t>投标</w:t>
      </w:r>
      <w:r>
        <w:rPr>
          <w:rFonts w:hint="eastAsia" w:ascii="仿宋" w:hAnsi="仿宋" w:eastAsia="仿宋" w:cs="仿宋"/>
          <w:b w:val="0"/>
          <w:bCs/>
          <w:color w:val="auto"/>
          <w:sz w:val="24"/>
        </w:rPr>
        <w:t>文件</w:t>
      </w:r>
      <w:r>
        <w:rPr>
          <w:rFonts w:hint="eastAsia" w:ascii="仿宋" w:hAnsi="仿宋" w:eastAsia="仿宋" w:cs="仿宋"/>
          <w:b w:val="0"/>
          <w:bCs/>
          <w:color w:val="auto"/>
          <w:sz w:val="24"/>
          <w:lang w:val="en-US" w:eastAsia="zh-CN"/>
        </w:rPr>
        <w:t>商务</w:t>
      </w:r>
      <w:r>
        <w:rPr>
          <w:rFonts w:hint="eastAsia" w:ascii="仿宋" w:hAnsi="仿宋" w:eastAsia="仿宋" w:cs="仿宋"/>
          <w:b w:val="0"/>
          <w:bCs/>
          <w:color w:val="auto"/>
          <w:sz w:val="24"/>
        </w:rPr>
        <w:t>响应</w:t>
      </w:r>
      <w:r>
        <w:rPr>
          <w:rFonts w:hint="eastAsia" w:ascii="仿宋" w:hAnsi="仿宋" w:eastAsia="仿宋" w:cs="仿宋"/>
          <w:b w:val="0"/>
          <w:bCs/>
          <w:color w:val="auto"/>
          <w:sz w:val="24"/>
          <w:lang w:eastAsia="zh-CN"/>
        </w:rPr>
        <w:t>”</w:t>
      </w:r>
      <w:r>
        <w:rPr>
          <w:rFonts w:hint="eastAsia" w:ascii="仿宋" w:hAnsi="仿宋" w:eastAsia="仿宋" w:cs="仿宋"/>
          <w:b w:val="0"/>
          <w:bCs/>
          <w:color w:val="auto"/>
          <w:sz w:val="24"/>
        </w:rPr>
        <w:t>与</w:t>
      </w:r>
      <w:r>
        <w:rPr>
          <w:rFonts w:hint="eastAsia" w:ascii="仿宋" w:hAnsi="仿宋" w:eastAsia="仿宋" w:cs="仿宋"/>
          <w:b w:val="0"/>
          <w:bCs/>
          <w:color w:val="auto"/>
          <w:sz w:val="24"/>
          <w:lang w:val="en-US" w:eastAsia="zh-CN"/>
        </w:rPr>
        <w:t>招标</w:t>
      </w:r>
      <w:r>
        <w:rPr>
          <w:rFonts w:hint="eastAsia" w:ascii="仿宋" w:hAnsi="仿宋" w:eastAsia="仿宋" w:cs="仿宋"/>
          <w:b w:val="0"/>
          <w:bCs/>
          <w:color w:val="auto"/>
          <w:sz w:val="24"/>
        </w:rPr>
        <w:t>文件</w:t>
      </w:r>
      <w:r>
        <w:rPr>
          <w:rFonts w:hint="eastAsia" w:ascii="仿宋" w:hAnsi="仿宋" w:eastAsia="仿宋" w:cs="仿宋"/>
          <w:b w:val="0"/>
          <w:bCs/>
          <w:color w:val="auto"/>
          <w:sz w:val="24"/>
          <w:lang w:eastAsia="zh-CN"/>
        </w:rPr>
        <w:t>“</w:t>
      </w:r>
      <w:r>
        <w:rPr>
          <w:rFonts w:hint="eastAsia" w:ascii="仿宋" w:hAnsi="仿宋" w:eastAsia="仿宋" w:cs="仿宋"/>
          <w:b w:val="0"/>
          <w:bCs/>
          <w:color w:val="auto"/>
          <w:sz w:val="24"/>
          <w:lang w:val="en-US" w:eastAsia="zh-CN"/>
        </w:rPr>
        <w:t>商务要求”</w:t>
      </w:r>
      <w:r>
        <w:rPr>
          <w:rFonts w:hint="eastAsia" w:ascii="仿宋" w:hAnsi="仿宋" w:eastAsia="仿宋" w:cs="仿宋"/>
          <w:b w:val="0"/>
          <w:bCs/>
          <w:color w:val="auto"/>
          <w:sz w:val="24"/>
        </w:rPr>
        <w:t>完全一致的，不用在此表中列出，但必须提交空白表（否则视为</w:t>
      </w:r>
      <w:r>
        <w:rPr>
          <w:rFonts w:hint="eastAsia" w:ascii="仿宋" w:hAnsi="仿宋" w:eastAsia="仿宋" w:cs="仿宋"/>
          <w:b w:val="0"/>
          <w:bCs/>
          <w:color w:val="auto"/>
          <w:sz w:val="24"/>
          <w:lang w:eastAsia="zh-CN"/>
        </w:rPr>
        <w:t>未</w:t>
      </w:r>
      <w:r>
        <w:rPr>
          <w:rFonts w:hint="eastAsia" w:ascii="仿宋" w:hAnsi="仿宋" w:eastAsia="仿宋" w:cs="仿宋"/>
          <w:b w:val="0"/>
          <w:bCs/>
          <w:color w:val="auto"/>
          <w:sz w:val="24"/>
        </w:rPr>
        <w:t>完全</w:t>
      </w:r>
      <w:r>
        <w:rPr>
          <w:rFonts w:hint="eastAsia" w:ascii="仿宋" w:hAnsi="仿宋" w:eastAsia="仿宋" w:cs="仿宋"/>
          <w:b w:val="0"/>
          <w:bCs/>
          <w:color w:val="auto"/>
          <w:sz w:val="24"/>
          <w:lang w:val="en-US" w:eastAsia="zh-CN"/>
        </w:rPr>
        <w:t>响应招标</w:t>
      </w:r>
      <w:r>
        <w:rPr>
          <w:rFonts w:hint="eastAsia" w:ascii="仿宋" w:hAnsi="仿宋" w:eastAsia="仿宋" w:cs="仿宋"/>
          <w:b w:val="0"/>
          <w:bCs/>
          <w:color w:val="auto"/>
          <w:sz w:val="24"/>
        </w:rPr>
        <w:t>文件要求)。</w:t>
      </w:r>
    </w:p>
    <w:p w14:paraId="414FB540">
      <w:pPr>
        <w:spacing w:line="440" w:lineRule="exact"/>
        <w:ind w:firstLine="480" w:firstLineChars="200"/>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2.投标人</w:t>
      </w:r>
      <w:r>
        <w:rPr>
          <w:rFonts w:hint="eastAsia" w:ascii="仿宋" w:hAnsi="仿宋" w:eastAsia="仿宋" w:cs="仿宋"/>
          <w:b w:val="0"/>
          <w:bCs/>
          <w:color w:val="auto"/>
          <w:sz w:val="24"/>
        </w:rPr>
        <w:t>必须据实填写，不得虚假响应，否则将取消其</w:t>
      </w:r>
      <w:r>
        <w:rPr>
          <w:rFonts w:hint="eastAsia" w:ascii="仿宋" w:hAnsi="仿宋" w:eastAsia="仿宋" w:cs="仿宋"/>
          <w:b w:val="0"/>
          <w:bCs/>
          <w:color w:val="auto"/>
          <w:sz w:val="24"/>
          <w:lang w:val="en-US" w:eastAsia="zh-CN"/>
        </w:rPr>
        <w:t>投标</w:t>
      </w:r>
      <w:r>
        <w:rPr>
          <w:rFonts w:hint="eastAsia" w:ascii="仿宋" w:hAnsi="仿宋" w:eastAsia="仿宋" w:cs="仿宋"/>
          <w:b w:val="0"/>
          <w:bCs/>
          <w:color w:val="auto"/>
          <w:sz w:val="24"/>
        </w:rPr>
        <w:t>或</w:t>
      </w:r>
      <w:r>
        <w:rPr>
          <w:rFonts w:hint="eastAsia" w:ascii="仿宋" w:hAnsi="仿宋" w:eastAsia="仿宋" w:cs="仿宋"/>
          <w:b w:val="0"/>
          <w:bCs/>
          <w:color w:val="auto"/>
          <w:sz w:val="24"/>
          <w:lang w:val="en-US" w:eastAsia="zh-CN"/>
        </w:rPr>
        <w:t>中标</w:t>
      </w:r>
      <w:r>
        <w:rPr>
          <w:rFonts w:hint="eastAsia" w:ascii="仿宋" w:hAnsi="仿宋" w:eastAsia="仿宋" w:cs="仿宋"/>
          <w:b w:val="0"/>
          <w:bCs/>
          <w:color w:val="auto"/>
          <w:sz w:val="24"/>
        </w:rPr>
        <w:t>资格，并按有关规定进</w:t>
      </w:r>
      <w:r>
        <w:rPr>
          <w:rFonts w:hint="eastAsia" w:ascii="仿宋" w:hAnsi="仿宋" w:eastAsia="仿宋" w:cs="仿宋"/>
          <w:b w:val="0"/>
          <w:bCs/>
          <w:color w:val="auto"/>
          <w:sz w:val="24"/>
          <w:lang w:eastAsia="zh-CN"/>
        </w:rPr>
        <w:t>行</w:t>
      </w:r>
      <w:r>
        <w:rPr>
          <w:rFonts w:hint="eastAsia" w:ascii="仿宋" w:hAnsi="仿宋" w:eastAsia="仿宋" w:cs="仿宋"/>
          <w:b w:val="0"/>
          <w:bCs/>
          <w:color w:val="auto"/>
          <w:sz w:val="24"/>
        </w:rPr>
        <w:t>处罚。</w:t>
      </w:r>
    </w:p>
    <w:p w14:paraId="68A561BA">
      <w:pPr>
        <w:spacing w:line="480" w:lineRule="exact"/>
        <w:ind w:left="210" w:leftChars="100"/>
        <w:rPr>
          <w:rFonts w:hint="eastAsia" w:ascii="仿宋" w:hAnsi="仿宋" w:eastAsia="仿宋" w:cs="仿宋"/>
          <w:szCs w:val="24"/>
        </w:rPr>
      </w:pPr>
      <w:r>
        <w:rPr>
          <w:rFonts w:hint="eastAsia" w:ascii="仿宋" w:hAnsi="仿宋" w:eastAsia="仿宋" w:cs="仿宋"/>
          <w:szCs w:val="24"/>
        </w:rPr>
        <w:t xml:space="preserve"> </w:t>
      </w:r>
    </w:p>
    <w:p w14:paraId="2B05C86D">
      <w:pPr>
        <w:spacing w:line="480" w:lineRule="exact"/>
        <w:ind w:left="210" w:leftChars="100"/>
        <w:rPr>
          <w:rFonts w:hint="eastAsia" w:ascii="仿宋" w:hAnsi="仿宋" w:eastAsia="仿宋" w:cs="仿宋"/>
          <w:u w:val="single"/>
        </w:rPr>
      </w:pPr>
      <w:r>
        <w:rPr>
          <w:rFonts w:hint="eastAsia" w:ascii="仿宋" w:hAnsi="仿宋" w:eastAsia="仿宋" w:cs="仿宋"/>
          <w:szCs w:val="24"/>
          <w:lang w:val="zh-CN"/>
        </w:rPr>
        <w:t>法定代表人或被授权人（签字或盖章）</w:t>
      </w:r>
      <w:r>
        <w:rPr>
          <w:rFonts w:hint="eastAsia" w:ascii="仿宋" w:hAnsi="仿宋" w:eastAsia="仿宋" w:cs="仿宋"/>
          <w:szCs w:val="24"/>
        </w:rPr>
        <w:t>：</w:t>
      </w:r>
      <w:r>
        <w:rPr>
          <w:rFonts w:hint="eastAsia" w:ascii="仿宋" w:hAnsi="仿宋" w:eastAsia="仿宋" w:cs="仿宋"/>
          <w:szCs w:val="24"/>
          <w:u w:val="single"/>
        </w:rPr>
        <w:t xml:space="preserve">             </w:t>
      </w:r>
      <w:r>
        <w:rPr>
          <w:rFonts w:hint="eastAsia" w:ascii="仿宋" w:hAnsi="仿宋" w:eastAsia="仿宋" w:cs="仿宋"/>
          <w:szCs w:val="24"/>
        </w:rPr>
        <w:t xml:space="preserve">        </w:t>
      </w:r>
      <w:r>
        <w:rPr>
          <w:rFonts w:hint="eastAsia" w:ascii="仿宋" w:hAnsi="仿宋" w:eastAsia="仿宋" w:cs="仿宋"/>
          <w:szCs w:val="24"/>
        </w:rPr>
        <w:t>日 期：</w:t>
      </w:r>
      <w:r>
        <w:rPr>
          <w:rFonts w:hint="eastAsia" w:ascii="仿宋" w:hAnsi="仿宋" w:eastAsia="仿宋" w:cs="仿宋"/>
          <w:u w:val="single"/>
        </w:rPr>
        <w:t xml:space="preserve">            </w:t>
      </w:r>
    </w:p>
    <w:p w14:paraId="0098BB27">
      <w:pPr>
        <w:spacing w:line="480" w:lineRule="exact"/>
        <w:ind w:left="210" w:leftChars="100"/>
        <w:rPr>
          <w:rFonts w:hint="eastAsia" w:ascii="仿宋" w:hAnsi="仿宋" w:eastAsia="仿宋" w:cs="仿宋"/>
          <w:u w:val="single"/>
        </w:rPr>
      </w:pPr>
    </w:p>
    <w:p w14:paraId="6C8CCDF7">
      <w:pPr>
        <w:spacing w:line="480" w:lineRule="exact"/>
        <w:ind w:left="210" w:leftChars="100"/>
        <w:rPr>
          <w:rFonts w:hint="eastAsia" w:ascii="仿宋" w:hAnsi="仿宋" w:eastAsia="仿宋" w:cs="仿宋"/>
          <w:u w:val="single"/>
        </w:rPr>
      </w:pPr>
    </w:p>
    <w:p w14:paraId="32816A59">
      <w:pPr>
        <w:rPr>
          <w:rFonts w:hint="eastAsia" w:ascii="仿宋" w:hAnsi="仿宋" w:eastAsia="仿宋" w:cs="仿宋"/>
          <w:u w:val="single"/>
        </w:rPr>
      </w:pPr>
      <w:r>
        <w:rPr>
          <w:rFonts w:hint="eastAsia" w:ascii="仿宋" w:hAnsi="仿宋" w:eastAsia="仿宋" w:cs="仿宋"/>
          <w:u w:val="single"/>
        </w:rPr>
        <w:br w:type="page"/>
      </w:r>
    </w:p>
    <w:p w14:paraId="28DA7178">
      <w:pPr>
        <w:rPr>
          <w:rFonts w:hint="eastAsia" w:ascii="仿宋" w:hAnsi="仿宋" w:eastAsia="仿宋" w:cs="仿宋"/>
          <w:b/>
          <w:color w:val="auto"/>
          <w:kern w:val="0"/>
          <w:szCs w:val="24"/>
          <w:highlight w:val="none"/>
        </w:rPr>
      </w:pPr>
      <w:r>
        <w:rPr>
          <w:rFonts w:hint="eastAsia" w:ascii="仿宋" w:hAnsi="仿宋" w:eastAsia="仿宋" w:cs="仿宋"/>
          <w:b/>
          <w:color w:val="auto"/>
          <w:kern w:val="0"/>
          <w:szCs w:val="24"/>
          <w:highlight w:val="none"/>
        </w:rPr>
        <w:t>法定代表人授权书</w:t>
      </w:r>
      <w:r>
        <w:rPr>
          <w:rFonts w:hint="eastAsia" w:ascii="仿宋" w:hAnsi="仿宋" w:eastAsia="仿宋" w:cs="仿宋"/>
          <w:color w:val="auto"/>
          <w:kern w:val="0"/>
          <w:szCs w:val="24"/>
          <w:highlight w:val="none"/>
        </w:rPr>
        <w:t>（格式）</w:t>
      </w:r>
    </w:p>
    <w:p w14:paraId="0570D77F">
      <w:pPr>
        <w:spacing w:line="480" w:lineRule="exact"/>
        <w:ind w:left="210" w:leftChars="100"/>
        <w:jc w:val="center"/>
        <w:rPr>
          <w:rFonts w:hint="eastAsia" w:ascii="仿宋" w:hAnsi="仿宋" w:eastAsia="仿宋" w:cs="仿宋"/>
          <w:b/>
          <w:bCs/>
          <w:color w:val="auto"/>
          <w:szCs w:val="24"/>
          <w:highlight w:val="none"/>
        </w:rPr>
      </w:pPr>
      <w:bookmarkStart w:id="52" w:name="_Toc47418939"/>
      <w:bookmarkStart w:id="53" w:name="_Toc47418256"/>
      <w:bookmarkStart w:id="54" w:name="_Toc47262070"/>
      <w:bookmarkStart w:id="55" w:name="_Toc48995852"/>
      <w:bookmarkStart w:id="56" w:name="_Toc47418732"/>
      <w:bookmarkStart w:id="57" w:name="_Toc47261691"/>
      <w:bookmarkStart w:id="58" w:name="_Toc49019237"/>
      <w:bookmarkStart w:id="59" w:name="_Toc47261886"/>
      <w:bookmarkStart w:id="60" w:name="_Toc49019498"/>
      <w:bookmarkStart w:id="61" w:name="_Toc48791236"/>
      <w:r>
        <w:rPr>
          <w:rFonts w:hint="eastAsia" w:ascii="仿宋" w:hAnsi="仿宋" w:eastAsia="仿宋" w:cs="仿宋"/>
          <w:b/>
          <w:bCs/>
          <w:color w:val="auto"/>
          <w:szCs w:val="24"/>
          <w:highlight w:val="none"/>
          <w:lang w:val="en-US" w:eastAsia="zh-CN"/>
        </w:rPr>
        <w:t>1.</w:t>
      </w:r>
      <w:r>
        <w:rPr>
          <w:rFonts w:hint="eastAsia" w:ascii="仿宋" w:hAnsi="仿宋" w:eastAsia="仿宋" w:cs="仿宋"/>
          <w:b/>
          <w:bCs/>
          <w:color w:val="auto"/>
          <w:szCs w:val="24"/>
          <w:highlight w:val="none"/>
        </w:rPr>
        <w:t>法定代表人资格证明书</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2470"/>
        <w:gridCol w:w="1965"/>
        <w:gridCol w:w="1336"/>
        <w:gridCol w:w="2767"/>
      </w:tblGrid>
      <w:tr w14:paraId="044E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9" w:type="dxa"/>
            <w:gridSpan w:val="5"/>
            <w:noWrap w:val="0"/>
            <w:vAlign w:val="top"/>
          </w:tcPr>
          <w:p w14:paraId="5F7FB92E">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lang w:eastAsia="zh-CN"/>
              </w:rPr>
            </w:pPr>
            <w:r>
              <w:rPr>
                <w:rFonts w:hint="eastAsia" w:ascii="仿宋" w:hAnsi="仿宋" w:eastAsia="仿宋" w:cs="仿宋"/>
                <w:bCs/>
                <w:caps/>
                <w:color w:val="auto"/>
                <w:sz w:val="24"/>
                <w:szCs w:val="24"/>
                <w:highlight w:val="none"/>
              </w:rPr>
              <w:t>致：</w:t>
            </w:r>
            <w:r>
              <w:rPr>
                <w:rFonts w:hint="eastAsia" w:ascii="仿宋" w:hAnsi="仿宋" w:eastAsia="仿宋" w:cs="仿宋"/>
                <w:bCs/>
                <w:caps/>
                <w:color w:val="auto"/>
                <w:sz w:val="24"/>
                <w:szCs w:val="24"/>
                <w:highlight w:val="none"/>
                <w:lang w:eastAsia="zh-CN"/>
              </w:rPr>
              <w:t>华春建设工程项目管理有限责任公司</w:t>
            </w:r>
          </w:p>
        </w:tc>
      </w:tr>
      <w:tr w14:paraId="33377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noWrap w:val="0"/>
            <w:vAlign w:val="center"/>
          </w:tcPr>
          <w:p w14:paraId="0080567F">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项目名称</w:t>
            </w:r>
          </w:p>
        </w:tc>
        <w:tc>
          <w:tcPr>
            <w:tcW w:w="8538" w:type="dxa"/>
            <w:gridSpan w:val="4"/>
            <w:noWrap w:val="0"/>
            <w:vAlign w:val="top"/>
          </w:tcPr>
          <w:p w14:paraId="1FCB2964">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r>
      <w:tr w14:paraId="6042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noWrap w:val="0"/>
            <w:vAlign w:val="center"/>
          </w:tcPr>
          <w:p w14:paraId="2A69455E">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项目编号</w:t>
            </w:r>
          </w:p>
        </w:tc>
        <w:tc>
          <w:tcPr>
            <w:tcW w:w="8538" w:type="dxa"/>
            <w:gridSpan w:val="4"/>
            <w:noWrap w:val="0"/>
            <w:vAlign w:val="top"/>
          </w:tcPr>
          <w:p w14:paraId="26861C1B">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r>
      <w:tr w14:paraId="5753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noWrap w:val="0"/>
            <w:vAlign w:val="center"/>
          </w:tcPr>
          <w:p w14:paraId="11923957">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权   限</w:t>
            </w:r>
          </w:p>
        </w:tc>
        <w:tc>
          <w:tcPr>
            <w:tcW w:w="8538" w:type="dxa"/>
            <w:gridSpan w:val="4"/>
            <w:noWrap w:val="0"/>
            <w:vAlign w:val="center"/>
          </w:tcPr>
          <w:p w14:paraId="14951A38">
            <w:pPr>
              <w:tabs>
                <w:tab w:val="right" w:leader="dot" w:pos="9022"/>
              </w:tabs>
              <w:autoSpaceDE w:val="0"/>
              <w:autoSpaceDN w:val="0"/>
              <w:adjustRightInd w:val="0"/>
              <w:spacing w:line="400" w:lineRule="exact"/>
              <w:jc w:val="lef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办理本次招标采购项目的投标、联系、洽谈、签约、执行等具体事务，签署全部有关文件、文书、协议及合同。</w:t>
            </w:r>
          </w:p>
        </w:tc>
      </w:tr>
      <w:tr w14:paraId="50375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noWrap w:val="0"/>
            <w:vAlign w:val="center"/>
          </w:tcPr>
          <w:p w14:paraId="5A4D06C7">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有效期</w:t>
            </w:r>
          </w:p>
        </w:tc>
        <w:tc>
          <w:tcPr>
            <w:tcW w:w="8538" w:type="dxa"/>
            <w:gridSpan w:val="4"/>
            <w:noWrap w:val="0"/>
            <w:vAlign w:val="center"/>
          </w:tcPr>
          <w:p w14:paraId="61D46F04">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r>
              <w:rPr>
                <w:rFonts w:hint="eastAsia" w:ascii="仿宋" w:hAnsi="仿宋" w:eastAsia="仿宋" w:cs="仿宋"/>
                <w:color w:val="auto"/>
                <w:sz w:val="24"/>
                <w:szCs w:val="24"/>
                <w:highlight w:val="none"/>
              </w:rPr>
              <w:t>自提交投标文件的截止之日起90个日历日</w:t>
            </w:r>
          </w:p>
        </w:tc>
      </w:tr>
      <w:tr w14:paraId="7EBF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restart"/>
            <w:noWrap w:val="0"/>
            <w:vAlign w:val="center"/>
          </w:tcPr>
          <w:p w14:paraId="1FB188F6">
            <w:pPr>
              <w:tabs>
                <w:tab w:val="right" w:leader="dot" w:pos="9022"/>
              </w:tabs>
              <w:autoSpaceDE w:val="0"/>
              <w:autoSpaceDN w:val="0"/>
              <w:adjustRightInd w:val="0"/>
              <w:spacing w:line="500" w:lineRule="exact"/>
              <w:ind w:firstLine="240" w:firstLineChars="100"/>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企业</w:t>
            </w:r>
          </w:p>
          <w:p w14:paraId="7BDD5814">
            <w:pPr>
              <w:tabs>
                <w:tab w:val="right" w:leader="dot" w:pos="9022"/>
              </w:tabs>
              <w:autoSpaceDE w:val="0"/>
              <w:autoSpaceDN w:val="0"/>
              <w:adjustRightInd w:val="0"/>
              <w:spacing w:line="500" w:lineRule="exact"/>
              <w:ind w:firstLine="240" w:firstLineChars="100"/>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信息</w:t>
            </w:r>
          </w:p>
        </w:tc>
        <w:tc>
          <w:tcPr>
            <w:tcW w:w="2470" w:type="dxa"/>
            <w:noWrap w:val="0"/>
            <w:vAlign w:val="top"/>
          </w:tcPr>
          <w:p w14:paraId="0A3C0C2B">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 xml:space="preserve">企 业 名 称 </w:t>
            </w:r>
          </w:p>
        </w:tc>
        <w:tc>
          <w:tcPr>
            <w:tcW w:w="6068" w:type="dxa"/>
            <w:gridSpan w:val="3"/>
            <w:noWrap w:val="0"/>
            <w:vAlign w:val="top"/>
          </w:tcPr>
          <w:p w14:paraId="38D657FA">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r>
      <w:tr w14:paraId="2272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14:paraId="151D6862">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p>
        </w:tc>
        <w:tc>
          <w:tcPr>
            <w:tcW w:w="2470" w:type="dxa"/>
            <w:noWrap w:val="0"/>
            <w:vAlign w:val="top"/>
          </w:tcPr>
          <w:p w14:paraId="20AE2831">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法 定 地 址</w:t>
            </w:r>
          </w:p>
        </w:tc>
        <w:tc>
          <w:tcPr>
            <w:tcW w:w="6068" w:type="dxa"/>
            <w:gridSpan w:val="3"/>
            <w:noWrap w:val="0"/>
            <w:vAlign w:val="top"/>
          </w:tcPr>
          <w:p w14:paraId="195A5FE3">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r>
      <w:tr w14:paraId="0BCDE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14:paraId="5C1995DF">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p>
        </w:tc>
        <w:tc>
          <w:tcPr>
            <w:tcW w:w="2470" w:type="dxa"/>
            <w:noWrap w:val="0"/>
            <w:vAlign w:val="top"/>
          </w:tcPr>
          <w:p w14:paraId="4762680B">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营业执照注册证号</w:t>
            </w:r>
          </w:p>
        </w:tc>
        <w:tc>
          <w:tcPr>
            <w:tcW w:w="6068" w:type="dxa"/>
            <w:gridSpan w:val="3"/>
            <w:noWrap w:val="0"/>
            <w:vAlign w:val="top"/>
          </w:tcPr>
          <w:p w14:paraId="57581BBE">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r>
      <w:tr w14:paraId="1F60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14:paraId="3EA82F39">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p>
        </w:tc>
        <w:tc>
          <w:tcPr>
            <w:tcW w:w="2470" w:type="dxa"/>
            <w:noWrap w:val="0"/>
            <w:vAlign w:val="top"/>
          </w:tcPr>
          <w:p w14:paraId="0BAFC7E2">
            <w:pPr>
              <w:tabs>
                <w:tab w:val="right" w:leader="dot" w:pos="9022"/>
              </w:tabs>
              <w:spacing w:line="500" w:lineRule="exac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工商登记机关</w:t>
            </w:r>
          </w:p>
        </w:tc>
        <w:tc>
          <w:tcPr>
            <w:tcW w:w="6068" w:type="dxa"/>
            <w:gridSpan w:val="3"/>
            <w:noWrap w:val="0"/>
            <w:vAlign w:val="top"/>
          </w:tcPr>
          <w:p w14:paraId="06712460">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r>
      <w:tr w14:paraId="40A4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14:paraId="230ABAD7">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p>
        </w:tc>
        <w:tc>
          <w:tcPr>
            <w:tcW w:w="2470" w:type="dxa"/>
            <w:noWrap w:val="0"/>
            <w:vAlign w:val="top"/>
          </w:tcPr>
          <w:p w14:paraId="18DA9018">
            <w:pPr>
              <w:tabs>
                <w:tab w:val="right" w:leader="dot" w:pos="9022"/>
              </w:tabs>
              <w:spacing w:line="500" w:lineRule="exac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电 子 邮 箱</w:t>
            </w:r>
          </w:p>
        </w:tc>
        <w:tc>
          <w:tcPr>
            <w:tcW w:w="6068" w:type="dxa"/>
            <w:gridSpan w:val="3"/>
            <w:noWrap w:val="0"/>
            <w:vAlign w:val="top"/>
          </w:tcPr>
          <w:p w14:paraId="636EA674">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r>
      <w:tr w14:paraId="09BE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restart"/>
            <w:noWrap w:val="0"/>
            <w:vAlign w:val="center"/>
          </w:tcPr>
          <w:p w14:paraId="4888112C">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法定代</w:t>
            </w:r>
          </w:p>
          <w:p w14:paraId="245ED095">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表人</w:t>
            </w:r>
          </w:p>
        </w:tc>
        <w:tc>
          <w:tcPr>
            <w:tcW w:w="2470" w:type="dxa"/>
            <w:noWrap w:val="0"/>
            <w:vAlign w:val="top"/>
          </w:tcPr>
          <w:p w14:paraId="3C78E0D7">
            <w:pPr>
              <w:tabs>
                <w:tab w:val="right" w:leader="dot" w:pos="9022"/>
              </w:tabs>
              <w:autoSpaceDE w:val="0"/>
              <w:autoSpaceDN w:val="0"/>
              <w:adjustRightInd w:val="0"/>
              <w:spacing w:line="500" w:lineRule="exact"/>
              <w:ind w:firstLine="240" w:firstLineChars="100"/>
              <w:jc w:val="lef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姓    名</w:t>
            </w:r>
          </w:p>
        </w:tc>
        <w:tc>
          <w:tcPr>
            <w:tcW w:w="1965" w:type="dxa"/>
            <w:noWrap w:val="0"/>
            <w:vAlign w:val="top"/>
          </w:tcPr>
          <w:p w14:paraId="4C7F37B4">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c>
          <w:tcPr>
            <w:tcW w:w="1336" w:type="dxa"/>
            <w:noWrap w:val="0"/>
            <w:vAlign w:val="top"/>
          </w:tcPr>
          <w:p w14:paraId="6563A62F">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性    别</w:t>
            </w:r>
          </w:p>
        </w:tc>
        <w:tc>
          <w:tcPr>
            <w:tcW w:w="2767" w:type="dxa"/>
            <w:noWrap w:val="0"/>
            <w:vAlign w:val="top"/>
          </w:tcPr>
          <w:p w14:paraId="6122EFFD">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r>
      <w:tr w14:paraId="408D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14:paraId="0A8B8965">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p>
        </w:tc>
        <w:tc>
          <w:tcPr>
            <w:tcW w:w="2470" w:type="dxa"/>
            <w:noWrap w:val="0"/>
            <w:vAlign w:val="center"/>
          </w:tcPr>
          <w:p w14:paraId="60643FBF">
            <w:pPr>
              <w:tabs>
                <w:tab w:val="right" w:leader="dot" w:pos="9022"/>
              </w:tabs>
              <w:autoSpaceDE w:val="0"/>
              <w:autoSpaceDN w:val="0"/>
              <w:adjustRightInd w:val="0"/>
              <w:spacing w:line="500" w:lineRule="exact"/>
              <w:ind w:firstLine="240" w:firstLineChars="100"/>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身份证号</w:t>
            </w:r>
          </w:p>
        </w:tc>
        <w:tc>
          <w:tcPr>
            <w:tcW w:w="1965" w:type="dxa"/>
            <w:noWrap w:val="0"/>
            <w:vAlign w:val="center"/>
          </w:tcPr>
          <w:p w14:paraId="4599E96A">
            <w:pPr>
              <w:tabs>
                <w:tab w:val="right" w:leader="dot" w:pos="9022"/>
              </w:tabs>
              <w:autoSpaceDE w:val="0"/>
              <w:autoSpaceDN w:val="0"/>
              <w:adjustRightInd w:val="0"/>
              <w:spacing w:line="400" w:lineRule="exact"/>
              <w:jc w:val="center"/>
              <w:rPr>
                <w:rFonts w:hint="eastAsia" w:ascii="仿宋" w:hAnsi="仿宋" w:eastAsia="仿宋" w:cs="仿宋"/>
                <w:bCs/>
                <w:caps/>
                <w:color w:val="auto"/>
                <w:sz w:val="24"/>
                <w:szCs w:val="24"/>
                <w:highlight w:val="none"/>
              </w:rPr>
            </w:pPr>
          </w:p>
        </w:tc>
        <w:tc>
          <w:tcPr>
            <w:tcW w:w="1336" w:type="dxa"/>
            <w:noWrap w:val="0"/>
            <w:vAlign w:val="top"/>
          </w:tcPr>
          <w:p w14:paraId="6452EEF2">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联系电话</w:t>
            </w:r>
          </w:p>
        </w:tc>
        <w:tc>
          <w:tcPr>
            <w:tcW w:w="2767" w:type="dxa"/>
            <w:noWrap w:val="0"/>
            <w:vAlign w:val="top"/>
          </w:tcPr>
          <w:p w14:paraId="31305673">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r>
      <w:tr w14:paraId="30A9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21" w:type="dxa"/>
            <w:vMerge w:val="continue"/>
            <w:noWrap w:val="0"/>
            <w:vAlign w:val="center"/>
          </w:tcPr>
          <w:p w14:paraId="5665D014">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p>
        </w:tc>
        <w:tc>
          <w:tcPr>
            <w:tcW w:w="2470" w:type="dxa"/>
            <w:noWrap w:val="0"/>
            <w:vAlign w:val="top"/>
          </w:tcPr>
          <w:p w14:paraId="1F4B6A68">
            <w:pPr>
              <w:tabs>
                <w:tab w:val="right" w:leader="dot" w:pos="9022"/>
              </w:tabs>
              <w:autoSpaceDE w:val="0"/>
              <w:autoSpaceDN w:val="0"/>
              <w:adjustRightInd w:val="0"/>
              <w:spacing w:line="500" w:lineRule="exact"/>
              <w:ind w:firstLine="240" w:firstLineChars="100"/>
              <w:jc w:val="lef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传    真</w:t>
            </w:r>
          </w:p>
        </w:tc>
        <w:tc>
          <w:tcPr>
            <w:tcW w:w="6068" w:type="dxa"/>
            <w:gridSpan w:val="3"/>
            <w:noWrap w:val="0"/>
            <w:vAlign w:val="top"/>
          </w:tcPr>
          <w:p w14:paraId="26B60EBA">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r>
      <w:tr w14:paraId="0D169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21" w:type="dxa"/>
            <w:vMerge w:val="continue"/>
            <w:noWrap w:val="0"/>
            <w:vAlign w:val="center"/>
          </w:tcPr>
          <w:p w14:paraId="66B2367B">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p>
        </w:tc>
        <w:tc>
          <w:tcPr>
            <w:tcW w:w="2470" w:type="dxa"/>
            <w:noWrap w:val="0"/>
            <w:vAlign w:val="top"/>
          </w:tcPr>
          <w:p w14:paraId="389C8823">
            <w:pPr>
              <w:tabs>
                <w:tab w:val="right" w:leader="dot" w:pos="9022"/>
              </w:tabs>
              <w:autoSpaceDE w:val="0"/>
              <w:autoSpaceDN w:val="0"/>
              <w:adjustRightInd w:val="0"/>
              <w:spacing w:line="500" w:lineRule="exact"/>
              <w:ind w:firstLine="240" w:firstLineChars="100"/>
              <w:jc w:val="lef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通讯地址</w:t>
            </w:r>
          </w:p>
        </w:tc>
        <w:tc>
          <w:tcPr>
            <w:tcW w:w="6068" w:type="dxa"/>
            <w:gridSpan w:val="3"/>
            <w:noWrap w:val="0"/>
            <w:vAlign w:val="top"/>
          </w:tcPr>
          <w:p w14:paraId="463AEF05">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r>
      <w:tr w14:paraId="2B9C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jc w:val="center"/>
        </w:trPr>
        <w:tc>
          <w:tcPr>
            <w:tcW w:w="10159" w:type="dxa"/>
            <w:gridSpan w:val="5"/>
            <w:noWrap w:val="0"/>
            <w:vAlign w:val="top"/>
          </w:tcPr>
          <w:p w14:paraId="27F37E04">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p w14:paraId="092E060E">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法定代表人身份证</w:t>
            </w:r>
          </w:p>
          <w:p w14:paraId="16909EC7">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p>
          <w:p w14:paraId="1A81F785">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二代身份证正、反两面</w:t>
            </w:r>
          </w:p>
          <w:p w14:paraId="47E5833F">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p>
          <w:p w14:paraId="1D0AA013">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p>
          <w:p w14:paraId="15A1BA30">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p>
        </w:tc>
      </w:tr>
      <w:tr w14:paraId="538DC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159" w:type="dxa"/>
            <w:gridSpan w:val="5"/>
            <w:noWrap w:val="0"/>
            <w:vAlign w:val="top"/>
          </w:tcPr>
          <w:p w14:paraId="06B0784A">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法定代表人签字或盖章：</w:t>
            </w:r>
          </w:p>
        </w:tc>
      </w:tr>
    </w:tbl>
    <w:p w14:paraId="5014D33B">
      <w:pPr>
        <w:spacing w:line="480" w:lineRule="exact"/>
        <w:rPr>
          <w:rFonts w:hint="eastAsia" w:ascii="仿宋" w:hAnsi="仿宋" w:eastAsia="仿宋" w:cs="仿宋"/>
          <w:b/>
          <w:bCs/>
          <w:color w:val="auto"/>
          <w:szCs w:val="24"/>
          <w:highlight w:val="none"/>
        </w:rPr>
      </w:pPr>
      <w:r>
        <w:rPr>
          <w:rFonts w:hint="eastAsia" w:ascii="仿宋" w:hAnsi="仿宋" w:eastAsia="仿宋" w:cs="仿宋"/>
          <w:color w:val="auto"/>
          <w:szCs w:val="24"/>
          <w:highlight w:val="none"/>
        </w:rPr>
        <w:t>投标人名称：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（投标人单位公章）   日 期：</w:t>
      </w:r>
    </w:p>
    <w:p w14:paraId="4682477D">
      <w:pPr>
        <w:keepNext w:val="0"/>
        <w:keepLines w:val="0"/>
        <w:pageBreakBefore w:val="0"/>
        <w:widowControl w:val="0"/>
        <w:kinsoku/>
        <w:wordWrap/>
        <w:overflowPunct/>
        <w:topLinePunct w:val="0"/>
        <w:autoSpaceDE/>
        <w:autoSpaceDN/>
        <w:bidi w:val="0"/>
        <w:adjustRightInd/>
        <w:snapToGrid/>
        <w:spacing w:before="157" w:beforeLines="50" w:line="480" w:lineRule="exact"/>
        <w:ind w:left="210" w:leftChars="100"/>
        <w:jc w:val="both"/>
        <w:textAlignment w:val="auto"/>
        <w:rPr>
          <w:rFonts w:hint="eastAsia" w:ascii="仿宋" w:hAnsi="仿宋" w:eastAsia="仿宋" w:cs="仿宋"/>
          <w:b/>
          <w:bCs/>
          <w:color w:val="auto"/>
          <w:szCs w:val="24"/>
          <w:highlight w:val="none"/>
          <w:lang w:eastAsia="zh-CN"/>
        </w:rPr>
      </w:pPr>
      <w:r>
        <w:rPr>
          <w:rFonts w:hint="eastAsia" w:ascii="仿宋" w:hAnsi="仿宋" w:eastAsia="仿宋" w:cs="仿宋"/>
          <w:b/>
          <w:bCs/>
          <w:color w:val="auto"/>
          <w:szCs w:val="24"/>
          <w:highlight w:val="none"/>
          <w:lang w:eastAsia="zh-CN"/>
        </w:rPr>
        <w:t>注：法定代表人投标时提供</w:t>
      </w:r>
    </w:p>
    <w:p w14:paraId="289C1695">
      <w:pPr>
        <w:spacing w:line="480" w:lineRule="exact"/>
        <w:ind w:left="210" w:leftChars="100"/>
        <w:jc w:val="center"/>
        <w:rPr>
          <w:rFonts w:hint="eastAsia" w:ascii="仿宋" w:hAnsi="仿宋" w:eastAsia="仿宋" w:cs="仿宋"/>
          <w:b/>
          <w:bCs/>
          <w:color w:val="auto"/>
          <w:szCs w:val="24"/>
          <w:highlight w:val="none"/>
        </w:rPr>
      </w:pPr>
      <w:r>
        <w:rPr>
          <w:rFonts w:hint="eastAsia" w:ascii="仿宋" w:hAnsi="仿宋" w:eastAsia="仿宋" w:cs="仿宋"/>
          <w:b/>
          <w:bCs/>
          <w:color w:val="auto"/>
          <w:szCs w:val="24"/>
          <w:highlight w:val="none"/>
          <w:lang w:val="en-US" w:eastAsia="zh-CN"/>
        </w:rPr>
        <w:t>2.</w:t>
      </w:r>
      <w:r>
        <w:rPr>
          <w:rFonts w:hint="eastAsia" w:ascii="仿宋" w:hAnsi="仿宋" w:eastAsia="仿宋" w:cs="仿宋"/>
          <w:b/>
          <w:bCs/>
          <w:color w:val="auto"/>
          <w:szCs w:val="24"/>
          <w:highlight w:val="none"/>
        </w:rPr>
        <w:t>法定代表人授权委托书</w:t>
      </w:r>
    </w:p>
    <w:p w14:paraId="2CEC5469">
      <w:pPr>
        <w:spacing w:line="480" w:lineRule="exact"/>
        <w:ind w:left="210" w:leftChars="100"/>
        <w:jc w:val="center"/>
        <w:rPr>
          <w:rFonts w:hint="eastAsia" w:ascii="仿宋" w:hAnsi="仿宋" w:eastAsia="仿宋" w:cs="仿宋"/>
          <w:b/>
          <w:bCs/>
          <w:color w:val="auto"/>
          <w:szCs w:val="24"/>
          <w:highlight w:val="none"/>
        </w:rPr>
      </w:pPr>
    </w:p>
    <w:tbl>
      <w:tblPr>
        <w:tblStyle w:val="10"/>
        <w:tblW w:w="10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355"/>
        <w:gridCol w:w="1134"/>
        <w:gridCol w:w="708"/>
        <w:gridCol w:w="851"/>
        <w:gridCol w:w="1559"/>
        <w:gridCol w:w="2886"/>
      </w:tblGrid>
      <w:tr w14:paraId="7325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95" w:type="dxa"/>
            <w:gridSpan w:val="7"/>
            <w:noWrap w:val="0"/>
            <w:vAlign w:val="top"/>
          </w:tcPr>
          <w:p w14:paraId="1997320E">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lang w:eastAsia="zh-CN"/>
              </w:rPr>
            </w:pPr>
            <w:r>
              <w:rPr>
                <w:rFonts w:hint="eastAsia" w:ascii="仿宋" w:hAnsi="仿宋" w:eastAsia="仿宋" w:cs="仿宋"/>
                <w:bCs/>
                <w:caps/>
                <w:color w:val="auto"/>
                <w:sz w:val="24"/>
                <w:szCs w:val="24"/>
                <w:highlight w:val="none"/>
              </w:rPr>
              <w:t>致：</w:t>
            </w:r>
            <w:r>
              <w:rPr>
                <w:rFonts w:hint="eastAsia" w:ascii="仿宋" w:hAnsi="仿宋" w:eastAsia="仿宋" w:cs="仿宋"/>
                <w:bCs/>
                <w:caps/>
                <w:color w:val="auto"/>
                <w:sz w:val="24"/>
                <w:szCs w:val="24"/>
                <w:highlight w:val="none"/>
                <w:lang w:eastAsia="zh-CN"/>
              </w:rPr>
              <w:t>华春建设工程项目管理有限责任公司</w:t>
            </w:r>
          </w:p>
        </w:tc>
      </w:tr>
      <w:tr w14:paraId="31DFE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3249B5D2">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被授</w:t>
            </w:r>
          </w:p>
          <w:p w14:paraId="1546C1BA">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权项</w:t>
            </w:r>
          </w:p>
          <w:p w14:paraId="425DA9AC">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目与</w:t>
            </w:r>
          </w:p>
          <w:p w14:paraId="1EDFC1DA">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内容</w:t>
            </w:r>
          </w:p>
        </w:tc>
        <w:tc>
          <w:tcPr>
            <w:tcW w:w="1355" w:type="dxa"/>
            <w:noWrap w:val="0"/>
            <w:vAlign w:val="top"/>
          </w:tcPr>
          <w:p w14:paraId="600A87C7">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项目名称</w:t>
            </w:r>
          </w:p>
        </w:tc>
        <w:tc>
          <w:tcPr>
            <w:tcW w:w="7138" w:type="dxa"/>
            <w:gridSpan w:val="5"/>
            <w:noWrap w:val="0"/>
            <w:vAlign w:val="top"/>
          </w:tcPr>
          <w:p w14:paraId="4E7949F9">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r>
      <w:tr w14:paraId="6861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03CD88E1">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c>
          <w:tcPr>
            <w:tcW w:w="1355" w:type="dxa"/>
            <w:noWrap w:val="0"/>
            <w:vAlign w:val="top"/>
          </w:tcPr>
          <w:p w14:paraId="5A52914C">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项目编号</w:t>
            </w:r>
          </w:p>
        </w:tc>
        <w:tc>
          <w:tcPr>
            <w:tcW w:w="7138" w:type="dxa"/>
            <w:gridSpan w:val="5"/>
            <w:noWrap w:val="0"/>
            <w:vAlign w:val="top"/>
          </w:tcPr>
          <w:p w14:paraId="38CCA9C6">
            <w:pPr>
              <w:tabs>
                <w:tab w:val="right" w:leader="dot" w:pos="9022"/>
              </w:tabs>
              <w:autoSpaceDE w:val="0"/>
              <w:autoSpaceDN w:val="0"/>
              <w:adjustRightInd w:val="0"/>
              <w:spacing w:line="500" w:lineRule="exact"/>
              <w:ind w:firstLine="1200" w:firstLineChars="500"/>
              <w:jc w:val="left"/>
              <w:rPr>
                <w:rFonts w:hint="eastAsia" w:ascii="仿宋" w:hAnsi="仿宋" w:eastAsia="仿宋" w:cs="仿宋"/>
                <w:bCs/>
                <w:caps/>
                <w:color w:val="auto"/>
                <w:sz w:val="24"/>
                <w:szCs w:val="24"/>
                <w:highlight w:val="none"/>
              </w:rPr>
            </w:pPr>
          </w:p>
        </w:tc>
      </w:tr>
      <w:tr w14:paraId="7E006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35C7E817">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c>
          <w:tcPr>
            <w:tcW w:w="1355" w:type="dxa"/>
            <w:noWrap w:val="0"/>
            <w:vAlign w:val="center"/>
          </w:tcPr>
          <w:p w14:paraId="20E2B3B3">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授权范围</w:t>
            </w:r>
          </w:p>
        </w:tc>
        <w:tc>
          <w:tcPr>
            <w:tcW w:w="7138" w:type="dxa"/>
            <w:gridSpan w:val="5"/>
            <w:noWrap w:val="0"/>
            <w:vAlign w:val="top"/>
          </w:tcPr>
          <w:p w14:paraId="21ED9CE1">
            <w:pPr>
              <w:tabs>
                <w:tab w:val="right" w:leader="dot" w:pos="9022"/>
              </w:tabs>
              <w:autoSpaceDE w:val="0"/>
              <w:autoSpaceDN w:val="0"/>
              <w:adjustRightInd w:val="0"/>
              <w:spacing w:line="400" w:lineRule="exact"/>
              <w:jc w:val="lef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全权办理本次招标采购项目的投标、联系、洽谈、签约、执行等具体事务，签署全部有关文件、文书、协议及合同。</w:t>
            </w:r>
          </w:p>
        </w:tc>
      </w:tr>
      <w:tr w14:paraId="41DBB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5D9085CC">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c>
          <w:tcPr>
            <w:tcW w:w="1355" w:type="dxa"/>
            <w:noWrap w:val="0"/>
            <w:vAlign w:val="top"/>
          </w:tcPr>
          <w:p w14:paraId="2889019E">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法律责任</w:t>
            </w:r>
          </w:p>
        </w:tc>
        <w:tc>
          <w:tcPr>
            <w:tcW w:w="7138" w:type="dxa"/>
            <w:gridSpan w:val="5"/>
            <w:noWrap w:val="0"/>
            <w:vAlign w:val="top"/>
          </w:tcPr>
          <w:p w14:paraId="01D9BA0A">
            <w:pPr>
              <w:tabs>
                <w:tab w:val="right" w:leader="dot" w:pos="9022"/>
              </w:tabs>
              <w:autoSpaceDE w:val="0"/>
              <w:autoSpaceDN w:val="0"/>
              <w:adjustRightInd w:val="0"/>
              <w:spacing w:line="400" w:lineRule="exact"/>
              <w:jc w:val="lef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本公司对被授权人在本项目中的签名承担全部法律责任。</w:t>
            </w:r>
          </w:p>
        </w:tc>
      </w:tr>
      <w:tr w14:paraId="1A4D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1DD884F4">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c>
          <w:tcPr>
            <w:tcW w:w="1355" w:type="dxa"/>
            <w:noWrap w:val="0"/>
            <w:vAlign w:val="center"/>
          </w:tcPr>
          <w:p w14:paraId="4A974DAB">
            <w:pPr>
              <w:tabs>
                <w:tab w:val="right" w:leader="dot" w:pos="9022"/>
              </w:tabs>
              <w:autoSpaceDE w:val="0"/>
              <w:autoSpaceDN w:val="0"/>
              <w:adjustRightInd w:val="0"/>
              <w:spacing w:line="500" w:lineRule="exac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授权期限</w:t>
            </w:r>
          </w:p>
        </w:tc>
        <w:tc>
          <w:tcPr>
            <w:tcW w:w="7138" w:type="dxa"/>
            <w:gridSpan w:val="5"/>
            <w:noWrap w:val="0"/>
            <w:vAlign w:val="center"/>
          </w:tcPr>
          <w:p w14:paraId="38E531E8">
            <w:pPr>
              <w:tabs>
                <w:tab w:val="right" w:leader="dot" w:pos="9022"/>
              </w:tabs>
              <w:autoSpaceDE w:val="0"/>
              <w:autoSpaceDN w:val="0"/>
              <w:adjustRightInd w:val="0"/>
              <w:spacing w:line="400" w:lineRule="exac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本授权书</w:t>
            </w:r>
            <w:r>
              <w:rPr>
                <w:rFonts w:hint="eastAsia" w:ascii="仿宋" w:hAnsi="仿宋" w:eastAsia="仿宋" w:cs="仿宋"/>
                <w:color w:val="auto"/>
                <w:sz w:val="24"/>
                <w:szCs w:val="24"/>
                <w:highlight w:val="none"/>
              </w:rPr>
              <w:t>自提交投标文件的截止之日起90个日历日</w:t>
            </w:r>
          </w:p>
        </w:tc>
      </w:tr>
      <w:tr w14:paraId="69C4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6FC9706D">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企业信息</w:t>
            </w:r>
          </w:p>
        </w:tc>
        <w:tc>
          <w:tcPr>
            <w:tcW w:w="2489" w:type="dxa"/>
            <w:gridSpan w:val="2"/>
            <w:noWrap w:val="0"/>
            <w:vAlign w:val="top"/>
          </w:tcPr>
          <w:p w14:paraId="2A1048D0">
            <w:pPr>
              <w:tabs>
                <w:tab w:val="right" w:leader="dot" w:pos="9022"/>
              </w:tabs>
              <w:autoSpaceDE w:val="0"/>
              <w:autoSpaceDN w:val="0"/>
              <w:adjustRightInd w:val="0"/>
              <w:spacing w:line="400" w:lineRule="exac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 xml:space="preserve">企 业 名 称 </w:t>
            </w:r>
          </w:p>
        </w:tc>
        <w:tc>
          <w:tcPr>
            <w:tcW w:w="6004" w:type="dxa"/>
            <w:gridSpan w:val="4"/>
            <w:noWrap w:val="0"/>
            <w:vAlign w:val="center"/>
          </w:tcPr>
          <w:p w14:paraId="1AA544BA">
            <w:pPr>
              <w:tabs>
                <w:tab w:val="right" w:leader="dot" w:pos="9022"/>
              </w:tabs>
              <w:autoSpaceDE w:val="0"/>
              <w:autoSpaceDN w:val="0"/>
              <w:adjustRightInd w:val="0"/>
              <w:spacing w:line="400" w:lineRule="exact"/>
              <w:rPr>
                <w:rFonts w:hint="eastAsia" w:ascii="仿宋" w:hAnsi="仿宋" w:eastAsia="仿宋" w:cs="仿宋"/>
                <w:bCs/>
                <w:caps/>
                <w:color w:val="auto"/>
                <w:sz w:val="24"/>
                <w:szCs w:val="24"/>
                <w:highlight w:val="none"/>
              </w:rPr>
            </w:pPr>
          </w:p>
        </w:tc>
      </w:tr>
      <w:tr w14:paraId="3F5E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2CFA8F30">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c>
          <w:tcPr>
            <w:tcW w:w="2489" w:type="dxa"/>
            <w:gridSpan w:val="2"/>
            <w:noWrap w:val="0"/>
            <w:vAlign w:val="top"/>
          </w:tcPr>
          <w:p w14:paraId="32C53420">
            <w:pPr>
              <w:tabs>
                <w:tab w:val="right" w:leader="dot" w:pos="9022"/>
              </w:tabs>
              <w:autoSpaceDE w:val="0"/>
              <w:autoSpaceDN w:val="0"/>
              <w:adjustRightInd w:val="0"/>
              <w:spacing w:line="400" w:lineRule="exac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法 定 地 址</w:t>
            </w:r>
          </w:p>
        </w:tc>
        <w:tc>
          <w:tcPr>
            <w:tcW w:w="6004" w:type="dxa"/>
            <w:gridSpan w:val="4"/>
            <w:noWrap w:val="0"/>
            <w:vAlign w:val="center"/>
          </w:tcPr>
          <w:p w14:paraId="4C03D0D2">
            <w:pPr>
              <w:tabs>
                <w:tab w:val="right" w:leader="dot" w:pos="9022"/>
              </w:tabs>
              <w:autoSpaceDE w:val="0"/>
              <w:autoSpaceDN w:val="0"/>
              <w:adjustRightInd w:val="0"/>
              <w:spacing w:line="400" w:lineRule="exact"/>
              <w:rPr>
                <w:rFonts w:hint="eastAsia" w:ascii="仿宋" w:hAnsi="仿宋" w:eastAsia="仿宋" w:cs="仿宋"/>
                <w:bCs/>
                <w:caps/>
                <w:color w:val="auto"/>
                <w:sz w:val="24"/>
                <w:szCs w:val="24"/>
                <w:highlight w:val="none"/>
              </w:rPr>
            </w:pPr>
          </w:p>
        </w:tc>
      </w:tr>
      <w:tr w14:paraId="3E99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1234256A">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c>
          <w:tcPr>
            <w:tcW w:w="2489" w:type="dxa"/>
            <w:gridSpan w:val="2"/>
            <w:noWrap w:val="0"/>
            <w:vAlign w:val="top"/>
          </w:tcPr>
          <w:p w14:paraId="6B3D28D4">
            <w:pPr>
              <w:tabs>
                <w:tab w:val="right" w:leader="dot" w:pos="9022"/>
              </w:tabs>
              <w:autoSpaceDE w:val="0"/>
              <w:autoSpaceDN w:val="0"/>
              <w:adjustRightInd w:val="0"/>
              <w:spacing w:line="400" w:lineRule="exac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营业执照注册证号</w:t>
            </w:r>
          </w:p>
        </w:tc>
        <w:tc>
          <w:tcPr>
            <w:tcW w:w="6004" w:type="dxa"/>
            <w:gridSpan w:val="4"/>
            <w:noWrap w:val="0"/>
            <w:vAlign w:val="center"/>
          </w:tcPr>
          <w:p w14:paraId="5FB51B92">
            <w:pPr>
              <w:tabs>
                <w:tab w:val="right" w:leader="dot" w:pos="9022"/>
              </w:tabs>
              <w:autoSpaceDE w:val="0"/>
              <w:autoSpaceDN w:val="0"/>
              <w:adjustRightInd w:val="0"/>
              <w:spacing w:line="400" w:lineRule="exact"/>
              <w:rPr>
                <w:rFonts w:hint="eastAsia" w:ascii="仿宋" w:hAnsi="仿宋" w:eastAsia="仿宋" w:cs="仿宋"/>
                <w:bCs/>
                <w:caps/>
                <w:color w:val="auto"/>
                <w:sz w:val="24"/>
                <w:szCs w:val="24"/>
                <w:highlight w:val="none"/>
              </w:rPr>
            </w:pPr>
          </w:p>
        </w:tc>
      </w:tr>
      <w:tr w14:paraId="7F72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261DEF43">
            <w:pPr>
              <w:tabs>
                <w:tab w:val="right" w:leader="dot" w:pos="9022"/>
              </w:tabs>
              <w:autoSpaceDE w:val="0"/>
              <w:autoSpaceDN w:val="0"/>
              <w:adjustRightInd w:val="0"/>
              <w:spacing w:line="500" w:lineRule="exac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法定代表人</w:t>
            </w:r>
          </w:p>
        </w:tc>
        <w:tc>
          <w:tcPr>
            <w:tcW w:w="1355" w:type="dxa"/>
            <w:noWrap w:val="0"/>
            <w:vAlign w:val="center"/>
          </w:tcPr>
          <w:p w14:paraId="192E7BE8">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姓    名</w:t>
            </w:r>
          </w:p>
        </w:tc>
        <w:tc>
          <w:tcPr>
            <w:tcW w:w="2693" w:type="dxa"/>
            <w:gridSpan w:val="3"/>
            <w:noWrap w:val="0"/>
            <w:vAlign w:val="center"/>
          </w:tcPr>
          <w:p w14:paraId="15C173BE">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p>
        </w:tc>
        <w:tc>
          <w:tcPr>
            <w:tcW w:w="1559" w:type="dxa"/>
            <w:noWrap w:val="0"/>
            <w:vAlign w:val="center"/>
          </w:tcPr>
          <w:p w14:paraId="4A1A1994">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性    别</w:t>
            </w:r>
          </w:p>
        </w:tc>
        <w:tc>
          <w:tcPr>
            <w:tcW w:w="2886" w:type="dxa"/>
            <w:noWrap w:val="0"/>
            <w:vAlign w:val="center"/>
          </w:tcPr>
          <w:p w14:paraId="45AF828D">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p>
        </w:tc>
      </w:tr>
      <w:tr w14:paraId="26A6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780457CB">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c>
          <w:tcPr>
            <w:tcW w:w="1355" w:type="dxa"/>
            <w:noWrap w:val="0"/>
            <w:vAlign w:val="center"/>
          </w:tcPr>
          <w:p w14:paraId="209418FF">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身份证号</w:t>
            </w:r>
          </w:p>
        </w:tc>
        <w:tc>
          <w:tcPr>
            <w:tcW w:w="2693" w:type="dxa"/>
            <w:gridSpan w:val="3"/>
            <w:noWrap w:val="0"/>
            <w:vAlign w:val="center"/>
          </w:tcPr>
          <w:p w14:paraId="11E2218A">
            <w:pPr>
              <w:tabs>
                <w:tab w:val="right" w:leader="dot" w:pos="9022"/>
              </w:tabs>
              <w:autoSpaceDE w:val="0"/>
              <w:autoSpaceDN w:val="0"/>
              <w:adjustRightInd w:val="0"/>
              <w:spacing w:line="400" w:lineRule="exact"/>
              <w:jc w:val="center"/>
              <w:rPr>
                <w:rFonts w:hint="eastAsia" w:ascii="仿宋" w:hAnsi="仿宋" w:eastAsia="仿宋" w:cs="仿宋"/>
                <w:bCs/>
                <w:caps/>
                <w:color w:val="auto"/>
                <w:sz w:val="24"/>
                <w:szCs w:val="24"/>
                <w:highlight w:val="none"/>
              </w:rPr>
            </w:pPr>
          </w:p>
        </w:tc>
        <w:tc>
          <w:tcPr>
            <w:tcW w:w="1559" w:type="dxa"/>
            <w:noWrap w:val="0"/>
            <w:vAlign w:val="center"/>
          </w:tcPr>
          <w:p w14:paraId="7044811F">
            <w:pPr>
              <w:tabs>
                <w:tab w:val="right" w:leader="dot" w:pos="9022"/>
              </w:tabs>
              <w:autoSpaceDE w:val="0"/>
              <w:autoSpaceDN w:val="0"/>
              <w:adjustRightInd w:val="0"/>
              <w:spacing w:line="4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手机号码</w:t>
            </w:r>
          </w:p>
        </w:tc>
        <w:tc>
          <w:tcPr>
            <w:tcW w:w="2886" w:type="dxa"/>
            <w:noWrap w:val="0"/>
            <w:vAlign w:val="center"/>
          </w:tcPr>
          <w:p w14:paraId="5EFD0C85">
            <w:pPr>
              <w:tabs>
                <w:tab w:val="right" w:leader="dot" w:pos="9022"/>
              </w:tabs>
              <w:autoSpaceDE w:val="0"/>
              <w:autoSpaceDN w:val="0"/>
              <w:adjustRightInd w:val="0"/>
              <w:spacing w:line="400" w:lineRule="exact"/>
              <w:rPr>
                <w:rFonts w:hint="eastAsia" w:ascii="仿宋" w:hAnsi="仿宋" w:eastAsia="仿宋" w:cs="仿宋"/>
                <w:bCs/>
                <w:caps/>
                <w:color w:val="auto"/>
                <w:sz w:val="24"/>
                <w:szCs w:val="24"/>
                <w:highlight w:val="none"/>
              </w:rPr>
            </w:pPr>
          </w:p>
        </w:tc>
      </w:tr>
      <w:tr w14:paraId="1185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17D5CE4C">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被授权人</w:t>
            </w:r>
          </w:p>
        </w:tc>
        <w:tc>
          <w:tcPr>
            <w:tcW w:w="1355" w:type="dxa"/>
            <w:noWrap w:val="0"/>
            <w:vAlign w:val="center"/>
          </w:tcPr>
          <w:p w14:paraId="025D37B4">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姓    名</w:t>
            </w:r>
          </w:p>
        </w:tc>
        <w:tc>
          <w:tcPr>
            <w:tcW w:w="2693" w:type="dxa"/>
            <w:gridSpan w:val="3"/>
            <w:noWrap w:val="0"/>
            <w:vAlign w:val="center"/>
          </w:tcPr>
          <w:p w14:paraId="573014BB">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p>
        </w:tc>
        <w:tc>
          <w:tcPr>
            <w:tcW w:w="1559" w:type="dxa"/>
            <w:noWrap w:val="0"/>
            <w:vAlign w:val="center"/>
          </w:tcPr>
          <w:p w14:paraId="3B14A4A5">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性    别</w:t>
            </w:r>
          </w:p>
        </w:tc>
        <w:tc>
          <w:tcPr>
            <w:tcW w:w="2886" w:type="dxa"/>
            <w:noWrap w:val="0"/>
            <w:vAlign w:val="center"/>
          </w:tcPr>
          <w:p w14:paraId="3560A97B">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p>
        </w:tc>
      </w:tr>
      <w:tr w14:paraId="7D7E6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49C88510">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c>
          <w:tcPr>
            <w:tcW w:w="1355" w:type="dxa"/>
            <w:noWrap w:val="0"/>
            <w:vAlign w:val="center"/>
          </w:tcPr>
          <w:p w14:paraId="7CDEC422">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身份证号</w:t>
            </w:r>
          </w:p>
        </w:tc>
        <w:tc>
          <w:tcPr>
            <w:tcW w:w="2693" w:type="dxa"/>
            <w:gridSpan w:val="3"/>
            <w:noWrap w:val="0"/>
            <w:vAlign w:val="center"/>
          </w:tcPr>
          <w:p w14:paraId="6E9C31CF">
            <w:pPr>
              <w:tabs>
                <w:tab w:val="right" w:leader="dot" w:pos="9022"/>
              </w:tabs>
              <w:autoSpaceDE w:val="0"/>
              <w:autoSpaceDN w:val="0"/>
              <w:adjustRightInd w:val="0"/>
              <w:spacing w:line="400" w:lineRule="exact"/>
              <w:jc w:val="center"/>
              <w:rPr>
                <w:rFonts w:hint="eastAsia" w:ascii="仿宋" w:hAnsi="仿宋" w:eastAsia="仿宋" w:cs="仿宋"/>
                <w:bCs/>
                <w:caps/>
                <w:color w:val="auto"/>
                <w:sz w:val="24"/>
                <w:szCs w:val="24"/>
                <w:highlight w:val="none"/>
              </w:rPr>
            </w:pPr>
          </w:p>
        </w:tc>
        <w:tc>
          <w:tcPr>
            <w:tcW w:w="1559" w:type="dxa"/>
            <w:noWrap w:val="0"/>
            <w:vAlign w:val="center"/>
          </w:tcPr>
          <w:p w14:paraId="476B7E08">
            <w:pPr>
              <w:tabs>
                <w:tab w:val="right" w:leader="dot" w:pos="9022"/>
              </w:tabs>
              <w:autoSpaceDE w:val="0"/>
              <w:autoSpaceDN w:val="0"/>
              <w:adjustRightInd w:val="0"/>
              <w:spacing w:line="4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手机号码</w:t>
            </w:r>
          </w:p>
        </w:tc>
        <w:tc>
          <w:tcPr>
            <w:tcW w:w="2886" w:type="dxa"/>
            <w:noWrap w:val="0"/>
            <w:vAlign w:val="top"/>
          </w:tcPr>
          <w:p w14:paraId="07DA5C42">
            <w:pPr>
              <w:tabs>
                <w:tab w:val="right" w:leader="dot" w:pos="9022"/>
              </w:tabs>
              <w:autoSpaceDE w:val="0"/>
              <w:autoSpaceDN w:val="0"/>
              <w:adjustRightInd w:val="0"/>
              <w:spacing w:line="400" w:lineRule="exact"/>
              <w:rPr>
                <w:rFonts w:hint="eastAsia" w:ascii="仿宋" w:hAnsi="仿宋" w:eastAsia="仿宋" w:cs="仿宋"/>
                <w:bCs/>
                <w:caps/>
                <w:color w:val="auto"/>
                <w:sz w:val="24"/>
                <w:szCs w:val="24"/>
                <w:highlight w:val="none"/>
              </w:rPr>
            </w:pPr>
          </w:p>
        </w:tc>
      </w:tr>
      <w:tr w14:paraId="7CA33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noWrap w:val="0"/>
            <w:vAlign w:val="top"/>
          </w:tcPr>
          <w:p w14:paraId="4EF50C90">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通讯地址</w:t>
            </w:r>
          </w:p>
        </w:tc>
        <w:tc>
          <w:tcPr>
            <w:tcW w:w="4048" w:type="dxa"/>
            <w:gridSpan w:val="4"/>
            <w:noWrap w:val="0"/>
            <w:vAlign w:val="top"/>
          </w:tcPr>
          <w:p w14:paraId="5812BD60">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c>
          <w:tcPr>
            <w:tcW w:w="1559" w:type="dxa"/>
            <w:noWrap w:val="0"/>
            <w:vAlign w:val="center"/>
          </w:tcPr>
          <w:p w14:paraId="30889C8D">
            <w:pPr>
              <w:tabs>
                <w:tab w:val="right" w:leader="dot" w:pos="9022"/>
              </w:tabs>
              <w:autoSpaceDE w:val="0"/>
              <w:autoSpaceDN w:val="0"/>
              <w:adjustRightInd w:val="0"/>
              <w:spacing w:line="4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电子邮箱</w:t>
            </w:r>
          </w:p>
        </w:tc>
        <w:tc>
          <w:tcPr>
            <w:tcW w:w="2886" w:type="dxa"/>
            <w:noWrap w:val="0"/>
            <w:vAlign w:val="top"/>
          </w:tcPr>
          <w:p w14:paraId="7D5EC62C">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r>
      <w:tr w14:paraId="1A95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6" w:hRule="atLeast"/>
          <w:jc w:val="center"/>
        </w:trPr>
        <w:tc>
          <w:tcPr>
            <w:tcW w:w="4899" w:type="dxa"/>
            <w:gridSpan w:val="4"/>
            <w:noWrap w:val="0"/>
            <w:vAlign w:val="center"/>
          </w:tcPr>
          <w:p w14:paraId="3A40DE7F">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法定代表人身份证</w:t>
            </w:r>
          </w:p>
          <w:p w14:paraId="4B59B63D">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p w14:paraId="5A7AA00D">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二代身份证正、反两面</w:t>
            </w:r>
          </w:p>
          <w:p w14:paraId="320E84C3">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c>
          <w:tcPr>
            <w:tcW w:w="5296" w:type="dxa"/>
            <w:gridSpan w:val="3"/>
            <w:noWrap w:val="0"/>
            <w:vAlign w:val="center"/>
          </w:tcPr>
          <w:p w14:paraId="46B54792">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被授权人身份证</w:t>
            </w:r>
          </w:p>
          <w:p w14:paraId="14595A64">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p w14:paraId="02AD27C0">
            <w:pPr>
              <w:tabs>
                <w:tab w:val="right" w:leader="dot" w:pos="9022"/>
              </w:tabs>
              <w:autoSpaceDE w:val="0"/>
              <w:autoSpaceDN w:val="0"/>
              <w:adjustRightInd w:val="0"/>
              <w:spacing w:line="500" w:lineRule="exact"/>
              <w:jc w:val="center"/>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二代身份证正、反两面</w:t>
            </w:r>
          </w:p>
          <w:p w14:paraId="7E8BEA62">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p>
        </w:tc>
      </w:tr>
      <w:tr w14:paraId="75DF8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899" w:type="dxa"/>
            <w:gridSpan w:val="4"/>
            <w:tcBorders>
              <w:bottom w:val="single" w:color="auto" w:sz="4" w:space="0"/>
            </w:tcBorders>
            <w:noWrap w:val="0"/>
            <w:vAlign w:val="center"/>
          </w:tcPr>
          <w:p w14:paraId="54F676AD">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法定代表人签字或盖章：</w:t>
            </w:r>
          </w:p>
        </w:tc>
        <w:tc>
          <w:tcPr>
            <w:tcW w:w="5296" w:type="dxa"/>
            <w:gridSpan w:val="3"/>
            <w:tcBorders>
              <w:bottom w:val="single" w:color="auto" w:sz="4" w:space="0"/>
            </w:tcBorders>
            <w:noWrap w:val="0"/>
            <w:vAlign w:val="center"/>
          </w:tcPr>
          <w:p w14:paraId="3AD7DC1C">
            <w:pPr>
              <w:tabs>
                <w:tab w:val="right" w:leader="dot" w:pos="9022"/>
              </w:tabs>
              <w:autoSpaceDE w:val="0"/>
              <w:autoSpaceDN w:val="0"/>
              <w:adjustRightInd w:val="0"/>
              <w:spacing w:line="500" w:lineRule="exact"/>
              <w:jc w:val="left"/>
              <w:rPr>
                <w:rFonts w:hint="eastAsia" w:ascii="仿宋" w:hAnsi="仿宋" w:eastAsia="仿宋" w:cs="仿宋"/>
                <w:bCs/>
                <w:caps/>
                <w:color w:val="auto"/>
                <w:sz w:val="24"/>
                <w:szCs w:val="24"/>
                <w:highlight w:val="none"/>
              </w:rPr>
            </w:pPr>
            <w:r>
              <w:rPr>
                <w:rFonts w:hint="eastAsia" w:ascii="仿宋" w:hAnsi="仿宋" w:eastAsia="仿宋" w:cs="仿宋"/>
                <w:bCs/>
                <w:caps/>
                <w:color w:val="auto"/>
                <w:sz w:val="24"/>
                <w:szCs w:val="24"/>
                <w:highlight w:val="none"/>
              </w:rPr>
              <w:t>被授权人签字或盖章：</w:t>
            </w:r>
          </w:p>
        </w:tc>
      </w:tr>
      <w:bookmarkEnd w:id="52"/>
      <w:bookmarkEnd w:id="53"/>
      <w:bookmarkEnd w:id="54"/>
      <w:bookmarkEnd w:id="55"/>
      <w:bookmarkEnd w:id="56"/>
      <w:bookmarkEnd w:id="57"/>
      <w:bookmarkEnd w:id="58"/>
      <w:bookmarkEnd w:id="59"/>
      <w:bookmarkEnd w:id="60"/>
      <w:bookmarkEnd w:id="61"/>
    </w:tbl>
    <w:p w14:paraId="6CC921F4">
      <w:pPr>
        <w:autoSpaceDE w:val="0"/>
        <w:autoSpaceDN w:val="0"/>
        <w:adjustRightInd w:val="0"/>
        <w:snapToGrid w:val="0"/>
        <w:spacing w:line="480" w:lineRule="exact"/>
        <w:rPr>
          <w:rFonts w:hint="eastAsia" w:ascii="仿宋" w:hAnsi="仿宋" w:eastAsia="仿宋" w:cs="仿宋"/>
          <w:bCs/>
          <w:caps/>
          <w:color w:val="auto"/>
          <w:szCs w:val="24"/>
          <w:highlight w:val="none"/>
        </w:rPr>
      </w:pPr>
      <w:r>
        <w:rPr>
          <w:rFonts w:hint="eastAsia" w:ascii="仿宋" w:hAnsi="仿宋" w:eastAsia="仿宋" w:cs="仿宋"/>
          <w:bCs/>
          <w:caps/>
          <w:color w:val="auto"/>
          <w:szCs w:val="24"/>
          <w:highlight w:val="none"/>
        </w:rPr>
        <w:t>投标人名称：</w:t>
      </w:r>
      <w:r>
        <w:rPr>
          <w:rFonts w:hint="eastAsia" w:ascii="仿宋" w:hAnsi="仿宋" w:eastAsia="仿宋" w:cs="仿宋"/>
          <w:bCs/>
          <w:caps/>
          <w:color w:val="auto"/>
          <w:szCs w:val="24"/>
          <w:highlight w:val="none"/>
          <w:u w:val="single"/>
        </w:rPr>
        <w:t xml:space="preserve">             </w:t>
      </w:r>
      <w:r>
        <w:rPr>
          <w:rFonts w:hint="eastAsia" w:ascii="仿宋" w:hAnsi="仿宋" w:eastAsia="仿宋" w:cs="仿宋"/>
          <w:bCs/>
          <w:caps/>
          <w:color w:val="auto"/>
          <w:szCs w:val="24"/>
          <w:highlight w:val="none"/>
        </w:rPr>
        <w:t xml:space="preserve">（投标人单位公章）     日 期：  </w:t>
      </w:r>
    </w:p>
    <w:p w14:paraId="1F56D589">
      <w:pPr>
        <w:rPr>
          <w:rFonts w:hint="eastAsia" w:ascii="仿宋" w:hAnsi="仿宋" w:eastAsia="仿宋" w:cs="仿宋"/>
          <w:color w:val="auto"/>
          <w:highlight w:val="none"/>
        </w:rPr>
      </w:pPr>
      <w:r>
        <w:rPr>
          <w:rFonts w:hint="eastAsia" w:ascii="仿宋" w:hAnsi="仿宋" w:eastAsia="仿宋" w:cs="仿宋"/>
          <w:b/>
          <w:color w:val="auto"/>
          <w:sz w:val="24"/>
          <w:szCs w:val="24"/>
          <w:highlight w:val="none"/>
          <w:lang w:eastAsia="zh-CN"/>
        </w:rPr>
        <w:t>注：被</w:t>
      </w:r>
      <w:r>
        <w:rPr>
          <w:rFonts w:hint="eastAsia" w:ascii="仿宋" w:hAnsi="仿宋" w:eastAsia="仿宋" w:cs="仿宋"/>
          <w:b/>
          <w:bCs/>
          <w:color w:val="auto"/>
          <w:sz w:val="24"/>
          <w:szCs w:val="24"/>
          <w:highlight w:val="none"/>
        </w:rPr>
        <w:t>授权</w:t>
      </w:r>
      <w:r>
        <w:rPr>
          <w:rFonts w:hint="eastAsia" w:ascii="仿宋" w:hAnsi="仿宋" w:eastAsia="仿宋" w:cs="仿宋"/>
          <w:b/>
          <w:color w:val="auto"/>
          <w:sz w:val="24"/>
          <w:szCs w:val="24"/>
          <w:highlight w:val="none"/>
          <w:lang w:eastAsia="zh-CN"/>
        </w:rPr>
        <w:t>人投标时提供</w:t>
      </w:r>
    </w:p>
    <w:p w14:paraId="5E41E7AF">
      <w:pPr>
        <w:rPr>
          <w:rFonts w:hint="eastAsia" w:ascii="仿宋" w:hAnsi="仿宋" w:eastAsia="仿宋" w:cs="仿宋"/>
        </w:rPr>
      </w:pPr>
    </w:p>
    <w:p w14:paraId="572C0C19">
      <w:pPr>
        <w:pStyle w:val="2"/>
        <w:shd w:val="clear" w:color="auto" w:fill="auto"/>
        <w:spacing w:line="500" w:lineRule="exact"/>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承诺书（格式）</w:t>
      </w:r>
    </w:p>
    <w:p w14:paraId="07981FFD">
      <w:pPr>
        <w:shd w:val="clear" w:color="auto" w:fil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p>
    <w:p w14:paraId="78DE08D9">
      <w:pPr>
        <w:pStyle w:val="5"/>
        <w:keepNext w:val="0"/>
        <w:keepLines w:val="0"/>
        <w:pageBreakBefore w:val="0"/>
        <w:widowControl w:val="0"/>
        <w:shd w:val="clear" w:color="auto" w:fill="auto"/>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4"/>
          <w:szCs w:val="24"/>
          <w:highlight w:val="none"/>
          <w:lang w:eastAsia="zh-CN"/>
        </w:rPr>
      </w:pPr>
    </w:p>
    <w:p w14:paraId="2C27E22C">
      <w:pPr>
        <w:pStyle w:val="5"/>
        <w:keepNext w:val="0"/>
        <w:keepLines w:val="0"/>
        <w:pageBreakBefore w:val="0"/>
        <w:widowControl w:val="0"/>
        <w:shd w:val="clear" w:color="auto" w:fill="auto"/>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4"/>
          <w:szCs w:val="24"/>
          <w:highlight w:val="none"/>
          <w:u w:val="single"/>
          <w:lang w:val="en-US" w:eastAsia="zh-CN"/>
        </w:rPr>
      </w:pPr>
      <w:r>
        <w:rPr>
          <w:rFonts w:hint="eastAsia" w:ascii="仿宋" w:hAnsi="仿宋" w:eastAsia="仿宋" w:cs="仿宋"/>
          <w:b/>
          <w:bCs/>
          <w:sz w:val="24"/>
          <w:szCs w:val="24"/>
          <w:highlight w:val="none"/>
          <w:lang w:eastAsia="zh-CN"/>
        </w:rPr>
        <w:t>致：</w:t>
      </w:r>
      <w:r>
        <w:rPr>
          <w:rFonts w:hint="eastAsia" w:ascii="仿宋" w:hAnsi="仿宋" w:eastAsia="仿宋" w:cs="仿宋"/>
          <w:b/>
          <w:bCs/>
          <w:sz w:val="24"/>
          <w:szCs w:val="24"/>
          <w:highlight w:val="none"/>
          <w:u w:val="single"/>
          <w:lang w:val="en-US" w:eastAsia="zh-CN"/>
        </w:rPr>
        <w:t xml:space="preserve">   采购人和代理机构  </w:t>
      </w:r>
    </w:p>
    <w:p w14:paraId="70B764D5">
      <w:pPr>
        <w:pStyle w:val="14"/>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sz w:val="24"/>
          <w:szCs w:val="24"/>
          <w:highlight w:val="none"/>
          <w:lang w:val="en-US" w:eastAsia="zh-CN"/>
        </w:rPr>
      </w:pPr>
    </w:p>
    <w:p w14:paraId="6C1AEBDD">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val="0"/>
        <w:spacing w:line="360" w:lineRule="auto"/>
        <w:ind w:firstLine="480" w:firstLineChars="200"/>
        <w:jc w:val="both"/>
        <w:textAlignment w:val="auto"/>
        <w:rPr>
          <w:rFonts w:hint="eastAsia" w:ascii="仿宋" w:hAnsi="仿宋" w:eastAsia="仿宋" w:cs="仿宋"/>
          <w:b w:val="0"/>
          <w:bCs w:val="0"/>
          <w:sz w:val="24"/>
          <w:szCs w:val="24"/>
          <w:highlight w:val="none"/>
          <w:u w:val="none"/>
          <w:lang w:val="en-US" w:eastAsia="zh-CN"/>
        </w:rPr>
      </w:pPr>
      <w:r>
        <w:rPr>
          <w:rFonts w:hint="eastAsia" w:ascii="仿宋" w:hAnsi="仿宋" w:eastAsia="仿宋" w:cs="仿宋"/>
          <w:b w:val="0"/>
          <w:bCs w:val="0"/>
          <w:sz w:val="24"/>
          <w:szCs w:val="24"/>
          <w:highlight w:val="none"/>
          <w:u w:val="none"/>
          <w:lang w:val="en-US" w:eastAsia="zh-CN"/>
        </w:rPr>
        <w:t>我单位自愿参加</w:t>
      </w:r>
      <w:r>
        <w:rPr>
          <w:rFonts w:hint="eastAsia" w:ascii="仿宋" w:hAnsi="仿宋" w:eastAsia="仿宋" w:cs="仿宋"/>
          <w:b w:val="0"/>
          <w:bCs w:val="0"/>
          <w:sz w:val="24"/>
          <w:szCs w:val="24"/>
          <w:highlight w:val="none"/>
          <w:u w:val="single"/>
          <w:lang w:val="en-US" w:eastAsia="zh-CN"/>
        </w:rPr>
        <w:t xml:space="preserve">      </w:t>
      </w:r>
      <w:r>
        <w:rPr>
          <w:rFonts w:hint="eastAsia" w:ascii="仿宋" w:hAnsi="仿宋" w:eastAsia="仿宋" w:cs="仿宋"/>
          <w:b/>
          <w:bCs/>
          <w:sz w:val="24"/>
          <w:szCs w:val="24"/>
          <w:highlight w:val="none"/>
          <w:u w:val="single"/>
          <w:lang w:val="en-US" w:eastAsia="zh-CN"/>
        </w:rPr>
        <w:t xml:space="preserve">项目名称、项目编号     </w:t>
      </w:r>
      <w:r>
        <w:rPr>
          <w:rFonts w:hint="eastAsia" w:ascii="仿宋" w:hAnsi="仿宋" w:eastAsia="仿宋" w:cs="仿宋"/>
          <w:b w:val="0"/>
          <w:bCs w:val="0"/>
          <w:sz w:val="24"/>
          <w:szCs w:val="24"/>
          <w:highlight w:val="none"/>
          <w:u w:val="none"/>
          <w:lang w:val="en-US" w:eastAsia="zh-CN"/>
        </w:rPr>
        <w:t>的采购活动，作为参加本次采购活动的投标人，现承诺，本项目</w:t>
      </w:r>
      <w:r>
        <w:rPr>
          <w:rFonts w:hint="eastAsia" w:ascii="仿宋" w:hAnsi="仿宋" w:eastAsia="仿宋" w:cs="仿宋"/>
          <w:bCs/>
          <w:caps/>
          <w:sz w:val="24"/>
          <w:szCs w:val="24"/>
          <w:highlight w:val="none"/>
        </w:rPr>
        <w:t>被授权人</w:t>
      </w:r>
      <w:r>
        <w:rPr>
          <w:rFonts w:hint="eastAsia" w:ascii="仿宋" w:hAnsi="仿宋" w:eastAsia="仿宋" w:cs="仿宋"/>
          <w:bCs/>
          <w:caps/>
          <w:sz w:val="24"/>
          <w:szCs w:val="24"/>
          <w:highlight w:val="none"/>
          <w:lang w:eastAsia="zh-CN"/>
        </w:rPr>
        <w:t>为我公司员工，依法在我公司缴纳</w:t>
      </w:r>
      <w:r>
        <w:rPr>
          <w:rFonts w:hint="eastAsia" w:ascii="仿宋" w:hAnsi="仿宋" w:eastAsia="仿宋" w:cs="仿宋"/>
          <w:sz w:val="24"/>
          <w:szCs w:val="24"/>
          <w:highlight w:val="none"/>
        </w:rPr>
        <w:t>社会保障资金</w:t>
      </w:r>
      <w:r>
        <w:rPr>
          <w:rFonts w:hint="eastAsia" w:ascii="仿宋" w:hAnsi="仿宋" w:eastAsia="仿宋" w:cs="仿宋"/>
          <w:b w:val="0"/>
          <w:bCs w:val="0"/>
          <w:sz w:val="24"/>
          <w:szCs w:val="24"/>
          <w:highlight w:val="none"/>
          <w:u w:val="none"/>
          <w:lang w:val="en-US" w:eastAsia="zh-CN"/>
        </w:rPr>
        <w:t>。如经查实承诺内容事项存在虚假，我单位愿意接受以提供虚假材料而被追究法律责任。</w:t>
      </w:r>
    </w:p>
    <w:p w14:paraId="66242120">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val="0"/>
        <w:spacing w:line="360" w:lineRule="auto"/>
        <w:ind w:leftChars="200" w:firstLine="480" w:firstLineChars="200"/>
        <w:jc w:val="both"/>
        <w:textAlignment w:val="auto"/>
        <w:rPr>
          <w:rFonts w:hint="eastAsia" w:ascii="仿宋" w:hAnsi="仿宋" w:eastAsia="仿宋" w:cs="仿宋"/>
          <w:b w:val="0"/>
          <w:bCs w:val="0"/>
          <w:sz w:val="24"/>
          <w:szCs w:val="24"/>
          <w:highlight w:val="none"/>
          <w:u w:val="none"/>
          <w:lang w:val="en-US" w:eastAsia="zh-CN"/>
        </w:rPr>
      </w:pPr>
    </w:p>
    <w:p w14:paraId="4A794B32">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val="0"/>
        <w:spacing w:line="360" w:lineRule="auto"/>
        <w:ind w:leftChars="200" w:firstLine="480" w:firstLineChars="200"/>
        <w:jc w:val="both"/>
        <w:textAlignment w:val="auto"/>
        <w:rPr>
          <w:rFonts w:hint="eastAsia" w:ascii="仿宋" w:hAnsi="仿宋" w:eastAsia="仿宋" w:cs="仿宋"/>
          <w:b w:val="0"/>
          <w:bCs w:val="0"/>
          <w:sz w:val="24"/>
          <w:szCs w:val="24"/>
          <w:highlight w:val="none"/>
          <w:u w:val="none"/>
          <w:lang w:val="en-US" w:eastAsia="zh-CN"/>
        </w:rPr>
      </w:pPr>
    </w:p>
    <w:p w14:paraId="1DB684D3">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val="0"/>
        <w:spacing w:line="360" w:lineRule="auto"/>
        <w:ind w:leftChars="200" w:firstLine="480" w:firstLineChars="200"/>
        <w:jc w:val="both"/>
        <w:textAlignment w:val="auto"/>
        <w:rPr>
          <w:rFonts w:hint="eastAsia" w:ascii="仿宋" w:hAnsi="仿宋" w:eastAsia="仿宋" w:cs="仿宋"/>
          <w:b w:val="0"/>
          <w:bCs w:val="0"/>
          <w:sz w:val="24"/>
          <w:szCs w:val="24"/>
          <w:highlight w:val="none"/>
          <w:u w:val="none"/>
          <w:lang w:val="en-US" w:eastAsia="zh-CN"/>
        </w:rPr>
      </w:pPr>
    </w:p>
    <w:p w14:paraId="35F75BB1">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val="0"/>
        <w:spacing w:line="600" w:lineRule="auto"/>
        <w:ind w:leftChars="200" w:firstLine="480" w:firstLineChars="200"/>
        <w:jc w:val="both"/>
        <w:textAlignment w:val="auto"/>
        <w:rPr>
          <w:rFonts w:hint="eastAsia" w:ascii="仿宋" w:hAnsi="仿宋" w:eastAsia="仿宋" w:cs="仿宋"/>
          <w:b w:val="0"/>
          <w:bCs w:val="0"/>
          <w:sz w:val="24"/>
          <w:szCs w:val="24"/>
          <w:highlight w:val="none"/>
          <w:u w:val="none"/>
          <w:lang w:val="en-US" w:eastAsia="zh-CN"/>
        </w:rPr>
      </w:pPr>
      <w:r>
        <w:rPr>
          <w:rFonts w:hint="eastAsia" w:ascii="仿宋" w:hAnsi="仿宋" w:eastAsia="仿宋" w:cs="仿宋"/>
          <w:b w:val="0"/>
          <w:bCs w:val="0"/>
          <w:sz w:val="24"/>
          <w:szCs w:val="24"/>
          <w:highlight w:val="none"/>
          <w:u w:val="none"/>
          <w:lang w:val="en-US" w:eastAsia="zh-CN"/>
        </w:rPr>
        <w:t xml:space="preserve">                               单位名称（公章）：</w:t>
      </w:r>
    </w:p>
    <w:p w14:paraId="09B32739">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val="0"/>
        <w:spacing w:line="600" w:lineRule="auto"/>
        <w:ind w:leftChars="200" w:firstLine="480" w:firstLineChars="200"/>
        <w:jc w:val="both"/>
        <w:textAlignment w:val="auto"/>
        <w:rPr>
          <w:rFonts w:hint="eastAsia" w:ascii="仿宋" w:hAnsi="仿宋" w:eastAsia="仿宋" w:cs="仿宋"/>
          <w:b w:val="0"/>
          <w:bCs w:val="0"/>
          <w:sz w:val="24"/>
          <w:szCs w:val="24"/>
          <w:highlight w:val="none"/>
          <w:u w:val="none"/>
          <w:lang w:val="en-US" w:eastAsia="zh-CN"/>
        </w:rPr>
      </w:pPr>
      <w:r>
        <w:rPr>
          <w:rFonts w:hint="eastAsia" w:ascii="仿宋" w:hAnsi="仿宋" w:eastAsia="仿宋" w:cs="仿宋"/>
          <w:b w:val="0"/>
          <w:bCs w:val="0"/>
          <w:sz w:val="24"/>
          <w:szCs w:val="24"/>
          <w:highlight w:val="none"/>
          <w:u w:val="none"/>
          <w:lang w:val="en-US" w:eastAsia="zh-CN"/>
        </w:rPr>
        <w:t xml:space="preserve">                       法定代表人（签字或盖章）：</w:t>
      </w:r>
    </w:p>
    <w:p w14:paraId="505D405C">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val="0"/>
        <w:spacing w:line="600" w:lineRule="auto"/>
        <w:ind w:leftChars="200" w:firstLine="3600" w:firstLineChars="1500"/>
        <w:jc w:val="both"/>
        <w:textAlignment w:val="auto"/>
        <w:rPr>
          <w:rFonts w:hint="eastAsia" w:ascii="仿宋" w:hAnsi="仿宋" w:eastAsia="仿宋" w:cs="仿宋"/>
          <w:b w:val="0"/>
          <w:bCs w:val="0"/>
          <w:sz w:val="24"/>
          <w:szCs w:val="24"/>
          <w:highlight w:val="none"/>
          <w:u w:val="none"/>
          <w:lang w:val="en-US" w:eastAsia="zh-CN"/>
        </w:rPr>
      </w:pPr>
      <w:r>
        <w:rPr>
          <w:rFonts w:hint="eastAsia" w:ascii="仿宋" w:hAnsi="仿宋" w:eastAsia="仿宋" w:cs="仿宋"/>
          <w:b w:val="0"/>
          <w:bCs w:val="0"/>
          <w:sz w:val="24"/>
          <w:szCs w:val="24"/>
          <w:highlight w:val="none"/>
          <w:u w:val="none"/>
          <w:lang w:val="en-US" w:eastAsia="zh-CN"/>
        </w:rPr>
        <w:t xml:space="preserve">被授权人（签字或盖章）： </w:t>
      </w:r>
    </w:p>
    <w:p w14:paraId="10FCB7F9">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val="0"/>
        <w:spacing w:line="600" w:lineRule="auto"/>
        <w:ind w:firstLine="5760" w:firstLineChars="2400"/>
        <w:jc w:val="both"/>
        <w:textAlignment w:val="auto"/>
        <w:rPr>
          <w:rFonts w:hint="eastAsia" w:ascii="仿宋" w:hAnsi="仿宋" w:eastAsia="仿宋" w:cs="仿宋"/>
          <w:b w:val="0"/>
          <w:bCs w:val="0"/>
          <w:sz w:val="24"/>
          <w:szCs w:val="24"/>
          <w:highlight w:val="none"/>
          <w:u w:val="none"/>
          <w:lang w:val="en-US" w:eastAsia="zh-CN"/>
        </w:rPr>
      </w:pPr>
      <w:r>
        <w:rPr>
          <w:rFonts w:hint="eastAsia" w:ascii="仿宋" w:hAnsi="仿宋" w:eastAsia="仿宋" w:cs="仿宋"/>
          <w:b w:val="0"/>
          <w:bCs w:val="0"/>
          <w:sz w:val="24"/>
          <w:szCs w:val="24"/>
          <w:highlight w:val="none"/>
          <w:u w:val="none"/>
          <w:lang w:val="en-US" w:eastAsia="zh-CN"/>
        </w:rPr>
        <w:t>日期 ：</w:t>
      </w:r>
    </w:p>
    <w:p w14:paraId="24214090">
      <w:pPr>
        <w:jc w:val="both"/>
        <w:rPr>
          <w:rFonts w:hint="eastAsia" w:ascii="仿宋" w:hAnsi="仿宋" w:eastAsia="仿宋" w:cs="仿宋"/>
          <w:b/>
          <w:bCs/>
          <w:sz w:val="24"/>
          <w:szCs w:val="24"/>
          <w:highlight w:val="none"/>
          <w:lang w:val="en-US" w:eastAsia="zh-CN"/>
        </w:rPr>
      </w:pPr>
    </w:p>
    <w:p w14:paraId="01D0DADE">
      <w:pPr>
        <w:rPr>
          <w:rFonts w:hint="eastAsia" w:ascii="仿宋" w:hAnsi="仿宋" w:eastAsia="仿宋" w:cs="仿宋"/>
        </w:rPr>
      </w:pPr>
    </w:p>
    <w:p w14:paraId="319994B3">
      <w:pPr>
        <w:rPr>
          <w:rFonts w:hint="eastAsia" w:ascii="仿宋" w:hAnsi="仿宋" w:eastAsia="仿宋" w:cs="仿宋"/>
        </w:rPr>
      </w:pPr>
    </w:p>
    <w:p w14:paraId="7FF5EFD7">
      <w:pPr>
        <w:rPr>
          <w:rFonts w:hint="eastAsia" w:ascii="仿宋" w:hAnsi="仿宋" w:eastAsia="仿宋" w:cs="仿宋"/>
        </w:rPr>
      </w:pPr>
      <w:r>
        <w:rPr>
          <w:rFonts w:hint="eastAsia" w:ascii="仿宋" w:hAnsi="仿宋" w:eastAsia="仿宋" w:cs="仿宋"/>
        </w:rPr>
        <w:br w:type="page"/>
      </w:r>
    </w:p>
    <w:p w14:paraId="47E02040">
      <w:pPr>
        <w:rPr>
          <w:rFonts w:hint="eastAsia" w:ascii="仿宋" w:hAnsi="仿宋" w:eastAsia="仿宋" w:cs="仿宋"/>
        </w:rPr>
      </w:pPr>
    </w:p>
    <w:p w14:paraId="32989C60">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840"/>
        <w:jc w:val="center"/>
        <w:rPr>
          <w:rFonts w:hint="eastAsia" w:ascii="仿宋" w:hAnsi="仿宋" w:eastAsia="仿宋" w:cs="仿宋"/>
          <w:b/>
          <w:bCs/>
          <w:i w:val="0"/>
          <w:iCs w:val="0"/>
          <w:caps w:val="0"/>
          <w:color w:val="auto"/>
          <w:spacing w:val="0"/>
          <w:sz w:val="36"/>
          <w:szCs w:val="36"/>
          <w:highlight w:val="none"/>
          <w:shd w:val="clear" w:color="auto" w:fill="FFFFFF"/>
          <w:lang w:val="en-US" w:eastAsia="zh-CN"/>
        </w:rPr>
      </w:pPr>
      <w:r>
        <w:rPr>
          <w:rFonts w:hint="eastAsia" w:ascii="仿宋" w:hAnsi="仿宋" w:eastAsia="仿宋" w:cs="仿宋"/>
          <w:b/>
          <w:bCs/>
          <w:i w:val="0"/>
          <w:iCs w:val="0"/>
          <w:caps w:val="0"/>
          <w:color w:val="auto"/>
          <w:spacing w:val="0"/>
          <w:sz w:val="36"/>
          <w:szCs w:val="36"/>
          <w:highlight w:val="none"/>
          <w:shd w:val="clear" w:color="auto" w:fill="FFFFFF"/>
          <w:lang w:eastAsia="zh-CN"/>
        </w:rPr>
        <w:t>投标人</w:t>
      </w:r>
      <w:r>
        <w:rPr>
          <w:rFonts w:hint="eastAsia" w:ascii="仿宋" w:hAnsi="仿宋" w:eastAsia="仿宋" w:cs="仿宋"/>
          <w:b/>
          <w:bCs/>
          <w:i w:val="0"/>
          <w:iCs w:val="0"/>
          <w:caps w:val="0"/>
          <w:color w:val="auto"/>
          <w:spacing w:val="0"/>
          <w:sz w:val="36"/>
          <w:szCs w:val="36"/>
          <w:highlight w:val="none"/>
          <w:shd w:val="clear" w:color="auto" w:fill="FFFFFF"/>
        </w:rPr>
        <w:t>资格</w:t>
      </w:r>
      <w:r>
        <w:rPr>
          <w:rFonts w:hint="eastAsia" w:ascii="仿宋" w:hAnsi="仿宋" w:eastAsia="仿宋" w:cs="仿宋"/>
          <w:b/>
          <w:bCs/>
          <w:i w:val="0"/>
          <w:iCs w:val="0"/>
          <w:caps w:val="0"/>
          <w:color w:val="auto"/>
          <w:spacing w:val="0"/>
          <w:sz w:val="36"/>
          <w:szCs w:val="36"/>
          <w:highlight w:val="none"/>
          <w:shd w:val="clear" w:color="auto" w:fill="FFFFFF"/>
          <w:lang w:val="en-US" w:eastAsia="zh-CN"/>
        </w:rPr>
        <w:t>证明文件</w:t>
      </w:r>
    </w:p>
    <w:p w14:paraId="0BCAC81B">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提供投标人合法注册的法人或者其他组织的营业执照等证明文件、自然人的身份证明</w:t>
      </w:r>
      <w:r>
        <w:rPr>
          <w:rFonts w:hint="eastAsia" w:ascii="仿宋" w:hAnsi="仿宋" w:eastAsia="仿宋" w:cs="仿宋"/>
          <w:color w:val="auto"/>
          <w:sz w:val="24"/>
          <w:szCs w:val="24"/>
          <w:highlight w:val="none"/>
        </w:rPr>
        <w:t>；</w:t>
      </w:r>
    </w:p>
    <w:p w14:paraId="474F587C">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财务状况报告：提供2023年度或2024年度经第三方审计的审计报告，包括四表一注（成立时间至提交投标文件截止时间不足一年的可提供成立后任意时段的资产负债表）或开标前六个月内其基本存款账户开户银行出具的资信证明及开户银行许可证（或开户行出具的基本户证明材料）；注：财会〔〔2023〕15号文《财政部 国务院国资委 金融监管总局关于加强审计报告查验工作的通知》会计师事务所应当主动向被审计单位提供附验证码的审计报告。即2023年及以后的审计报告需附验证码；</w:t>
      </w:r>
    </w:p>
    <w:p w14:paraId="3B67A865">
      <w:pPr>
        <w:pStyle w:val="13"/>
        <w:shd w:val="clear" w:color="auto" w:fill="auto"/>
        <w:spacing w:line="480" w:lineRule="exact"/>
        <w:ind w:firstLine="48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税收缴纳证明：提供截止至开标时间前一年内任意一个月的缴纳凭据；（</w:t>
      </w:r>
      <w:r>
        <w:rPr>
          <w:rFonts w:hint="eastAsia" w:ascii="仿宋" w:hAnsi="仿宋" w:eastAsia="仿宋" w:cs="仿宋"/>
          <w:b/>
          <w:bCs/>
          <w:color w:val="auto"/>
          <w:sz w:val="24"/>
          <w:szCs w:val="24"/>
          <w:highlight w:val="none"/>
        </w:rPr>
        <w:t>增值税、企业所得税</w:t>
      </w:r>
      <w:r>
        <w:rPr>
          <w:rFonts w:hint="eastAsia" w:ascii="仿宋" w:hAnsi="仿宋" w:eastAsia="仿宋" w:cs="仿宋"/>
          <w:color w:val="auto"/>
          <w:sz w:val="24"/>
          <w:szCs w:val="24"/>
          <w:highlight w:val="none"/>
        </w:rPr>
        <w:t>至少提供一种，依法免税的投标人应提供相关文件证明）</w:t>
      </w:r>
      <w:r>
        <w:rPr>
          <w:rFonts w:hint="eastAsia" w:ascii="仿宋" w:hAnsi="仿宋" w:eastAsia="仿宋" w:cs="仿宋"/>
          <w:color w:val="auto"/>
          <w:sz w:val="24"/>
          <w:szCs w:val="24"/>
          <w:highlight w:val="none"/>
          <w:lang w:eastAsia="zh-CN"/>
        </w:rPr>
        <w:t>；</w:t>
      </w:r>
    </w:p>
    <w:p w14:paraId="6DA2019B">
      <w:pPr>
        <w:pStyle w:val="13"/>
        <w:shd w:val="clear" w:color="auto" w:fill="auto"/>
        <w:spacing w:line="480" w:lineRule="exact"/>
        <w:ind w:firstLine="48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社会保障资金缴纳证明：提供截止至开标时间前六个月内任意一个月的社保缴纳凭据或社保机构开具的社会保险参保缴纳情况证明；（依法不需要缴纳社会保障资金的投标人应提供相关证明）</w:t>
      </w:r>
      <w:r>
        <w:rPr>
          <w:rFonts w:hint="eastAsia" w:ascii="仿宋" w:hAnsi="仿宋" w:eastAsia="仿宋" w:cs="仿宋"/>
          <w:color w:val="auto"/>
          <w:sz w:val="24"/>
          <w:szCs w:val="24"/>
          <w:highlight w:val="none"/>
          <w:lang w:eastAsia="zh-CN"/>
        </w:rPr>
        <w:t>；</w:t>
      </w:r>
    </w:p>
    <w:p w14:paraId="63FFB17B">
      <w:pPr>
        <w:pStyle w:val="13"/>
        <w:shd w:val="clear" w:color="auto" w:fill="auto"/>
        <w:spacing w:line="480" w:lineRule="exact"/>
        <w:ind w:firstLine="48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提供具有履行本合同所必需的设备和专业技术能力的说明及承诺；（提供书面说明及承诺，加盖投标人公章）</w:t>
      </w:r>
      <w:r>
        <w:rPr>
          <w:rFonts w:hint="eastAsia" w:ascii="仿宋" w:hAnsi="仿宋" w:eastAsia="仿宋" w:cs="仿宋"/>
          <w:color w:val="auto"/>
          <w:sz w:val="24"/>
          <w:szCs w:val="24"/>
          <w:highlight w:val="none"/>
          <w:lang w:eastAsia="zh-CN"/>
        </w:rPr>
        <w:t>；</w:t>
      </w:r>
    </w:p>
    <w:p w14:paraId="5A9EA5DC">
      <w:pPr>
        <w:pStyle w:val="13"/>
        <w:shd w:val="clear" w:color="auto" w:fill="auto"/>
        <w:spacing w:line="480" w:lineRule="exact"/>
        <w:ind w:firstLine="48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提供参加政府采购活动前三年内在经营活动中没有重大违法记录的书面声明；（提供书面声明，加盖投标人公章）</w:t>
      </w:r>
      <w:r>
        <w:rPr>
          <w:rFonts w:hint="eastAsia" w:ascii="仿宋" w:hAnsi="仿宋" w:eastAsia="仿宋" w:cs="仿宋"/>
          <w:color w:val="auto"/>
          <w:kern w:val="0"/>
          <w:sz w:val="24"/>
          <w:szCs w:val="24"/>
          <w:highlight w:val="none"/>
          <w:lang w:val="en-US" w:eastAsia="zh-CN" w:bidi="ar-SA"/>
        </w:rPr>
        <w:t>；</w:t>
      </w:r>
    </w:p>
    <w:p w14:paraId="538E7AAF">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firstLine="480" w:firstLineChars="200"/>
        <w:rPr>
          <w:rFonts w:hint="eastAsia" w:ascii="仿宋" w:hAnsi="仿宋" w:eastAsia="仿宋" w:cs="仿宋"/>
          <w:b/>
          <w:bCs/>
          <w:color w:val="auto"/>
          <w:sz w:val="24"/>
          <w:highlight w:val="none"/>
          <w:lang w:eastAsia="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法定代表人授权委托书（附法定代表人身份证复印件及被授权人身份证复印件）；法定代表人直接参加投标提供法定代表人资格证明书（附法定代表人身份证复印件）；采购文件凡是法定代表人之处，非法人单位的负责人均参照执行；（式样见投标文件格式）</w:t>
      </w:r>
    </w:p>
    <w:p w14:paraId="26544746">
      <w:pPr>
        <w:pStyle w:val="13"/>
        <w:shd w:val="clear" w:color="auto" w:fill="auto"/>
        <w:spacing w:line="48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不得为“信用中国”网站(http://www.creditchina.gov.cn)列入“失信被执行人（页面跳转至“中国执行信息公开网”http://zxgk.court.gov.cn/shixin/）、重大税收违法失信主体、政府采购严重违法失信行为记录名单”的投标人；不得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中国政府采购网</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网站</w:t>
      </w:r>
      <w:r>
        <w:rPr>
          <w:rFonts w:hint="eastAsia" w:ascii="仿宋" w:hAnsi="仿宋" w:eastAsia="仿宋" w:cs="仿宋"/>
          <w:color w:val="auto"/>
          <w:sz w:val="24"/>
          <w:szCs w:val="24"/>
          <w:highlight w:val="none"/>
        </w:rPr>
        <w:t>(http://www.ccgp.gov.cn)“政府采购严重违法失信行为记录名单”中的投标人（根据财库【2019】38号文规定，此项</w:t>
      </w:r>
      <w:r>
        <w:rPr>
          <w:rFonts w:hint="eastAsia" w:ascii="仿宋" w:hAnsi="仿宋" w:eastAsia="仿宋" w:cs="仿宋"/>
          <w:color w:val="auto"/>
          <w:sz w:val="24"/>
          <w:szCs w:val="24"/>
          <w:highlight w:val="none"/>
          <w:lang w:val="en-US" w:eastAsia="zh-CN"/>
        </w:rPr>
        <w:t>由采购代理机构</w:t>
      </w:r>
      <w:r>
        <w:rPr>
          <w:rFonts w:hint="eastAsia" w:ascii="仿宋" w:hAnsi="仿宋" w:eastAsia="仿宋" w:cs="仿宋"/>
          <w:color w:val="auto"/>
          <w:sz w:val="24"/>
          <w:szCs w:val="24"/>
          <w:highlight w:val="none"/>
        </w:rPr>
        <w:t>在投标截止日当天在“信用中国”网站和中国政府采购网站进行查询，截图留档；如网站无投标人信息的，投标人须提供相关证明资料或书面声明）；</w:t>
      </w:r>
    </w:p>
    <w:p w14:paraId="0AA90D62">
      <w:pPr>
        <w:pStyle w:val="13"/>
        <w:shd w:val="clear" w:color="auto" w:fill="auto"/>
        <w:spacing w:line="480" w:lineRule="exact"/>
        <w:ind w:firstLine="48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单位负责人为同一人或者存在直接控股、管理关系的不同投标人，不得参加同一合同项下的政府采购活动。（根据财库【2019】38号文规定，此项由采购代理机构在投标截止日当天在“国家企业信用信息公示系统”进行查询，截图留档；</w:t>
      </w:r>
      <w:r>
        <w:rPr>
          <w:rFonts w:hint="eastAsia" w:ascii="仿宋" w:hAnsi="仿宋" w:eastAsia="仿宋" w:cs="仿宋"/>
          <w:b/>
          <w:bCs/>
          <w:color w:val="auto"/>
          <w:sz w:val="24"/>
          <w:szCs w:val="24"/>
          <w:highlight w:val="none"/>
        </w:rPr>
        <w:t>如网站无投标人信息的，投标人须提供相关证明资料或书面声明</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p>
    <w:p w14:paraId="54D67B7F">
      <w:pPr>
        <w:spacing w:line="500" w:lineRule="exact"/>
        <w:ind w:firstLine="205" w:firstLineChars="98"/>
        <w:jc w:val="center"/>
        <w:rPr>
          <w:rFonts w:hint="eastAsia" w:ascii="仿宋" w:hAnsi="仿宋" w:eastAsia="仿宋" w:cs="仿宋"/>
          <w:color w:val="auto"/>
          <w:lang w:eastAsia="zh-CN"/>
        </w:rPr>
      </w:pPr>
    </w:p>
    <w:p w14:paraId="791CD0DA">
      <w:pPr>
        <w:spacing w:line="500" w:lineRule="exact"/>
        <w:jc w:val="both"/>
        <w:rPr>
          <w:rFonts w:hint="eastAsia" w:ascii="仿宋" w:hAnsi="仿宋" w:eastAsia="仿宋" w:cs="仿宋"/>
          <w:color w:val="auto"/>
          <w:lang w:eastAsia="zh-CN"/>
        </w:rPr>
      </w:pPr>
    </w:p>
    <w:p w14:paraId="66C630DF">
      <w:pPr>
        <w:rPr>
          <w:rFonts w:hint="eastAsia" w:ascii="仿宋" w:hAnsi="仿宋" w:eastAsia="仿宋" w:cs="仿宋"/>
        </w:rPr>
      </w:pPr>
    </w:p>
    <w:p w14:paraId="6E35E897">
      <w:pPr>
        <w:rPr>
          <w:rFonts w:hint="eastAsia" w:ascii="仿宋" w:hAnsi="仿宋" w:eastAsia="仿宋" w:cs="仿宋"/>
          <w:u w:val="single"/>
        </w:rPr>
      </w:pPr>
      <w:r>
        <w:rPr>
          <w:rFonts w:hint="eastAsia" w:ascii="仿宋" w:hAnsi="仿宋" w:eastAsia="仿宋" w:cs="仿宋"/>
          <w:u w:val="single"/>
        </w:rPr>
        <w:br w:type="page"/>
      </w:r>
    </w:p>
    <w:p w14:paraId="76C8F455">
      <w:pPr>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技术指标佐证资料</w:t>
      </w:r>
    </w:p>
    <w:p w14:paraId="6B5D1F6E">
      <w:pPr>
        <w:jc w:val="center"/>
        <w:rPr>
          <w:rFonts w:hint="eastAsia" w:ascii="仿宋" w:hAnsi="仿宋" w:eastAsia="仿宋" w:cs="仿宋"/>
          <w:b/>
          <w:bCs/>
          <w:color w:val="auto"/>
          <w:sz w:val="24"/>
          <w:szCs w:val="24"/>
          <w:highlight w:val="none"/>
          <w:lang w:val="en-US" w:eastAsia="zh-CN"/>
        </w:rPr>
      </w:pPr>
    </w:p>
    <w:p w14:paraId="71B88944">
      <w:pPr>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投标人按照参数要求提供充足的佐证材料予以佐证，完整体现功能参数。佐证材料应编制在投标文件（技术指标佐证资料）中并编制目录，经评审专家审定得分，未提供的视为负偏离。</w:t>
      </w:r>
    </w:p>
    <w:p w14:paraId="6740D1AC">
      <w:pPr>
        <w:rPr>
          <w:rFonts w:hint="eastAsia" w:ascii="仿宋" w:hAnsi="仿宋" w:eastAsia="仿宋" w:cs="仿宋"/>
          <w:lang w:val="en-US" w:eastAsia="zh-CN"/>
        </w:rPr>
      </w:pPr>
    </w:p>
    <w:p w14:paraId="5B4A05BA">
      <w:pPr>
        <w:jc w:val="center"/>
        <w:rPr>
          <w:rFonts w:hint="eastAsia" w:ascii="仿宋" w:hAnsi="仿宋" w:eastAsia="仿宋" w:cs="仿宋"/>
          <w:u w:val="single"/>
        </w:rPr>
      </w:pPr>
    </w:p>
    <w:p w14:paraId="3D7ABFDC">
      <w:pPr>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技术方案</w:t>
      </w:r>
    </w:p>
    <w:p w14:paraId="0BC29215">
      <w:pPr>
        <w:jc w:val="center"/>
        <w:rPr>
          <w:rFonts w:hint="eastAsia" w:ascii="仿宋" w:hAnsi="仿宋" w:eastAsia="仿宋" w:cs="仿宋"/>
          <w:b/>
          <w:bCs/>
          <w:sz w:val="24"/>
          <w:szCs w:val="24"/>
          <w:highlight w:val="none"/>
          <w:lang w:val="en-US" w:eastAsia="zh-CN"/>
        </w:rPr>
      </w:pPr>
    </w:p>
    <w:p w14:paraId="640BB4C9">
      <w:pPr>
        <w:jc w:val="center"/>
        <w:rPr>
          <w:rFonts w:hint="eastAsia" w:ascii="仿宋" w:hAnsi="仿宋" w:eastAsia="仿宋" w:cs="仿宋"/>
          <w:b/>
          <w:bCs/>
          <w:sz w:val="24"/>
          <w:szCs w:val="24"/>
          <w:highlight w:val="none"/>
          <w:lang w:val="en-US" w:eastAsia="zh-CN"/>
        </w:rPr>
      </w:pPr>
    </w:p>
    <w:p w14:paraId="492E6609">
      <w:pPr>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根据招标文件第五章5.6.2评分标准自行编写，格式自拟。</w:t>
      </w:r>
    </w:p>
    <w:p w14:paraId="0E770521">
      <w:pPr>
        <w:jc w:val="center"/>
        <w:rPr>
          <w:rFonts w:hint="eastAsia" w:ascii="仿宋" w:hAnsi="仿宋" w:eastAsia="仿宋" w:cs="仿宋"/>
          <w:b/>
          <w:bCs/>
          <w:sz w:val="24"/>
          <w:szCs w:val="24"/>
          <w:highlight w:val="none"/>
          <w:lang w:val="en-US" w:eastAsia="zh-CN"/>
        </w:rPr>
      </w:pPr>
    </w:p>
    <w:p w14:paraId="6FF63823">
      <w:pPr>
        <w:jc w:val="center"/>
        <w:rPr>
          <w:rFonts w:hint="eastAsia" w:ascii="仿宋" w:hAnsi="仿宋" w:eastAsia="仿宋" w:cs="仿宋"/>
          <w:b/>
          <w:bCs/>
          <w:sz w:val="24"/>
          <w:szCs w:val="24"/>
          <w:highlight w:val="none"/>
          <w:lang w:val="en-US" w:eastAsia="zh-CN"/>
        </w:rPr>
      </w:pPr>
    </w:p>
    <w:p w14:paraId="13D14E15">
      <w:pPr>
        <w:jc w:val="center"/>
        <w:rPr>
          <w:rFonts w:hint="eastAsia" w:ascii="仿宋" w:hAnsi="仿宋" w:eastAsia="仿宋" w:cs="仿宋"/>
          <w:b/>
          <w:bCs/>
          <w:sz w:val="24"/>
          <w:szCs w:val="24"/>
          <w:highlight w:val="none"/>
          <w:lang w:val="en-US" w:eastAsia="zh-CN"/>
        </w:rPr>
      </w:pPr>
    </w:p>
    <w:p w14:paraId="2510DC83">
      <w:pPr>
        <w:jc w:val="center"/>
        <w:rPr>
          <w:rFonts w:hint="eastAsia" w:ascii="仿宋" w:hAnsi="仿宋" w:eastAsia="仿宋" w:cs="仿宋"/>
          <w:b/>
          <w:bCs/>
          <w:sz w:val="24"/>
          <w:szCs w:val="24"/>
          <w:highlight w:val="none"/>
          <w:lang w:val="en-US" w:eastAsia="zh-CN"/>
        </w:rPr>
      </w:pPr>
    </w:p>
    <w:p w14:paraId="401396E8">
      <w:pPr>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实施方案</w:t>
      </w:r>
    </w:p>
    <w:p w14:paraId="780F133E">
      <w:pPr>
        <w:jc w:val="center"/>
        <w:rPr>
          <w:rFonts w:hint="eastAsia" w:ascii="仿宋" w:hAnsi="仿宋" w:eastAsia="仿宋" w:cs="仿宋"/>
          <w:b/>
          <w:bCs/>
          <w:sz w:val="24"/>
          <w:szCs w:val="24"/>
          <w:highlight w:val="none"/>
          <w:lang w:val="en-US" w:eastAsia="zh-CN"/>
        </w:rPr>
      </w:pPr>
    </w:p>
    <w:p w14:paraId="3C03B95E">
      <w:pPr>
        <w:jc w:val="center"/>
        <w:rPr>
          <w:rFonts w:hint="eastAsia" w:ascii="仿宋" w:hAnsi="仿宋" w:eastAsia="仿宋" w:cs="仿宋"/>
          <w:b/>
          <w:bCs/>
          <w:sz w:val="24"/>
          <w:szCs w:val="24"/>
          <w:highlight w:val="none"/>
          <w:lang w:val="en-US" w:eastAsia="zh-CN"/>
        </w:rPr>
      </w:pPr>
    </w:p>
    <w:p w14:paraId="1EAFE50A">
      <w:pPr>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根据招标文件第五章5.6.2评分标准自行编写，格式自拟。</w:t>
      </w:r>
    </w:p>
    <w:p w14:paraId="34FC15AD">
      <w:pPr>
        <w:jc w:val="center"/>
        <w:rPr>
          <w:rFonts w:hint="eastAsia" w:ascii="仿宋" w:hAnsi="仿宋" w:eastAsia="仿宋" w:cs="仿宋"/>
          <w:b/>
          <w:bCs/>
          <w:sz w:val="24"/>
          <w:szCs w:val="24"/>
          <w:highlight w:val="none"/>
          <w:lang w:val="en-US" w:eastAsia="zh-CN"/>
        </w:rPr>
      </w:pPr>
    </w:p>
    <w:p w14:paraId="171E76E0">
      <w:pPr>
        <w:jc w:val="center"/>
        <w:rPr>
          <w:rFonts w:hint="eastAsia" w:ascii="仿宋" w:hAnsi="仿宋" w:eastAsia="仿宋" w:cs="仿宋"/>
          <w:b/>
          <w:bCs/>
          <w:sz w:val="24"/>
          <w:szCs w:val="24"/>
          <w:highlight w:val="none"/>
          <w:lang w:val="en-US" w:eastAsia="zh-CN"/>
        </w:rPr>
      </w:pPr>
    </w:p>
    <w:p w14:paraId="23054F9C">
      <w:pPr>
        <w:jc w:val="center"/>
        <w:rPr>
          <w:rFonts w:hint="eastAsia" w:ascii="仿宋" w:hAnsi="仿宋" w:eastAsia="仿宋" w:cs="仿宋"/>
          <w:b/>
          <w:bCs/>
          <w:sz w:val="24"/>
          <w:szCs w:val="24"/>
          <w:highlight w:val="none"/>
        </w:rPr>
      </w:pPr>
    </w:p>
    <w:p w14:paraId="7EE9D989">
      <w:pPr>
        <w:jc w:val="center"/>
        <w:rPr>
          <w:rFonts w:hint="eastAsia" w:ascii="仿宋" w:hAnsi="仿宋" w:eastAsia="仿宋" w:cs="仿宋"/>
          <w:b/>
          <w:bCs/>
          <w:sz w:val="24"/>
          <w:szCs w:val="24"/>
          <w:highlight w:val="none"/>
        </w:rPr>
      </w:pPr>
    </w:p>
    <w:p w14:paraId="7E262CD2">
      <w:pPr>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rPr>
        <w:t>质量保</w:t>
      </w:r>
      <w:r>
        <w:rPr>
          <w:rFonts w:hint="eastAsia" w:ascii="仿宋" w:hAnsi="仿宋" w:eastAsia="仿宋" w:cs="仿宋"/>
          <w:b/>
          <w:bCs/>
          <w:sz w:val="24"/>
          <w:szCs w:val="24"/>
          <w:highlight w:val="none"/>
          <w:lang w:val="en-US" w:eastAsia="zh-CN"/>
        </w:rPr>
        <w:t>障</w:t>
      </w:r>
    </w:p>
    <w:p w14:paraId="74DD919E">
      <w:pPr>
        <w:jc w:val="center"/>
        <w:rPr>
          <w:rFonts w:hint="eastAsia" w:ascii="仿宋" w:hAnsi="仿宋" w:eastAsia="仿宋" w:cs="仿宋"/>
          <w:b/>
          <w:bCs/>
          <w:sz w:val="24"/>
          <w:szCs w:val="24"/>
          <w:highlight w:val="none"/>
        </w:rPr>
      </w:pPr>
    </w:p>
    <w:p w14:paraId="76120A5D">
      <w:pPr>
        <w:jc w:val="center"/>
        <w:rPr>
          <w:rFonts w:hint="eastAsia" w:ascii="仿宋" w:hAnsi="仿宋" w:eastAsia="仿宋" w:cs="仿宋"/>
          <w:b/>
          <w:bCs/>
          <w:sz w:val="24"/>
          <w:szCs w:val="24"/>
          <w:highlight w:val="none"/>
        </w:rPr>
      </w:pPr>
    </w:p>
    <w:p w14:paraId="01EC3494">
      <w:pPr>
        <w:jc w:val="center"/>
        <w:rPr>
          <w:rFonts w:hint="eastAsia" w:ascii="仿宋" w:hAnsi="仿宋" w:eastAsia="仿宋" w:cs="仿宋"/>
          <w:b/>
          <w:bCs/>
          <w:sz w:val="24"/>
          <w:szCs w:val="24"/>
          <w:highlight w:val="none"/>
          <w:lang w:val="en-US"/>
        </w:rPr>
      </w:pPr>
      <w:r>
        <w:rPr>
          <w:rFonts w:hint="eastAsia" w:ascii="仿宋" w:hAnsi="仿宋" w:eastAsia="仿宋" w:cs="仿宋"/>
          <w:b/>
          <w:bCs/>
          <w:sz w:val="24"/>
          <w:szCs w:val="24"/>
          <w:highlight w:val="none"/>
          <w:lang w:val="en-US" w:eastAsia="zh-CN"/>
        </w:rPr>
        <w:t>根据招标文件第五章5.6.2评分标准自行编写，格式自拟。</w:t>
      </w:r>
    </w:p>
    <w:p w14:paraId="3B66B0DF">
      <w:pPr>
        <w:jc w:val="center"/>
        <w:rPr>
          <w:rFonts w:hint="eastAsia" w:ascii="仿宋" w:hAnsi="仿宋" w:eastAsia="仿宋" w:cs="仿宋"/>
          <w:b/>
          <w:bCs/>
          <w:sz w:val="24"/>
          <w:szCs w:val="24"/>
          <w:highlight w:val="none"/>
          <w:lang w:val="en-US" w:eastAsia="zh-CN"/>
        </w:rPr>
      </w:pPr>
    </w:p>
    <w:p w14:paraId="76AEFDC8">
      <w:pPr>
        <w:jc w:val="center"/>
        <w:rPr>
          <w:rFonts w:hint="eastAsia" w:ascii="仿宋" w:hAnsi="仿宋" w:eastAsia="仿宋" w:cs="仿宋"/>
          <w:b/>
          <w:bCs/>
          <w:sz w:val="24"/>
          <w:szCs w:val="24"/>
          <w:highlight w:val="none"/>
          <w:lang w:val="en-US" w:eastAsia="zh-CN"/>
        </w:rPr>
      </w:pPr>
    </w:p>
    <w:p w14:paraId="1FE7242A">
      <w:pPr>
        <w:jc w:val="center"/>
        <w:rPr>
          <w:rFonts w:hint="eastAsia" w:ascii="仿宋" w:hAnsi="仿宋" w:eastAsia="仿宋" w:cs="仿宋"/>
          <w:b/>
          <w:bCs/>
          <w:sz w:val="24"/>
          <w:szCs w:val="24"/>
          <w:highlight w:val="none"/>
          <w:lang w:val="en-US" w:eastAsia="zh-CN"/>
        </w:rPr>
      </w:pPr>
    </w:p>
    <w:p w14:paraId="61A52F1E">
      <w:pPr>
        <w:jc w:val="center"/>
        <w:rPr>
          <w:rFonts w:hint="eastAsia" w:ascii="仿宋" w:hAnsi="仿宋" w:eastAsia="仿宋" w:cs="仿宋"/>
          <w:b/>
          <w:bCs/>
          <w:sz w:val="24"/>
          <w:szCs w:val="24"/>
          <w:highlight w:val="none"/>
          <w:lang w:val="en-US" w:eastAsia="zh-CN"/>
        </w:rPr>
      </w:pPr>
    </w:p>
    <w:p w14:paraId="05F52320">
      <w:pPr>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培训方案</w:t>
      </w:r>
    </w:p>
    <w:p w14:paraId="14AE7241">
      <w:pPr>
        <w:jc w:val="center"/>
        <w:rPr>
          <w:rFonts w:hint="eastAsia" w:ascii="仿宋" w:hAnsi="仿宋" w:eastAsia="仿宋" w:cs="仿宋"/>
          <w:b/>
          <w:bCs/>
          <w:sz w:val="24"/>
          <w:szCs w:val="24"/>
          <w:highlight w:val="none"/>
          <w:lang w:val="en-US" w:eastAsia="zh-CN"/>
        </w:rPr>
      </w:pPr>
    </w:p>
    <w:p w14:paraId="25C49FC9">
      <w:pPr>
        <w:jc w:val="center"/>
        <w:rPr>
          <w:rFonts w:hint="eastAsia" w:ascii="仿宋" w:hAnsi="仿宋" w:eastAsia="仿宋" w:cs="仿宋"/>
          <w:b/>
          <w:bCs/>
          <w:sz w:val="24"/>
          <w:szCs w:val="24"/>
          <w:highlight w:val="none"/>
          <w:lang w:val="en-US" w:eastAsia="zh-CN"/>
        </w:rPr>
      </w:pPr>
    </w:p>
    <w:p w14:paraId="435B2949">
      <w:pPr>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根据招标文件第五章5.6.2评分标准自行编写，格式自拟。</w:t>
      </w:r>
    </w:p>
    <w:p w14:paraId="48FB25E6">
      <w:pPr>
        <w:jc w:val="center"/>
        <w:rPr>
          <w:rFonts w:hint="eastAsia" w:ascii="仿宋" w:hAnsi="仿宋" w:eastAsia="仿宋" w:cs="仿宋"/>
          <w:b/>
          <w:bCs/>
          <w:sz w:val="24"/>
          <w:szCs w:val="24"/>
          <w:highlight w:val="none"/>
          <w:lang w:val="en-US" w:eastAsia="zh-CN"/>
        </w:rPr>
      </w:pPr>
    </w:p>
    <w:p w14:paraId="5DF160E7">
      <w:pPr>
        <w:jc w:val="center"/>
        <w:rPr>
          <w:rFonts w:hint="eastAsia" w:ascii="仿宋" w:hAnsi="仿宋" w:eastAsia="仿宋" w:cs="仿宋"/>
          <w:b/>
          <w:bCs/>
          <w:sz w:val="24"/>
          <w:szCs w:val="24"/>
          <w:highlight w:val="none"/>
          <w:lang w:val="en-US" w:eastAsia="zh-CN"/>
        </w:rPr>
      </w:pPr>
    </w:p>
    <w:p w14:paraId="5E2F30EB">
      <w:pPr>
        <w:jc w:val="center"/>
        <w:rPr>
          <w:rFonts w:hint="eastAsia" w:ascii="仿宋" w:hAnsi="仿宋" w:eastAsia="仿宋" w:cs="仿宋"/>
          <w:b/>
          <w:bCs/>
          <w:sz w:val="24"/>
          <w:szCs w:val="24"/>
          <w:highlight w:val="none"/>
          <w:lang w:val="en-US" w:eastAsia="zh-CN"/>
        </w:rPr>
      </w:pPr>
    </w:p>
    <w:p w14:paraId="4F501C55">
      <w:pPr>
        <w:jc w:val="center"/>
        <w:rPr>
          <w:rFonts w:hint="eastAsia" w:ascii="仿宋" w:hAnsi="仿宋" w:eastAsia="仿宋" w:cs="仿宋"/>
          <w:b/>
          <w:bCs/>
          <w:sz w:val="24"/>
          <w:szCs w:val="24"/>
          <w:highlight w:val="none"/>
          <w:lang w:val="en-US" w:eastAsia="zh-CN"/>
        </w:rPr>
      </w:pPr>
    </w:p>
    <w:p w14:paraId="33576E6E">
      <w:pPr>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售后服务</w:t>
      </w:r>
    </w:p>
    <w:p w14:paraId="21579295">
      <w:pPr>
        <w:jc w:val="center"/>
        <w:rPr>
          <w:rFonts w:hint="eastAsia" w:ascii="仿宋" w:hAnsi="仿宋" w:eastAsia="仿宋" w:cs="仿宋"/>
          <w:b/>
          <w:bCs/>
          <w:sz w:val="24"/>
          <w:szCs w:val="24"/>
          <w:highlight w:val="none"/>
          <w:lang w:val="en-US" w:eastAsia="zh-CN"/>
        </w:rPr>
      </w:pPr>
    </w:p>
    <w:p w14:paraId="23AA92CC">
      <w:pPr>
        <w:jc w:val="center"/>
        <w:rPr>
          <w:rFonts w:hint="eastAsia" w:ascii="仿宋" w:hAnsi="仿宋" w:eastAsia="仿宋" w:cs="仿宋"/>
          <w:b/>
          <w:bCs/>
          <w:sz w:val="24"/>
          <w:szCs w:val="24"/>
          <w:highlight w:val="none"/>
          <w:lang w:val="en-US" w:eastAsia="zh-CN"/>
        </w:rPr>
      </w:pPr>
    </w:p>
    <w:p w14:paraId="028BF685">
      <w:pPr>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根据招标文件第五章5.6.2评分标准自行编写，格式自拟。</w:t>
      </w:r>
    </w:p>
    <w:p w14:paraId="09506A34">
      <w:pPr>
        <w:jc w:val="center"/>
        <w:rPr>
          <w:rFonts w:hint="eastAsia" w:ascii="仿宋" w:hAnsi="仿宋" w:eastAsia="仿宋" w:cs="仿宋"/>
          <w:b/>
          <w:bCs/>
          <w:sz w:val="24"/>
          <w:szCs w:val="24"/>
          <w:highlight w:val="none"/>
          <w:lang w:val="en-US" w:eastAsia="zh-CN"/>
        </w:rPr>
      </w:pPr>
    </w:p>
    <w:p w14:paraId="225E7DAC">
      <w:pPr>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业绩</w:t>
      </w:r>
    </w:p>
    <w:p w14:paraId="5D5CFFF9">
      <w:pPr>
        <w:jc w:val="center"/>
        <w:rPr>
          <w:rFonts w:hint="eastAsia" w:ascii="仿宋" w:hAnsi="仿宋" w:eastAsia="仿宋" w:cs="仿宋"/>
          <w:sz w:val="24"/>
          <w:szCs w:val="24"/>
          <w:highlight w:val="none"/>
        </w:rPr>
      </w:pPr>
    </w:p>
    <w:p w14:paraId="3286714C">
      <w:pPr>
        <w:jc w:val="center"/>
        <w:rPr>
          <w:rFonts w:hint="eastAsia" w:ascii="仿宋" w:hAnsi="仿宋" w:eastAsia="仿宋" w:cs="仿宋"/>
          <w:sz w:val="24"/>
          <w:szCs w:val="24"/>
          <w:highlight w:val="none"/>
        </w:rPr>
      </w:pPr>
    </w:p>
    <w:p w14:paraId="7C66C5C7">
      <w:pPr>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以合同形式提供投标人2023年01月至今类似项目业绩。（提供加盖投标人公章的合同复印件，提供合同包含签字盖章页、采购内容、合同签订日期等完整合同内容）</w:t>
      </w:r>
    </w:p>
    <w:p w14:paraId="696FB49C">
      <w:pPr>
        <w:jc w:val="center"/>
        <w:rPr>
          <w:rFonts w:hint="eastAsia" w:ascii="仿宋" w:hAnsi="仿宋" w:eastAsia="仿宋" w:cs="仿宋"/>
          <w:b/>
          <w:bCs/>
          <w:sz w:val="24"/>
          <w:szCs w:val="24"/>
          <w:highlight w:val="none"/>
          <w:lang w:val="en-US" w:eastAsia="zh-CN"/>
        </w:rPr>
      </w:pPr>
    </w:p>
    <w:p w14:paraId="0D5A1DA1">
      <w:pPr>
        <w:jc w:val="center"/>
        <w:rPr>
          <w:rFonts w:hint="eastAsia" w:ascii="仿宋" w:hAnsi="仿宋" w:eastAsia="仿宋" w:cs="仿宋"/>
          <w:b/>
          <w:bCs/>
          <w:sz w:val="24"/>
          <w:szCs w:val="24"/>
          <w:highlight w:val="none"/>
          <w:lang w:val="en-US" w:eastAsia="zh-CN"/>
        </w:rPr>
      </w:pPr>
    </w:p>
    <w:p w14:paraId="0847B88B">
      <w:pPr>
        <w:jc w:val="center"/>
        <w:rPr>
          <w:rFonts w:hint="eastAsia" w:ascii="仿宋" w:hAnsi="仿宋" w:eastAsia="仿宋" w:cs="仿宋"/>
          <w:b/>
          <w:bCs/>
          <w:sz w:val="24"/>
          <w:szCs w:val="24"/>
          <w:highlight w:val="none"/>
          <w:lang w:val="en-US" w:eastAsia="zh-CN"/>
        </w:rPr>
      </w:pPr>
    </w:p>
    <w:p w14:paraId="0953BA68">
      <w:pPr>
        <w:jc w:val="center"/>
        <w:rPr>
          <w:rFonts w:hint="eastAsia" w:ascii="仿宋" w:hAnsi="仿宋" w:eastAsia="仿宋" w:cs="仿宋"/>
          <w:b/>
          <w:bCs/>
          <w:sz w:val="24"/>
          <w:szCs w:val="24"/>
          <w:highlight w:val="none"/>
          <w:lang w:val="en-US" w:eastAsia="zh-CN"/>
        </w:rPr>
      </w:pPr>
    </w:p>
    <w:p w14:paraId="312DD9AB">
      <w:pPr>
        <w:jc w:val="center"/>
        <w:rPr>
          <w:rFonts w:hint="eastAsia" w:ascii="仿宋" w:hAnsi="仿宋" w:eastAsia="仿宋" w:cs="仿宋"/>
          <w:b/>
          <w:bCs/>
          <w:sz w:val="24"/>
          <w:szCs w:val="24"/>
          <w:highlight w:val="none"/>
          <w:lang w:val="en-US" w:eastAsia="zh-CN"/>
        </w:rPr>
      </w:pPr>
    </w:p>
    <w:p w14:paraId="1FF54265">
      <w:pPr>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校园文化</w:t>
      </w:r>
    </w:p>
    <w:p w14:paraId="5BA28533">
      <w:pPr>
        <w:jc w:val="center"/>
        <w:rPr>
          <w:rFonts w:hint="eastAsia" w:ascii="仿宋" w:hAnsi="仿宋" w:eastAsia="仿宋" w:cs="仿宋"/>
          <w:b/>
          <w:bCs/>
          <w:sz w:val="24"/>
          <w:szCs w:val="24"/>
          <w:highlight w:val="none"/>
          <w:lang w:val="en-US" w:eastAsia="zh-CN"/>
        </w:rPr>
      </w:pPr>
    </w:p>
    <w:p w14:paraId="75B4075E">
      <w:pPr>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根据招标文件第五章5.6.2评分标准自行编写，格式自拟。</w:t>
      </w:r>
    </w:p>
    <w:p w14:paraId="3FA0EC09">
      <w:pPr>
        <w:rPr>
          <w:rFonts w:hint="eastAsia" w:ascii="仿宋" w:hAnsi="仿宋" w:eastAsia="仿宋" w:cs="仿宋"/>
        </w:rPr>
      </w:pPr>
    </w:p>
    <w:p w14:paraId="3B9764B6">
      <w:pPr>
        <w:jc w:val="center"/>
        <w:rPr>
          <w:rFonts w:hint="eastAsia" w:ascii="仿宋" w:hAnsi="仿宋" w:eastAsia="仿宋" w:cs="仿宋"/>
          <w:b/>
          <w:bCs/>
          <w:sz w:val="24"/>
          <w:szCs w:val="24"/>
          <w:highlight w:val="none"/>
          <w:lang w:val="en-US" w:eastAsia="zh-CN"/>
        </w:rPr>
      </w:pPr>
    </w:p>
    <w:p w14:paraId="18CB2A36">
      <w:pPr>
        <w:jc w:val="center"/>
        <w:rPr>
          <w:rFonts w:hint="eastAsia" w:ascii="仿宋" w:hAnsi="仿宋" w:eastAsia="仿宋" w:cs="仿宋"/>
          <w:b/>
          <w:bCs/>
          <w:sz w:val="24"/>
          <w:szCs w:val="24"/>
          <w:highlight w:val="none"/>
          <w:lang w:val="en-US" w:eastAsia="zh-CN"/>
        </w:rPr>
      </w:pPr>
    </w:p>
    <w:p w14:paraId="3A1FD7D4">
      <w:pPr>
        <w:jc w:val="center"/>
        <w:rPr>
          <w:rFonts w:hint="eastAsia" w:ascii="仿宋" w:hAnsi="仿宋" w:eastAsia="仿宋" w:cs="仿宋"/>
          <w:b/>
          <w:bCs/>
          <w:sz w:val="24"/>
          <w:szCs w:val="24"/>
          <w:highlight w:val="none"/>
          <w:lang w:val="en-US" w:eastAsia="zh-CN"/>
        </w:rPr>
      </w:pPr>
    </w:p>
    <w:p w14:paraId="78C6045B">
      <w:pPr>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演示内容</w:t>
      </w:r>
    </w:p>
    <w:p w14:paraId="093C29A5">
      <w:pPr>
        <w:jc w:val="center"/>
        <w:rPr>
          <w:rFonts w:hint="eastAsia" w:ascii="仿宋" w:hAnsi="仿宋" w:eastAsia="仿宋" w:cs="仿宋"/>
          <w:b/>
          <w:bCs/>
          <w:sz w:val="24"/>
          <w:szCs w:val="24"/>
          <w:highlight w:val="none"/>
          <w:lang w:val="en-US" w:eastAsia="zh-CN"/>
        </w:rPr>
      </w:pPr>
    </w:p>
    <w:p w14:paraId="4EF71F40">
      <w:pPr>
        <w:jc w:val="center"/>
        <w:rPr>
          <w:rFonts w:hint="eastAsia" w:ascii="仿宋" w:hAnsi="仿宋" w:eastAsia="仿宋" w:cs="仿宋"/>
          <w:b/>
          <w:bCs/>
          <w:sz w:val="24"/>
          <w:szCs w:val="24"/>
          <w:highlight w:val="none"/>
          <w:lang w:val="en-US" w:eastAsia="zh-CN"/>
        </w:rPr>
      </w:pPr>
    </w:p>
    <w:p w14:paraId="5F78BE7E">
      <w:pPr>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以开标现场演示为准。</w:t>
      </w:r>
    </w:p>
    <w:p w14:paraId="65A2072B">
      <w:pPr>
        <w:jc w:val="center"/>
        <w:rPr>
          <w:rFonts w:hint="eastAsia" w:ascii="仿宋" w:hAnsi="仿宋" w:eastAsia="仿宋" w:cs="仿宋"/>
          <w:b/>
          <w:bCs/>
          <w:sz w:val="24"/>
          <w:szCs w:val="24"/>
          <w:highlight w:val="none"/>
          <w:lang w:val="en-US" w:eastAsia="zh-CN"/>
        </w:rPr>
      </w:pPr>
    </w:p>
    <w:p w14:paraId="60B500A7">
      <w:pPr>
        <w:jc w:val="center"/>
        <w:rPr>
          <w:rFonts w:hint="eastAsia" w:ascii="仿宋" w:hAnsi="仿宋" w:eastAsia="仿宋" w:cs="仿宋"/>
          <w:b/>
          <w:bCs/>
          <w:sz w:val="24"/>
          <w:szCs w:val="24"/>
          <w:highlight w:val="none"/>
          <w:lang w:val="en-US" w:eastAsia="zh-CN"/>
        </w:rPr>
      </w:pPr>
    </w:p>
    <w:p w14:paraId="0B297FB5">
      <w:pPr>
        <w:jc w:val="center"/>
        <w:rPr>
          <w:rFonts w:hint="eastAsia" w:ascii="仿宋" w:hAnsi="仿宋" w:eastAsia="仿宋" w:cs="仿宋"/>
          <w:b/>
          <w:bCs/>
          <w:color w:val="auto"/>
          <w:sz w:val="24"/>
          <w:szCs w:val="24"/>
          <w:highlight w:val="none"/>
          <w:lang w:val="en-US" w:eastAsia="zh-CN"/>
        </w:rPr>
      </w:pPr>
    </w:p>
    <w:p w14:paraId="3AE3E3D1">
      <w:pPr>
        <w:jc w:val="center"/>
        <w:rPr>
          <w:rFonts w:hint="eastAsia" w:ascii="仿宋" w:hAnsi="仿宋" w:eastAsia="仿宋" w:cs="仿宋"/>
          <w:b/>
          <w:bCs/>
          <w:color w:val="auto"/>
          <w:sz w:val="24"/>
          <w:szCs w:val="24"/>
          <w:highlight w:val="none"/>
          <w:lang w:val="en-US" w:eastAsia="zh-CN"/>
        </w:rPr>
      </w:pPr>
    </w:p>
    <w:p w14:paraId="1CFD336B">
      <w:pPr>
        <w:jc w:val="center"/>
        <w:rPr>
          <w:rFonts w:hint="eastAsia" w:ascii="仿宋" w:hAnsi="仿宋" w:eastAsia="仿宋" w:cs="仿宋"/>
          <w:b/>
          <w:bCs/>
          <w:color w:val="auto"/>
          <w:sz w:val="24"/>
          <w:szCs w:val="24"/>
          <w:highlight w:val="none"/>
          <w:lang w:val="en-US" w:eastAsia="zh-CN"/>
        </w:rPr>
      </w:pPr>
    </w:p>
    <w:p w14:paraId="6E0B748E">
      <w:pPr>
        <w:jc w:val="center"/>
        <w:rPr>
          <w:rFonts w:hint="eastAsia" w:ascii="仿宋" w:hAnsi="仿宋" w:eastAsia="仿宋" w:cs="仿宋"/>
          <w:b/>
          <w:bCs/>
          <w:color w:val="auto"/>
          <w:sz w:val="24"/>
          <w:szCs w:val="24"/>
          <w:highlight w:val="none"/>
          <w:lang w:val="en-US" w:eastAsia="zh-CN"/>
        </w:rPr>
      </w:pPr>
    </w:p>
    <w:p w14:paraId="520B4542">
      <w:pPr>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投标保证金</w:t>
      </w:r>
    </w:p>
    <w:p w14:paraId="22EBFC20">
      <w:pPr>
        <w:jc w:val="center"/>
        <w:rPr>
          <w:rFonts w:hint="eastAsia" w:ascii="仿宋" w:hAnsi="仿宋" w:eastAsia="仿宋" w:cs="仿宋"/>
          <w:b/>
          <w:bCs/>
          <w:color w:val="auto"/>
          <w:sz w:val="24"/>
          <w:szCs w:val="24"/>
          <w:highlight w:val="none"/>
          <w:lang w:val="en-US" w:eastAsia="zh-CN"/>
        </w:rPr>
      </w:pPr>
    </w:p>
    <w:p w14:paraId="4F35BD11">
      <w:pPr>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投标保证金交纳凭证或担保函；（投标保证交纳金凭证为银行凭证及基本账户证明资料，担保函为财政部门认可的政府采购信用担保机构出具）。</w:t>
      </w:r>
    </w:p>
    <w:p w14:paraId="3C8E30C2">
      <w:pPr>
        <w:rPr>
          <w:rFonts w:hint="eastAsia" w:ascii="仿宋" w:hAnsi="仿宋" w:eastAsia="仿宋" w:cs="仿宋"/>
        </w:rPr>
      </w:pPr>
    </w:p>
    <w:p w14:paraId="225C0243">
      <w:pPr>
        <w:rPr>
          <w:rFonts w:hint="eastAsia" w:ascii="仿宋" w:hAnsi="仿宋" w:eastAsia="仿宋" w:cs="仿宋"/>
        </w:rPr>
      </w:pPr>
    </w:p>
    <w:p w14:paraId="75433C0B">
      <w:pPr>
        <w:rPr>
          <w:rFonts w:hint="eastAsia" w:ascii="仿宋" w:hAnsi="仿宋" w:eastAsia="仿宋" w:cs="仿宋"/>
        </w:rPr>
      </w:pPr>
      <w:r>
        <w:rPr>
          <w:rFonts w:hint="eastAsia" w:ascii="仿宋" w:hAnsi="仿宋" w:eastAsia="仿宋" w:cs="仿宋"/>
        </w:rPr>
        <w:br w:type="page"/>
      </w:r>
    </w:p>
    <w:p w14:paraId="5E3DD293">
      <w:pPr>
        <w:widowControl/>
        <w:spacing w:line="480" w:lineRule="exact"/>
        <w:jc w:val="left"/>
        <w:rPr>
          <w:rFonts w:hint="eastAsia" w:ascii="仿宋" w:hAnsi="仿宋" w:eastAsia="仿宋" w:cs="仿宋"/>
          <w:b/>
          <w:bCs/>
          <w:kern w:val="0"/>
          <w:sz w:val="28"/>
          <w:szCs w:val="28"/>
        </w:rPr>
      </w:pPr>
      <w:bookmarkStart w:id="62" w:name="_Toc458617499"/>
      <w:bookmarkStart w:id="63" w:name="_Toc31350"/>
      <w:bookmarkStart w:id="64" w:name="_Toc6831"/>
      <w:r>
        <w:rPr>
          <w:rFonts w:hint="eastAsia" w:ascii="仿宋" w:hAnsi="仿宋" w:eastAsia="仿宋" w:cs="仿宋"/>
          <w:b/>
          <w:bCs/>
          <w:sz w:val="24"/>
          <w:szCs w:val="24"/>
        </w:rPr>
        <w:t>《拒绝政府采购领域商业贿赂承诺书》</w:t>
      </w:r>
      <w:bookmarkEnd w:id="62"/>
      <w:bookmarkEnd w:id="63"/>
      <w:bookmarkEnd w:id="64"/>
      <w:r>
        <w:rPr>
          <w:rFonts w:hint="eastAsia" w:ascii="仿宋" w:hAnsi="仿宋" w:eastAsia="仿宋" w:cs="仿宋"/>
          <w:sz w:val="24"/>
          <w:szCs w:val="24"/>
        </w:rPr>
        <w:t>（格式）</w:t>
      </w:r>
    </w:p>
    <w:p w14:paraId="44211D93">
      <w:pPr>
        <w:widowControl/>
        <w:spacing w:line="480" w:lineRule="exact"/>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陕西省政府采购投标人</w:t>
      </w:r>
    </w:p>
    <w:p w14:paraId="51517D15">
      <w:pPr>
        <w:widowControl/>
        <w:spacing w:line="480" w:lineRule="exact"/>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拒绝政府采购领域商业贿赂承诺书</w:t>
      </w:r>
    </w:p>
    <w:p w14:paraId="2F9F1A0A">
      <w:pPr>
        <w:widowControl/>
        <w:spacing w:line="240" w:lineRule="exact"/>
        <w:ind w:firstLine="420" w:firstLineChars="200"/>
        <w:jc w:val="left"/>
        <w:rPr>
          <w:rFonts w:hint="eastAsia" w:ascii="仿宋" w:hAnsi="仿宋" w:eastAsia="仿宋" w:cs="仿宋"/>
          <w:kern w:val="0"/>
        </w:rPr>
      </w:pPr>
    </w:p>
    <w:p w14:paraId="0D241A81">
      <w:pPr>
        <w:widowControl/>
        <w:spacing w:line="440" w:lineRule="exact"/>
        <w:ind w:firstLine="420" w:firstLineChars="200"/>
        <w:rPr>
          <w:rFonts w:hint="eastAsia" w:ascii="仿宋" w:hAnsi="仿宋" w:eastAsia="仿宋" w:cs="仿宋"/>
          <w:kern w:val="0"/>
          <w:szCs w:val="24"/>
          <w:lang w:eastAsia="zh-CN"/>
        </w:rPr>
      </w:pPr>
      <w:r>
        <w:rPr>
          <w:rFonts w:hint="eastAsia" w:ascii="仿宋" w:hAnsi="仿宋" w:eastAsia="仿宋" w:cs="仿宋"/>
          <w:kern w:val="0"/>
          <w:szCs w:val="24"/>
        </w:rPr>
        <w:t>为响应党中央、国务院关于治理政府采购领域商业贿赂行为的号召，</w:t>
      </w:r>
      <w:r>
        <w:rPr>
          <w:rFonts w:hint="eastAsia" w:ascii="仿宋" w:hAnsi="仿宋" w:eastAsia="仿宋" w:cs="仿宋"/>
          <w:kern w:val="0"/>
        </w:rPr>
        <w:t>我单位作为</w:t>
      </w:r>
      <w:r>
        <w:rPr>
          <w:rFonts w:hint="eastAsia" w:ascii="仿宋" w:hAnsi="仿宋" w:eastAsia="仿宋" w:cs="仿宋"/>
          <w:kern w:val="0"/>
          <w:u w:val="single"/>
        </w:rPr>
        <w:t xml:space="preserve">（项目名称）         </w:t>
      </w:r>
      <w:r>
        <w:rPr>
          <w:rFonts w:hint="eastAsia" w:ascii="仿宋" w:hAnsi="仿宋" w:eastAsia="仿宋" w:cs="仿宋"/>
          <w:kern w:val="0"/>
        </w:rPr>
        <w:t xml:space="preserve"> 的投标人，</w:t>
      </w:r>
      <w:r>
        <w:rPr>
          <w:rFonts w:hint="eastAsia" w:ascii="仿宋" w:hAnsi="仿宋" w:eastAsia="仿宋" w:cs="仿宋"/>
          <w:kern w:val="0"/>
          <w:szCs w:val="24"/>
        </w:rPr>
        <w:t xml:space="preserve">在此庄严承诺： </w:t>
      </w:r>
    </w:p>
    <w:p w14:paraId="7B0461D3">
      <w:pPr>
        <w:widowControl/>
        <w:spacing w:line="440" w:lineRule="exact"/>
        <w:ind w:firstLine="420" w:firstLineChars="200"/>
        <w:rPr>
          <w:rFonts w:hint="eastAsia" w:ascii="仿宋" w:hAnsi="仿宋" w:eastAsia="仿宋" w:cs="仿宋"/>
          <w:kern w:val="0"/>
          <w:szCs w:val="24"/>
          <w:lang w:eastAsia="zh-CN"/>
        </w:rPr>
      </w:pPr>
      <w:r>
        <w:rPr>
          <w:rFonts w:hint="eastAsia" w:ascii="仿宋" w:hAnsi="仿宋" w:eastAsia="仿宋" w:cs="仿宋"/>
          <w:kern w:val="0"/>
          <w:szCs w:val="24"/>
        </w:rPr>
        <w:t xml:space="preserve">  </w:t>
      </w:r>
      <w:r>
        <w:rPr>
          <w:rFonts w:hint="eastAsia" w:ascii="仿宋" w:hAnsi="仿宋" w:eastAsia="仿宋" w:cs="仿宋"/>
          <w:kern w:val="0"/>
          <w:szCs w:val="24"/>
        </w:rPr>
        <w:t>1</w:t>
      </w:r>
      <w:r>
        <w:rPr>
          <w:rFonts w:hint="eastAsia" w:ascii="仿宋" w:hAnsi="仿宋" w:eastAsia="仿宋" w:cs="仿宋"/>
          <w:kern w:val="0"/>
          <w:szCs w:val="24"/>
          <w:lang w:val="en-US" w:eastAsia="zh-CN"/>
        </w:rPr>
        <w:t>.</w:t>
      </w:r>
      <w:r>
        <w:rPr>
          <w:rFonts w:hint="eastAsia" w:ascii="仿宋" w:hAnsi="仿宋" w:eastAsia="仿宋" w:cs="仿宋"/>
          <w:kern w:val="0"/>
          <w:szCs w:val="24"/>
        </w:rPr>
        <w:t xml:space="preserve">在参与政府采购活动中遵纪守法、诚信经营、公平竞标。 </w:t>
      </w:r>
    </w:p>
    <w:p w14:paraId="191654D2">
      <w:pPr>
        <w:widowControl/>
        <w:spacing w:line="440" w:lineRule="exact"/>
        <w:ind w:firstLine="420" w:firstLineChars="200"/>
        <w:rPr>
          <w:rFonts w:hint="eastAsia" w:ascii="仿宋" w:hAnsi="仿宋" w:eastAsia="仿宋" w:cs="仿宋"/>
          <w:kern w:val="0"/>
          <w:szCs w:val="24"/>
          <w:lang w:eastAsia="zh-CN"/>
        </w:rPr>
      </w:pPr>
      <w:r>
        <w:rPr>
          <w:rFonts w:hint="eastAsia" w:ascii="仿宋" w:hAnsi="仿宋" w:eastAsia="仿宋" w:cs="仿宋"/>
          <w:kern w:val="0"/>
          <w:szCs w:val="24"/>
        </w:rPr>
        <w:t xml:space="preserve">  </w:t>
      </w:r>
      <w:r>
        <w:rPr>
          <w:rFonts w:hint="eastAsia" w:ascii="仿宋" w:hAnsi="仿宋" w:eastAsia="仿宋" w:cs="仿宋"/>
          <w:kern w:val="0"/>
          <w:szCs w:val="24"/>
        </w:rPr>
        <w:t>2</w:t>
      </w:r>
      <w:r>
        <w:rPr>
          <w:rFonts w:hint="eastAsia" w:ascii="仿宋" w:hAnsi="仿宋" w:eastAsia="仿宋" w:cs="仿宋"/>
          <w:kern w:val="0"/>
          <w:szCs w:val="24"/>
          <w:lang w:val="en-US" w:eastAsia="zh-CN"/>
        </w:rPr>
        <w:t>.</w:t>
      </w:r>
      <w:r>
        <w:rPr>
          <w:rFonts w:hint="eastAsia" w:ascii="仿宋" w:hAnsi="仿宋" w:eastAsia="仿宋" w:cs="仿宋"/>
          <w:kern w:val="0"/>
          <w:szCs w:val="24"/>
        </w:rPr>
        <w:t xml:space="preserve">不向采购人、采购代理机构和政府采购评审专家进行任何形式的商业贿赂以谋取交易机会。 </w:t>
      </w:r>
    </w:p>
    <w:p w14:paraId="4FF6814C">
      <w:pPr>
        <w:widowControl/>
        <w:spacing w:line="440" w:lineRule="exact"/>
        <w:ind w:firstLine="420" w:firstLineChars="200"/>
        <w:rPr>
          <w:rFonts w:hint="eastAsia" w:ascii="仿宋" w:hAnsi="仿宋" w:eastAsia="仿宋" w:cs="仿宋"/>
          <w:kern w:val="0"/>
          <w:szCs w:val="24"/>
          <w:lang w:eastAsia="zh-CN"/>
        </w:rPr>
      </w:pPr>
      <w:r>
        <w:rPr>
          <w:rFonts w:hint="eastAsia" w:ascii="仿宋" w:hAnsi="仿宋" w:eastAsia="仿宋" w:cs="仿宋"/>
          <w:kern w:val="0"/>
          <w:szCs w:val="24"/>
        </w:rPr>
        <w:t xml:space="preserve">  </w:t>
      </w:r>
      <w:r>
        <w:rPr>
          <w:rFonts w:hint="eastAsia" w:ascii="仿宋" w:hAnsi="仿宋" w:eastAsia="仿宋" w:cs="仿宋"/>
          <w:kern w:val="0"/>
          <w:szCs w:val="24"/>
        </w:rPr>
        <w:t>3</w:t>
      </w:r>
      <w:r>
        <w:rPr>
          <w:rFonts w:hint="eastAsia" w:ascii="仿宋" w:hAnsi="仿宋" w:eastAsia="仿宋" w:cs="仿宋"/>
          <w:kern w:val="0"/>
          <w:szCs w:val="24"/>
          <w:lang w:val="en-US" w:eastAsia="zh-CN"/>
        </w:rPr>
        <w:t>.</w:t>
      </w:r>
      <w:r>
        <w:rPr>
          <w:rFonts w:hint="eastAsia" w:ascii="仿宋" w:hAnsi="仿宋" w:eastAsia="仿宋" w:cs="仿宋"/>
          <w:kern w:val="0"/>
          <w:szCs w:val="24"/>
        </w:rPr>
        <w:t xml:space="preserve">不向政府采购代理机构和采购人提供虚假资质文件或采用虚假应标方式参与政府采购市场竞争并谋取中标。 </w:t>
      </w:r>
    </w:p>
    <w:p w14:paraId="154A9042">
      <w:pPr>
        <w:widowControl/>
        <w:spacing w:line="440" w:lineRule="exact"/>
        <w:ind w:firstLine="420" w:firstLineChars="200"/>
        <w:rPr>
          <w:rFonts w:hint="eastAsia" w:ascii="仿宋" w:hAnsi="仿宋" w:eastAsia="仿宋" w:cs="仿宋"/>
          <w:kern w:val="0"/>
          <w:szCs w:val="24"/>
          <w:lang w:eastAsia="zh-CN"/>
        </w:rPr>
      </w:pPr>
      <w:r>
        <w:rPr>
          <w:rFonts w:hint="eastAsia" w:ascii="仿宋" w:hAnsi="仿宋" w:eastAsia="仿宋" w:cs="仿宋"/>
          <w:kern w:val="0"/>
          <w:szCs w:val="24"/>
        </w:rPr>
        <w:t xml:space="preserve">  </w:t>
      </w:r>
      <w:r>
        <w:rPr>
          <w:rFonts w:hint="eastAsia" w:ascii="仿宋" w:hAnsi="仿宋" w:eastAsia="仿宋" w:cs="仿宋"/>
          <w:kern w:val="0"/>
          <w:szCs w:val="24"/>
        </w:rPr>
        <w:t>4</w:t>
      </w:r>
      <w:r>
        <w:rPr>
          <w:rFonts w:hint="eastAsia" w:ascii="仿宋" w:hAnsi="仿宋" w:eastAsia="仿宋" w:cs="仿宋"/>
          <w:kern w:val="0"/>
          <w:szCs w:val="24"/>
          <w:lang w:val="en-US" w:eastAsia="zh-CN"/>
        </w:rPr>
        <w:t>.</w:t>
      </w:r>
      <w:r>
        <w:rPr>
          <w:rFonts w:hint="eastAsia" w:ascii="仿宋" w:hAnsi="仿宋" w:eastAsia="仿宋" w:cs="仿宋"/>
          <w:kern w:val="0"/>
          <w:szCs w:val="24"/>
        </w:rPr>
        <w:t xml:space="preserve">不采取“围标、陪标”等商业欺诈手段获得政府采购定单。 </w:t>
      </w:r>
    </w:p>
    <w:p w14:paraId="52B28172">
      <w:pPr>
        <w:widowControl/>
        <w:spacing w:line="440" w:lineRule="exact"/>
        <w:ind w:firstLine="420" w:firstLineChars="200"/>
        <w:rPr>
          <w:rFonts w:hint="eastAsia" w:ascii="仿宋" w:hAnsi="仿宋" w:eastAsia="仿宋" w:cs="仿宋"/>
          <w:kern w:val="0"/>
          <w:szCs w:val="24"/>
          <w:lang w:eastAsia="zh-CN"/>
        </w:rPr>
      </w:pPr>
      <w:r>
        <w:rPr>
          <w:rFonts w:hint="eastAsia" w:ascii="仿宋" w:hAnsi="仿宋" w:eastAsia="仿宋" w:cs="仿宋"/>
          <w:kern w:val="0"/>
          <w:szCs w:val="24"/>
        </w:rPr>
        <w:t xml:space="preserve">  </w:t>
      </w:r>
      <w:r>
        <w:rPr>
          <w:rFonts w:hint="eastAsia" w:ascii="仿宋" w:hAnsi="仿宋" w:eastAsia="仿宋" w:cs="仿宋"/>
          <w:kern w:val="0"/>
          <w:szCs w:val="24"/>
        </w:rPr>
        <w:t>5</w:t>
      </w:r>
      <w:r>
        <w:rPr>
          <w:rFonts w:hint="eastAsia" w:ascii="仿宋" w:hAnsi="仿宋" w:eastAsia="仿宋" w:cs="仿宋"/>
          <w:kern w:val="0"/>
          <w:szCs w:val="24"/>
          <w:lang w:val="en-US" w:eastAsia="zh-CN"/>
        </w:rPr>
        <w:t>.</w:t>
      </w:r>
      <w:r>
        <w:rPr>
          <w:rFonts w:hint="eastAsia" w:ascii="仿宋" w:hAnsi="仿宋" w:eastAsia="仿宋" w:cs="仿宋"/>
          <w:kern w:val="0"/>
          <w:szCs w:val="24"/>
        </w:rPr>
        <w:t>不采取不正当手段</w:t>
      </w:r>
      <w:r>
        <w:rPr>
          <w:rFonts w:hint="eastAsia" w:ascii="仿宋" w:hAnsi="仿宋" w:eastAsia="仿宋" w:cs="仿宋"/>
          <w:kern w:val="0"/>
          <w:szCs w:val="24"/>
          <w:lang w:eastAsia="zh-CN"/>
        </w:rPr>
        <w:t>诋毁</w:t>
      </w:r>
      <w:r>
        <w:rPr>
          <w:rFonts w:hint="eastAsia" w:ascii="仿宋" w:hAnsi="仿宋" w:eastAsia="仿宋" w:cs="仿宋"/>
          <w:kern w:val="0"/>
          <w:szCs w:val="24"/>
        </w:rPr>
        <w:t xml:space="preserve">、排挤其他投标人。 </w:t>
      </w:r>
    </w:p>
    <w:p w14:paraId="2E9F737C">
      <w:pPr>
        <w:widowControl/>
        <w:spacing w:line="440" w:lineRule="exact"/>
        <w:ind w:firstLine="420" w:firstLineChars="200"/>
        <w:rPr>
          <w:rFonts w:hint="eastAsia" w:ascii="仿宋" w:hAnsi="仿宋" w:eastAsia="仿宋" w:cs="仿宋"/>
          <w:kern w:val="0"/>
          <w:szCs w:val="24"/>
          <w:lang w:eastAsia="zh-CN"/>
        </w:rPr>
      </w:pPr>
      <w:r>
        <w:rPr>
          <w:rFonts w:hint="eastAsia" w:ascii="仿宋" w:hAnsi="仿宋" w:eastAsia="仿宋" w:cs="仿宋"/>
          <w:kern w:val="0"/>
          <w:szCs w:val="24"/>
        </w:rPr>
        <w:t xml:space="preserve">  </w:t>
      </w:r>
      <w:r>
        <w:rPr>
          <w:rFonts w:hint="eastAsia" w:ascii="仿宋" w:hAnsi="仿宋" w:eastAsia="仿宋" w:cs="仿宋"/>
          <w:kern w:val="0"/>
          <w:szCs w:val="24"/>
        </w:rPr>
        <w:t>6</w:t>
      </w:r>
      <w:r>
        <w:rPr>
          <w:rFonts w:hint="eastAsia" w:ascii="仿宋" w:hAnsi="仿宋" w:eastAsia="仿宋" w:cs="仿宋"/>
          <w:kern w:val="0"/>
          <w:szCs w:val="24"/>
          <w:lang w:val="en-US" w:eastAsia="zh-CN"/>
        </w:rPr>
        <w:t>.</w:t>
      </w:r>
      <w:r>
        <w:rPr>
          <w:rFonts w:hint="eastAsia" w:ascii="仿宋" w:hAnsi="仿宋" w:eastAsia="仿宋" w:cs="仿宋"/>
          <w:kern w:val="0"/>
          <w:szCs w:val="24"/>
        </w:rPr>
        <w:t xml:space="preserve">不在提供商品和服务时“偷梁换柱、以次充好”损害采购人的合法权益。 </w:t>
      </w:r>
    </w:p>
    <w:p w14:paraId="7DB61A3D">
      <w:pPr>
        <w:widowControl/>
        <w:spacing w:line="440" w:lineRule="exact"/>
        <w:ind w:firstLine="420" w:firstLineChars="200"/>
        <w:rPr>
          <w:rFonts w:hint="eastAsia" w:ascii="仿宋" w:hAnsi="仿宋" w:eastAsia="仿宋" w:cs="仿宋"/>
          <w:kern w:val="0"/>
          <w:szCs w:val="24"/>
          <w:lang w:eastAsia="zh-CN"/>
        </w:rPr>
      </w:pPr>
      <w:r>
        <w:rPr>
          <w:rFonts w:hint="eastAsia" w:ascii="仿宋" w:hAnsi="仿宋" w:eastAsia="仿宋" w:cs="仿宋"/>
          <w:kern w:val="0"/>
          <w:szCs w:val="24"/>
        </w:rPr>
        <w:t xml:space="preserve">  </w:t>
      </w:r>
      <w:r>
        <w:rPr>
          <w:rFonts w:hint="eastAsia" w:ascii="仿宋" w:hAnsi="仿宋" w:eastAsia="仿宋" w:cs="仿宋"/>
          <w:kern w:val="0"/>
          <w:szCs w:val="24"/>
        </w:rPr>
        <w:t>7</w:t>
      </w:r>
      <w:r>
        <w:rPr>
          <w:rFonts w:hint="eastAsia" w:ascii="仿宋" w:hAnsi="仿宋" w:eastAsia="仿宋" w:cs="仿宋"/>
          <w:kern w:val="0"/>
          <w:szCs w:val="24"/>
          <w:lang w:val="en-US" w:eastAsia="zh-CN"/>
        </w:rPr>
        <w:t>.</w:t>
      </w:r>
      <w:r>
        <w:rPr>
          <w:rFonts w:hint="eastAsia" w:ascii="仿宋" w:hAnsi="仿宋" w:eastAsia="仿宋" w:cs="仿宋"/>
          <w:kern w:val="0"/>
          <w:szCs w:val="24"/>
        </w:rPr>
        <w:t xml:space="preserve">不与采购人、采购代理机构政府采购评审专家或其它投标人恶意串通，进行质疑和投诉，维护政府采购市场秩序。 </w:t>
      </w:r>
    </w:p>
    <w:p w14:paraId="7D555C42">
      <w:pPr>
        <w:widowControl/>
        <w:spacing w:line="440" w:lineRule="exact"/>
        <w:ind w:firstLine="420" w:firstLineChars="200"/>
        <w:rPr>
          <w:rFonts w:hint="eastAsia" w:ascii="仿宋" w:hAnsi="仿宋" w:eastAsia="仿宋" w:cs="仿宋"/>
          <w:kern w:val="0"/>
          <w:szCs w:val="24"/>
          <w:lang w:eastAsia="zh-CN"/>
        </w:rPr>
      </w:pPr>
      <w:r>
        <w:rPr>
          <w:rFonts w:hint="eastAsia" w:ascii="仿宋" w:hAnsi="仿宋" w:eastAsia="仿宋" w:cs="仿宋"/>
          <w:kern w:val="0"/>
          <w:szCs w:val="24"/>
        </w:rPr>
        <w:t xml:space="preserve">  </w:t>
      </w:r>
      <w:r>
        <w:rPr>
          <w:rFonts w:hint="eastAsia" w:ascii="仿宋" w:hAnsi="仿宋" w:eastAsia="仿宋" w:cs="仿宋"/>
          <w:kern w:val="0"/>
          <w:szCs w:val="24"/>
        </w:rPr>
        <w:t>8</w:t>
      </w:r>
      <w:r>
        <w:rPr>
          <w:rFonts w:hint="eastAsia" w:ascii="仿宋" w:hAnsi="仿宋" w:eastAsia="仿宋" w:cs="仿宋"/>
          <w:kern w:val="0"/>
          <w:szCs w:val="24"/>
          <w:lang w:val="en-US" w:eastAsia="zh-CN"/>
        </w:rPr>
        <w:t>.</w:t>
      </w:r>
      <w:r>
        <w:rPr>
          <w:rFonts w:hint="eastAsia" w:ascii="仿宋" w:hAnsi="仿宋" w:eastAsia="仿宋" w:cs="仿宋"/>
          <w:kern w:val="0"/>
          <w:szCs w:val="24"/>
        </w:rPr>
        <w:t xml:space="preserve">尊重和接受政府采购监督管理部门的监督和政府采购代理机构招标要求，承担因违约行为给采购人造成的损失。 </w:t>
      </w:r>
    </w:p>
    <w:p w14:paraId="5DC82CC8">
      <w:pPr>
        <w:widowControl/>
        <w:spacing w:line="440" w:lineRule="exact"/>
        <w:ind w:firstLine="420" w:firstLineChars="200"/>
        <w:rPr>
          <w:rFonts w:hint="eastAsia" w:ascii="仿宋" w:hAnsi="仿宋" w:eastAsia="仿宋" w:cs="仿宋"/>
          <w:kern w:val="0"/>
          <w:szCs w:val="24"/>
          <w:lang w:eastAsia="zh-CN"/>
        </w:rPr>
      </w:pPr>
      <w:r>
        <w:rPr>
          <w:rFonts w:hint="eastAsia" w:ascii="仿宋" w:hAnsi="仿宋" w:eastAsia="仿宋" w:cs="仿宋"/>
          <w:kern w:val="0"/>
          <w:szCs w:val="24"/>
        </w:rPr>
        <w:t xml:space="preserve">  </w:t>
      </w:r>
      <w:r>
        <w:rPr>
          <w:rFonts w:hint="eastAsia" w:ascii="仿宋" w:hAnsi="仿宋" w:eastAsia="仿宋" w:cs="仿宋"/>
          <w:kern w:val="0"/>
          <w:szCs w:val="24"/>
        </w:rPr>
        <w:t>9</w:t>
      </w:r>
      <w:r>
        <w:rPr>
          <w:rFonts w:hint="eastAsia" w:ascii="仿宋" w:hAnsi="仿宋" w:eastAsia="仿宋" w:cs="仿宋"/>
          <w:kern w:val="0"/>
          <w:szCs w:val="24"/>
          <w:lang w:val="en-US" w:eastAsia="zh-CN"/>
        </w:rPr>
        <w:t>.</w:t>
      </w:r>
      <w:r>
        <w:rPr>
          <w:rFonts w:hint="eastAsia" w:ascii="仿宋" w:hAnsi="仿宋" w:eastAsia="仿宋" w:cs="仿宋"/>
          <w:kern w:val="0"/>
          <w:szCs w:val="24"/>
        </w:rPr>
        <w:t xml:space="preserve">不发生其他有悖于政府采购公开、公平、公正和诚信原则的行为。 </w:t>
      </w:r>
    </w:p>
    <w:p w14:paraId="7256A10D">
      <w:pPr>
        <w:pStyle w:val="7"/>
        <w:rPr>
          <w:rFonts w:hint="eastAsia" w:ascii="仿宋" w:hAnsi="仿宋" w:eastAsia="仿宋" w:cs="仿宋"/>
          <w:lang w:eastAsia="zh-CN"/>
        </w:rPr>
      </w:pPr>
    </w:p>
    <w:p w14:paraId="1D6A47FB">
      <w:pPr>
        <w:widowControl/>
        <w:spacing w:line="440" w:lineRule="exact"/>
        <w:ind w:firstLine="420" w:firstLineChars="200"/>
        <w:rPr>
          <w:rFonts w:hint="eastAsia" w:ascii="仿宋" w:hAnsi="仿宋" w:eastAsia="仿宋" w:cs="仿宋"/>
          <w:kern w:val="0"/>
          <w:szCs w:val="24"/>
          <w:lang w:eastAsia="zh-CN"/>
        </w:rPr>
      </w:pPr>
      <w:r>
        <w:rPr>
          <w:rFonts w:hint="eastAsia" w:ascii="仿宋" w:hAnsi="仿宋" w:eastAsia="仿宋" w:cs="仿宋"/>
          <w:kern w:val="0"/>
          <w:szCs w:val="24"/>
        </w:rPr>
        <w:t xml:space="preserve"> </w:t>
      </w:r>
      <w:r>
        <w:rPr>
          <w:rFonts w:hint="eastAsia" w:ascii="仿宋" w:hAnsi="仿宋" w:eastAsia="仿宋" w:cs="仿宋"/>
          <w:kern w:val="0"/>
          <w:szCs w:val="24"/>
        </w:rPr>
        <w:t>承诺单位：</w:t>
      </w:r>
      <w:r>
        <w:rPr>
          <w:rFonts w:hint="eastAsia" w:ascii="仿宋" w:hAnsi="仿宋" w:eastAsia="仿宋" w:cs="仿宋"/>
          <w:kern w:val="0"/>
          <w:szCs w:val="24"/>
          <w:u w:val="single"/>
        </w:rPr>
        <w:t>　　                 　</w:t>
      </w:r>
      <w:r>
        <w:rPr>
          <w:rFonts w:hint="eastAsia" w:ascii="仿宋" w:hAnsi="仿宋" w:eastAsia="仿宋" w:cs="仿宋"/>
          <w:kern w:val="0"/>
          <w:szCs w:val="24"/>
        </w:rPr>
        <w:t xml:space="preserve">（盖章） </w:t>
      </w:r>
    </w:p>
    <w:p w14:paraId="5C810E15">
      <w:pPr>
        <w:widowControl/>
        <w:spacing w:line="440" w:lineRule="exact"/>
        <w:ind w:firstLine="420" w:firstLineChars="200"/>
        <w:rPr>
          <w:rFonts w:hint="eastAsia" w:ascii="仿宋" w:hAnsi="仿宋" w:eastAsia="仿宋" w:cs="仿宋"/>
          <w:kern w:val="0"/>
          <w:szCs w:val="24"/>
        </w:rPr>
      </w:pPr>
      <w:r>
        <w:rPr>
          <w:rFonts w:hint="eastAsia" w:ascii="仿宋" w:hAnsi="仿宋" w:eastAsia="仿宋" w:cs="仿宋"/>
          <w:kern w:val="0"/>
          <w:szCs w:val="24"/>
        </w:rPr>
        <w:t xml:space="preserve"> </w:t>
      </w:r>
      <w:r>
        <w:rPr>
          <w:rFonts w:hint="eastAsia" w:ascii="仿宋" w:hAnsi="仿宋" w:eastAsia="仿宋" w:cs="仿宋"/>
          <w:kern w:val="0"/>
          <w:szCs w:val="24"/>
        </w:rPr>
        <w:t>全权代表：</w:t>
      </w:r>
      <w:r>
        <w:rPr>
          <w:rFonts w:hint="eastAsia" w:ascii="仿宋" w:hAnsi="仿宋" w:eastAsia="仿宋" w:cs="仿宋"/>
          <w:kern w:val="0"/>
          <w:szCs w:val="24"/>
          <w:u w:val="single"/>
        </w:rPr>
        <w:t>　　　　　     　　　　</w:t>
      </w:r>
      <w:r>
        <w:rPr>
          <w:rFonts w:hint="eastAsia" w:ascii="仿宋" w:hAnsi="仿宋" w:eastAsia="仿宋" w:cs="仿宋"/>
          <w:kern w:val="0"/>
          <w:szCs w:val="24"/>
        </w:rPr>
        <w:t>（签字</w:t>
      </w:r>
      <w:r>
        <w:rPr>
          <w:rFonts w:hint="eastAsia" w:ascii="仿宋" w:hAnsi="仿宋" w:eastAsia="仿宋" w:cs="仿宋"/>
          <w:kern w:val="0"/>
          <w:szCs w:val="24"/>
          <w:lang w:val="en-US" w:eastAsia="zh-CN"/>
        </w:rPr>
        <w:t>或盖章</w:t>
      </w:r>
      <w:r>
        <w:rPr>
          <w:rFonts w:hint="eastAsia" w:ascii="仿宋" w:hAnsi="仿宋" w:eastAsia="仿宋" w:cs="仿宋"/>
          <w:kern w:val="0"/>
          <w:szCs w:val="24"/>
        </w:rPr>
        <w:t xml:space="preserve">） </w:t>
      </w:r>
    </w:p>
    <w:p w14:paraId="0BF08538">
      <w:pPr>
        <w:widowControl/>
        <w:spacing w:line="520" w:lineRule="exact"/>
        <w:ind w:firstLine="525" w:firstLineChars="250"/>
        <w:rPr>
          <w:rFonts w:hint="eastAsia" w:ascii="仿宋" w:hAnsi="仿宋" w:eastAsia="仿宋" w:cs="仿宋"/>
          <w:kern w:val="0"/>
          <w:szCs w:val="24"/>
          <w:u w:val="single"/>
        </w:rPr>
      </w:pPr>
      <w:r>
        <w:rPr>
          <w:rFonts w:hint="eastAsia" w:ascii="仿宋" w:hAnsi="仿宋" w:eastAsia="仿宋" w:cs="仿宋"/>
          <w:kern w:val="0"/>
          <w:szCs w:val="24"/>
        </w:rPr>
        <w:t>地　　址：</w:t>
      </w:r>
      <w:r>
        <w:rPr>
          <w:rFonts w:hint="eastAsia" w:ascii="仿宋" w:hAnsi="仿宋" w:eastAsia="仿宋" w:cs="仿宋"/>
          <w:kern w:val="0"/>
          <w:szCs w:val="24"/>
          <w:u w:val="single"/>
        </w:rPr>
        <w:t xml:space="preserve">                              </w:t>
      </w:r>
    </w:p>
    <w:p w14:paraId="0CBCE4E0">
      <w:pPr>
        <w:widowControl/>
        <w:spacing w:line="520" w:lineRule="exact"/>
        <w:ind w:left="105" w:leftChars="50" w:firstLine="420" w:firstLineChars="200"/>
        <w:rPr>
          <w:rFonts w:hint="eastAsia" w:ascii="仿宋" w:hAnsi="仿宋" w:eastAsia="仿宋" w:cs="仿宋"/>
          <w:kern w:val="0"/>
          <w:szCs w:val="24"/>
          <w:u w:val="single"/>
          <w:lang w:eastAsia="zh-CN"/>
        </w:rPr>
      </w:pPr>
      <w:r>
        <w:rPr>
          <w:rFonts w:hint="eastAsia" w:ascii="仿宋" w:hAnsi="仿宋" w:eastAsia="仿宋" w:cs="仿宋"/>
          <w:kern w:val="0"/>
          <w:szCs w:val="24"/>
        </w:rPr>
        <w:t>邮    编：</w:t>
      </w:r>
      <w:r>
        <w:rPr>
          <w:rFonts w:hint="eastAsia" w:ascii="仿宋" w:hAnsi="仿宋" w:eastAsia="仿宋" w:cs="仿宋"/>
          <w:kern w:val="0"/>
          <w:szCs w:val="24"/>
          <w:u w:val="single"/>
        </w:rPr>
        <w:t xml:space="preserve">　　                     　　 </w:t>
      </w:r>
    </w:p>
    <w:p w14:paraId="2FE6A5C4">
      <w:pPr>
        <w:widowControl/>
        <w:spacing w:line="520" w:lineRule="exact"/>
        <w:ind w:left="105" w:leftChars="50" w:firstLine="420" w:firstLineChars="200"/>
        <w:rPr>
          <w:rFonts w:hint="eastAsia" w:ascii="仿宋" w:hAnsi="仿宋" w:eastAsia="仿宋" w:cs="仿宋"/>
          <w:kern w:val="0"/>
          <w:szCs w:val="24"/>
        </w:rPr>
      </w:pPr>
      <w:r>
        <w:rPr>
          <w:rFonts w:hint="eastAsia" w:ascii="仿宋" w:hAnsi="仿宋" w:eastAsia="仿宋" w:cs="仿宋"/>
          <w:kern w:val="0"/>
          <w:szCs w:val="24"/>
        </w:rPr>
        <w:t>电　　话：</w:t>
      </w:r>
      <w:r>
        <w:rPr>
          <w:rFonts w:hint="eastAsia" w:ascii="仿宋" w:hAnsi="仿宋" w:eastAsia="仿宋" w:cs="仿宋"/>
          <w:kern w:val="0"/>
          <w:szCs w:val="24"/>
          <w:u w:val="single"/>
        </w:rPr>
        <w:t>　　　                　　　　</w:t>
      </w:r>
      <w:r>
        <w:rPr>
          <w:rFonts w:hint="eastAsia" w:ascii="仿宋" w:hAnsi="仿宋" w:eastAsia="仿宋" w:cs="仿宋"/>
          <w:kern w:val="0"/>
          <w:szCs w:val="24"/>
        </w:rPr>
        <w:t xml:space="preserve">　　 </w:t>
      </w:r>
    </w:p>
    <w:p w14:paraId="09477880">
      <w:pPr>
        <w:widowControl/>
        <w:spacing w:line="440" w:lineRule="exact"/>
        <w:ind w:firstLine="420" w:firstLineChars="200"/>
        <w:rPr>
          <w:rFonts w:hint="eastAsia" w:ascii="仿宋" w:hAnsi="仿宋" w:eastAsia="仿宋" w:cs="仿宋"/>
          <w:kern w:val="0"/>
          <w:szCs w:val="24"/>
        </w:rPr>
      </w:pPr>
    </w:p>
    <w:p w14:paraId="6F0EAC1C">
      <w:pPr>
        <w:jc w:val="right"/>
        <w:rPr>
          <w:rFonts w:hint="eastAsia" w:ascii="仿宋" w:hAnsi="仿宋" w:eastAsia="仿宋" w:cs="仿宋"/>
        </w:rPr>
      </w:pPr>
      <w:r>
        <w:rPr>
          <w:rFonts w:hint="eastAsia" w:ascii="仿宋" w:hAnsi="仿宋" w:eastAsia="仿宋" w:cs="仿宋"/>
          <w:kern w:val="0"/>
          <w:szCs w:val="24"/>
        </w:rPr>
        <w:t>年　　月　　日</w:t>
      </w:r>
    </w:p>
    <w:p w14:paraId="36D67E7D">
      <w:pPr>
        <w:rPr>
          <w:rFonts w:hint="eastAsia" w:ascii="仿宋" w:hAnsi="仿宋" w:eastAsia="仿宋" w:cs="仿宋"/>
          <w:b/>
          <w:sz w:val="24"/>
          <w:szCs w:val="24"/>
        </w:rPr>
      </w:pPr>
      <w:r>
        <w:rPr>
          <w:rFonts w:hint="eastAsia" w:ascii="仿宋" w:hAnsi="仿宋" w:eastAsia="仿宋" w:cs="仿宋"/>
          <w:b/>
          <w:sz w:val="24"/>
          <w:szCs w:val="24"/>
        </w:rPr>
        <w:br w:type="page"/>
      </w:r>
    </w:p>
    <w:p w14:paraId="076DA65A">
      <w:pPr>
        <w:rPr>
          <w:rFonts w:hint="eastAsia" w:ascii="仿宋" w:hAnsi="仿宋" w:eastAsia="仿宋" w:cs="仿宋"/>
          <w:sz w:val="24"/>
          <w:szCs w:val="24"/>
        </w:rPr>
      </w:pPr>
      <w:r>
        <w:rPr>
          <w:rFonts w:hint="eastAsia" w:ascii="仿宋" w:hAnsi="仿宋" w:eastAsia="仿宋" w:cs="仿宋"/>
          <w:b/>
          <w:sz w:val="24"/>
          <w:szCs w:val="24"/>
        </w:rPr>
        <w:t>投标人认为有必要补充说明的事宜</w:t>
      </w:r>
      <w:r>
        <w:rPr>
          <w:rFonts w:hint="eastAsia" w:ascii="仿宋" w:hAnsi="仿宋" w:eastAsia="仿宋" w:cs="仿宋"/>
          <w:sz w:val="24"/>
          <w:szCs w:val="24"/>
        </w:rPr>
        <w:t>（若有）</w:t>
      </w:r>
    </w:p>
    <w:p w14:paraId="6FFB2CDF">
      <w:pPr>
        <w:rPr>
          <w:rFonts w:hint="eastAsia" w:ascii="仿宋" w:hAnsi="仿宋" w:eastAsia="仿宋" w:cs="仿宋"/>
          <w:sz w:val="24"/>
          <w:szCs w:val="24"/>
        </w:rPr>
      </w:pPr>
    </w:p>
    <w:p w14:paraId="71E5ABAE">
      <w:pPr>
        <w:rPr>
          <w:rFonts w:hint="eastAsia" w:ascii="仿宋" w:hAnsi="仿宋" w:eastAsia="仿宋" w:cs="仿宋"/>
          <w:sz w:val="24"/>
          <w:szCs w:val="24"/>
        </w:rPr>
      </w:pPr>
    </w:p>
    <w:p w14:paraId="5391AD84">
      <w:pPr>
        <w:rPr>
          <w:rFonts w:hint="eastAsia" w:ascii="仿宋" w:hAnsi="仿宋" w:eastAsia="仿宋" w:cs="仿宋"/>
        </w:rPr>
      </w:pPr>
    </w:p>
    <w:p w14:paraId="6E60A567">
      <w:pPr>
        <w:jc w:val="center"/>
        <w:rPr>
          <w:rFonts w:hint="eastAsia" w:ascii="仿宋" w:hAnsi="仿宋" w:eastAsia="仿宋" w:cs="仿宋"/>
          <w:b/>
          <w:bCs/>
          <w:sz w:val="24"/>
          <w:szCs w:val="24"/>
          <w:highlight w:val="none"/>
          <w:lang w:val="en-US" w:eastAsia="zh-CN"/>
        </w:rPr>
      </w:pPr>
    </w:p>
    <w:p w14:paraId="1D5125DD">
      <w:pPr>
        <w:rPr>
          <w:rFonts w:hint="eastAsia" w:ascii="仿宋" w:hAnsi="仿宋" w:eastAsia="仿宋" w:cs="仿宋"/>
          <w:u w:val="single"/>
        </w:rPr>
      </w:pPr>
    </w:p>
    <w:p w14:paraId="3976AED9">
      <w:pPr>
        <w:spacing w:line="480" w:lineRule="exact"/>
        <w:ind w:left="210" w:leftChars="100"/>
        <w:rPr>
          <w:rFonts w:hint="eastAsia" w:ascii="仿宋" w:hAnsi="仿宋" w:eastAsia="仿宋" w:cs="仿宋"/>
          <w:u w:val="single"/>
        </w:rPr>
      </w:pPr>
    </w:p>
    <w:p w14:paraId="44F0E3E7">
      <w:pPr>
        <w:rPr>
          <w:rFonts w:hint="eastAsia" w:ascii="仿宋" w:hAnsi="仿宋" w:eastAsia="仿宋" w:cs="仿宋"/>
        </w:rPr>
      </w:pPr>
    </w:p>
    <w:p w14:paraId="39680F4B">
      <w:pPr>
        <w:pStyle w:val="12"/>
        <w:rPr>
          <w:rFonts w:hint="eastAsia" w:ascii="仿宋" w:hAnsi="仿宋" w:eastAsia="仿宋" w:cs="仿宋"/>
        </w:rPr>
      </w:pPr>
      <w:r>
        <w:rPr>
          <w:rFonts w:hint="eastAsia" w:ascii="仿宋" w:hAnsi="仿宋" w:eastAsia="仿宋" w:cs="仿宋"/>
        </w:rPr>
        <w:br w:type="page"/>
      </w:r>
    </w:p>
    <w:p w14:paraId="0B3264A7">
      <w:pPr>
        <w:pStyle w:val="12"/>
        <w:jc w:val="center"/>
        <w:outlineLvl w:val="1"/>
        <w:rPr>
          <w:rFonts w:hint="eastAsia" w:ascii="仿宋" w:hAnsi="仿宋" w:eastAsia="仿宋" w:cs="仿宋"/>
        </w:rPr>
      </w:pPr>
      <w:bookmarkStart w:id="65" w:name="_Toc23779"/>
      <w:r>
        <w:rPr>
          <w:rFonts w:hint="eastAsia" w:ascii="仿宋" w:hAnsi="仿宋" w:eastAsia="仿宋" w:cs="仿宋"/>
          <w:b/>
          <w:sz w:val="36"/>
        </w:rPr>
        <w:t>第七章 拟签订合同文本</w:t>
      </w:r>
      <w:bookmarkEnd w:id="65"/>
    </w:p>
    <w:p w14:paraId="7B0FE410">
      <w:pPr>
        <w:pStyle w:val="12"/>
        <w:rPr>
          <w:rFonts w:hint="eastAsia" w:ascii="仿宋" w:hAnsi="仿宋" w:eastAsia="仿宋" w:cs="仿宋"/>
        </w:rPr>
      </w:pPr>
    </w:p>
    <w:p w14:paraId="5DE4716A">
      <w:pPr>
        <w:pStyle w:val="12"/>
        <w:jc w:val="center"/>
        <w:outlineLvl w:val="1"/>
        <w:rPr>
          <w:rFonts w:hint="eastAsia" w:ascii="仿宋" w:hAnsi="仿宋" w:eastAsia="仿宋" w:cs="仿宋"/>
          <w:color w:val="auto"/>
          <w:highlight w:val="none"/>
        </w:rPr>
      </w:pPr>
      <w:r>
        <w:rPr>
          <w:rFonts w:hint="eastAsia" w:ascii="仿宋" w:hAnsi="仿宋" w:eastAsia="仿宋" w:cs="仿宋"/>
        </w:rPr>
        <w:t xml:space="preserve"> </w:t>
      </w:r>
      <w:r>
        <w:rPr>
          <w:rFonts w:hint="eastAsia" w:ascii="仿宋" w:hAnsi="仿宋" w:eastAsia="仿宋" w:cs="仿宋"/>
        </w:rPr>
        <w:br w:type="textWrapping"/>
      </w:r>
      <w:r>
        <w:rPr>
          <w:rFonts w:hint="eastAsia" w:ascii="仿宋" w:hAnsi="仿宋" w:eastAsia="仿宋" w:cs="仿宋"/>
          <w:b/>
          <w:color w:val="auto"/>
          <w:sz w:val="36"/>
          <w:highlight w:val="none"/>
        </w:rPr>
        <w:t>拟签订合同文本</w:t>
      </w:r>
    </w:p>
    <w:p w14:paraId="357E642D">
      <w:pPr>
        <w:kinsoku w:val="0"/>
        <w:spacing w:line="360" w:lineRule="auto"/>
        <w:jc w:val="center"/>
        <w:rPr>
          <w:rFonts w:hint="eastAsia" w:ascii="仿宋" w:hAnsi="仿宋" w:eastAsia="仿宋" w:cs="仿宋"/>
          <w:color w:val="auto"/>
          <w:sz w:val="32"/>
          <w:szCs w:val="32"/>
          <w:highlight w:val="none"/>
        </w:rPr>
      </w:pPr>
      <w:r>
        <w:rPr>
          <w:rFonts w:hint="eastAsia" w:ascii="仿宋" w:hAnsi="仿宋" w:eastAsia="仿宋" w:cs="仿宋"/>
          <w:color w:val="auto"/>
          <w:highlight w:val="none"/>
        </w:rPr>
        <w:br w:type="textWrapping"/>
      </w:r>
      <w:r>
        <w:rPr>
          <w:rFonts w:hint="eastAsia" w:ascii="仿宋" w:hAnsi="仿宋" w:eastAsia="仿宋" w:cs="仿宋"/>
          <w:color w:val="auto"/>
          <w:sz w:val="32"/>
          <w:szCs w:val="32"/>
          <w:highlight w:val="none"/>
          <w:lang w:eastAsia="zh-CN"/>
        </w:rPr>
        <w:t>财务云共享中心</w:t>
      </w:r>
      <w:r>
        <w:rPr>
          <w:rFonts w:hint="eastAsia" w:ascii="仿宋" w:hAnsi="仿宋" w:eastAsia="仿宋" w:cs="仿宋"/>
          <w:color w:val="auto"/>
          <w:sz w:val="32"/>
          <w:szCs w:val="32"/>
          <w:highlight w:val="none"/>
        </w:rPr>
        <w:t>采购合同</w:t>
      </w:r>
    </w:p>
    <w:p w14:paraId="4CD5D39C">
      <w:pPr>
        <w:kinsoku w:val="0"/>
        <w:spacing w:line="360" w:lineRule="auto"/>
        <w:ind w:firstLine="600" w:firstLineChars="250"/>
        <w:rPr>
          <w:rFonts w:hint="eastAsia" w:ascii="仿宋" w:hAnsi="仿宋" w:eastAsia="仿宋" w:cs="仿宋"/>
          <w:color w:val="auto"/>
          <w:sz w:val="24"/>
          <w:highlight w:val="none"/>
        </w:rPr>
      </w:pPr>
    </w:p>
    <w:p w14:paraId="4223E987">
      <w:pPr>
        <w:kinsoku w:val="0"/>
        <w:spacing w:line="360" w:lineRule="auto"/>
        <w:ind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甲方：陕西铁路工程职业技术学院</w:t>
      </w:r>
    </w:p>
    <w:p w14:paraId="76C2C26C">
      <w:pPr>
        <w:kinsoku w:val="0"/>
        <w:spacing w:line="360" w:lineRule="auto"/>
        <w:ind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乙方： </w:t>
      </w:r>
    </w:p>
    <w:p w14:paraId="28A99608">
      <w:pPr>
        <w:kinsoku w:val="0"/>
        <w:spacing w:line="360" w:lineRule="auto"/>
        <w:ind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sz w:val="24"/>
          <w:highlight w:val="none"/>
        </w:rPr>
        <w:t>民法典</w:t>
      </w:r>
      <w:r>
        <w:rPr>
          <w:rFonts w:hint="eastAsia" w:ascii="仿宋" w:hAnsi="仿宋" w:eastAsia="仿宋" w:cs="仿宋"/>
          <w:color w:val="auto"/>
          <w:sz w:val="24"/>
          <w:highlight w:val="none"/>
          <w:lang w:val="zh-CN"/>
        </w:rPr>
        <w:t>》、《中华人民共和国政府采购法》</w:t>
      </w:r>
      <w:r>
        <w:rPr>
          <w:rFonts w:hint="eastAsia" w:ascii="仿宋" w:hAnsi="仿宋" w:eastAsia="仿宋" w:cs="仿宋"/>
          <w:color w:val="auto"/>
          <w:sz w:val="24"/>
          <w:highlight w:val="none"/>
        </w:rPr>
        <w:t>等法律法规，甲方通过公开招标，选定乙方为成交单位。甲、乙双方在平等基础上协商一致，达成如下合同条款:</w:t>
      </w:r>
    </w:p>
    <w:p w14:paraId="0CED80DC">
      <w:pPr>
        <w:kinsoku w:val="0"/>
        <w:spacing w:line="360" w:lineRule="auto"/>
        <w:ind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一、</w:t>
      </w:r>
      <w:r>
        <w:rPr>
          <w:rFonts w:hint="eastAsia" w:ascii="仿宋" w:hAnsi="仿宋" w:eastAsia="仿宋" w:cs="仿宋"/>
          <w:b/>
          <w:color w:val="auto"/>
          <w:sz w:val="24"/>
          <w:highlight w:val="none"/>
        </w:rPr>
        <w:t>合同内容    项目编号/包号：</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620"/>
        <w:gridCol w:w="1260"/>
        <w:gridCol w:w="900"/>
        <w:gridCol w:w="900"/>
        <w:gridCol w:w="900"/>
        <w:gridCol w:w="894"/>
        <w:gridCol w:w="839"/>
      </w:tblGrid>
      <w:tr w14:paraId="1E34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exact"/>
          <w:jc w:val="center"/>
        </w:trPr>
        <w:tc>
          <w:tcPr>
            <w:tcW w:w="786" w:type="dxa"/>
            <w:vAlign w:val="center"/>
          </w:tcPr>
          <w:p w14:paraId="0E75242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620" w:type="dxa"/>
            <w:vAlign w:val="center"/>
          </w:tcPr>
          <w:p w14:paraId="3EF7E64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产品名称</w:t>
            </w:r>
          </w:p>
        </w:tc>
        <w:tc>
          <w:tcPr>
            <w:tcW w:w="1260" w:type="dxa"/>
            <w:vAlign w:val="center"/>
          </w:tcPr>
          <w:p w14:paraId="4749CE9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型号</w:t>
            </w:r>
          </w:p>
        </w:tc>
        <w:tc>
          <w:tcPr>
            <w:tcW w:w="900" w:type="dxa"/>
            <w:vAlign w:val="center"/>
          </w:tcPr>
          <w:p w14:paraId="758660E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产地</w:t>
            </w:r>
          </w:p>
        </w:tc>
        <w:tc>
          <w:tcPr>
            <w:tcW w:w="900" w:type="dxa"/>
            <w:vAlign w:val="center"/>
          </w:tcPr>
          <w:p w14:paraId="3F412C2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900" w:type="dxa"/>
            <w:vAlign w:val="center"/>
          </w:tcPr>
          <w:p w14:paraId="4248B0A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894" w:type="dxa"/>
            <w:vAlign w:val="center"/>
          </w:tcPr>
          <w:p w14:paraId="79AE15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总价</w:t>
            </w:r>
          </w:p>
        </w:tc>
        <w:tc>
          <w:tcPr>
            <w:tcW w:w="839" w:type="dxa"/>
            <w:vAlign w:val="center"/>
          </w:tcPr>
          <w:p w14:paraId="268D850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F9C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jc w:val="center"/>
        </w:trPr>
        <w:tc>
          <w:tcPr>
            <w:tcW w:w="786" w:type="dxa"/>
            <w:vAlign w:val="center"/>
          </w:tcPr>
          <w:p w14:paraId="65F729F9">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620" w:type="dxa"/>
            <w:vAlign w:val="center"/>
          </w:tcPr>
          <w:p w14:paraId="56121FC7">
            <w:pPr>
              <w:adjustRightInd w:val="0"/>
              <w:snapToGrid w:val="0"/>
              <w:spacing w:line="360" w:lineRule="auto"/>
              <w:jc w:val="center"/>
              <w:rPr>
                <w:rFonts w:hint="eastAsia" w:ascii="仿宋" w:hAnsi="仿宋" w:eastAsia="仿宋" w:cs="仿宋"/>
                <w:color w:val="auto"/>
                <w:sz w:val="24"/>
                <w:highlight w:val="none"/>
              </w:rPr>
            </w:pPr>
          </w:p>
        </w:tc>
        <w:tc>
          <w:tcPr>
            <w:tcW w:w="1260" w:type="dxa"/>
            <w:vAlign w:val="center"/>
          </w:tcPr>
          <w:p w14:paraId="105A0BD5">
            <w:pPr>
              <w:spacing w:line="360" w:lineRule="auto"/>
              <w:jc w:val="center"/>
              <w:rPr>
                <w:rFonts w:hint="eastAsia" w:ascii="仿宋" w:hAnsi="仿宋" w:eastAsia="仿宋" w:cs="仿宋"/>
                <w:color w:val="auto"/>
                <w:sz w:val="24"/>
                <w:highlight w:val="none"/>
              </w:rPr>
            </w:pPr>
          </w:p>
        </w:tc>
        <w:tc>
          <w:tcPr>
            <w:tcW w:w="900" w:type="dxa"/>
            <w:vAlign w:val="center"/>
          </w:tcPr>
          <w:p w14:paraId="6984AB7D">
            <w:pPr>
              <w:spacing w:line="360" w:lineRule="auto"/>
              <w:jc w:val="center"/>
              <w:rPr>
                <w:rFonts w:hint="eastAsia" w:ascii="仿宋" w:hAnsi="仿宋" w:eastAsia="仿宋" w:cs="仿宋"/>
                <w:color w:val="auto"/>
                <w:sz w:val="24"/>
                <w:highlight w:val="none"/>
              </w:rPr>
            </w:pPr>
          </w:p>
        </w:tc>
        <w:tc>
          <w:tcPr>
            <w:tcW w:w="900" w:type="dxa"/>
            <w:vAlign w:val="center"/>
          </w:tcPr>
          <w:p w14:paraId="21B3D4B2">
            <w:pPr>
              <w:adjustRightInd w:val="0"/>
              <w:snapToGrid w:val="0"/>
              <w:spacing w:line="360" w:lineRule="auto"/>
              <w:jc w:val="center"/>
              <w:rPr>
                <w:rFonts w:hint="eastAsia" w:ascii="仿宋" w:hAnsi="仿宋" w:eastAsia="仿宋" w:cs="仿宋"/>
                <w:color w:val="auto"/>
                <w:sz w:val="24"/>
                <w:highlight w:val="none"/>
              </w:rPr>
            </w:pPr>
          </w:p>
        </w:tc>
        <w:tc>
          <w:tcPr>
            <w:tcW w:w="900" w:type="dxa"/>
            <w:vAlign w:val="center"/>
          </w:tcPr>
          <w:p w14:paraId="0AF374ED">
            <w:pPr>
              <w:autoSpaceDN w:val="0"/>
              <w:spacing w:line="360" w:lineRule="auto"/>
              <w:jc w:val="center"/>
              <w:textAlignment w:val="center"/>
              <w:rPr>
                <w:rFonts w:hint="eastAsia" w:ascii="仿宋" w:hAnsi="仿宋" w:eastAsia="仿宋" w:cs="仿宋"/>
                <w:color w:val="auto"/>
                <w:sz w:val="24"/>
                <w:highlight w:val="none"/>
              </w:rPr>
            </w:pPr>
          </w:p>
        </w:tc>
        <w:tc>
          <w:tcPr>
            <w:tcW w:w="894" w:type="dxa"/>
            <w:vAlign w:val="center"/>
          </w:tcPr>
          <w:p w14:paraId="38D96DC8">
            <w:pPr>
              <w:autoSpaceDN w:val="0"/>
              <w:spacing w:line="360" w:lineRule="auto"/>
              <w:jc w:val="center"/>
              <w:textAlignment w:val="center"/>
              <w:rPr>
                <w:rFonts w:hint="eastAsia" w:ascii="仿宋" w:hAnsi="仿宋" w:eastAsia="仿宋" w:cs="仿宋"/>
                <w:color w:val="auto"/>
                <w:sz w:val="24"/>
                <w:highlight w:val="none"/>
              </w:rPr>
            </w:pPr>
          </w:p>
        </w:tc>
        <w:tc>
          <w:tcPr>
            <w:tcW w:w="839" w:type="dxa"/>
            <w:vAlign w:val="center"/>
          </w:tcPr>
          <w:p w14:paraId="085568A7">
            <w:pPr>
              <w:autoSpaceDN w:val="0"/>
              <w:spacing w:line="360" w:lineRule="auto"/>
              <w:jc w:val="center"/>
              <w:textAlignment w:val="center"/>
              <w:rPr>
                <w:rFonts w:hint="eastAsia" w:ascii="仿宋" w:hAnsi="仿宋" w:eastAsia="仿宋" w:cs="仿宋"/>
                <w:color w:val="auto"/>
                <w:sz w:val="24"/>
                <w:highlight w:val="none"/>
              </w:rPr>
            </w:pPr>
          </w:p>
        </w:tc>
      </w:tr>
      <w:tr w14:paraId="277EB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jc w:val="center"/>
        </w:trPr>
        <w:tc>
          <w:tcPr>
            <w:tcW w:w="786" w:type="dxa"/>
            <w:vAlign w:val="center"/>
          </w:tcPr>
          <w:p w14:paraId="418FFEBE">
            <w:pPr>
              <w:adjustRightInd w:val="0"/>
              <w:snapToGrid w:val="0"/>
              <w:spacing w:line="360" w:lineRule="auto"/>
              <w:jc w:val="center"/>
              <w:rPr>
                <w:rFonts w:hint="eastAsia" w:ascii="仿宋" w:hAnsi="仿宋" w:eastAsia="仿宋" w:cs="仿宋"/>
                <w:color w:val="auto"/>
                <w:sz w:val="24"/>
                <w:highlight w:val="none"/>
              </w:rPr>
            </w:pPr>
          </w:p>
        </w:tc>
        <w:tc>
          <w:tcPr>
            <w:tcW w:w="1620" w:type="dxa"/>
            <w:vAlign w:val="center"/>
          </w:tcPr>
          <w:p w14:paraId="4C2CA560">
            <w:pPr>
              <w:adjustRightInd w:val="0"/>
              <w:snapToGrid w:val="0"/>
              <w:spacing w:line="360" w:lineRule="auto"/>
              <w:jc w:val="center"/>
              <w:rPr>
                <w:rFonts w:hint="eastAsia" w:ascii="仿宋" w:hAnsi="仿宋" w:eastAsia="仿宋" w:cs="仿宋"/>
                <w:color w:val="auto"/>
                <w:sz w:val="24"/>
                <w:highlight w:val="none"/>
              </w:rPr>
            </w:pPr>
          </w:p>
        </w:tc>
        <w:tc>
          <w:tcPr>
            <w:tcW w:w="1260" w:type="dxa"/>
            <w:vAlign w:val="center"/>
          </w:tcPr>
          <w:p w14:paraId="67D1325C">
            <w:pPr>
              <w:spacing w:line="360" w:lineRule="auto"/>
              <w:jc w:val="center"/>
              <w:rPr>
                <w:rFonts w:hint="eastAsia" w:ascii="仿宋" w:hAnsi="仿宋" w:eastAsia="仿宋" w:cs="仿宋"/>
                <w:color w:val="auto"/>
                <w:sz w:val="24"/>
                <w:highlight w:val="none"/>
              </w:rPr>
            </w:pPr>
          </w:p>
        </w:tc>
        <w:tc>
          <w:tcPr>
            <w:tcW w:w="900" w:type="dxa"/>
            <w:vAlign w:val="center"/>
          </w:tcPr>
          <w:p w14:paraId="5F85CF22">
            <w:pPr>
              <w:spacing w:line="360" w:lineRule="auto"/>
              <w:jc w:val="center"/>
              <w:rPr>
                <w:rFonts w:hint="eastAsia" w:ascii="仿宋" w:hAnsi="仿宋" w:eastAsia="仿宋" w:cs="仿宋"/>
                <w:color w:val="auto"/>
                <w:sz w:val="24"/>
                <w:highlight w:val="none"/>
              </w:rPr>
            </w:pPr>
          </w:p>
        </w:tc>
        <w:tc>
          <w:tcPr>
            <w:tcW w:w="900" w:type="dxa"/>
            <w:vAlign w:val="center"/>
          </w:tcPr>
          <w:p w14:paraId="2B6831C8">
            <w:pPr>
              <w:adjustRightInd w:val="0"/>
              <w:snapToGrid w:val="0"/>
              <w:spacing w:line="360" w:lineRule="auto"/>
              <w:jc w:val="center"/>
              <w:rPr>
                <w:rFonts w:hint="eastAsia" w:ascii="仿宋" w:hAnsi="仿宋" w:eastAsia="仿宋" w:cs="仿宋"/>
                <w:color w:val="auto"/>
                <w:sz w:val="24"/>
                <w:highlight w:val="none"/>
              </w:rPr>
            </w:pPr>
          </w:p>
        </w:tc>
        <w:tc>
          <w:tcPr>
            <w:tcW w:w="900" w:type="dxa"/>
            <w:vAlign w:val="center"/>
          </w:tcPr>
          <w:p w14:paraId="574A84BF">
            <w:pPr>
              <w:autoSpaceDN w:val="0"/>
              <w:spacing w:line="360" w:lineRule="auto"/>
              <w:jc w:val="center"/>
              <w:textAlignment w:val="center"/>
              <w:rPr>
                <w:rFonts w:hint="eastAsia" w:ascii="仿宋" w:hAnsi="仿宋" w:eastAsia="仿宋" w:cs="仿宋"/>
                <w:color w:val="auto"/>
                <w:sz w:val="24"/>
                <w:highlight w:val="none"/>
              </w:rPr>
            </w:pPr>
          </w:p>
        </w:tc>
        <w:tc>
          <w:tcPr>
            <w:tcW w:w="894" w:type="dxa"/>
            <w:vAlign w:val="center"/>
          </w:tcPr>
          <w:p w14:paraId="60D36AFA">
            <w:pPr>
              <w:autoSpaceDN w:val="0"/>
              <w:spacing w:line="360" w:lineRule="auto"/>
              <w:jc w:val="center"/>
              <w:textAlignment w:val="center"/>
              <w:rPr>
                <w:rFonts w:hint="eastAsia" w:ascii="仿宋" w:hAnsi="仿宋" w:eastAsia="仿宋" w:cs="仿宋"/>
                <w:color w:val="auto"/>
                <w:sz w:val="24"/>
                <w:highlight w:val="none"/>
              </w:rPr>
            </w:pPr>
          </w:p>
        </w:tc>
        <w:tc>
          <w:tcPr>
            <w:tcW w:w="839" w:type="dxa"/>
            <w:vAlign w:val="center"/>
          </w:tcPr>
          <w:p w14:paraId="29BBDFA0">
            <w:pPr>
              <w:autoSpaceDN w:val="0"/>
              <w:spacing w:line="360" w:lineRule="auto"/>
              <w:jc w:val="center"/>
              <w:textAlignment w:val="center"/>
              <w:rPr>
                <w:rFonts w:hint="eastAsia" w:ascii="仿宋" w:hAnsi="仿宋" w:eastAsia="仿宋" w:cs="仿宋"/>
                <w:color w:val="auto"/>
                <w:sz w:val="24"/>
                <w:highlight w:val="none"/>
              </w:rPr>
            </w:pPr>
          </w:p>
        </w:tc>
      </w:tr>
      <w:tr w14:paraId="2B46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jc w:val="center"/>
        </w:trPr>
        <w:tc>
          <w:tcPr>
            <w:tcW w:w="786" w:type="dxa"/>
            <w:vAlign w:val="center"/>
          </w:tcPr>
          <w:p w14:paraId="438047A6">
            <w:pPr>
              <w:adjustRightInd w:val="0"/>
              <w:snapToGrid w:val="0"/>
              <w:spacing w:line="360" w:lineRule="auto"/>
              <w:jc w:val="center"/>
              <w:rPr>
                <w:rFonts w:hint="eastAsia" w:ascii="仿宋" w:hAnsi="仿宋" w:eastAsia="仿宋" w:cs="仿宋"/>
                <w:color w:val="auto"/>
                <w:sz w:val="24"/>
                <w:highlight w:val="none"/>
              </w:rPr>
            </w:pPr>
          </w:p>
        </w:tc>
        <w:tc>
          <w:tcPr>
            <w:tcW w:w="1620" w:type="dxa"/>
            <w:vAlign w:val="center"/>
          </w:tcPr>
          <w:p w14:paraId="2B4993FB">
            <w:pPr>
              <w:adjustRightInd w:val="0"/>
              <w:snapToGrid w:val="0"/>
              <w:spacing w:line="360" w:lineRule="auto"/>
              <w:jc w:val="center"/>
              <w:rPr>
                <w:rFonts w:hint="eastAsia" w:ascii="仿宋" w:hAnsi="仿宋" w:eastAsia="仿宋" w:cs="仿宋"/>
                <w:color w:val="auto"/>
                <w:sz w:val="24"/>
                <w:highlight w:val="none"/>
              </w:rPr>
            </w:pPr>
          </w:p>
        </w:tc>
        <w:tc>
          <w:tcPr>
            <w:tcW w:w="1260" w:type="dxa"/>
            <w:vAlign w:val="center"/>
          </w:tcPr>
          <w:p w14:paraId="40BED482">
            <w:pPr>
              <w:spacing w:line="360" w:lineRule="auto"/>
              <w:jc w:val="center"/>
              <w:rPr>
                <w:rFonts w:hint="eastAsia" w:ascii="仿宋" w:hAnsi="仿宋" w:eastAsia="仿宋" w:cs="仿宋"/>
                <w:color w:val="auto"/>
                <w:sz w:val="24"/>
                <w:highlight w:val="none"/>
              </w:rPr>
            </w:pPr>
          </w:p>
        </w:tc>
        <w:tc>
          <w:tcPr>
            <w:tcW w:w="900" w:type="dxa"/>
            <w:vAlign w:val="center"/>
          </w:tcPr>
          <w:p w14:paraId="73EB4E46">
            <w:pPr>
              <w:spacing w:line="360" w:lineRule="auto"/>
              <w:jc w:val="center"/>
              <w:rPr>
                <w:rFonts w:hint="eastAsia" w:ascii="仿宋" w:hAnsi="仿宋" w:eastAsia="仿宋" w:cs="仿宋"/>
                <w:color w:val="auto"/>
                <w:sz w:val="24"/>
                <w:highlight w:val="none"/>
              </w:rPr>
            </w:pPr>
          </w:p>
        </w:tc>
        <w:tc>
          <w:tcPr>
            <w:tcW w:w="900" w:type="dxa"/>
            <w:vAlign w:val="center"/>
          </w:tcPr>
          <w:p w14:paraId="2526C579">
            <w:pPr>
              <w:adjustRightInd w:val="0"/>
              <w:snapToGrid w:val="0"/>
              <w:spacing w:line="360" w:lineRule="auto"/>
              <w:jc w:val="center"/>
              <w:rPr>
                <w:rFonts w:hint="eastAsia" w:ascii="仿宋" w:hAnsi="仿宋" w:eastAsia="仿宋" w:cs="仿宋"/>
                <w:color w:val="auto"/>
                <w:sz w:val="24"/>
                <w:highlight w:val="none"/>
              </w:rPr>
            </w:pPr>
          </w:p>
        </w:tc>
        <w:tc>
          <w:tcPr>
            <w:tcW w:w="900" w:type="dxa"/>
            <w:vAlign w:val="center"/>
          </w:tcPr>
          <w:p w14:paraId="5B72781D">
            <w:pPr>
              <w:autoSpaceDN w:val="0"/>
              <w:spacing w:line="360" w:lineRule="auto"/>
              <w:jc w:val="center"/>
              <w:textAlignment w:val="center"/>
              <w:rPr>
                <w:rFonts w:hint="eastAsia" w:ascii="仿宋" w:hAnsi="仿宋" w:eastAsia="仿宋" w:cs="仿宋"/>
                <w:color w:val="auto"/>
                <w:sz w:val="24"/>
                <w:highlight w:val="none"/>
              </w:rPr>
            </w:pPr>
          </w:p>
        </w:tc>
        <w:tc>
          <w:tcPr>
            <w:tcW w:w="894" w:type="dxa"/>
            <w:vAlign w:val="center"/>
          </w:tcPr>
          <w:p w14:paraId="5176E379">
            <w:pPr>
              <w:autoSpaceDN w:val="0"/>
              <w:spacing w:line="360" w:lineRule="auto"/>
              <w:jc w:val="center"/>
              <w:textAlignment w:val="center"/>
              <w:rPr>
                <w:rFonts w:hint="eastAsia" w:ascii="仿宋" w:hAnsi="仿宋" w:eastAsia="仿宋" w:cs="仿宋"/>
                <w:color w:val="auto"/>
                <w:sz w:val="24"/>
                <w:highlight w:val="none"/>
              </w:rPr>
            </w:pPr>
          </w:p>
        </w:tc>
        <w:tc>
          <w:tcPr>
            <w:tcW w:w="839" w:type="dxa"/>
            <w:vAlign w:val="center"/>
          </w:tcPr>
          <w:p w14:paraId="59018B39">
            <w:pPr>
              <w:autoSpaceDN w:val="0"/>
              <w:spacing w:line="360" w:lineRule="auto"/>
              <w:jc w:val="center"/>
              <w:textAlignment w:val="center"/>
              <w:rPr>
                <w:rFonts w:hint="eastAsia" w:ascii="仿宋" w:hAnsi="仿宋" w:eastAsia="仿宋" w:cs="仿宋"/>
                <w:color w:val="auto"/>
                <w:sz w:val="24"/>
                <w:highlight w:val="none"/>
              </w:rPr>
            </w:pPr>
          </w:p>
        </w:tc>
      </w:tr>
      <w:tr w14:paraId="3005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jc w:val="center"/>
        </w:trPr>
        <w:tc>
          <w:tcPr>
            <w:tcW w:w="2406" w:type="dxa"/>
            <w:gridSpan w:val="2"/>
            <w:vAlign w:val="center"/>
          </w:tcPr>
          <w:p w14:paraId="59972367">
            <w:pPr>
              <w:adjustRightInd w:val="0"/>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总计（人民币/元）</w:t>
            </w:r>
          </w:p>
        </w:tc>
        <w:tc>
          <w:tcPr>
            <w:tcW w:w="5693" w:type="dxa"/>
            <w:gridSpan w:val="6"/>
            <w:vAlign w:val="center"/>
          </w:tcPr>
          <w:p w14:paraId="1635FBB0">
            <w:pPr>
              <w:adjustRightInd w:val="0"/>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（大写）</w:t>
            </w:r>
          </w:p>
        </w:tc>
      </w:tr>
    </w:tbl>
    <w:p w14:paraId="58E23F5D">
      <w:pPr>
        <w:kinsoku w:val="0"/>
        <w:spacing w:line="360" w:lineRule="auto"/>
        <w:ind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（参数较多可以附件说明）</w:t>
      </w:r>
    </w:p>
    <w:p w14:paraId="7AA5B084">
      <w:pPr>
        <w:kinsoku w:val="0"/>
        <w:spacing w:line="360" w:lineRule="auto"/>
        <w:ind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乙方负责按以上确定的产品规格、型号及配套内容进行供货，及时运到甲方指定交货地点安装调试，确保所有产品达到最佳运行状态，负责对甲方操作、维护人员进行培训，指导操作、使用和维修保养，做好售后服务工作。</w:t>
      </w:r>
    </w:p>
    <w:p w14:paraId="4171C112">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二、合同价格</w:t>
      </w:r>
    </w:p>
    <w:p w14:paraId="4408B8F7">
      <w:pPr>
        <w:kinsoku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合同总价：人民币大写：</w:t>
      </w:r>
      <w:r>
        <w:rPr>
          <w:rFonts w:hint="eastAsia" w:ascii="仿宋" w:hAnsi="仿宋" w:eastAsia="仿宋" w:cs="仿宋"/>
          <w:b/>
          <w:color w:val="auto"/>
          <w:sz w:val="24"/>
          <w:highlight w:val="none"/>
          <w:u w:val="single"/>
        </w:rPr>
        <w:t>_           _</w:t>
      </w:r>
      <w:r>
        <w:rPr>
          <w:rFonts w:hint="eastAsia" w:ascii="仿宋" w:hAnsi="仿宋" w:eastAsia="仿宋" w:cs="仿宋"/>
          <w:b/>
          <w:color w:val="auto"/>
          <w:sz w:val="24"/>
          <w:highlight w:val="none"/>
        </w:rPr>
        <w:t>元整；¥</w:t>
      </w: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u w:val="single"/>
        </w:rPr>
        <w:t>_   __</w:t>
      </w:r>
      <w:r>
        <w:rPr>
          <w:rFonts w:hint="eastAsia" w:ascii="仿宋" w:hAnsi="仿宋" w:eastAsia="仿宋" w:cs="仿宋"/>
          <w:color w:val="auto"/>
          <w:sz w:val="24"/>
          <w:highlight w:val="none"/>
        </w:rPr>
        <w:t>元。</w:t>
      </w:r>
    </w:p>
    <w:p w14:paraId="1DACA50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总价包括：产品的供应费及所发生的运输费、杂费（含保险）、商检费、搬运费、安装调试费、培训费等，包括从产品供应地点到交货地点所包含的一切费用。合同总价不可变更，不受市场价变化的影响，不受实际数量变化的影响。</w:t>
      </w:r>
    </w:p>
    <w:p w14:paraId="75088A2E">
      <w:pPr>
        <w:spacing w:line="360" w:lineRule="auto"/>
        <w:ind w:firstLine="482"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b/>
          <w:color w:val="auto"/>
          <w:sz w:val="24"/>
          <w:highlight w:val="none"/>
        </w:rPr>
        <w:t>三、款项支付</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u w:val="single"/>
        </w:rPr>
        <w:t>_           _</w:t>
      </w:r>
    </w:p>
    <w:p w14:paraId="7EDB9AA4">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四、完工条件</w:t>
      </w:r>
    </w:p>
    <w:p w14:paraId="49C87359">
      <w:pPr>
        <w:kinsoku w:val="0"/>
        <w:spacing w:line="360" w:lineRule="auto"/>
        <w:ind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1、项目实施地点：陕西铁路工程职业技术学院指定地点。</w:t>
      </w:r>
    </w:p>
    <w:p w14:paraId="29FDFB38">
      <w:pPr>
        <w:kinsoku w:val="0"/>
        <w:spacing w:line="360" w:lineRule="auto"/>
        <w:ind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2、完工日期：</w:t>
      </w:r>
    </w:p>
    <w:p w14:paraId="0F9B5DAD">
      <w:pPr>
        <w:kinsoku w:val="0"/>
        <w:spacing w:line="360" w:lineRule="auto"/>
        <w:ind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交付条件：</w:t>
      </w:r>
    </w:p>
    <w:p w14:paraId="56657084">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五、运输方式：</w:t>
      </w:r>
      <w:r>
        <w:rPr>
          <w:rFonts w:hint="eastAsia" w:ascii="仿宋" w:hAnsi="仿宋" w:eastAsia="仿宋" w:cs="仿宋"/>
          <w:color w:val="auto"/>
          <w:sz w:val="24"/>
          <w:highlight w:val="none"/>
        </w:rPr>
        <w:t>根据产品特性，由乙方在保证产品质量的前提下，自行选择运输及包装方式，发生的一切费用全部由乙方承担。</w:t>
      </w:r>
    </w:p>
    <w:p w14:paraId="0C9A5A6A">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六、质量保证</w:t>
      </w:r>
    </w:p>
    <w:p w14:paraId="188B3B8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1、产品的质量保证期为: 不少于</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个月（乙方承诺质保期高于</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个月，质保期为乙方实际承诺的时间）。</w:t>
      </w:r>
    </w:p>
    <w:p w14:paraId="307835B0">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2、乙方保证所提供的产品质量可靠，进货渠道正常，配置合理，技术性能完全满足招标文件要求；</w:t>
      </w:r>
    </w:p>
    <w:p w14:paraId="0EB073E3">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若产品所用原材料或加工工艺造成的质量和内外观缺陷问题，由乙方负责解决并承担费用。（乙方保证货物是全新的、未曾使用过的、以优质工艺及材料制造，并保证所供产品的完整性，本合同产品为成套供货，合同总价中已包括满足产品完整运行的附件，备件，配套件等，产品质量应符合国标标准和本合同附件的要求,乙方应随机提供产品检验报告。）</w:t>
      </w:r>
    </w:p>
    <w:p w14:paraId="225A81DD">
      <w:pPr>
        <w:adjustRightInd w:val="0"/>
        <w:snapToGrid w:val="0"/>
        <w:spacing w:line="360" w:lineRule="auto"/>
        <w:ind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4、产品的质保期为产品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月质保期内若发生产品质量问题，乙方应立即免费解决；超过质保期的，按照厂家承诺进行。</w:t>
      </w:r>
    </w:p>
    <w:p w14:paraId="0534D02F">
      <w:pPr>
        <w:adjustRightInd w:val="0"/>
        <w:snapToGrid w:val="0"/>
        <w:spacing w:line="360" w:lineRule="auto"/>
        <w:ind w:firstLine="600" w:firstLineChars="250"/>
        <w:rPr>
          <w:rFonts w:hint="eastAsia" w:ascii="仿宋" w:hAnsi="仿宋" w:eastAsia="仿宋" w:cs="仿宋"/>
          <w:bCs/>
          <w:color w:val="auto"/>
          <w:sz w:val="24"/>
          <w:highlight w:val="none"/>
        </w:rPr>
      </w:pPr>
      <w:r>
        <w:rPr>
          <w:rFonts w:hint="eastAsia" w:ascii="仿宋" w:hAnsi="仿宋" w:eastAsia="仿宋" w:cs="仿宋"/>
          <w:color w:val="auto"/>
          <w:sz w:val="24"/>
          <w:highlight w:val="none"/>
        </w:rPr>
        <w:t>5、产品</w:t>
      </w:r>
      <w:r>
        <w:rPr>
          <w:rFonts w:hint="eastAsia" w:ascii="仿宋" w:hAnsi="仿宋" w:eastAsia="仿宋" w:cs="仿宋"/>
          <w:bCs/>
          <w:color w:val="auto"/>
          <w:sz w:val="24"/>
          <w:highlight w:val="none"/>
        </w:rPr>
        <w:t>性能未达到技术要求的，乙方限期内进行整改；整改仍达不到要求的，甲方有权解除合同，保留依法索赔的权利。</w:t>
      </w:r>
    </w:p>
    <w:p w14:paraId="562346D5">
      <w:pPr>
        <w:adjustRightInd w:val="0"/>
        <w:snapToGrid w:val="0"/>
        <w:spacing w:line="360" w:lineRule="auto"/>
        <w:ind w:firstLine="600" w:firstLineChars="250"/>
        <w:rPr>
          <w:rFonts w:hint="eastAsia" w:ascii="仿宋" w:hAnsi="仿宋" w:eastAsia="仿宋" w:cs="仿宋"/>
          <w:color w:val="auto"/>
          <w:sz w:val="24"/>
          <w:highlight w:val="none"/>
        </w:rPr>
      </w:pPr>
      <w:r>
        <w:rPr>
          <w:rFonts w:hint="eastAsia" w:ascii="仿宋" w:hAnsi="仿宋" w:eastAsia="仿宋" w:cs="仿宋"/>
          <w:bCs/>
          <w:color w:val="auto"/>
          <w:sz w:val="24"/>
          <w:highlight w:val="none"/>
        </w:rPr>
        <w:t>6、</w:t>
      </w:r>
      <w:r>
        <w:rPr>
          <w:rFonts w:hint="eastAsia" w:ascii="仿宋" w:hAnsi="仿宋" w:eastAsia="仿宋" w:cs="仿宋"/>
          <w:color w:val="auto"/>
          <w:sz w:val="24"/>
          <w:highlight w:val="none"/>
        </w:rPr>
        <w:t>知识产权：即乙方应保证甲方在使用成交货物时，不承担任何涉及知识产权法律诉讼的责任。</w:t>
      </w:r>
    </w:p>
    <w:p w14:paraId="22613638">
      <w:pPr>
        <w:adjustRightInd w:val="0"/>
        <w:snapToGrid w:val="0"/>
        <w:spacing w:line="360" w:lineRule="auto"/>
        <w:ind w:firstLine="359" w:firstLineChars="14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七、安装、调试及技术服务</w:t>
      </w:r>
    </w:p>
    <w:p w14:paraId="0669B7D9">
      <w:pPr>
        <w:spacing w:line="360" w:lineRule="auto"/>
        <w:ind w:firstLine="496" w:firstLineChars="207"/>
        <w:rPr>
          <w:rFonts w:hint="eastAsia" w:ascii="仿宋" w:hAnsi="仿宋" w:eastAsia="仿宋" w:cs="仿宋"/>
          <w:color w:val="auto"/>
          <w:sz w:val="24"/>
          <w:highlight w:val="none"/>
        </w:rPr>
      </w:pPr>
      <w:r>
        <w:rPr>
          <w:rFonts w:hint="eastAsia" w:ascii="仿宋" w:hAnsi="仿宋" w:eastAsia="仿宋" w:cs="仿宋"/>
          <w:color w:val="auto"/>
          <w:sz w:val="24"/>
          <w:highlight w:val="none"/>
        </w:rPr>
        <w:t>1、技术资料包括：出厂检测报告、产品使用说明书、合格证等其它相关资料。</w:t>
      </w:r>
    </w:p>
    <w:p w14:paraId="20BEA77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在质保期内（保修起始日为货到验收合格之日起），乙方在接到用户对所购产品进行维修的要求后，24小时内到用户现场进行维修服务，全部费用由乙方支付，若需将产品送回生产厂，由乙方支付维修产品所需的往返费用。</w:t>
      </w:r>
    </w:p>
    <w:p w14:paraId="4D2B83CE">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3、乙方保证产品完全按招标要求提供，若达不到要求，乙方须及时跟甲方沟通协商更换产品，并按照再次验收合格时间相应延长该产品保修期。</w:t>
      </w:r>
    </w:p>
    <w:p w14:paraId="196C4E2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4、技术培训</w:t>
      </w:r>
    </w:p>
    <w:p w14:paraId="6AFFF41B">
      <w:pPr>
        <w:spacing w:line="360" w:lineRule="auto"/>
        <w:ind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1）内容：包括产品原理、使用操作、保养维修技术等，使受训人员达到独立使用、熟练操作的程度。</w:t>
      </w:r>
    </w:p>
    <w:p w14:paraId="78448EE4">
      <w:pPr>
        <w:spacing w:line="360" w:lineRule="auto"/>
        <w:ind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2）培训准备：每台仪器培训主要操作人员2-3人。</w:t>
      </w:r>
    </w:p>
    <w:p w14:paraId="792AADFF">
      <w:pPr>
        <w:spacing w:line="360" w:lineRule="auto"/>
        <w:ind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3）地点：仪器安装地点（陕西铁路工程职业技术学院）</w:t>
      </w:r>
    </w:p>
    <w:p w14:paraId="75620280">
      <w:pPr>
        <w:spacing w:line="360" w:lineRule="auto"/>
        <w:ind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4）时间：在收到甲方通知后一周内安排。</w:t>
      </w:r>
    </w:p>
    <w:p w14:paraId="4C06D3D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5、服务承诺：按投标文件中的服务承诺执行。</w:t>
      </w:r>
    </w:p>
    <w:p w14:paraId="3CFAF71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6、安装调试过程中出现的安全责任问题由乙方全权负责。</w:t>
      </w:r>
    </w:p>
    <w:p w14:paraId="02E60879">
      <w:pPr>
        <w:tabs>
          <w:tab w:val="left" w:pos="5355"/>
        </w:tabs>
        <w:spacing w:line="360" w:lineRule="auto"/>
        <w:ind w:firstLine="506" w:firstLineChars="21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八、违约责任：</w:t>
      </w:r>
    </w:p>
    <w:p w14:paraId="4DDFB8A3">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1、按《中华人民共和国民法典》中合同部分的相关条款执行。</w:t>
      </w:r>
    </w:p>
    <w:p w14:paraId="1ABB254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2、未按合同要求提供产品或产品质量不能满足技术要求，甲方有权终止合同，并保留追究乙方违约责任的权利。</w:t>
      </w:r>
    </w:p>
    <w:p w14:paraId="1891DA08">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3、时间迟延的，违约方按照每天1‰向对方承担违约责任。产品质量问题违约的，除了按照迟延时间计算违约金外，另可以采取退货、换货等方式，由供方承担一切费用。</w:t>
      </w:r>
    </w:p>
    <w:p w14:paraId="2E661217">
      <w:pPr>
        <w:adjustRightInd w:val="0"/>
        <w:snapToGrid w:val="0"/>
        <w:spacing w:line="360" w:lineRule="auto"/>
        <w:ind w:firstLine="420" w:firstLineChars="200"/>
        <w:rPr>
          <w:rFonts w:hint="eastAsia" w:ascii="仿宋" w:hAnsi="仿宋" w:eastAsia="仿宋" w:cs="仿宋"/>
          <w:color w:val="auto"/>
          <w:sz w:val="24"/>
          <w:highlight w:val="none"/>
        </w:rPr>
      </w:pPr>
      <w:r>
        <w:rPr>
          <w:rFonts w:hint="eastAsia" w:ascii="仿宋" w:hAnsi="仿宋" w:eastAsia="仿宋" w:cs="仿宋"/>
          <w:color w:val="auto"/>
          <w:highlight w:val="none"/>
        </w:rPr>
        <w:t>4、乙方不得进行债权转让。</w:t>
      </w:r>
    </w:p>
    <w:p w14:paraId="1CD0C424">
      <w:pPr>
        <w:spacing w:line="360" w:lineRule="auto"/>
        <w:ind w:firstLine="53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九、产品验收</w:t>
      </w:r>
    </w:p>
    <w:p w14:paraId="10014D0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1、产品到货后，乙方负责安装调试，达到正常运行条件后书面通知甲方验收。</w:t>
      </w:r>
    </w:p>
    <w:p w14:paraId="1CF3F47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2、安装完成后应提供详细的安装报告，并详细记录各种指示的实测数据。</w:t>
      </w:r>
    </w:p>
    <w:p w14:paraId="55F6F9B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3、提供完整的操作手册和安装、调试、维修手册；提供制造厂家的检验测试报告或产品出厂检测报告。</w:t>
      </w:r>
    </w:p>
    <w:p w14:paraId="7ED68B9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4、甲方根据合同要求对产品进行验收、确认产品的产地、规格、型号和数量。验收依据为</w:t>
      </w:r>
      <w:bookmarkStart w:id="66" w:name="_Toc337393760"/>
      <w:r>
        <w:rPr>
          <w:rFonts w:hint="eastAsia" w:ascii="仿宋" w:hAnsi="仿宋" w:eastAsia="仿宋" w:cs="仿宋"/>
          <w:color w:val="auto"/>
          <w:sz w:val="24"/>
          <w:highlight w:val="none"/>
        </w:rPr>
        <w:t>本合同文本、招标文件和国内相应的标准、规范</w:t>
      </w:r>
      <w:bookmarkEnd w:id="66"/>
      <w:bookmarkStart w:id="67" w:name="_Toc337393761"/>
      <w:r>
        <w:rPr>
          <w:rFonts w:hint="eastAsia" w:ascii="仿宋" w:hAnsi="仿宋" w:eastAsia="仿宋" w:cs="仿宋"/>
          <w:color w:val="auto"/>
          <w:sz w:val="24"/>
          <w:highlight w:val="none"/>
        </w:rPr>
        <w:t>。</w:t>
      </w:r>
      <w:bookmarkEnd w:id="67"/>
    </w:p>
    <w:p w14:paraId="07B5FCD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5、验收合格后，填写产品验收单，并向甲方提交产品所包含的所有资料，以便甲方日后管理和维护。</w:t>
      </w:r>
    </w:p>
    <w:p w14:paraId="6BB1ADF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6、验收由甲方负责组织或者邀请有关专家、质检机构、采购代理机构共同进行验收,验收须以合同、招标文件、澄清、及国家相应的标准、规范等为依据。</w:t>
      </w:r>
    </w:p>
    <w:p w14:paraId="1A6C42EA">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十、售后服务：</w:t>
      </w:r>
    </w:p>
    <w:p w14:paraId="464FBE7C">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十一、合同争议的解决：</w:t>
      </w:r>
    </w:p>
    <w:p w14:paraId="7C4B6CB7">
      <w:pPr>
        <w:tabs>
          <w:tab w:val="left" w:pos="5355"/>
        </w:tabs>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合同一经签订，不得随意变更、中止或终止。对确需变更、调整或者中止、终止合同的，应按规定履行相应的手续。</w:t>
      </w:r>
    </w:p>
    <w:p w14:paraId="7496A83B">
      <w:pPr>
        <w:tabs>
          <w:tab w:val="left" w:pos="5355"/>
        </w:tabs>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合同执行中发生争议的，甲、乙双方应协商解决，协商达不成一致时，可向甲方所在地人民法院提请诉讼。</w:t>
      </w:r>
    </w:p>
    <w:p w14:paraId="52C0D419">
      <w:pPr>
        <w:tabs>
          <w:tab w:val="left" w:pos="980"/>
        </w:tabs>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十二、本合同一式陆份，</w:t>
      </w:r>
      <w:r>
        <w:rPr>
          <w:rFonts w:hint="eastAsia" w:ascii="仿宋" w:hAnsi="仿宋" w:eastAsia="仿宋" w:cs="仿宋"/>
          <w:color w:val="auto"/>
          <w:sz w:val="24"/>
          <w:highlight w:val="none"/>
        </w:rPr>
        <w:t>甲方肆份，乙方贰份。签字盖章后生效，合同执行完毕自动失效。（合同的服务承诺则长期有效）。</w:t>
      </w:r>
    </w:p>
    <w:p w14:paraId="4A9595E1">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十三、其它</w:t>
      </w:r>
      <w:r>
        <w:rPr>
          <w:rFonts w:hint="eastAsia" w:ascii="仿宋" w:hAnsi="仿宋" w:eastAsia="仿宋" w:cs="仿宋"/>
          <w:b/>
          <w:bCs/>
          <w:color w:val="auto"/>
          <w:sz w:val="24"/>
          <w:highlight w:val="none"/>
        </w:rPr>
        <w:t>（乙方信息全部为必填项）</w:t>
      </w:r>
    </w:p>
    <w:tbl>
      <w:tblPr>
        <w:tblStyle w:val="10"/>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9"/>
        <w:gridCol w:w="4360"/>
      </w:tblGrid>
      <w:tr w14:paraId="5E30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359" w:type="dxa"/>
            <w:tcBorders>
              <w:top w:val="single" w:color="auto" w:sz="4" w:space="0"/>
              <w:left w:val="single" w:color="auto" w:sz="4" w:space="0"/>
              <w:bottom w:val="single" w:color="auto" w:sz="4" w:space="0"/>
              <w:right w:val="single" w:color="auto" w:sz="4" w:space="0"/>
            </w:tcBorders>
            <w:vAlign w:val="center"/>
          </w:tcPr>
          <w:p w14:paraId="67A3A790">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甲  方</w:t>
            </w:r>
          </w:p>
        </w:tc>
        <w:tc>
          <w:tcPr>
            <w:tcW w:w="4360" w:type="dxa"/>
            <w:tcBorders>
              <w:top w:val="single" w:color="auto" w:sz="4" w:space="0"/>
              <w:left w:val="single" w:color="auto" w:sz="4" w:space="0"/>
              <w:bottom w:val="single" w:color="auto" w:sz="4" w:space="0"/>
              <w:right w:val="single" w:color="auto" w:sz="4" w:space="0"/>
            </w:tcBorders>
            <w:vAlign w:val="center"/>
          </w:tcPr>
          <w:p w14:paraId="0C601C74">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乙  方</w:t>
            </w:r>
          </w:p>
        </w:tc>
      </w:tr>
      <w:tr w14:paraId="55E1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jc w:val="center"/>
        </w:trPr>
        <w:tc>
          <w:tcPr>
            <w:tcW w:w="4359" w:type="dxa"/>
            <w:tcBorders>
              <w:top w:val="single" w:color="auto" w:sz="4" w:space="0"/>
              <w:left w:val="single" w:color="auto" w:sz="4" w:space="0"/>
              <w:bottom w:val="single" w:color="auto" w:sz="4" w:space="0"/>
              <w:right w:val="single" w:color="auto" w:sz="4" w:space="0"/>
            </w:tcBorders>
            <w:vAlign w:val="center"/>
          </w:tcPr>
          <w:p w14:paraId="7B0D4AAE">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（盖章）</w:t>
            </w:r>
          </w:p>
        </w:tc>
        <w:tc>
          <w:tcPr>
            <w:tcW w:w="4360" w:type="dxa"/>
            <w:tcBorders>
              <w:top w:val="single" w:color="auto" w:sz="4" w:space="0"/>
              <w:left w:val="single" w:color="auto" w:sz="4" w:space="0"/>
              <w:bottom w:val="single" w:color="auto" w:sz="4" w:space="0"/>
              <w:right w:val="single" w:color="auto" w:sz="4" w:space="0"/>
            </w:tcBorders>
            <w:vAlign w:val="center"/>
          </w:tcPr>
          <w:p w14:paraId="47F6FA49">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成交单位全称</w:t>
            </w:r>
          </w:p>
          <w:p w14:paraId="68EC8CC5">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（盖章）</w:t>
            </w:r>
          </w:p>
        </w:tc>
      </w:tr>
      <w:tr w14:paraId="7339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359" w:type="dxa"/>
            <w:tcBorders>
              <w:top w:val="single" w:color="auto" w:sz="4" w:space="0"/>
              <w:left w:val="single" w:color="auto" w:sz="4" w:space="0"/>
              <w:bottom w:val="single" w:color="auto" w:sz="4" w:space="0"/>
              <w:right w:val="single" w:color="auto" w:sz="4" w:space="0"/>
            </w:tcBorders>
            <w:vAlign w:val="center"/>
          </w:tcPr>
          <w:p w14:paraId="427933DA">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p>
        </w:tc>
        <w:tc>
          <w:tcPr>
            <w:tcW w:w="4360" w:type="dxa"/>
            <w:tcBorders>
              <w:top w:val="single" w:color="auto" w:sz="4" w:space="0"/>
              <w:left w:val="single" w:color="auto" w:sz="4" w:space="0"/>
              <w:bottom w:val="single" w:color="auto" w:sz="4" w:space="0"/>
              <w:right w:val="single" w:color="auto" w:sz="4" w:space="0"/>
            </w:tcBorders>
            <w:vAlign w:val="center"/>
          </w:tcPr>
          <w:p w14:paraId="3EC6FF39">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p>
        </w:tc>
      </w:tr>
      <w:tr w14:paraId="66E2A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359" w:type="dxa"/>
            <w:tcBorders>
              <w:top w:val="single" w:color="auto" w:sz="4" w:space="0"/>
              <w:left w:val="single" w:color="auto" w:sz="4" w:space="0"/>
              <w:bottom w:val="single" w:color="auto" w:sz="4" w:space="0"/>
              <w:right w:val="single" w:color="auto" w:sz="4" w:space="0"/>
            </w:tcBorders>
            <w:vAlign w:val="center"/>
          </w:tcPr>
          <w:p w14:paraId="12ADE9A4">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邮编：</w:t>
            </w:r>
          </w:p>
        </w:tc>
        <w:tc>
          <w:tcPr>
            <w:tcW w:w="4360" w:type="dxa"/>
            <w:tcBorders>
              <w:top w:val="single" w:color="auto" w:sz="4" w:space="0"/>
              <w:left w:val="single" w:color="auto" w:sz="4" w:space="0"/>
              <w:bottom w:val="single" w:color="auto" w:sz="4" w:space="0"/>
              <w:right w:val="single" w:color="auto" w:sz="4" w:space="0"/>
            </w:tcBorders>
            <w:vAlign w:val="center"/>
          </w:tcPr>
          <w:p w14:paraId="34E8ED41">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邮编：</w:t>
            </w:r>
          </w:p>
        </w:tc>
      </w:tr>
      <w:tr w14:paraId="4C44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359" w:type="dxa"/>
            <w:vMerge w:val="restart"/>
            <w:tcBorders>
              <w:top w:val="single" w:color="auto" w:sz="4" w:space="0"/>
              <w:left w:val="single" w:color="auto" w:sz="4" w:space="0"/>
              <w:right w:val="single" w:color="auto" w:sz="4" w:space="0"/>
            </w:tcBorders>
            <w:vAlign w:val="center"/>
          </w:tcPr>
          <w:p w14:paraId="1FD4D81E">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w:t>
            </w:r>
          </w:p>
        </w:tc>
        <w:tc>
          <w:tcPr>
            <w:tcW w:w="4360" w:type="dxa"/>
            <w:tcBorders>
              <w:top w:val="single" w:color="auto" w:sz="4" w:space="0"/>
              <w:left w:val="single" w:color="auto" w:sz="4" w:space="0"/>
              <w:bottom w:val="single" w:color="auto" w:sz="4" w:space="0"/>
              <w:right w:val="single" w:color="auto" w:sz="4" w:space="0"/>
            </w:tcBorders>
            <w:vAlign w:val="center"/>
          </w:tcPr>
          <w:p w14:paraId="4373CB1E">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r>
      <w:tr w14:paraId="07DE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359" w:type="dxa"/>
            <w:vMerge w:val="continue"/>
            <w:tcBorders>
              <w:left w:val="single" w:color="auto" w:sz="4" w:space="0"/>
              <w:bottom w:val="single" w:color="auto" w:sz="4" w:space="0"/>
              <w:right w:val="single" w:color="auto" w:sz="4" w:space="0"/>
            </w:tcBorders>
            <w:vAlign w:val="center"/>
          </w:tcPr>
          <w:p w14:paraId="6C40F477">
            <w:pPr>
              <w:spacing w:line="360" w:lineRule="auto"/>
              <w:jc w:val="left"/>
              <w:rPr>
                <w:rFonts w:hint="eastAsia" w:ascii="仿宋" w:hAnsi="仿宋" w:eastAsia="仿宋" w:cs="仿宋"/>
                <w:color w:val="auto"/>
                <w:sz w:val="24"/>
                <w:highlight w:val="none"/>
              </w:rPr>
            </w:pPr>
          </w:p>
        </w:tc>
        <w:tc>
          <w:tcPr>
            <w:tcW w:w="4360" w:type="dxa"/>
            <w:tcBorders>
              <w:top w:val="single" w:color="auto" w:sz="4" w:space="0"/>
              <w:left w:val="single" w:color="auto" w:sz="4" w:space="0"/>
              <w:bottom w:val="single" w:color="auto" w:sz="4" w:space="0"/>
              <w:right w:val="single" w:color="auto" w:sz="4" w:space="0"/>
            </w:tcBorders>
            <w:vAlign w:val="center"/>
          </w:tcPr>
          <w:p w14:paraId="12EF7816">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被授权代表：（签字）</w:t>
            </w:r>
          </w:p>
        </w:tc>
      </w:tr>
      <w:tr w14:paraId="490F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359" w:type="dxa"/>
            <w:tcBorders>
              <w:top w:val="single" w:color="auto" w:sz="4" w:space="0"/>
              <w:left w:val="single" w:color="auto" w:sz="4" w:space="0"/>
              <w:bottom w:val="single" w:color="auto" w:sz="4" w:space="0"/>
              <w:right w:val="single" w:color="auto" w:sz="4" w:space="0"/>
            </w:tcBorders>
            <w:vAlign w:val="center"/>
          </w:tcPr>
          <w:p w14:paraId="046245DE">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4360" w:type="dxa"/>
            <w:tcBorders>
              <w:top w:val="single" w:color="auto" w:sz="4" w:space="0"/>
              <w:left w:val="single" w:color="auto" w:sz="4" w:space="0"/>
              <w:bottom w:val="single" w:color="auto" w:sz="4" w:space="0"/>
              <w:right w:val="single" w:color="auto" w:sz="4" w:space="0"/>
            </w:tcBorders>
            <w:vAlign w:val="center"/>
          </w:tcPr>
          <w:p w14:paraId="491F1902">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r>
      <w:tr w14:paraId="0088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359" w:type="dxa"/>
            <w:tcBorders>
              <w:top w:val="single" w:color="auto" w:sz="4" w:space="0"/>
              <w:left w:val="single" w:color="auto" w:sz="4" w:space="0"/>
              <w:bottom w:val="single" w:color="auto" w:sz="4" w:space="0"/>
              <w:right w:val="single" w:color="auto" w:sz="4" w:space="0"/>
            </w:tcBorders>
            <w:vAlign w:val="center"/>
          </w:tcPr>
          <w:p w14:paraId="6A1F07D1">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4360" w:type="dxa"/>
            <w:tcBorders>
              <w:top w:val="single" w:color="auto" w:sz="4" w:space="0"/>
              <w:left w:val="single" w:color="auto" w:sz="4" w:space="0"/>
              <w:bottom w:val="single" w:color="auto" w:sz="4" w:space="0"/>
              <w:right w:val="single" w:color="auto" w:sz="4" w:space="0"/>
            </w:tcBorders>
            <w:vAlign w:val="center"/>
          </w:tcPr>
          <w:p w14:paraId="437BD436">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tc>
      </w:tr>
      <w:tr w14:paraId="4648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359" w:type="dxa"/>
            <w:tcBorders>
              <w:top w:val="single" w:color="auto" w:sz="4" w:space="0"/>
              <w:left w:val="single" w:color="auto" w:sz="4" w:space="0"/>
              <w:bottom w:val="single" w:color="auto" w:sz="4" w:space="0"/>
              <w:right w:val="single" w:color="auto" w:sz="4" w:space="0"/>
            </w:tcBorders>
            <w:vAlign w:val="center"/>
          </w:tcPr>
          <w:p w14:paraId="223A4FCC">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tc>
        <w:tc>
          <w:tcPr>
            <w:tcW w:w="4360" w:type="dxa"/>
            <w:tcBorders>
              <w:top w:val="single" w:color="auto" w:sz="4" w:space="0"/>
              <w:left w:val="single" w:color="auto" w:sz="4" w:space="0"/>
              <w:bottom w:val="single" w:color="auto" w:sz="4" w:space="0"/>
              <w:right w:val="single" w:color="auto" w:sz="4" w:space="0"/>
            </w:tcBorders>
            <w:vAlign w:val="center"/>
          </w:tcPr>
          <w:p w14:paraId="32140D1E">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tc>
      </w:tr>
      <w:tr w14:paraId="4BD0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359" w:type="dxa"/>
            <w:tcBorders>
              <w:top w:val="single" w:color="auto" w:sz="4" w:space="0"/>
              <w:left w:val="single" w:color="auto" w:sz="4" w:space="0"/>
              <w:bottom w:val="single" w:color="auto" w:sz="4" w:space="0"/>
              <w:right w:val="single" w:color="auto" w:sz="4" w:space="0"/>
            </w:tcBorders>
            <w:vAlign w:val="center"/>
          </w:tcPr>
          <w:p w14:paraId="550A0AD6">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w:t>
            </w:r>
          </w:p>
        </w:tc>
        <w:tc>
          <w:tcPr>
            <w:tcW w:w="4360" w:type="dxa"/>
            <w:tcBorders>
              <w:top w:val="single" w:color="auto" w:sz="4" w:space="0"/>
              <w:left w:val="single" w:color="auto" w:sz="4" w:space="0"/>
              <w:bottom w:val="single" w:color="auto" w:sz="4" w:space="0"/>
              <w:right w:val="single" w:color="auto" w:sz="4" w:space="0"/>
            </w:tcBorders>
            <w:vAlign w:val="center"/>
          </w:tcPr>
          <w:p w14:paraId="7D4E9C57">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w:t>
            </w:r>
          </w:p>
        </w:tc>
      </w:tr>
      <w:tr w14:paraId="0598F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359" w:type="dxa"/>
            <w:tcBorders>
              <w:top w:val="single" w:color="auto" w:sz="4" w:space="0"/>
              <w:left w:val="single" w:color="auto" w:sz="4" w:space="0"/>
              <w:bottom w:val="single" w:color="auto" w:sz="4" w:space="0"/>
              <w:right w:val="single" w:color="auto" w:sz="4" w:space="0"/>
            </w:tcBorders>
            <w:vAlign w:val="center"/>
          </w:tcPr>
          <w:p w14:paraId="1E633466">
            <w:pPr>
              <w:spacing w:line="360" w:lineRule="auto"/>
              <w:jc w:val="left"/>
              <w:rPr>
                <w:rFonts w:hint="eastAsia" w:ascii="仿宋" w:hAnsi="仿宋" w:eastAsia="仿宋" w:cs="仿宋"/>
                <w:color w:val="auto"/>
                <w:sz w:val="24"/>
                <w:highlight w:val="none"/>
              </w:rPr>
            </w:pPr>
          </w:p>
        </w:tc>
        <w:tc>
          <w:tcPr>
            <w:tcW w:w="4360" w:type="dxa"/>
            <w:tcBorders>
              <w:top w:val="single" w:color="auto" w:sz="4" w:space="0"/>
              <w:left w:val="single" w:color="auto" w:sz="4" w:space="0"/>
              <w:bottom w:val="single" w:color="auto" w:sz="4" w:space="0"/>
              <w:right w:val="single" w:color="auto" w:sz="4" w:space="0"/>
            </w:tcBorders>
            <w:vAlign w:val="center"/>
          </w:tcPr>
          <w:p w14:paraId="5EDDFF53">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开户名称：</w:t>
            </w:r>
          </w:p>
        </w:tc>
      </w:tr>
      <w:tr w14:paraId="1209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359" w:type="dxa"/>
            <w:tcBorders>
              <w:top w:val="single" w:color="auto" w:sz="4" w:space="0"/>
              <w:left w:val="single" w:color="auto" w:sz="4" w:space="0"/>
              <w:bottom w:val="single" w:color="auto" w:sz="4" w:space="0"/>
              <w:right w:val="single" w:color="auto" w:sz="4" w:space="0"/>
            </w:tcBorders>
            <w:vAlign w:val="center"/>
          </w:tcPr>
          <w:p w14:paraId="595240B7">
            <w:pPr>
              <w:spacing w:line="360" w:lineRule="auto"/>
              <w:jc w:val="left"/>
              <w:rPr>
                <w:rFonts w:hint="eastAsia" w:ascii="仿宋" w:hAnsi="仿宋" w:eastAsia="仿宋" w:cs="仿宋"/>
                <w:color w:val="auto"/>
                <w:sz w:val="24"/>
                <w:highlight w:val="none"/>
              </w:rPr>
            </w:pPr>
          </w:p>
        </w:tc>
        <w:tc>
          <w:tcPr>
            <w:tcW w:w="4360" w:type="dxa"/>
            <w:tcBorders>
              <w:top w:val="single" w:color="auto" w:sz="4" w:space="0"/>
              <w:left w:val="single" w:color="auto" w:sz="4" w:space="0"/>
              <w:bottom w:val="single" w:color="auto" w:sz="4" w:space="0"/>
              <w:right w:val="single" w:color="auto" w:sz="4" w:space="0"/>
            </w:tcBorders>
            <w:vAlign w:val="center"/>
          </w:tcPr>
          <w:p w14:paraId="4389A198">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企业规模：</w:t>
            </w:r>
          </w:p>
        </w:tc>
      </w:tr>
      <w:tr w14:paraId="2898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359" w:type="dxa"/>
            <w:tcBorders>
              <w:top w:val="single" w:color="auto" w:sz="4" w:space="0"/>
              <w:left w:val="single" w:color="auto" w:sz="4" w:space="0"/>
              <w:bottom w:val="single" w:color="auto" w:sz="4" w:space="0"/>
              <w:right w:val="single" w:color="auto" w:sz="4" w:space="0"/>
            </w:tcBorders>
            <w:vAlign w:val="center"/>
          </w:tcPr>
          <w:p w14:paraId="02461D76">
            <w:pPr>
              <w:spacing w:line="360" w:lineRule="auto"/>
              <w:jc w:val="left"/>
              <w:rPr>
                <w:rFonts w:hint="eastAsia" w:ascii="仿宋" w:hAnsi="仿宋" w:eastAsia="仿宋" w:cs="仿宋"/>
                <w:color w:val="auto"/>
                <w:sz w:val="24"/>
                <w:highlight w:val="none"/>
              </w:rPr>
            </w:pPr>
          </w:p>
        </w:tc>
        <w:tc>
          <w:tcPr>
            <w:tcW w:w="4360" w:type="dxa"/>
            <w:tcBorders>
              <w:top w:val="single" w:color="auto" w:sz="4" w:space="0"/>
              <w:left w:val="single" w:color="auto" w:sz="4" w:space="0"/>
              <w:bottom w:val="single" w:color="auto" w:sz="4" w:space="0"/>
              <w:right w:val="single" w:color="auto" w:sz="4" w:space="0"/>
            </w:tcBorders>
            <w:vAlign w:val="center"/>
          </w:tcPr>
          <w:p w14:paraId="56E4F502">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纳税人识别号：</w:t>
            </w:r>
          </w:p>
        </w:tc>
      </w:tr>
      <w:tr w14:paraId="18665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359" w:type="dxa"/>
            <w:tcBorders>
              <w:top w:val="single" w:color="auto" w:sz="4" w:space="0"/>
              <w:left w:val="single" w:color="auto" w:sz="4" w:space="0"/>
              <w:bottom w:val="single" w:color="auto" w:sz="4" w:space="0"/>
              <w:right w:val="single" w:color="auto" w:sz="4" w:space="0"/>
            </w:tcBorders>
            <w:vAlign w:val="center"/>
          </w:tcPr>
          <w:p w14:paraId="7174BFDD">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tc>
        <w:tc>
          <w:tcPr>
            <w:tcW w:w="4360" w:type="dxa"/>
            <w:tcBorders>
              <w:top w:val="single" w:color="auto" w:sz="4" w:space="0"/>
              <w:left w:val="single" w:color="auto" w:sz="4" w:space="0"/>
              <w:bottom w:val="single" w:color="auto" w:sz="4" w:space="0"/>
              <w:right w:val="single" w:color="auto" w:sz="4" w:space="0"/>
            </w:tcBorders>
            <w:vAlign w:val="center"/>
          </w:tcPr>
          <w:p w14:paraId="26F176C6">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tc>
      </w:tr>
    </w:tbl>
    <w:p w14:paraId="5EC0EFD5">
      <w:pPr>
        <w:rPr>
          <w:rFonts w:hint="eastAsia" w:ascii="仿宋" w:hAnsi="仿宋" w:eastAsia="仿宋" w:cs="仿宋"/>
        </w:rPr>
      </w:pPr>
    </w:p>
    <w:p w14:paraId="7F6A1FA2">
      <w:pPr>
        <w:pStyle w:val="12"/>
        <w:rPr>
          <w:rFonts w:hint="eastAsia" w:ascii="仿宋" w:hAnsi="仿宋" w:eastAsia="仿宋" w:cs="仿宋"/>
          <w:lang w:val="en-US" w:eastAsia="zh-Hans"/>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19E06">
    <w:pPr>
      <w:pStyle w:val="5"/>
    </w:pPr>
    <w:r>
      <w:rPr>
        <w:sz w:val="18"/>
      </w:rPr>
      <mc:AlternateContent>
        <mc:Choice Requires="wps">
          <w:drawing>
            <wp:anchor distT="0" distB="0" distL="114300" distR="114300" simplePos="0" relativeHeight="251659264" behindDoc="0" locked="0" layoutInCell="1" allowOverlap="1">
              <wp:simplePos x="0" y="0"/>
              <wp:positionH relativeFrom="margin">
                <wp:posOffset>-40640</wp:posOffset>
              </wp:positionH>
              <wp:positionV relativeFrom="paragraph">
                <wp:posOffset>-75565</wp:posOffset>
              </wp:positionV>
              <wp:extent cx="5355590" cy="306070"/>
              <wp:effectExtent l="0" t="0" r="0" b="0"/>
              <wp:wrapNone/>
              <wp:docPr id="2" name="文本框 2"/>
              <wp:cNvGraphicFramePr/>
              <a:graphic xmlns:a="http://schemas.openxmlformats.org/drawingml/2006/main">
                <a:graphicData uri="http://schemas.microsoft.com/office/word/2010/wordprocessingShape">
                  <wps:wsp>
                    <wps:cNvSpPr txBox="1"/>
                    <wps:spPr>
                      <a:xfrm>
                        <a:off x="0" y="0"/>
                        <a:ext cx="5355590" cy="306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D4C03">
                          <w:pPr>
                            <w:pStyle w:val="5"/>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104</w:t>
                          </w:r>
                          <w:r>
                            <w:fldChar w:fldCharType="end"/>
                          </w:r>
                          <w: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2pt;margin-top:-5.95pt;height:24.1pt;width:421.7pt;mso-position-horizontal-relative:margin;z-index:251659264;mso-width-relative:page;mso-height-relative:page;" filled="f" stroked="f" coordsize="21600,21600" o:gfxdata="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YT39HZAAAACQEAAA8AAAAAAAAAAQAgAAAAIgAAAGRycy9kb3du&#10;cmV2LnhtbFBLAQIUABQAAAAIAIdO4kBKbLj8NwIAAGIEAAAOAAAAAAAAAAEAIAAAACgBAABkcnMv&#10;ZTJvRG9jLnhtbFBLBQYAAAAABgAGAFkBAADRBQAAAAA=&#10;">
              <v:fill on="f" focussize="0,0"/>
              <v:stroke on="f" weight="0.5pt"/>
              <v:imagedata o:title=""/>
              <o:lock v:ext="edit" aspectratio="f"/>
              <v:textbox inset="0mm,0mm,0mm,0mm">
                <w:txbxContent>
                  <w:p w14:paraId="3D0D4C03">
                    <w:pPr>
                      <w:pStyle w:val="5"/>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104</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B52B8D"/>
    <w:rsid w:val="0D58062B"/>
    <w:rsid w:val="177F50ED"/>
    <w:rsid w:val="209F2228"/>
    <w:rsid w:val="53B52B8D"/>
    <w:rsid w:val="58870BEF"/>
    <w:rsid w:val="77F79321"/>
    <w:rsid w:val="7E77378E"/>
    <w:rsid w:val="BBBF7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keepNext/>
      <w:keepLines/>
      <w:spacing w:before="260" w:beforeLines="0" w:after="260" w:afterLines="0" w:line="413" w:lineRule="auto"/>
      <w:outlineLvl w:val="2"/>
    </w:pPr>
    <w:rPr>
      <w:rFonts w:ascii="Tahoma" w:hAnsi="Tahoma"/>
      <w:b/>
      <w:bCs/>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w:basedOn w:val="1"/>
    <w:next w:val="1"/>
    <w:qFormat/>
    <w:uiPriority w:val="0"/>
    <w:pPr>
      <w:spacing w:after="120"/>
    </w:pPr>
  </w:style>
  <w:style w:type="paragraph" w:styleId="4">
    <w:name w:val="toc 3"/>
    <w:basedOn w:val="1"/>
    <w:next w:val="1"/>
    <w:uiPriority w:val="0"/>
    <w:pPr>
      <w:ind w:left="840" w:leftChars="400"/>
    </w:p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2">
    <w:name w:val="null3"/>
    <w:hidden/>
    <w:uiPriority w:val="0"/>
    <w:rPr>
      <w:rFonts w:hint="eastAsia" w:asciiTheme="minorHAnsi" w:hAnsiTheme="minorHAnsi" w:eastAsiaTheme="minorEastAsia" w:cstheme="minorBidi"/>
      <w:lang w:val="en-US" w:eastAsia="zh-Hans"/>
    </w:rPr>
  </w:style>
  <w:style w:type="paragraph" w:customStyle="1" w:styleId="13">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14">
    <w:name w:val="正文缩进1"/>
    <w:basedOn w:val="15"/>
    <w:next w:val="1"/>
    <w:qFormat/>
    <w:uiPriority w:val="99"/>
    <w:pPr>
      <w:ind w:firstLine="420" w:firstLineChars="200"/>
    </w:pPr>
    <w:rPr>
      <w:szCs w:val="24"/>
    </w:rPr>
  </w:style>
  <w:style w:type="paragraph" w:customStyle="1" w:styleId="15">
    <w:name w:val="msonormal"/>
    <w:basedOn w:val="1"/>
    <w:qFormat/>
    <w:uiPriority w:val="0"/>
    <w:pPr>
      <w:keepNext w:val="0"/>
      <w:keepLines w:val="0"/>
      <w:widowControl/>
      <w:suppressLineNumbers w:val="0"/>
      <w:spacing w:before="100" w:beforeAutospacing="1" w:after="100" w:afterAutospacing="1"/>
      <w:ind w:left="0" w:right="0"/>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139</Pages>
  <Words>32035</Words>
  <Characters>33735</Characters>
  <Lines>0</Lines>
  <Paragraphs>0</Paragraphs>
  <TotalTime>1</TotalTime>
  <ScaleCrop>false</ScaleCrop>
  <LinksUpToDate>false</LinksUpToDate>
  <CharactersWithSpaces>34046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2022-04-08T19:57:00Z</dcterms:created>
  <dc:creator>陕西省政府采购综合管理平台</dc:creator>
  <cp:lastModifiedBy>Fernweh</cp:lastModifiedBy>
  <dcterms:modified xsi:type="dcterms:W3CDTF">2026-03-20T06:29:26Z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eyJoZGlkIjoiNGY0ZGVkMjhhYTljMWEzNjY0MTMzMDNhN2VjNzg1ZmYiLCJ1c2VySWQiOiIyMDMzODM5NzcifQ==</vt:lpwstr>
  </property>
  <property fmtid="{D5CDD505-2E9C-101B-9397-08002B2CF9AE}" pid="4" name="ICV">
    <vt:lpwstr>713660DE0E684E2C965B445A7F825120_12</vt:lpwstr>
  </property>
</Properties>
</file>