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04F170">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32"/>
          <w:szCs w:val="32"/>
        </w:rPr>
      </w:pPr>
      <w:bookmarkStart w:id="2" w:name="_GoBack"/>
      <w:bookmarkEnd w:id="2"/>
      <w:bookmarkStart w:id="0" w:name="_Hlk196316158"/>
      <w:r>
        <w:rPr>
          <w:rFonts w:hint="eastAsia" w:ascii="仿宋" w:hAnsi="仿宋" w:eastAsia="仿宋" w:cs="仿宋"/>
          <w:color w:val="auto"/>
          <w:sz w:val="32"/>
          <w:szCs w:val="32"/>
        </w:rPr>
        <w:t>项目名称：</w:t>
      </w:r>
    </w:p>
    <w:p w14:paraId="0FB0ED15">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项目编号：</w:t>
      </w:r>
    </w:p>
    <w:p w14:paraId="6B727600">
      <w:pPr>
        <w:pageBreakBefore w:val="0"/>
        <w:kinsoku/>
        <w:wordWrap/>
        <w:overflowPunct/>
        <w:topLinePunct w:val="0"/>
        <w:autoSpaceDN/>
        <w:bidi w:val="0"/>
        <w:adjustRightInd w:val="0"/>
        <w:snapToGrid w:val="0"/>
        <w:spacing w:beforeAutospacing="0" w:after="0" w:afterAutospacing="0" w:line="360" w:lineRule="auto"/>
        <w:rPr>
          <w:rFonts w:ascii="华文仿宋" w:hAnsi="华文仿宋" w:eastAsia="华文仿宋"/>
          <w:b/>
          <w:bCs/>
          <w:sz w:val="32"/>
          <w:szCs w:val="32"/>
        </w:rPr>
      </w:pPr>
    </w:p>
    <w:p w14:paraId="15EC1444">
      <w:pPr>
        <w:keepNext/>
        <w:keepLines/>
        <w:pageBreakBefore w:val="0"/>
        <w:kinsoku/>
        <w:wordWrap/>
        <w:overflowPunct/>
        <w:topLinePunct w:val="0"/>
        <w:autoSpaceDN/>
        <w:bidi w:val="0"/>
        <w:adjustRightInd w:val="0"/>
        <w:snapToGrid w:val="0"/>
        <w:spacing w:beforeAutospacing="0" w:after="0" w:afterAutospacing="0" w:line="360" w:lineRule="auto"/>
        <w:rPr>
          <w:rFonts w:ascii="Calibri" w:hAnsi="Calibri" w:eastAsia="宋体" w:cs="Times New Roman"/>
          <w:b/>
          <w:bCs/>
          <w:sz w:val="24"/>
        </w:rPr>
      </w:pPr>
    </w:p>
    <w:p w14:paraId="7D07398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color w:val="auto"/>
          <w:sz w:val="52"/>
          <w:szCs w:val="52"/>
          <w:lang w:val="en-US" w:eastAsia="zh-CN"/>
        </w:rPr>
      </w:pPr>
      <w:r>
        <w:rPr>
          <w:rFonts w:hint="eastAsia" w:ascii="仿宋" w:hAnsi="仿宋" w:eastAsia="仿宋" w:cs="仿宋"/>
          <w:b/>
          <w:color w:val="auto"/>
          <w:sz w:val="52"/>
          <w:szCs w:val="52"/>
        </w:rPr>
        <w:t>西安医学院</w:t>
      </w:r>
      <w:r>
        <w:rPr>
          <w:rFonts w:hint="eastAsia" w:ascii="仿宋" w:hAnsi="仿宋" w:eastAsia="仿宋" w:cs="仿宋"/>
          <w:b/>
          <w:color w:val="auto"/>
          <w:sz w:val="52"/>
          <w:szCs w:val="52"/>
          <w:lang w:val="en-US" w:eastAsia="zh-CN"/>
        </w:rPr>
        <w:t>第三附属医院口腔病院信息化建设（一期)采购项目</w:t>
      </w:r>
    </w:p>
    <w:p w14:paraId="34A88DA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仿宋" w:hAnsi="仿宋" w:eastAsia="仿宋" w:cs="仿宋"/>
          <w:b/>
          <w:color w:val="auto"/>
          <w:sz w:val="52"/>
          <w:szCs w:val="52"/>
          <w:lang w:val="en-US" w:eastAsia="zh-CN"/>
        </w:rPr>
      </w:pPr>
      <w:r>
        <w:rPr>
          <w:rFonts w:hint="eastAsia" w:ascii="仿宋" w:hAnsi="仿宋" w:eastAsia="仿宋" w:cs="仿宋"/>
          <w:b/>
          <w:color w:val="auto"/>
          <w:sz w:val="52"/>
          <w:szCs w:val="52"/>
          <w:lang w:val="en-US" w:eastAsia="zh-CN"/>
        </w:rPr>
        <w:t>服务合同</w:t>
      </w:r>
    </w:p>
    <w:p w14:paraId="6DA03E47">
      <w:pPr>
        <w:keepNext/>
        <w:keepLines/>
        <w:pageBreakBefore w:val="0"/>
        <w:kinsoku/>
        <w:wordWrap/>
        <w:overflowPunct/>
        <w:topLinePunct w:val="0"/>
        <w:autoSpaceDN/>
        <w:bidi w:val="0"/>
        <w:adjustRightInd w:val="0"/>
        <w:snapToGrid w:val="0"/>
        <w:spacing w:beforeAutospacing="0" w:after="0" w:afterAutospacing="0" w:line="360" w:lineRule="auto"/>
        <w:rPr>
          <w:rFonts w:ascii="Calibri" w:hAnsi="Calibri" w:eastAsia="宋体" w:cs="Times New Roman"/>
          <w:b/>
          <w:bCs/>
          <w:sz w:val="24"/>
        </w:rPr>
      </w:pPr>
    </w:p>
    <w:p w14:paraId="266D9B21">
      <w:pPr>
        <w:keepNext/>
        <w:keepLines/>
        <w:pageBreakBefore w:val="0"/>
        <w:kinsoku/>
        <w:wordWrap/>
        <w:overflowPunct/>
        <w:topLinePunct w:val="0"/>
        <w:autoSpaceDN/>
        <w:bidi w:val="0"/>
        <w:adjustRightInd w:val="0"/>
        <w:snapToGrid w:val="0"/>
        <w:spacing w:beforeAutospacing="0" w:after="0" w:afterAutospacing="0" w:line="360" w:lineRule="auto"/>
        <w:rPr>
          <w:rFonts w:ascii="Calibri" w:hAnsi="Calibri" w:eastAsia="宋体" w:cs="Times New Roman"/>
          <w:b/>
          <w:bCs/>
          <w:sz w:val="24"/>
        </w:rPr>
      </w:pPr>
    </w:p>
    <w:p w14:paraId="08612E62">
      <w:pPr>
        <w:keepNext/>
        <w:keepLines/>
        <w:pageBreakBefore w:val="0"/>
        <w:kinsoku/>
        <w:wordWrap/>
        <w:overflowPunct/>
        <w:topLinePunct w:val="0"/>
        <w:autoSpaceDN/>
        <w:bidi w:val="0"/>
        <w:adjustRightInd w:val="0"/>
        <w:snapToGrid w:val="0"/>
        <w:spacing w:beforeAutospacing="0" w:after="0" w:afterAutospacing="0" w:line="360" w:lineRule="auto"/>
        <w:rPr>
          <w:rFonts w:ascii="Calibri" w:hAnsi="Calibri" w:eastAsia="宋体" w:cs="Times New Roman"/>
          <w:b/>
          <w:bCs/>
          <w:sz w:val="24"/>
        </w:rPr>
      </w:pPr>
    </w:p>
    <w:p w14:paraId="23EADC8D">
      <w:pPr>
        <w:keepNext/>
        <w:keepLines/>
        <w:pageBreakBefore w:val="0"/>
        <w:kinsoku/>
        <w:wordWrap/>
        <w:overflowPunct/>
        <w:topLinePunct w:val="0"/>
        <w:autoSpaceDN/>
        <w:bidi w:val="0"/>
        <w:adjustRightInd w:val="0"/>
        <w:snapToGrid w:val="0"/>
        <w:spacing w:beforeAutospacing="0" w:after="0" w:afterAutospacing="0" w:line="360" w:lineRule="auto"/>
        <w:rPr>
          <w:rFonts w:ascii="Calibri" w:hAnsi="Calibri" w:eastAsia="宋体" w:cs="Times New Roman"/>
          <w:b/>
          <w:bCs/>
          <w:sz w:val="24"/>
        </w:rPr>
      </w:pPr>
    </w:p>
    <w:bookmarkEnd w:id="0"/>
    <w:p w14:paraId="7804A1EF">
      <w:pPr>
        <w:pageBreakBefore w:val="0"/>
        <w:kinsoku/>
        <w:wordWrap/>
        <w:overflowPunct/>
        <w:topLinePunct w:val="0"/>
        <w:autoSpaceDN/>
        <w:bidi w:val="0"/>
        <w:adjustRightInd w:val="0"/>
        <w:snapToGrid w:val="0"/>
        <w:spacing w:beforeAutospacing="0" w:after="0" w:afterAutospacing="0" w:line="360" w:lineRule="auto"/>
        <w:jc w:val="both"/>
        <w:rPr>
          <w:rFonts w:hint="eastAsia" w:ascii="华文仿宋" w:hAnsi="华文仿宋" w:eastAsia="华文仿宋"/>
          <w:sz w:val="24"/>
        </w:rPr>
      </w:pPr>
    </w:p>
    <w:p w14:paraId="635A19E6">
      <w:pPr>
        <w:pageBreakBefore w:val="0"/>
        <w:kinsoku/>
        <w:wordWrap/>
        <w:overflowPunct/>
        <w:topLinePunct w:val="0"/>
        <w:autoSpaceDN/>
        <w:bidi w:val="0"/>
        <w:adjustRightInd w:val="0"/>
        <w:snapToGrid w:val="0"/>
        <w:spacing w:beforeAutospacing="0" w:after="0" w:afterAutospacing="0" w:line="360" w:lineRule="auto"/>
        <w:jc w:val="both"/>
        <w:rPr>
          <w:rFonts w:hint="eastAsia" w:ascii="华文仿宋" w:hAnsi="华文仿宋" w:eastAsia="华文仿宋"/>
          <w:sz w:val="24"/>
        </w:rPr>
      </w:pPr>
    </w:p>
    <w:p w14:paraId="78D3D5E7">
      <w:pPr>
        <w:keepNext w:val="0"/>
        <w:keepLines w:val="0"/>
        <w:pageBreakBefore w:val="0"/>
        <w:widowControl w:val="0"/>
        <w:kinsoku/>
        <w:wordWrap/>
        <w:overflowPunct/>
        <w:topLinePunct w:val="0"/>
        <w:autoSpaceDE/>
        <w:autoSpaceDN/>
        <w:bidi w:val="0"/>
        <w:adjustRightInd/>
        <w:snapToGrid/>
        <w:spacing w:line="578" w:lineRule="exact"/>
        <w:ind w:firstLine="2080" w:firstLineChars="65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甲  方：西安医学院</w:t>
      </w:r>
    </w:p>
    <w:p w14:paraId="2B49156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64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 xml:space="preserve">         乙  方：</w:t>
      </w:r>
      <w:r>
        <w:rPr>
          <w:rFonts w:hint="eastAsia" w:ascii="仿宋" w:hAnsi="仿宋" w:eastAsia="仿宋" w:cs="仿宋"/>
          <w:color w:val="auto"/>
          <w:sz w:val="32"/>
          <w:szCs w:val="32"/>
          <w:lang w:val="en-US" w:eastAsia="zh-CN"/>
        </w:rPr>
        <w:t>供应商</w:t>
      </w:r>
      <w:bookmarkStart w:id="1" w:name="_GoBack"/>
      <w:bookmarkEnd w:id="1"/>
    </w:p>
    <w:p w14:paraId="6D9A308C">
      <w:pPr>
        <w:keepNext w:val="0"/>
        <w:keepLines w:val="0"/>
        <w:pageBreakBefore w:val="0"/>
        <w:widowControl w:val="0"/>
        <w:kinsoku/>
        <w:wordWrap/>
        <w:overflowPunct/>
        <w:topLinePunct w:val="0"/>
        <w:autoSpaceDE/>
        <w:autoSpaceDN/>
        <w:bidi w:val="0"/>
        <w:adjustRightInd/>
        <w:snapToGrid/>
        <w:spacing w:line="578" w:lineRule="exact"/>
        <w:jc w:val="left"/>
        <w:textAlignment w:val="auto"/>
        <w:rPr>
          <w:rFonts w:hint="eastAsia" w:ascii="仿宋" w:hAnsi="仿宋" w:eastAsia="仿宋" w:cs="仿宋"/>
          <w:color w:val="auto"/>
          <w:sz w:val="32"/>
          <w:szCs w:val="32"/>
        </w:rPr>
      </w:pPr>
    </w:p>
    <w:p w14:paraId="5FCED72D">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仿宋" w:hAnsi="仿宋" w:eastAsia="仿宋" w:cs="仿宋"/>
          <w:color w:val="auto"/>
          <w:sz w:val="32"/>
          <w:szCs w:val="32"/>
        </w:rPr>
      </w:pPr>
    </w:p>
    <w:p w14:paraId="0B37120D">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仿宋" w:hAnsi="仿宋" w:eastAsia="仿宋" w:cs="仿宋"/>
          <w:color w:val="auto"/>
          <w:sz w:val="32"/>
          <w:szCs w:val="32"/>
        </w:rPr>
      </w:pPr>
    </w:p>
    <w:p w14:paraId="3097207F">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仿宋" w:hAnsi="仿宋" w:eastAsia="仿宋" w:cs="仿宋"/>
          <w:color w:val="auto"/>
          <w:sz w:val="32"/>
          <w:szCs w:val="32"/>
          <w:u w:val="single"/>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月</w:t>
      </w:r>
    </w:p>
    <w:p w14:paraId="41DD3C9F">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仿宋" w:hAnsi="仿宋" w:eastAsia="仿宋" w:cs="仿宋"/>
          <w:b/>
          <w:color w:val="auto"/>
          <w:sz w:val="28"/>
          <w:szCs w:val="28"/>
        </w:rPr>
        <w:sectPr>
          <w:headerReference r:id="rId5" w:type="default"/>
          <w:footerReference r:id="rId6" w:type="default"/>
          <w:pgSz w:w="11906" w:h="16838"/>
          <w:pgMar w:top="1383" w:right="1800" w:bottom="1383" w:left="1800"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r>
        <w:rPr>
          <w:rFonts w:hint="eastAsia" w:ascii="仿宋" w:hAnsi="仿宋" w:eastAsia="仿宋" w:cs="仿宋"/>
          <w:color w:val="auto"/>
          <w:sz w:val="32"/>
          <w:szCs w:val="32"/>
        </w:rPr>
        <w:t>中国  西安</w:t>
      </w:r>
    </w:p>
    <w:p w14:paraId="5E577841">
      <w:pPr>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服 务 合 同</w:t>
      </w:r>
    </w:p>
    <w:p w14:paraId="52EFD906">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甲方：</w:t>
      </w:r>
      <w:r>
        <w:rPr>
          <w:rFonts w:hint="eastAsia" w:ascii="仿宋" w:hAnsi="仿宋" w:eastAsia="仿宋" w:cs="仿宋"/>
          <w:color w:val="auto"/>
          <w:sz w:val="28"/>
          <w:szCs w:val="28"/>
          <w:lang w:val="en-US" w:eastAsia="zh-CN"/>
        </w:rPr>
        <w:t>西安医学院</w:t>
      </w:r>
    </w:p>
    <w:p w14:paraId="406A433D">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乙方：</w:t>
      </w:r>
    </w:p>
    <w:p w14:paraId="5671C13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rPr>
        <w:t>就所需服务，按照采购程序组织公开招标，确定乙方为中标供应商。依据《中华人民共和国招标投标法》及实施条例、《中华人民共和国政府采购法》及实施条例、《中华人民共和国民法典》、中标供应商投标文件正本、中标通知书，经甲、乙双方协商</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确认，达成如下</w:t>
      </w:r>
      <w:r>
        <w:rPr>
          <w:rFonts w:hint="eastAsia" w:ascii="仿宋" w:hAnsi="仿宋" w:eastAsia="仿宋" w:cs="仿宋"/>
          <w:color w:val="auto"/>
          <w:sz w:val="28"/>
          <w:szCs w:val="28"/>
          <w:lang w:val="en-US" w:eastAsia="zh-CN"/>
        </w:rPr>
        <w:t>合同</w:t>
      </w:r>
      <w:r>
        <w:rPr>
          <w:rFonts w:hint="eastAsia" w:ascii="仿宋" w:hAnsi="仿宋" w:eastAsia="仿宋" w:cs="仿宋"/>
          <w:color w:val="auto"/>
          <w:sz w:val="28"/>
          <w:szCs w:val="28"/>
        </w:rPr>
        <w:t>条款。</w:t>
      </w:r>
    </w:p>
    <w:p w14:paraId="354BE512">
      <w:pPr>
        <w:keepNext w:val="0"/>
        <w:keepLines w:val="0"/>
        <w:pageBreakBefore w:val="0"/>
        <w:widowControl w:val="0"/>
        <w:numPr>
          <w:ilvl w:val="0"/>
          <w:numId w:val="1"/>
        </w:numPr>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rPr>
        <w:t>合同标的物内容</w:t>
      </w:r>
      <w:r>
        <w:rPr>
          <w:rFonts w:hint="eastAsia" w:ascii="仿宋" w:hAnsi="仿宋" w:eastAsia="仿宋" w:cs="仿宋"/>
          <w:b/>
          <w:bCs/>
          <w:color w:val="auto"/>
          <w:sz w:val="28"/>
          <w:szCs w:val="28"/>
          <w:lang w:val="en-US" w:eastAsia="zh-CN"/>
        </w:rPr>
        <w:t>与数量</w:t>
      </w:r>
    </w:p>
    <w:tbl>
      <w:tblPr>
        <w:tblStyle w:val="4"/>
        <w:tblW w:w="86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2625"/>
        <w:gridCol w:w="1710"/>
        <w:gridCol w:w="885"/>
        <w:gridCol w:w="2400"/>
      </w:tblGrid>
      <w:tr w14:paraId="1DF6A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59" w:type="dxa"/>
            <w:noWrap w:val="0"/>
            <w:vAlign w:val="center"/>
          </w:tcPr>
          <w:p w14:paraId="2AE53DC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序号</w:t>
            </w:r>
          </w:p>
        </w:tc>
        <w:tc>
          <w:tcPr>
            <w:tcW w:w="2625" w:type="dxa"/>
            <w:noWrap w:val="0"/>
            <w:vAlign w:val="center"/>
          </w:tcPr>
          <w:p w14:paraId="12E02A1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lang w:val="en-US" w:eastAsia="zh-CN"/>
              </w:rPr>
              <w:t>产品</w:t>
            </w:r>
            <w:r>
              <w:rPr>
                <w:rFonts w:hint="eastAsia" w:ascii="仿宋" w:hAnsi="仿宋" w:eastAsia="仿宋" w:cs="仿宋"/>
                <w:color w:val="auto"/>
                <w:szCs w:val="21"/>
              </w:rPr>
              <w:t>名称</w:t>
            </w:r>
          </w:p>
        </w:tc>
        <w:tc>
          <w:tcPr>
            <w:tcW w:w="1710" w:type="dxa"/>
            <w:noWrap w:val="0"/>
            <w:vAlign w:val="center"/>
          </w:tcPr>
          <w:p w14:paraId="6B722BB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数量</w:t>
            </w:r>
          </w:p>
        </w:tc>
        <w:tc>
          <w:tcPr>
            <w:tcW w:w="885" w:type="dxa"/>
            <w:noWrap w:val="0"/>
            <w:vAlign w:val="center"/>
          </w:tcPr>
          <w:p w14:paraId="15DF02A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单位</w:t>
            </w:r>
          </w:p>
        </w:tc>
        <w:tc>
          <w:tcPr>
            <w:tcW w:w="2400" w:type="dxa"/>
            <w:noWrap w:val="0"/>
            <w:vAlign w:val="center"/>
          </w:tcPr>
          <w:p w14:paraId="45E1E06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金额合计（小写）</w:t>
            </w:r>
          </w:p>
        </w:tc>
      </w:tr>
      <w:tr w14:paraId="7CA2F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059" w:type="dxa"/>
            <w:noWrap w:val="0"/>
            <w:vAlign w:val="center"/>
          </w:tcPr>
          <w:p w14:paraId="7947402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1</w:t>
            </w:r>
          </w:p>
        </w:tc>
        <w:tc>
          <w:tcPr>
            <w:tcW w:w="2625" w:type="dxa"/>
            <w:noWrap w:val="0"/>
            <w:vAlign w:val="center"/>
          </w:tcPr>
          <w:p w14:paraId="550C2CB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p>
        </w:tc>
        <w:tc>
          <w:tcPr>
            <w:tcW w:w="1710" w:type="dxa"/>
            <w:noWrap w:val="0"/>
            <w:vAlign w:val="center"/>
          </w:tcPr>
          <w:p w14:paraId="2089293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p>
        </w:tc>
        <w:tc>
          <w:tcPr>
            <w:tcW w:w="885" w:type="dxa"/>
            <w:noWrap w:val="0"/>
            <w:vAlign w:val="center"/>
          </w:tcPr>
          <w:p w14:paraId="3502055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lang w:val="en-US" w:eastAsia="zh-CN"/>
              </w:rPr>
            </w:pPr>
          </w:p>
        </w:tc>
        <w:tc>
          <w:tcPr>
            <w:tcW w:w="2400" w:type="dxa"/>
            <w:noWrap w:val="0"/>
            <w:vAlign w:val="center"/>
          </w:tcPr>
          <w:p w14:paraId="5C64126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元</w:t>
            </w:r>
          </w:p>
        </w:tc>
      </w:tr>
      <w:tr w14:paraId="5B25B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8679" w:type="dxa"/>
            <w:gridSpan w:val="5"/>
            <w:noWrap w:val="0"/>
            <w:vAlign w:val="center"/>
          </w:tcPr>
          <w:p w14:paraId="0A778F1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合同金额人民币（大写）：       元整（￥           ）</w:t>
            </w:r>
          </w:p>
        </w:tc>
      </w:tr>
    </w:tbl>
    <w:p w14:paraId="39A36305">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after="160" w:line="578"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备注：上述采购金额包括：</w:t>
      </w:r>
    </w:p>
    <w:p w14:paraId="55F9E723">
      <w:pPr>
        <w:keepNext w:val="0"/>
        <w:keepLines w:val="0"/>
        <w:pageBreakBefore w:val="0"/>
        <w:widowControl w:val="0"/>
        <w:numPr>
          <w:ilvl w:val="0"/>
          <w:numId w:val="2"/>
        </w:numPr>
        <w:tabs>
          <w:tab w:val="left" w:pos="480"/>
        </w:tabs>
        <w:kinsoku/>
        <w:wordWrap/>
        <w:overflowPunct/>
        <w:topLinePunct w:val="0"/>
        <w:autoSpaceDE/>
        <w:autoSpaceDN/>
        <w:bidi w:val="0"/>
        <w:adjustRightInd/>
        <w:snapToGrid/>
        <w:spacing w:after="160" w:line="578"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软件产品采购费；</w:t>
      </w:r>
    </w:p>
    <w:p w14:paraId="78C9EA45">
      <w:pPr>
        <w:keepNext w:val="0"/>
        <w:keepLines w:val="0"/>
        <w:pageBreakBefore w:val="0"/>
        <w:widowControl w:val="0"/>
        <w:numPr>
          <w:ilvl w:val="0"/>
          <w:numId w:val="2"/>
        </w:numPr>
        <w:tabs>
          <w:tab w:val="left" w:pos="480"/>
        </w:tabs>
        <w:kinsoku/>
        <w:wordWrap/>
        <w:overflowPunct/>
        <w:topLinePunct w:val="0"/>
        <w:autoSpaceDE/>
        <w:autoSpaceDN/>
        <w:bidi w:val="0"/>
        <w:adjustRightInd/>
        <w:snapToGrid/>
        <w:spacing w:after="160" w:line="578"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支撑环境产品采购费；</w:t>
      </w:r>
    </w:p>
    <w:p w14:paraId="173063FE">
      <w:pPr>
        <w:keepNext w:val="0"/>
        <w:keepLines w:val="0"/>
        <w:pageBreakBefore w:val="0"/>
        <w:widowControl w:val="0"/>
        <w:numPr>
          <w:ilvl w:val="0"/>
          <w:numId w:val="2"/>
        </w:numPr>
        <w:tabs>
          <w:tab w:val="left" w:pos="480"/>
        </w:tabs>
        <w:kinsoku/>
        <w:wordWrap/>
        <w:overflowPunct/>
        <w:topLinePunct w:val="0"/>
        <w:autoSpaceDE/>
        <w:autoSpaceDN/>
        <w:bidi w:val="0"/>
        <w:adjustRightInd/>
        <w:snapToGrid/>
        <w:spacing w:after="160" w:line="578"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数据迁移及网络线路改造相关费用；</w:t>
      </w:r>
    </w:p>
    <w:p w14:paraId="5F47112F">
      <w:pPr>
        <w:keepNext w:val="0"/>
        <w:keepLines w:val="0"/>
        <w:pageBreakBefore w:val="0"/>
        <w:widowControl w:val="0"/>
        <w:numPr>
          <w:ilvl w:val="0"/>
          <w:numId w:val="2"/>
        </w:numPr>
        <w:tabs>
          <w:tab w:val="left" w:pos="480"/>
        </w:tabs>
        <w:kinsoku/>
        <w:wordWrap/>
        <w:overflowPunct/>
        <w:topLinePunct w:val="0"/>
        <w:autoSpaceDE/>
        <w:autoSpaceDN/>
        <w:bidi w:val="0"/>
        <w:adjustRightInd/>
        <w:snapToGrid/>
        <w:spacing w:after="160" w:line="578"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乙方应付税费；</w:t>
      </w:r>
    </w:p>
    <w:p w14:paraId="3490FA3E">
      <w:pPr>
        <w:keepNext w:val="0"/>
        <w:keepLines w:val="0"/>
        <w:pageBreakBefore w:val="0"/>
        <w:widowControl w:val="0"/>
        <w:numPr>
          <w:ilvl w:val="0"/>
          <w:numId w:val="2"/>
        </w:numPr>
        <w:tabs>
          <w:tab w:val="left" w:pos="480"/>
        </w:tabs>
        <w:kinsoku/>
        <w:wordWrap/>
        <w:overflowPunct/>
        <w:topLinePunct w:val="0"/>
        <w:autoSpaceDE/>
        <w:autoSpaceDN/>
        <w:bidi w:val="0"/>
        <w:adjustRightInd/>
        <w:snapToGrid/>
        <w:spacing w:after="160" w:line="578"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实施项目方案的制定、需求调研、初始化、安装调试、培训费；</w:t>
      </w:r>
    </w:p>
    <w:p w14:paraId="5B95D096">
      <w:pPr>
        <w:keepNext w:val="0"/>
        <w:keepLines w:val="0"/>
        <w:pageBreakBefore w:val="0"/>
        <w:widowControl w:val="0"/>
        <w:numPr>
          <w:ilvl w:val="0"/>
          <w:numId w:val="2"/>
        </w:numPr>
        <w:tabs>
          <w:tab w:val="left" w:pos="480"/>
        </w:tabs>
        <w:kinsoku/>
        <w:wordWrap/>
        <w:overflowPunct/>
        <w:topLinePunct w:val="0"/>
        <w:autoSpaceDE/>
        <w:autoSpaceDN/>
        <w:bidi w:val="0"/>
        <w:adjustRightInd/>
        <w:snapToGrid/>
        <w:spacing w:after="160" w:line="578"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乙方承担的软件接口开发费用；</w:t>
      </w:r>
    </w:p>
    <w:p w14:paraId="3F718C5C">
      <w:pPr>
        <w:keepNext w:val="0"/>
        <w:keepLines w:val="0"/>
        <w:pageBreakBefore w:val="0"/>
        <w:widowControl w:val="0"/>
        <w:numPr>
          <w:ilvl w:val="0"/>
          <w:numId w:val="2"/>
        </w:numPr>
        <w:tabs>
          <w:tab w:val="left" w:pos="480"/>
        </w:tabs>
        <w:kinsoku/>
        <w:wordWrap/>
        <w:overflowPunct/>
        <w:topLinePunct w:val="0"/>
        <w:autoSpaceDE/>
        <w:autoSpaceDN/>
        <w:bidi w:val="0"/>
        <w:adjustRightInd/>
        <w:snapToGrid/>
        <w:spacing w:after="160" w:line="578"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项目验收通过后三年内的售后服务（包括远程维护、电话指导、现场维护）等；</w:t>
      </w:r>
    </w:p>
    <w:p w14:paraId="19C18800">
      <w:pPr>
        <w:keepNext w:val="0"/>
        <w:keepLines w:val="0"/>
        <w:pageBreakBefore w:val="0"/>
        <w:widowControl w:val="0"/>
        <w:numPr>
          <w:ilvl w:val="0"/>
          <w:numId w:val="2"/>
        </w:numPr>
        <w:tabs>
          <w:tab w:val="left" w:pos="480"/>
        </w:tabs>
        <w:kinsoku/>
        <w:wordWrap/>
        <w:overflowPunct/>
        <w:topLinePunct w:val="0"/>
        <w:autoSpaceDE/>
        <w:autoSpaceDN/>
        <w:bidi w:val="0"/>
        <w:adjustRightInd/>
        <w:snapToGrid/>
        <w:spacing w:after="160" w:line="578"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乙方提供的软件三年内免费升级；</w:t>
      </w:r>
    </w:p>
    <w:p w14:paraId="11989094">
      <w:pPr>
        <w:keepNext w:val="0"/>
        <w:keepLines w:val="0"/>
        <w:pageBreakBefore w:val="0"/>
        <w:widowControl w:val="0"/>
        <w:numPr>
          <w:ilvl w:val="0"/>
          <w:numId w:val="1"/>
        </w:numPr>
        <w:tabs>
          <w:tab w:val="left" w:pos="480"/>
        </w:tabs>
        <w:kinsoku/>
        <w:wordWrap/>
        <w:overflowPunct/>
        <w:topLinePunct w:val="0"/>
        <w:autoSpaceDE/>
        <w:autoSpaceDN/>
        <w:bidi w:val="0"/>
        <w:adjustRightInd/>
        <w:snapToGrid/>
        <w:spacing w:line="578" w:lineRule="exact"/>
        <w:ind w:left="0" w:leftChars="0" w:firstLine="0" w:firstLineChars="0"/>
        <w:textAlignment w:val="auto"/>
        <w:rPr>
          <w:rFonts w:hint="default"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明细报价表</w:t>
      </w:r>
    </w:p>
    <w:p w14:paraId="01C0EB45">
      <w:pPr>
        <w:keepNext w:val="0"/>
        <w:keepLines w:val="0"/>
        <w:pageBreakBefore w:val="0"/>
        <w:widowControl w:val="0"/>
        <w:numPr>
          <w:ilvl w:val="0"/>
          <w:numId w:val="3"/>
        </w:numPr>
        <w:tabs>
          <w:tab w:val="left" w:pos="480"/>
          <w:tab w:val="clear" w:pos="312"/>
        </w:tabs>
        <w:kinsoku/>
        <w:wordWrap/>
        <w:overflowPunct/>
        <w:topLinePunct w:val="0"/>
        <w:autoSpaceDE/>
        <w:autoSpaceDN/>
        <w:bidi w:val="0"/>
        <w:adjustRightInd/>
        <w:snapToGrid/>
        <w:spacing w:line="578" w:lineRule="exact"/>
        <w:ind w:leftChars="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软件</w:t>
      </w:r>
    </w:p>
    <w:tbl>
      <w:tblPr>
        <w:tblStyle w:val="4"/>
        <w:tblW w:w="96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2875"/>
        <w:gridCol w:w="1757"/>
        <w:gridCol w:w="851"/>
        <w:gridCol w:w="807"/>
        <w:gridCol w:w="1155"/>
        <w:gridCol w:w="1230"/>
      </w:tblGrid>
      <w:tr w14:paraId="4AA4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 w:type="dxa"/>
            <w:noWrap w:val="0"/>
            <w:vAlign w:val="center"/>
          </w:tcPr>
          <w:p w14:paraId="0A09073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序号</w:t>
            </w:r>
          </w:p>
        </w:tc>
        <w:tc>
          <w:tcPr>
            <w:tcW w:w="2875" w:type="dxa"/>
            <w:noWrap w:val="0"/>
            <w:vAlign w:val="center"/>
          </w:tcPr>
          <w:p w14:paraId="184CC05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产品名称</w:t>
            </w:r>
          </w:p>
        </w:tc>
        <w:tc>
          <w:tcPr>
            <w:tcW w:w="1757" w:type="dxa"/>
            <w:noWrap w:val="0"/>
            <w:vAlign w:val="center"/>
          </w:tcPr>
          <w:p w14:paraId="3D55DF8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lang w:val="en-US" w:eastAsia="zh-CN"/>
              </w:rPr>
            </w:pPr>
            <w:r>
              <w:rPr>
                <w:rFonts w:hint="eastAsia" w:ascii="仿宋" w:hAnsi="仿宋" w:eastAsia="仿宋" w:cs="仿宋"/>
                <w:color w:val="auto"/>
                <w:szCs w:val="21"/>
              </w:rPr>
              <w:t>功能</w:t>
            </w:r>
            <w:r>
              <w:rPr>
                <w:rFonts w:hint="eastAsia" w:ascii="仿宋" w:hAnsi="仿宋" w:eastAsia="仿宋" w:cs="仿宋"/>
                <w:color w:val="auto"/>
                <w:szCs w:val="21"/>
                <w:lang w:val="en-US" w:eastAsia="zh-CN"/>
              </w:rPr>
              <w:t>模块</w:t>
            </w:r>
          </w:p>
        </w:tc>
        <w:tc>
          <w:tcPr>
            <w:tcW w:w="851" w:type="dxa"/>
            <w:noWrap w:val="0"/>
            <w:vAlign w:val="center"/>
          </w:tcPr>
          <w:p w14:paraId="40BA70D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数量</w:t>
            </w:r>
          </w:p>
        </w:tc>
        <w:tc>
          <w:tcPr>
            <w:tcW w:w="807" w:type="dxa"/>
            <w:noWrap w:val="0"/>
            <w:vAlign w:val="top"/>
          </w:tcPr>
          <w:p w14:paraId="1B71FEF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单位</w:t>
            </w:r>
          </w:p>
        </w:tc>
        <w:tc>
          <w:tcPr>
            <w:tcW w:w="1155" w:type="dxa"/>
            <w:noWrap w:val="0"/>
            <w:vAlign w:val="top"/>
          </w:tcPr>
          <w:p w14:paraId="6C223E0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单价（元）</w:t>
            </w:r>
          </w:p>
        </w:tc>
        <w:tc>
          <w:tcPr>
            <w:tcW w:w="1230" w:type="dxa"/>
            <w:noWrap w:val="0"/>
            <w:vAlign w:val="center"/>
          </w:tcPr>
          <w:p w14:paraId="4D3268E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jc w:val="center"/>
              <w:textAlignment w:val="auto"/>
              <w:rPr>
                <w:rFonts w:hint="eastAsia" w:ascii="仿宋" w:hAnsi="仿宋" w:eastAsia="仿宋" w:cs="仿宋"/>
                <w:color w:val="auto"/>
                <w:szCs w:val="21"/>
              </w:rPr>
            </w:pPr>
            <w:r>
              <w:rPr>
                <w:rFonts w:hint="eastAsia" w:ascii="仿宋" w:hAnsi="仿宋" w:eastAsia="仿宋" w:cs="仿宋"/>
                <w:color w:val="auto"/>
                <w:szCs w:val="21"/>
              </w:rPr>
              <w:t>合计（元）</w:t>
            </w:r>
          </w:p>
        </w:tc>
      </w:tr>
      <w:tr w14:paraId="165C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 w:type="dxa"/>
            <w:noWrap w:val="0"/>
            <w:vAlign w:val="center"/>
          </w:tcPr>
          <w:p w14:paraId="6CCE69B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875" w:type="dxa"/>
            <w:noWrap w:val="0"/>
            <w:vAlign w:val="center"/>
          </w:tcPr>
          <w:p w14:paraId="5DA644C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757" w:type="dxa"/>
            <w:noWrap w:val="0"/>
            <w:vAlign w:val="center"/>
          </w:tcPr>
          <w:p w14:paraId="37C38B8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1" w:type="dxa"/>
            <w:noWrap w:val="0"/>
            <w:vAlign w:val="center"/>
          </w:tcPr>
          <w:p w14:paraId="18E6AAA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07" w:type="dxa"/>
            <w:noWrap w:val="0"/>
            <w:vAlign w:val="top"/>
          </w:tcPr>
          <w:p w14:paraId="5FBE8CF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55" w:type="dxa"/>
            <w:noWrap w:val="0"/>
            <w:vAlign w:val="top"/>
          </w:tcPr>
          <w:p w14:paraId="3F40C87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30" w:type="dxa"/>
            <w:noWrap w:val="0"/>
            <w:vAlign w:val="center"/>
          </w:tcPr>
          <w:p w14:paraId="5470DFD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61AF1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 w:type="dxa"/>
            <w:noWrap w:val="0"/>
            <w:vAlign w:val="center"/>
          </w:tcPr>
          <w:p w14:paraId="41B8679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875" w:type="dxa"/>
            <w:noWrap w:val="0"/>
            <w:vAlign w:val="center"/>
          </w:tcPr>
          <w:p w14:paraId="36135E4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757" w:type="dxa"/>
            <w:noWrap w:val="0"/>
            <w:vAlign w:val="center"/>
          </w:tcPr>
          <w:p w14:paraId="0AB6D13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1" w:type="dxa"/>
            <w:noWrap w:val="0"/>
            <w:vAlign w:val="center"/>
          </w:tcPr>
          <w:p w14:paraId="55222CC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07" w:type="dxa"/>
            <w:noWrap w:val="0"/>
            <w:vAlign w:val="top"/>
          </w:tcPr>
          <w:p w14:paraId="6FE93DB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55" w:type="dxa"/>
            <w:noWrap w:val="0"/>
            <w:vAlign w:val="top"/>
          </w:tcPr>
          <w:p w14:paraId="6204691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30" w:type="dxa"/>
            <w:noWrap w:val="0"/>
            <w:vAlign w:val="center"/>
          </w:tcPr>
          <w:p w14:paraId="7BFB13C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518C9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 w:type="dxa"/>
            <w:noWrap w:val="0"/>
            <w:vAlign w:val="center"/>
          </w:tcPr>
          <w:p w14:paraId="01B2EBB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875" w:type="dxa"/>
            <w:noWrap w:val="0"/>
            <w:vAlign w:val="center"/>
          </w:tcPr>
          <w:p w14:paraId="32380D4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757" w:type="dxa"/>
            <w:noWrap w:val="0"/>
            <w:vAlign w:val="center"/>
          </w:tcPr>
          <w:p w14:paraId="467D3B6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1" w:type="dxa"/>
            <w:noWrap w:val="0"/>
            <w:vAlign w:val="center"/>
          </w:tcPr>
          <w:p w14:paraId="33DB07E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07" w:type="dxa"/>
            <w:noWrap w:val="0"/>
            <w:vAlign w:val="top"/>
          </w:tcPr>
          <w:p w14:paraId="0ABB1CA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55" w:type="dxa"/>
            <w:noWrap w:val="0"/>
            <w:vAlign w:val="top"/>
          </w:tcPr>
          <w:p w14:paraId="155FD86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30" w:type="dxa"/>
            <w:noWrap w:val="0"/>
            <w:vAlign w:val="center"/>
          </w:tcPr>
          <w:p w14:paraId="1607F6A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50332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 w:type="dxa"/>
            <w:noWrap w:val="0"/>
            <w:vAlign w:val="center"/>
          </w:tcPr>
          <w:p w14:paraId="6DFA3F0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875" w:type="dxa"/>
            <w:noWrap w:val="0"/>
            <w:vAlign w:val="center"/>
          </w:tcPr>
          <w:p w14:paraId="4EA5C3A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757" w:type="dxa"/>
            <w:noWrap w:val="0"/>
            <w:vAlign w:val="center"/>
          </w:tcPr>
          <w:p w14:paraId="55E08D3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1" w:type="dxa"/>
            <w:noWrap w:val="0"/>
            <w:vAlign w:val="center"/>
          </w:tcPr>
          <w:p w14:paraId="57F7E94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07" w:type="dxa"/>
            <w:noWrap w:val="0"/>
            <w:vAlign w:val="top"/>
          </w:tcPr>
          <w:p w14:paraId="4A23571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55" w:type="dxa"/>
            <w:noWrap w:val="0"/>
            <w:vAlign w:val="top"/>
          </w:tcPr>
          <w:p w14:paraId="269ECE9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30" w:type="dxa"/>
            <w:noWrap w:val="0"/>
            <w:vAlign w:val="center"/>
          </w:tcPr>
          <w:p w14:paraId="69F1380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2D427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 w:type="dxa"/>
            <w:noWrap w:val="0"/>
            <w:vAlign w:val="center"/>
          </w:tcPr>
          <w:p w14:paraId="22E7FEC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875" w:type="dxa"/>
            <w:noWrap w:val="0"/>
            <w:vAlign w:val="center"/>
          </w:tcPr>
          <w:p w14:paraId="129031C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757" w:type="dxa"/>
            <w:noWrap w:val="0"/>
            <w:vAlign w:val="center"/>
          </w:tcPr>
          <w:p w14:paraId="6262B74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1" w:type="dxa"/>
            <w:noWrap w:val="0"/>
            <w:vAlign w:val="center"/>
          </w:tcPr>
          <w:p w14:paraId="6912E75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07" w:type="dxa"/>
            <w:noWrap w:val="0"/>
            <w:vAlign w:val="top"/>
          </w:tcPr>
          <w:p w14:paraId="5905C7A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55" w:type="dxa"/>
            <w:noWrap w:val="0"/>
            <w:vAlign w:val="top"/>
          </w:tcPr>
          <w:p w14:paraId="1EF9195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30" w:type="dxa"/>
            <w:noWrap w:val="0"/>
            <w:vAlign w:val="center"/>
          </w:tcPr>
          <w:p w14:paraId="7690E53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2935B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 w:type="dxa"/>
            <w:noWrap w:val="0"/>
            <w:vAlign w:val="center"/>
          </w:tcPr>
          <w:p w14:paraId="6E3E344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875" w:type="dxa"/>
            <w:noWrap w:val="0"/>
            <w:vAlign w:val="center"/>
          </w:tcPr>
          <w:p w14:paraId="262339B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757" w:type="dxa"/>
            <w:noWrap w:val="0"/>
            <w:vAlign w:val="center"/>
          </w:tcPr>
          <w:p w14:paraId="4631E6A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1" w:type="dxa"/>
            <w:noWrap w:val="0"/>
            <w:vAlign w:val="center"/>
          </w:tcPr>
          <w:p w14:paraId="717C053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07" w:type="dxa"/>
            <w:noWrap w:val="0"/>
            <w:vAlign w:val="top"/>
          </w:tcPr>
          <w:p w14:paraId="1817ED0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55" w:type="dxa"/>
            <w:noWrap w:val="0"/>
            <w:vAlign w:val="top"/>
          </w:tcPr>
          <w:p w14:paraId="3E7AAD0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30" w:type="dxa"/>
            <w:noWrap w:val="0"/>
            <w:vAlign w:val="center"/>
          </w:tcPr>
          <w:p w14:paraId="342FF9F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676F7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 w:type="dxa"/>
            <w:noWrap w:val="0"/>
            <w:vAlign w:val="center"/>
          </w:tcPr>
          <w:p w14:paraId="16BC11C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875" w:type="dxa"/>
            <w:noWrap w:val="0"/>
            <w:vAlign w:val="center"/>
          </w:tcPr>
          <w:p w14:paraId="19ADEBC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757" w:type="dxa"/>
            <w:noWrap w:val="0"/>
            <w:vAlign w:val="center"/>
          </w:tcPr>
          <w:p w14:paraId="3F4B78F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1" w:type="dxa"/>
            <w:noWrap w:val="0"/>
            <w:vAlign w:val="center"/>
          </w:tcPr>
          <w:p w14:paraId="4FB8C54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07" w:type="dxa"/>
            <w:noWrap w:val="0"/>
            <w:vAlign w:val="top"/>
          </w:tcPr>
          <w:p w14:paraId="43B2C02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55" w:type="dxa"/>
            <w:noWrap w:val="0"/>
            <w:vAlign w:val="top"/>
          </w:tcPr>
          <w:p w14:paraId="1235868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30" w:type="dxa"/>
            <w:noWrap w:val="0"/>
            <w:vAlign w:val="center"/>
          </w:tcPr>
          <w:p w14:paraId="3EBC4A8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64DA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 w:type="dxa"/>
            <w:noWrap w:val="0"/>
            <w:vAlign w:val="center"/>
          </w:tcPr>
          <w:p w14:paraId="2FE5586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875" w:type="dxa"/>
            <w:noWrap w:val="0"/>
            <w:vAlign w:val="center"/>
          </w:tcPr>
          <w:p w14:paraId="0CCD371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757" w:type="dxa"/>
            <w:noWrap w:val="0"/>
            <w:vAlign w:val="center"/>
          </w:tcPr>
          <w:p w14:paraId="2F38427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1" w:type="dxa"/>
            <w:noWrap w:val="0"/>
            <w:vAlign w:val="center"/>
          </w:tcPr>
          <w:p w14:paraId="2E87048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07" w:type="dxa"/>
            <w:noWrap w:val="0"/>
            <w:vAlign w:val="top"/>
          </w:tcPr>
          <w:p w14:paraId="6AD2523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55" w:type="dxa"/>
            <w:noWrap w:val="0"/>
            <w:vAlign w:val="top"/>
          </w:tcPr>
          <w:p w14:paraId="30F4689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30" w:type="dxa"/>
            <w:noWrap w:val="0"/>
            <w:vAlign w:val="center"/>
          </w:tcPr>
          <w:p w14:paraId="2BF4A21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bl>
    <w:p w14:paraId="60E3858A">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28"/>
          <w:szCs w:val="28"/>
          <w:lang w:val="en-US" w:eastAsia="zh-CN"/>
        </w:rPr>
      </w:pPr>
    </w:p>
    <w:p w14:paraId="46CE6AA9">
      <w:pPr>
        <w:keepNext w:val="0"/>
        <w:keepLines w:val="0"/>
        <w:pageBreakBefore w:val="0"/>
        <w:widowControl w:val="0"/>
        <w:numPr>
          <w:ilvl w:val="0"/>
          <w:numId w:val="3"/>
        </w:numPr>
        <w:tabs>
          <w:tab w:val="left" w:pos="480"/>
          <w:tab w:val="clear" w:pos="312"/>
        </w:tabs>
        <w:kinsoku/>
        <w:wordWrap/>
        <w:overflowPunct/>
        <w:topLinePunct w:val="0"/>
        <w:autoSpaceDE/>
        <w:autoSpaceDN/>
        <w:bidi w:val="0"/>
        <w:adjustRightInd/>
        <w:snapToGrid/>
        <w:spacing w:line="578" w:lineRule="exact"/>
        <w:ind w:leftChars="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支撑环境（硬件）</w:t>
      </w:r>
    </w:p>
    <w:tbl>
      <w:tblPr>
        <w:tblStyle w:val="4"/>
        <w:tblpPr w:leftFromText="180" w:rightFromText="180" w:vertAnchor="text" w:horzAnchor="page" w:tblpXSpec="center" w:tblpY="103"/>
        <w:tblOverlap w:val="never"/>
        <w:tblW w:w="100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247"/>
        <w:gridCol w:w="1140"/>
        <w:gridCol w:w="1527"/>
        <w:gridCol w:w="709"/>
        <w:gridCol w:w="859"/>
        <w:gridCol w:w="859"/>
        <w:gridCol w:w="914"/>
        <w:gridCol w:w="2032"/>
      </w:tblGrid>
      <w:tr w14:paraId="27379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5FD7FB8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r>
              <w:rPr>
                <w:rFonts w:hint="eastAsia" w:ascii="仿宋" w:hAnsi="仿宋" w:eastAsia="仿宋" w:cs="仿宋"/>
                <w:color w:val="auto"/>
                <w:szCs w:val="21"/>
              </w:rPr>
              <w:t>序号</w:t>
            </w:r>
          </w:p>
        </w:tc>
        <w:tc>
          <w:tcPr>
            <w:tcW w:w="1247" w:type="dxa"/>
            <w:tcBorders>
              <w:top w:val="single" w:color="auto" w:sz="4" w:space="0"/>
              <w:left w:val="nil"/>
              <w:bottom w:val="single" w:color="auto" w:sz="4" w:space="0"/>
              <w:right w:val="single" w:color="auto" w:sz="4" w:space="0"/>
            </w:tcBorders>
            <w:noWrap w:val="0"/>
            <w:vAlign w:val="center"/>
          </w:tcPr>
          <w:p w14:paraId="4F9C535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r>
              <w:rPr>
                <w:rFonts w:hint="eastAsia" w:ascii="仿宋" w:hAnsi="仿宋" w:eastAsia="仿宋" w:cs="仿宋"/>
                <w:color w:val="auto"/>
                <w:szCs w:val="21"/>
                <w:lang w:val="en-US" w:eastAsia="zh-CN"/>
              </w:rPr>
              <w:t>产品</w:t>
            </w:r>
            <w:r>
              <w:rPr>
                <w:rFonts w:hint="eastAsia" w:ascii="仿宋" w:hAnsi="仿宋" w:eastAsia="仿宋" w:cs="仿宋"/>
                <w:color w:val="auto"/>
                <w:szCs w:val="21"/>
              </w:rPr>
              <w:t>名称</w:t>
            </w:r>
          </w:p>
        </w:tc>
        <w:tc>
          <w:tcPr>
            <w:tcW w:w="1140" w:type="dxa"/>
            <w:tcBorders>
              <w:top w:val="single" w:color="auto" w:sz="4" w:space="0"/>
              <w:left w:val="nil"/>
              <w:bottom w:val="single" w:color="auto" w:sz="4" w:space="0"/>
              <w:right w:val="single" w:color="auto" w:sz="4" w:space="0"/>
            </w:tcBorders>
            <w:noWrap w:val="0"/>
            <w:vAlign w:val="center"/>
          </w:tcPr>
          <w:p w14:paraId="266A105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r>
              <w:rPr>
                <w:rFonts w:hint="eastAsia" w:ascii="仿宋" w:hAnsi="仿宋" w:eastAsia="仿宋" w:cs="仿宋"/>
                <w:color w:val="auto"/>
                <w:szCs w:val="21"/>
              </w:rPr>
              <w:t>规格型号</w:t>
            </w:r>
          </w:p>
        </w:tc>
        <w:tc>
          <w:tcPr>
            <w:tcW w:w="1527" w:type="dxa"/>
            <w:tcBorders>
              <w:top w:val="single" w:color="auto" w:sz="4" w:space="0"/>
              <w:left w:val="nil"/>
              <w:bottom w:val="single" w:color="auto" w:sz="4" w:space="0"/>
              <w:right w:val="single" w:color="auto" w:sz="4" w:space="0"/>
            </w:tcBorders>
            <w:noWrap w:val="0"/>
            <w:vAlign w:val="center"/>
          </w:tcPr>
          <w:p w14:paraId="7E63766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r>
              <w:rPr>
                <w:rFonts w:hint="eastAsia" w:ascii="仿宋" w:hAnsi="仿宋" w:eastAsia="仿宋" w:cs="仿宋"/>
                <w:color w:val="auto"/>
                <w:szCs w:val="21"/>
              </w:rPr>
              <w:t>生产厂家</w:t>
            </w:r>
          </w:p>
        </w:tc>
        <w:tc>
          <w:tcPr>
            <w:tcW w:w="709" w:type="dxa"/>
            <w:tcBorders>
              <w:top w:val="single" w:color="auto" w:sz="4" w:space="0"/>
              <w:left w:val="nil"/>
              <w:bottom w:val="single" w:color="auto" w:sz="4" w:space="0"/>
              <w:right w:val="single" w:color="auto" w:sz="4" w:space="0"/>
            </w:tcBorders>
            <w:noWrap w:val="0"/>
            <w:vAlign w:val="center"/>
          </w:tcPr>
          <w:p w14:paraId="3209DF4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r>
              <w:rPr>
                <w:rFonts w:hint="eastAsia" w:ascii="仿宋" w:hAnsi="仿宋" w:eastAsia="仿宋" w:cs="仿宋"/>
                <w:color w:val="auto"/>
                <w:szCs w:val="21"/>
              </w:rPr>
              <w:t>数量</w:t>
            </w:r>
          </w:p>
        </w:tc>
        <w:tc>
          <w:tcPr>
            <w:tcW w:w="859" w:type="dxa"/>
            <w:tcBorders>
              <w:top w:val="single" w:color="auto" w:sz="4" w:space="0"/>
              <w:left w:val="nil"/>
              <w:bottom w:val="single" w:color="auto" w:sz="4" w:space="0"/>
              <w:right w:val="single" w:color="auto" w:sz="4" w:space="0"/>
            </w:tcBorders>
            <w:noWrap w:val="0"/>
            <w:vAlign w:val="center"/>
          </w:tcPr>
          <w:p w14:paraId="5AEE330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单位</w:t>
            </w:r>
          </w:p>
        </w:tc>
        <w:tc>
          <w:tcPr>
            <w:tcW w:w="859" w:type="dxa"/>
            <w:tcBorders>
              <w:top w:val="single" w:color="auto" w:sz="4" w:space="0"/>
              <w:left w:val="nil"/>
              <w:bottom w:val="single" w:color="auto" w:sz="4" w:space="0"/>
              <w:right w:val="single" w:color="auto" w:sz="4" w:space="0"/>
            </w:tcBorders>
            <w:noWrap w:val="0"/>
            <w:vAlign w:val="center"/>
          </w:tcPr>
          <w:p w14:paraId="4E90493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r>
              <w:rPr>
                <w:rFonts w:hint="eastAsia" w:ascii="仿宋" w:hAnsi="仿宋" w:eastAsia="仿宋" w:cs="仿宋"/>
                <w:color w:val="auto"/>
                <w:szCs w:val="21"/>
              </w:rPr>
              <w:t>单价（元）</w:t>
            </w:r>
          </w:p>
        </w:tc>
        <w:tc>
          <w:tcPr>
            <w:tcW w:w="914" w:type="dxa"/>
            <w:tcBorders>
              <w:top w:val="single" w:color="auto" w:sz="4" w:space="0"/>
              <w:left w:val="nil"/>
              <w:bottom w:val="single" w:color="auto" w:sz="4" w:space="0"/>
              <w:right w:val="single" w:color="auto" w:sz="4" w:space="0"/>
            </w:tcBorders>
            <w:noWrap w:val="0"/>
            <w:vAlign w:val="center"/>
          </w:tcPr>
          <w:p w14:paraId="0E34025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r>
              <w:rPr>
                <w:rFonts w:hint="eastAsia" w:ascii="仿宋" w:hAnsi="仿宋" w:eastAsia="仿宋" w:cs="仿宋"/>
                <w:color w:val="auto"/>
                <w:szCs w:val="21"/>
                <w:lang w:val="en-US" w:eastAsia="zh-CN"/>
              </w:rPr>
              <w:t>合计</w:t>
            </w:r>
            <w:r>
              <w:rPr>
                <w:rFonts w:hint="eastAsia" w:ascii="仿宋" w:hAnsi="仿宋" w:eastAsia="仿宋" w:cs="仿宋"/>
                <w:color w:val="auto"/>
                <w:szCs w:val="21"/>
              </w:rPr>
              <w:t>（元）</w:t>
            </w:r>
          </w:p>
        </w:tc>
        <w:tc>
          <w:tcPr>
            <w:tcW w:w="2032" w:type="dxa"/>
            <w:tcBorders>
              <w:top w:val="single" w:color="auto" w:sz="4" w:space="0"/>
              <w:left w:val="nil"/>
              <w:bottom w:val="single" w:color="auto" w:sz="4" w:space="0"/>
              <w:right w:val="single" w:color="auto" w:sz="4" w:space="0"/>
            </w:tcBorders>
            <w:noWrap w:val="0"/>
            <w:vAlign w:val="center"/>
          </w:tcPr>
          <w:p w14:paraId="712B4DA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r>
              <w:rPr>
                <w:rFonts w:hint="eastAsia" w:ascii="仿宋" w:hAnsi="仿宋" w:eastAsia="仿宋" w:cs="仿宋"/>
                <w:color w:val="auto"/>
                <w:szCs w:val="21"/>
              </w:rPr>
              <w:t>功能要求及</w:t>
            </w:r>
          </w:p>
          <w:p w14:paraId="2C46EB1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r>
              <w:rPr>
                <w:rFonts w:hint="eastAsia" w:ascii="仿宋" w:hAnsi="仿宋" w:eastAsia="仿宋" w:cs="仿宋"/>
                <w:color w:val="auto"/>
                <w:szCs w:val="21"/>
              </w:rPr>
              <w:t>技术规格</w:t>
            </w:r>
          </w:p>
        </w:tc>
      </w:tr>
      <w:tr w14:paraId="77E0A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59545B6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47" w:type="dxa"/>
            <w:tcBorders>
              <w:top w:val="single" w:color="auto" w:sz="4" w:space="0"/>
              <w:left w:val="nil"/>
              <w:bottom w:val="single" w:color="auto" w:sz="4" w:space="0"/>
              <w:right w:val="single" w:color="auto" w:sz="4" w:space="0"/>
            </w:tcBorders>
            <w:noWrap w:val="0"/>
            <w:vAlign w:val="center"/>
          </w:tcPr>
          <w:p w14:paraId="74B125A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40" w:type="dxa"/>
            <w:tcBorders>
              <w:top w:val="single" w:color="auto" w:sz="4" w:space="0"/>
              <w:left w:val="nil"/>
              <w:bottom w:val="single" w:color="auto" w:sz="4" w:space="0"/>
              <w:right w:val="single" w:color="auto" w:sz="4" w:space="0"/>
            </w:tcBorders>
            <w:noWrap w:val="0"/>
            <w:vAlign w:val="center"/>
          </w:tcPr>
          <w:p w14:paraId="0EE115A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527" w:type="dxa"/>
            <w:tcBorders>
              <w:top w:val="single" w:color="auto" w:sz="4" w:space="0"/>
              <w:left w:val="nil"/>
              <w:bottom w:val="single" w:color="auto" w:sz="4" w:space="0"/>
              <w:right w:val="single" w:color="auto" w:sz="4" w:space="0"/>
            </w:tcBorders>
            <w:noWrap w:val="0"/>
            <w:vAlign w:val="center"/>
          </w:tcPr>
          <w:p w14:paraId="23FE5F1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709" w:type="dxa"/>
            <w:tcBorders>
              <w:top w:val="single" w:color="auto" w:sz="4" w:space="0"/>
              <w:left w:val="nil"/>
              <w:bottom w:val="single" w:color="auto" w:sz="4" w:space="0"/>
              <w:right w:val="single" w:color="auto" w:sz="4" w:space="0"/>
            </w:tcBorders>
            <w:noWrap w:val="0"/>
            <w:vAlign w:val="center"/>
          </w:tcPr>
          <w:p w14:paraId="2A5C1CE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71DCBFB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33C05A3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914" w:type="dxa"/>
            <w:tcBorders>
              <w:top w:val="single" w:color="auto" w:sz="4" w:space="0"/>
              <w:left w:val="nil"/>
              <w:bottom w:val="single" w:color="auto" w:sz="4" w:space="0"/>
              <w:right w:val="single" w:color="auto" w:sz="4" w:space="0"/>
            </w:tcBorders>
            <w:noWrap w:val="0"/>
            <w:vAlign w:val="center"/>
          </w:tcPr>
          <w:p w14:paraId="4BD12DE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032" w:type="dxa"/>
            <w:tcBorders>
              <w:top w:val="single" w:color="auto" w:sz="4" w:space="0"/>
              <w:left w:val="nil"/>
              <w:bottom w:val="single" w:color="auto" w:sz="4" w:space="0"/>
              <w:right w:val="single" w:color="auto" w:sz="4" w:space="0"/>
            </w:tcBorders>
            <w:noWrap w:val="0"/>
            <w:vAlign w:val="center"/>
          </w:tcPr>
          <w:p w14:paraId="0EA6430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1B0C9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143190D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47" w:type="dxa"/>
            <w:tcBorders>
              <w:top w:val="single" w:color="auto" w:sz="4" w:space="0"/>
              <w:left w:val="nil"/>
              <w:bottom w:val="single" w:color="auto" w:sz="4" w:space="0"/>
              <w:right w:val="single" w:color="auto" w:sz="4" w:space="0"/>
            </w:tcBorders>
            <w:noWrap w:val="0"/>
            <w:vAlign w:val="center"/>
          </w:tcPr>
          <w:p w14:paraId="400C99A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40" w:type="dxa"/>
            <w:tcBorders>
              <w:top w:val="single" w:color="auto" w:sz="4" w:space="0"/>
              <w:left w:val="nil"/>
              <w:bottom w:val="single" w:color="auto" w:sz="4" w:space="0"/>
              <w:right w:val="single" w:color="auto" w:sz="4" w:space="0"/>
            </w:tcBorders>
            <w:noWrap w:val="0"/>
            <w:vAlign w:val="center"/>
          </w:tcPr>
          <w:p w14:paraId="72C61E3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527" w:type="dxa"/>
            <w:tcBorders>
              <w:top w:val="single" w:color="auto" w:sz="4" w:space="0"/>
              <w:left w:val="nil"/>
              <w:bottom w:val="single" w:color="auto" w:sz="4" w:space="0"/>
              <w:right w:val="single" w:color="auto" w:sz="4" w:space="0"/>
            </w:tcBorders>
            <w:noWrap w:val="0"/>
            <w:vAlign w:val="center"/>
          </w:tcPr>
          <w:p w14:paraId="1DC31EA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709" w:type="dxa"/>
            <w:tcBorders>
              <w:top w:val="single" w:color="auto" w:sz="4" w:space="0"/>
              <w:left w:val="nil"/>
              <w:bottom w:val="single" w:color="auto" w:sz="4" w:space="0"/>
              <w:right w:val="single" w:color="auto" w:sz="4" w:space="0"/>
            </w:tcBorders>
            <w:noWrap w:val="0"/>
            <w:vAlign w:val="center"/>
          </w:tcPr>
          <w:p w14:paraId="566972B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370B64A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347520A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914" w:type="dxa"/>
            <w:tcBorders>
              <w:top w:val="single" w:color="auto" w:sz="4" w:space="0"/>
              <w:left w:val="nil"/>
              <w:bottom w:val="single" w:color="auto" w:sz="4" w:space="0"/>
              <w:right w:val="single" w:color="auto" w:sz="4" w:space="0"/>
            </w:tcBorders>
            <w:noWrap w:val="0"/>
            <w:vAlign w:val="center"/>
          </w:tcPr>
          <w:p w14:paraId="6032AA7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032" w:type="dxa"/>
            <w:tcBorders>
              <w:top w:val="single" w:color="auto" w:sz="4" w:space="0"/>
              <w:left w:val="nil"/>
              <w:bottom w:val="single" w:color="auto" w:sz="4" w:space="0"/>
              <w:right w:val="single" w:color="auto" w:sz="4" w:space="0"/>
            </w:tcBorders>
            <w:noWrap w:val="0"/>
            <w:vAlign w:val="center"/>
          </w:tcPr>
          <w:p w14:paraId="26D5530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3B434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3FE22D2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47" w:type="dxa"/>
            <w:tcBorders>
              <w:top w:val="single" w:color="auto" w:sz="4" w:space="0"/>
              <w:left w:val="nil"/>
              <w:bottom w:val="single" w:color="auto" w:sz="4" w:space="0"/>
              <w:right w:val="single" w:color="auto" w:sz="4" w:space="0"/>
            </w:tcBorders>
            <w:noWrap w:val="0"/>
            <w:vAlign w:val="center"/>
          </w:tcPr>
          <w:p w14:paraId="414959D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40" w:type="dxa"/>
            <w:tcBorders>
              <w:top w:val="single" w:color="auto" w:sz="4" w:space="0"/>
              <w:left w:val="nil"/>
              <w:bottom w:val="single" w:color="auto" w:sz="4" w:space="0"/>
              <w:right w:val="single" w:color="auto" w:sz="4" w:space="0"/>
            </w:tcBorders>
            <w:noWrap w:val="0"/>
            <w:vAlign w:val="center"/>
          </w:tcPr>
          <w:p w14:paraId="363444A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527" w:type="dxa"/>
            <w:tcBorders>
              <w:top w:val="single" w:color="auto" w:sz="4" w:space="0"/>
              <w:left w:val="nil"/>
              <w:bottom w:val="single" w:color="auto" w:sz="4" w:space="0"/>
              <w:right w:val="single" w:color="auto" w:sz="4" w:space="0"/>
            </w:tcBorders>
            <w:noWrap w:val="0"/>
            <w:vAlign w:val="center"/>
          </w:tcPr>
          <w:p w14:paraId="5913296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709" w:type="dxa"/>
            <w:tcBorders>
              <w:top w:val="single" w:color="auto" w:sz="4" w:space="0"/>
              <w:left w:val="nil"/>
              <w:bottom w:val="single" w:color="auto" w:sz="4" w:space="0"/>
              <w:right w:val="single" w:color="auto" w:sz="4" w:space="0"/>
            </w:tcBorders>
            <w:noWrap w:val="0"/>
            <w:vAlign w:val="center"/>
          </w:tcPr>
          <w:p w14:paraId="594F3F7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788ACA4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49A5F02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914" w:type="dxa"/>
            <w:tcBorders>
              <w:top w:val="single" w:color="auto" w:sz="4" w:space="0"/>
              <w:left w:val="nil"/>
              <w:bottom w:val="single" w:color="auto" w:sz="4" w:space="0"/>
              <w:right w:val="single" w:color="auto" w:sz="4" w:space="0"/>
            </w:tcBorders>
            <w:noWrap w:val="0"/>
            <w:vAlign w:val="center"/>
          </w:tcPr>
          <w:p w14:paraId="154630F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032" w:type="dxa"/>
            <w:tcBorders>
              <w:top w:val="single" w:color="auto" w:sz="4" w:space="0"/>
              <w:left w:val="nil"/>
              <w:bottom w:val="single" w:color="auto" w:sz="4" w:space="0"/>
              <w:right w:val="single" w:color="auto" w:sz="4" w:space="0"/>
            </w:tcBorders>
            <w:noWrap w:val="0"/>
            <w:vAlign w:val="center"/>
          </w:tcPr>
          <w:p w14:paraId="7E839C4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30C4F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7B64AD7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47" w:type="dxa"/>
            <w:tcBorders>
              <w:top w:val="single" w:color="auto" w:sz="4" w:space="0"/>
              <w:left w:val="nil"/>
              <w:bottom w:val="single" w:color="auto" w:sz="4" w:space="0"/>
              <w:right w:val="single" w:color="auto" w:sz="4" w:space="0"/>
            </w:tcBorders>
            <w:noWrap w:val="0"/>
            <w:vAlign w:val="center"/>
          </w:tcPr>
          <w:p w14:paraId="0BF856D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40" w:type="dxa"/>
            <w:tcBorders>
              <w:top w:val="single" w:color="auto" w:sz="4" w:space="0"/>
              <w:left w:val="nil"/>
              <w:bottom w:val="single" w:color="auto" w:sz="4" w:space="0"/>
              <w:right w:val="single" w:color="auto" w:sz="4" w:space="0"/>
            </w:tcBorders>
            <w:noWrap w:val="0"/>
            <w:vAlign w:val="center"/>
          </w:tcPr>
          <w:p w14:paraId="3499FDA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527" w:type="dxa"/>
            <w:tcBorders>
              <w:top w:val="single" w:color="auto" w:sz="4" w:space="0"/>
              <w:left w:val="nil"/>
              <w:bottom w:val="single" w:color="auto" w:sz="4" w:space="0"/>
              <w:right w:val="single" w:color="auto" w:sz="4" w:space="0"/>
            </w:tcBorders>
            <w:noWrap w:val="0"/>
            <w:vAlign w:val="center"/>
          </w:tcPr>
          <w:p w14:paraId="1656288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709" w:type="dxa"/>
            <w:tcBorders>
              <w:top w:val="single" w:color="auto" w:sz="4" w:space="0"/>
              <w:left w:val="nil"/>
              <w:bottom w:val="single" w:color="auto" w:sz="4" w:space="0"/>
              <w:right w:val="single" w:color="auto" w:sz="4" w:space="0"/>
            </w:tcBorders>
            <w:noWrap w:val="0"/>
            <w:vAlign w:val="center"/>
          </w:tcPr>
          <w:p w14:paraId="1F9E9D1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61C86BE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73DC125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914" w:type="dxa"/>
            <w:tcBorders>
              <w:top w:val="single" w:color="auto" w:sz="4" w:space="0"/>
              <w:left w:val="nil"/>
              <w:bottom w:val="single" w:color="auto" w:sz="4" w:space="0"/>
              <w:right w:val="single" w:color="auto" w:sz="4" w:space="0"/>
            </w:tcBorders>
            <w:noWrap w:val="0"/>
            <w:vAlign w:val="center"/>
          </w:tcPr>
          <w:p w14:paraId="1ADC541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032" w:type="dxa"/>
            <w:tcBorders>
              <w:top w:val="single" w:color="auto" w:sz="4" w:space="0"/>
              <w:left w:val="nil"/>
              <w:bottom w:val="single" w:color="auto" w:sz="4" w:space="0"/>
              <w:right w:val="single" w:color="auto" w:sz="4" w:space="0"/>
            </w:tcBorders>
            <w:noWrap w:val="0"/>
            <w:vAlign w:val="center"/>
          </w:tcPr>
          <w:p w14:paraId="1D07ECB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48CE5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11761C5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47" w:type="dxa"/>
            <w:tcBorders>
              <w:top w:val="single" w:color="auto" w:sz="4" w:space="0"/>
              <w:left w:val="nil"/>
              <w:bottom w:val="single" w:color="auto" w:sz="4" w:space="0"/>
              <w:right w:val="single" w:color="auto" w:sz="4" w:space="0"/>
            </w:tcBorders>
            <w:noWrap w:val="0"/>
            <w:vAlign w:val="center"/>
          </w:tcPr>
          <w:p w14:paraId="29ECAA6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40" w:type="dxa"/>
            <w:tcBorders>
              <w:top w:val="single" w:color="auto" w:sz="4" w:space="0"/>
              <w:left w:val="nil"/>
              <w:bottom w:val="single" w:color="auto" w:sz="4" w:space="0"/>
              <w:right w:val="single" w:color="auto" w:sz="4" w:space="0"/>
            </w:tcBorders>
            <w:noWrap w:val="0"/>
            <w:vAlign w:val="center"/>
          </w:tcPr>
          <w:p w14:paraId="4210126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527" w:type="dxa"/>
            <w:tcBorders>
              <w:top w:val="single" w:color="auto" w:sz="4" w:space="0"/>
              <w:left w:val="nil"/>
              <w:bottom w:val="single" w:color="auto" w:sz="4" w:space="0"/>
              <w:right w:val="single" w:color="auto" w:sz="4" w:space="0"/>
            </w:tcBorders>
            <w:noWrap w:val="0"/>
            <w:vAlign w:val="center"/>
          </w:tcPr>
          <w:p w14:paraId="199D515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709" w:type="dxa"/>
            <w:tcBorders>
              <w:top w:val="single" w:color="auto" w:sz="4" w:space="0"/>
              <w:left w:val="nil"/>
              <w:bottom w:val="single" w:color="auto" w:sz="4" w:space="0"/>
              <w:right w:val="single" w:color="auto" w:sz="4" w:space="0"/>
            </w:tcBorders>
            <w:noWrap w:val="0"/>
            <w:vAlign w:val="center"/>
          </w:tcPr>
          <w:p w14:paraId="196651A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46C387E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508EDF3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914" w:type="dxa"/>
            <w:tcBorders>
              <w:top w:val="single" w:color="auto" w:sz="4" w:space="0"/>
              <w:left w:val="nil"/>
              <w:bottom w:val="single" w:color="auto" w:sz="4" w:space="0"/>
              <w:right w:val="single" w:color="auto" w:sz="4" w:space="0"/>
            </w:tcBorders>
            <w:noWrap w:val="0"/>
            <w:vAlign w:val="center"/>
          </w:tcPr>
          <w:p w14:paraId="63DD6E0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032" w:type="dxa"/>
            <w:tcBorders>
              <w:top w:val="single" w:color="auto" w:sz="4" w:space="0"/>
              <w:left w:val="nil"/>
              <w:bottom w:val="single" w:color="auto" w:sz="4" w:space="0"/>
              <w:right w:val="single" w:color="auto" w:sz="4" w:space="0"/>
            </w:tcBorders>
            <w:noWrap w:val="0"/>
            <w:vAlign w:val="center"/>
          </w:tcPr>
          <w:p w14:paraId="09F7F18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0F8E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230DEF3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47" w:type="dxa"/>
            <w:tcBorders>
              <w:top w:val="single" w:color="auto" w:sz="4" w:space="0"/>
              <w:left w:val="nil"/>
              <w:bottom w:val="single" w:color="auto" w:sz="4" w:space="0"/>
              <w:right w:val="single" w:color="auto" w:sz="4" w:space="0"/>
            </w:tcBorders>
            <w:noWrap w:val="0"/>
            <w:vAlign w:val="center"/>
          </w:tcPr>
          <w:p w14:paraId="225E3F2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40" w:type="dxa"/>
            <w:tcBorders>
              <w:top w:val="single" w:color="auto" w:sz="4" w:space="0"/>
              <w:left w:val="nil"/>
              <w:bottom w:val="single" w:color="auto" w:sz="4" w:space="0"/>
              <w:right w:val="single" w:color="auto" w:sz="4" w:space="0"/>
            </w:tcBorders>
            <w:noWrap w:val="0"/>
            <w:vAlign w:val="center"/>
          </w:tcPr>
          <w:p w14:paraId="11B5F4C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527" w:type="dxa"/>
            <w:tcBorders>
              <w:top w:val="single" w:color="auto" w:sz="4" w:space="0"/>
              <w:left w:val="nil"/>
              <w:bottom w:val="single" w:color="auto" w:sz="4" w:space="0"/>
              <w:right w:val="single" w:color="auto" w:sz="4" w:space="0"/>
            </w:tcBorders>
            <w:noWrap w:val="0"/>
            <w:vAlign w:val="center"/>
          </w:tcPr>
          <w:p w14:paraId="2A1605C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709" w:type="dxa"/>
            <w:tcBorders>
              <w:top w:val="single" w:color="auto" w:sz="4" w:space="0"/>
              <w:left w:val="nil"/>
              <w:bottom w:val="single" w:color="auto" w:sz="4" w:space="0"/>
              <w:right w:val="single" w:color="auto" w:sz="4" w:space="0"/>
            </w:tcBorders>
            <w:noWrap w:val="0"/>
            <w:vAlign w:val="center"/>
          </w:tcPr>
          <w:p w14:paraId="4327DEA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22BE171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53AF168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914" w:type="dxa"/>
            <w:tcBorders>
              <w:top w:val="single" w:color="auto" w:sz="4" w:space="0"/>
              <w:left w:val="nil"/>
              <w:bottom w:val="single" w:color="auto" w:sz="4" w:space="0"/>
              <w:right w:val="single" w:color="auto" w:sz="4" w:space="0"/>
            </w:tcBorders>
            <w:noWrap w:val="0"/>
            <w:vAlign w:val="center"/>
          </w:tcPr>
          <w:p w14:paraId="2BE3AC7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032" w:type="dxa"/>
            <w:tcBorders>
              <w:top w:val="single" w:color="auto" w:sz="4" w:space="0"/>
              <w:left w:val="nil"/>
              <w:bottom w:val="single" w:color="auto" w:sz="4" w:space="0"/>
              <w:right w:val="single" w:color="auto" w:sz="4" w:space="0"/>
            </w:tcBorders>
            <w:noWrap w:val="0"/>
            <w:vAlign w:val="center"/>
          </w:tcPr>
          <w:p w14:paraId="790D381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23EE4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6DFA526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47" w:type="dxa"/>
            <w:tcBorders>
              <w:top w:val="single" w:color="auto" w:sz="4" w:space="0"/>
              <w:left w:val="nil"/>
              <w:bottom w:val="single" w:color="auto" w:sz="4" w:space="0"/>
              <w:right w:val="single" w:color="auto" w:sz="4" w:space="0"/>
            </w:tcBorders>
            <w:noWrap w:val="0"/>
            <w:vAlign w:val="center"/>
          </w:tcPr>
          <w:p w14:paraId="27ED497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40" w:type="dxa"/>
            <w:tcBorders>
              <w:top w:val="single" w:color="auto" w:sz="4" w:space="0"/>
              <w:left w:val="nil"/>
              <w:bottom w:val="single" w:color="auto" w:sz="4" w:space="0"/>
              <w:right w:val="single" w:color="auto" w:sz="4" w:space="0"/>
            </w:tcBorders>
            <w:noWrap w:val="0"/>
            <w:vAlign w:val="center"/>
          </w:tcPr>
          <w:p w14:paraId="5E3687B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527" w:type="dxa"/>
            <w:tcBorders>
              <w:top w:val="single" w:color="auto" w:sz="4" w:space="0"/>
              <w:left w:val="nil"/>
              <w:bottom w:val="single" w:color="auto" w:sz="4" w:space="0"/>
              <w:right w:val="single" w:color="auto" w:sz="4" w:space="0"/>
            </w:tcBorders>
            <w:noWrap w:val="0"/>
            <w:vAlign w:val="center"/>
          </w:tcPr>
          <w:p w14:paraId="6C37D8C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709" w:type="dxa"/>
            <w:tcBorders>
              <w:top w:val="single" w:color="auto" w:sz="4" w:space="0"/>
              <w:left w:val="nil"/>
              <w:bottom w:val="single" w:color="auto" w:sz="4" w:space="0"/>
              <w:right w:val="single" w:color="auto" w:sz="4" w:space="0"/>
            </w:tcBorders>
            <w:noWrap w:val="0"/>
            <w:vAlign w:val="center"/>
          </w:tcPr>
          <w:p w14:paraId="534908D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04C19DE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259E604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914" w:type="dxa"/>
            <w:tcBorders>
              <w:top w:val="single" w:color="auto" w:sz="4" w:space="0"/>
              <w:left w:val="nil"/>
              <w:bottom w:val="single" w:color="auto" w:sz="4" w:space="0"/>
              <w:right w:val="single" w:color="auto" w:sz="4" w:space="0"/>
            </w:tcBorders>
            <w:noWrap w:val="0"/>
            <w:vAlign w:val="center"/>
          </w:tcPr>
          <w:p w14:paraId="182AEA4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032" w:type="dxa"/>
            <w:tcBorders>
              <w:top w:val="single" w:color="auto" w:sz="4" w:space="0"/>
              <w:left w:val="nil"/>
              <w:bottom w:val="single" w:color="auto" w:sz="4" w:space="0"/>
              <w:right w:val="single" w:color="auto" w:sz="4" w:space="0"/>
            </w:tcBorders>
            <w:noWrap w:val="0"/>
            <w:vAlign w:val="center"/>
          </w:tcPr>
          <w:p w14:paraId="5528F6B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1F87F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306512C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47" w:type="dxa"/>
            <w:tcBorders>
              <w:top w:val="single" w:color="auto" w:sz="4" w:space="0"/>
              <w:left w:val="nil"/>
              <w:bottom w:val="single" w:color="auto" w:sz="4" w:space="0"/>
              <w:right w:val="single" w:color="auto" w:sz="4" w:space="0"/>
            </w:tcBorders>
            <w:noWrap w:val="0"/>
            <w:vAlign w:val="center"/>
          </w:tcPr>
          <w:p w14:paraId="40CA6C1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40" w:type="dxa"/>
            <w:tcBorders>
              <w:top w:val="single" w:color="auto" w:sz="4" w:space="0"/>
              <w:left w:val="nil"/>
              <w:bottom w:val="single" w:color="auto" w:sz="4" w:space="0"/>
              <w:right w:val="single" w:color="auto" w:sz="4" w:space="0"/>
            </w:tcBorders>
            <w:noWrap w:val="0"/>
            <w:vAlign w:val="center"/>
          </w:tcPr>
          <w:p w14:paraId="61A5254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527" w:type="dxa"/>
            <w:tcBorders>
              <w:top w:val="single" w:color="auto" w:sz="4" w:space="0"/>
              <w:left w:val="nil"/>
              <w:bottom w:val="single" w:color="auto" w:sz="4" w:space="0"/>
              <w:right w:val="single" w:color="auto" w:sz="4" w:space="0"/>
            </w:tcBorders>
            <w:noWrap w:val="0"/>
            <w:vAlign w:val="center"/>
          </w:tcPr>
          <w:p w14:paraId="7674F67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709" w:type="dxa"/>
            <w:tcBorders>
              <w:top w:val="single" w:color="auto" w:sz="4" w:space="0"/>
              <w:left w:val="nil"/>
              <w:bottom w:val="single" w:color="auto" w:sz="4" w:space="0"/>
              <w:right w:val="single" w:color="auto" w:sz="4" w:space="0"/>
            </w:tcBorders>
            <w:noWrap w:val="0"/>
            <w:vAlign w:val="center"/>
          </w:tcPr>
          <w:p w14:paraId="5814104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42C4B15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6757172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914" w:type="dxa"/>
            <w:tcBorders>
              <w:top w:val="single" w:color="auto" w:sz="4" w:space="0"/>
              <w:left w:val="nil"/>
              <w:bottom w:val="single" w:color="auto" w:sz="4" w:space="0"/>
              <w:right w:val="single" w:color="auto" w:sz="4" w:space="0"/>
            </w:tcBorders>
            <w:noWrap w:val="0"/>
            <w:vAlign w:val="center"/>
          </w:tcPr>
          <w:p w14:paraId="3C418CA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032" w:type="dxa"/>
            <w:tcBorders>
              <w:top w:val="single" w:color="auto" w:sz="4" w:space="0"/>
              <w:left w:val="nil"/>
              <w:bottom w:val="single" w:color="auto" w:sz="4" w:space="0"/>
              <w:right w:val="single" w:color="auto" w:sz="4" w:space="0"/>
            </w:tcBorders>
            <w:noWrap w:val="0"/>
            <w:vAlign w:val="center"/>
          </w:tcPr>
          <w:p w14:paraId="25BE3A2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r w14:paraId="761CB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14:paraId="18CC294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247" w:type="dxa"/>
            <w:tcBorders>
              <w:top w:val="single" w:color="auto" w:sz="4" w:space="0"/>
              <w:left w:val="nil"/>
              <w:bottom w:val="single" w:color="auto" w:sz="4" w:space="0"/>
              <w:right w:val="single" w:color="auto" w:sz="4" w:space="0"/>
            </w:tcBorders>
            <w:noWrap w:val="0"/>
            <w:vAlign w:val="center"/>
          </w:tcPr>
          <w:p w14:paraId="152A4A2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140" w:type="dxa"/>
            <w:tcBorders>
              <w:top w:val="single" w:color="auto" w:sz="4" w:space="0"/>
              <w:left w:val="nil"/>
              <w:bottom w:val="single" w:color="auto" w:sz="4" w:space="0"/>
              <w:right w:val="single" w:color="auto" w:sz="4" w:space="0"/>
            </w:tcBorders>
            <w:noWrap w:val="0"/>
            <w:vAlign w:val="center"/>
          </w:tcPr>
          <w:p w14:paraId="5D7ABFB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1527" w:type="dxa"/>
            <w:tcBorders>
              <w:top w:val="single" w:color="auto" w:sz="4" w:space="0"/>
              <w:left w:val="nil"/>
              <w:bottom w:val="single" w:color="auto" w:sz="4" w:space="0"/>
              <w:right w:val="single" w:color="auto" w:sz="4" w:space="0"/>
            </w:tcBorders>
            <w:noWrap w:val="0"/>
            <w:vAlign w:val="center"/>
          </w:tcPr>
          <w:p w14:paraId="000F836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709" w:type="dxa"/>
            <w:tcBorders>
              <w:top w:val="single" w:color="auto" w:sz="4" w:space="0"/>
              <w:left w:val="nil"/>
              <w:bottom w:val="single" w:color="auto" w:sz="4" w:space="0"/>
              <w:right w:val="single" w:color="auto" w:sz="4" w:space="0"/>
            </w:tcBorders>
            <w:noWrap w:val="0"/>
            <w:vAlign w:val="center"/>
          </w:tcPr>
          <w:p w14:paraId="2EE293F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3C2108E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859" w:type="dxa"/>
            <w:tcBorders>
              <w:top w:val="single" w:color="auto" w:sz="4" w:space="0"/>
              <w:left w:val="nil"/>
              <w:bottom w:val="single" w:color="auto" w:sz="4" w:space="0"/>
              <w:right w:val="single" w:color="auto" w:sz="4" w:space="0"/>
            </w:tcBorders>
            <w:noWrap w:val="0"/>
            <w:vAlign w:val="center"/>
          </w:tcPr>
          <w:p w14:paraId="6B907B5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914" w:type="dxa"/>
            <w:tcBorders>
              <w:top w:val="single" w:color="auto" w:sz="4" w:space="0"/>
              <w:left w:val="nil"/>
              <w:bottom w:val="single" w:color="auto" w:sz="4" w:space="0"/>
              <w:right w:val="single" w:color="auto" w:sz="4" w:space="0"/>
            </w:tcBorders>
            <w:noWrap w:val="0"/>
            <w:vAlign w:val="center"/>
          </w:tcPr>
          <w:p w14:paraId="3A0BF0E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c>
          <w:tcPr>
            <w:tcW w:w="2032" w:type="dxa"/>
            <w:tcBorders>
              <w:top w:val="single" w:color="auto" w:sz="4" w:space="0"/>
              <w:left w:val="nil"/>
              <w:bottom w:val="single" w:color="auto" w:sz="4" w:space="0"/>
              <w:right w:val="single" w:color="auto" w:sz="4" w:space="0"/>
            </w:tcBorders>
            <w:noWrap w:val="0"/>
            <w:vAlign w:val="center"/>
          </w:tcPr>
          <w:p w14:paraId="79764B3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0" w:firstLineChars="0"/>
              <w:textAlignment w:val="auto"/>
              <w:rPr>
                <w:rFonts w:hint="eastAsia" w:ascii="仿宋" w:hAnsi="仿宋" w:eastAsia="仿宋" w:cs="仿宋"/>
                <w:color w:val="auto"/>
                <w:szCs w:val="21"/>
              </w:rPr>
            </w:pPr>
          </w:p>
        </w:tc>
      </w:tr>
    </w:tbl>
    <w:p w14:paraId="4C6A13FA">
      <w:pPr>
        <w:keepNext w:val="0"/>
        <w:keepLines w:val="0"/>
        <w:pageBreakBefore w:val="0"/>
        <w:widowControl w:val="0"/>
        <w:numPr>
          <w:ilvl w:val="0"/>
          <w:numId w:val="1"/>
        </w:numPr>
        <w:tabs>
          <w:tab w:val="left" w:pos="480"/>
        </w:tabs>
        <w:kinsoku/>
        <w:wordWrap/>
        <w:overflowPunct/>
        <w:topLinePunct w:val="0"/>
        <w:autoSpaceDE/>
        <w:autoSpaceDN/>
        <w:bidi w:val="0"/>
        <w:adjustRightInd/>
        <w:snapToGrid/>
        <w:spacing w:line="578" w:lineRule="exact"/>
        <w:ind w:left="0" w:leftChars="0" w:firstLine="0" w:firstLineChars="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合同价款</w:t>
      </w:r>
    </w:p>
    <w:p w14:paraId="4111DDED">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一</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 xml:space="preserve">合同总价款人民币（大写）：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元整 （￥             ）</w:t>
      </w:r>
      <w:r>
        <w:rPr>
          <w:rFonts w:hint="eastAsia" w:ascii="仿宋" w:hAnsi="仿宋" w:eastAsia="仿宋" w:cs="仿宋"/>
          <w:color w:val="auto"/>
          <w:sz w:val="28"/>
          <w:szCs w:val="28"/>
          <w:lang w:eastAsia="zh-CN"/>
        </w:rPr>
        <w:t>。</w:t>
      </w:r>
    </w:p>
    <w:p w14:paraId="79F3A27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（二）合同总价包括：软硬件供应费、运杂费、安装费、备件费、连接线、人工费、检测费、调试费、验收、税费、发票等</w:t>
      </w:r>
      <w:r>
        <w:rPr>
          <w:rFonts w:hint="eastAsia" w:ascii="仿宋" w:hAnsi="仿宋" w:eastAsia="仿宋" w:cs="仿宋"/>
          <w:bCs/>
          <w:color w:val="auto"/>
          <w:sz w:val="28"/>
          <w:szCs w:val="28"/>
        </w:rPr>
        <w:t>其它乙方履行合同义务所需的全部</w:t>
      </w:r>
      <w:r>
        <w:rPr>
          <w:rFonts w:hint="eastAsia" w:ascii="仿宋" w:hAnsi="仿宋" w:eastAsia="仿宋" w:cs="仿宋"/>
          <w:color w:val="auto"/>
          <w:sz w:val="28"/>
          <w:szCs w:val="28"/>
        </w:rPr>
        <w:t>费用。</w:t>
      </w:r>
    </w:p>
    <w:p w14:paraId="5E61C42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（三）合同金额一次性包死，不受市场价格变化等因素的影响，达到“交钥匙”项目目的。</w:t>
      </w:r>
    </w:p>
    <w:p w14:paraId="7C5C0166">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四、实施条件</w:t>
      </w:r>
    </w:p>
    <w:p w14:paraId="2CB08CF0">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（一）实施地点：甲方指定地点。</w:t>
      </w:r>
    </w:p>
    <w:p w14:paraId="2CC92733">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（二）工期：</w:t>
      </w:r>
    </w:p>
    <w:p w14:paraId="1584AAE0">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(1)支撑环境：自合同签订之日起1个月内完成全部项目实施。</w:t>
      </w:r>
    </w:p>
    <w:p w14:paraId="302A831A">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(2)软件：自合同签订之日起6个月内完成全部项目实施。</w:t>
      </w:r>
    </w:p>
    <w:p w14:paraId="4ABD1FE8">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五、验收条款</w:t>
      </w:r>
    </w:p>
    <w:p w14:paraId="485A5248">
      <w:pPr>
        <w:keepNext w:val="0"/>
        <w:keepLines w:val="0"/>
        <w:pageBreakBefore w:val="0"/>
        <w:widowControl w:val="0"/>
        <w:tabs>
          <w:tab w:val="left" w:pos="480"/>
        </w:tabs>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lang w:val="en-US" w:eastAsia="zh-CN"/>
        </w:rPr>
        <w:t>（一）所有项目按照</w:t>
      </w:r>
      <w:r>
        <w:rPr>
          <w:rFonts w:hint="eastAsia" w:ascii="仿宋" w:hAnsi="仿宋" w:eastAsia="仿宋" w:cs="仿宋"/>
          <w:color w:val="auto"/>
          <w:sz w:val="30"/>
          <w:szCs w:val="30"/>
          <w:highlight w:val="none"/>
        </w:rPr>
        <w:t>甲方</w:t>
      </w:r>
      <w:r>
        <w:rPr>
          <w:rFonts w:hint="eastAsia" w:ascii="仿宋" w:hAnsi="仿宋" w:eastAsia="仿宋" w:cs="仿宋"/>
          <w:color w:val="auto"/>
          <w:sz w:val="30"/>
          <w:szCs w:val="30"/>
          <w:highlight w:val="none"/>
          <w:lang w:val="en-US" w:eastAsia="zh-CN"/>
        </w:rPr>
        <w:t>招标文件</w:t>
      </w:r>
      <w:r>
        <w:rPr>
          <w:rFonts w:hint="eastAsia" w:ascii="仿宋" w:hAnsi="仿宋" w:eastAsia="仿宋" w:cs="仿宋"/>
          <w:color w:val="auto"/>
          <w:sz w:val="30"/>
          <w:szCs w:val="30"/>
          <w:highlight w:val="none"/>
        </w:rPr>
        <w:t>和乙方投标文件中的要求</w:t>
      </w:r>
      <w:r>
        <w:rPr>
          <w:rFonts w:hint="eastAsia" w:ascii="仿宋" w:hAnsi="仿宋" w:eastAsia="仿宋" w:cs="仿宋"/>
          <w:color w:val="auto"/>
          <w:sz w:val="30"/>
          <w:szCs w:val="30"/>
          <w:highlight w:val="none"/>
          <w:lang w:val="en-US" w:eastAsia="zh-CN"/>
        </w:rPr>
        <w:t>实施、调试完成，支撑环境：自合同签订之日起1个月内完成实施。软件：系统上线运行后，由供应商提出试运行，试运行结束医院满意并稳定运行1个月后由乙方提出验收申请，</w:t>
      </w:r>
      <w:r>
        <w:rPr>
          <w:rFonts w:hint="eastAsia" w:ascii="仿宋" w:hAnsi="仿宋" w:eastAsia="仿宋" w:cs="仿宋"/>
          <w:color w:val="auto"/>
          <w:sz w:val="30"/>
          <w:szCs w:val="30"/>
          <w:highlight w:val="none"/>
        </w:rPr>
        <w:t>确认项目完成，乙方进行自检，自检合格后，准备验收文件，并书面通知甲方。</w:t>
      </w:r>
      <w:r>
        <w:rPr>
          <w:rFonts w:hint="eastAsia" w:ascii="仿宋" w:hAnsi="仿宋" w:eastAsia="仿宋" w:cs="仿宋"/>
          <w:color w:val="auto"/>
          <w:sz w:val="30"/>
          <w:szCs w:val="30"/>
          <w:highlight w:val="none"/>
          <w:lang w:val="en-US" w:eastAsia="zh-CN"/>
        </w:rPr>
        <w:t>验收文档包括但不限于用户调查与需求分析报告、项目实施计划、项目实施过程文档、功能规格说明书、用户使用报告、系统维护手册、用户操作手册、培训资料、系统功能验证报告等。</w:t>
      </w:r>
    </w:p>
    <w:p w14:paraId="573B02AF">
      <w:pPr>
        <w:keepNext w:val="0"/>
        <w:keepLines w:val="0"/>
        <w:pageBreakBefore w:val="0"/>
        <w:widowControl w:val="0"/>
        <w:kinsoku/>
        <w:wordWrap/>
        <w:overflowPunct w:val="0"/>
        <w:topLinePunct w:val="0"/>
        <w:autoSpaceDE w:val="0"/>
        <w:autoSpaceDN w:val="0"/>
        <w:bidi w:val="0"/>
        <w:adjustRightInd w:val="0"/>
        <w:snapToGrid w:val="0"/>
        <w:spacing w:line="500" w:lineRule="exact"/>
        <w:ind w:right="-180" w:firstLine="600" w:firstLineChars="200"/>
        <w:textAlignment w:val="baseline"/>
        <w:rPr>
          <w:rFonts w:hint="eastAsia"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（二）甲方确认乙方的自检内容后，组织乙方（必要时请有关专家）进行项目验收。符合本合同约定的，甲方应当验收。对于不符合合同规定的内容，甲方可以拒绝验收。</w:t>
      </w:r>
    </w:p>
    <w:p w14:paraId="2405F49D">
      <w:pPr>
        <w:keepNext w:val="0"/>
        <w:keepLines w:val="0"/>
        <w:pageBreakBefore w:val="0"/>
        <w:widowControl w:val="0"/>
        <w:kinsoku/>
        <w:wordWrap/>
        <w:overflowPunct w:val="0"/>
        <w:topLinePunct w:val="0"/>
        <w:autoSpaceDE w:val="0"/>
        <w:autoSpaceDN w:val="0"/>
        <w:bidi w:val="0"/>
        <w:adjustRightInd w:val="0"/>
        <w:snapToGrid w:val="0"/>
        <w:spacing w:line="500" w:lineRule="exact"/>
        <w:ind w:right="-180" w:firstLine="600" w:firstLineChars="200"/>
        <w:textAlignment w:val="baseline"/>
        <w:rPr>
          <w:rFonts w:hint="eastAsia"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三）整体验收：项目整体实施结束，合同所有内容由西安医学院第三附属医院院内验收合格后，甲方提请陕西省卫健委组织或西安医学院专家进行项目整体验收，卫健委或西安医学院验收合格后，填写政府采购项目履约验收单（一式五份）作为对项目的整体认可。</w:t>
      </w:r>
    </w:p>
    <w:p w14:paraId="009B1DFE">
      <w:pPr>
        <w:keepNext w:val="0"/>
        <w:keepLines w:val="0"/>
        <w:pageBreakBefore w:val="0"/>
        <w:widowControl w:val="0"/>
        <w:kinsoku/>
        <w:wordWrap/>
        <w:overflowPunct w:val="0"/>
        <w:topLinePunct w:val="0"/>
        <w:autoSpaceDE w:val="0"/>
        <w:autoSpaceDN w:val="0"/>
        <w:bidi w:val="0"/>
        <w:adjustRightInd w:val="0"/>
        <w:snapToGrid w:val="0"/>
        <w:spacing w:line="500" w:lineRule="exact"/>
        <w:ind w:right="-180" w:firstLine="600" w:firstLineChars="200"/>
        <w:textAlignment w:val="baseline"/>
        <w:rPr>
          <w:rFonts w:hint="eastAsia"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（五）乙方向甲方提交项目实施过程中的所有资料，以便甲方日后管理和维护。</w:t>
      </w:r>
    </w:p>
    <w:p w14:paraId="1019432C">
      <w:pPr>
        <w:keepNext w:val="0"/>
        <w:keepLines w:val="0"/>
        <w:pageBreakBefore w:val="0"/>
        <w:widowControl w:val="0"/>
        <w:kinsoku/>
        <w:wordWrap/>
        <w:overflowPunct w:val="0"/>
        <w:topLinePunct w:val="0"/>
        <w:autoSpaceDE w:val="0"/>
        <w:autoSpaceDN w:val="0"/>
        <w:bidi w:val="0"/>
        <w:adjustRightInd w:val="0"/>
        <w:snapToGrid w:val="0"/>
        <w:spacing w:line="500" w:lineRule="exact"/>
        <w:ind w:right="-180" w:firstLine="600" w:firstLineChars="200"/>
        <w:textAlignment w:val="baseline"/>
        <w:rPr>
          <w:rFonts w:hint="eastAsia"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（六）验收依据</w:t>
      </w:r>
    </w:p>
    <w:p w14:paraId="5CEB2AA5">
      <w:pPr>
        <w:keepNext w:val="0"/>
        <w:keepLines w:val="0"/>
        <w:pageBreakBefore w:val="0"/>
        <w:widowControl w:val="0"/>
        <w:kinsoku/>
        <w:wordWrap/>
        <w:overflowPunct w:val="0"/>
        <w:topLinePunct w:val="0"/>
        <w:autoSpaceDE w:val="0"/>
        <w:autoSpaceDN w:val="0"/>
        <w:bidi w:val="0"/>
        <w:adjustRightInd w:val="0"/>
        <w:snapToGrid w:val="0"/>
        <w:spacing w:line="500" w:lineRule="exact"/>
        <w:ind w:right="-180" w:firstLine="600" w:firstLineChars="200"/>
        <w:textAlignment w:val="baseline"/>
        <w:rPr>
          <w:rFonts w:hint="eastAsia"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①招标文件、投标文件、澄清表（函）；</w:t>
      </w:r>
    </w:p>
    <w:p w14:paraId="7030198D">
      <w:pPr>
        <w:keepNext w:val="0"/>
        <w:keepLines w:val="0"/>
        <w:pageBreakBefore w:val="0"/>
        <w:widowControl w:val="0"/>
        <w:kinsoku/>
        <w:wordWrap/>
        <w:overflowPunct w:val="0"/>
        <w:topLinePunct w:val="0"/>
        <w:autoSpaceDE w:val="0"/>
        <w:autoSpaceDN w:val="0"/>
        <w:bidi w:val="0"/>
        <w:adjustRightInd w:val="0"/>
        <w:snapToGrid w:val="0"/>
        <w:spacing w:line="500" w:lineRule="exact"/>
        <w:ind w:right="-180" w:firstLine="600" w:firstLineChars="200"/>
        <w:textAlignment w:val="baseline"/>
        <w:rPr>
          <w:rFonts w:hint="eastAsia"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②本合同及附件文本；</w:t>
      </w:r>
    </w:p>
    <w:p w14:paraId="0397F10C">
      <w:pPr>
        <w:keepNext w:val="0"/>
        <w:keepLines w:val="0"/>
        <w:pageBreakBefore w:val="0"/>
        <w:widowControl w:val="0"/>
        <w:kinsoku/>
        <w:wordWrap/>
        <w:overflowPunct w:val="0"/>
        <w:topLinePunct w:val="0"/>
        <w:autoSpaceDE w:val="0"/>
        <w:autoSpaceDN w:val="0"/>
        <w:bidi w:val="0"/>
        <w:adjustRightInd w:val="0"/>
        <w:snapToGrid w:val="0"/>
        <w:spacing w:line="500" w:lineRule="exact"/>
        <w:ind w:right="-180" w:firstLine="600" w:firstLineChars="200"/>
        <w:textAlignment w:val="baseline"/>
        <w:rPr>
          <w:rFonts w:hint="eastAsia" w:ascii="仿宋" w:hAnsi="仿宋" w:eastAsia="仿宋" w:cs="仿宋"/>
          <w:bCs/>
          <w:color w:val="auto"/>
          <w:sz w:val="30"/>
          <w:szCs w:val="30"/>
          <w:lang w:val="en-US" w:eastAsia="zh-CN"/>
        </w:rPr>
      </w:pPr>
      <w:r>
        <w:rPr>
          <w:rFonts w:hint="eastAsia" w:ascii="仿宋" w:hAnsi="仿宋" w:eastAsia="仿宋" w:cs="仿宋"/>
          <w:bCs/>
          <w:color w:val="auto"/>
          <w:sz w:val="30"/>
          <w:szCs w:val="30"/>
          <w:lang w:val="en-US" w:eastAsia="zh-CN"/>
        </w:rPr>
        <w:t>③国家相应的标准、规范；</w:t>
      </w:r>
    </w:p>
    <w:p w14:paraId="65DF89E3">
      <w:pPr>
        <w:keepNext w:val="0"/>
        <w:keepLines w:val="0"/>
        <w:pageBreakBefore w:val="0"/>
        <w:widowControl w:val="0"/>
        <w:kinsoku/>
        <w:wordWrap/>
        <w:overflowPunct w:val="0"/>
        <w:topLinePunct w:val="0"/>
        <w:autoSpaceDE w:val="0"/>
        <w:autoSpaceDN w:val="0"/>
        <w:bidi w:val="0"/>
        <w:adjustRightInd w:val="0"/>
        <w:snapToGrid w:val="0"/>
        <w:spacing w:line="500" w:lineRule="exact"/>
        <w:ind w:right="-180" w:firstLine="600" w:firstLineChars="200"/>
        <w:textAlignment w:val="baseline"/>
        <w:rPr>
          <w:rFonts w:hint="default" w:ascii="仿宋" w:hAnsi="仿宋" w:eastAsia="仿宋" w:cs="仿宋"/>
          <w:b/>
          <w:bCs/>
          <w:color w:val="auto"/>
          <w:sz w:val="30"/>
          <w:szCs w:val="30"/>
          <w:highlight w:val="none"/>
          <w:lang w:val="en-US" w:eastAsia="zh-CN"/>
        </w:rPr>
      </w:pPr>
      <w:r>
        <w:rPr>
          <w:rFonts w:hint="eastAsia" w:ascii="仿宋" w:hAnsi="仿宋" w:eastAsia="仿宋" w:cs="仿宋"/>
          <w:bCs/>
          <w:color w:val="auto"/>
          <w:sz w:val="30"/>
          <w:szCs w:val="30"/>
          <w:lang w:val="en-US" w:eastAsia="zh-CN"/>
        </w:rPr>
        <w:t>④其他资料；（如用户调查与需求分析报告、项目实施计划、项目实施过程文档、功能规格说明书、用户使用报告、系统维护手册、用户操作手册、培训资料、系统功能验证报告等）。</w:t>
      </w:r>
    </w:p>
    <w:p w14:paraId="65E886A2">
      <w:pPr>
        <w:keepNext w:val="0"/>
        <w:keepLines w:val="0"/>
        <w:pageBreakBefore w:val="0"/>
        <w:widowControl w:val="0"/>
        <w:numPr>
          <w:ilvl w:val="0"/>
          <w:numId w:val="4"/>
        </w:numPr>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000000"/>
          <w:sz w:val="30"/>
          <w:szCs w:val="30"/>
          <w:highlight w:val="none"/>
          <w:lang w:val="en-US" w:eastAsia="zh-CN"/>
        </w:rPr>
      </w:pPr>
      <w:r>
        <w:rPr>
          <w:rFonts w:hint="eastAsia" w:ascii="仿宋" w:hAnsi="仿宋" w:eastAsia="仿宋" w:cs="仿宋"/>
          <w:b/>
          <w:bCs/>
          <w:color w:val="000000"/>
          <w:sz w:val="30"/>
          <w:szCs w:val="30"/>
          <w:highlight w:val="none"/>
          <w:lang w:val="en-US" w:eastAsia="zh-CN"/>
        </w:rPr>
        <w:t>付款方式与期限</w:t>
      </w:r>
    </w:p>
    <w:p w14:paraId="4E53E372">
      <w:pPr>
        <w:keepNext w:val="0"/>
        <w:keepLines w:val="0"/>
        <w:pageBreakBefore w:val="0"/>
        <w:widowControl w:val="0"/>
        <w:numPr>
          <w:ilvl w:val="0"/>
          <w:numId w:val="5"/>
        </w:numPr>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一</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付款条件说明：</w:t>
      </w:r>
    </w:p>
    <w:p w14:paraId="486ACC55">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1.甲乙双方签订合同后，甲方在5个工作日内向乙方支付合同金额的40%，即人民币（大写）：           元整 （￥             ）作为预付款（乙方需提供相应金额发票）。</w:t>
      </w:r>
    </w:p>
    <w:p w14:paraId="4734467A">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2.乙方按照合同约定完成支撑环境部署并经采购人书面确认后，支付合同总金额的40%，15个工作日内支付，即人民币（大写）：               元整 （￥             ）。</w:t>
      </w:r>
    </w:p>
    <w:p w14:paraId="6A0A353C">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3.甲乙双方签订合同后，按照合同约定整体项目上线并验收合格后，由供应商提出申请，经采购人书面确认后，支付合同总金额的20%，15个工作日内支付，即人民币（大写）：               元整 （￥             ）。</w:t>
      </w:r>
    </w:p>
    <w:p w14:paraId="1763960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rPr>
        <w:t>）支付方式：银行转账。</w:t>
      </w:r>
    </w:p>
    <w:p w14:paraId="3665D8A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乙方确认以下信息为收款信息：</w:t>
      </w:r>
    </w:p>
    <w:p w14:paraId="776981B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开户名：</w:t>
      </w:r>
    </w:p>
    <w:p w14:paraId="32023FD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开户行：</w:t>
      </w:r>
    </w:p>
    <w:p w14:paraId="005F425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银行账号：</w:t>
      </w:r>
    </w:p>
    <w:p w14:paraId="7513FE25">
      <w:pPr>
        <w:keepNext w:val="0"/>
        <w:keepLines w:val="0"/>
        <w:pageBreakBefore w:val="0"/>
        <w:widowControl w:val="0"/>
        <w:numPr>
          <w:ilvl w:val="0"/>
          <w:numId w:val="5"/>
        </w:numPr>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结算方式：验收合格后乙方填写项目验收单（一式六份），发票按合同总价直开甲方，乙方持服务合同、发票、项目验收单，与甲方结算。乙方延期提供发票或提供的发票不符合甲方要求的，甲方有权顺延付款期限，且不承担任何责任。</w:t>
      </w:r>
    </w:p>
    <w:p w14:paraId="6021C894">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七、</w:t>
      </w:r>
      <w:r>
        <w:rPr>
          <w:rFonts w:hint="eastAsia" w:ascii="仿宋" w:hAnsi="仿宋" w:eastAsia="仿宋" w:cs="仿宋"/>
          <w:b/>
          <w:bCs/>
          <w:color w:val="auto"/>
          <w:sz w:val="28"/>
          <w:szCs w:val="28"/>
        </w:rPr>
        <w:t>项目联系人及方式</w:t>
      </w:r>
    </w:p>
    <w:p w14:paraId="25B56C0F">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甲方项目联系人：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乙方项目联系人： </w:t>
      </w:r>
    </w:p>
    <w:p w14:paraId="7098BA4F">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联系电话：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联系电话：</w:t>
      </w:r>
    </w:p>
    <w:p w14:paraId="594FF936">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联系邮箱：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联系邮箱：</w:t>
      </w:r>
    </w:p>
    <w:p w14:paraId="2B9647A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双方确定，在本合同有效期内，甲方指定</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为甲方项目联系人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乙方指定     为乙方项目联系人。一方变更项目联系人的，应当及时以书面形式通知另一方。未及时通知并影响本合同履行或造成损失的，应承担相应的责任。</w:t>
      </w:r>
    </w:p>
    <w:p w14:paraId="29C509DE">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leftChars="0"/>
        <w:textAlignment w:val="auto"/>
        <w:rPr>
          <w:rFonts w:hint="eastAsia" w:ascii="Calibri" w:hAnsi="Calibri" w:eastAsia="仿宋" w:cs="Calibri"/>
          <w:b/>
          <w:bCs/>
          <w:color w:val="auto"/>
          <w:sz w:val="30"/>
          <w:szCs w:val="30"/>
          <w:lang w:val="en-US" w:eastAsia="zh-CN"/>
        </w:rPr>
      </w:pPr>
      <w:r>
        <w:rPr>
          <w:rFonts w:hint="eastAsia" w:ascii="Calibri" w:hAnsi="Calibri" w:eastAsia="仿宋" w:cs="Calibri"/>
          <w:b/>
          <w:bCs/>
          <w:color w:val="auto"/>
          <w:sz w:val="30"/>
          <w:szCs w:val="30"/>
          <w:lang w:val="en-US" w:eastAsia="zh-CN"/>
        </w:rPr>
        <w:t>八、技术服务</w:t>
      </w:r>
    </w:p>
    <w:p w14:paraId="0832C68D">
      <w:pPr>
        <w:keepNext w:val="0"/>
        <w:keepLines w:val="0"/>
        <w:pageBreakBefore w:val="0"/>
        <w:widowControl w:val="0"/>
        <w:numPr>
          <w:ilvl w:val="0"/>
          <w:numId w:val="6"/>
        </w:numPr>
        <w:tabs>
          <w:tab w:val="left" w:pos="480"/>
          <w:tab w:val="clear" w:pos="312"/>
        </w:tabs>
        <w:kinsoku/>
        <w:wordWrap/>
        <w:overflowPunct/>
        <w:topLinePunct w:val="0"/>
        <w:autoSpaceDE/>
        <w:autoSpaceDN/>
        <w:bidi w:val="0"/>
        <w:adjustRightInd/>
        <w:snapToGrid/>
        <w:spacing w:line="578" w:lineRule="exact"/>
        <w:ind w:leftChars="0"/>
        <w:textAlignment w:val="auto"/>
        <w:rPr>
          <w:rFonts w:hint="eastAsia" w:ascii="Calibri" w:hAnsi="Calibri" w:eastAsia="仿宋" w:cs="Calibri"/>
          <w:color w:val="auto"/>
          <w:sz w:val="28"/>
          <w:szCs w:val="28"/>
          <w:lang w:val="en-US" w:eastAsia="zh-CN"/>
        </w:rPr>
      </w:pPr>
      <w:r>
        <w:rPr>
          <w:rFonts w:hint="eastAsia" w:ascii="Calibri" w:hAnsi="Calibri" w:eastAsia="仿宋" w:cs="Calibri"/>
          <w:color w:val="auto"/>
          <w:sz w:val="28"/>
          <w:szCs w:val="28"/>
          <w:lang w:val="en-US" w:eastAsia="zh-CN"/>
        </w:rPr>
        <w:t>服务内容</w:t>
      </w:r>
    </w:p>
    <w:p w14:paraId="08835BE2">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firstLine="560"/>
        <w:textAlignment w:val="auto"/>
        <w:rPr>
          <w:rFonts w:hint="eastAsia" w:ascii="Calibri" w:hAnsi="Calibri" w:eastAsia="仿宋" w:cs="Calibri"/>
          <w:color w:val="auto"/>
          <w:sz w:val="28"/>
          <w:szCs w:val="28"/>
          <w:lang w:val="en-US" w:eastAsia="zh-CN"/>
        </w:rPr>
      </w:pPr>
      <w:r>
        <w:rPr>
          <w:rFonts w:hint="eastAsia" w:ascii="Calibri" w:hAnsi="Calibri" w:eastAsia="仿宋" w:cs="Calibri"/>
          <w:color w:val="auto"/>
          <w:sz w:val="28"/>
          <w:szCs w:val="28"/>
          <w:lang w:val="en-US" w:eastAsia="zh-CN"/>
        </w:rPr>
        <w:t>甲乙双方各指派人员组成项目组，管理本项目的实施。</w:t>
      </w:r>
    </w:p>
    <w:p w14:paraId="5002486D">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firstLine="560"/>
        <w:textAlignment w:val="auto"/>
        <w:rPr>
          <w:rFonts w:hint="eastAsia" w:ascii="Calibri" w:hAnsi="Calibri" w:eastAsia="仿宋" w:cs="Calibri"/>
          <w:color w:val="auto"/>
          <w:sz w:val="28"/>
          <w:szCs w:val="28"/>
          <w:lang w:val="en-US" w:eastAsia="zh-CN"/>
        </w:rPr>
      </w:pPr>
      <w:r>
        <w:rPr>
          <w:rFonts w:hint="eastAsia" w:ascii="Calibri" w:hAnsi="Calibri" w:eastAsia="仿宋" w:cs="Calibri"/>
          <w:color w:val="auto"/>
          <w:sz w:val="28"/>
          <w:szCs w:val="28"/>
          <w:lang w:val="en-US" w:eastAsia="zh-CN"/>
        </w:rPr>
        <w:t>甲乙双方在确定项目组成员后，需以书面形式通知另一方。在服务过程中需要更换项目组成员且该项目组成员负责本项目的重要内容，更换一方需提前征得另一方书面同意，另一方应及时审查更换方提出的书面建议，双方在合理、善意、维护双方利益的基础上讨论更换事宜。</w:t>
      </w:r>
    </w:p>
    <w:p w14:paraId="7DCD9BFF">
      <w:pPr>
        <w:keepNext w:val="0"/>
        <w:keepLines w:val="0"/>
        <w:pageBreakBefore w:val="0"/>
        <w:widowControl w:val="0"/>
        <w:numPr>
          <w:ilvl w:val="0"/>
          <w:numId w:val="6"/>
        </w:numPr>
        <w:tabs>
          <w:tab w:val="left" w:pos="480"/>
          <w:tab w:val="clear" w:pos="312"/>
        </w:tabs>
        <w:kinsoku/>
        <w:wordWrap/>
        <w:overflowPunct/>
        <w:topLinePunct w:val="0"/>
        <w:autoSpaceDE/>
        <w:autoSpaceDN/>
        <w:bidi w:val="0"/>
        <w:adjustRightInd/>
        <w:snapToGrid/>
        <w:spacing w:line="578" w:lineRule="exact"/>
        <w:ind w:left="0" w:leftChars="0" w:firstLine="0" w:firstLineChars="0"/>
        <w:textAlignment w:val="auto"/>
        <w:rPr>
          <w:rFonts w:hint="eastAsia" w:ascii="Calibri" w:hAnsi="Calibri" w:eastAsia="仿宋" w:cs="Calibri"/>
          <w:color w:val="auto"/>
          <w:sz w:val="28"/>
          <w:szCs w:val="28"/>
          <w:lang w:val="en-US" w:eastAsia="zh-CN"/>
        </w:rPr>
      </w:pPr>
      <w:r>
        <w:rPr>
          <w:rFonts w:hint="eastAsia" w:ascii="Calibri" w:hAnsi="Calibri" w:eastAsia="仿宋" w:cs="Calibri"/>
          <w:color w:val="auto"/>
          <w:sz w:val="28"/>
          <w:szCs w:val="28"/>
          <w:lang w:val="en-US" w:eastAsia="zh-CN"/>
        </w:rPr>
        <w:t>服务方式</w:t>
      </w:r>
    </w:p>
    <w:p w14:paraId="699C8102">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leftChars="0" w:firstLine="560"/>
        <w:textAlignment w:val="auto"/>
        <w:rPr>
          <w:rFonts w:hint="eastAsia" w:ascii="Calibri" w:hAnsi="Calibri" w:eastAsia="仿宋" w:cs="Calibri"/>
          <w:color w:val="auto"/>
          <w:sz w:val="28"/>
          <w:szCs w:val="28"/>
          <w:lang w:val="en-US" w:eastAsia="zh-CN"/>
        </w:rPr>
      </w:pPr>
      <w:r>
        <w:rPr>
          <w:rFonts w:hint="eastAsia" w:ascii="Calibri" w:hAnsi="Calibri" w:eastAsia="仿宋" w:cs="Calibri"/>
          <w:color w:val="auto"/>
          <w:sz w:val="28"/>
          <w:szCs w:val="28"/>
          <w:lang w:val="en-US" w:eastAsia="zh-CN"/>
        </w:rPr>
        <w:t>乙方应严格按照附件一《项目需求说明书》与附件二《开发实施计划表》进行实施。为了更好的满足甲方的需求，乙方项目组成员在实施过程中可阶段性的向甲方征集项目需要；若甲方提出变更《项目需求说明书》，需双方协商一致后重新签订变更后的《项目需求说明书》，且由双方管理人员签字确认。</w:t>
      </w:r>
    </w:p>
    <w:p w14:paraId="17CC82E5">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30"/>
          <w:szCs w:val="30"/>
          <w:lang w:val="en-US" w:eastAsia="zh-CN"/>
        </w:rPr>
      </w:pPr>
      <w:r>
        <w:rPr>
          <w:rFonts w:hint="eastAsia" w:ascii="Calibri" w:hAnsi="Calibri" w:eastAsia="仿宋" w:cs="Calibri"/>
          <w:b/>
          <w:bCs/>
          <w:color w:val="auto"/>
          <w:sz w:val="28"/>
          <w:szCs w:val="28"/>
          <w:lang w:val="en-US" w:eastAsia="zh-CN"/>
        </w:rPr>
        <w:t>九、</w:t>
      </w:r>
      <w:r>
        <w:rPr>
          <w:rFonts w:hint="eastAsia" w:ascii="仿宋" w:hAnsi="仿宋" w:eastAsia="仿宋" w:cs="仿宋"/>
          <w:b/>
          <w:bCs/>
          <w:color w:val="auto"/>
          <w:sz w:val="30"/>
          <w:szCs w:val="30"/>
          <w:lang w:val="en-US" w:eastAsia="zh-CN"/>
        </w:rPr>
        <w:t>质保期</w:t>
      </w:r>
    </w:p>
    <w:p w14:paraId="26A532C3">
      <w:pPr>
        <w:keepNext w:val="0"/>
        <w:keepLines w:val="0"/>
        <w:pageBreakBefore w:val="0"/>
        <w:widowControl w:val="0"/>
        <w:numPr>
          <w:ilvl w:val="0"/>
          <w:numId w:val="7"/>
        </w:numPr>
        <w:tabs>
          <w:tab w:val="left" w:pos="480"/>
          <w:tab w:val="clear" w:pos="312"/>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从</w:t>
      </w:r>
      <w:r>
        <w:rPr>
          <w:rFonts w:hint="eastAsia" w:ascii="仿宋" w:hAnsi="仿宋" w:eastAsia="仿宋" w:cs="仿宋"/>
          <w:color w:val="auto"/>
          <w:sz w:val="28"/>
          <w:szCs w:val="28"/>
          <w:lang w:val="en-US" w:eastAsia="zh-CN"/>
        </w:rPr>
        <w:t>项目整体</w:t>
      </w:r>
      <w:r>
        <w:rPr>
          <w:rFonts w:hint="eastAsia" w:ascii="仿宋" w:hAnsi="仿宋" w:eastAsia="仿宋" w:cs="仿宋"/>
          <w:color w:val="auto"/>
          <w:sz w:val="28"/>
          <w:szCs w:val="28"/>
        </w:rPr>
        <w:t>验收合格之日算起，整体项目免费提供</w:t>
      </w:r>
      <w:r>
        <w:rPr>
          <w:rFonts w:hint="eastAsia" w:ascii="仿宋" w:hAnsi="仿宋" w:eastAsia="仿宋" w:cs="仿宋"/>
          <w:color w:val="auto"/>
          <w:sz w:val="28"/>
          <w:szCs w:val="28"/>
          <w:lang w:val="en-US" w:eastAsia="zh-CN"/>
        </w:rPr>
        <w:t>三</w:t>
      </w:r>
      <w:r>
        <w:rPr>
          <w:rFonts w:hint="eastAsia" w:ascii="仿宋" w:hAnsi="仿宋" w:eastAsia="仿宋" w:cs="仿宋"/>
          <w:color w:val="auto"/>
          <w:sz w:val="28"/>
          <w:szCs w:val="28"/>
        </w:rPr>
        <w:t>年质保。（质保期内乙方免费</w:t>
      </w:r>
      <w:r>
        <w:rPr>
          <w:rFonts w:hint="eastAsia" w:ascii="仿宋" w:hAnsi="仿宋" w:eastAsia="仿宋" w:cs="仿宋"/>
          <w:color w:val="auto"/>
          <w:sz w:val="28"/>
          <w:szCs w:val="28"/>
          <w:lang w:eastAsia="zh-CN"/>
        </w:rPr>
        <w:t>维护、需求更改、流程调优、软件迭代升级、</w:t>
      </w:r>
      <w:r>
        <w:rPr>
          <w:rFonts w:hint="eastAsia" w:ascii="仿宋" w:hAnsi="仿宋" w:eastAsia="仿宋" w:cs="仿宋"/>
          <w:color w:val="auto"/>
          <w:sz w:val="28"/>
          <w:szCs w:val="28"/>
        </w:rPr>
        <w:t>故障排查、重装系统等相关工作）</w:t>
      </w:r>
      <w:r>
        <w:rPr>
          <w:rFonts w:hint="eastAsia" w:ascii="仿宋" w:hAnsi="仿宋" w:eastAsia="仿宋" w:cs="仿宋"/>
          <w:color w:val="auto"/>
          <w:sz w:val="28"/>
          <w:szCs w:val="28"/>
          <w:lang w:eastAsia="zh-CN"/>
        </w:rPr>
        <w:t>。</w:t>
      </w:r>
    </w:p>
    <w:p w14:paraId="6DA2E61E">
      <w:pPr>
        <w:keepNext w:val="0"/>
        <w:keepLines w:val="0"/>
        <w:pageBreakBefore w:val="0"/>
        <w:widowControl w:val="0"/>
        <w:numPr>
          <w:ilvl w:val="0"/>
          <w:numId w:val="7"/>
        </w:numPr>
        <w:tabs>
          <w:tab w:val="left" w:pos="480"/>
          <w:tab w:val="clear" w:pos="312"/>
        </w:tabs>
        <w:kinsoku/>
        <w:wordWrap/>
        <w:overflowPunct/>
        <w:topLinePunct w:val="0"/>
        <w:autoSpaceDE/>
        <w:autoSpaceDN/>
        <w:bidi w:val="0"/>
        <w:adjustRightInd/>
        <w:snapToGrid/>
        <w:spacing w:line="578" w:lineRule="exact"/>
        <w:ind w:left="0" w:leftChars="0" w:firstLine="0" w:firstLineChars="0"/>
        <w:textAlignment w:val="auto"/>
        <w:rPr>
          <w:rFonts w:hint="default" w:ascii="Calibri" w:hAnsi="Calibri" w:eastAsia="仿宋" w:cs="Calibri"/>
          <w:color w:val="auto"/>
          <w:sz w:val="28"/>
          <w:szCs w:val="28"/>
          <w:lang w:val="en-US" w:eastAsia="zh-CN"/>
        </w:rPr>
      </w:pPr>
      <w:r>
        <w:rPr>
          <w:rFonts w:hint="eastAsia" w:ascii="Calibri" w:hAnsi="Calibri" w:eastAsia="仿宋" w:cs="Calibri"/>
          <w:color w:val="auto"/>
          <w:sz w:val="28"/>
          <w:szCs w:val="28"/>
          <w:lang w:val="en-US" w:eastAsia="zh-CN"/>
        </w:rPr>
        <w:t>有偿售后服务：乙方提供质保期后的有偿售后服务，售后服务费按照本合同总价款的8%</w:t>
      </w:r>
      <w:r>
        <w:rPr>
          <w:rFonts w:hint="eastAsia" w:ascii="Calibri" w:hAnsi="Calibri" w:eastAsia="仿宋" w:cs="Calibri"/>
          <w:b w:val="0"/>
          <w:bCs w:val="0"/>
          <w:color w:val="auto"/>
          <w:sz w:val="28"/>
          <w:szCs w:val="28"/>
          <w:lang w:val="en-US" w:eastAsia="zh-CN"/>
        </w:rPr>
        <w:t>/</w:t>
      </w:r>
      <w:r>
        <w:rPr>
          <w:rFonts w:hint="eastAsia" w:ascii="Calibri" w:hAnsi="Calibri" w:eastAsia="仿宋" w:cs="Calibri"/>
          <w:color w:val="auto"/>
          <w:sz w:val="28"/>
          <w:szCs w:val="28"/>
          <w:lang w:val="en-US" w:eastAsia="zh-CN"/>
        </w:rPr>
        <w:t>年收取，具体服务内容、服务方式与标准等另签合同。</w:t>
      </w:r>
    </w:p>
    <w:p w14:paraId="744A3991">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leftChars="0"/>
        <w:textAlignment w:val="auto"/>
        <w:rPr>
          <w:rFonts w:hint="default" w:ascii="Calibri" w:hAnsi="Calibri" w:eastAsia="仿宋" w:cs="Calibri"/>
          <w:b/>
          <w:bCs/>
          <w:color w:val="000000"/>
          <w:sz w:val="30"/>
          <w:szCs w:val="30"/>
          <w:lang w:val="en-US" w:eastAsia="zh-CN"/>
        </w:rPr>
      </w:pPr>
      <w:r>
        <w:rPr>
          <w:rFonts w:hint="eastAsia" w:ascii="Calibri" w:hAnsi="Calibri" w:eastAsia="仿宋" w:cs="Calibri"/>
          <w:b/>
          <w:bCs/>
          <w:color w:val="000000"/>
          <w:sz w:val="30"/>
          <w:szCs w:val="30"/>
          <w:lang w:val="en-US" w:eastAsia="zh-CN"/>
        </w:rPr>
        <w:t>十、售后服务</w:t>
      </w:r>
    </w:p>
    <w:p w14:paraId="0210F65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（一）质保期内</w:t>
      </w:r>
    </w:p>
    <w:p w14:paraId="7684E39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自安装调试、检测、正常运行并</w:t>
      </w:r>
      <w:r>
        <w:rPr>
          <w:rFonts w:hint="eastAsia" w:ascii="仿宋" w:hAnsi="仿宋" w:eastAsia="仿宋" w:cs="仿宋"/>
          <w:color w:val="auto"/>
          <w:sz w:val="28"/>
          <w:szCs w:val="28"/>
          <w:lang w:val="en-US" w:eastAsia="zh-CN"/>
        </w:rPr>
        <w:t>项目整体</w:t>
      </w:r>
      <w:r>
        <w:rPr>
          <w:rFonts w:hint="eastAsia" w:ascii="仿宋" w:hAnsi="仿宋" w:eastAsia="仿宋" w:cs="仿宋"/>
          <w:color w:val="auto"/>
          <w:sz w:val="28"/>
          <w:szCs w:val="28"/>
        </w:rPr>
        <w:t>验收合格之日起</w:t>
      </w:r>
      <w:r>
        <w:rPr>
          <w:rFonts w:hint="eastAsia" w:ascii="仿宋" w:hAnsi="仿宋" w:eastAsia="仿宋" w:cs="仿宋"/>
          <w:color w:val="auto"/>
          <w:sz w:val="28"/>
          <w:szCs w:val="28"/>
          <w:lang w:val="en-US" w:eastAsia="zh-CN"/>
        </w:rPr>
        <w:t>三年内，乙方为甲方提供免费服务期</w:t>
      </w:r>
      <w:r>
        <w:rPr>
          <w:rFonts w:hint="eastAsia" w:ascii="仿宋" w:hAnsi="仿宋" w:eastAsia="仿宋" w:cs="仿宋"/>
          <w:color w:val="auto"/>
          <w:sz w:val="28"/>
          <w:szCs w:val="28"/>
        </w:rPr>
        <w:t>：</w:t>
      </w:r>
    </w:p>
    <w:p w14:paraId="16006FA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1、乙方电话响应时间小于30分钟，到达现场时间不超过2小时，解决问题不超过24小时。</w:t>
      </w:r>
    </w:p>
    <w:p w14:paraId="027D0C6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2、乙方不能解决的故障，甲方有权指定第三方维修，维修费用由乙方承担。甲方有权直接从合同尾款中扣除维修费，合同尾款已付或不足以支付全部维修费用的，由乙方另行支付。</w:t>
      </w:r>
    </w:p>
    <w:p w14:paraId="0F2E106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乙方不能两小时到现场、不能二十四小时解决问题，不能按时巡检、不能履行质保期内的义务，每出现一次，应向甲</w:t>
      </w:r>
      <w:r>
        <w:rPr>
          <w:rFonts w:hint="eastAsia" w:ascii="仿宋" w:hAnsi="仿宋" w:eastAsia="仿宋" w:cs="仿宋"/>
          <w:color w:val="auto"/>
          <w:sz w:val="28"/>
          <w:szCs w:val="28"/>
          <w:highlight w:val="none"/>
        </w:rPr>
        <w:t>方支付【</w:t>
      </w:r>
      <w:r>
        <w:rPr>
          <w:rFonts w:hint="eastAsia" w:ascii="仿宋" w:hAnsi="仿宋" w:eastAsia="仿宋" w:cs="仿宋"/>
          <w:color w:val="auto"/>
          <w:sz w:val="28"/>
          <w:szCs w:val="28"/>
          <w:highlight w:val="none"/>
          <w:lang w:val="en-US" w:eastAsia="zh-CN"/>
        </w:rPr>
        <w:t>2000</w:t>
      </w:r>
      <w:r>
        <w:rPr>
          <w:rFonts w:hint="eastAsia" w:ascii="仿宋" w:hAnsi="仿宋" w:eastAsia="仿宋" w:cs="仿宋"/>
          <w:color w:val="auto"/>
          <w:sz w:val="28"/>
          <w:szCs w:val="28"/>
          <w:highlight w:val="none"/>
        </w:rPr>
        <w:t>】元的违约金。</w:t>
      </w:r>
    </w:p>
    <w:p w14:paraId="23FD061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4、叁拾天内，如出现质量问题，可以选择换货或退货。</w:t>
      </w:r>
    </w:p>
    <w:p w14:paraId="3E38018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5、叁拾天至陆拾天内，如出现质量问题，可以选择换货。</w:t>
      </w:r>
    </w:p>
    <w:p w14:paraId="0503A5A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6、协助甲方制定相关应急制度，进行应急演练。</w:t>
      </w:r>
    </w:p>
    <w:p w14:paraId="49A70B7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7、电话咨询</w:t>
      </w:r>
    </w:p>
    <w:p w14:paraId="2A98872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免费提供每周7天/每天24小时不间断的电话支持服务，解答甲方在使用过程中遇到的问题，及时提出解决问题的建议和操作方法。</w:t>
      </w:r>
    </w:p>
    <w:p w14:paraId="1006F2FC">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8、每季度巡检一次，提供巡检单一式两份，甲方一份，乙方一份，并由双方签字确认。内容包括巡检时间、巡检内容、巡检结果。</w:t>
      </w:r>
    </w:p>
    <w:p w14:paraId="53D3BBB5">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每次故障维修提供维修单一式两份，甲方一份，乙方一份，并由双方签字确认。内容包括得知故障时间、到达现场时间、故障处理结束时间、故障内容、故障处理方式方法，故障处理结果，并由双方签字确认。</w:t>
      </w:r>
    </w:p>
    <w:p w14:paraId="7F5F2A3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10、凭借巡检单、维修单，作为后期付款依据。</w:t>
      </w:r>
    </w:p>
    <w:p w14:paraId="43AEC9C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（二）款项结清前，乙方应对所提供服务进行全面检测，全面保养维护。</w:t>
      </w:r>
    </w:p>
    <w:p w14:paraId="34C7E9F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三</w:t>
      </w:r>
      <w:r>
        <w:rPr>
          <w:rFonts w:hint="eastAsia" w:ascii="仿宋" w:hAnsi="仿宋" w:eastAsia="仿宋" w:cs="仿宋"/>
          <w:color w:val="auto"/>
          <w:sz w:val="28"/>
          <w:szCs w:val="28"/>
        </w:rPr>
        <w:t>）培训</w:t>
      </w:r>
    </w:p>
    <w:p w14:paraId="59669BF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提供完整的培训计划，分批对西安医学院第三附属医院口腔病院信息化建设（一期)采购项目相关人员进行全面、系统、多次的培训（集体培训不少于3次，专项培训不少于2次，总课时大于10小时），要求使用人员熟练操作，以确保项目顺利运行。培训讲师需要具备医学专业和计算机专业培训讲师；</w:t>
      </w:r>
    </w:p>
    <w:p w14:paraId="1D3866A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培训内容：系统软件的用户使用培训，应用软件操作培训；系统管理培训、甲方技术人员开发维护培训；应用软件操作疑难问题解答；第三方支撑软件（如数据库、操作系统）的使用、维护培训。</w:t>
      </w:r>
    </w:p>
    <w:p w14:paraId="3A4E15A9">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培训对象包括临床科研人员、信息科系统管理员、日常维护人员、技术层面人员（包括系统开发、程序版本控制、数据库维护）；系统管理人员培训内容为系统中涉及的相关技术内容；管理人员培训内容为系统人员管理、数据管理、角色和权限管理等。</w:t>
      </w:r>
    </w:p>
    <w:p w14:paraId="394F6417">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leftChars="0"/>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十一、双方的权力与义务</w:t>
      </w:r>
    </w:p>
    <w:p w14:paraId="0076105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（一）甲方的权利和义务</w:t>
      </w:r>
    </w:p>
    <w:p w14:paraId="2D75FC7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1、甲方保证提供给乙方的资料、信息内容合法，不侵犯第三方的合法权益。</w:t>
      </w:r>
    </w:p>
    <w:p w14:paraId="2747B67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2、甲方使用乙方的产品产生的数据归属于甲方。</w:t>
      </w:r>
    </w:p>
    <w:p w14:paraId="4624429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3、提供培训场地，组织参加培训的人员按时出席。</w:t>
      </w:r>
    </w:p>
    <w:p w14:paraId="14DDE71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4、负责提供项目运行环境与运行条件，且负责院内工作的沟通与协调。</w:t>
      </w:r>
    </w:p>
    <w:p w14:paraId="09F0D54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5、未经乙方书面授权，甲方不得私自修改软件结构。</w:t>
      </w:r>
    </w:p>
    <w:p w14:paraId="3C2A946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（二）乙方的权利和义务</w:t>
      </w:r>
    </w:p>
    <w:p w14:paraId="55EC89C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1、乙方应根据本合同及附件规定的内容与工期，及时、高质量的完成合同项下的工作。</w:t>
      </w:r>
    </w:p>
    <w:p w14:paraId="0D3B39A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2、保证系统整体运行安全、稳定、高效与数据的完整准确。</w:t>
      </w:r>
    </w:p>
    <w:p w14:paraId="658202E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3、保证软件硬件功能与乙方提供给甲方的功能描述一致。</w:t>
      </w:r>
    </w:p>
    <w:p w14:paraId="2BBF9E2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4、负责软件硬件系统初始化指导工作。</w:t>
      </w:r>
    </w:p>
    <w:p w14:paraId="2881C23F">
      <w:pPr>
        <w:keepNext w:val="0"/>
        <w:keepLines w:val="0"/>
        <w:pageBreakBefore w:val="0"/>
        <w:widowControl w:val="0"/>
        <w:tabs>
          <w:tab w:val="left" w:pos="480"/>
        </w:tabs>
        <w:kinsoku/>
        <w:wordWrap/>
        <w:overflowPunct/>
        <w:topLinePunct w:val="0"/>
        <w:autoSpaceDE/>
        <w:autoSpaceDN/>
        <w:bidi w:val="0"/>
        <w:adjustRightInd/>
        <w:snapToGrid/>
        <w:spacing w:line="578" w:lineRule="exact"/>
        <w:ind w:left="559" w:leftChars="254" w:firstLine="0" w:firstLineChars="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5、负责软件系统与医院其他信息管理系统的接口开发调试。</w:t>
      </w:r>
      <w:r>
        <w:rPr>
          <w:rFonts w:hint="eastAsia" w:ascii="仿宋" w:hAnsi="仿宋" w:eastAsia="仿宋" w:cs="仿宋"/>
          <w:color w:val="auto"/>
          <w:sz w:val="28"/>
          <w:szCs w:val="28"/>
          <w:lang w:val="en-US" w:eastAsia="zh-CN"/>
        </w:rPr>
        <w:br w:type="textWrapping"/>
      </w:r>
      <w:r>
        <w:rPr>
          <w:rFonts w:hint="eastAsia" w:ascii="仿宋" w:hAnsi="仿宋" w:eastAsia="仿宋" w:cs="仿宋"/>
          <w:color w:val="auto"/>
          <w:sz w:val="28"/>
          <w:szCs w:val="28"/>
          <w:lang w:val="en-US" w:eastAsia="zh-CN"/>
        </w:rPr>
        <w:t>6、负责甲方人员的培训工作。</w:t>
      </w:r>
    </w:p>
    <w:p w14:paraId="39A268C0">
      <w:pPr>
        <w:keepNext w:val="0"/>
        <w:keepLines w:val="0"/>
        <w:pageBreakBefore w:val="0"/>
        <w:widowControl w:val="0"/>
        <w:tabs>
          <w:tab w:val="left" w:pos="480"/>
        </w:tabs>
        <w:kinsoku/>
        <w:wordWrap/>
        <w:overflowPunct/>
        <w:topLinePunct w:val="0"/>
        <w:autoSpaceDE/>
        <w:autoSpaceDN/>
        <w:bidi w:val="0"/>
        <w:adjustRightInd/>
        <w:snapToGrid/>
        <w:spacing w:line="578" w:lineRule="exact"/>
        <w:ind w:left="559" w:leftChars="254" w:firstLine="0" w:firstLineChars="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7、负责软件系统的升级工作。</w:t>
      </w:r>
    </w:p>
    <w:p w14:paraId="29C07DDE">
      <w:pPr>
        <w:keepNext w:val="0"/>
        <w:keepLines w:val="0"/>
        <w:pageBreakBefore w:val="0"/>
        <w:widowControl w:val="0"/>
        <w:tabs>
          <w:tab w:val="left" w:pos="480"/>
        </w:tabs>
        <w:kinsoku/>
        <w:wordWrap/>
        <w:overflowPunct/>
        <w:topLinePunct w:val="0"/>
        <w:autoSpaceDE/>
        <w:autoSpaceDN/>
        <w:bidi w:val="0"/>
        <w:adjustRightInd/>
        <w:snapToGrid/>
        <w:spacing w:line="578" w:lineRule="exact"/>
        <w:ind w:left="559" w:leftChars="254" w:firstLine="0" w:firstLineChars="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8、负责项目的验收工作。</w:t>
      </w:r>
    </w:p>
    <w:p w14:paraId="763F919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、乙方保证在本项目设计、实施过程中，不侵犯第三方的合法权益。如因乙方原因致使甲方遭受第三方追诉的，乙方应承担由此给甲方造成的全部损失，并按本合同</w:t>
      </w:r>
      <w:r>
        <w:rPr>
          <w:rFonts w:hint="eastAsia" w:ascii="仿宋" w:hAnsi="仿宋" w:eastAsia="仿宋" w:cs="仿宋"/>
          <w:color w:val="000000"/>
          <w:sz w:val="28"/>
          <w:szCs w:val="28"/>
        </w:rPr>
        <w:t>第</w:t>
      </w:r>
      <w:r>
        <w:rPr>
          <w:rFonts w:hint="eastAsia" w:ascii="仿宋" w:hAnsi="仿宋" w:eastAsia="仿宋" w:cs="仿宋"/>
          <w:color w:val="000000"/>
          <w:sz w:val="28"/>
          <w:szCs w:val="28"/>
          <w:lang w:val="en-US" w:eastAsia="zh-CN"/>
        </w:rPr>
        <w:t>十四</w:t>
      </w:r>
      <w:r>
        <w:rPr>
          <w:rFonts w:hint="eastAsia" w:ascii="仿宋" w:hAnsi="仿宋" w:eastAsia="仿宋" w:cs="仿宋"/>
          <w:color w:val="000000"/>
          <w:sz w:val="28"/>
          <w:szCs w:val="28"/>
        </w:rPr>
        <w:t>条违约</w:t>
      </w:r>
      <w:r>
        <w:rPr>
          <w:rFonts w:hint="eastAsia" w:ascii="仿宋" w:hAnsi="仿宋" w:eastAsia="仿宋" w:cs="仿宋"/>
          <w:color w:val="auto"/>
          <w:sz w:val="28"/>
          <w:szCs w:val="28"/>
        </w:rPr>
        <w:t>责任第（二）款承担违约责任。</w:t>
      </w:r>
    </w:p>
    <w:p w14:paraId="1B1A5AE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10</w:t>
      </w:r>
      <w:r>
        <w:rPr>
          <w:rFonts w:hint="eastAsia" w:ascii="仿宋" w:hAnsi="仿宋" w:eastAsia="仿宋" w:cs="仿宋"/>
          <w:color w:val="auto"/>
          <w:sz w:val="28"/>
          <w:szCs w:val="28"/>
        </w:rPr>
        <w:t>、乙方按照本合同约定在履行系统维护和技术服务的过程中，不允许利用甲方提供的工作条件和相关资料进行与本项目无关的工作。如因乙方原因致使甲方遭受经济损失及法律追诉的，由乙方承担一切责任。乙方应该向甲方公开数据字典和数据结构，便于甲方灵活调取、统计。</w:t>
      </w:r>
    </w:p>
    <w:p w14:paraId="47DA68F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11</w:t>
      </w:r>
      <w:r>
        <w:rPr>
          <w:rFonts w:hint="eastAsia" w:ascii="仿宋" w:hAnsi="仿宋" w:eastAsia="仿宋" w:cs="仿宋"/>
          <w:color w:val="auto"/>
          <w:sz w:val="28"/>
          <w:szCs w:val="28"/>
        </w:rPr>
        <w:t>、乙方保证不将因履行本协议而获得的甲方数据用作履行本协议以外的其他用途。所有乙方因履行本协议而获取的甲方数据、文档、信息（包括但不限于甲方</w:t>
      </w:r>
      <w:r>
        <w:rPr>
          <w:rFonts w:hint="eastAsia" w:ascii="仿宋" w:hAnsi="仿宋" w:eastAsia="仿宋" w:cs="仿宋"/>
          <w:color w:val="auto"/>
          <w:sz w:val="28"/>
          <w:szCs w:val="28"/>
          <w:lang w:val="en-US" w:eastAsia="zh-CN"/>
        </w:rPr>
        <w:t>运</w:t>
      </w:r>
      <w:r>
        <w:rPr>
          <w:rFonts w:hint="eastAsia" w:ascii="仿宋" w:hAnsi="仿宋" w:eastAsia="仿宋" w:cs="仿宋"/>
          <w:color w:val="auto"/>
          <w:sz w:val="28"/>
          <w:szCs w:val="28"/>
        </w:rPr>
        <w:t>营信息、患者信息）等，其所有权均归甲方所有，若乙方泄露甲方数据或将甲方数据用作履行本协议以外的其他用途的，应视为乙方违约，乙方应赔偿由此给甲方造成的全部损失，并按本合同第</w:t>
      </w:r>
      <w:r>
        <w:rPr>
          <w:rFonts w:hint="eastAsia" w:ascii="仿宋" w:hAnsi="仿宋" w:eastAsia="仿宋" w:cs="仿宋"/>
          <w:color w:val="auto"/>
          <w:sz w:val="28"/>
          <w:szCs w:val="28"/>
          <w:lang w:val="en-US" w:eastAsia="zh-CN"/>
        </w:rPr>
        <w:t>十四</w:t>
      </w:r>
      <w:r>
        <w:rPr>
          <w:rFonts w:hint="eastAsia" w:ascii="仿宋" w:hAnsi="仿宋" w:eastAsia="仿宋" w:cs="仿宋"/>
          <w:color w:val="auto"/>
          <w:sz w:val="28"/>
          <w:szCs w:val="28"/>
        </w:rPr>
        <w:t>条违约责任第（二）款承担违约责任。本合同的终止、解除不影响本条款的效力。</w:t>
      </w:r>
    </w:p>
    <w:p w14:paraId="574541DA">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十二、运输</w:t>
      </w:r>
    </w:p>
    <w:p w14:paraId="0417579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（一）运输由乙方负责，运杂费已包含在合同总价内，包括从货物供应地点所含的运输费、装卸费、仓储费、保险费等。</w:t>
      </w:r>
    </w:p>
    <w:p w14:paraId="35E9DB2B">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（二）运输方式由乙方自行选择，但必须保证按期交付。</w:t>
      </w:r>
    </w:p>
    <w:p w14:paraId="12627B9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bCs/>
          <w:color w:val="auto"/>
          <w:kern w:val="36"/>
          <w:sz w:val="28"/>
          <w:szCs w:val="28"/>
        </w:rPr>
      </w:pPr>
      <w:r>
        <w:rPr>
          <w:rFonts w:hint="eastAsia" w:ascii="仿宋" w:hAnsi="仿宋" w:eastAsia="仿宋" w:cs="仿宋"/>
          <w:bCs/>
          <w:color w:val="auto"/>
          <w:kern w:val="36"/>
          <w:sz w:val="28"/>
          <w:szCs w:val="28"/>
        </w:rPr>
        <w:t>（三）</w:t>
      </w:r>
      <w:r>
        <w:rPr>
          <w:rFonts w:hint="eastAsia" w:ascii="仿宋" w:hAnsi="仿宋" w:eastAsia="仿宋" w:cs="仿宋"/>
          <w:bCs/>
          <w:color w:val="auto"/>
          <w:kern w:val="36"/>
          <w:sz w:val="28"/>
          <w:szCs w:val="28"/>
          <w:lang w:val="en-US" w:eastAsia="zh-CN"/>
        </w:rPr>
        <w:t>产品</w:t>
      </w:r>
      <w:r>
        <w:rPr>
          <w:rFonts w:hint="eastAsia" w:ascii="仿宋" w:hAnsi="仿宋" w:eastAsia="仿宋" w:cs="仿宋"/>
          <w:bCs/>
          <w:color w:val="auto"/>
          <w:kern w:val="36"/>
          <w:sz w:val="28"/>
          <w:szCs w:val="28"/>
        </w:rPr>
        <w:t>验收合格前产生的一切毁损、灭失的风险及质量问题均由乙方承担。</w:t>
      </w:r>
    </w:p>
    <w:p w14:paraId="4E1485A7">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leftChars="0"/>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十三、质量保证</w:t>
      </w:r>
    </w:p>
    <w:p w14:paraId="5D75C08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（一）保证技术指标先进、质量性能可靠、进货渠道正常、功能齐全、配置合理，全面满足甲方技术要求。</w:t>
      </w:r>
    </w:p>
    <w:p w14:paraId="59938B1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（二）符合国家有关规范要求，确保达到最佳运行状态。</w:t>
      </w:r>
    </w:p>
    <w:p w14:paraId="76F9255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（三）乙方提供的产品，若发生侵权而产生的一切后果，由乙方负责，甲方保留索赔权利。</w:t>
      </w:r>
    </w:p>
    <w:p w14:paraId="772071B4">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十四、安全保密</w:t>
      </w:r>
    </w:p>
    <w:p w14:paraId="7E78495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自合同签订之日起：</w:t>
      </w:r>
    </w:p>
    <w:p w14:paraId="787E48E7">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（一）乙方负责对本公司所有实施人员、巡检人员进行安全教育，如发生任何意外或事故，乙方承担全部医疗费用、法律责任、经济赔偿。若甲方因此遭受任何损失的，乙方应承担全部赔偿责任。</w:t>
      </w:r>
    </w:p>
    <w:p w14:paraId="15E7194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实施及巡检期间，乙方必须保证甲方现有网络、系统、设备运行安全及稳定。如造成重大事故，网络或设备停止运行超过24小时，甲方有权单方面解除合同（合同自书面解除通知送达乙方之日起解除），并退货退款，乙方应承担解除合同给甲方造成的全部损失（包括但不限于重新采购产生的费用、合同未履行导致产品不能按规划交付使用及其它由此造成的甲方对第三方的违约损失），并按合同总价的  %支付违约金。</w:t>
      </w:r>
    </w:p>
    <w:p w14:paraId="474B7DA3">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（三）自合同签订之日起，乙方必须与甲方签定《安全保密协议》，此保密协议义务不因合同终止而免除。</w:t>
      </w:r>
    </w:p>
    <w:p w14:paraId="4AA14EBA">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十五、违约责任</w:t>
      </w:r>
    </w:p>
    <w:p w14:paraId="6E45E8BE">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（一）按《中华人民共和国民法典》中的相关条款执行。</w:t>
      </w:r>
    </w:p>
    <w:p w14:paraId="36D6DF22">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乙方未按合同要求提供，质量不能满足本合同、招标文件、投标文件等相关文件技术要求的，甲方会同政府采购机构有权解除本合同（合同自书面解除通知到达乙方之日起解除），乙方应赔偿解除合同给甲方造成的全部损失（包括但不限于重新采购产生的费用、合同未履行导致产品不能按规划交付使用及其它由此造成的甲方对第三方的违约损失），并按照合同总价的</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%支付违约金。同时甲方有权按《招投标法》、《政府采购法》有关处罚条款报监管机构进行相应的处罚。</w:t>
      </w:r>
    </w:p>
    <w:p w14:paraId="3CF4D980">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（三）在合同期限内，未经甲方同意，乙方不得转包、分包本合同项下的合同义务，否则甲方有权依据本条第（二）款之约定单方解除本合同并有权要求乙方承担违约责任。</w:t>
      </w:r>
    </w:p>
    <w:p w14:paraId="333B8FEF">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（四）乙方违约时，甲方为主张权利而支出的律师费、保全费、保全保险费、差旅费等费用由乙方承担。</w:t>
      </w:r>
    </w:p>
    <w:p w14:paraId="0D3008D5">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十六、合同争议的解决</w:t>
      </w:r>
    </w:p>
    <w:p w14:paraId="64866E0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合同执行中发生争议的，当事人双方应协商解决，协商达不成一致时，向甲方所在地人民法院提请诉讼。</w:t>
      </w:r>
    </w:p>
    <w:p w14:paraId="7AC2828B">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十七、不可抗力</w:t>
      </w:r>
    </w:p>
    <w:p w14:paraId="35EB79AF">
      <w:pPr>
        <w:keepNext w:val="0"/>
        <w:keepLines w:val="0"/>
        <w:pageBreakBefore w:val="0"/>
        <w:widowControl w:val="0"/>
        <w:numPr>
          <w:ilvl w:val="0"/>
          <w:numId w:val="0"/>
        </w:numPr>
        <w:tabs>
          <w:tab w:val="left" w:pos="480"/>
        </w:tabs>
        <w:kinsoku/>
        <w:wordWrap/>
        <w:overflowPunct/>
        <w:topLinePunct w:val="0"/>
        <w:autoSpaceDE/>
        <w:autoSpaceDN/>
        <w:bidi w:val="0"/>
        <w:adjustRightInd/>
        <w:snapToGrid/>
        <w:spacing w:line="578" w:lineRule="exact"/>
        <w:ind w:firstLine="56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如因不可抗力事件发生（包括但不限于战争、动乱、地震、台风、洪水、火灾等不能预见、不能克服、不能避免的自然或者人为事件），导致合同一方无法继续履行本合同时，遇不可抗力之一方应在不可抗力消除之日起七日内将事件情况书面告知另一方，且应在不可抗力消除之日起十五日内，提交事件详情与合同不能履行或者需要延期履行的书面资料，双方认可后协商终止合同条款或者暂时延迟、顺延合同的履行。</w:t>
      </w:r>
    </w:p>
    <w:p w14:paraId="28BA60CF">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val="0"/>
          <w:color w:val="auto"/>
          <w:sz w:val="30"/>
          <w:szCs w:val="30"/>
          <w:lang w:val="en-US" w:eastAsia="zh-CN"/>
        </w:rPr>
      </w:pPr>
      <w:r>
        <w:rPr>
          <w:rFonts w:hint="eastAsia" w:ascii="仿宋" w:hAnsi="仿宋" w:eastAsia="仿宋" w:cs="仿宋"/>
          <w:b/>
          <w:bCs w:val="0"/>
          <w:color w:val="auto"/>
          <w:kern w:val="36"/>
          <w:sz w:val="30"/>
          <w:szCs w:val="30"/>
          <w:lang w:val="en-US" w:eastAsia="zh-CN"/>
        </w:rPr>
        <w:t>十八、</w:t>
      </w:r>
      <w:r>
        <w:rPr>
          <w:rFonts w:hint="eastAsia" w:ascii="仿宋" w:hAnsi="仿宋" w:eastAsia="仿宋" w:cs="仿宋"/>
          <w:b/>
          <w:bCs w:val="0"/>
          <w:color w:val="auto"/>
          <w:sz w:val="30"/>
          <w:szCs w:val="30"/>
          <w:lang w:val="en-US" w:eastAsia="zh-CN"/>
        </w:rPr>
        <w:t>合同生效</w:t>
      </w:r>
    </w:p>
    <w:p w14:paraId="5298E10B">
      <w:pPr>
        <w:keepNext w:val="0"/>
        <w:keepLines w:val="0"/>
        <w:pageBreakBefore w:val="0"/>
        <w:widowControl w:val="0"/>
        <w:numPr>
          <w:ilvl w:val="0"/>
          <w:numId w:val="8"/>
        </w:numPr>
        <w:tabs>
          <w:tab w:val="left" w:pos="480"/>
          <w:tab w:val="clear" w:pos="312"/>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合同一式六份，甲方四份、乙方一份、鉴证方一份。</w:t>
      </w:r>
    </w:p>
    <w:p w14:paraId="7C9834FF">
      <w:pPr>
        <w:keepNext w:val="0"/>
        <w:keepLines w:val="0"/>
        <w:pageBreakBefore w:val="0"/>
        <w:widowControl w:val="0"/>
        <w:numPr>
          <w:ilvl w:val="0"/>
          <w:numId w:val="8"/>
        </w:numPr>
        <w:tabs>
          <w:tab w:val="left" w:pos="480"/>
          <w:tab w:val="clear" w:pos="312"/>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bCs/>
          <w:color w:val="auto"/>
          <w:kern w:val="36"/>
          <w:sz w:val="28"/>
          <w:szCs w:val="28"/>
        </w:rPr>
      </w:pPr>
      <w:r>
        <w:rPr>
          <w:rFonts w:hint="eastAsia" w:ascii="仿宋" w:hAnsi="仿宋" w:eastAsia="仿宋" w:cs="仿宋"/>
          <w:color w:val="auto"/>
          <w:sz w:val="28"/>
          <w:szCs w:val="28"/>
        </w:rPr>
        <w:t>合同经甲方、乙方、鉴证方签字盖章后生效，合同执行完毕后，自动失效（合同的服务承诺则长期有效）。</w:t>
      </w:r>
    </w:p>
    <w:p w14:paraId="2A7D1432">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b/>
          <w:bCs w:val="0"/>
          <w:color w:val="auto"/>
          <w:kern w:val="36"/>
          <w:sz w:val="30"/>
          <w:szCs w:val="30"/>
          <w:lang w:val="en-US" w:eastAsia="zh-CN"/>
        </w:rPr>
      </w:pPr>
      <w:r>
        <w:rPr>
          <w:rFonts w:hint="eastAsia" w:ascii="仿宋" w:hAnsi="仿宋" w:eastAsia="仿宋" w:cs="仿宋"/>
          <w:b/>
          <w:bCs w:val="0"/>
          <w:color w:val="auto"/>
          <w:kern w:val="36"/>
          <w:sz w:val="30"/>
          <w:szCs w:val="30"/>
          <w:lang w:val="en-US" w:eastAsia="zh-CN"/>
        </w:rPr>
        <w:t>十九、其他事项</w:t>
      </w:r>
    </w:p>
    <w:p w14:paraId="4A8E72BA">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（一）招标文件、投标文件、澄清表（函）、中标通知书、合同附件均成为合同不可分割的部分，与本合同具有同等法律效力。</w:t>
      </w:r>
    </w:p>
    <w:p w14:paraId="03DC7131">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（二）本合同未尽事宜，由甲、乙双方协商，经鉴证方确认后，签订补充协议作为合同补充，补充协议与原合同具有同等法律效力，补充协议与本合同不一致的，以补充协议为准。</w:t>
      </w:r>
    </w:p>
    <w:p w14:paraId="75CBEA06">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（三）本合同按照中华人民共和国的现行法律进行解释。</w:t>
      </w:r>
    </w:p>
    <w:p w14:paraId="38BD9BD4">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（四）本合同附件作为本合同的组成部份，与本合同具有同等法律效力。</w:t>
      </w:r>
    </w:p>
    <w:p w14:paraId="6A9E12B8">
      <w:pPr>
        <w:keepNext w:val="0"/>
        <w:keepLines w:val="0"/>
        <w:pageBreakBefore w:val="0"/>
        <w:widowControl w:val="0"/>
        <w:tabs>
          <w:tab w:val="left" w:pos="480"/>
        </w:tabs>
        <w:kinsoku/>
        <w:wordWrap/>
        <w:overflowPunct/>
        <w:topLinePunct w:val="0"/>
        <w:autoSpaceDE/>
        <w:autoSpaceDN/>
        <w:bidi w:val="0"/>
        <w:adjustRightInd/>
        <w:snapToGrid/>
        <w:spacing w:line="578"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（以下无正文）</w:t>
      </w:r>
    </w:p>
    <w:tbl>
      <w:tblPr>
        <w:tblStyle w:val="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44"/>
        <w:gridCol w:w="4078"/>
      </w:tblGrid>
      <w:tr w14:paraId="0EDC5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444" w:type="dxa"/>
            <w:noWrap w:val="0"/>
            <w:vAlign w:val="top"/>
          </w:tcPr>
          <w:p w14:paraId="3FC008BC">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甲方：</w:t>
            </w:r>
          </w:p>
        </w:tc>
        <w:tc>
          <w:tcPr>
            <w:tcW w:w="4078" w:type="dxa"/>
            <w:noWrap w:val="0"/>
            <w:vAlign w:val="top"/>
          </w:tcPr>
          <w:p w14:paraId="5612AC0E">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乙方： </w:t>
            </w:r>
          </w:p>
        </w:tc>
      </w:tr>
      <w:tr w14:paraId="04A15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2" w:hRule="atLeast"/>
          <w:jc w:val="center"/>
        </w:trPr>
        <w:tc>
          <w:tcPr>
            <w:tcW w:w="4444" w:type="dxa"/>
            <w:noWrap w:val="0"/>
            <w:vAlign w:val="top"/>
          </w:tcPr>
          <w:p w14:paraId="38D00455">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地址：</w:t>
            </w:r>
          </w:p>
        </w:tc>
        <w:tc>
          <w:tcPr>
            <w:tcW w:w="4078" w:type="dxa"/>
            <w:noWrap w:val="0"/>
            <w:vAlign w:val="top"/>
          </w:tcPr>
          <w:p w14:paraId="030037C2">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地址： </w:t>
            </w:r>
          </w:p>
        </w:tc>
      </w:tr>
      <w:tr w14:paraId="526E0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0" w:hRule="atLeast"/>
          <w:jc w:val="center"/>
        </w:trPr>
        <w:tc>
          <w:tcPr>
            <w:tcW w:w="4444" w:type="dxa"/>
            <w:noWrap w:val="0"/>
            <w:vAlign w:val="top"/>
          </w:tcPr>
          <w:p w14:paraId="37400561">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法定代表人：</w:t>
            </w:r>
          </w:p>
        </w:tc>
        <w:tc>
          <w:tcPr>
            <w:tcW w:w="4078" w:type="dxa"/>
            <w:noWrap w:val="0"/>
            <w:vAlign w:val="top"/>
          </w:tcPr>
          <w:p w14:paraId="674801E2">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法定代表人：</w:t>
            </w:r>
          </w:p>
        </w:tc>
      </w:tr>
      <w:tr w14:paraId="6CB6F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444" w:type="dxa"/>
            <w:noWrap w:val="0"/>
            <w:vAlign w:val="top"/>
          </w:tcPr>
          <w:p w14:paraId="1CCDD127">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联系电话：</w:t>
            </w:r>
          </w:p>
        </w:tc>
        <w:tc>
          <w:tcPr>
            <w:tcW w:w="4078" w:type="dxa"/>
            <w:noWrap w:val="0"/>
            <w:vAlign w:val="top"/>
          </w:tcPr>
          <w:p w14:paraId="31D1FB09">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联系电话：</w:t>
            </w:r>
          </w:p>
        </w:tc>
      </w:tr>
      <w:tr w14:paraId="16E9C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444" w:type="dxa"/>
            <w:noWrap w:val="0"/>
            <w:vAlign w:val="top"/>
          </w:tcPr>
          <w:p w14:paraId="3BB79D3E">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签订日期：2025年</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日</w:t>
            </w:r>
          </w:p>
        </w:tc>
        <w:tc>
          <w:tcPr>
            <w:tcW w:w="4078" w:type="dxa"/>
            <w:noWrap w:val="0"/>
            <w:vAlign w:val="top"/>
          </w:tcPr>
          <w:p w14:paraId="7BA84013">
            <w:pPr>
              <w:keepNext w:val="0"/>
              <w:keepLines w:val="0"/>
              <w:pageBreakBefore w:val="0"/>
              <w:widowControl w:val="0"/>
              <w:tabs>
                <w:tab w:val="left" w:pos="480"/>
              </w:tabs>
              <w:kinsoku/>
              <w:wordWrap/>
              <w:overflowPunct/>
              <w:topLinePunct w:val="0"/>
              <w:bidi w:val="0"/>
              <w:snapToGrid/>
              <w:ind w:firstLine="0" w:firstLineChars="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签订日期：2025年</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日</w:t>
            </w:r>
          </w:p>
        </w:tc>
      </w:tr>
    </w:tbl>
    <w:p w14:paraId="58822302">
      <w:pPr>
        <w:keepNext w:val="0"/>
        <w:keepLines w:val="0"/>
        <w:pageBreakBefore w:val="0"/>
        <w:widowControl w:val="0"/>
        <w:tabs>
          <w:tab w:val="left" w:pos="480"/>
        </w:tabs>
        <w:kinsoku/>
        <w:wordWrap/>
        <w:overflowPunct/>
        <w:topLinePunct w:val="0"/>
        <w:autoSpaceDE/>
        <w:autoSpaceDN/>
        <w:bidi w:val="0"/>
        <w:adjustRightInd/>
        <w:snapToGrid/>
        <w:spacing w:line="578"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附件一：《项目需求说明书》；</w:t>
      </w:r>
    </w:p>
    <w:p w14:paraId="75C14411">
      <w:pPr>
        <w:jc w:val="both"/>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rPr>
        <w:t>西安医学院</w:t>
      </w:r>
      <w:r>
        <w:rPr>
          <w:rFonts w:hint="eastAsia" w:ascii="仿宋" w:hAnsi="仿宋" w:eastAsia="仿宋" w:cs="仿宋"/>
          <w:bCs/>
          <w:color w:val="auto"/>
          <w:sz w:val="28"/>
          <w:szCs w:val="28"/>
          <w:lang w:val="en-US" w:eastAsia="zh-CN"/>
        </w:rPr>
        <w:t>第三附属医院口腔病院信息化建设（一期)采购项目</w:t>
      </w:r>
    </w:p>
    <w:p w14:paraId="2874C2F9">
      <w:pPr>
        <w:jc w:val="both"/>
        <w:rPr>
          <w:rFonts w:hint="eastAsia" w:ascii="仿宋" w:hAnsi="仿宋" w:eastAsia="仿宋" w:cs="仿宋"/>
          <w:bCs/>
          <w:color w:val="auto"/>
          <w:sz w:val="28"/>
          <w:szCs w:val="28"/>
        </w:rPr>
      </w:pPr>
      <w:r>
        <w:rPr>
          <w:rFonts w:hint="eastAsia" w:ascii="仿宋" w:hAnsi="仿宋" w:eastAsia="仿宋" w:cs="仿宋"/>
          <w:bCs/>
          <w:color w:val="auto"/>
          <w:sz w:val="28"/>
          <w:szCs w:val="28"/>
        </w:rPr>
        <w:t>采购需求</w:t>
      </w:r>
    </w:p>
    <w:p w14:paraId="12F25C30">
      <w:pPr>
        <w:jc w:val="both"/>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附件二：《开发实施计划表》；</w:t>
      </w:r>
    </w:p>
    <w:p w14:paraId="7B627EEA"/>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0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6B25A">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2C4EBE3">
                          <w:pPr>
                            <w:pStyle w:val="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rect id="矩形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Cj8vIxvwEAAIwDAAAOAAAAAAAAAAEAIAAAAB8BAABkcnMvZTJvRG9jLnhtbFBLBQYA&#10;AAAABgAGAFkBAABQBQAAAAA=&#10;">
              <v:fill on="f" focussize="0,0"/>
              <v:stroke on="f"/>
              <v:imagedata o:title=""/>
              <o:lock v:ext="edit" aspectratio="f"/>
              <v:textbox inset="0mm,0mm,0mm,0mm" style="mso-fit-shape-to-text:t;">
                <w:txbxContent>
                  <w:p w14:paraId="22C4EBE3">
                    <w:pPr>
                      <w:pStyle w:val="2"/>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A5154">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nothing"/>
      <w:lvlText w:val="%1）"/>
      <w:lvlJc w:val="left"/>
    </w:lvl>
  </w:abstractNum>
  <w:abstractNum w:abstractNumId="1">
    <w:nsid w:val="00000002"/>
    <w:multiLevelType w:val="singleLevel"/>
    <w:tmpl w:val="00000002"/>
    <w:lvl w:ilvl="0" w:tentative="0">
      <w:start w:val="6"/>
      <w:numFmt w:val="chineseCounting"/>
      <w:suff w:val="nothing"/>
      <w:lvlText w:val="%1、"/>
      <w:lvlJc w:val="left"/>
      <w:rPr>
        <w:rFonts w:hint="eastAsia"/>
      </w:rPr>
    </w:lvl>
  </w:abstractNum>
  <w:abstractNum w:abstractNumId="2">
    <w:nsid w:val="00000003"/>
    <w:multiLevelType w:val="singleLevel"/>
    <w:tmpl w:val="00000003"/>
    <w:lvl w:ilvl="0" w:tentative="0">
      <w:start w:val="1"/>
      <w:numFmt w:val="chineseCounting"/>
      <w:suff w:val="nothing"/>
      <w:lvlText w:val="%1、"/>
      <w:lvlJc w:val="left"/>
      <w:rPr>
        <w:rFonts w:hint="eastAsia"/>
      </w:rPr>
    </w:lvl>
  </w:abstractNum>
  <w:abstractNum w:abstractNumId="3">
    <w:nsid w:val="00000004"/>
    <w:multiLevelType w:val="singleLevel"/>
    <w:tmpl w:val="00000004"/>
    <w:lvl w:ilvl="0" w:tentative="0">
      <w:start w:val="1"/>
      <w:numFmt w:val="decimal"/>
      <w:lvlText w:val="%1."/>
      <w:lvlJc w:val="left"/>
      <w:pPr>
        <w:tabs>
          <w:tab w:val="left" w:pos="312"/>
        </w:tabs>
      </w:pPr>
    </w:lvl>
  </w:abstractNum>
  <w:abstractNum w:abstractNumId="4">
    <w:nsid w:val="00000005"/>
    <w:multiLevelType w:val="singleLevel"/>
    <w:tmpl w:val="00000005"/>
    <w:lvl w:ilvl="0" w:tentative="0">
      <w:start w:val="3"/>
      <w:numFmt w:val="chineseCounting"/>
      <w:suff w:val="nothing"/>
      <w:lvlText w:val="（%1）"/>
      <w:lvlJc w:val="left"/>
      <w:rPr>
        <w:rFonts w:hint="eastAsia"/>
      </w:rPr>
    </w:lvl>
  </w:abstractNum>
  <w:abstractNum w:abstractNumId="5">
    <w:nsid w:val="00000006"/>
    <w:multiLevelType w:val="singleLevel"/>
    <w:tmpl w:val="00000006"/>
    <w:lvl w:ilvl="0" w:tentative="0">
      <w:start w:val="1"/>
      <w:numFmt w:val="decimal"/>
      <w:lvlText w:val="%1."/>
      <w:lvlJc w:val="left"/>
      <w:pPr>
        <w:tabs>
          <w:tab w:val="left" w:pos="312"/>
        </w:tabs>
      </w:pPr>
    </w:lvl>
  </w:abstractNum>
  <w:abstractNum w:abstractNumId="6">
    <w:nsid w:val="00000007"/>
    <w:multiLevelType w:val="singleLevel"/>
    <w:tmpl w:val="00000007"/>
    <w:lvl w:ilvl="0" w:tentative="0">
      <w:start w:val="1"/>
      <w:numFmt w:val="decimal"/>
      <w:lvlText w:val="%1."/>
      <w:lvlJc w:val="left"/>
      <w:pPr>
        <w:tabs>
          <w:tab w:val="left" w:pos="312"/>
        </w:tabs>
      </w:pPr>
    </w:lvl>
  </w:abstractNum>
  <w:abstractNum w:abstractNumId="7">
    <w:nsid w:val="00000008"/>
    <w:multiLevelType w:val="singleLevel"/>
    <w:tmpl w:val="00000008"/>
    <w:lvl w:ilvl="0" w:tentative="0">
      <w:start w:val="1"/>
      <w:numFmt w:val="decimal"/>
      <w:lvlText w:val="%1."/>
      <w:lvlJc w:val="left"/>
      <w:pPr>
        <w:tabs>
          <w:tab w:val="left" w:pos="312"/>
        </w:tabs>
      </w:pPr>
    </w:lvl>
  </w:abstractNum>
  <w:num w:numId="1">
    <w:abstractNumId w:val="2"/>
  </w:num>
  <w:num w:numId="2">
    <w:abstractNumId w:val="0"/>
  </w:num>
  <w:num w:numId="3">
    <w:abstractNumId w:val="5"/>
  </w:num>
  <w:num w:numId="4">
    <w:abstractNumId w:val="1"/>
  </w:num>
  <w:num w:numId="5">
    <w:abstractNumId w:val="4"/>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doNotShadeFormData w:val="1"/>
  <w:characterSpacingControl w:val="compressPunctuation"/>
  <w:doNotValidateAgainstSchema/>
  <w:doNotDemarcateInvalidXml/>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2343"/>
    <w:rsid w:val="00634E46"/>
    <w:rsid w:val="00A27A28"/>
    <w:rsid w:val="00C50775"/>
    <w:rsid w:val="00FC5520"/>
    <w:rsid w:val="3971643A"/>
    <w:rsid w:val="47312FD0"/>
    <w:rsid w:val="4FCF3B22"/>
    <w:rsid w:val="54F94081"/>
    <w:rsid w:val="57821021"/>
    <w:rsid w:val="63824928"/>
    <w:rsid w:val="76412609"/>
    <w:rsid w:val="7D6C76EF"/>
    <w:rsid w:val="7E8122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pacing w:after="160" w:line="278" w:lineRule="auto"/>
    </w:pPr>
    <w:rPr>
      <w:rFonts w:ascii="Calibri" w:hAnsi="Calibri" w:eastAsia="宋体" w:cs="宋体"/>
      <w:kern w:val="2"/>
      <w:sz w:val="22"/>
      <w:szCs w:val="24"/>
      <w:lang w:val="en-US" w:eastAsia="zh-CN" w:bidi="ar-SA"/>
    </w:rPr>
  </w:style>
  <w:style w:type="character" w:default="1" w:styleId="6">
    <w:name w:val="Default Paragraph Font"/>
    <w:uiPriority w:val="0"/>
    <w:rPr>
      <w:rFonts w:ascii="Calibri" w:hAnsi="Calibri" w:eastAsia="宋体" w:cs="宋体"/>
    </w:rPr>
  </w:style>
  <w:style w:type="table" w:default="1" w:styleId="4">
    <w:name w:val="Normal Table"/>
    <w:uiPriority w:val="0"/>
    <w:rPr>
      <w:rFonts w:ascii="Calibri" w:hAnsi="Calibri" w:eastAsia="宋体" w:cs="宋体"/>
    </w:rPr>
    <w:tblPr>
      <w:tblStyle w:val="4"/>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Calibri" w:hAnsi="Calibri" w:eastAsia="宋体" w:cs="宋体"/>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rFonts w:ascii="Calibri" w:hAnsi="Calibri" w:eastAsia="宋体" w:cs="宋体"/>
      <w:sz w:val="18"/>
      <w:szCs w:val="18"/>
    </w:rPr>
  </w:style>
  <w:style w:type="table" w:styleId="5">
    <w:name w:val="Table Grid"/>
    <w:basedOn w:val="4"/>
    <w:uiPriority w:val="0"/>
    <w:pPr>
      <w:widowControl w:val="0"/>
      <w:jc w:val="both"/>
    </w:pPr>
    <w:rPr>
      <w:rFonts w:ascii="Calibri" w:hAnsi="Calibri" w:eastAsia="宋体" w:cs="宋体"/>
    </w:rPr>
    <w:tblPr>
      <w:tblStyle w:val="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5469</Words>
  <Characters>5506</Characters>
  <TotalTime>0</TotalTime>
  <ScaleCrop>false</ScaleCrop>
  <LinksUpToDate>false</LinksUpToDate>
  <CharactersWithSpaces>5769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2025-02-08T05:39:00Z</dcterms:created>
  <dc:creator>Administrator</dc:creator>
  <cp:lastModifiedBy>侯@_@!</cp:lastModifiedBy>
  <dcterms:modified xsi:type="dcterms:W3CDTF">2026-02-27T04:37:56Z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3A97848CB867434EA38FE0B728AF1AB8_13</vt:lpwstr>
  </property>
  <property fmtid="{D5CDD505-2E9C-101B-9397-08002B2CF9AE}" pid="4" name="KSOTemplateDocerSaveRecord">
    <vt:lpwstr>eyJoZGlkIjoiNGZkNmVlMWFiZDU5MjhiMmJlM2Y1NmM4NWIyN2E1YTkiLCJ1c2VySWQiOiIyMzUwOTcyMzUifQ==</vt:lpwstr>
  </property>
</Properties>
</file>