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43D9">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rPr>
          <w:rFonts w:hint="eastAsia" w:ascii="黑体" w:hAnsi="黑体" w:eastAsia="黑体"/>
          <w:b/>
          <w:bCs/>
          <w:color w:val="333333"/>
          <w:kern w:val="0"/>
          <w:szCs w:val="30"/>
          <w:lang w:eastAsia="zh-CN"/>
        </w:rPr>
      </w:pPr>
      <w:r>
        <w:rPr>
          <w:rFonts w:hint="eastAsia" w:ascii="黑体" w:hAnsi="黑体" w:eastAsia="黑体"/>
          <w:b/>
          <w:bCs/>
          <w:color w:val="333333"/>
          <w:kern w:val="0"/>
          <w:szCs w:val="30"/>
          <w:lang w:val="en-US" w:eastAsia="zh-CN"/>
        </w:rPr>
        <w:t>采购需求</w:t>
      </w:r>
    </w:p>
    <w:p w14:paraId="249B2AE0">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ascii="宋体" w:hAnsi="宋体" w:cs="宋体"/>
          <w:sz w:val="28"/>
        </w:rPr>
      </w:pPr>
      <w:r>
        <w:rPr>
          <w:rFonts w:hint="eastAsia" w:ascii="宋体" w:hAnsi="宋体" w:cs="宋体"/>
          <w:sz w:val="28"/>
        </w:rPr>
        <w:t>一、项目概况：</w:t>
      </w:r>
      <w:r>
        <w:rPr>
          <w:rFonts w:hint="eastAsia" w:ascii="宋体" w:hAnsi="宋体" w:cs="宋体"/>
          <w:sz w:val="28"/>
          <w:lang w:val="en-US" w:eastAsia="zh-CN"/>
        </w:rPr>
        <w:t>采购一套指挥协调系统（维护期限三年），包括监督受理子系统、协同工作子系统、监督指挥子系统、事项梳理、权限流程配置及数据治理服务、巡查专项管理、巡查人员管理、巡查任务管理；一套全移动端应用系统(APP)包括领导移动端、处置移动端、通用模块等。</w:t>
      </w:r>
    </w:p>
    <w:p w14:paraId="16457CB7">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二、供应商资质资格要求：</w:t>
      </w:r>
    </w:p>
    <w:p w14:paraId="1C3B9B14">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（1）</w:t>
      </w:r>
      <w:r>
        <w:rPr>
          <w:rFonts w:hint="eastAsia" w:ascii="宋体" w:hAnsi="宋体" w:cs="宋体"/>
          <w:sz w:val="28"/>
          <w:lang w:eastAsia="zh-CN"/>
        </w:rPr>
        <w:t>具有独立承担民事责任能力的法人、其他组织或自然人，提供合法有效的统一社会信用代码营业执照（事业单位提供事业单位法人证书，自然人应提供身份证，分公司投标的还需提供总公司营业执照、针对本项目的授权书及分公司的营业执照）</w:t>
      </w:r>
      <w:r>
        <w:rPr>
          <w:rFonts w:hint="eastAsia" w:ascii="宋体" w:hAnsi="宋体" w:cs="宋体"/>
          <w:sz w:val="28"/>
        </w:rPr>
        <w:t>；</w:t>
      </w:r>
    </w:p>
    <w:p w14:paraId="205AA424">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（2）</w:t>
      </w:r>
      <w:r>
        <w:rPr>
          <w:rFonts w:hint="eastAsia" w:ascii="宋体" w:hAnsi="宋体" w:cs="宋体"/>
          <w:sz w:val="28"/>
          <w:lang w:eastAsia="zh-CN"/>
        </w:rPr>
        <w:t>提供已缴纳近一年</w:t>
      </w:r>
      <w:r>
        <w:rPr>
          <w:rFonts w:hint="eastAsia" w:ascii="宋体" w:hAnsi="宋体" w:cs="宋体"/>
          <w:sz w:val="28"/>
          <w:lang w:val="en-US" w:eastAsia="zh-CN"/>
        </w:rPr>
        <w:t>内任意</w:t>
      </w:r>
      <w:r>
        <w:rPr>
          <w:rFonts w:hint="eastAsia" w:ascii="宋体" w:hAnsi="宋体" w:cs="宋体"/>
          <w:sz w:val="28"/>
          <w:lang w:eastAsia="zh-CN"/>
        </w:rPr>
        <w:t>三个月的纳税或完税证明（任意税种）扫描件，依法免税的应提供相关证明。纳税证明或完税证明上应有代收机构或税务机关的公章或业务专用章。（注：① 新成立企业（成立一个月内）暂无纳税提供说明加盖公章；②零报税提供申报成果的凭证；③正在办理纳税的应提供受理部门已受理的凭证；④时间以税款所属时期为准。）</w:t>
      </w:r>
      <w:r>
        <w:rPr>
          <w:rFonts w:hint="eastAsia" w:ascii="宋体" w:hAnsi="宋体" w:cs="宋体"/>
          <w:sz w:val="28"/>
        </w:rPr>
        <w:t>；</w:t>
      </w:r>
    </w:p>
    <w:p w14:paraId="30556EDB">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3</w:t>
      </w:r>
      <w:r>
        <w:rPr>
          <w:rFonts w:hint="eastAsia" w:ascii="宋体" w:hAnsi="宋体" w:cs="宋体"/>
          <w:sz w:val="28"/>
        </w:rPr>
        <w:t>）社会保障资金缴纳证明：提供投标截止日前一年内</w:t>
      </w:r>
      <w:r>
        <w:rPr>
          <w:rFonts w:hint="eastAsia" w:ascii="宋体" w:hAnsi="宋体" w:cs="宋体"/>
          <w:sz w:val="28"/>
          <w:lang w:val="en-US" w:eastAsia="zh-CN"/>
        </w:rPr>
        <w:t>任意</w:t>
      </w:r>
      <w:r>
        <w:rPr>
          <w:rFonts w:hint="eastAsia" w:ascii="宋体" w:hAnsi="宋体" w:cs="宋体"/>
          <w:sz w:val="28"/>
        </w:rPr>
        <w:t>三个月已缴纳的社会保障资金缴存单据或社保机构开具的社会保险参保缴费情况证明；依法不需要缴纳社会保障资金的应提供相关文件证明；</w:t>
      </w:r>
    </w:p>
    <w:p w14:paraId="638A6F07">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4</w:t>
      </w:r>
      <w:r>
        <w:rPr>
          <w:rFonts w:hint="eastAsia" w:ascii="宋体" w:hAnsi="宋体" w:cs="宋体"/>
          <w:sz w:val="28"/>
        </w:rPr>
        <w:t>）财务状况报告：提供供应商202</w:t>
      </w:r>
      <w:r>
        <w:rPr>
          <w:rFonts w:hint="eastAsia" w:ascii="宋体" w:hAnsi="宋体" w:cs="宋体"/>
          <w:sz w:val="28"/>
          <w:lang w:val="en-US" w:eastAsia="zh-CN"/>
        </w:rPr>
        <w:t>4或2025</w:t>
      </w:r>
      <w:r>
        <w:rPr>
          <w:rFonts w:hint="eastAsia" w:ascii="宋体" w:hAnsi="宋体" w:cs="宋体"/>
          <w:sz w:val="28"/>
        </w:rPr>
        <w:t>年度经注册会计师签署的财务审计报告（包括“三表”及附注）（成立时间至投标截止时间不足一年的可提供成立后任意时段的资产负债表），或者提供其投标前一年内基本存款账户开户银行出具的资信证明及基本存款账户开户证明；</w:t>
      </w:r>
    </w:p>
    <w:p w14:paraId="3E46F146">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5</w:t>
      </w:r>
      <w:r>
        <w:rPr>
          <w:rFonts w:hint="eastAsia" w:ascii="宋体" w:hAnsi="宋体" w:cs="宋体"/>
          <w:sz w:val="28"/>
        </w:rPr>
        <w:t>）供应商应具有履行合同所必需的设备和专业技术能力；</w:t>
      </w:r>
    </w:p>
    <w:p w14:paraId="4C6B02CA">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6</w:t>
      </w:r>
      <w:r>
        <w:rPr>
          <w:rFonts w:hint="eastAsia" w:ascii="宋体" w:hAnsi="宋体" w:cs="宋体"/>
          <w:sz w:val="28"/>
        </w:rPr>
        <w:t>）参加政府采购活动前3年内，在经营活动中没有重大违法记录；</w:t>
      </w:r>
    </w:p>
    <w:p w14:paraId="2FCD6E03">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7</w:t>
      </w:r>
      <w:r>
        <w:rPr>
          <w:rFonts w:hint="eastAsia" w:ascii="宋体" w:hAnsi="宋体" w:cs="宋体"/>
          <w:sz w:val="28"/>
        </w:rPr>
        <w:t>）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581CB23D">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8</w:t>
      </w:r>
      <w:r>
        <w:rPr>
          <w:rFonts w:hint="eastAsia" w:ascii="宋体" w:hAnsi="宋体" w:cs="宋体"/>
          <w:sz w:val="28"/>
        </w:rPr>
        <w:t>）未被列入失信被执行人、重大税收违法</w:t>
      </w:r>
      <w:r>
        <w:rPr>
          <w:rFonts w:hint="eastAsia" w:ascii="宋体" w:hAnsi="宋体" w:cs="宋体"/>
          <w:sz w:val="28"/>
          <w:lang w:val="en-US" w:eastAsia="zh-CN"/>
        </w:rPr>
        <w:t>失信主体</w:t>
      </w:r>
      <w:r>
        <w:rPr>
          <w:rFonts w:hint="eastAsia" w:ascii="宋体" w:hAnsi="宋体" w:cs="宋体"/>
          <w:sz w:val="28"/>
        </w:rPr>
        <w:t>，未被列入政府采购严重违法失信行为</w:t>
      </w:r>
      <w:r>
        <w:rPr>
          <w:rFonts w:hint="eastAsia" w:ascii="宋体" w:hAnsi="宋体" w:cs="宋体"/>
          <w:sz w:val="28"/>
          <w:lang w:val="en-US" w:eastAsia="zh-CN"/>
        </w:rPr>
        <w:t>记录</w:t>
      </w:r>
      <w:r>
        <w:rPr>
          <w:rFonts w:hint="eastAsia" w:ascii="宋体" w:hAnsi="宋体" w:cs="宋体"/>
          <w:sz w:val="28"/>
        </w:rPr>
        <w:t>名单。</w:t>
      </w:r>
    </w:p>
    <w:p w14:paraId="401DF798">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ascii="宋体" w:hAnsi="宋体" w:cs="宋体"/>
          <w:sz w:val="28"/>
          <w:highlight w:val="none"/>
        </w:rPr>
      </w:pPr>
      <w:r>
        <w:rPr>
          <w:rFonts w:hint="eastAsia" w:ascii="宋体" w:hAnsi="宋体" w:cs="宋体"/>
          <w:sz w:val="28"/>
          <w:highlight w:val="none"/>
        </w:rPr>
        <w:t>三、</w:t>
      </w:r>
      <w:r>
        <w:rPr>
          <w:rFonts w:hint="eastAsia" w:ascii="宋体" w:hAnsi="宋体" w:cs="宋体"/>
          <w:sz w:val="28"/>
          <w:highlight w:val="none"/>
          <w:lang w:val="en-US" w:eastAsia="zh-CN"/>
        </w:rPr>
        <w:t>供货期限</w:t>
      </w:r>
      <w:r>
        <w:rPr>
          <w:rFonts w:hint="eastAsia" w:ascii="宋体" w:hAnsi="宋体" w:cs="宋体"/>
          <w:sz w:val="28"/>
          <w:highlight w:val="none"/>
        </w:rPr>
        <w:t>：</w:t>
      </w:r>
      <w:r>
        <w:rPr>
          <w:rFonts w:hint="eastAsia" w:ascii="宋体" w:hAnsi="宋体" w:cs="宋体"/>
          <w:sz w:val="28"/>
          <w:highlight w:val="none"/>
          <w:lang w:val="en-US" w:eastAsia="zh-CN"/>
        </w:rPr>
        <w:t>30日历日</w:t>
      </w:r>
      <w:r>
        <w:rPr>
          <w:rFonts w:hint="eastAsia" w:ascii="宋体" w:hAnsi="宋体" w:cs="宋体"/>
          <w:sz w:val="28"/>
          <w:highlight w:val="none"/>
        </w:rPr>
        <w:t>。</w:t>
      </w:r>
    </w:p>
    <w:p w14:paraId="4C9E906C">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ascii="宋体" w:hAnsi="宋体" w:cs="宋体"/>
          <w:sz w:val="28"/>
        </w:rPr>
      </w:pPr>
      <w:r>
        <w:rPr>
          <w:rFonts w:hint="eastAsia" w:ascii="宋体" w:hAnsi="宋体" w:cs="宋体"/>
          <w:sz w:val="28"/>
          <w:highlight w:val="none"/>
        </w:rPr>
        <w:t>四、</w:t>
      </w:r>
      <w:r>
        <w:rPr>
          <w:rFonts w:hint="eastAsia" w:ascii="宋体" w:hAnsi="宋体" w:cs="宋体"/>
          <w:sz w:val="28"/>
        </w:rPr>
        <w:t>最高限价：</w:t>
      </w:r>
      <w:bookmarkStart w:id="0" w:name="_Hlk10460168"/>
      <w:r>
        <w:rPr>
          <w:rFonts w:hint="eastAsia" w:ascii="宋体" w:hAnsi="宋体" w:cs="宋体"/>
          <w:sz w:val="28"/>
          <w:lang w:val="en-US" w:eastAsia="zh-CN"/>
        </w:rPr>
        <w:t>根据陕西隆成工程项目管理公司-陕西隆成（2026）007号评审报告及《镇安县财政局关于镇安县城市运行管理服务平台建设项目（一期）预算审核的复函》（镇财办建〔2026〕9号），审定采购总限价为1,076,500.00元</w:t>
      </w:r>
      <w:r>
        <w:rPr>
          <w:rFonts w:hint="eastAsia" w:ascii="宋体" w:hAnsi="宋体" w:cs="宋体"/>
          <w:sz w:val="28"/>
        </w:rPr>
        <w:t>。</w:t>
      </w:r>
      <w:r>
        <w:rPr>
          <w:rFonts w:hint="eastAsia" w:ascii="宋体" w:hAnsi="宋体" w:cs="宋体"/>
          <w:sz w:val="28"/>
          <w:lang w:val="en-US" w:eastAsia="zh-CN"/>
        </w:rPr>
        <w:t>投标</w:t>
      </w:r>
      <w:r>
        <w:rPr>
          <w:rFonts w:hint="eastAsia" w:ascii="宋体" w:hAnsi="宋体" w:cs="宋体"/>
          <w:sz w:val="28"/>
        </w:rPr>
        <w:t>报价高于最高限价的，其</w:t>
      </w:r>
      <w:r>
        <w:rPr>
          <w:rFonts w:hint="eastAsia" w:ascii="宋体" w:hAnsi="宋体" w:cs="宋体"/>
          <w:sz w:val="28"/>
          <w:lang w:val="en-US" w:eastAsia="zh-CN"/>
        </w:rPr>
        <w:t>投标</w:t>
      </w:r>
      <w:r>
        <w:rPr>
          <w:rFonts w:hint="eastAsia" w:ascii="宋体" w:hAnsi="宋体" w:cs="宋体"/>
          <w:sz w:val="28"/>
        </w:rPr>
        <w:t>资格将被否决。</w:t>
      </w:r>
      <w:bookmarkEnd w:id="0"/>
    </w:p>
    <w:p w14:paraId="27706731">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FD84">
    <w:pPr>
      <w:pStyle w:val="2"/>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44CA7C1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2659A1"/>
    <w:rsid w:val="040845C6"/>
    <w:rsid w:val="13846061"/>
    <w:rsid w:val="165E73B0"/>
    <w:rsid w:val="16C91A60"/>
    <w:rsid w:val="170C0C79"/>
    <w:rsid w:val="183152CA"/>
    <w:rsid w:val="192E2792"/>
    <w:rsid w:val="1E402147"/>
    <w:rsid w:val="20EE351E"/>
    <w:rsid w:val="223259B5"/>
    <w:rsid w:val="22714822"/>
    <w:rsid w:val="25242F3A"/>
    <w:rsid w:val="25B249EC"/>
    <w:rsid w:val="2A737713"/>
    <w:rsid w:val="2E8E6E03"/>
    <w:rsid w:val="30E265E7"/>
    <w:rsid w:val="312635E0"/>
    <w:rsid w:val="355369C0"/>
    <w:rsid w:val="401A69DB"/>
    <w:rsid w:val="457B0D80"/>
    <w:rsid w:val="46C0648D"/>
    <w:rsid w:val="46DB7CFC"/>
    <w:rsid w:val="47D52AD7"/>
    <w:rsid w:val="4C5C1969"/>
    <w:rsid w:val="4C711E17"/>
    <w:rsid w:val="4D3E3358"/>
    <w:rsid w:val="4D7D44F7"/>
    <w:rsid w:val="50B52B75"/>
    <w:rsid w:val="52B5432C"/>
    <w:rsid w:val="553872E6"/>
    <w:rsid w:val="5786758A"/>
    <w:rsid w:val="58E2342F"/>
    <w:rsid w:val="59F23FF5"/>
    <w:rsid w:val="5C677510"/>
    <w:rsid w:val="61B57BC8"/>
    <w:rsid w:val="645F348E"/>
    <w:rsid w:val="6908673A"/>
    <w:rsid w:val="69D103A6"/>
    <w:rsid w:val="6B3936DA"/>
    <w:rsid w:val="6DB9430F"/>
    <w:rsid w:val="773A5BE3"/>
    <w:rsid w:val="7AFA7FE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Body Text"/>
    <w:basedOn w:val="1"/>
    <w:next w:val="1"/>
    <w:unhideWhenUsed/>
    <w:qFormat/>
    <w:uiPriority w:val="0"/>
    <w:pPr>
      <w:widowControl/>
      <w:jc w:val="left"/>
    </w:pPr>
    <w:rPr>
      <w:kern w:val="0"/>
      <w:sz w:val="24"/>
      <w:szCs w:val="20"/>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3"/>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1151</Words>
  <Characters>1189</Characters>
  <Lines>7</Lines>
  <Paragraphs>2</Paragraphs>
  <TotalTime>4</TotalTime>
  <ScaleCrop>false</ScaleCrop>
  <LinksUpToDate>false</LinksUpToDate>
  <CharactersWithSpaces>1191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2024-12-18T00:46:00Z</cp:lastPrinted>
  <dcterms:modified xsi:type="dcterms:W3CDTF">2026-03-25T12:39:42Z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