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2186">
      <w:pPr>
        <w:pStyle w:val="2"/>
        <w:spacing w:before="327" w:beforeLines="100" w:after="327" w:afterLines="1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采购内容及</w:t>
      </w:r>
      <w:r>
        <w:rPr>
          <w:rFonts w:hint="eastAsia" w:asci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要求</w:t>
      </w:r>
      <w:bookmarkStart w:id="0" w:name="_Toc317530110"/>
    </w:p>
    <w:p w14:paraId="511C0D2A">
      <w:pPr>
        <w:pStyle w:val="2"/>
        <w:spacing w:line="360" w:lineRule="auto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一、项目概况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秦汉新城拆迁垃圾清运（压电陶瓷北侧项目）</w:t>
      </w:r>
    </w:p>
    <w:p w14:paraId="0651EFE3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二、主要工作内容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为解决新城项目用地内遗留问题，对正阳街办辖区内压电陶瓷北侧项目用地范围内遗留垃圾进行清运（最终结算以实际工作量计量计费）</w:t>
      </w:r>
    </w:p>
    <w:p w14:paraId="68CB3581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三、质量验收标准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：符合国家现行有关质量验收规范“合格”要求</w:t>
      </w:r>
    </w:p>
    <w:p w14:paraId="2611E047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四、招标内容和实施要求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520D85C1">
      <w:pPr>
        <w:spacing w:line="360" w:lineRule="auto"/>
        <w:ind w:firstLine="240" w:firstLineChars="100"/>
        <w:rPr>
          <w:rFonts w:hint="default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清运至黄土层</w:t>
      </w:r>
    </w:p>
    <w:p w14:paraId="0DB9EB68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运输单价最高限价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027E1C4F">
      <w:pPr>
        <w:numPr>
          <w:ilvl w:val="0"/>
          <w:numId w:val="0"/>
        </w:numPr>
        <w:ind w:firstLine="240" w:firstLineChars="1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装车及外运（自行消纳）费：109.84</w:t>
      </w:r>
      <w:r>
        <w:rPr>
          <w:rFonts w:hint="default"/>
          <w:b w:val="0"/>
          <w:bCs w:val="0"/>
          <w:lang w:val="en-US" w:eastAsia="zh-CN"/>
        </w:rPr>
        <w:t>元/</w:t>
      </w:r>
      <w:r>
        <w:rPr>
          <w:rFonts w:hint="eastAsia"/>
          <w:b w:val="0"/>
          <w:bCs w:val="0"/>
          <w:lang w:val="en-US" w:eastAsia="zh-CN"/>
        </w:rPr>
        <w:t>m³</w:t>
      </w:r>
    </w:p>
    <w:p w14:paraId="634AFA9B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款项结算</w:t>
      </w:r>
    </w:p>
    <w:p w14:paraId="5D077EDF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（1）支付方式：项目经甲方验收合格后据实结算，最终结算金额不得超过项目采购预算金额。</w:t>
      </w:r>
    </w:p>
    <w:p w14:paraId="44C5A4FC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（2）结算方式：银行转账。</w:t>
      </w:r>
    </w:p>
    <w:p w14:paraId="33E0BFD5">
      <w:pPr>
        <w:pStyle w:val="2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（3）结算单位：由甲方负责结算，每次付款前，乙方开具相应价款的增值税发票交甲方。</w:t>
      </w:r>
      <w:bookmarkEnd w:id="0"/>
    </w:p>
    <w:p w14:paraId="6A64281C">
      <w:pP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七、其他要求</w:t>
      </w:r>
    </w:p>
    <w:p w14:paraId="7976C715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中标单位负责垃圾整理和装卸，消纳的服务内容，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如在本项目服务过程中存在国家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法律法规要求的其他相关资质要求，中标人应委托给具备相关合法资质的企业。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2026-04-01T07:52:27Z</dcterms:created>
  <dc:creator>哈哈</dc:creator>
  <cp:lastModifiedBy>quanquan</cp:lastModifiedBy>
  <dcterms:modified xsi:type="dcterms:W3CDTF">2026-04-01T07:53:04Z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D5C81198267B4835997E61C8462F7149_12</vt:lpwstr>
  </property>
</Properties>
</file>