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C2E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采购需求</w:t>
      </w:r>
      <w:bookmarkEnd w:id="1"/>
    </w:p>
    <w:p w14:paraId="4DD294D3">
      <w:pPr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本次拟采购的</w:t>
      </w:r>
      <w:r>
        <w:rPr>
          <w:rFonts w:hint="eastAsia" w:ascii="仿宋_GB2312" w:hAnsi="仿宋_GB2312" w:eastAsia="仿宋_GB2312" w:cs="仿宋_GB2312"/>
          <w:sz w:val="28"/>
          <w:szCs w:val="28"/>
        </w:rPr>
        <w:t>水电装备特种加工实训系统以水电装备制造技术为核心，整合快走丝切割加工区、慢走丝切割加工区、中走丝切割加工区以及激光内雕加工区等功能区域，结合加工参数管理与设备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系统实现全流程精细化管控。支持从简单零件切割加工、复杂轮廓精密加工到特种表面处理的全链条实践教学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具体详见采购文件。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20CE1"/>
    <w:rsid w:val="561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2026-04-02T12:12:00Z</dcterms:created>
  <dc:creator>赋玖</dc:creator>
  <cp:lastModifiedBy>赋玖</cp:lastModifiedBy>
  <dcterms:modified xsi:type="dcterms:W3CDTF">2026-04-02T12:12:57Z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F4A6967EC8A946F5BBED4E0F19354D06_11</vt:lpwstr>
  </property>
  <property fmtid="{D5CDD505-2E9C-101B-9397-08002B2CF9AE}" pid="4" name="KSOTemplateDocerSaveRecord">
    <vt:lpwstr>eyJoZGlkIjoiNTZmMTI0MjliODdhMWFlMTE4MjAwODBmMDhkZDQ5MDQiLCJ1c2VySWQiOiIzMzc4NTAzOTgifQ==</vt:lpwstr>
  </property>
</Properties>
</file>