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271BB">
      <w:pPr>
        <w:pStyle w:val="4"/>
        <w:jc w:val="center"/>
        <w:outlineLvl w:val="1"/>
        <w:rPr>
          <w:rFonts w:hint="default" w:eastAsiaTheme="minorEastAsia"/>
          <w:lang w:val="en-US" w:eastAsia="zh-CN"/>
        </w:rPr>
      </w:pPr>
      <w:r>
        <w:rPr>
          <w:rFonts w:hint="eastAsia" w:ascii="仿宋_GB2312" w:hAnsi="仿宋_GB2312" w:eastAsia="仿宋_GB2312" w:cs="仿宋_GB2312"/>
          <w:b/>
          <w:sz w:val="36"/>
          <w:lang w:val="en-US" w:eastAsia="zh-CN"/>
        </w:rPr>
        <w:t>采购需求</w:t>
      </w:r>
    </w:p>
    <w:p w14:paraId="752B0D15">
      <w:pPr>
        <w:pStyle w:val="4"/>
        <w:outlineLvl w:val="2"/>
      </w:pPr>
      <w:r>
        <w:rPr>
          <w:rFonts w:ascii="仿宋_GB2312" w:hAnsi="仿宋_GB2312" w:eastAsia="仿宋_GB2312" w:cs="仿宋_GB2312"/>
          <w:b/>
          <w:sz w:val="28"/>
        </w:rPr>
        <w:t>技术要求</w:t>
      </w:r>
    </w:p>
    <w:p w14:paraId="60978420">
      <w:pPr>
        <w:pStyle w:val="4"/>
      </w:pPr>
      <w:r>
        <w:rPr>
          <w:rFonts w:ascii="仿宋_GB2312" w:hAnsi="仿宋_GB2312" w:eastAsia="仿宋_GB2312" w:cs="仿宋_GB2312"/>
        </w:rPr>
        <w:t>采购包1：</w:t>
      </w:r>
    </w:p>
    <w:p w14:paraId="5A0E0955">
      <w:pPr>
        <w:pStyle w:val="4"/>
      </w:pPr>
      <w:r>
        <w:rPr>
          <w:rFonts w:ascii="仿宋_GB2312" w:hAnsi="仿宋_GB2312" w:eastAsia="仿宋_GB2312" w:cs="仿宋_GB2312"/>
        </w:rPr>
        <w:t>标的名称：网站群及人员身份平台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19"/>
        <w:gridCol w:w="2420"/>
        <w:gridCol w:w="3683"/>
      </w:tblGrid>
      <w:tr w14:paraId="49EFF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504A98D">
            <w:pPr>
              <w:pStyle w:val="4"/>
            </w:pPr>
            <w:r>
              <w:rPr>
                <w:rFonts w:ascii="仿宋_GB2312" w:hAnsi="仿宋_GB2312" w:eastAsia="仿宋_GB2312" w:cs="仿宋_GB2312"/>
              </w:rPr>
              <w:t xml:space="preserve"> 序号</w:t>
            </w:r>
          </w:p>
        </w:tc>
        <w:tc>
          <w:tcPr>
            <w:tcW w:w="2769" w:type="dxa"/>
          </w:tcPr>
          <w:p w14:paraId="72B19DCE">
            <w:pPr>
              <w:pStyle w:val="4"/>
            </w:pPr>
            <w:r>
              <w:rPr>
                <w:rFonts w:ascii="仿宋_GB2312" w:hAnsi="仿宋_GB2312" w:eastAsia="仿宋_GB2312" w:cs="仿宋_GB2312"/>
              </w:rPr>
              <w:t xml:space="preserve"> 参数性质</w:t>
            </w:r>
          </w:p>
        </w:tc>
        <w:tc>
          <w:tcPr>
            <w:tcW w:w="2769" w:type="dxa"/>
          </w:tcPr>
          <w:p w14:paraId="645CDC11">
            <w:pPr>
              <w:pStyle w:val="4"/>
            </w:pPr>
            <w:r>
              <w:rPr>
                <w:rFonts w:ascii="仿宋_GB2312" w:hAnsi="仿宋_GB2312" w:eastAsia="仿宋_GB2312" w:cs="仿宋_GB2312"/>
              </w:rPr>
              <w:t xml:space="preserve"> 技术参数与性能指标</w:t>
            </w:r>
          </w:p>
        </w:tc>
      </w:tr>
      <w:tr w14:paraId="1E8FF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C85B247">
            <w:pPr>
              <w:pStyle w:val="4"/>
            </w:pPr>
            <w:r>
              <w:rPr>
                <w:rFonts w:ascii="仿宋_GB2312" w:hAnsi="仿宋_GB2312" w:eastAsia="仿宋_GB2312" w:cs="仿宋_GB2312"/>
              </w:rPr>
              <w:t>1</w:t>
            </w:r>
          </w:p>
        </w:tc>
        <w:tc>
          <w:tcPr>
            <w:tcW w:w="2769" w:type="dxa"/>
          </w:tcPr>
          <w:p w14:paraId="10B054D2"/>
        </w:tc>
        <w:tc>
          <w:tcPr>
            <w:tcW w:w="2769" w:type="dxa"/>
          </w:tcPr>
          <w:p w14:paraId="251C25C1">
            <w:pPr>
              <w:pStyle w:val="4"/>
              <w:jc w:val="both"/>
            </w:pPr>
            <w:r>
              <w:rPr>
                <w:rFonts w:ascii="仿宋_GB2312" w:hAnsi="仿宋_GB2312" w:eastAsia="仿宋_GB2312" w:cs="仿宋_GB2312"/>
                <w:sz w:val="20"/>
              </w:rPr>
              <w:t>一、项目概述：</w:t>
            </w:r>
          </w:p>
          <w:p w14:paraId="6C8F4FBB">
            <w:pPr>
              <w:pStyle w:val="4"/>
            </w:pPr>
            <w:r>
              <w:rPr>
                <w:rFonts w:ascii="仿宋_GB2312" w:hAnsi="仿宋_GB2312" w:eastAsia="仿宋_GB2312" w:cs="仿宋_GB2312"/>
              </w:rPr>
              <w:t xml:space="preserve">    </w:t>
            </w:r>
            <w:r>
              <w:rPr>
                <w:rFonts w:ascii="仿宋_GB2312" w:hAnsi="仿宋_GB2312" w:eastAsia="仿宋_GB2312" w:cs="仿宋_GB2312"/>
                <w:sz w:val="20"/>
              </w:rPr>
              <w:t xml:space="preserve"> 西安戏剧学院网站群及人员身份平台项目。项目设四大核心子项：全量人员管理平台构建全关联人员权威数据源，打造标准化身份中台，搭建规范的校园认证体系；数据资产容灾备份系统购置50TB 规格国产备份一体机，保障数据安全并适配未来扩容；网站群系统按等保 2.0 二级标准建设，完成官网设计；一条接入西安戏剧学院网络与信息管理处机房指定设备的语音中继线路1条，实现语音接入PSTN网络。</w:t>
            </w:r>
          </w:p>
        </w:tc>
      </w:tr>
      <w:tr w14:paraId="501D9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81EA9CC">
            <w:pPr>
              <w:pStyle w:val="4"/>
            </w:pPr>
            <w:r>
              <w:rPr>
                <w:rFonts w:ascii="仿宋_GB2312" w:hAnsi="仿宋_GB2312" w:eastAsia="仿宋_GB2312" w:cs="仿宋_GB2312"/>
              </w:rPr>
              <w:t>2</w:t>
            </w:r>
          </w:p>
        </w:tc>
        <w:tc>
          <w:tcPr>
            <w:tcW w:w="2769" w:type="dxa"/>
          </w:tcPr>
          <w:p w14:paraId="6940B6F9"/>
        </w:tc>
        <w:tc>
          <w:tcPr>
            <w:tcW w:w="2769" w:type="dxa"/>
          </w:tcPr>
          <w:p w14:paraId="44662DFC">
            <w:pPr>
              <w:pStyle w:val="4"/>
              <w:jc w:val="both"/>
            </w:pPr>
            <w:r>
              <w:rPr>
                <w:rFonts w:ascii="仿宋_GB2312" w:hAnsi="仿宋_GB2312" w:eastAsia="仿宋_GB2312" w:cs="仿宋_GB2312"/>
                <w:sz w:val="20"/>
              </w:rPr>
              <w:t>二、项目参数</w:t>
            </w:r>
          </w:p>
          <w:p w14:paraId="6859994A">
            <w:pPr>
              <w:pStyle w:val="4"/>
              <w:jc w:val="both"/>
            </w:pPr>
            <w:r>
              <w:rPr>
                <w:rFonts w:ascii="仿宋_GB2312" w:hAnsi="仿宋_GB2312" w:eastAsia="仿宋_GB2312" w:cs="仿宋_GB2312"/>
                <w:b/>
                <w:sz w:val="20"/>
              </w:rPr>
              <w:t>（一）全量人员管理平台参数</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30"/>
              <w:gridCol w:w="411"/>
              <w:gridCol w:w="1984"/>
            </w:tblGrid>
            <w:tr w14:paraId="6DA0F9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6A2FEB9">
                  <w:pPr>
                    <w:pStyle w:val="4"/>
                    <w:jc w:val="center"/>
                  </w:pPr>
                  <w:r>
                    <w:rPr>
                      <w:rFonts w:ascii="仿宋_GB2312" w:hAnsi="仿宋_GB2312" w:eastAsia="仿宋_GB2312" w:cs="仿宋_GB2312"/>
                      <w:b/>
                      <w:color w:val="000000"/>
                      <w:sz w:val="20"/>
                    </w:rPr>
                    <w:t>序号</w:t>
                  </w:r>
                </w:p>
              </w:tc>
              <w:tc>
                <w:tcPr>
                  <w:tcW w:w="2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80FC0E9">
                  <w:pPr>
                    <w:pStyle w:val="4"/>
                    <w:jc w:val="center"/>
                  </w:pPr>
                  <w:r>
                    <w:rPr>
                      <w:rFonts w:ascii="仿宋_GB2312" w:hAnsi="仿宋_GB2312" w:eastAsia="仿宋_GB2312" w:cs="仿宋_GB2312"/>
                      <w:b/>
                      <w:color w:val="000000"/>
                      <w:sz w:val="20"/>
                    </w:rPr>
                    <w:t>指标项</w:t>
                  </w:r>
                </w:p>
              </w:tc>
              <w:tc>
                <w:tcPr>
                  <w:tcW w:w="19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F5B61E6">
                  <w:pPr>
                    <w:pStyle w:val="4"/>
                    <w:ind w:firstLine="402"/>
                    <w:jc w:val="center"/>
                  </w:pPr>
                  <w:r>
                    <w:rPr>
                      <w:rFonts w:ascii="仿宋_GB2312" w:hAnsi="仿宋_GB2312" w:eastAsia="仿宋_GB2312" w:cs="仿宋_GB2312"/>
                      <w:b/>
                      <w:color w:val="000000"/>
                      <w:sz w:val="20"/>
                    </w:rPr>
                    <w:t>指标要求</w:t>
                  </w:r>
                </w:p>
              </w:tc>
            </w:tr>
            <w:tr w14:paraId="457F86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911FBA">
                  <w:pPr>
                    <w:pStyle w:val="4"/>
                    <w:ind w:left="420"/>
                    <w:jc w:val="right"/>
                  </w:pPr>
                  <w:r>
                    <w:rPr>
                      <w:rFonts w:ascii="仿宋_GB2312" w:hAnsi="仿宋_GB2312" w:eastAsia="仿宋_GB2312" w:cs="仿宋_GB2312"/>
                      <w:color w:val="000000"/>
                      <w:sz w:val="20"/>
                    </w:rPr>
                    <w:t>1.</w:t>
                  </w:r>
                </w:p>
              </w:tc>
              <w:tc>
                <w:tcPr>
                  <w:tcW w:w="2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186DC6">
                  <w:pPr>
                    <w:pStyle w:val="4"/>
                    <w:jc w:val="center"/>
                  </w:pPr>
                  <w:r>
                    <w:rPr>
                      <w:rFonts w:ascii="仿宋_GB2312" w:hAnsi="仿宋_GB2312" w:eastAsia="仿宋_GB2312" w:cs="仿宋_GB2312"/>
                      <w:color w:val="000000"/>
                      <w:sz w:val="20"/>
                    </w:rPr>
                    <w:t>身份采集与同步</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4B636E">
                  <w:pPr>
                    <w:pStyle w:val="4"/>
                  </w:pPr>
                  <w:r>
                    <w:rPr>
                      <w:rFonts w:ascii="仿宋_GB2312" w:hAnsi="仿宋_GB2312" w:eastAsia="仿宋_GB2312" w:cs="仿宋_GB2312"/>
                      <w:color w:val="000000"/>
                      <w:sz w:val="20"/>
                    </w:rPr>
                    <w:t>1）支持通过从其他身份源系统采集、EXCEL导入各类型人员的数据；支持直接从数据中心、业务系统、应用系统等进行采集，支持建立一数一源规范，同一字段来自多源时，覆盖优先级遵从身份类型优先级；</w:t>
                  </w:r>
                </w:p>
                <w:p w14:paraId="47F95F0D">
                  <w:pPr>
                    <w:pStyle w:val="4"/>
                  </w:pPr>
                  <w:r>
                    <w:rPr>
                      <w:rFonts w:ascii="仿宋_GB2312" w:hAnsi="仿宋_GB2312" w:eastAsia="仿宋_GB2312" w:cs="仿宋_GB2312"/>
                      <w:color w:val="000000"/>
                      <w:sz w:val="20"/>
                    </w:rPr>
                    <w:t>2）支持与企业微信对接，能够向企业微信同步通讯录数据，具体要求如下：</w:t>
                  </w:r>
                </w:p>
                <w:p w14:paraId="559744D1">
                  <w:pPr>
                    <w:pStyle w:val="4"/>
                    <w:ind w:left="420"/>
                    <w:jc w:val="left"/>
                  </w:pPr>
                  <w:r>
                    <w:rPr>
                      <w:rFonts w:ascii="仿宋_GB2312" w:hAnsi="仿宋_GB2312" w:eastAsia="仿宋_GB2312" w:cs="仿宋_GB2312"/>
                      <w:sz w:val="20"/>
                    </w:rPr>
                    <w:t>a.定义身份数据群组为“企业微信通讯录”；</w:t>
                  </w:r>
                </w:p>
                <w:p w14:paraId="5EC9FA61">
                  <w:pPr>
                    <w:pStyle w:val="4"/>
                    <w:ind w:left="420"/>
                    <w:jc w:val="left"/>
                  </w:pPr>
                  <w:r>
                    <w:rPr>
                      <w:rFonts w:ascii="仿宋_GB2312" w:hAnsi="仿宋_GB2312" w:eastAsia="仿宋_GB2312" w:cs="仿宋_GB2312"/>
                      <w:sz w:val="20"/>
                    </w:rPr>
                    <w:t>b.身份数据群组中增加节点，节点中增加所有学校涉及到的人员类型；</w:t>
                  </w:r>
                </w:p>
                <w:p w14:paraId="4A1E7DB4">
                  <w:pPr>
                    <w:pStyle w:val="4"/>
                    <w:ind w:left="420"/>
                  </w:pPr>
                  <w:r>
                    <w:rPr>
                      <w:rFonts w:ascii="仿宋_GB2312" w:hAnsi="仿宋_GB2312" w:eastAsia="仿宋_GB2312" w:cs="仿宋_GB2312"/>
                      <w:color w:val="000000"/>
                      <w:sz w:val="20"/>
                    </w:rPr>
                    <w:t>c.构建数据推送任务，推送任务名称为“企业微信通讯录推送”、对接参数配置选择企业微信模板，选择模板后自动列出需要配置的对接参数、选择需推送的身份类型为“</w:t>
                  </w:r>
                  <w:r>
                    <w:rPr>
                      <w:rFonts w:ascii="仿宋_GB2312" w:hAnsi="仿宋_GB2312" w:eastAsia="仿宋_GB2312" w:cs="仿宋_GB2312"/>
                      <w:sz w:val="20"/>
                    </w:rPr>
                    <w:t>所有学校涉及到的人员类型</w:t>
                  </w:r>
                  <w:r>
                    <w:rPr>
                      <w:rFonts w:ascii="仿宋_GB2312" w:hAnsi="仿宋_GB2312" w:eastAsia="仿宋_GB2312" w:cs="仿宋_GB2312"/>
                      <w:color w:val="000000"/>
                      <w:sz w:val="20"/>
                    </w:rPr>
                    <w:t>”。</w:t>
                  </w:r>
                </w:p>
              </w:tc>
            </w:tr>
            <w:tr w14:paraId="0A3926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CDB955">
                  <w:pPr>
                    <w:pStyle w:val="4"/>
                    <w:ind w:left="420"/>
                    <w:jc w:val="right"/>
                  </w:pPr>
                  <w:r>
                    <w:rPr>
                      <w:rFonts w:ascii="仿宋_GB2312" w:hAnsi="仿宋_GB2312" w:eastAsia="仿宋_GB2312" w:cs="仿宋_GB2312"/>
                      <w:color w:val="000000"/>
                      <w:sz w:val="20"/>
                    </w:rPr>
                    <w:t>2.</w:t>
                  </w:r>
                </w:p>
              </w:tc>
              <w:tc>
                <w:tcPr>
                  <w:tcW w:w="2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2DF43E">
                  <w:pPr>
                    <w:pStyle w:val="4"/>
                    <w:jc w:val="center"/>
                  </w:pPr>
                  <w:r>
                    <w:rPr>
                      <w:rFonts w:ascii="仿宋_GB2312" w:hAnsi="仿宋_GB2312" w:eastAsia="仿宋_GB2312" w:cs="仿宋_GB2312"/>
                      <w:color w:val="000000"/>
                      <w:sz w:val="20"/>
                    </w:rPr>
                    <w:t>人员管理</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0A842A">
                  <w:pPr>
                    <w:pStyle w:val="4"/>
                  </w:pPr>
                  <w:r>
                    <w:rPr>
                      <w:rFonts w:ascii="仿宋_GB2312" w:hAnsi="仿宋_GB2312" w:eastAsia="仿宋_GB2312" w:cs="仿宋_GB2312"/>
                      <w:color w:val="000000"/>
                      <w:sz w:val="20"/>
                    </w:rPr>
                    <w:t>1）▲支持在用户新增或修改时触发同人识别、合并，如以下两类场景：</w:t>
                  </w:r>
                </w:p>
                <w:p w14:paraId="5BF7D59C">
                  <w:pPr>
                    <w:pStyle w:val="4"/>
                    <w:ind w:firstLine="425"/>
                  </w:pPr>
                  <w:r>
                    <w:rPr>
                      <w:rFonts w:ascii="仿宋_GB2312" w:hAnsi="仿宋_GB2312" w:eastAsia="仿宋_GB2312" w:cs="仿宋_GB2312"/>
                      <w:color w:val="000000"/>
                      <w:sz w:val="20"/>
                    </w:rPr>
                    <w:t>a.新增：新开户身份类型为研究生的账号，其身份证件号、护照号、港澳台居民来往内地通行证与在平台中一个身份类型为本科生的账号相同，开户时弹出两个账号的信息，提示操作者需要确认是否进行同人合并，选择确认后两个账户合并形成一个多身份账号；</w:t>
                  </w:r>
                </w:p>
                <w:p w14:paraId="12F7A5F7">
                  <w:pPr>
                    <w:pStyle w:val="4"/>
                    <w:ind w:firstLine="400"/>
                  </w:pPr>
                  <w:r>
                    <w:rPr>
                      <w:rFonts w:ascii="仿宋_GB2312" w:hAnsi="仿宋_GB2312" w:eastAsia="仿宋_GB2312" w:cs="仿宋_GB2312"/>
                      <w:color w:val="000000"/>
                      <w:sz w:val="20"/>
                    </w:rPr>
                    <w:t>b.修改：身份类型为研究生的一名用户身份证件号、护照号、港澳台居民来往内地通行证基础信息填写错误，为用户修改身份信息、身份证件号后，其身份证件号与在平台中身份类型为本科生的用户相同，确认修改时弹出两个账号的信息，提示操作者需要确认是否进行同人合并。提供产品功能界面截图并加盖公章；</w:t>
                  </w:r>
                </w:p>
                <w:p w14:paraId="3572518A">
                  <w:pPr>
                    <w:pStyle w:val="4"/>
                  </w:pPr>
                  <w:r>
                    <w:rPr>
                      <w:rFonts w:ascii="仿宋_GB2312" w:hAnsi="仿宋_GB2312" w:eastAsia="仿宋_GB2312" w:cs="仿宋_GB2312"/>
                      <w:color w:val="000000"/>
                      <w:sz w:val="20"/>
                    </w:rPr>
                    <w:t>2）具备人员管理功能，能够对人员的各种基本元数据进行管理（包含但不仅限于姓名、性别、年龄、身份证号、所属部门），元数据字段可根据学校情况进行灵活增删改；</w:t>
                  </w:r>
                </w:p>
              </w:tc>
            </w:tr>
            <w:tr w14:paraId="40911A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A4B50">
                  <w:pPr>
                    <w:pStyle w:val="4"/>
                    <w:ind w:left="420"/>
                    <w:jc w:val="right"/>
                  </w:pPr>
                  <w:r>
                    <w:rPr>
                      <w:rFonts w:ascii="仿宋_GB2312" w:hAnsi="仿宋_GB2312" w:eastAsia="仿宋_GB2312" w:cs="仿宋_GB2312"/>
                      <w:color w:val="000000"/>
                      <w:sz w:val="20"/>
                    </w:rPr>
                    <w:t>3.</w:t>
                  </w:r>
                </w:p>
              </w:tc>
              <w:tc>
                <w:tcPr>
                  <w:tcW w:w="2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B53EDE">
                  <w:pPr>
                    <w:pStyle w:val="4"/>
                    <w:jc w:val="both"/>
                  </w:pPr>
                  <w:r>
                    <w:rPr>
                      <w:rFonts w:ascii="仿宋_GB2312" w:hAnsi="仿宋_GB2312" w:eastAsia="仿宋_GB2312" w:cs="仿宋_GB2312"/>
                      <w:color w:val="000000"/>
                      <w:sz w:val="20"/>
                    </w:rPr>
                    <w:t>身份标准管理</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566510">
                  <w:pPr>
                    <w:pStyle w:val="4"/>
                  </w:pPr>
                  <w:r>
                    <w:rPr>
                      <w:rFonts w:ascii="仿宋_GB2312" w:hAnsi="仿宋_GB2312" w:eastAsia="仿宋_GB2312" w:cs="仿宋_GB2312"/>
                      <w:color w:val="000000"/>
                      <w:sz w:val="20"/>
                    </w:rPr>
                    <w:t>1）支持身份数据标准的管理和扩展，支持新增或设置组织内各种身份类型，组织身份类型可设定代码。支持每种身份类型独立设置对应身份ID、身份状态、身份属性集合；支持设置ID编码策略；支持设置和扩展身份状态、身份属性，身份状态可分不同生涯阶段分类管理，身份属性可设置约束关系、唯一性关系，可设置不同值空间类型内容，比如字符串、数值、时间等；</w:t>
                  </w:r>
                </w:p>
                <w:p w14:paraId="1241BEEF">
                  <w:pPr>
                    <w:pStyle w:val="4"/>
                  </w:pPr>
                  <w:r>
                    <w:rPr>
                      <w:rFonts w:ascii="仿宋_GB2312" w:hAnsi="仿宋_GB2312" w:eastAsia="仿宋_GB2312" w:cs="仿宋_GB2312"/>
                      <w:color w:val="000000"/>
                      <w:sz w:val="20"/>
                    </w:rPr>
                    <w:t>2）支持在平台中配置多ID体系，将ID分为人员ID、组织身份ID、应用ID。其中，人ID需包含：证件号如中国大陆公民身份证、港澳台居民来往内地通行证、护照；个人通讯信息ID如手机号；个人社交ID如企业微信ID。组织身份ID需包含不同身份类型的不同编码规则的ID；</w:t>
                  </w:r>
                </w:p>
                <w:p w14:paraId="5FE3C9BD">
                  <w:pPr>
                    <w:pStyle w:val="4"/>
                  </w:pPr>
                  <w:r>
                    <w:rPr>
                      <w:rFonts w:ascii="仿宋_GB2312" w:hAnsi="仿宋_GB2312" w:eastAsia="仿宋_GB2312" w:cs="仿宋_GB2312"/>
                      <w:color w:val="000000"/>
                      <w:sz w:val="20"/>
                    </w:rPr>
                    <w:t>3）支持身份标签管理，可以新增标签分类，包括分类名称、上级分类；支持在分类中新增标签，包括标签名称、所属分类、所属部门等</w:t>
                  </w:r>
                </w:p>
                <w:p w14:paraId="231D3B36">
                  <w:pPr>
                    <w:pStyle w:val="4"/>
                  </w:pPr>
                  <w:r>
                    <w:rPr>
                      <w:rFonts w:ascii="仿宋_GB2312" w:hAnsi="仿宋_GB2312" w:eastAsia="仿宋_GB2312" w:cs="仿宋_GB2312"/>
                      <w:color w:val="000000"/>
                      <w:sz w:val="20"/>
                    </w:rPr>
                    <w:t>4）支持新建标签规则，包括规则名称、人员类型、规则配置等，其中规则配置包括所有可根据国标或校标中的字段进行筛选，支持通过“与”和“或”规则定义标签，为符合规则的用户自动匹配标签</w:t>
                  </w:r>
                </w:p>
                <w:p w14:paraId="7D06EC45">
                  <w:pPr>
                    <w:pStyle w:val="4"/>
                  </w:pPr>
                  <w:r>
                    <w:rPr>
                      <w:rFonts w:ascii="仿宋_GB2312" w:hAnsi="仿宋_GB2312" w:eastAsia="仿宋_GB2312" w:cs="仿宋_GB2312"/>
                      <w:color w:val="000000"/>
                      <w:sz w:val="20"/>
                    </w:rPr>
                    <w:t>5）支持身份标签补充名单，可以根据组织部门、身份标签、人员类型、岗位、职务职称对人员进行检索，选择人员后，可以将该人员添加至补充名单中</w:t>
                  </w:r>
                </w:p>
                <w:p w14:paraId="7427E1E9">
                  <w:pPr>
                    <w:pStyle w:val="4"/>
                  </w:pPr>
                  <w:r>
                    <w:rPr>
                      <w:rFonts w:ascii="仿宋_GB2312" w:hAnsi="仿宋_GB2312" w:eastAsia="仿宋_GB2312" w:cs="仿宋_GB2312"/>
                      <w:color w:val="000000"/>
                      <w:sz w:val="20"/>
                    </w:rPr>
                    <w:t>6）支持对学校现有身份数据标准体系、ID体系的兼容，能够根据人员大类、大类下细分小类的方式在平台内呈现身份数据标准，并支持身份数据标准中人员类型、状态、字段的灵活扩展；</w:t>
                  </w:r>
                </w:p>
                <w:p w14:paraId="14126C8D">
                  <w:pPr>
                    <w:pStyle w:val="4"/>
                  </w:pPr>
                  <w:r>
                    <w:rPr>
                      <w:rFonts w:ascii="仿宋_GB2312" w:hAnsi="仿宋_GB2312" w:eastAsia="仿宋_GB2312" w:cs="仿宋_GB2312"/>
                      <w:color w:val="000000"/>
                      <w:sz w:val="20"/>
                    </w:rPr>
                    <w:t>7）支持设置身份标签的管理部门与权限</w:t>
                  </w:r>
                </w:p>
                <w:p w14:paraId="2B0F8D0C">
                  <w:pPr>
                    <w:pStyle w:val="4"/>
                  </w:pPr>
                  <w:r>
                    <w:rPr>
                      <w:rFonts w:ascii="仿宋_GB2312" w:hAnsi="仿宋_GB2312" w:eastAsia="仿宋_GB2312" w:cs="仿宋_GB2312"/>
                      <w:color w:val="000000"/>
                      <w:sz w:val="20"/>
                    </w:rPr>
                    <w:t>8）支持在人员管理页面直接通过标签进行筛选</w:t>
                  </w:r>
                </w:p>
                <w:p w14:paraId="3E12C068">
                  <w:pPr>
                    <w:pStyle w:val="4"/>
                  </w:pPr>
                  <w:r>
                    <w:rPr>
                      <w:rFonts w:ascii="仿宋_GB2312" w:hAnsi="仿宋_GB2312" w:eastAsia="仿宋_GB2312" w:cs="仿宋_GB2312"/>
                      <w:color w:val="000000"/>
                      <w:sz w:val="20"/>
                    </w:rPr>
                    <w:t>9）支持身份数据群组在增加群组节点时，直接引用身份标签作为数据来源</w:t>
                  </w:r>
                </w:p>
              </w:tc>
            </w:tr>
            <w:tr w14:paraId="3E263C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374EA1">
                  <w:pPr>
                    <w:pStyle w:val="4"/>
                    <w:ind w:left="420"/>
                    <w:jc w:val="right"/>
                  </w:pPr>
                  <w:r>
                    <w:rPr>
                      <w:rFonts w:ascii="仿宋_GB2312" w:hAnsi="仿宋_GB2312" w:eastAsia="仿宋_GB2312" w:cs="仿宋_GB2312"/>
                      <w:color w:val="000000"/>
                      <w:sz w:val="20"/>
                    </w:rPr>
                    <w:t>4.</w:t>
                  </w:r>
                </w:p>
              </w:tc>
              <w:tc>
                <w:tcPr>
                  <w:tcW w:w="2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0C30E3">
                  <w:pPr>
                    <w:pStyle w:val="4"/>
                    <w:jc w:val="both"/>
                  </w:pPr>
                  <w:r>
                    <w:rPr>
                      <w:rFonts w:ascii="仿宋_GB2312" w:hAnsi="仿宋_GB2312" w:eastAsia="仿宋_GB2312" w:cs="仿宋_GB2312"/>
                      <w:color w:val="000000"/>
                      <w:sz w:val="20"/>
                    </w:rPr>
                    <w:t>统一身份认证</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75DA22">
                  <w:pPr>
                    <w:pStyle w:val="4"/>
                  </w:pPr>
                  <w:r>
                    <w:rPr>
                      <w:rFonts w:ascii="仿宋_GB2312" w:hAnsi="仿宋_GB2312" w:eastAsia="仿宋_GB2312" w:cs="仿宋_GB2312"/>
                      <w:color w:val="000000"/>
                      <w:sz w:val="20"/>
                    </w:rPr>
                    <w:t>1）支持设置灵活的单点登录认证方式，包含但不限于学校账号（工号/学号/邮箱/手机）、微信扫码、企业微信、钉钉认证、飞书认证、短信动态码、人脸认证（支持跟现有人脸库对接）等；</w:t>
                  </w:r>
                </w:p>
                <w:p w14:paraId="08D2D357">
                  <w:pPr>
                    <w:pStyle w:val="4"/>
                  </w:pPr>
                  <w:r>
                    <w:rPr>
                      <w:rFonts w:ascii="仿宋_GB2312" w:hAnsi="仿宋_GB2312" w:eastAsia="仿宋_GB2312" w:cs="仿宋_GB2312"/>
                      <w:color w:val="000000"/>
                      <w:sz w:val="20"/>
                    </w:rPr>
                    <w:t>2）提供多因子认证功能，支持设置两种或两种以上认证方式同时认证生效，针对不同应用认证时，支持匹配和采用不同的认证策略；如A系统采用微信认证、B系统采用用户名密码加短信验证码认证；</w:t>
                  </w:r>
                </w:p>
                <w:p w14:paraId="19A20700">
                  <w:pPr>
                    <w:pStyle w:val="4"/>
                  </w:pPr>
                  <w:r>
                    <w:rPr>
                      <w:rFonts w:ascii="仿宋_GB2312" w:hAnsi="仿宋_GB2312" w:eastAsia="仿宋_GB2312" w:cs="仿宋_GB2312"/>
                      <w:color w:val="000000"/>
                      <w:sz w:val="20"/>
                    </w:rPr>
                    <w:t>3）支持常用的单点登录（SSO）协议，包括CAS、SAML、OAuth、OpenID等，并支持与企业微信实现企业微信内免认证，并在系统内置企业微信免认证的配置模板，需提供与现有应用系统对接承诺函并加盖公章；</w:t>
                  </w:r>
                </w:p>
              </w:tc>
            </w:tr>
            <w:tr w14:paraId="2D2600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039FB8">
                  <w:pPr>
                    <w:pStyle w:val="4"/>
                    <w:ind w:left="420"/>
                    <w:jc w:val="right"/>
                  </w:pPr>
                  <w:r>
                    <w:rPr>
                      <w:rFonts w:ascii="仿宋_GB2312" w:hAnsi="仿宋_GB2312" w:eastAsia="仿宋_GB2312" w:cs="仿宋_GB2312"/>
                      <w:color w:val="000000"/>
                      <w:sz w:val="20"/>
                    </w:rPr>
                    <w:t>5.</w:t>
                  </w:r>
                </w:p>
              </w:tc>
              <w:tc>
                <w:tcPr>
                  <w:tcW w:w="2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02610E">
                  <w:pPr>
                    <w:pStyle w:val="4"/>
                    <w:jc w:val="both"/>
                  </w:pPr>
                  <w:r>
                    <w:rPr>
                      <w:rFonts w:ascii="仿宋_GB2312" w:hAnsi="仿宋_GB2312" w:eastAsia="仿宋_GB2312" w:cs="仿宋_GB2312"/>
                      <w:color w:val="000000"/>
                      <w:sz w:val="20"/>
                    </w:rPr>
                    <w:t>认证配置</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5862F2">
                  <w:pPr>
                    <w:pStyle w:val="4"/>
                  </w:pPr>
                  <w:r>
                    <w:rPr>
                      <w:rFonts w:ascii="仿宋_GB2312" w:hAnsi="仿宋_GB2312" w:eastAsia="仿宋_GB2312" w:cs="仿宋_GB2312"/>
                      <w:color w:val="000000"/>
                      <w:sz w:val="20"/>
                    </w:rPr>
                    <w:t>1）支持多身份用户使用证件号、手机号、企业微信扫码认证</w:t>
                  </w:r>
                  <w:r>
                    <w:rPr>
                      <w:rFonts w:ascii="仿宋_GB2312" w:hAnsi="仿宋_GB2312" w:eastAsia="仿宋_GB2312" w:cs="仿宋_GB2312"/>
                      <w:color w:val="0000FF"/>
                      <w:sz w:val="20"/>
                      <w:u w:val="single"/>
                    </w:rPr>
                    <w:t>等</w:t>
                  </w:r>
                  <w:r>
                    <w:rPr>
                      <w:rFonts w:ascii="仿宋_GB2312" w:hAnsi="仿宋_GB2312" w:eastAsia="仿宋_GB2312" w:cs="仿宋_GB2312"/>
                      <w:color w:val="000000"/>
                      <w:sz w:val="20"/>
                    </w:rPr>
                    <w:t>登录时，可以选择身份ID进入系统，并随时切换其他身份ID访问应用，并提供在线切换身份ID的H5页面，可供门户等平台嵌入调用；</w:t>
                  </w:r>
                </w:p>
                <w:p w14:paraId="2BD2CE9B">
                  <w:pPr>
                    <w:pStyle w:val="4"/>
                  </w:pPr>
                  <w:r>
                    <w:rPr>
                      <w:rFonts w:ascii="仿宋_GB2312" w:hAnsi="仿宋_GB2312" w:eastAsia="仿宋_GB2312" w:cs="仿宋_GB2312"/>
                      <w:color w:val="000000"/>
                      <w:sz w:val="20"/>
                    </w:rPr>
                    <w:t>2）提供不少于10种认证方式的内置配置模板，可在系统内可视化查看已开启和未开启的认证方式</w:t>
                  </w:r>
                </w:p>
                <w:p w14:paraId="49531644">
                  <w:pPr>
                    <w:pStyle w:val="4"/>
                  </w:pPr>
                  <w:r>
                    <w:rPr>
                      <w:rFonts w:ascii="仿宋_GB2312" w:hAnsi="仿宋_GB2312" w:eastAsia="仿宋_GB2312" w:cs="仿宋_GB2312"/>
                      <w:color w:val="000000"/>
                      <w:sz w:val="20"/>
                    </w:rPr>
                    <w:t>3）平台支持LDAP密码学习，在系统内置LDAP密码学习配置的模板</w:t>
                  </w:r>
                </w:p>
                <w:p w14:paraId="6DB4868E">
                  <w:pPr>
                    <w:pStyle w:val="4"/>
                  </w:pPr>
                  <w:r>
                    <w:rPr>
                      <w:rFonts w:ascii="仿宋_GB2312" w:hAnsi="仿宋_GB2312" w:eastAsia="仿宋_GB2312" w:cs="仿宋_GB2312"/>
                      <w:color w:val="000000"/>
                      <w:sz w:val="20"/>
                    </w:rPr>
                    <w:t>4）支持查看在线会话，并可通过账号、姓名、认证IP等方式进行查询</w:t>
                  </w:r>
                </w:p>
                <w:p w14:paraId="2C8FD2D8">
                  <w:pPr>
                    <w:pStyle w:val="4"/>
                  </w:pPr>
                  <w:r>
                    <w:rPr>
                      <w:rFonts w:ascii="仿宋_GB2312" w:hAnsi="仿宋_GB2312" w:eastAsia="仿宋_GB2312" w:cs="仿宋_GB2312"/>
                      <w:color w:val="000000"/>
                      <w:sz w:val="20"/>
                    </w:rPr>
                    <w:t>5）系统支持强制个人信息完善，可要求账号强制绑定手机号的实名制信息；</w:t>
                  </w:r>
                </w:p>
                <w:p w14:paraId="6FB2DCF1">
                  <w:pPr>
                    <w:pStyle w:val="4"/>
                  </w:pPr>
                  <w:r>
                    <w:rPr>
                      <w:rFonts w:ascii="仿宋_GB2312" w:hAnsi="仿宋_GB2312" w:eastAsia="仿宋_GB2312" w:cs="仿宋_GB2312"/>
                      <w:color w:val="000000"/>
                      <w:sz w:val="20"/>
                    </w:rPr>
                    <w:t>6）支持用户自定义选择通过学工号、手机号、邮箱、身份证号、护照号等，作为登录时可用作用户名的数据项，支持多选和任意组合；</w:t>
                  </w:r>
                </w:p>
                <w:p w14:paraId="5A9687AA">
                  <w:pPr>
                    <w:pStyle w:val="4"/>
                  </w:pPr>
                  <w:r>
                    <w:rPr>
                      <w:rFonts w:ascii="仿宋_GB2312" w:hAnsi="仿宋_GB2312" w:eastAsia="仿宋_GB2312" w:cs="仿宋_GB2312"/>
                      <w:color w:val="000000"/>
                      <w:sz w:val="20"/>
                    </w:rPr>
                    <w:t>7）支持配置口令安全认证策略，包括口令强度配置、初始口令规则配置、口令历史保留策略。支持对统一身份认证系统内弱密码进行识别，并对弱密码用户进行重置为强密码、账号休眠或失效等措施；</w:t>
                  </w:r>
                </w:p>
                <w:p w14:paraId="5BC51628">
                  <w:pPr>
                    <w:pStyle w:val="4"/>
                  </w:pPr>
                  <w:r>
                    <w:rPr>
                      <w:rFonts w:ascii="仿宋_GB2312" w:hAnsi="仿宋_GB2312" w:eastAsia="仿宋_GB2312" w:cs="仿宋_GB2312"/>
                      <w:color w:val="000000"/>
                      <w:sz w:val="20"/>
                    </w:rPr>
                    <w:t>8）配置单点登录对接时，支持不同类型的用户返回不同的配置信息，图形化配置认证后获取的信息；</w:t>
                  </w:r>
                </w:p>
                <w:p w14:paraId="36A9E38F">
                  <w:pPr>
                    <w:pStyle w:val="4"/>
                  </w:pPr>
                  <w:r>
                    <w:rPr>
                      <w:rFonts w:ascii="仿宋_GB2312" w:hAnsi="仿宋_GB2312" w:eastAsia="仿宋_GB2312" w:cs="仿宋_GB2312"/>
                      <w:color w:val="000000"/>
                      <w:sz w:val="20"/>
                    </w:rPr>
                    <w:t>9）支持不同应用可以配置调用不同的认证API，支持不同类型的用户返回不同的配置信息；图形化配置认证后获取的信息；</w:t>
                  </w:r>
                </w:p>
                <w:p w14:paraId="44141990">
                  <w:pPr>
                    <w:pStyle w:val="4"/>
                  </w:pPr>
                  <w:r>
                    <w:rPr>
                      <w:rFonts w:ascii="仿宋_GB2312" w:hAnsi="仿宋_GB2312" w:eastAsia="仿宋_GB2312" w:cs="仿宋_GB2312"/>
                      <w:color w:val="000000"/>
                      <w:sz w:val="20"/>
                    </w:rPr>
                    <w:t>10）支持图形化的委托鉴权的资源配置，将对外提供服务的接口、数据结构、功能列表注册上来即可使用平台提供的鉴权服务</w:t>
                  </w:r>
                </w:p>
                <w:p w14:paraId="35735BA5">
                  <w:pPr>
                    <w:pStyle w:val="4"/>
                  </w:pPr>
                  <w:r>
                    <w:rPr>
                      <w:rFonts w:ascii="仿宋_GB2312" w:hAnsi="仿宋_GB2312" w:eastAsia="仿宋_GB2312" w:cs="仿宋_GB2312"/>
                      <w:color w:val="000000"/>
                      <w:sz w:val="20"/>
                    </w:rPr>
                    <w:t>11）支持图形化配置使用的外部资源，配置应用所需的服务接口与业务数据；支持配置使用时效、资源服务与接口资源</w:t>
                  </w:r>
                </w:p>
                <w:p w14:paraId="73C38462">
                  <w:pPr>
                    <w:pStyle w:val="4"/>
                  </w:pPr>
                  <w:r>
                    <w:rPr>
                      <w:rFonts w:ascii="仿宋_GB2312" w:hAnsi="仿宋_GB2312" w:eastAsia="仿宋_GB2312" w:cs="仿宋_GB2312"/>
                      <w:color w:val="000000"/>
                      <w:sz w:val="20"/>
                    </w:rPr>
                    <w:t>12）支持配置口令安全认证策略，包括口令强度配置、初始口令规则配置、口令历史保留策略、强制用户修改口令策略</w:t>
                  </w:r>
                </w:p>
                <w:p w14:paraId="0367A5B5">
                  <w:pPr>
                    <w:pStyle w:val="4"/>
                  </w:pPr>
                  <w:r>
                    <w:rPr>
                      <w:rFonts w:ascii="仿宋_GB2312" w:hAnsi="仿宋_GB2312" w:eastAsia="仿宋_GB2312" w:cs="仿宋_GB2312"/>
                      <w:color w:val="000000"/>
                      <w:sz w:val="20"/>
                    </w:rPr>
                    <w:t>13）支持开启/关闭强制用户修改口令策略，当用户登录系统的口令不符合安全策略时，可以强制用户对口令进行修改</w:t>
                  </w:r>
                </w:p>
                <w:p w14:paraId="75223832">
                  <w:pPr>
                    <w:pStyle w:val="4"/>
                  </w:pPr>
                  <w:r>
                    <w:rPr>
                      <w:rFonts w:ascii="仿宋_GB2312" w:hAnsi="仿宋_GB2312" w:eastAsia="仿宋_GB2312" w:cs="仿宋_GB2312"/>
                      <w:color w:val="000000"/>
                      <w:sz w:val="20"/>
                    </w:rPr>
                    <w:t>14）可以配置账户安全策略，包括是否锁定账号、自动锁定条件、自动解锁条件，支持配置指定账号的解锁条件等</w:t>
                  </w:r>
                </w:p>
              </w:tc>
            </w:tr>
            <w:tr w14:paraId="040F7A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C0C04B">
                  <w:pPr>
                    <w:pStyle w:val="4"/>
                    <w:ind w:left="420"/>
                    <w:jc w:val="right"/>
                  </w:pPr>
                  <w:r>
                    <w:rPr>
                      <w:rFonts w:ascii="仿宋_GB2312" w:hAnsi="仿宋_GB2312" w:eastAsia="仿宋_GB2312" w:cs="仿宋_GB2312"/>
                      <w:color w:val="000000"/>
                      <w:sz w:val="20"/>
                    </w:rPr>
                    <w:t>6.</w:t>
                  </w:r>
                </w:p>
              </w:tc>
              <w:tc>
                <w:tcPr>
                  <w:tcW w:w="2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ACAD56">
                  <w:pPr>
                    <w:pStyle w:val="4"/>
                    <w:jc w:val="both"/>
                  </w:pPr>
                  <w:r>
                    <w:rPr>
                      <w:rFonts w:ascii="仿宋_GB2312" w:hAnsi="仿宋_GB2312" w:eastAsia="仿宋_GB2312" w:cs="仿宋_GB2312"/>
                      <w:color w:val="000000"/>
                      <w:sz w:val="20"/>
                    </w:rPr>
                    <w:t>权限管理</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BE5CE1">
                  <w:pPr>
                    <w:pStyle w:val="4"/>
                  </w:pPr>
                  <w:r>
                    <w:rPr>
                      <w:rFonts w:ascii="仿宋_GB2312" w:hAnsi="仿宋_GB2312" w:eastAsia="仿宋_GB2312" w:cs="仿宋_GB2312"/>
                      <w:color w:val="000000"/>
                      <w:sz w:val="20"/>
                    </w:rPr>
                    <w:t>1）支持设置不同身份类型的不同状态的认证许可；支持设置不同身份类型中不同状态访问应用的入口授权；</w:t>
                  </w:r>
                </w:p>
                <w:p w14:paraId="49F715DC">
                  <w:pPr>
                    <w:pStyle w:val="4"/>
                  </w:pPr>
                  <w:r>
                    <w:rPr>
                      <w:rFonts w:ascii="仿宋_GB2312" w:hAnsi="仿宋_GB2312" w:eastAsia="仿宋_GB2312" w:cs="仿宋_GB2312"/>
                      <w:color w:val="000000"/>
                      <w:sz w:val="20"/>
                    </w:rPr>
                    <w:t>支持人员身份状态变更，认证登录时自动匹配对应的认证和入口授权；</w:t>
                  </w:r>
                </w:p>
                <w:p w14:paraId="4A3A0A8C">
                  <w:pPr>
                    <w:pStyle w:val="4"/>
                  </w:pPr>
                  <w:r>
                    <w:rPr>
                      <w:rFonts w:ascii="仿宋_GB2312" w:hAnsi="仿宋_GB2312" w:eastAsia="仿宋_GB2312" w:cs="仿宋_GB2312"/>
                      <w:color w:val="000000"/>
                      <w:sz w:val="20"/>
                    </w:rPr>
                    <w:t>2）▲支持设置身份状态事件，根据用户身份信息中字段变化执行相关权限管理操作；</w:t>
                  </w:r>
                </w:p>
                <w:p w14:paraId="57FDB3A9">
                  <w:pPr>
                    <w:pStyle w:val="4"/>
                  </w:pPr>
                  <w:r>
                    <w:rPr>
                      <w:rFonts w:ascii="仿宋_GB2312" w:hAnsi="仿宋_GB2312" w:eastAsia="仿宋_GB2312" w:cs="仿宋_GB2312"/>
                      <w:color w:val="000000"/>
                      <w:sz w:val="20"/>
                    </w:rPr>
                    <w:t>3）支持身份标准可添加新身份状态、编辑身份状态、删除身份状态，身份状态访问控制自动调整为新的状态，支持可视化配置认证许可和入口授权规则；</w:t>
                  </w:r>
                </w:p>
                <w:p w14:paraId="19A3766E">
                  <w:pPr>
                    <w:pStyle w:val="4"/>
                  </w:pPr>
                  <w:r>
                    <w:rPr>
                      <w:rFonts w:ascii="仿宋_GB2312" w:hAnsi="仿宋_GB2312" w:eastAsia="仿宋_GB2312" w:cs="仿宋_GB2312"/>
                      <w:color w:val="000000"/>
                      <w:sz w:val="20"/>
                    </w:rPr>
                    <w:t>4）▲支持设置感知人员身份信息变化后执行权限管理操作的监听任务；</w:t>
                  </w:r>
                </w:p>
              </w:tc>
            </w:tr>
            <w:tr w14:paraId="264783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415AFB">
                  <w:pPr>
                    <w:pStyle w:val="4"/>
                    <w:ind w:left="420"/>
                    <w:jc w:val="right"/>
                  </w:pPr>
                  <w:r>
                    <w:rPr>
                      <w:rFonts w:ascii="仿宋_GB2312" w:hAnsi="仿宋_GB2312" w:eastAsia="仿宋_GB2312" w:cs="仿宋_GB2312"/>
                      <w:color w:val="000000"/>
                      <w:sz w:val="20"/>
                    </w:rPr>
                    <w:t>7.</w:t>
                  </w:r>
                </w:p>
              </w:tc>
              <w:tc>
                <w:tcPr>
                  <w:tcW w:w="2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6A3D56">
                  <w:pPr>
                    <w:pStyle w:val="4"/>
                    <w:jc w:val="center"/>
                  </w:pPr>
                  <w:r>
                    <w:rPr>
                      <w:rFonts w:ascii="仿宋_GB2312" w:hAnsi="仿宋_GB2312" w:eastAsia="仿宋_GB2312" w:cs="仿宋_GB2312"/>
                      <w:color w:val="000000"/>
                      <w:sz w:val="20"/>
                    </w:rPr>
                    <w:t>身份数据编排与供给能力</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F7734E">
                  <w:pPr>
                    <w:pStyle w:val="4"/>
                  </w:pPr>
                  <w:r>
                    <w:rPr>
                      <w:rFonts w:ascii="仿宋_GB2312" w:hAnsi="仿宋_GB2312" w:eastAsia="仿宋_GB2312" w:cs="仿宋_GB2312"/>
                      <w:color w:val="000000"/>
                      <w:sz w:val="20"/>
                    </w:rPr>
                    <w:t>1）支持新建身份数据群组，可定义群组名称、群组分类、群组描述、节点编码规则，其中节点编码规则包括使用数据源的编码和使用数字编码；</w:t>
                  </w:r>
                </w:p>
                <w:p w14:paraId="63F066B4">
                  <w:pPr>
                    <w:pStyle w:val="4"/>
                  </w:pPr>
                  <w:r>
                    <w:rPr>
                      <w:rFonts w:ascii="仿宋_GB2312" w:hAnsi="仿宋_GB2312" w:eastAsia="仿宋_GB2312" w:cs="仿宋_GB2312"/>
                      <w:color w:val="000000"/>
                      <w:sz w:val="20"/>
                    </w:rPr>
                    <w:t>2）支持新增群组节点，包括引用数据的来源、上级节点、节点名称、节点编号等，其中引用数据的来源包括人员类型、组织部门、身份标签、正式岗位、虚拟岗位、职务职称；</w:t>
                  </w:r>
                </w:p>
                <w:p w14:paraId="369CA423">
                  <w:pPr>
                    <w:pStyle w:val="4"/>
                  </w:pPr>
                  <w:r>
                    <w:rPr>
                      <w:rFonts w:ascii="仿宋_GB2312" w:hAnsi="仿宋_GB2312" w:eastAsia="仿宋_GB2312" w:cs="仿宋_GB2312"/>
                      <w:color w:val="000000"/>
                      <w:sz w:val="20"/>
                    </w:rPr>
                    <w:t>3）支持设置节点编码规则为数据源的编码或使用数字编码，如选择数据源的编码，则增加群组节点时勾选与数据保持联动，节点编号可以随数据源的变更而自动更新；</w:t>
                  </w:r>
                </w:p>
                <w:p w14:paraId="45BE182F">
                  <w:pPr>
                    <w:pStyle w:val="4"/>
                  </w:pPr>
                  <w:r>
                    <w:rPr>
                      <w:rFonts w:ascii="仿宋_GB2312" w:hAnsi="仿宋_GB2312" w:eastAsia="仿宋_GB2312" w:cs="仿宋_GB2312"/>
                      <w:color w:val="000000"/>
                      <w:sz w:val="20"/>
                    </w:rPr>
                    <w:t>4）支持构建数据推送任务，将身份数据群组推送到应用系统。定义推送任务中，需支持定义推送任务名称、对接参数配置、自动推送策略、推送数据配置。其中对接参数配置中需预置有企业微信、企业微信标签推送模板，选择模板后自动列出需要配置的对接参数、自动列出推送数据配置；</w:t>
                  </w:r>
                </w:p>
                <w:p w14:paraId="147B7DE8">
                  <w:pPr>
                    <w:pStyle w:val="4"/>
                  </w:pPr>
                  <w:r>
                    <w:rPr>
                      <w:rFonts w:ascii="仿宋_GB2312" w:hAnsi="仿宋_GB2312" w:eastAsia="仿宋_GB2312" w:cs="仿宋_GB2312"/>
                      <w:color w:val="000000"/>
                      <w:sz w:val="20"/>
                    </w:rPr>
                    <w:t>5）支持多种供给对接方式，如支持标准推送接口、LDAP、Restful、数据库等多种方式；</w:t>
                  </w:r>
                </w:p>
                <w:p w14:paraId="1AAFC639">
                  <w:pPr>
                    <w:pStyle w:val="4"/>
                  </w:pPr>
                  <w:r>
                    <w:rPr>
                      <w:rFonts w:ascii="仿宋_GB2312" w:hAnsi="仿宋_GB2312" w:eastAsia="仿宋_GB2312" w:cs="仿宋_GB2312"/>
                      <w:color w:val="000000"/>
                      <w:sz w:val="20"/>
                    </w:rPr>
                    <w:t>6）支持多种供给同步方式，可支持实时增量、定时增量和全量同步，可在功能界面配置；</w:t>
                  </w:r>
                </w:p>
              </w:tc>
            </w:tr>
            <w:tr w14:paraId="767DC5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789DAB">
                  <w:pPr>
                    <w:pStyle w:val="4"/>
                    <w:ind w:left="420"/>
                    <w:jc w:val="right"/>
                  </w:pPr>
                  <w:r>
                    <w:rPr>
                      <w:rFonts w:ascii="仿宋_GB2312" w:hAnsi="仿宋_GB2312" w:eastAsia="仿宋_GB2312" w:cs="仿宋_GB2312"/>
                      <w:color w:val="000000"/>
                      <w:sz w:val="20"/>
                    </w:rPr>
                    <w:t>8.</w:t>
                  </w:r>
                </w:p>
              </w:tc>
              <w:tc>
                <w:tcPr>
                  <w:tcW w:w="2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A56218">
                  <w:pPr>
                    <w:pStyle w:val="4"/>
                    <w:jc w:val="center"/>
                  </w:pPr>
                  <w:r>
                    <w:rPr>
                      <w:rFonts w:ascii="仿宋_GB2312" w:hAnsi="仿宋_GB2312" w:eastAsia="仿宋_GB2312" w:cs="仿宋_GB2312"/>
                      <w:color w:val="000000"/>
                      <w:sz w:val="20"/>
                    </w:rPr>
                    <w:t>实名核验</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38C271">
                  <w:pPr>
                    <w:pStyle w:val="4"/>
                  </w:pPr>
                  <w:r>
                    <w:rPr>
                      <w:rFonts w:ascii="仿宋_GB2312" w:hAnsi="仿宋_GB2312" w:eastAsia="仿宋_GB2312" w:cs="仿宋_GB2312"/>
                      <w:color w:val="000000"/>
                      <w:sz w:val="20"/>
                    </w:rPr>
                    <w:t>支持在用户激活账号时设置账号激活策略，支持不同类型用户采用不同的激活方式；</w:t>
                  </w:r>
                </w:p>
              </w:tc>
            </w:tr>
            <w:tr w14:paraId="608CEC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BCE880">
                  <w:pPr>
                    <w:pStyle w:val="4"/>
                    <w:ind w:left="420"/>
                    <w:jc w:val="right"/>
                  </w:pPr>
                  <w:r>
                    <w:rPr>
                      <w:rFonts w:ascii="仿宋_GB2312" w:hAnsi="仿宋_GB2312" w:eastAsia="仿宋_GB2312" w:cs="仿宋_GB2312"/>
                      <w:color w:val="000000"/>
                      <w:sz w:val="20"/>
                    </w:rPr>
                    <w:t>9.</w:t>
                  </w:r>
                </w:p>
              </w:tc>
              <w:tc>
                <w:tcPr>
                  <w:tcW w:w="2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11B9D4">
                  <w:pPr>
                    <w:pStyle w:val="4"/>
                    <w:jc w:val="center"/>
                  </w:pPr>
                  <w:r>
                    <w:rPr>
                      <w:rFonts w:ascii="仿宋_GB2312" w:hAnsi="仿宋_GB2312" w:eastAsia="仿宋_GB2312" w:cs="仿宋_GB2312"/>
                      <w:color w:val="000000"/>
                      <w:sz w:val="20"/>
                    </w:rPr>
                    <w:t>组织数据管理</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5CE032">
                  <w:pPr>
                    <w:pStyle w:val="4"/>
                  </w:pPr>
                  <w:r>
                    <w:rPr>
                      <w:rFonts w:ascii="仿宋_GB2312" w:hAnsi="仿宋_GB2312" w:eastAsia="仿宋_GB2312" w:cs="仿宋_GB2312"/>
                      <w:color w:val="000000"/>
                      <w:sz w:val="20"/>
                    </w:rPr>
                    <w:t>1）具备全院师生增删改操作，能够对全院师生的各种基本元数据进行管理（包含但不仅限于姓名、性别、年龄、身份证号、所属部门），元数据字段可根据学院自身情况进行灵活增删改</w:t>
                  </w:r>
                </w:p>
                <w:p w14:paraId="3E9DF03B">
                  <w:pPr>
                    <w:pStyle w:val="4"/>
                  </w:pPr>
                  <w:r>
                    <w:rPr>
                      <w:rFonts w:ascii="仿宋_GB2312" w:hAnsi="仿宋_GB2312" w:eastAsia="仿宋_GB2312" w:cs="仿宋_GB2312"/>
                      <w:color w:val="000000"/>
                      <w:sz w:val="20"/>
                    </w:rPr>
                    <w:t>2）支持多组织树的独立管理，如人事、学工、研究生等多种组织架构；各二级单位可以在各自的组织节点下管理各自的岗位编码、角色。支持组织内设置正式岗位信息、虚拟岗位信息、设置组织下设部门等</w:t>
                  </w:r>
                </w:p>
                <w:p w14:paraId="441EA639">
                  <w:pPr>
                    <w:pStyle w:val="4"/>
                  </w:pPr>
                  <w:r>
                    <w:rPr>
                      <w:rFonts w:ascii="仿宋_GB2312" w:hAnsi="仿宋_GB2312" w:eastAsia="仿宋_GB2312" w:cs="仿宋_GB2312"/>
                      <w:color w:val="000000"/>
                      <w:sz w:val="20"/>
                    </w:rPr>
                    <w:t>3）多组织岗位体系管理，信息中心及各业务单位可自行建立多组织、多结构的岗位体系以及虚拟组织，并将用户与岗位组织匹配，实现多层级多维度复杂架构的身份管理</w:t>
                  </w:r>
                </w:p>
                <w:p w14:paraId="0D078B83">
                  <w:pPr>
                    <w:pStyle w:val="4"/>
                  </w:pPr>
                  <w:r>
                    <w:rPr>
                      <w:rFonts w:ascii="仿宋_GB2312" w:hAnsi="仿宋_GB2312" w:eastAsia="仿宋_GB2312" w:cs="仿宋_GB2312"/>
                      <w:color w:val="000000"/>
                      <w:sz w:val="20"/>
                    </w:rPr>
                    <w:t>4）支持在人员管理界面按照组织部门、身份标签、岗位进行筛选，并支持按照人员类型查看人员</w:t>
                  </w:r>
                </w:p>
              </w:tc>
            </w:tr>
            <w:tr w14:paraId="6FF43D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4C9632">
                  <w:pPr>
                    <w:pStyle w:val="4"/>
                    <w:ind w:left="420"/>
                    <w:jc w:val="right"/>
                  </w:pPr>
                  <w:r>
                    <w:rPr>
                      <w:rFonts w:ascii="仿宋_GB2312" w:hAnsi="仿宋_GB2312" w:eastAsia="仿宋_GB2312" w:cs="仿宋_GB2312"/>
                      <w:color w:val="000000"/>
                      <w:sz w:val="20"/>
                    </w:rPr>
                    <w:t>10.</w:t>
                  </w:r>
                </w:p>
              </w:tc>
              <w:tc>
                <w:tcPr>
                  <w:tcW w:w="2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32F3FA">
                  <w:pPr>
                    <w:pStyle w:val="4"/>
                    <w:jc w:val="center"/>
                  </w:pPr>
                  <w:r>
                    <w:rPr>
                      <w:rFonts w:ascii="仿宋_GB2312" w:hAnsi="仿宋_GB2312" w:eastAsia="仿宋_GB2312" w:cs="仿宋_GB2312"/>
                      <w:color w:val="000000"/>
                      <w:sz w:val="20"/>
                    </w:rPr>
                    <w:t>系统架构及日志管理</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F37FA5">
                  <w:pPr>
                    <w:pStyle w:val="4"/>
                  </w:pPr>
                  <w:r>
                    <w:rPr>
                      <w:rFonts w:ascii="仿宋_GB2312" w:hAnsi="仿宋_GB2312" w:eastAsia="仿宋_GB2312" w:cs="仿宋_GB2312"/>
                      <w:color w:val="000000"/>
                      <w:sz w:val="20"/>
                    </w:rPr>
                    <w:t>1）采用基于k8s容器化部署，以保证平台并发能力随时无感知扩容；</w:t>
                  </w:r>
                </w:p>
                <w:p w14:paraId="013A017A">
                  <w:pPr>
                    <w:pStyle w:val="4"/>
                  </w:pPr>
                  <w:r>
                    <w:rPr>
                      <w:rFonts w:ascii="仿宋_GB2312" w:hAnsi="仿宋_GB2312" w:eastAsia="仿宋_GB2312" w:cs="仿宋_GB2312"/>
                      <w:color w:val="000000"/>
                      <w:sz w:val="20"/>
                    </w:rPr>
                    <w:t>2）具备完整的身份日志管理功能，至少包括用户认证日志、管理员平台操作日志、平台接口日志、</w:t>
                  </w:r>
                </w:p>
              </w:tc>
            </w:tr>
            <w:tr w14:paraId="0F2AE7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69E337">
                  <w:pPr>
                    <w:pStyle w:val="4"/>
                    <w:ind w:left="420"/>
                    <w:jc w:val="right"/>
                  </w:pPr>
                  <w:r>
                    <w:rPr>
                      <w:rFonts w:ascii="仿宋_GB2312" w:hAnsi="仿宋_GB2312" w:eastAsia="仿宋_GB2312" w:cs="仿宋_GB2312"/>
                      <w:color w:val="000000"/>
                      <w:sz w:val="20"/>
                    </w:rPr>
                    <w:t>11.</w:t>
                  </w:r>
                </w:p>
              </w:tc>
              <w:tc>
                <w:tcPr>
                  <w:tcW w:w="2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04EF5E">
                  <w:pPr>
                    <w:pStyle w:val="4"/>
                    <w:jc w:val="center"/>
                  </w:pPr>
                  <w:r>
                    <w:rPr>
                      <w:rFonts w:ascii="仿宋_GB2312" w:hAnsi="仿宋_GB2312" w:eastAsia="仿宋_GB2312" w:cs="仿宋_GB2312"/>
                      <w:color w:val="000000"/>
                      <w:sz w:val="20"/>
                    </w:rPr>
                    <w:t>授权及系统配置要求</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075154">
                  <w:pPr>
                    <w:pStyle w:val="4"/>
                  </w:pPr>
                  <w:r>
                    <w:rPr>
                      <w:rFonts w:ascii="仿宋_GB2312" w:hAnsi="仿宋_GB2312" w:eastAsia="仿宋_GB2312" w:cs="仿宋_GB2312"/>
                      <w:color w:val="000000"/>
                      <w:sz w:val="20"/>
                    </w:rPr>
                    <w:t>1）开户数量≥5000</w:t>
                  </w:r>
                </w:p>
                <w:p w14:paraId="1BA5577F">
                  <w:pPr>
                    <w:pStyle w:val="4"/>
                  </w:pPr>
                  <w:r>
                    <w:rPr>
                      <w:rFonts w:ascii="仿宋_GB2312" w:hAnsi="仿宋_GB2312" w:eastAsia="仿宋_GB2312" w:cs="仿宋_GB2312"/>
                      <w:color w:val="000000"/>
                      <w:sz w:val="20"/>
                    </w:rPr>
                    <w:t>2）支持实人核验接口或提供定制化支持对接</w:t>
                  </w:r>
                </w:p>
                <w:p w14:paraId="08DB6B00">
                  <w:pPr>
                    <w:pStyle w:val="4"/>
                  </w:pPr>
                  <w:r>
                    <w:rPr>
                      <w:rFonts w:ascii="仿宋_GB2312" w:hAnsi="仿宋_GB2312" w:eastAsia="仿宋_GB2312" w:cs="仿宋_GB2312"/>
                      <w:color w:val="000000"/>
                      <w:sz w:val="20"/>
                    </w:rPr>
                    <w:t>3）提供统一身份认证监控看板，对认证情况、用户账号情况等信息通过看板进行可视化呈现，在实施统一身份认证系统期间能够通过看板呈现应用对接情况；</w:t>
                  </w:r>
                </w:p>
                <w:p w14:paraId="3810FB00">
                  <w:pPr>
                    <w:pStyle w:val="4"/>
                  </w:pPr>
                  <w:r>
                    <w:rPr>
                      <w:rFonts w:ascii="仿宋_GB2312" w:hAnsi="仿宋_GB2312" w:eastAsia="仿宋_GB2312" w:cs="仿宋_GB2312"/>
                      <w:color w:val="000000"/>
                      <w:sz w:val="20"/>
                    </w:rPr>
                    <w:t>4）提供新手引导功能，开启后可在用户浏览器首次进入统一认证页面时进行分步骤的引导；</w:t>
                  </w:r>
                </w:p>
                <w:p w14:paraId="28F5E393">
                  <w:pPr>
                    <w:pStyle w:val="4"/>
                  </w:pPr>
                  <w:r>
                    <w:rPr>
                      <w:rFonts w:ascii="仿宋_GB2312" w:hAnsi="仿宋_GB2312" w:eastAsia="仿宋_GB2312" w:cs="仿宋_GB2312"/>
                      <w:color w:val="000000"/>
                      <w:sz w:val="20"/>
                    </w:rPr>
                    <w:t>5）支持对统一身份认证首页样式进行后台配置，支持两种及以上页面风格切换，支持登录框布局配置、支持设置背景图、Logo、登录页面文字；</w:t>
                  </w:r>
                </w:p>
                <w:p w14:paraId="18A05F05">
                  <w:pPr>
                    <w:pStyle w:val="4"/>
                  </w:pPr>
                  <w:r>
                    <w:rPr>
                      <w:rFonts w:ascii="仿宋_GB2312" w:hAnsi="仿宋_GB2312" w:eastAsia="仿宋_GB2312" w:cs="仿宋_GB2312"/>
                      <w:color w:val="000000"/>
                      <w:sz w:val="20"/>
                    </w:rPr>
                    <w:t>6）支持配置登录页PC端、PAD端、移动端公告</w:t>
                  </w:r>
                </w:p>
                <w:p w14:paraId="0456E17A">
                  <w:pPr>
                    <w:pStyle w:val="4"/>
                  </w:pPr>
                  <w:r>
                    <w:rPr>
                      <w:rFonts w:ascii="仿宋_GB2312" w:hAnsi="仿宋_GB2312" w:eastAsia="仿宋_GB2312" w:cs="仿宋_GB2312"/>
                      <w:color w:val="000000"/>
                      <w:sz w:val="20"/>
                    </w:rPr>
                    <w:t>7）支持消息服务对接，提供配置页面，可显示平台已经对接的邮件消息服务、短信消息服务</w:t>
                  </w:r>
                </w:p>
                <w:p w14:paraId="62E22BDE">
                  <w:pPr>
                    <w:pStyle w:val="4"/>
                  </w:pPr>
                  <w:r>
                    <w:rPr>
                      <w:rFonts w:ascii="仿宋_GB2312" w:hAnsi="仿宋_GB2312" w:eastAsia="仿宋_GB2312" w:cs="仿宋_GB2312"/>
                      <w:color w:val="000000"/>
                      <w:sz w:val="20"/>
                    </w:rPr>
                    <w:t>8）提供个人中心，支持用户自助查看个人信息、管理平台绑定手机、自助修改登录密码、绑定/解绑企业微信；</w:t>
                  </w:r>
                </w:p>
              </w:tc>
            </w:tr>
            <w:tr w14:paraId="3E7C9F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85B67E">
                  <w:pPr>
                    <w:pStyle w:val="4"/>
                    <w:ind w:left="420"/>
                    <w:jc w:val="right"/>
                  </w:pPr>
                  <w:r>
                    <w:rPr>
                      <w:rFonts w:ascii="仿宋_GB2312" w:hAnsi="仿宋_GB2312" w:eastAsia="仿宋_GB2312" w:cs="仿宋_GB2312"/>
                      <w:color w:val="000000"/>
                      <w:sz w:val="20"/>
                    </w:rPr>
                    <w:t>12.</w:t>
                  </w:r>
                </w:p>
              </w:tc>
              <w:tc>
                <w:tcPr>
                  <w:tcW w:w="2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12A06C">
                  <w:pPr>
                    <w:pStyle w:val="4"/>
                    <w:jc w:val="center"/>
                  </w:pPr>
                  <w:r>
                    <w:rPr>
                      <w:rFonts w:ascii="仿宋_GB2312" w:hAnsi="仿宋_GB2312" w:eastAsia="仿宋_GB2312" w:cs="仿宋_GB2312"/>
                      <w:color w:val="000000"/>
                      <w:sz w:val="20"/>
                    </w:rPr>
                    <w:t>系统成熟度要求</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0A489D">
                  <w:pPr>
                    <w:pStyle w:val="4"/>
                  </w:pPr>
                  <w:r>
                    <w:rPr>
                      <w:rFonts w:ascii="仿宋_GB2312" w:hAnsi="仿宋_GB2312" w:eastAsia="仿宋_GB2312" w:cs="仿宋_GB2312"/>
                      <w:color w:val="000000"/>
                      <w:sz w:val="20"/>
                    </w:rPr>
                    <w:t>1）提供身份认证产品软件著作权登记证书复印件并加盖公章。</w:t>
                  </w:r>
                </w:p>
                <w:p w14:paraId="5542736D">
                  <w:pPr>
                    <w:pStyle w:val="4"/>
                  </w:pPr>
                  <w:r>
                    <w:rPr>
                      <w:rFonts w:ascii="仿宋_GB2312" w:hAnsi="仿宋_GB2312" w:eastAsia="仿宋_GB2312" w:cs="仿宋_GB2312"/>
                      <w:color w:val="000000"/>
                      <w:sz w:val="20"/>
                    </w:rPr>
                    <w:t>2）提供第三方检测报告，测试报告内容中包含软件架构、功能性、人脸识别、身份标签、推送服务等功能；</w:t>
                  </w:r>
                </w:p>
                <w:p w14:paraId="5B8F55D1">
                  <w:pPr>
                    <w:pStyle w:val="4"/>
                  </w:pPr>
                  <w:r>
                    <w:rPr>
                      <w:rFonts w:ascii="仿宋_GB2312" w:hAnsi="仿宋_GB2312" w:eastAsia="仿宋_GB2312" w:cs="仿宋_GB2312"/>
                      <w:color w:val="000000"/>
                      <w:sz w:val="20"/>
                    </w:rPr>
                    <w:t>3）产品符合网络安全等级保护二级及以上要求，提供备案证明材料复印件证明。</w:t>
                  </w:r>
                </w:p>
              </w:tc>
            </w:tr>
          </w:tbl>
          <w:p w14:paraId="3EA8447A">
            <w:pPr>
              <w:pStyle w:val="4"/>
              <w:jc w:val="both"/>
            </w:pPr>
            <w:r>
              <w:rPr>
                <w:rFonts w:ascii="仿宋_GB2312" w:hAnsi="仿宋_GB2312" w:eastAsia="仿宋_GB2312" w:cs="仿宋_GB2312"/>
                <w:b/>
                <w:sz w:val="20"/>
              </w:rPr>
              <w:t>（二）数据资产容灾备份系统参数</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30"/>
              <w:gridCol w:w="411"/>
              <w:gridCol w:w="411"/>
              <w:gridCol w:w="1710"/>
            </w:tblGrid>
            <w:tr w14:paraId="77517E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6E8A001">
                  <w:pPr>
                    <w:pStyle w:val="4"/>
                    <w:jc w:val="center"/>
                  </w:pPr>
                  <w:r>
                    <w:rPr>
                      <w:rFonts w:ascii="仿宋_GB2312" w:hAnsi="仿宋_GB2312" w:eastAsia="仿宋_GB2312" w:cs="仿宋_GB2312"/>
                      <w:b/>
                      <w:color w:val="000000"/>
                      <w:sz w:val="20"/>
                    </w:rPr>
                    <w:t>序号</w:t>
                  </w:r>
                </w:p>
              </w:tc>
              <w:tc>
                <w:tcPr>
                  <w:tcW w:w="3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20C2CC4">
                  <w:pPr>
                    <w:pStyle w:val="4"/>
                    <w:jc w:val="center"/>
                  </w:pPr>
                  <w:r>
                    <w:rPr>
                      <w:rFonts w:ascii="仿宋_GB2312" w:hAnsi="仿宋_GB2312" w:eastAsia="仿宋_GB2312" w:cs="仿宋_GB2312"/>
                      <w:b/>
                      <w:color w:val="000000"/>
                      <w:sz w:val="20"/>
                    </w:rPr>
                    <w:t>子项</w:t>
                  </w:r>
                </w:p>
              </w:tc>
              <w:tc>
                <w:tcPr>
                  <w:tcW w:w="35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4C63466">
                  <w:pPr>
                    <w:pStyle w:val="4"/>
                    <w:jc w:val="center"/>
                  </w:pPr>
                  <w:r>
                    <w:rPr>
                      <w:rFonts w:ascii="仿宋_GB2312" w:hAnsi="仿宋_GB2312" w:eastAsia="仿宋_GB2312" w:cs="仿宋_GB2312"/>
                      <w:b/>
                      <w:color w:val="000000"/>
                      <w:sz w:val="20"/>
                    </w:rPr>
                    <w:t>指标项</w:t>
                  </w:r>
                </w:p>
              </w:tc>
              <w:tc>
                <w:tcPr>
                  <w:tcW w:w="15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69A615D">
                  <w:pPr>
                    <w:pStyle w:val="4"/>
                    <w:ind w:firstLine="402"/>
                    <w:jc w:val="center"/>
                  </w:pPr>
                  <w:r>
                    <w:rPr>
                      <w:rFonts w:ascii="仿宋_GB2312" w:hAnsi="仿宋_GB2312" w:eastAsia="仿宋_GB2312" w:cs="仿宋_GB2312"/>
                      <w:b/>
                      <w:color w:val="000000"/>
                      <w:sz w:val="20"/>
                    </w:rPr>
                    <w:t>指标要求</w:t>
                  </w:r>
                </w:p>
              </w:tc>
            </w:tr>
            <w:tr w14:paraId="08A56B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BC8BFA">
                  <w:pPr>
                    <w:pStyle w:val="4"/>
                    <w:ind w:left="420"/>
                    <w:jc w:val="right"/>
                  </w:pPr>
                  <w:r>
                    <w:rPr>
                      <w:rFonts w:ascii="仿宋_GB2312" w:hAnsi="仿宋_GB2312" w:eastAsia="仿宋_GB2312" w:cs="仿宋_GB2312"/>
                      <w:color w:val="000000"/>
                      <w:sz w:val="20"/>
                    </w:rPr>
                    <w:t>13.</w:t>
                  </w:r>
                </w:p>
              </w:tc>
              <w:tc>
                <w:tcPr>
                  <w:tcW w:w="32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01BAA4">
                  <w:pPr>
                    <w:pStyle w:val="4"/>
                    <w:jc w:val="left"/>
                  </w:pPr>
                  <w:r>
                    <w:rPr>
                      <w:rFonts w:ascii="仿宋_GB2312" w:hAnsi="仿宋_GB2312" w:eastAsia="仿宋_GB2312" w:cs="仿宋_GB2312"/>
                      <w:color w:val="000000"/>
                      <w:sz w:val="20"/>
                    </w:rPr>
                    <w:t>硬件架构及配置</w:t>
                  </w:r>
                </w:p>
              </w:tc>
              <w:tc>
                <w:tcPr>
                  <w:tcW w:w="3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5A5806">
                  <w:pPr>
                    <w:pStyle w:val="4"/>
                    <w:jc w:val="center"/>
                  </w:pPr>
                  <w:r>
                    <w:rPr>
                      <w:rFonts w:ascii="仿宋_GB2312" w:hAnsi="仿宋_GB2312" w:eastAsia="仿宋_GB2312" w:cs="仿宋_GB2312"/>
                      <w:color w:val="000000"/>
                      <w:sz w:val="20"/>
                    </w:rPr>
                    <w:t>体系架构</w:t>
                  </w:r>
                </w:p>
              </w:tc>
              <w:tc>
                <w:tcPr>
                  <w:tcW w:w="1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B6F338">
                  <w:pPr>
                    <w:pStyle w:val="4"/>
                    <w:jc w:val="both"/>
                  </w:pPr>
                  <w:r>
                    <w:rPr>
                      <w:rFonts w:ascii="仿宋_GB2312" w:hAnsi="仿宋_GB2312" w:eastAsia="仿宋_GB2312" w:cs="仿宋_GB2312"/>
                      <w:color w:val="000000"/>
                      <w:sz w:val="20"/>
                    </w:rPr>
                    <w:t>▲配置两个备份节点，Active-Active架构，配置2颗国产CPU，物理核心≥16，主频≥2.50GHz；</w:t>
                  </w:r>
                </w:p>
              </w:tc>
            </w:tr>
            <w:tr w14:paraId="1992A2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3A33D8">
                  <w:pPr>
                    <w:pStyle w:val="4"/>
                    <w:ind w:left="420"/>
                    <w:jc w:val="right"/>
                  </w:pPr>
                  <w:r>
                    <w:rPr>
                      <w:rFonts w:ascii="仿宋_GB2312" w:hAnsi="仿宋_GB2312" w:eastAsia="仿宋_GB2312" w:cs="仿宋_GB2312"/>
                      <w:color w:val="000000"/>
                      <w:sz w:val="20"/>
                    </w:rPr>
                    <w:t>14.</w:t>
                  </w:r>
                </w:p>
              </w:tc>
              <w:tc>
                <w:tcPr>
                  <w:tcW w:w="326" w:type="dxa"/>
                  <w:vMerge w:val="continue"/>
                  <w:tcBorders>
                    <w:top w:val="nil"/>
                    <w:left w:val="single" w:color="000000" w:sz="4" w:space="0"/>
                    <w:bottom w:val="single" w:color="000000" w:sz="4" w:space="0"/>
                    <w:right w:val="single" w:color="000000" w:sz="4" w:space="0"/>
                  </w:tcBorders>
                </w:tcPr>
                <w:p w14:paraId="196CCDDF"/>
              </w:tc>
              <w:tc>
                <w:tcPr>
                  <w:tcW w:w="3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F04133">
                  <w:pPr>
                    <w:pStyle w:val="4"/>
                    <w:jc w:val="center"/>
                  </w:pPr>
                  <w:r>
                    <w:rPr>
                      <w:rFonts w:ascii="仿宋_GB2312" w:hAnsi="仿宋_GB2312" w:eastAsia="仿宋_GB2312" w:cs="仿宋_GB2312"/>
                      <w:color w:val="000000"/>
                      <w:sz w:val="20"/>
                    </w:rPr>
                    <w:t>可靠性</w:t>
                  </w:r>
                </w:p>
              </w:tc>
              <w:tc>
                <w:tcPr>
                  <w:tcW w:w="1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215958">
                  <w:pPr>
                    <w:pStyle w:val="4"/>
                    <w:jc w:val="both"/>
                  </w:pPr>
                  <w:r>
                    <w:rPr>
                      <w:rFonts w:ascii="仿宋_GB2312" w:hAnsi="仿宋_GB2312" w:eastAsia="仿宋_GB2312" w:cs="仿宋_GB2312"/>
                      <w:color w:val="000000"/>
                      <w:sz w:val="20"/>
                    </w:rPr>
                    <w:t>▲CPU、主板、通道、接口、电源、风扇等组件均配置两份，任一组件故障，数据不丢失，业务不中断；</w:t>
                  </w:r>
                </w:p>
              </w:tc>
            </w:tr>
            <w:tr w14:paraId="2A4B32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ED6C9F">
                  <w:pPr>
                    <w:pStyle w:val="4"/>
                    <w:ind w:left="420"/>
                    <w:jc w:val="right"/>
                  </w:pPr>
                  <w:r>
                    <w:rPr>
                      <w:rFonts w:ascii="仿宋_GB2312" w:hAnsi="仿宋_GB2312" w:eastAsia="仿宋_GB2312" w:cs="仿宋_GB2312"/>
                      <w:color w:val="000000"/>
                      <w:sz w:val="20"/>
                    </w:rPr>
                    <w:t>15.</w:t>
                  </w:r>
                </w:p>
              </w:tc>
              <w:tc>
                <w:tcPr>
                  <w:tcW w:w="326" w:type="dxa"/>
                  <w:vMerge w:val="continue"/>
                  <w:tcBorders>
                    <w:top w:val="nil"/>
                    <w:left w:val="single" w:color="000000" w:sz="4" w:space="0"/>
                    <w:bottom w:val="single" w:color="000000" w:sz="4" w:space="0"/>
                    <w:right w:val="single" w:color="000000" w:sz="4" w:space="0"/>
                  </w:tcBorders>
                </w:tcPr>
                <w:p w14:paraId="4BC3EAB0"/>
              </w:tc>
              <w:tc>
                <w:tcPr>
                  <w:tcW w:w="3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176ECB">
                  <w:pPr>
                    <w:pStyle w:val="4"/>
                    <w:jc w:val="both"/>
                  </w:pPr>
                  <w:r>
                    <w:rPr>
                      <w:rFonts w:ascii="仿宋_GB2312" w:hAnsi="仿宋_GB2312" w:eastAsia="仿宋_GB2312" w:cs="仿宋_GB2312"/>
                      <w:color w:val="000000"/>
                      <w:sz w:val="20"/>
                    </w:rPr>
                    <w:t>接口配置</w:t>
                  </w:r>
                </w:p>
              </w:tc>
              <w:tc>
                <w:tcPr>
                  <w:tcW w:w="1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AFC2DB">
                  <w:pPr>
                    <w:pStyle w:val="4"/>
                    <w:jc w:val="both"/>
                  </w:pPr>
                  <w:r>
                    <w:rPr>
                      <w:rFonts w:ascii="仿宋_GB2312" w:hAnsi="仿宋_GB2312" w:eastAsia="仿宋_GB2312" w:cs="仿宋_GB2312"/>
                      <w:color w:val="000000"/>
                      <w:sz w:val="20"/>
                    </w:rPr>
                    <w:t>单台设备配置≥8个10G接口（满配模块，支持25GE/10GE）；</w:t>
                  </w:r>
                </w:p>
              </w:tc>
            </w:tr>
            <w:tr w14:paraId="4E11F0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0ACF86">
                  <w:pPr>
                    <w:pStyle w:val="4"/>
                    <w:ind w:left="420"/>
                    <w:jc w:val="right"/>
                  </w:pPr>
                  <w:r>
                    <w:rPr>
                      <w:rFonts w:ascii="仿宋_GB2312" w:hAnsi="仿宋_GB2312" w:eastAsia="仿宋_GB2312" w:cs="仿宋_GB2312"/>
                      <w:color w:val="000000"/>
                      <w:sz w:val="20"/>
                    </w:rPr>
                    <w:t>16.</w:t>
                  </w:r>
                </w:p>
              </w:tc>
              <w:tc>
                <w:tcPr>
                  <w:tcW w:w="326" w:type="dxa"/>
                  <w:vMerge w:val="continue"/>
                  <w:tcBorders>
                    <w:top w:val="nil"/>
                    <w:left w:val="single" w:color="000000" w:sz="4" w:space="0"/>
                    <w:bottom w:val="single" w:color="000000" w:sz="4" w:space="0"/>
                    <w:right w:val="single" w:color="000000" w:sz="4" w:space="0"/>
                  </w:tcBorders>
                </w:tcPr>
                <w:p w14:paraId="5D90B4E0"/>
              </w:tc>
              <w:tc>
                <w:tcPr>
                  <w:tcW w:w="3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717314">
                  <w:pPr>
                    <w:pStyle w:val="4"/>
                    <w:jc w:val="both"/>
                  </w:pPr>
                  <w:r>
                    <w:rPr>
                      <w:rFonts w:ascii="仿宋_GB2312" w:hAnsi="仿宋_GB2312" w:eastAsia="仿宋_GB2312" w:cs="仿宋_GB2312"/>
                      <w:color w:val="000000"/>
                      <w:sz w:val="20"/>
                    </w:rPr>
                    <w:t>缓存及掉电保护配置</w:t>
                  </w:r>
                </w:p>
              </w:tc>
              <w:tc>
                <w:tcPr>
                  <w:tcW w:w="1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CB7A6B">
                  <w:pPr>
                    <w:pStyle w:val="4"/>
                  </w:pPr>
                  <w:r>
                    <w:rPr>
                      <w:rFonts w:ascii="仿宋_GB2312" w:hAnsi="仿宋_GB2312" w:eastAsia="仿宋_GB2312" w:cs="仿宋_GB2312"/>
                      <w:color w:val="000000"/>
                      <w:sz w:val="20"/>
                    </w:rPr>
                    <w:t>1）配置高速缓存≥128GB（缓存不包含SSD磁盘、闪存）；</w:t>
                  </w:r>
                </w:p>
                <w:p w14:paraId="307FE08C">
                  <w:pPr>
                    <w:pStyle w:val="4"/>
                  </w:pPr>
                  <w:r>
                    <w:rPr>
                      <w:rFonts w:ascii="仿宋_GB2312" w:hAnsi="仿宋_GB2312" w:eastAsia="仿宋_GB2312" w:cs="仿宋_GB2312"/>
                      <w:color w:val="000000"/>
                      <w:sz w:val="20"/>
                    </w:rPr>
                    <w:t>2）▲支持写缓存镜像，采用缓存降落技术，掉电后能够将缓存数据下刷到硬盘中进行永久保存；</w:t>
                  </w:r>
                </w:p>
              </w:tc>
            </w:tr>
            <w:tr w14:paraId="3F936F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8F554C">
                  <w:pPr>
                    <w:pStyle w:val="4"/>
                    <w:ind w:left="420"/>
                    <w:jc w:val="right"/>
                  </w:pPr>
                  <w:r>
                    <w:rPr>
                      <w:rFonts w:ascii="仿宋_GB2312" w:hAnsi="仿宋_GB2312" w:eastAsia="仿宋_GB2312" w:cs="仿宋_GB2312"/>
                      <w:color w:val="000000"/>
                      <w:sz w:val="20"/>
                    </w:rPr>
                    <w:t>17.</w:t>
                  </w:r>
                </w:p>
              </w:tc>
              <w:tc>
                <w:tcPr>
                  <w:tcW w:w="326" w:type="dxa"/>
                  <w:vMerge w:val="continue"/>
                  <w:tcBorders>
                    <w:top w:val="nil"/>
                    <w:left w:val="single" w:color="000000" w:sz="4" w:space="0"/>
                    <w:bottom w:val="single" w:color="000000" w:sz="4" w:space="0"/>
                    <w:right w:val="single" w:color="000000" w:sz="4" w:space="0"/>
                  </w:tcBorders>
                </w:tcPr>
                <w:p w14:paraId="5E1F1DE1"/>
              </w:tc>
              <w:tc>
                <w:tcPr>
                  <w:tcW w:w="3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B079B2">
                  <w:pPr>
                    <w:pStyle w:val="4"/>
                    <w:jc w:val="both"/>
                  </w:pPr>
                  <w:r>
                    <w:rPr>
                      <w:rFonts w:ascii="仿宋_GB2312" w:hAnsi="仿宋_GB2312" w:eastAsia="仿宋_GB2312" w:cs="仿宋_GB2312"/>
                      <w:color w:val="000000"/>
                      <w:sz w:val="20"/>
                    </w:rPr>
                    <w:t>物理容量配置</w:t>
                  </w:r>
                </w:p>
              </w:tc>
              <w:tc>
                <w:tcPr>
                  <w:tcW w:w="1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208617">
                  <w:pPr>
                    <w:pStyle w:val="4"/>
                    <w:jc w:val="both"/>
                  </w:pPr>
                  <w:r>
                    <w:rPr>
                      <w:rFonts w:ascii="仿宋_GB2312" w:hAnsi="仿宋_GB2312" w:eastAsia="仿宋_GB2312" w:cs="仿宋_GB2312"/>
                      <w:color w:val="000000"/>
                      <w:sz w:val="20"/>
                    </w:rPr>
                    <w:t>本次配置≥8块16TB 7.2K转NL-SAS企业级磁盘（1块全局热备盘，可用容量50TB），单台备份一体机设备支持最大硬盘数400块；</w:t>
                  </w:r>
                </w:p>
              </w:tc>
            </w:tr>
            <w:tr w14:paraId="4B1A6A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299066">
                  <w:pPr>
                    <w:pStyle w:val="4"/>
                    <w:ind w:left="420"/>
                    <w:jc w:val="right"/>
                  </w:pPr>
                  <w:r>
                    <w:rPr>
                      <w:rFonts w:ascii="仿宋_GB2312" w:hAnsi="仿宋_GB2312" w:eastAsia="仿宋_GB2312" w:cs="仿宋_GB2312"/>
                      <w:color w:val="000000"/>
                      <w:sz w:val="20"/>
                    </w:rPr>
                    <w:t>18.</w:t>
                  </w:r>
                </w:p>
              </w:tc>
              <w:tc>
                <w:tcPr>
                  <w:tcW w:w="32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D65277">
                  <w:pPr>
                    <w:pStyle w:val="4"/>
                    <w:jc w:val="both"/>
                  </w:pPr>
                  <w:r>
                    <w:rPr>
                      <w:rFonts w:ascii="仿宋_GB2312" w:hAnsi="仿宋_GB2312" w:eastAsia="仿宋_GB2312" w:cs="仿宋_GB2312"/>
                      <w:color w:val="000000"/>
                      <w:sz w:val="20"/>
                    </w:rPr>
                    <w:t>软件配置及功能</w:t>
                  </w:r>
                </w:p>
              </w:tc>
              <w:tc>
                <w:tcPr>
                  <w:tcW w:w="3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27B166">
                  <w:pPr>
                    <w:pStyle w:val="4"/>
                    <w:jc w:val="both"/>
                  </w:pPr>
                  <w:r>
                    <w:rPr>
                      <w:rFonts w:ascii="仿宋_GB2312" w:hAnsi="仿宋_GB2312" w:eastAsia="仿宋_GB2312" w:cs="仿宋_GB2312"/>
                      <w:color w:val="000000"/>
                      <w:sz w:val="20"/>
                    </w:rPr>
                    <w:t>软件授权</w:t>
                  </w:r>
                </w:p>
              </w:tc>
              <w:tc>
                <w:tcPr>
                  <w:tcW w:w="1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20AF2D">
                  <w:pPr>
                    <w:pStyle w:val="4"/>
                    <w:jc w:val="both"/>
                  </w:pPr>
                  <w:r>
                    <w:rPr>
                      <w:rFonts w:ascii="仿宋_GB2312" w:hAnsi="仿宋_GB2312" w:eastAsia="仿宋_GB2312" w:cs="仿宋_GB2312"/>
                      <w:color w:val="000000"/>
                      <w:sz w:val="20"/>
                    </w:rPr>
                    <w:t>配置≥50TB可用容量国产备份授权；</w:t>
                  </w:r>
                </w:p>
              </w:tc>
            </w:tr>
            <w:tr w14:paraId="2EFE5B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94E4F8">
                  <w:pPr>
                    <w:pStyle w:val="4"/>
                    <w:ind w:left="420"/>
                    <w:jc w:val="right"/>
                  </w:pPr>
                  <w:r>
                    <w:rPr>
                      <w:rFonts w:ascii="仿宋_GB2312" w:hAnsi="仿宋_GB2312" w:eastAsia="仿宋_GB2312" w:cs="仿宋_GB2312"/>
                      <w:color w:val="000000"/>
                      <w:sz w:val="20"/>
                    </w:rPr>
                    <w:t>19.</w:t>
                  </w:r>
                </w:p>
              </w:tc>
              <w:tc>
                <w:tcPr>
                  <w:tcW w:w="326" w:type="dxa"/>
                  <w:vMerge w:val="continue"/>
                  <w:tcBorders>
                    <w:top w:val="nil"/>
                    <w:left w:val="single" w:color="000000" w:sz="4" w:space="0"/>
                    <w:bottom w:val="single" w:color="000000" w:sz="4" w:space="0"/>
                    <w:right w:val="single" w:color="000000" w:sz="4" w:space="0"/>
                  </w:tcBorders>
                </w:tcPr>
                <w:p w14:paraId="2DB6EC9B"/>
              </w:tc>
              <w:tc>
                <w:tcPr>
                  <w:tcW w:w="3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C45FDC">
                  <w:pPr>
                    <w:pStyle w:val="4"/>
                    <w:jc w:val="both"/>
                  </w:pPr>
                  <w:r>
                    <w:rPr>
                      <w:rFonts w:ascii="仿宋_GB2312" w:hAnsi="仿宋_GB2312" w:eastAsia="仿宋_GB2312" w:cs="仿宋_GB2312"/>
                      <w:color w:val="000000"/>
                      <w:sz w:val="20"/>
                    </w:rPr>
                    <w:t>软件兼容性</w:t>
                  </w:r>
                </w:p>
              </w:tc>
              <w:tc>
                <w:tcPr>
                  <w:tcW w:w="1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62910E">
                  <w:pPr>
                    <w:pStyle w:val="4"/>
                    <w:jc w:val="both"/>
                  </w:pPr>
                  <w:r>
                    <w:rPr>
                      <w:rFonts w:ascii="仿宋_GB2312" w:hAnsi="仿宋_GB2312" w:eastAsia="仿宋_GB2312" w:cs="仿宋_GB2312"/>
                      <w:color w:val="000000"/>
                      <w:sz w:val="20"/>
                    </w:rPr>
                    <w:t>支持基于图形化的Oracle、Sybase、SQL Server、DB2, MySQL, MaxDB、SAP HANA, PostgreSQL, 达梦、人大金仓、南通、神通等所有主流数据库的联机备份和恢复；支持Hyper-V、Xenserver、Xen、KVM、FusionCompute、FusionCloud、H3C CAS、HCS、OpenStack、CNware、RHEV、七牛云、EasyStack、品高BingoCloudOS、中移BC-linux等虚拟化平台或云操作系统的备份恢复；</w:t>
                  </w:r>
                </w:p>
              </w:tc>
            </w:tr>
            <w:tr w14:paraId="5968CD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815161">
                  <w:pPr>
                    <w:pStyle w:val="4"/>
                    <w:ind w:left="420"/>
                    <w:jc w:val="right"/>
                  </w:pPr>
                  <w:r>
                    <w:rPr>
                      <w:rFonts w:ascii="仿宋_GB2312" w:hAnsi="仿宋_GB2312" w:eastAsia="仿宋_GB2312" w:cs="仿宋_GB2312"/>
                      <w:color w:val="000000"/>
                      <w:sz w:val="20"/>
                    </w:rPr>
                    <w:t>20.</w:t>
                  </w:r>
                </w:p>
              </w:tc>
              <w:tc>
                <w:tcPr>
                  <w:tcW w:w="326" w:type="dxa"/>
                  <w:vMerge w:val="continue"/>
                  <w:tcBorders>
                    <w:top w:val="nil"/>
                    <w:left w:val="single" w:color="000000" w:sz="4" w:space="0"/>
                    <w:bottom w:val="single" w:color="000000" w:sz="4" w:space="0"/>
                    <w:right w:val="single" w:color="000000" w:sz="4" w:space="0"/>
                  </w:tcBorders>
                </w:tcPr>
                <w:p w14:paraId="7E577767"/>
              </w:tc>
              <w:tc>
                <w:tcPr>
                  <w:tcW w:w="3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F28831">
                  <w:pPr>
                    <w:pStyle w:val="4"/>
                    <w:jc w:val="both"/>
                  </w:pPr>
                  <w:r>
                    <w:rPr>
                      <w:rFonts w:ascii="仿宋_GB2312" w:hAnsi="仿宋_GB2312" w:eastAsia="仿宋_GB2312" w:cs="仿宋_GB2312"/>
                      <w:color w:val="000000"/>
                      <w:sz w:val="20"/>
                    </w:rPr>
                    <w:t>软件功能</w:t>
                  </w:r>
                </w:p>
              </w:tc>
              <w:tc>
                <w:tcPr>
                  <w:tcW w:w="1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91BA3E">
                  <w:pPr>
                    <w:pStyle w:val="4"/>
                    <w:jc w:val="both"/>
                  </w:pPr>
                  <w:r>
                    <w:rPr>
                      <w:rFonts w:ascii="仿宋_GB2312" w:hAnsi="仿宋_GB2312" w:eastAsia="仿宋_GB2312" w:cs="仿宋_GB2312"/>
                      <w:color w:val="000000"/>
                      <w:sz w:val="20"/>
                    </w:rPr>
                    <w:t>支持后端重复数据删除功能，支持LAN-Free功能，支持与磁带、光盘、对象等对接，能够将备份一体机数据归档到磁带库；支持LAN、WAN、SAN、IP-SAN、NDMP等各种系统架构，支持LAN备份；支持完全，增量，合成备份；</w:t>
                  </w:r>
                </w:p>
              </w:tc>
            </w:tr>
            <w:tr w14:paraId="4E5724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DAD7F8">
                  <w:pPr>
                    <w:pStyle w:val="4"/>
                    <w:ind w:left="420"/>
                    <w:jc w:val="right"/>
                  </w:pPr>
                  <w:r>
                    <w:rPr>
                      <w:rFonts w:ascii="仿宋_GB2312" w:hAnsi="仿宋_GB2312" w:eastAsia="仿宋_GB2312" w:cs="仿宋_GB2312"/>
                      <w:color w:val="000000"/>
                      <w:sz w:val="20"/>
                    </w:rPr>
                    <w:t>21.</w:t>
                  </w:r>
                </w:p>
              </w:tc>
              <w:tc>
                <w:tcPr>
                  <w:tcW w:w="3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52A0E4">
                  <w:pPr>
                    <w:pStyle w:val="4"/>
                    <w:jc w:val="center"/>
                  </w:pPr>
                  <w:r>
                    <w:rPr>
                      <w:rFonts w:ascii="仿宋_GB2312" w:hAnsi="仿宋_GB2312" w:eastAsia="仿宋_GB2312" w:cs="仿宋_GB2312"/>
                      <w:color w:val="000000"/>
                      <w:sz w:val="20"/>
                    </w:rPr>
                    <w:t>服务</w:t>
                  </w:r>
                </w:p>
              </w:tc>
              <w:tc>
                <w:tcPr>
                  <w:tcW w:w="3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B2D057">
                  <w:pPr>
                    <w:pStyle w:val="4"/>
                    <w:jc w:val="center"/>
                  </w:pPr>
                  <w:r>
                    <w:rPr>
                      <w:rFonts w:ascii="仿宋_GB2312" w:hAnsi="仿宋_GB2312" w:eastAsia="仿宋_GB2312" w:cs="仿宋_GB2312"/>
                      <w:color w:val="000000"/>
                      <w:sz w:val="20"/>
                    </w:rPr>
                    <w:t>原厂服务</w:t>
                  </w:r>
                </w:p>
              </w:tc>
              <w:tc>
                <w:tcPr>
                  <w:tcW w:w="1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83D724">
                  <w:pPr>
                    <w:pStyle w:val="4"/>
                  </w:pPr>
                  <w:r>
                    <w:rPr>
                      <w:rFonts w:ascii="仿宋_GB2312" w:hAnsi="仿宋_GB2312" w:eastAsia="仿宋_GB2312" w:cs="仿宋_GB2312"/>
                      <w:color w:val="000000"/>
                      <w:sz w:val="20"/>
                    </w:rPr>
                    <w:t>1）提供3年原厂商质保服务（包括硬件更换、软件升级等）；</w:t>
                  </w:r>
                </w:p>
                <w:p w14:paraId="3D9A6916">
                  <w:pPr>
                    <w:pStyle w:val="4"/>
                  </w:pPr>
                  <w:r>
                    <w:rPr>
                      <w:rFonts w:ascii="仿宋_GB2312" w:hAnsi="仿宋_GB2312" w:eastAsia="仿宋_GB2312" w:cs="仿宋_GB2312"/>
                      <w:color w:val="000000"/>
                      <w:sz w:val="20"/>
                    </w:rPr>
                    <w:t>2）提供原厂商安装调试，并提供原厂商现场技术培训和现场技术指导。</w:t>
                  </w:r>
                </w:p>
              </w:tc>
            </w:tr>
          </w:tbl>
          <w:p w14:paraId="0FF1E952">
            <w:pPr>
              <w:pStyle w:val="4"/>
              <w:jc w:val="both"/>
            </w:pPr>
            <w:r>
              <w:rPr>
                <w:rFonts w:ascii="仿宋_GB2312" w:hAnsi="仿宋_GB2312" w:eastAsia="仿宋_GB2312" w:cs="仿宋_GB2312"/>
                <w:b/>
                <w:sz w:val="20"/>
              </w:rPr>
              <w:t>（三）网站群系统参数</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30"/>
              <w:gridCol w:w="610"/>
              <w:gridCol w:w="411"/>
              <w:gridCol w:w="1511"/>
            </w:tblGrid>
            <w:tr w14:paraId="30EB52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CA73943">
                  <w:pPr>
                    <w:pStyle w:val="4"/>
                    <w:jc w:val="center"/>
                  </w:pPr>
                  <w:r>
                    <w:rPr>
                      <w:rFonts w:ascii="仿宋_GB2312" w:hAnsi="仿宋_GB2312" w:eastAsia="仿宋_GB2312" w:cs="仿宋_GB2312"/>
                      <w:b/>
                      <w:color w:val="000000"/>
                      <w:sz w:val="20"/>
                    </w:rPr>
                    <w:t>序号</w:t>
                  </w:r>
                </w:p>
              </w:tc>
              <w:tc>
                <w:tcPr>
                  <w:tcW w:w="28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9548D71">
                  <w:pPr>
                    <w:pStyle w:val="4"/>
                    <w:jc w:val="center"/>
                  </w:pPr>
                  <w:r>
                    <w:rPr>
                      <w:rFonts w:ascii="仿宋_GB2312" w:hAnsi="仿宋_GB2312" w:eastAsia="仿宋_GB2312" w:cs="仿宋_GB2312"/>
                      <w:b/>
                      <w:color w:val="000000"/>
                      <w:sz w:val="20"/>
                    </w:rPr>
                    <w:t>子项</w:t>
                  </w:r>
                </w:p>
              </w:tc>
              <w:tc>
                <w:tcPr>
                  <w:tcW w:w="29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AC7AA26">
                  <w:pPr>
                    <w:pStyle w:val="4"/>
                    <w:jc w:val="center"/>
                  </w:pPr>
                  <w:r>
                    <w:rPr>
                      <w:rFonts w:ascii="仿宋_GB2312" w:hAnsi="仿宋_GB2312" w:eastAsia="仿宋_GB2312" w:cs="仿宋_GB2312"/>
                      <w:b/>
                      <w:color w:val="000000"/>
                      <w:sz w:val="20"/>
                    </w:rPr>
                    <w:t>指标项</w:t>
                  </w:r>
                </w:p>
              </w:tc>
              <w:tc>
                <w:tcPr>
                  <w:tcW w:w="17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75B8EA1">
                  <w:pPr>
                    <w:pStyle w:val="4"/>
                    <w:ind w:firstLine="402"/>
                    <w:jc w:val="center"/>
                  </w:pPr>
                  <w:r>
                    <w:rPr>
                      <w:rFonts w:ascii="仿宋_GB2312" w:hAnsi="仿宋_GB2312" w:eastAsia="仿宋_GB2312" w:cs="仿宋_GB2312"/>
                      <w:b/>
                      <w:color w:val="000000"/>
                      <w:sz w:val="20"/>
                    </w:rPr>
                    <w:t>指标要求</w:t>
                  </w:r>
                </w:p>
              </w:tc>
            </w:tr>
            <w:tr w14:paraId="78673C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9850D0">
                  <w:pPr>
                    <w:pStyle w:val="4"/>
                    <w:ind w:left="420"/>
                    <w:jc w:val="right"/>
                  </w:pPr>
                  <w:r>
                    <w:rPr>
                      <w:rFonts w:ascii="仿宋_GB2312" w:hAnsi="仿宋_GB2312" w:eastAsia="仿宋_GB2312" w:cs="仿宋_GB2312"/>
                      <w:color w:val="000000"/>
                      <w:sz w:val="20"/>
                    </w:rPr>
                    <w:t>22.</w:t>
                  </w:r>
                </w:p>
              </w:tc>
              <w:tc>
                <w:tcPr>
                  <w:tcW w:w="28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213A9F">
                  <w:pPr>
                    <w:pStyle w:val="4"/>
                    <w:jc w:val="left"/>
                  </w:pPr>
                  <w:r>
                    <w:rPr>
                      <w:rFonts w:ascii="仿宋_GB2312" w:hAnsi="仿宋_GB2312" w:eastAsia="仿宋_GB2312" w:cs="仿宋_GB2312"/>
                      <w:color w:val="000000"/>
                      <w:sz w:val="20"/>
                    </w:rPr>
                    <w:t>全媒体网站群管理平台（1套）</w:t>
                  </w:r>
                </w:p>
              </w:tc>
              <w:tc>
                <w:tcPr>
                  <w:tcW w:w="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7204BF">
                  <w:pPr>
                    <w:pStyle w:val="4"/>
                    <w:jc w:val="center"/>
                  </w:pPr>
                  <w:r>
                    <w:rPr>
                      <w:rFonts w:ascii="仿宋_GB2312" w:hAnsi="仿宋_GB2312" w:eastAsia="仿宋_GB2312" w:cs="仿宋_GB2312"/>
                      <w:color w:val="000000"/>
                      <w:sz w:val="20"/>
                    </w:rPr>
                    <w:t>总体技术要求</w:t>
                  </w:r>
                </w:p>
              </w:tc>
              <w:tc>
                <w:tcPr>
                  <w:tcW w:w="17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964263">
                  <w:pPr>
                    <w:pStyle w:val="4"/>
                    <w:ind w:firstLine="400"/>
                    <w:jc w:val="both"/>
                  </w:pPr>
                  <w:r>
                    <w:rPr>
                      <w:rFonts w:ascii="仿宋_GB2312" w:hAnsi="仿宋_GB2312" w:eastAsia="仿宋_GB2312" w:cs="仿宋_GB2312"/>
                      <w:color w:val="000000"/>
                      <w:sz w:val="20"/>
                    </w:rPr>
                    <w:t>1)全媒体管理平台软件要求采用B/S结构设计、JAVA语言开发。系统平台支持开通网站群平台可承载的站点数为10个。</w:t>
                  </w:r>
                </w:p>
                <w:p w14:paraId="1267BF71">
                  <w:pPr>
                    <w:pStyle w:val="4"/>
                    <w:ind w:firstLine="400"/>
                    <w:jc w:val="both"/>
                  </w:pPr>
                  <w:r>
                    <w:rPr>
                      <w:rFonts w:ascii="仿宋_GB2312" w:hAnsi="仿宋_GB2312" w:eastAsia="仿宋_GB2312" w:cs="仿宋_GB2312"/>
                      <w:color w:val="000000"/>
                      <w:sz w:val="20"/>
                    </w:rPr>
                    <w:t>2)系统通过一套平台实现微信、微博、网站等全媒体的管理，无需重复多次登录不同后台。</w:t>
                  </w:r>
                </w:p>
                <w:p w14:paraId="21FB11B0">
                  <w:pPr>
                    <w:pStyle w:val="4"/>
                    <w:ind w:firstLine="400"/>
                    <w:jc w:val="both"/>
                  </w:pPr>
                  <w:r>
                    <w:rPr>
                      <w:rFonts w:ascii="仿宋_GB2312" w:hAnsi="仿宋_GB2312" w:eastAsia="仿宋_GB2312" w:cs="仿宋_GB2312"/>
                      <w:color w:val="000000"/>
                      <w:sz w:val="20"/>
                    </w:rPr>
                    <w:t>3)支持在搭载了龙芯、兆芯、飞腾等国产CPU的服务器上进行建设。支持在麒麟、统信等国产化操作系统进行部署。支持与国产化数据库进行适配。支持与国产化中间件进行适配。</w:t>
                  </w:r>
                </w:p>
                <w:p w14:paraId="3E3D154C">
                  <w:pPr>
                    <w:pStyle w:val="4"/>
                    <w:ind w:firstLine="400"/>
                    <w:jc w:val="both"/>
                  </w:pPr>
                  <w:r>
                    <w:rPr>
                      <w:rFonts w:ascii="仿宋_GB2312" w:hAnsi="仿宋_GB2312" w:eastAsia="仿宋_GB2312" w:cs="仿宋_GB2312"/>
                      <w:color w:val="000000"/>
                      <w:sz w:val="20"/>
                    </w:rPr>
                    <w:t>4)兼容微软Edge、谷歌Chrome、360浏览器、苹果Safari、QQ浏览器、火狐Firefox等多种浏览器。</w:t>
                  </w:r>
                </w:p>
                <w:p w14:paraId="21297AD0">
                  <w:pPr>
                    <w:pStyle w:val="4"/>
                    <w:ind w:firstLine="400"/>
                    <w:jc w:val="both"/>
                  </w:pPr>
                  <w:r>
                    <w:rPr>
                      <w:rFonts w:ascii="仿宋_GB2312" w:hAnsi="仿宋_GB2312" w:eastAsia="仿宋_GB2312" w:cs="仿宋_GB2312"/>
                      <w:color w:val="000000"/>
                      <w:sz w:val="20"/>
                    </w:rPr>
                    <w:t>5)系统要求支持移动网站建设，实现网站页面和文章内容、视频、图片等资源的全适配，兼容全部主流智能手机的操作系统：包括苹果IOS、安卓Android等，兼容不同设备的分辨率。</w:t>
                  </w:r>
                </w:p>
                <w:p w14:paraId="00738D4A">
                  <w:pPr>
                    <w:pStyle w:val="4"/>
                    <w:ind w:firstLine="400"/>
                    <w:jc w:val="both"/>
                  </w:pPr>
                  <w:r>
                    <w:rPr>
                      <w:rFonts w:ascii="仿宋_GB2312" w:hAnsi="仿宋_GB2312" w:eastAsia="仿宋_GB2312" w:cs="仿宋_GB2312"/>
                      <w:color w:val="000000"/>
                      <w:sz w:val="20"/>
                    </w:rPr>
                    <w:t>6)系统需要具有完善的权限和用户管理体系，可以适应单位内各类角色管理员的管理和使用，提供与统一身份认证系统的数据接口，并具有集成能力。</w:t>
                  </w:r>
                </w:p>
                <w:p w14:paraId="74A5453F">
                  <w:pPr>
                    <w:pStyle w:val="4"/>
                    <w:ind w:firstLine="400"/>
                    <w:jc w:val="both"/>
                  </w:pPr>
                  <w:r>
                    <w:rPr>
                      <w:rFonts w:ascii="仿宋_GB2312" w:hAnsi="仿宋_GB2312" w:eastAsia="仿宋_GB2312" w:cs="仿宋_GB2312"/>
                      <w:color w:val="000000"/>
                      <w:sz w:val="20"/>
                    </w:rPr>
                    <w:t>7)系统安装可根据单位内实际情况选择不同的部署方式。</w:t>
                  </w:r>
                </w:p>
                <w:p w14:paraId="3662F4F8">
                  <w:pPr>
                    <w:pStyle w:val="4"/>
                    <w:ind w:firstLine="400"/>
                    <w:jc w:val="both"/>
                  </w:pPr>
                  <w:r>
                    <w:rPr>
                      <w:rFonts w:ascii="仿宋_GB2312" w:hAnsi="仿宋_GB2312" w:eastAsia="仿宋_GB2312" w:cs="仿宋_GB2312"/>
                      <w:color w:val="000000"/>
                      <w:sz w:val="20"/>
                    </w:rPr>
                    <w:t>8)▲系统应支持反向代理设置。</w:t>
                  </w:r>
                </w:p>
                <w:p w14:paraId="4EF5ABAF">
                  <w:pPr>
                    <w:pStyle w:val="4"/>
                    <w:ind w:firstLine="400"/>
                    <w:jc w:val="both"/>
                  </w:pPr>
                  <w:r>
                    <w:rPr>
                      <w:rFonts w:ascii="仿宋_GB2312" w:hAnsi="仿宋_GB2312" w:eastAsia="仿宋_GB2312" w:cs="仿宋_GB2312"/>
                      <w:color w:val="000000"/>
                      <w:sz w:val="20"/>
                    </w:rPr>
                    <w:t>9)支持基于IPv4和IPv6地址的访问控制，访问记录及统计。</w:t>
                  </w:r>
                </w:p>
                <w:p w14:paraId="4296D24B">
                  <w:pPr>
                    <w:pStyle w:val="4"/>
                    <w:ind w:firstLine="400"/>
                    <w:jc w:val="both"/>
                  </w:pPr>
                  <w:r>
                    <w:rPr>
                      <w:rFonts w:ascii="仿宋_GB2312" w:hAnsi="仿宋_GB2312" w:eastAsia="仿宋_GB2312" w:cs="仿宋_GB2312"/>
                      <w:color w:val="000000"/>
                      <w:sz w:val="20"/>
                    </w:rPr>
                    <w:t>10)系统全面支持HTTPS安全传输协议。</w:t>
                  </w:r>
                </w:p>
              </w:tc>
            </w:tr>
            <w:tr w14:paraId="1ABD28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216180">
                  <w:pPr>
                    <w:pStyle w:val="4"/>
                    <w:ind w:left="420"/>
                    <w:jc w:val="right"/>
                  </w:pPr>
                  <w:r>
                    <w:rPr>
                      <w:rFonts w:ascii="仿宋_GB2312" w:hAnsi="仿宋_GB2312" w:eastAsia="仿宋_GB2312" w:cs="仿宋_GB2312"/>
                      <w:color w:val="000000"/>
                      <w:sz w:val="20"/>
                    </w:rPr>
                    <w:t>23.</w:t>
                  </w:r>
                </w:p>
              </w:tc>
              <w:tc>
                <w:tcPr>
                  <w:tcW w:w="282" w:type="dxa"/>
                  <w:vMerge w:val="continue"/>
                  <w:tcBorders>
                    <w:top w:val="nil"/>
                    <w:left w:val="single" w:color="000000" w:sz="4" w:space="0"/>
                    <w:bottom w:val="single" w:color="000000" w:sz="4" w:space="0"/>
                    <w:right w:val="single" w:color="000000" w:sz="4" w:space="0"/>
                  </w:tcBorders>
                </w:tcPr>
                <w:p w14:paraId="28B56EAD"/>
              </w:tc>
              <w:tc>
                <w:tcPr>
                  <w:tcW w:w="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2900C9">
                  <w:pPr>
                    <w:pStyle w:val="4"/>
                    <w:jc w:val="center"/>
                  </w:pPr>
                  <w:r>
                    <w:rPr>
                      <w:rFonts w:ascii="仿宋_GB2312" w:hAnsi="仿宋_GB2312" w:eastAsia="仿宋_GB2312" w:cs="仿宋_GB2312"/>
                      <w:color w:val="000000"/>
                      <w:sz w:val="20"/>
                    </w:rPr>
                    <w:t>平台登录管理</w:t>
                  </w:r>
                </w:p>
              </w:tc>
              <w:tc>
                <w:tcPr>
                  <w:tcW w:w="17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5CA898">
                  <w:pPr>
                    <w:pStyle w:val="4"/>
                    <w:ind w:firstLine="480"/>
                  </w:pPr>
                  <w:r>
                    <w:rPr>
                      <w:rFonts w:ascii="仿宋_GB2312" w:hAnsi="仿宋_GB2312" w:eastAsia="仿宋_GB2312" w:cs="仿宋_GB2312"/>
                      <w:color w:val="000000"/>
                      <w:sz w:val="20"/>
                    </w:rPr>
                    <w:t>1)系统需支持部门站点、系统管理、内容管理登录入口的独立设定。</w:t>
                  </w:r>
                </w:p>
                <w:p w14:paraId="32610754">
                  <w:pPr>
                    <w:pStyle w:val="4"/>
                    <w:ind w:firstLine="480"/>
                  </w:pPr>
                  <w:r>
                    <w:rPr>
                      <w:rFonts w:ascii="仿宋_GB2312" w:hAnsi="仿宋_GB2312" w:eastAsia="仿宋_GB2312" w:cs="仿宋_GB2312"/>
                      <w:color w:val="000000"/>
                      <w:sz w:val="20"/>
                    </w:rPr>
                    <w:t>2)▲系统内需设定系统管理员、审计管理员、安全管理员，实现三员分立。</w:t>
                  </w:r>
                </w:p>
                <w:p w14:paraId="10C00203">
                  <w:pPr>
                    <w:pStyle w:val="4"/>
                    <w:ind w:firstLine="480"/>
                  </w:pPr>
                  <w:r>
                    <w:rPr>
                      <w:rFonts w:ascii="仿宋_GB2312" w:hAnsi="仿宋_GB2312" w:eastAsia="仿宋_GB2312" w:cs="仿宋_GB2312"/>
                      <w:color w:val="000000"/>
                      <w:sz w:val="20"/>
                    </w:rPr>
                    <w:t>3)用户登录入口处提供专门的系统后台管理制度或站群安全制度阅览空间。</w:t>
                  </w:r>
                </w:p>
              </w:tc>
            </w:tr>
            <w:tr w14:paraId="7D0040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4AA317">
                  <w:pPr>
                    <w:pStyle w:val="4"/>
                    <w:ind w:left="420"/>
                    <w:jc w:val="right"/>
                  </w:pPr>
                  <w:r>
                    <w:rPr>
                      <w:rFonts w:ascii="仿宋_GB2312" w:hAnsi="仿宋_GB2312" w:eastAsia="仿宋_GB2312" w:cs="仿宋_GB2312"/>
                      <w:color w:val="000000"/>
                      <w:sz w:val="20"/>
                    </w:rPr>
                    <w:t>24.</w:t>
                  </w:r>
                </w:p>
              </w:tc>
              <w:tc>
                <w:tcPr>
                  <w:tcW w:w="282" w:type="dxa"/>
                  <w:vMerge w:val="continue"/>
                  <w:tcBorders>
                    <w:top w:val="nil"/>
                    <w:left w:val="single" w:color="000000" w:sz="4" w:space="0"/>
                    <w:bottom w:val="single" w:color="000000" w:sz="4" w:space="0"/>
                    <w:right w:val="single" w:color="000000" w:sz="4" w:space="0"/>
                  </w:tcBorders>
                </w:tcPr>
                <w:p w14:paraId="7822AF03"/>
              </w:tc>
              <w:tc>
                <w:tcPr>
                  <w:tcW w:w="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BE6E3E">
                  <w:pPr>
                    <w:pStyle w:val="4"/>
                    <w:jc w:val="both"/>
                  </w:pPr>
                  <w:r>
                    <w:rPr>
                      <w:rFonts w:ascii="仿宋_GB2312" w:hAnsi="仿宋_GB2312" w:eastAsia="仿宋_GB2312" w:cs="仿宋_GB2312"/>
                      <w:color w:val="000000"/>
                      <w:sz w:val="20"/>
                    </w:rPr>
                    <w:t>工作桌面管理工具</w:t>
                  </w:r>
                </w:p>
              </w:tc>
              <w:tc>
                <w:tcPr>
                  <w:tcW w:w="17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1215F8">
                  <w:pPr>
                    <w:pStyle w:val="4"/>
                    <w:ind w:firstLine="480"/>
                    <w:jc w:val="both"/>
                  </w:pPr>
                  <w:r>
                    <w:rPr>
                      <w:rFonts w:ascii="仿宋_GB2312" w:hAnsi="仿宋_GB2312" w:eastAsia="仿宋_GB2312" w:cs="仿宋_GB2312"/>
                      <w:color w:val="000000"/>
                      <w:sz w:val="20"/>
                    </w:rPr>
                    <w:t>1)▲系统工作台支持查看站点情况、异常管理员、系统运维的异常备份及磁盘空间情况，可对服务器连通性一键检测。</w:t>
                  </w:r>
                </w:p>
                <w:p w14:paraId="37466F6F">
                  <w:pPr>
                    <w:pStyle w:val="4"/>
                    <w:ind w:firstLine="480"/>
                    <w:jc w:val="both"/>
                  </w:pPr>
                  <w:r>
                    <w:rPr>
                      <w:rFonts w:ascii="仿宋_GB2312" w:hAnsi="仿宋_GB2312" w:eastAsia="仿宋_GB2312" w:cs="仿宋_GB2312"/>
                      <w:color w:val="000000"/>
                      <w:sz w:val="20"/>
                    </w:rPr>
                    <w:t>2)系统工作台支持系统安全检测结果呈现，呈现内容至少包含站群安全评分、检测时间、各类检测项目数量，针对平台体检结果修复及防护日志查阅提供直达入口。</w:t>
                  </w:r>
                </w:p>
                <w:p w14:paraId="0F25B625">
                  <w:pPr>
                    <w:pStyle w:val="4"/>
                    <w:ind w:firstLine="480"/>
                    <w:jc w:val="both"/>
                  </w:pPr>
                  <w:r>
                    <w:rPr>
                      <w:rFonts w:ascii="仿宋_GB2312" w:hAnsi="仿宋_GB2312" w:eastAsia="仿宋_GB2312" w:cs="仿宋_GB2312"/>
                      <w:color w:val="000000"/>
                      <w:sz w:val="20"/>
                    </w:rPr>
                    <w:t>3)部门站点端提供部门工作台，能够展示当前部门之下网站、微信号、微博号、电子屏等部门资产数量，每种资产可以查看当前所属管理员情况，上级部门管理员可查看下级部门资产。</w:t>
                  </w:r>
                </w:p>
                <w:p w14:paraId="53D0CBD8">
                  <w:pPr>
                    <w:pStyle w:val="4"/>
                    <w:ind w:firstLine="480"/>
                    <w:jc w:val="both"/>
                  </w:pPr>
                  <w:r>
                    <w:rPr>
                      <w:rFonts w:ascii="仿宋_GB2312" w:hAnsi="仿宋_GB2312" w:eastAsia="仿宋_GB2312" w:cs="仿宋_GB2312"/>
                      <w:color w:val="000000"/>
                      <w:sz w:val="20"/>
                    </w:rPr>
                    <w:t>4)部门工作台支持展示部门之下站点总访问量、总发文量热门搜索词云及访问趋势等关键运营数据，访问趋势支持按照近一年、近一个月等不同时间维度数据呈现。</w:t>
                  </w:r>
                </w:p>
              </w:tc>
            </w:tr>
            <w:tr w14:paraId="681388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E939B8">
                  <w:pPr>
                    <w:pStyle w:val="4"/>
                    <w:ind w:left="420"/>
                    <w:jc w:val="right"/>
                  </w:pPr>
                  <w:r>
                    <w:rPr>
                      <w:rFonts w:ascii="仿宋_GB2312" w:hAnsi="仿宋_GB2312" w:eastAsia="仿宋_GB2312" w:cs="仿宋_GB2312"/>
                      <w:color w:val="000000"/>
                      <w:sz w:val="20"/>
                    </w:rPr>
                    <w:t>25.</w:t>
                  </w:r>
                </w:p>
              </w:tc>
              <w:tc>
                <w:tcPr>
                  <w:tcW w:w="282" w:type="dxa"/>
                  <w:vMerge w:val="continue"/>
                  <w:tcBorders>
                    <w:top w:val="nil"/>
                    <w:left w:val="single" w:color="000000" w:sz="4" w:space="0"/>
                    <w:bottom w:val="single" w:color="000000" w:sz="4" w:space="0"/>
                    <w:right w:val="single" w:color="000000" w:sz="4" w:space="0"/>
                  </w:tcBorders>
                </w:tcPr>
                <w:p w14:paraId="25B3EC3C"/>
              </w:tc>
              <w:tc>
                <w:tcPr>
                  <w:tcW w:w="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F4DE81">
                  <w:pPr>
                    <w:pStyle w:val="4"/>
                    <w:jc w:val="both"/>
                  </w:pPr>
                  <w:r>
                    <w:rPr>
                      <w:rFonts w:ascii="仿宋_GB2312" w:hAnsi="仿宋_GB2312" w:eastAsia="仿宋_GB2312" w:cs="仿宋_GB2312"/>
                      <w:color w:val="000000"/>
                      <w:sz w:val="20"/>
                    </w:rPr>
                    <w:t>站群管理</w:t>
                  </w:r>
                </w:p>
              </w:tc>
              <w:tc>
                <w:tcPr>
                  <w:tcW w:w="17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1C8874">
                  <w:pPr>
                    <w:pStyle w:val="4"/>
                    <w:ind w:firstLine="400"/>
                    <w:jc w:val="both"/>
                  </w:pPr>
                  <w:r>
                    <w:rPr>
                      <w:rFonts w:ascii="仿宋_GB2312" w:hAnsi="仿宋_GB2312" w:eastAsia="仿宋_GB2312" w:cs="仿宋_GB2312"/>
                      <w:color w:val="000000"/>
                      <w:sz w:val="20"/>
                    </w:rPr>
                    <w:t>1)站点管理支持按部门管理站点，支持部门树的维护，可新增下级单位，针对每个部门要求能够展示部门成员数量、部门管理员联系方式等内容；能够采用部门视角盘点及管理每个部门的网站、新媒体以及大屏资产。</w:t>
                  </w:r>
                </w:p>
                <w:p w14:paraId="13579D6E">
                  <w:pPr>
                    <w:pStyle w:val="4"/>
                    <w:ind w:firstLine="400"/>
                    <w:jc w:val="both"/>
                  </w:pPr>
                  <w:r>
                    <w:rPr>
                      <w:rFonts w:ascii="仿宋_GB2312" w:hAnsi="仿宋_GB2312" w:eastAsia="仿宋_GB2312" w:cs="仿宋_GB2312"/>
                      <w:color w:val="000000"/>
                      <w:sz w:val="20"/>
                    </w:rPr>
                    <w:t>2)支持部门创建站点的申请流程实现线上化处理，可实现对部门管理员的建站申请进行审批处理，可显示申请部门、申请人、申请时间及处理状态，可选择同意或驳回操作，要求对每个部门申请历史记录可查询。</w:t>
                  </w:r>
                </w:p>
                <w:p w14:paraId="6E8DA1FD">
                  <w:pPr>
                    <w:pStyle w:val="4"/>
                    <w:ind w:firstLine="400"/>
                    <w:jc w:val="both"/>
                  </w:pPr>
                  <w:r>
                    <w:rPr>
                      <w:rFonts w:ascii="仿宋_GB2312" w:hAnsi="仿宋_GB2312" w:eastAsia="仿宋_GB2312" w:cs="仿宋_GB2312"/>
                      <w:color w:val="000000"/>
                      <w:sz w:val="20"/>
                    </w:rPr>
                    <w:t>3)可对当前平台站点统一进行关停，当处于一键关停状态中，外界无法对关停站点进行访问，同时支持一键启用，对关停站点进行恢复。</w:t>
                  </w:r>
                </w:p>
                <w:p w14:paraId="6FBD5BD3">
                  <w:pPr>
                    <w:pStyle w:val="4"/>
                    <w:ind w:firstLine="400"/>
                    <w:jc w:val="both"/>
                  </w:pPr>
                  <w:r>
                    <w:rPr>
                      <w:rFonts w:ascii="仿宋_GB2312" w:hAnsi="仿宋_GB2312" w:eastAsia="仿宋_GB2312" w:cs="仿宋_GB2312"/>
                      <w:color w:val="000000"/>
                      <w:sz w:val="20"/>
                    </w:rPr>
                    <w:t>4)▲能够实现站点批量停止维护、停止浏览、停止维护和浏览、正常运转等多种管控模式。</w:t>
                  </w:r>
                </w:p>
                <w:p w14:paraId="082A55BC">
                  <w:pPr>
                    <w:pStyle w:val="4"/>
                    <w:ind w:firstLine="400"/>
                    <w:jc w:val="both"/>
                  </w:pPr>
                  <w:r>
                    <w:rPr>
                      <w:rFonts w:ascii="仿宋_GB2312" w:hAnsi="仿宋_GB2312" w:eastAsia="仿宋_GB2312" w:cs="仿宋_GB2312"/>
                      <w:color w:val="000000"/>
                      <w:sz w:val="20"/>
                    </w:rPr>
                    <w:t>5)支持站点启停生命周期管理，设置站点自动启停计划，系统自动执行站点的启停时间。</w:t>
                  </w:r>
                </w:p>
                <w:p w14:paraId="3FFC2FFD">
                  <w:pPr>
                    <w:pStyle w:val="4"/>
                    <w:ind w:firstLine="400"/>
                    <w:jc w:val="both"/>
                  </w:pPr>
                  <w:r>
                    <w:rPr>
                      <w:rFonts w:ascii="仿宋_GB2312" w:hAnsi="仿宋_GB2312" w:eastAsia="仿宋_GB2312" w:cs="仿宋_GB2312"/>
                      <w:color w:val="000000"/>
                      <w:sz w:val="20"/>
                    </w:rPr>
                    <w:t>6)支持网站一键置灰、支持仅设置网站首页置灰。</w:t>
                  </w:r>
                </w:p>
              </w:tc>
            </w:tr>
            <w:tr w14:paraId="34524B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A8C751">
                  <w:pPr>
                    <w:pStyle w:val="4"/>
                    <w:ind w:left="420"/>
                    <w:jc w:val="right"/>
                  </w:pPr>
                  <w:r>
                    <w:rPr>
                      <w:rFonts w:ascii="仿宋_GB2312" w:hAnsi="仿宋_GB2312" w:eastAsia="仿宋_GB2312" w:cs="仿宋_GB2312"/>
                      <w:color w:val="000000"/>
                      <w:sz w:val="20"/>
                    </w:rPr>
                    <w:t>26.</w:t>
                  </w:r>
                </w:p>
              </w:tc>
              <w:tc>
                <w:tcPr>
                  <w:tcW w:w="282" w:type="dxa"/>
                  <w:vMerge w:val="continue"/>
                  <w:tcBorders>
                    <w:top w:val="nil"/>
                    <w:left w:val="single" w:color="000000" w:sz="4" w:space="0"/>
                    <w:bottom w:val="single" w:color="000000" w:sz="4" w:space="0"/>
                    <w:right w:val="single" w:color="000000" w:sz="4" w:space="0"/>
                  </w:tcBorders>
                </w:tcPr>
                <w:p w14:paraId="1BDC2AD1"/>
              </w:tc>
              <w:tc>
                <w:tcPr>
                  <w:tcW w:w="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8E2711">
                  <w:pPr>
                    <w:pStyle w:val="4"/>
                    <w:jc w:val="both"/>
                  </w:pPr>
                  <w:r>
                    <w:rPr>
                      <w:rFonts w:ascii="仿宋_GB2312" w:hAnsi="仿宋_GB2312" w:eastAsia="仿宋_GB2312" w:cs="仿宋_GB2312"/>
                      <w:color w:val="000000"/>
                      <w:sz w:val="20"/>
                    </w:rPr>
                    <w:t>网站建设</w:t>
                  </w:r>
                </w:p>
              </w:tc>
              <w:tc>
                <w:tcPr>
                  <w:tcW w:w="17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A3AB0B">
                  <w:pPr>
                    <w:pStyle w:val="4"/>
                    <w:ind w:firstLine="400"/>
                    <w:jc w:val="both"/>
                  </w:pPr>
                  <w:r>
                    <w:rPr>
                      <w:rFonts w:ascii="仿宋_GB2312" w:hAnsi="仿宋_GB2312" w:eastAsia="仿宋_GB2312" w:cs="仿宋_GB2312"/>
                      <w:color w:val="000000"/>
                      <w:sz w:val="20"/>
                    </w:rPr>
                    <w:t>1)系统支持对官方建设网站进行标记认证，规避后续二级单位自发建站导致技术不规范且未经过安全评审的问题，经过安全评审后的网站可实现加V标记。</w:t>
                  </w:r>
                </w:p>
                <w:p w14:paraId="594B82AD">
                  <w:pPr>
                    <w:pStyle w:val="4"/>
                    <w:ind w:firstLine="400"/>
                    <w:jc w:val="both"/>
                  </w:pPr>
                  <w:r>
                    <w:rPr>
                      <w:rFonts w:ascii="仿宋_GB2312" w:hAnsi="仿宋_GB2312" w:eastAsia="仿宋_GB2312" w:cs="仿宋_GB2312"/>
                      <w:color w:val="000000"/>
                      <w:sz w:val="20"/>
                    </w:rPr>
                    <w:t>2)在系统使用设计好的HTML模板进行制作时，需兼容所有主流设计工具生成的HTML模板，直接选择当前HTML文件进行上传。</w:t>
                  </w:r>
                </w:p>
                <w:p w14:paraId="34652ED7">
                  <w:pPr>
                    <w:pStyle w:val="4"/>
                    <w:ind w:firstLine="400"/>
                    <w:jc w:val="both"/>
                  </w:pPr>
                  <w:r>
                    <w:rPr>
                      <w:rFonts w:ascii="仿宋_GB2312" w:hAnsi="仿宋_GB2312" w:eastAsia="仿宋_GB2312" w:cs="仿宋_GB2312"/>
                      <w:color w:val="000000"/>
                      <w:sz w:val="20"/>
                    </w:rPr>
                    <w:t>3)系统需提供300种以上不同类型的常用组件及移动化组件，全面支持DIV+CSS架构，用来实现网站丰富多彩的展现形式，各类组件之间可以相互复制副本或引用，便于同源数据的快速展示。</w:t>
                  </w:r>
                </w:p>
                <w:p w14:paraId="5E0F0595">
                  <w:pPr>
                    <w:pStyle w:val="4"/>
                    <w:ind w:firstLine="400"/>
                    <w:jc w:val="both"/>
                  </w:pPr>
                  <w:r>
                    <w:rPr>
                      <w:rFonts w:ascii="仿宋_GB2312" w:hAnsi="仿宋_GB2312" w:eastAsia="仿宋_GB2312" w:cs="仿宋_GB2312"/>
                      <w:color w:val="000000"/>
                      <w:sz w:val="20"/>
                    </w:rPr>
                    <w:t>4)支持采用响应式技术或多屏适配技术，对网站实现多终端访问界面优化展现，原有网站组件不需要重新配置，移动化网站提供模拟器预览功能，支持多种手机分辨率展示效果，确保发布页面的准确性和兼容性。</w:t>
                  </w:r>
                </w:p>
                <w:p w14:paraId="66517FB3">
                  <w:pPr>
                    <w:pStyle w:val="4"/>
                    <w:ind w:firstLine="400"/>
                    <w:jc w:val="both"/>
                  </w:pPr>
                  <w:r>
                    <w:rPr>
                      <w:rFonts w:ascii="仿宋_GB2312" w:hAnsi="仿宋_GB2312" w:eastAsia="仿宋_GB2312" w:cs="仿宋_GB2312"/>
                      <w:color w:val="000000"/>
                      <w:sz w:val="20"/>
                    </w:rPr>
                    <w:t>5)系统支持电子大屏建设与内容发布展示，需提供至少5套党建、迎新、活动等主题的电子屏模板。</w:t>
                  </w:r>
                </w:p>
              </w:tc>
            </w:tr>
            <w:tr w14:paraId="30250D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1FB49F">
                  <w:pPr>
                    <w:pStyle w:val="4"/>
                    <w:ind w:left="420"/>
                    <w:jc w:val="right"/>
                  </w:pPr>
                  <w:r>
                    <w:rPr>
                      <w:rFonts w:ascii="仿宋_GB2312" w:hAnsi="仿宋_GB2312" w:eastAsia="仿宋_GB2312" w:cs="仿宋_GB2312"/>
                      <w:color w:val="000000"/>
                      <w:sz w:val="20"/>
                    </w:rPr>
                    <w:t>27.</w:t>
                  </w:r>
                </w:p>
              </w:tc>
              <w:tc>
                <w:tcPr>
                  <w:tcW w:w="282" w:type="dxa"/>
                  <w:vMerge w:val="continue"/>
                  <w:tcBorders>
                    <w:top w:val="nil"/>
                    <w:left w:val="single" w:color="000000" w:sz="4" w:space="0"/>
                    <w:bottom w:val="single" w:color="000000" w:sz="4" w:space="0"/>
                    <w:right w:val="single" w:color="000000" w:sz="4" w:space="0"/>
                  </w:tcBorders>
                </w:tcPr>
                <w:p w14:paraId="3DA3D6D4"/>
              </w:tc>
              <w:tc>
                <w:tcPr>
                  <w:tcW w:w="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87017F">
                  <w:pPr>
                    <w:pStyle w:val="4"/>
                    <w:jc w:val="both"/>
                  </w:pPr>
                  <w:r>
                    <w:rPr>
                      <w:rFonts w:ascii="仿宋_GB2312" w:hAnsi="仿宋_GB2312" w:eastAsia="仿宋_GB2312" w:cs="仿宋_GB2312"/>
                      <w:color w:val="000000"/>
                      <w:sz w:val="20"/>
                    </w:rPr>
                    <w:t>内容创作管理</w:t>
                  </w:r>
                </w:p>
              </w:tc>
              <w:tc>
                <w:tcPr>
                  <w:tcW w:w="17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53665E">
                  <w:pPr>
                    <w:pStyle w:val="4"/>
                    <w:ind w:firstLine="400"/>
                    <w:jc w:val="both"/>
                  </w:pPr>
                  <w:r>
                    <w:rPr>
                      <w:rFonts w:ascii="仿宋_GB2312" w:hAnsi="仿宋_GB2312" w:eastAsia="仿宋_GB2312" w:cs="仿宋_GB2312"/>
                      <w:color w:val="000000"/>
                      <w:sz w:val="20"/>
                    </w:rPr>
                    <w:t>1)系统围绕发稿人需求搭建内容创作中心，可实现文章快速新增，对用户的发文、撤稿、暂存等多种状态的内容进行管理。</w:t>
                  </w:r>
                </w:p>
                <w:p w14:paraId="58BE5E67">
                  <w:pPr>
                    <w:pStyle w:val="4"/>
                    <w:ind w:firstLine="400"/>
                    <w:jc w:val="both"/>
                  </w:pPr>
                  <w:r>
                    <w:rPr>
                      <w:rFonts w:ascii="仿宋_GB2312" w:hAnsi="仿宋_GB2312" w:eastAsia="仿宋_GB2312" w:cs="仿宋_GB2312"/>
                      <w:color w:val="000000"/>
                      <w:sz w:val="20"/>
                    </w:rPr>
                    <w:t>2)系统提供至少5套的文章展示模板，帮助用户对一些特殊形式的文章快速实现模板引用。</w:t>
                  </w:r>
                </w:p>
                <w:p w14:paraId="62B6C090">
                  <w:pPr>
                    <w:pStyle w:val="4"/>
                    <w:ind w:firstLine="400"/>
                    <w:jc w:val="both"/>
                  </w:pPr>
                  <w:r>
                    <w:rPr>
                      <w:rFonts w:ascii="仿宋_GB2312" w:hAnsi="仿宋_GB2312" w:eastAsia="仿宋_GB2312" w:cs="仿宋_GB2312"/>
                      <w:color w:val="000000"/>
                      <w:sz w:val="20"/>
                    </w:rPr>
                    <w:t>3)▲系统具备“word导入”功能。</w:t>
                  </w:r>
                </w:p>
                <w:p w14:paraId="2C636DA2">
                  <w:pPr>
                    <w:pStyle w:val="4"/>
                    <w:ind w:firstLine="400"/>
                    <w:jc w:val="both"/>
                  </w:pPr>
                  <w:r>
                    <w:rPr>
                      <w:rFonts w:ascii="仿宋_GB2312" w:hAnsi="仿宋_GB2312" w:eastAsia="仿宋_GB2312" w:cs="仿宋_GB2312"/>
                      <w:color w:val="000000"/>
                      <w:sz w:val="20"/>
                    </w:rPr>
                    <w:t>4)提供文章编辑一键排版工具。</w:t>
                  </w:r>
                </w:p>
                <w:p w14:paraId="72CA7820">
                  <w:pPr>
                    <w:pStyle w:val="4"/>
                    <w:ind w:firstLine="400"/>
                  </w:pPr>
                  <w:r>
                    <w:rPr>
                      <w:rFonts w:ascii="仿宋_GB2312" w:hAnsi="仿宋_GB2312" w:eastAsia="仿宋_GB2312" w:cs="仿宋_GB2312"/>
                      <w:color w:val="000000"/>
                      <w:sz w:val="20"/>
                    </w:rPr>
                    <w:t>5)▲系统需支持组图排版设置，包括双图样式、三图样式、三图上下结构、三图左右结构、六宫格、九宫格等，并支持组图的宽度、图片间距、图片圆角设置，同时提供组图边框设置功能，包含边框圆角、边框宽度和边框颜色的自定义选项。</w:t>
                  </w:r>
                </w:p>
                <w:p w14:paraId="7B52574F">
                  <w:pPr>
                    <w:pStyle w:val="4"/>
                    <w:ind w:firstLine="400"/>
                  </w:pPr>
                  <w:r>
                    <w:rPr>
                      <w:rFonts w:ascii="仿宋_GB2312" w:hAnsi="仿宋_GB2312" w:eastAsia="仿宋_GB2312" w:cs="仿宋_GB2312"/>
                      <w:color w:val="000000"/>
                      <w:sz w:val="20"/>
                    </w:rPr>
                    <w:t>6)系统支持pdf发布。用户可以对红头文件、重要的通知公告等这类文件在后台选择上传Word文档，系统能够自动转化成pdf文件对外进行发布。</w:t>
                  </w:r>
                </w:p>
                <w:p w14:paraId="41F82B6B">
                  <w:pPr>
                    <w:pStyle w:val="4"/>
                    <w:ind w:firstLine="400"/>
                  </w:pPr>
                  <w:r>
                    <w:rPr>
                      <w:rFonts w:ascii="仿宋_GB2312" w:hAnsi="仿宋_GB2312" w:eastAsia="仿宋_GB2312" w:cs="仿宋_GB2312"/>
                      <w:color w:val="000000"/>
                      <w:sz w:val="20"/>
                    </w:rPr>
                    <w:t>7)系统支持多个标题图上传。可针对文章发布的标题图和正文图片进行在线裁剪，支持多种比例裁剪、翻转、镜像，满足新闻图片的展现需求。</w:t>
                  </w:r>
                </w:p>
                <w:p w14:paraId="48F86324">
                  <w:pPr>
                    <w:pStyle w:val="4"/>
                    <w:ind w:firstLine="400"/>
                  </w:pPr>
                  <w:r>
                    <w:rPr>
                      <w:rFonts w:ascii="仿宋_GB2312" w:hAnsi="仿宋_GB2312" w:eastAsia="仿宋_GB2312" w:cs="仿宋_GB2312"/>
                      <w:color w:val="000000"/>
                      <w:sz w:val="20"/>
                    </w:rPr>
                    <w:t>8)支持表格样式格式化功能，对表格的尺寸、边框、单元格对齐方式、单元格内边距、表格对齐方式等样式一键样式调整，支持内置多种基本的表格样式。</w:t>
                  </w:r>
                </w:p>
                <w:p w14:paraId="3D18F7A9">
                  <w:pPr>
                    <w:pStyle w:val="4"/>
                    <w:ind w:firstLine="400"/>
                    <w:jc w:val="both"/>
                  </w:pPr>
                  <w:r>
                    <w:rPr>
                      <w:rFonts w:ascii="仿宋_GB2312" w:hAnsi="仿宋_GB2312" w:eastAsia="仿宋_GB2312" w:cs="仿宋_GB2312"/>
                      <w:color w:val="000000"/>
                      <w:sz w:val="20"/>
                    </w:rPr>
                    <w:t>9)支持新闻时效性管理，可以设置新闻上线及下线时间。</w:t>
                  </w:r>
                </w:p>
                <w:p w14:paraId="30D7A8A2">
                  <w:pPr>
                    <w:pStyle w:val="4"/>
                    <w:ind w:firstLine="400"/>
                    <w:jc w:val="both"/>
                  </w:pPr>
                  <w:r>
                    <w:rPr>
                      <w:rFonts w:ascii="仿宋_GB2312" w:hAnsi="仿宋_GB2312" w:eastAsia="仿宋_GB2312" w:cs="仿宋_GB2312"/>
                      <w:color w:val="000000"/>
                      <w:sz w:val="20"/>
                    </w:rPr>
                    <w:t>10)支持文章或栏目访问权限管理，可以设置配置对应的访问权限IP规则或可访问角色。</w:t>
                  </w:r>
                </w:p>
                <w:p w14:paraId="03FD243D">
                  <w:pPr>
                    <w:pStyle w:val="4"/>
                    <w:ind w:firstLine="400"/>
                  </w:pPr>
                  <w:r>
                    <w:rPr>
                      <w:rFonts w:ascii="仿宋_GB2312" w:hAnsi="仿宋_GB2312" w:eastAsia="仿宋_GB2312" w:cs="仿宋_GB2312"/>
                      <w:color w:val="000000"/>
                      <w:sz w:val="20"/>
                    </w:rPr>
                    <w:t>11)文章列支持拖拽式排序，拖曳排序之后保存，无需重新发布，即可实现前端页面文章顺序同步更新。</w:t>
                  </w:r>
                </w:p>
                <w:p w14:paraId="699AA492">
                  <w:pPr>
                    <w:pStyle w:val="4"/>
                    <w:ind w:firstLine="400"/>
                  </w:pPr>
                  <w:r>
                    <w:rPr>
                      <w:rFonts w:ascii="仿宋_GB2312" w:hAnsi="仿宋_GB2312" w:eastAsia="仿宋_GB2312" w:cs="仿宋_GB2312"/>
                      <w:color w:val="000000"/>
                      <w:sz w:val="20"/>
                    </w:rPr>
                    <w:t>12)▲系统能够记录详细的文章操作日志，可以记录站群系统中被操作文章的网站信息、操作内容、操作类型等信息，支持按照站点和操作类型进行筛选，并支持针对日志以Excel文件导出。</w:t>
                  </w:r>
                </w:p>
                <w:p w14:paraId="0A51223C">
                  <w:pPr>
                    <w:pStyle w:val="4"/>
                    <w:ind w:firstLine="400"/>
                  </w:pPr>
                  <w:r>
                    <w:rPr>
                      <w:rFonts w:ascii="仿宋_GB2312" w:hAnsi="仿宋_GB2312" w:eastAsia="仿宋_GB2312" w:cs="仿宋_GB2312"/>
                      <w:color w:val="000000"/>
                      <w:sz w:val="20"/>
                    </w:rPr>
                    <w:t>13)系统具有可视化审核流程配置功能。系统内置三审三校审核流程模板。</w:t>
                  </w:r>
                </w:p>
                <w:p w14:paraId="2CF83C28">
                  <w:pPr>
                    <w:pStyle w:val="4"/>
                    <w:ind w:firstLine="400"/>
                  </w:pPr>
                  <w:r>
                    <w:rPr>
                      <w:rFonts w:ascii="仿宋_GB2312" w:hAnsi="仿宋_GB2312" w:eastAsia="仿宋_GB2312" w:cs="仿宋_GB2312"/>
                      <w:color w:val="000000"/>
                      <w:sz w:val="20"/>
                    </w:rPr>
                    <w:t>14)▲针对文章审核过程支持查阅文章历史审核记录，一键输入审核意见，支持审核过程附件上传，明确反馈审核信息。</w:t>
                  </w:r>
                </w:p>
                <w:p w14:paraId="60A5B54C">
                  <w:pPr>
                    <w:pStyle w:val="4"/>
                    <w:ind w:firstLine="400"/>
                  </w:pPr>
                  <w:r>
                    <w:rPr>
                      <w:rFonts w:ascii="仿宋_GB2312" w:hAnsi="仿宋_GB2312" w:eastAsia="仿宋_GB2312" w:cs="仿宋_GB2312"/>
                      <w:color w:val="000000"/>
                      <w:sz w:val="20"/>
                    </w:rPr>
                    <w:t>15)网站文章提交后支持查看文章当前的审核状态及处理人、处理意见等相关信息。审核记录按照时间轴展示，可查看下一节点待审人。</w:t>
                  </w:r>
                </w:p>
                <w:p w14:paraId="585137C7">
                  <w:pPr>
                    <w:pStyle w:val="4"/>
                    <w:ind w:firstLine="400"/>
                  </w:pPr>
                  <w:r>
                    <w:rPr>
                      <w:rFonts w:ascii="仿宋_GB2312" w:hAnsi="仿宋_GB2312" w:eastAsia="仿宋_GB2312" w:cs="仿宋_GB2312"/>
                      <w:color w:val="000000"/>
                      <w:sz w:val="20"/>
                    </w:rPr>
                    <w:t>16)系统提供云文件库功能，支持所有上传文件自动转存到文件库，可对资源按照图片、视频、音频、文档等分类进行存储，用户可以使用或删除个人文件，同时可以查看其他管理员共享的公共文件。对文件的引用情况可实现站点、栏目、文章、地址等详细信息的查看。</w:t>
                  </w:r>
                </w:p>
              </w:tc>
            </w:tr>
            <w:tr w14:paraId="62285E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6A1D80">
                  <w:pPr>
                    <w:pStyle w:val="4"/>
                    <w:ind w:left="420"/>
                    <w:jc w:val="right"/>
                  </w:pPr>
                  <w:r>
                    <w:rPr>
                      <w:rFonts w:ascii="仿宋_GB2312" w:hAnsi="仿宋_GB2312" w:eastAsia="仿宋_GB2312" w:cs="仿宋_GB2312"/>
                      <w:color w:val="000000"/>
                      <w:sz w:val="20"/>
                    </w:rPr>
                    <w:t>28.</w:t>
                  </w:r>
                </w:p>
              </w:tc>
              <w:tc>
                <w:tcPr>
                  <w:tcW w:w="282" w:type="dxa"/>
                  <w:vMerge w:val="continue"/>
                  <w:tcBorders>
                    <w:top w:val="nil"/>
                    <w:left w:val="single" w:color="000000" w:sz="4" w:space="0"/>
                    <w:bottom w:val="single" w:color="000000" w:sz="4" w:space="0"/>
                    <w:right w:val="single" w:color="000000" w:sz="4" w:space="0"/>
                  </w:tcBorders>
                </w:tcPr>
                <w:p w14:paraId="7F7638E2"/>
              </w:tc>
              <w:tc>
                <w:tcPr>
                  <w:tcW w:w="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2DA65B">
                  <w:pPr>
                    <w:pStyle w:val="4"/>
                    <w:jc w:val="center"/>
                  </w:pPr>
                  <w:r>
                    <w:rPr>
                      <w:rFonts w:ascii="仿宋_GB2312" w:hAnsi="仿宋_GB2312" w:eastAsia="仿宋_GB2312" w:cs="仿宋_GB2312"/>
                      <w:color w:val="000000"/>
                      <w:sz w:val="20"/>
                    </w:rPr>
                    <w:t>新媒体发布</w:t>
                  </w:r>
                </w:p>
              </w:tc>
              <w:tc>
                <w:tcPr>
                  <w:tcW w:w="17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6E3C3A">
                  <w:pPr>
                    <w:pStyle w:val="4"/>
                    <w:ind w:firstLine="400"/>
                    <w:jc w:val="both"/>
                  </w:pPr>
                  <w:r>
                    <w:rPr>
                      <w:rFonts w:ascii="仿宋_GB2312" w:hAnsi="仿宋_GB2312" w:eastAsia="仿宋_GB2312" w:cs="仿宋_GB2312"/>
                      <w:color w:val="000000"/>
                      <w:sz w:val="20"/>
                    </w:rPr>
                    <w:t>1)支持按照部门为管理单元，提供新媒体账号（微信、微博）的关联对接，用户可以在多个媒体渠道之间进行切换。</w:t>
                  </w:r>
                </w:p>
                <w:p w14:paraId="24769091">
                  <w:pPr>
                    <w:pStyle w:val="4"/>
                    <w:ind w:firstLine="400"/>
                    <w:jc w:val="both"/>
                  </w:pPr>
                  <w:r>
                    <w:rPr>
                      <w:rFonts w:ascii="仿宋_GB2312" w:hAnsi="仿宋_GB2312" w:eastAsia="仿宋_GB2312" w:cs="仿宋_GB2312"/>
                      <w:color w:val="000000"/>
                      <w:sz w:val="20"/>
                    </w:rPr>
                    <w:t>2)支持网站文章推送到本部门微信、微博账号的素材库，也可在新媒体内容编辑时，选择本部门网站已发布的任意文章作为素材编辑发布。</w:t>
                  </w:r>
                </w:p>
                <w:p w14:paraId="5048BB08">
                  <w:pPr>
                    <w:pStyle w:val="4"/>
                    <w:ind w:firstLine="400"/>
                    <w:jc w:val="both"/>
                  </w:pPr>
                  <w:r>
                    <w:rPr>
                      <w:rFonts w:ascii="仿宋_GB2312" w:hAnsi="仿宋_GB2312" w:eastAsia="仿宋_GB2312" w:cs="仿宋_GB2312"/>
                      <w:color w:val="000000"/>
                      <w:sz w:val="20"/>
                    </w:rPr>
                    <w:t>3)支持微信公众号管理，支持公众号自动回复消息设置和自定义菜单。系统须具备微信端编辑器，提供多种微信公众号文章内容框素材，同时系统需打通135编辑器，实现微信内容的优化处理。</w:t>
                  </w:r>
                </w:p>
                <w:p w14:paraId="58F99CF0">
                  <w:pPr>
                    <w:pStyle w:val="4"/>
                    <w:ind w:firstLine="400"/>
                    <w:jc w:val="both"/>
                  </w:pPr>
                  <w:r>
                    <w:rPr>
                      <w:rFonts w:ascii="仿宋_GB2312" w:hAnsi="仿宋_GB2312" w:eastAsia="仿宋_GB2312" w:cs="仿宋_GB2312"/>
                      <w:color w:val="000000"/>
                      <w:sz w:val="20"/>
                    </w:rPr>
                    <w:t>4)系统内置微博编辑器，可以快速在平台编辑微博文章。</w:t>
                  </w:r>
                </w:p>
                <w:p w14:paraId="333D964F">
                  <w:pPr>
                    <w:pStyle w:val="4"/>
                    <w:ind w:firstLine="400"/>
                    <w:jc w:val="both"/>
                  </w:pPr>
                  <w:r>
                    <w:rPr>
                      <w:rFonts w:ascii="仿宋_GB2312" w:hAnsi="仿宋_GB2312" w:eastAsia="仿宋_GB2312" w:cs="仿宋_GB2312"/>
                      <w:color w:val="000000"/>
                      <w:sz w:val="20"/>
                    </w:rPr>
                    <w:t>5)支持发布预览，可以模拟浏览当前账号在微信、微博发布文章展示的效果。支持对微博发布历史查看，可以对已发布的微博进行重新编辑或删除。</w:t>
                  </w:r>
                </w:p>
                <w:p w14:paraId="515E6176">
                  <w:pPr>
                    <w:pStyle w:val="4"/>
                    <w:ind w:firstLine="400"/>
                    <w:jc w:val="both"/>
                  </w:pPr>
                  <w:r>
                    <w:rPr>
                      <w:rFonts w:ascii="仿宋_GB2312" w:hAnsi="仿宋_GB2312" w:eastAsia="仿宋_GB2312" w:cs="仿宋_GB2312"/>
                      <w:color w:val="000000"/>
                      <w:sz w:val="20"/>
                    </w:rPr>
                    <w:t>6)支持统一对微信、微博发布信息进行检索，支持对平台中已发布微博、微信公众号文章进行一键撤稿。</w:t>
                  </w:r>
                </w:p>
              </w:tc>
            </w:tr>
            <w:tr w14:paraId="2608AB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4C27FE">
                  <w:pPr>
                    <w:pStyle w:val="4"/>
                    <w:ind w:left="420"/>
                    <w:jc w:val="right"/>
                  </w:pPr>
                  <w:r>
                    <w:rPr>
                      <w:rFonts w:ascii="仿宋_GB2312" w:hAnsi="仿宋_GB2312" w:eastAsia="仿宋_GB2312" w:cs="仿宋_GB2312"/>
                      <w:color w:val="000000"/>
                      <w:sz w:val="20"/>
                    </w:rPr>
                    <w:t>29.</w:t>
                  </w:r>
                </w:p>
              </w:tc>
              <w:tc>
                <w:tcPr>
                  <w:tcW w:w="282" w:type="dxa"/>
                  <w:vMerge w:val="continue"/>
                  <w:tcBorders>
                    <w:top w:val="nil"/>
                    <w:left w:val="single" w:color="000000" w:sz="4" w:space="0"/>
                    <w:bottom w:val="single" w:color="000000" w:sz="4" w:space="0"/>
                    <w:right w:val="single" w:color="000000" w:sz="4" w:space="0"/>
                  </w:tcBorders>
                </w:tcPr>
                <w:p w14:paraId="1BE9EA75"/>
              </w:tc>
              <w:tc>
                <w:tcPr>
                  <w:tcW w:w="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615519">
                  <w:pPr>
                    <w:pStyle w:val="4"/>
                    <w:jc w:val="center"/>
                  </w:pPr>
                  <w:r>
                    <w:rPr>
                      <w:rFonts w:ascii="仿宋_GB2312" w:hAnsi="仿宋_GB2312" w:eastAsia="仿宋_GB2312" w:cs="仿宋_GB2312"/>
                      <w:color w:val="000000"/>
                      <w:sz w:val="20"/>
                    </w:rPr>
                    <w:t>系统内容检索与处理</w:t>
                  </w:r>
                </w:p>
              </w:tc>
              <w:tc>
                <w:tcPr>
                  <w:tcW w:w="17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655B35">
                  <w:pPr>
                    <w:pStyle w:val="4"/>
                    <w:ind w:firstLine="480"/>
                  </w:pPr>
                  <w:r>
                    <w:rPr>
                      <w:rFonts w:ascii="仿宋_GB2312" w:hAnsi="仿宋_GB2312" w:eastAsia="仿宋_GB2312" w:cs="仿宋_GB2312"/>
                      <w:color w:val="000000"/>
                      <w:sz w:val="20"/>
                    </w:rPr>
                    <w:t>1)系统支持自定义词汇、隐私信息、非法链接、外链、身份证、电话、证件号、邮箱、内网IP的检索与处理。</w:t>
                  </w:r>
                </w:p>
                <w:p w14:paraId="71A0042E">
                  <w:pPr>
                    <w:pStyle w:val="4"/>
                    <w:ind w:firstLine="480"/>
                  </w:pPr>
                  <w:r>
                    <w:rPr>
                      <w:rFonts w:ascii="仿宋_GB2312" w:hAnsi="仿宋_GB2312" w:eastAsia="仿宋_GB2312" w:cs="仿宋_GB2312"/>
                      <w:color w:val="000000"/>
                      <w:sz w:val="20"/>
                    </w:rPr>
                    <w:t>2)▲支持以站点视角及分类视角两种维度，查看站群下的各个站点自定义词汇、危险链接和隐私信息的检索结果，可对文章、资料、模板、附件、新媒体的检索信息进行单个或批量处理，处理过程中可对处理结果进行一键验证。</w:t>
                  </w:r>
                </w:p>
                <w:p w14:paraId="50450172">
                  <w:pPr>
                    <w:pStyle w:val="4"/>
                    <w:ind w:firstLine="480"/>
                  </w:pPr>
                  <w:r>
                    <w:rPr>
                      <w:rFonts w:ascii="仿宋_GB2312" w:hAnsi="仿宋_GB2312" w:eastAsia="仿宋_GB2312" w:cs="仿宋_GB2312"/>
                      <w:color w:val="000000"/>
                      <w:sz w:val="20"/>
                    </w:rPr>
                    <w:t>3)检索的结果可直接按照部门站点划分并下放，支持每个站点管理员查看并处理当前站点信息检索结果。</w:t>
                  </w:r>
                </w:p>
                <w:p w14:paraId="5E575974">
                  <w:pPr>
                    <w:pStyle w:val="4"/>
                    <w:ind w:firstLine="480"/>
                  </w:pPr>
                  <w:r>
                    <w:rPr>
                      <w:rFonts w:ascii="仿宋_GB2312" w:hAnsi="仿宋_GB2312" w:eastAsia="仿宋_GB2312" w:cs="仿宋_GB2312"/>
                      <w:color w:val="000000"/>
                      <w:sz w:val="20"/>
                    </w:rPr>
                    <w:t>4)支持对每次检索后的处理结果统计分析，包括已处理数量及未处理数量，可对单次检索后的处理结果进行本地excel导出。</w:t>
                  </w:r>
                </w:p>
              </w:tc>
            </w:tr>
            <w:tr w14:paraId="77392B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E6D2E6">
                  <w:pPr>
                    <w:pStyle w:val="4"/>
                    <w:ind w:left="420"/>
                    <w:jc w:val="right"/>
                  </w:pPr>
                  <w:r>
                    <w:rPr>
                      <w:rFonts w:ascii="仿宋_GB2312" w:hAnsi="仿宋_GB2312" w:eastAsia="仿宋_GB2312" w:cs="仿宋_GB2312"/>
                      <w:color w:val="000000"/>
                      <w:sz w:val="20"/>
                    </w:rPr>
                    <w:t>30.</w:t>
                  </w:r>
                </w:p>
              </w:tc>
              <w:tc>
                <w:tcPr>
                  <w:tcW w:w="282" w:type="dxa"/>
                  <w:vMerge w:val="continue"/>
                  <w:tcBorders>
                    <w:top w:val="nil"/>
                    <w:left w:val="single" w:color="000000" w:sz="4" w:space="0"/>
                    <w:bottom w:val="single" w:color="000000" w:sz="4" w:space="0"/>
                    <w:right w:val="single" w:color="000000" w:sz="4" w:space="0"/>
                  </w:tcBorders>
                </w:tcPr>
                <w:p w14:paraId="788600F9"/>
              </w:tc>
              <w:tc>
                <w:tcPr>
                  <w:tcW w:w="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8B7505">
                  <w:pPr>
                    <w:pStyle w:val="4"/>
                    <w:jc w:val="center"/>
                  </w:pPr>
                  <w:r>
                    <w:rPr>
                      <w:rFonts w:ascii="仿宋_GB2312" w:hAnsi="仿宋_GB2312" w:eastAsia="仿宋_GB2312" w:cs="仿宋_GB2312"/>
                      <w:color w:val="000000"/>
                      <w:sz w:val="20"/>
                    </w:rPr>
                    <w:t>统计分析</w:t>
                  </w:r>
                </w:p>
              </w:tc>
              <w:tc>
                <w:tcPr>
                  <w:tcW w:w="17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8DC38E">
                  <w:pPr>
                    <w:pStyle w:val="4"/>
                    <w:ind w:firstLine="400"/>
                    <w:jc w:val="both"/>
                  </w:pPr>
                  <w:r>
                    <w:rPr>
                      <w:rFonts w:ascii="仿宋_GB2312" w:hAnsi="仿宋_GB2312" w:eastAsia="仿宋_GB2312" w:cs="仿宋_GB2312"/>
                      <w:color w:val="000000"/>
                      <w:sz w:val="20"/>
                    </w:rPr>
                    <w:t>1)站点运营数据管理过程中，提供针对每一个网站的访问的相关数据统计，包括统计访问记录、页面浏览数、来访IP数、访问时间段、访问排名及来访省份统计。</w:t>
                  </w:r>
                </w:p>
                <w:p w14:paraId="5161D21E">
                  <w:pPr>
                    <w:pStyle w:val="4"/>
                    <w:ind w:firstLine="400"/>
                    <w:jc w:val="both"/>
                  </w:pPr>
                  <w:r>
                    <w:rPr>
                      <w:rFonts w:ascii="仿宋_GB2312" w:hAnsi="仿宋_GB2312" w:eastAsia="仿宋_GB2312" w:cs="仿宋_GB2312"/>
                      <w:color w:val="000000"/>
                      <w:sz w:val="20"/>
                    </w:rPr>
                    <w:t>2)支持针对网站内容的相关数据统计，包括网站管理员信息量、栏目信息量、分组信息量、栏目新闻数、网站在线管理员等数据的统计。</w:t>
                  </w:r>
                </w:p>
                <w:p w14:paraId="39666DFD">
                  <w:pPr>
                    <w:pStyle w:val="4"/>
                    <w:ind w:firstLine="400"/>
                    <w:jc w:val="both"/>
                  </w:pPr>
                  <w:r>
                    <w:rPr>
                      <w:rFonts w:ascii="仿宋_GB2312" w:hAnsi="仿宋_GB2312" w:eastAsia="仿宋_GB2312" w:cs="仿宋_GB2312"/>
                      <w:color w:val="000000"/>
                      <w:sz w:val="20"/>
                    </w:rPr>
                    <w:t>3)支持对微信、微博运营情况进行统计分析，包括账号数量、发文数量、粉丝数量等。需对微信、微博等各发布渠道的文章按照阅读量等进行热度统计，综合展示当前单位内各新媒体渠道的热门文章。</w:t>
                  </w:r>
                </w:p>
              </w:tc>
            </w:tr>
            <w:tr w14:paraId="0AD2E3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75AF93">
                  <w:pPr>
                    <w:pStyle w:val="4"/>
                    <w:ind w:left="420"/>
                    <w:jc w:val="right"/>
                  </w:pPr>
                  <w:r>
                    <w:rPr>
                      <w:rFonts w:ascii="仿宋_GB2312" w:hAnsi="仿宋_GB2312" w:eastAsia="仿宋_GB2312" w:cs="仿宋_GB2312"/>
                      <w:color w:val="000000"/>
                      <w:sz w:val="20"/>
                    </w:rPr>
                    <w:t>31.</w:t>
                  </w:r>
                </w:p>
              </w:tc>
              <w:tc>
                <w:tcPr>
                  <w:tcW w:w="282" w:type="dxa"/>
                  <w:vMerge w:val="continue"/>
                  <w:tcBorders>
                    <w:top w:val="nil"/>
                    <w:left w:val="single" w:color="000000" w:sz="4" w:space="0"/>
                    <w:bottom w:val="single" w:color="000000" w:sz="4" w:space="0"/>
                    <w:right w:val="single" w:color="000000" w:sz="4" w:space="0"/>
                  </w:tcBorders>
                </w:tcPr>
                <w:p w14:paraId="7761103F"/>
              </w:tc>
              <w:tc>
                <w:tcPr>
                  <w:tcW w:w="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A8FA43">
                  <w:pPr>
                    <w:pStyle w:val="4"/>
                    <w:jc w:val="center"/>
                  </w:pPr>
                  <w:r>
                    <w:rPr>
                      <w:rFonts w:ascii="仿宋_GB2312" w:hAnsi="仿宋_GB2312" w:eastAsia="仿宋_GB2312" w:cs="仿宋_GB2312"/>
                      <w:color w:val="000000"/>
                      <w:sz w:val="20"/>
                    </w:rPr>
                    <w:t>安全威胁防控体系</w:t>
                  </w:r>
                </w:p>
              </w:tc>
              <w:tc>
                <w:tcPr>
                  <w:tcW w:w="17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615CA4">
                  <w:pPr>
                    <w:pStyle w:val="4"/>
                    <w:ind w:firstLine="400"/>
                    <w:jc w:val="both"/>
                  </w:pPr>
                  <w:r>
                    <w:rPr>
                      <w:rFonts w:ascii="仿宋_GB2312" w:hAnsi="仿宋_GB2312" w:eastAsia="仿宋_GB2312" w:cs="仿宋_GB2312"/>
                      <w:color w:val="000000"/>
                      <w:sz w:val="20"/>
                    </w:rPr>
                    <w:t>1)支持表层防护，业务防护和内核防护的三级防护模式。</w:t>
                  </w:r>
                </w:p>
                <w:p w14:paraId="52A72817">
                  <w:pPr>
                    <w:pStyle w:val="4"/>
                    <w:ind w:firstLine="400"/>
                    <w:jc w:val="both"/>
                  </w:pPr>
                  <w:r>
                    <w:rPr>
                      <w:rFonts w:ascii="仿宋_GB2312" w:hAnsi="仿宋_GB2312" w:eastAsia="仿宋_GB2312" w:cs="仿宋_GB2312"/>
                      <w:color w:val="000000"/>
                      <w:sz w:val="20"/>
                    </w:rPr>
                    <w:t>2)▲针对系统内部面临的不同种类的攻击情况，进行记录与分析，需支持具体的攻击参数、应用堆栈、请求URL及请求来源记录。</w:t>
                  </w:r>
                </w:p>
              </w:tc>
            </w:tr>
            <w:tr w14:paraId="3EE807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52F3F3">
                  <w:pPr>
                    <w:pStyle w:val="4"/>
                    <w:ind w:left="420"/>
                    <w:jc w:val="right"/>
                  </w:pPr>
                  <w:r>
                    <w:rPr>
                      <w:rFonts w:ascii="仿宋_GB2312" w:hAnsi="仿宋_GB2312" w:eastAsia="仿宋_GB2312" w:cs="仿宋_GB2312"/>
                      <w:color w:val="000000"/>
                      <w:sz w:val="20"/>
                    </w:rPr>
                    <w:t>32.</w:t>
                  </w:r>
                </w:p>
              </w:tc>
              <w:tc>
                <w:tcPr>
                  <w:tcW w:w="282" w:type="dxa"/>
                  <w:vMerge w:val="continue"/>
                  <w:tcBorders>
                    <w:top w:val="nil"/>
                    <w:left w:val="single" w:color="000000" w:sz="4" w:space="0"/>
                    <w:bottom w:val="single" w:color="000000" w:sz="4" w:space="0"/>
                    <w:right w:val="single" w:color="000000" w:sz="4" w:space="0"/>
                  </w:tcBorders>
                </w:tcPr>
                <w:p w14:paraId="736672BF"/>
              </w:tc>
              <w:tc>
                <w:tcPr>
                  <w:tcW w:w="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D75CD0">
                  <w:pPr>
                    <w:pStyle w:val="4"/>
                    <w:jc w:val="center"/>
                  </w:pPr>
                  <w:r>
                    <w:rPr>
                      <w:rFonts w:ascii="仿宋_GB2312" w:hAnsi="仿宋_GB2312" w:eastAsia="仿宋_GB2312" w:cs="仿宋_GB2312"/>
                      <w:color w:val="000000"/>
                      <w:sz w:val="20"/>
                    </w:rPr>
                    <w:t>场景化安全运维</w:t>
                  </w:r>
                </w:p>
              </w:tc>
              <w:tc>
                <w:tcPr>
                  <w:tcW w:w="17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A89051">
                  <w:pPr>
                    <w:pStyle w:val="4"/>
                    <w:ind w:firstLine="400"/>
                    <w:jc w:val="both"/>
                  </w:pPr>
                  <w:r>
                    <w:rPr>
                      <w:rFonts w:ascii="仿宋_GB2312" w:hAnsi="仿宋_GB2312" w:eastAsia="仿宋_GB2312" w:cs="仿宋_GB2312"/>
                      <w:color w:val="000000"/>
                      <w:sz w:val="20"/>
                    </w:rPr>
                    <w:t>1)平台应具备场景化运维管控能力，支持按照不同场景来配置站群安全运维模式。</w:t>
                  </w:r>
                </w:p>
                <w:p w14:paraId="097DD8D1">
                  <w:pPr>
                    <w:pStyle w:val="4"/>
                    <w:ind w:firstLine="400"/>
                    <w:jc w:val="both"/>
                  </w:pPr>
                  <w:r>
                    <w:rPr>
                      <w:rFonts w:ascii="仿宋_GB2312" w:hAnsi="仿宋_GB2312" w:eastAsia="仿宋_GB2312" w:cs="仿宋_GB2312"/>
                      <w:color w:val="000000"/>
                      <w:sz w:val="20"/>
                    </w:rPr>
                    <w:t>2)支持对未纳入场景规则之下的站点进行数字提示，杜绝场景化运维过程中的站点遗漏问题。</w:t>
                  </w:r>
                </w:p>
                <w:p w14:paraId="7546C41D">
                  <w:pPr>
                    <w:pStyle w:val="4"/>
                    <w:ind w:firstLine="400"/>
                    <w:jc w:val="both"/>
                  </w:pPr>
                  <w:r>
                    <w:rPr>
                      <w:rFonts w:ascii="仿宋_GB2312" w:hAnsi="仿宋_GB2312" w:eastAsia="仿宋_GB2312" w:cs="仿宋_GB2312"/>
                      <w:color w:val="000000"/>
                      <w:sz w:val="20"/>
                    </w:rPr>
                    <w:t>3)系统支持针对风险管理员账号进行检测和管理，支持对长期未登录用户进行监管和快速封禁，能够针对长期未登录或权限过载等风险管理员账号进行合理划分并选择性禁用。</w:t>
                  </w:r>
                </w:p>
              </w:tc>
            </w:tr>
            <w:tr w14:paraId="725014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568E06">
                  <w:pPr>
                    <w:pStyle w:val="4"/>
                    <w:ind w:left="420"/>
                    <w:jc w:val="right"/>
                  </w:pPr>
                  <w:r>
                    <w:rPr>
                      <w:rFonts w:ascii="仿宋_GB2312" w:hAnsi="仿宋_GB2312" w:eastAsia="仿宋_GB2312" w:cs="仿宋_GB2312"/>
                      <w:color w:val="000000"/>
                      <w:sz w:val="20"/>
                    </w:rPr>
                    <w:t>33.</w:t>
                  </w:r>
                </w:p>
              </w:tc>
              <w:tc>
                <w:tcPr>
                  <w:tcW w:w="282" w:type="dxa"/>
                  <w:vMerge w:val="continue"/>
                  <w:tcBorders>
                    <w:top w:val="nil"/>
                    <w:left w:val="single" w:color="000000" w:sz="4" w:space="0"/>
                    <w:bottom w:val="single" w:color="000000" w:sz="4" w:space="0"/>
                    <w:right w:val="single" w:color="000000" w:sz="4" w:space="0"/>
                  </w:tcBorders>
                </w:tcPr>
                <w:p w14:paraId="368CB4E4"/>
              </w:tc>
              <w:tc>
                <w:tcPr>
                  <w:tcW w:w="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E9D450">
                  <w:pPr>
                    <w:pStyle w:val="4"/>
                    <w:jc w:val="center"/>
                  </w:pPr>
                  <w:r>
                    <w:rPr>
                      <w:rFonts w:ascii="仿宋_GB2312" w:hAnsi="仿宋_GB2312" w:eastAsia="仿宋_GB2312" w:cs="仿宋_GB2312"/>
                      <w:color w:val="000000"/>
                      <w:sz w:val="20"/>
                    </w:rPr>
                    <w:t>网页防篡改系统</w:t>
                  </w:r>
                </w:p>
              </w:tc>
              <w:tc>
                <w:tcPr>
                  <w:tcW w:w="17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63A986">
                  <w:pPr>
                    <w:pStyle w:val="4"/>
                    <w:ind w:firstLine="400"/>
                    <w:jc w:val="both"/>
                  </w:pPr>
                  <w:r>
                    <w:rPr>
                      <w:rFonts w:ascii="仿宋_GB2312" w:hAnsi="仿宋_GB2312" w:eastAsia="仿宋_GB2312" w:cs="仿宋_GB2312"/>
                      <w:color w:val="000000"/>
                      <w:sz w:val="20"/>
                    </w:rPr>
                    <w:t>1)采用先进的Web 服务器核心内嵌机制，实现对静态网页和脚本的实时检测和恢复，保护数据库中的动态内容免受来自 Web 的攻击和篡改。</w:t>
                  </w:r>
                </w:p>
                <w:p w14:paraId="3F51ED12">
                  <w:pPr>
                    <w:pStyle w:val="4"/>
                    <w:ind w:firstLine="400"/>
                    <w:jc w:val="both"/>
                  </w:pPr>
                  <w:r>
                    <w:rPr>
                      <w:rFonts w:ascii="仿宋_GB2312" w:hAnsi="仿宋_GB2312" w:eastAsia="仿宋_GB2312" w:cs="仿宋_GB2312"/>
                      <w:color w:val="000000"/>
                      <w:sz w:val="20"/>
                    </w:rPr>
                    <w:t>2)▲系统具备防篡改功能，能够对每一个网站防篡改开启或关闭进行检测，内置防篡改日志查询，保护站群内所有站点的安全。</w:t>
                  </w:r>
                </w:p>
              </w:tc>
            </w:tr>
            <w:tr w14:paraId="54F4B9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F14D6E">
                  <w:pPr>
                    <w:pStyle w:val="4"/>
                    <w:ind w:left="420"/>
                    <w:jc w:val="right"/>
                  </w:pPr>
                  <w:r>
                    <w:rPr>
                      <w:rFonts w:ascii="仿宋_GB2312" w:hAnsi="仿宋_GB2312" w:eastAsia="仿宋_GB2312" w:cs="仿宋_GB2312"/>
                      <w:color w:val="000000"/>
                      <w:sz w:val="20"/>
                    </w:rPr>
                    <w:t>34.</w:t>
                  </w:r>
                </w:p>
              </w:tc>
              <w:tc>
                <w:tcPr>
                  <w:tcW w:w="282" w:type="dxa"/>
                  <w:vMerge w:val="continue"/>
                  <w:tcBorders>
                    <w:top w:val="nil"/>
                    <w:left w:val="single" w:color="000000" w:sz="4" w:space="0"/>
                    <w:bottom w:val="single" w:color="000000" w:sz="4" w:space="0"/>
                    <w:right w:val="single" w:color="000000" w:sz="4" w:space="0"/>
                  </w:tcBorders>
                </w:tcPr>
                <w:p w14:paraId="0C60AE55"/>
              </w:tc>
              <w:tc>
                <w:tcPr>
                  <w:tcW w:w="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FE74ED">
                  <w:pPr>
                    <w:pStyle w:val="4"/>
                    <w:jc w:val="center"/>
                  </w:pPr>
                  <w:r>
                    <w:rPr>
                      <w:rFonts w:ascii="仿宋_GB2312" w:hAnsi="仿宋_GB2312" w:eastAsia="仿宋_GB2312" w:cs="仿宋_GB2312"/>
                      <w:color w:val="000000"/>
                      <w:sz w:val="20"/>
                    </w:rPr>
                    <w:t>应用开放平台</w:t>
                  </w:r>
                </w:p>
              </w:tc>
              <w:tc>
                <w:tcPr>
                  <w:tcW w:w="17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7C2D9C">
                  <w:pPr>
                    <w:pStyle w:val="4"/>
                    <w:ind w:firstLine="400"/>
                    <w:jc w:val="both"/>
                  </w:pPr>
                  <w:r>
                    <w:rPr>
                      <w:rFonts w:ascii="仿宋_GB2312" w:hAnsi="仿宋_GB2312" w:eastAsia="仿宋_GB2312" w:cs="仿宋_GB2312"/>
                      <w:color w:val="000000"/>
                      <w:sz w:val="20"/>
                    </w:rPr>
                    <w:t>1)应用管理系统能够与网站群无缝集成，实现网站与动态应用的动静分离。</w:t>
                  </w:r>
                </w:p>
                <w:p w14:paraId="65F5D51C">
                  <w:pPr>
                    <w:pStyle w:val="4"/>
                    <w:ind w:firstLine="400"/>
                    <w:jc w:val="both"/>
                  </w:pPr>
                  <w:r>
                    <w:rPr>
                      <w:rFonts w:ascii="仿宋_GB2312" w:hAnsi="仿宋_GB2312" w:eastAsia="仿宋_GB2312" w:cs="仿宋_GB2312"/>
                      <w:color w:val="000000"/>
                      <w:sz w:val="20"/>
                    </w:rPr>
                    <w:t>2)系统支持动态应用主动申请，系统当中可展示目前站点使用过和正在使用的全部应用，支持应用搜索查询，可点击查看应用详情。点击应用申请，填写申请原因，提交等待系统端审批。</w:t>
                  </w:r>
                </w:p>
                <w:p w14:paraId="5AC338C0">
                  <w:pPr>
                    <w:pStyle w:val="4"/>
                    <w:ind w:firstLine="400"/>
                    <w:jc w:val="both"/>
                  </w:pPr>
                  <w:r>
                    <w:rPr>
                      <w:rFonts w:ascii="仿宋_GB2312" w:hAnsi="仿宋_GB2312" w:eastAsia="仿宋_GB2312" w:cs="仿宋_GB2312"/>
                      <w:color w:val="000000"/>
                      <w:sz w:val="20"/>
                    </w:rPr>
                    <w:t>3)系统需提供多款内置应用，至少包含自定义表单、问卷调研、留言板，便于应用的可视化快速搭建。</w:t>
                  </w:r>
                </w:p>
                <w:p w14:paraId="7A5DF119">
                  <w:pPr>
                    <w:pStyle w:val="4"/>
                    <w:ind w:firstLine="400"/>
                    <w:jc w:val="both"/>
                  </w:pPr>
                  <w:r>
                    <w:rPr>
                      <w:rFonts w:ascii="仿宋_GB2312" w:hAnsi="仿宋_GB2312" w:eastAsia="仿宋_GB2312" w:cs="仿宋_GB2312"/>
                      <w:color w:val="000000"/>
                      <w:sz w:val="20"/>
                    </w:rPr>
                    <w:t>4)系统需支持针对动态应用的一键关停，对该平台所有站点的所有应用的前端进行禁用，且不影响网站群本身静态信息发布与管理，一键关停后，支持对动态应用一键启用。</w:t>
                  </w:r>
                </w:p>
              </w:tc>
            </w:tr>
            <w:tr w14:paraId="43A117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0E635A">
                  <w:pPr>
                    <w:pStyle w:val="4"/>
                    <w:ind w:left="420"/>
                    <w:jc w:val="right"/>
                  </w:pPr>
                  <w:r>
                    <w:rPr>
                      <w:rFonts w:ascii="仿宋_GB2312" w:hAnsi="仿宋_GB2312" w:eastAsia="仿宋_GB2312" w:cs="仿宋_GB2312"/>
                      <w:color w:val="000000"/>
                      <w:sz w:val="20"/>
                    </w:rPr>
                    <w:t>35.</w:t>
                  </w:r>
                </w:p>
              </w:tc>
              <w:tc>
                <w:tcPr>
                  <w:tcW w:w="282" w:type="dxa"/>
                  <w:vMerge w:val="continue"/>
                  <w:tcBorders>
                    <w:top w:val="nil"/>
                    <w:left w:val="single" w:color="000000" w:sz="4" w:space="0"/>
                    <w:bottom w:val="single" w:color="000000" w:sz="4" w:space="0"/>
                    <w:right w:val="single" w:color="000000" w:sz="4" w:space="0"/>
                  </w:tcBorders>
                </w:tcPr>
                <w:p w14:paraId="44CF58EB"/>
              </w:tc>
              <w:tc>
                <w:tcPr>
                  <w:tcW w:w="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7DFD91">
                  <w:pPr>
                    <w:pStyle w:val="4"/>
                    <w:jc w:val="center"/>
                  </w:pPr>
                  <w:r>
                    <w:rPr>
                      <w:rFonts w:ascii="仿宋_GB2312" w:hAnsi="仿宋_GB2312" w:eastAsia="仿宋_GB2312" w:cs="仿宋_GB2312"/>
                      <w:color w:val="000000"/>
                      <w:sz w:val="20"/>
                    </w:rPr>
                    <w:t>智能检索</w:t>
                  </w:r>
                </w:p>
              </w:tc>
              <w:tc>
                <w:tcPr>
                  <w:tcW w:w="17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54674D">
                  <w:pPr>
                    <w:pStyle w:val="4"/>
                    <w:ind w:firstLine="400"/>
                  </w:pPr>
                  <w:r>
                    <w:rPr>
                      <w:rFonts w:ascii="仿宋_GB2312" w:hAnsi="仿宋_GB2312" w:eastAsia="仿宋_GB2312" w:cs="仿宋_GB2312"/>
                      <w:color w:val="000000"/>
                      <w:sz w:val="20"/>
                    </w:rPr>
                    <w:t>1)系统需要支持跨网站搜索，搜索模式需要实现模糊搜索、目录搜索、全文搜索，有效提升搜索精准度。在前端网站搜索时，需要实现搜索输入提示、搜索结果分类展示，最终展现结果可配置模板。</w:t>
                  </w:r>
                </w:p>
                <w:p w14:paraId="04F3544E">
                  <w:pPr>
                    <w:pStyle w:val="4"/>
                    <w:ind w:firstLine="400"/>
                  </w:pPr>
                  <w:r>
                    <w:rPr>
                      <w:rFonts w:ascii="仿宋_GB2312" w:hAnsi="仿宋_GB2312" w:eastAsia="仿宋_GB2312" w:cs="仿宋_GB2312"/>
                      <w:color w:val="000000"/>
                      <w:sz w:val="20"/>
                    </w:rPr>
                    <w:t>2)针对搜索范围，平台需要支持站群搜索、单独站点搜索，可自由切换站点查看对应搜索结果，提升了搜索深度与范围。</w:t>
                  </w:r>
                </w:p>
              </w:tc>
            </w:tr>
            <w:tr w14:paraId="2FC764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BCE646">
                  <w:pPr>
                    <w:pStyle w:val="4"/>
                    <w:ind w:left="420"/>
                    <w:jc w:val="right"/>
                  </w:pPr>
                  <w:r>
                    <w:rPr>
                      <w:rFonts w:ascii="仿宋_GB2312" w:hAnsi="仿宋_GB2312" w:eastAsia="仿宋_GB2312" w:cs="仿宋_GB2312"/>
                      <w:color w:val="000000"/>
                      <w:sz w:val="20"/>
                    </w:rPr>
                    <w:t>36.</w:t>
                  </w:r>
                </w:p>
              </w:tc>
              <w:tc>
                <w:tcPr>
                  <w:tcW w:w="2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E3C9EA">
                  <w:pPr>
                    <w:pStyle w:val="4"/>
                    <w:jc w:val="left"/>
                  </w:pPr>
                  <w:r>
                    <w:rPr>
                      <w:rFonts w:ascii="仿宋_GB2312" w:hAnsi="仿宋_GB2312" w:eastAsia="仿宋_GB2312" w:cs="仿宋_GB2312"/>
                      <w:color w:val="000000"/>
                      <w:sz w:val="20"/>
                    </w:rPr>
                    <w:t>中文门户改版建设（1套）</w:t>
                  </w:r>
                </w:p>
              </w:tc>
              <w:tc>
                <w:tcPr>
                  <w:tcW w:w="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D89192">
                  <w:pPr>
                    <w:pStyle w:val="4"/>
                    <w:jc w:val="both"/>
                  </w:pPr>
                  <w:r>
                    <w:rPr>
                      <w:rFonts w:ascii="仿宋_GB2312" w:hAnsi="仿宋_GB2312" w:eastAsia="仿宋_GB2312" w:cs="仿宋_GB2312"/>
                      <w:color w:val="000000"/>
                      <w:sz w:val="20"/>
                    </w:rPr>
                    <w:t>中文门户优化实施</w:t>
                  </w:r>
                </w:p>
              </w:tc>
              <w:tc>
                <w:tcPr>
                  <w:tcW w:w="17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4173FB">
                  <w:pPr>
                    <w:pStyle w:val="4"/>
                  </w:pPr>
                  <w:r>
                    <w:rPr>
                      <w:rFonts w:ascii="仿宋_GB2312" w:hAnsi="仿宋_GB2312" w:eastAsia="仿宋_GB2312" w:cs="仿宋_GB2312"/>
                      <w:color w:val="000000"/>
                      <w:sz w:val="20"/>
                    </w:rPr>
                    <w:t>1）调研分析</w:t>
                  </w:r>
                </w:p>
                <w:p w14:paraId="140C80C1">
                  <w:pPr>
                    <w:pStyle w:val="4"/>
                  </w:pPr>
                  <w:r>
                    <w:rPr>
                      <w:rFonts w:ascii="仿宋_GB2312" w:hAnsi="仿宋_GB2312" w:eastAsia="仿宋_GB2312" w:cs="仿宋_GB2312"/>
                      <w:color w:val="000000"/>
                      <w:sz w:val="20"/>
                    </w:rPr>
                    <w:t>（1）项目实施前，需要充分调研同类高校校园网站的建设情况，并对我校校园网站现状进行针对性分析。</w:t>
                  </w:r>
                </w:p>
                <w:p w14:paraId="20B97A94">
                  <w:pPr>
                    <w:pStyle w:val="4"/>
                  </w:pPr>
                  <w:r>
                    <w:rPr>
                      <w:rFonts w:ascii="仿宋_GB2312" w:hAnsi="仿宋_GB2312" w:eastAsia="仿宋_GB2312" w:cs="仿宋_GB2312"/>
                      <w:color w:val="000000"/>
                      <w:sz w:val="20"/>
                    </w:rPr>
                    <w:t>（2）结合我校办学理念、办学特色、特殊定位和自身特点，确定规划方案，提出规划建议，包含栏目设置、首页内容规划、功能规划、布局及整体形象设计等。</w:t>
                  </w:r>
                </w:p>
                <w:p w14:paraId="5DC0AC01">
                  <w:pPr>
                    <w:pStyle w:val="4"/>
                  </w:pPr>
                  <w:r>
                    <w:rPr>
                      <w:rFonts w:ascii="仿宋_GB2312" w:hAnsi="仿宋_GB2312" w:eastAsia="仿宋_GB2312" w:cs="仿宋_GB2312"/>
                      <w:color w:val="000000"/>
                      <w:sz w:val="20"/>
                    </w:rPr>
                    <w:t>2）设计理念要求</w:t>
                  </w:r>
                </w:p>
                <w:p w14:paraId="4A2769CA">
                  <w:pPr>
                    <w:pStyle w:val="4"/>
                  </w:pPr>
                  <w:r>
                    <w:rPr>
                      <w:rFonts w:ascii="仿宋_GB2312" w:hAnsi="仿宋_GB2312" w:eastAsia="仿宋_GB2312" w:cs="仿宋_GB2312"/>
                      <w:color w:val="000000"/>
                      <w:sz w:val="20"/>
                    </w:rPr>
                    <w:t>设计需结合我校自身定位和特色，在网站整体内容布局、配色方案、视觉元素提取使用及交互设计等方面进行优化应用，突出我校品牌文化特色。</w:t>
                  </w:r>
                </w:p>
                <w:p w14:paraId="0A15BDD4">
                  <w:pPr>
                    <w:pStyle w:val="4"/>
                  </w:pPr>
                  <w:r>
                    <w:rPr>
                      <w:rFonts w:ascii="仿宋_GB2312" w:hAnsi="仿宋_GB2312" w:eastAsia="仿宋_GB2312" w:cs="仿宋_GB2312"/>
                      <w:color w:val="000000"/>
                      <w:sz w:val="20"/>
                    </w:rPr>
                    <w:t>3）设计元素要求</w:t>
                  </w:r>
                </w:p>
                <w:p w14:paraId="070B5BF2">
                  <w:pPr>
                    <w:pStyle w:val="4"/>
                  </w:pPr>
                  <w:r>
                    <w:rPr>
                      <w:rFonts w:ascii="仿宋_GB2312" w:hAnsi="仿宋_GB2312" w:eastAsia="仿宋_GB2312" w:cs="仿宋_GB2312"/>
                      <w:color w:val="000000"/>
                      <w:sz w:val="20"/>
                    </w:rPr>
                    <w:t>（1）设计元素从学校的学校标志性建筑、logo元素中提取和应用。</w:t>
                  </w:r>
                </w:p>
                <w:p w14:paraId="78531841">
                  <w:pPr>
                    <w:pStyle w:val="4"/>
                  </w:pPr>
                  <w:r>
                    <w:rPr>
                      <w:rFonts w:ascii="仿宋_GB2312" w:hAnsi="仿宋_GB2312" w:eastAsia="仿宋_GB2312" w:cs="仿宋_GB2312"/>
                      <w:color w:val="000000"/>
                      <w:sz w:val="20"/>
                    </w:rPr>
                    <w:t>（2）设计元素与我校自身特色强相关，避免与我校无关的设计元素出现，以强化我校校园网站的品牌识别度。</w:t>
                  </w:r>
                </w:p>
                <w:p w14:paraId="350FB906">
                  <w:pPr>
                    <w:pStyle w:val="4"/>
                  </w:pPr>
                  <w:r>
                    <w:rPr>
                      <w:rFonts w:ascii="仿宋_GB2312" w:hAnsi="仿宋_GB2312" w:eastAsia="仿宋_GB2312" w:cs="仿宋_GB2312"/>
                      <w:color w:val="000000"/>
                      <w:sz w:val="20"/>
                    </w:rPr>
                    <w:t>（3）设计元素能够摄入我校特色视频和图片，来增强我校文化软实力信息的输出，并提高网站可读性，提升用户访问网站的愉悦性。</w:t>
                  </w:r>
                </w:p>
                <w:p w14:paraId="0B517E31">
                  <w:pPr>
                    <w:pStyle w:val="4"/>
                  </w:pPr>
                  <w:r>
                    <w:rPr>
                      <w:rFonts w:ascii="仿宋_GB2312" w:hAnsi="仿宋_GB2312" w:eastAsia="仿宋_GB2312" w:cs="仿宋_GB2312"/>
                      <w:color w:val="000000"/>
                      <w:sz w:val="20"/>
                    </w:rPr>
                    <w:t>（4）网站所有设计元素，包括图像、视频、字体需要保证版权合法。</w:t>
                  </w:r>
                </w:p>
                <w:p w14:paraId="1603D1A5">
                  <w:pPr>
                    <w:pStyle w:val="4"/>
                  </w:pPr>
                  <w:r>
                    <w:rPr>
                      <w:rFonts w:ascii="仿宋_GB2312" w:hAnsi="仿宋_GB2312" w:eastAsia="仿宋_GB2312" w:cs="仿宋_GB2312"/>
                      <w:color w:val="000000"/>
                      <w:sz w:val="20"/>
                    </w:rPr>
                    <w:t>4）内容规划要求</w:t>
                  </w:r>
                </w:p>
                <w:p w14:paraId="4CC4CC61">
                  <w:pPr>
                    <w:pStyle w:val="4"/>
                  </w:pPr>
                  <w:r>
                    <w:rPr>
                      <w:rFonts w:ascii="仿宋_GB2312" w:hAnsi="仿宋_GB2312" w:eastAsia="仿宋_GB2312" w:cs="仿宋_GB2312"/>
                      <w:color w:val="000000"/>
                      <w:sz w:val="20"/>
                    </w:rPr>
                    <w:t>（1）校园网站建设需做到以用户人性化访问为前提，以用户需求为组织信息架构，以简单、直观、人性化的导航为脉络，组建我校校园网站。描绘用户行为路径，为不同用户群体获取信息提供更加便捷快速的服务。</w:t>
                  </w:r>
                </w:p>
                <w:p w14:paraId="3D15C485">
                  <w:pPr>
                    <w:pStyle w:val="4"/>
                  </w:pPr>
                  <w:r>
                    <w:rPr>
                      <w:rFonts w:ascii="仿宋_GB2312" w:hAnsi="仿宋_GB2312" w:eastAsia="仿宋_GB2312" w:cs="仿宋_GB2312"/>
                      <w:color w:val="000000"/>
                      <w:sz w:val="20"/>
                    </w:rPr>
                    <w:t>（2）栏目规划要本着“合理、严谨、精简且完整”的设置原则，让用户可快速识别内容范围并获取目标信息，同时在栏目设置及设计形式上需要考虑到未来栏目扩充的可能性，提前做好设计规划。</w:t>
                  </w:r>
                </w:p>
                <w:p w14:paraId="05610858">
                  <w:pPr>
                    <w:pStyle w:val="4"/>
                  </w:pPr>
                  <w:r>
                    <w:rPr>
                      <w:rFonts w:ascii="仿宋_GB2312" w:hAnsi="仿宋_GB2312" w:eastAsia="仿宋_GB2312" w:cs="仿宋_GB2312"/>
                      <w:color w:val="000000"/>
                      <w:sz w:val="20"/>
                    </w:rPr>
                    <w:t>（3）内容布局要主次突出，图文比例均衡，符合线上用户的阅读习惯，要求支持多语言。</w:t>
                  </w:r>
                </w:p>
                <w:p w14:paraId="694C3A0B">
                  <w:pPr>
                    <w:pStyle w:val="4"/>
                  </w:pPr>
                  <w:r>
                    <w:rPr>
                      <w:rFonts w:ascii="仿宋_GB2312" w:hAnsi="仿宋_GB2312" w:eastAsia="仿宋_GB2312" w:cs="仿宋_GB2312"/>
                      <w:color w:val="000000"/>
                      <w:sz w:val="20"/>
                    </w:rPr>
                    <w:t>（4）首页内容布局要全面展示我校品牌形象，做到软硬实力有节奏输出；用户浏览路径清晰，做到让用户有持续探索查阅的欲望。</w:t>
                  </w:r>
                </w:p>
                <w:p w14:paraId="62A7D1EC">
                  <w:pPr>
                    <w:pStyle w:val="4"/>
                  </w:pPr>
                  <w:r>
                    <w:rPr>
                      <w:rFonts w:ascii="仿宋_GB2312" w:hAnsi="仿宋_GB2312" w:eastAsia="仿宋_GB2312" w:cs="仿宋_GB2312"/>
                      <w:color w:val="000000"/>
                      <w:sz w:val="20"/>
                    </w:rPr>
                    <w:t>（5）功能入口醒目，增强校园网站的实用性和服务属性。</w:t>
                  </w:r>
                </w:p>
                <w:p w14:paraId="4100C689">
                  <w:pPr>
                    <w:pStyle w:val="4"/>
                  </w:pPr>
                  <w:r>
                    <w:rPr>
                      <w:rFonts w:ascii="仿宋_GB2312" w:hAnsi="仿宋_GB2312" w:eastAsia="仿宋_GB2312" w:cs="仿宋_GB2312"/>
                      <w:color w:val="000000"/>
                      <w:sz w:val="20"/>
                    </w:rPr>
                    <w:t>5）交互设计要求</w:t>
                  </w:r>
                </w:p>
                <w:p w14:paraId="5E952B18">
                  <w:pPr>
                    <w:pStyle w:val="4"/>
                  </w:pPr>
                  <w:r>
                    <w:rPr>
                      <w:rFonts w:ascii="仿宋_GB2312" w:hAnsi="仿宋_GB2312" w:eastAsia="仿宋_GB2312" w:cs="仿宋_GB2312"/>
                      <w:color w:val="000000"/>
                      <w:sz w:val="20"/>
                    </w:rPr>
                    <w:t>（1）通过对用户阅读习惯进行研究，在整体页面上增加微互动，使静态页面富有动感，增加用户的沉浸感和体验感，避免用户阅读疲劳，带给用户更丰富的视觉体验。</w:t>
                  </w:r>
                </w:p>
                <w:p w14:paraId="42592269">
                  <w:pPr>
                    <w:pStyle w:val="4"/>
                  </w:pPr>
                  <w:r>
                    <w:rPr>
                      <w:rFonts w:ascii="仿宋_GB2312" w:hAnsi="仿宋_GB2312" w:eastAsia="仿宋_GB2312" w:cs="仿宋_GB2312"/>
                      <w:color w:val="000000"/>
                      <w:sz w:val="20"/>
                    </w:rPr>
                    <w:t>（2）做到交互流畅、不延迟，当页面或应用下载数据较慢时，载入过程需要有所提示。</w:t>
                  </w:r>
                </w:p>
                <w:p w14:paraId="41127BB4">
                  <w:pPr>
                    <w:pStyle w:val="4"/>
                  </w:pPr>
                  <w:r>
                    <w:rPr>
                      <w:rFonts w:ascii="仿宋_GB2312" w:hAnsi="仿宋_GB2312" w:eastAsia="仿宋_GB2312" w:cs="仿宋_GB2312"/>
                      <w:color w:val="000000"/>
                      <w:sz w:val="20"/>
                    </w:rPr>
                    <w:t>（3）交互性按钮要做到清晰突出，并且点击前后要有所区别。</w:t>
                  </w:r>
                </w:p>
                <w:p w14:paraId="1438705D">
                  <w:pPr>
                    <w:pStyle w:val="4"/>
                  </w:pPr>
                  <w:r>
                    <w:rPr>
                      <w:rFonts w:ascii="仿宋_GB2312" w:hAnsi="仿宋_GB2312" w:eastAsia="仿宋_GB2312" w:cs="仿宋_GB2312"/>
                      <w:color w:val="000000"/>
                      <w:sz w:val="20"/>
                    </w:rPr>
                    <w:t>（4）搜索框位置要清晰显眼，并且对搜索结果中的相关字符用不同颜色表示，搜索结果页一定要与用户搜索意图相符。</w:t>
                  </w:r>
                </w:p>
                <w:p w14:paraId="420022C7">
                  <w:pPr>
                    <w:pStyle w:val="4"/>
                  </w:pPr>
                  <w:r>
                    <w:rPr>
                      <w:rFonts w:ascii="仿宋_GB2312" w:hAnsi="仿宋_GB2312" w:eastAsia="仿宋_GB2312" w:cs="仿宋_GB2312"/>
                      <w:color w:val="000000"/>
                      <w:sz w:val="20"/>
                    </w:rPr>
                    <w:t>（5）适当增加网页信息的分享传播机制，提升我校品牌资源的传播性和利用率。</w:t>
                  </w:r>
                </w:p>
                <w:p w14:paraId="4D3D53C9">
                  <w:pPr>
                    <w:pStyle w:val="4"/>
                  </w:pPr>
                  <w:r>
                    <w:rPr>
                      <w:rFonts w:ascii="仿宋_GB2312" w:hAnsi="仿宋_GB2312" w:eastAsia="仿宋_GB2312" w:cs="仿宋_GB2312"/>
                      <w:color w:val="000000"/>
                      <w:sz w:val="20"/>
                    </w:rPr>
                    <w:t>6）移动端设计要求</w:t>
                  </w:r>
                </w:p>
                <w:p w14:paraId="446B6B33">
                  <w:pPr>
                    <w:pStyle w:val="4"/>
                  </w:pPr>
                  <w:r>
                    <w:rPr>
                      <w:rFonts w:ascii="仿宋_GB2312" w:hAnsi="仿宋_GB2312" w:eastAsia="仿宋_GB2312" w:cs="仿宋_GB2312"/>
                      <w:color w:val="000000"/>
                      <w:sz w:val="20"/>
                    </w:rPr>
                    <w:t>（1）移动端网站栏目结构支持与PC网站栏目保持一致，手机端网站与PC端网站使用同一域名，用户访问时支持校园网站在PC版与手机、Pad多屏幕的自动适配展示。</w:t>
                  </w:r>
                </w:p>
                <w:p w14:paraId="6C8D6C12">
                  <w:pPr>
                    <w:pStyle w:val="4"/>
                  </w:pPr>
                  <w:r>
                    <w:rPr>
                      <w:rFonts w:ascii="仿宋_GB2312" w:hAnsi="仿宋_GB2312" w:eastAsia="仿宋_GB2312" w:cs="仿宋_GB2312"/>
                      <w:color w:val="000000"/>
                      <w:sz w:val="20"/>
                    </w:rPr>
                    <w:t>（2）支持对所有主流操作系统的手机终端及浏览器提供优良的适配效果，为用户提供更好的访问体验。</w:t>
                  </w:r>
                </w:p>
                <w:p w14:paraId="48BF0FA6">
                  <w:pPr>
                    <w:pStyle w:val="4"/>
                  </w:pPr>
                  <w:r>
                    <w:rPr>
                      <w:rFonts w:ascii="仿宋_GB2312" w:hAnsi="仿宋_GB2312" w:eastAsia="仿宋_GB2312" w:cs="仿宋_GB2312"/>
                      <w:color w:val="000000"/>
                      <w:sz w:val="20"/>
                    </w:rPr>
                    <w:t>（3）支持采用自适应的方式实现访问终端自动适配，采用H5技术，做到访问设备在不同浏览器端进行结构的重新排列和CSS的重新渲染，给用户带来更好的浏览体验。</w:t>
                  </w:r>
                </w:p>
                <w:p w14:paraId="2115E232">
                  <w:pPr>
                    <w:pStyle w:val="4"/>
                  </w:pPr>
                  <w:r>
                    <w:rPr>
                      <w:rFonts w:ascii="仿宋_GB2312" w:hAnsi="仿宋_GB2312" w:eastAsia="仿宋_GB2312" w:cs="仿宋_GB2312"/>
                      <w:color w:val="000000"/>
                      <w:sz w:val="20"/>
                    </w:rPr>
                    <w:t>（4）支持移动端页面文字自动换行适配，图片符合移动设备界面尺寸要求进行自适应。</w:t>
                  </w:r>
                </w:p>
              </w:tc>
            </w:tr>
            <w:tr w14:paraId="21E6D7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E379B6">
                  <w:pPr>
                    <w:pStyle w:val="4"/>
                    <w:ind w:left="420"/>
                    <w:jc w:val="right"/>
                  </w:pPr>
                  <w:r>
                    <w:rPr>
                      <w:rFonts w:ascii="仿宋_GB2312" w:hAnsi="仿宋_GB2312" w:eastAsia="仿宋_GB2312" w:cs="仿宋_GB2312"/>
                      <w:color w:val="000000"/>
                      <w:sz w:val="20"/>
                    </w:rPr>
                    <w:t>37.</w:t>
                  </w:r>
                </w:p>
              </w:tc>
              <w:tc>
                <w:tcPr>
                  <w:tcW w:w="2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31F8C5">
                  <w:pPr>
                    <w:pStyle w:val="4"/>
                    <w:jc w:val="both"/>
                  </w:pPr>
                  <w:r>
                    <w:rPr>
                      <w:rFonts w:ascii="仿宋_GB2312" w:hAnsi="仿宋_GB2312" w:eastAsia="仿宋_GB2312" w:cs="仿宋_GB2312"/>
                      <w:sz w:val="20"/>
                    </w:rPr>
                    <w:t>子网站建设实施服务</w:t>
                  </w:r>
                </w:p>
              </w:tc>
              <w:tc>
                <w:tcPr>
                  <w:tcW w:w="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49362B">
                  <w:pPr>
                    <w:pStyle w:val="4"/>
                    <w:jc w:val="both"/>
                  </w:pPr>
                  <w:r>
                    <w:rPr>
                      <w:rFonts w:ascii="仿宋_GB2312" w:hAnsi="仿宋_GB2312" w:eastAsia="仿宋_GB2312" w:cs="仿宋_GB2312"/>
                      <w:sz w:val="20"/>
                    </w:rPr>
                    <w:t>子网站建设实施服务</w:t>
                  </w:r>
                </w:p>
              </w:tc>
              <w:tc>
                <w:tcPr>
                  <w:tcW w:w="17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7B8F34">
                  <w:pPr>
                    <w:pStyle w:val="4"/>
                  </w:pPr>
                  <w:r>
                    <w:rPr>
                      <w:rFonts w:ascii="仿宋_GB2312" w:hAnsi="仿宋_GB2312" w:eastAsia="仿宋_GB2312" w:cs="仿宋_GB2312"/>
                      <w:sz w:val="20"/>
                    </w:rPr>
                    <w:t>提供云模板库供采购单位选择，建设不少于5个子网站（PC端+手机端）。</w:t>
                  </w:r>
                </w:p>
              </w:tc>
            </w:tr>
            <w:tr w14:paraId="618DCD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BD75C0">
                  <w:pPr>
                    <w:pStyle w:val="4"/>
                    <w:ind w:left="-420"/>
                    <w:jc w:val="right"/>
                  </w:pPr>
                </w:p>
              </w:tc>
              <w:tc>
                <w:tcPr>
                  <w:tcW w:w="2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651999">
                  <w:pPr>
                    <w:pStyle w:val="4"/>
                    <w:jc w:val="both"/>
                  </w:pPr>
                  <w:r>
                    <w:rPr>
                      <w:rFonts w:ascii="仿宋_GB2312" w:hAnsi="仿宋_GB2312" w:eastAsia="仿宋_GB2312" w:cs="仿宋_GB2312"/>
                      <w:sz w:val="20"/>
                    </w:rPr>
                    <w:t>国产化配套软件</w:t>
                  </w:r>
                </w:p>
              </w:tc>
              <w:tc>
                <w:tcPr>
                  <w:tcW w:w="2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C473E2">
                  <w:pPr>
                    <w:pStyle w:val="4"/>
                    <w:jc w:val="both"/>
                  </w:pPr>
                  <w:r>
                    <w:rPr>
                      <w:rFonts w:ascii="仿宋_GB2312" w:hAnsi="仿宋_GB2312" w:eastAsia="仿宋_GB2312" w:cs="仿宋_GB2312"/>
                      <w:sz w:val="20"/>
                    </w:rPr>
                    <w:t>国产化配套软件</w:t>
                  </w:r>
                </w:p>
              </w:tc>
              <w:tc>
                <w:tcPr>
                  <w:tcW w:w="17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F627B7">
                  <w:pPr>
                    <w:pStyle w:val="4"/>
                  </w:pPr>
                  <w:r>
                    <w:rPr>
                      <w:rFonts w:ascii="仿宋_GB2312" w:hAnsi="仿宋_GB2312" w:eastAsia="仿宋_GB2312" w:cs="仿宋_GB2312"/>
                      <w:sz w:val="20"/>
                    </w:rPr>
                    <w:t>提供正版的包括但不限于数据库、中间件、操作系统等项目所需的国产化软件。</w:t>
                  </w:r>
                </w:p>
              </w:tc>
            </w:tr>
          </w:tbl>
          <w:p w14:paraId="499F1B4B">
            <w:pPr>
              <w:pStyle w:val="4"/>
              <w:jc w:val="both"/>
            </w:pPr>
            <w:r>
              <w:rPr>
                <w:rFonts w:ascii="仿宋_GB2312" w:hAnsi="仿宋_GB2312" w:eastAsia="仿宋_GB2312" w:cs="仿宋_GB2312"/>
                <w:sz w:val="20"/>
              </w:rPr>
              <w:t>（四）语音中继线路参数</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0"/>
              <w:gridCol w:w="410"/>
              <w:gridCol w:w="410"/>
              <w:gridCol w:w="1703"/>
            </w:tblGrid>
            <w:tr w14:paraId="167F79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DA08733">
                  <w:pPr>
                    <w:pStyle w:val="4"/>
                    <w:jc w:val="center"/>
                  </w:pPr>
                  <w:r>
                    <w:rPr>
                      <w:rFonts w:ascii="仿宋_GB2312" w:hAnsi="仿宋_GB2312" w:eastAsia="仿宋_GB2312" w:cs="仿宋_GB2312"/>
                      <w:sz w:val="20"/>
                    </w:rPr>
                    <w:t>序号</w:t>
                  </w:r>
                </w:p>
              </w:tc>
              <w:tc>
                <w:tcPr>
                  <w:tcW w:w="30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0900E7B">
                  <w:pPr>
                    <w:pStyle w:val="4"/>
                    <w:jc w:val="center"/>
                  </w:pPr>
                  <w:r>
                    <w:rPr>
                      <w:rFonts w:ascii="仿宋_GB2312" w:hAnsi="仿宋_GB2312" w:eastAsia="仿宋_GB2312" w:cs="仿宋_GB2312"/>
                      <w:sz w:val="20"/>
                    </w:rPr>
                    <w:t>子项</w:t>
                  </w:r>
                </w:p>
              </w:tc>
              <w:tc>
                <w:tcPr>
                  <w:tcW w:w="2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E443B71">
                  <w:pPr>
                    <w:pStyle w:val="4"/>
                    <w:jc w:val="center"/>
                  </w:pPr>
                  <w:r>
                    <w:rPr>
                      <w:rFonts w:ascii="仿宋_GB2312" w:hAnsi="仿宋_GB2312" w:eastAsia="仿宋_GB2312" w:cs="仿宋_GB2312"/>
                      <w:sz w:val="20"/>
                    </w:rPr>
                    <w:t>指标项</w:t>
                  </w:r>
                </w:p>
              </w:tc>
              <w:tc>
                <w:tcPr>
                  <w:tcW w:w="17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E39141D">
                  <w:pPr>
                    <w:pStyle w:val="4"/>
                    <w:jc w:val="center"/>
                  </w:pPr>
                  <w:r>
                    <w:rPr>
                      <w:rFonts w:ascii="仿宋_GB2312" w:hAnsi="仿宋_GB2312" w:eastAsia="仿宋_GB2312" w:cs="仿宋_GB2312"/>
                      <w:sz w:val="20"/>
                    </w:rPr>
                    <w:t>指标要求</w:t>
                  </w:r>
                </w:p>
              </w:tc>
            </w:tr>
            <w:tr w14:paraId="70411F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C0008D">
                  <w:pPr>
                    <w:pStyle w:val="4"/>
                    <w:jc w:val="center"/>
                  </w:pPr>
                  <w:r>
                    <w:rPr>
                      <w:rFonts w:ascii="仿宋_GB2312" w:hAnsi="仿宋_GB2312" w:eastAsia="仿宋_GB2312" w:cs="仿宋_GB2312"/>
                      <w:sz w:val="20"/>
                    </w:rPr>
                    <w:t>39</w:t>
                  </w:r>
                </w:p>
              </w:tc>
              <w:tc>
                <w:tcPr>
                  <w:tcW w:w="3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ED68CC">
                  <w:pPr>
                    <w:pStyle w:val="4"/>
                    <w:jc w:val="center"/>
                  </w:pPr>
                  <w:r>
                    <w:rPr>
                      <w:rFonts w:ascii="仿宋_GB2312" w:hAnsi="仿宋_GB2312" w:eastAsia="仿宋_GB2312" w:cs="仿宋_GB2312"/>
                      <w:sz w:val="20"/>
                    </w:rPr>
                    <w:t>物理接口</w:t>
                  </w:r>
                </w:p>
              </w:tc>
              <w:tc>
                <w:tcPr>
                  <w:tcW w:w="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5E82FE">
                  <w:pPr>
                    <w:pStyle w:val="4"/>
                    <w:jc w:val="center"/>
                  </w:pPr>
                  <w:r>
                    <w:rPr>
                      <w:rFonts w:ascii="仿宋_GB2312" w:hAnsi="仿宋_GB2312" w:eastAsia="仿宋_GB2312" w:cs="仿宋_GB2312"/>
                      <w:sz w:val="20"/>
                    </w:rPr>
                    <w:t>接口标准</w:t>
                  </w:r>
                </w:p>
              </w:tc>
              <w:tc>
                <w:tcPr>
                  <w:tcW w:w="1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0C51ED">
                  <w:pPr>
                    <w:pStyle w:val="4"/>
                    <w:jc w:val="center"/>
                  </w:pPr>
                  <w:r>
                    <w:rPr>
                      <w:rFonts w:ascii="仿宋_GB2312" w:hAnsi="仿宋_GB2312" w:eastAsia="仿宋_GB2312" w:cs="仿宋_GB2312"/>
                      <w:sz w:val="20"/>
                    </w:rPr>
                    <w:t>接口标准：D12阻抗120Ω/75Ω、RJ45接口（8P8C）</w:t>
                  </w:r>
                </w:p>
              </w:tc>
            </w:tr>
            <w:tr w14:paraId="787A96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F1FEBF">
                  <w:pPr>
                    <w:pStyle w:val="4"/>
                    <w:jc w:val="center"/>
                  </w:pPr>
                  <w:r>
                    <w:rPr>
                      <w:rFonts w:ascii="仿宋_GB2312" w:hAnsi="仿宋_GB2312" w:eastAsia="仿宋_GB2312" w:cs="仿宋_GB2312"/>
                      <w:sz w:val="20"/>
                    </w:rPr>
                    <w:t>40</w:t>
                  </w:r>
                </w:p>
              </w:tc>
              <w:tc>
                <w:tcPr>
                  <w:tcW w:w="3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71BCC3">
                  <w:pPr>
                    <w:pStyle w:val="4"/>
                    <w:jc w:val="center"/>
                  </w:pPr>
                  <w:r>
                    <w:rPr>
                      <w:rFonts w:ascii="仿宋_GB2312" w:hAnsi="仿宋_GB2312" w:eastAsia="仿宋_GB2312" w:cs="仿宋_GB2312"/>
                      <w:sz w:val="20"/>
                    </w:rPr>
                    <w:t>电路特性</w:t>
                  </w:r>
                </w:p>
              </w:tc>
              <w:tc>
                <w:tcPr>
                  <w:tcW w:w="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BA8E49">
                  <w:pPr>
                    <w:pStyle w:val="4"/>
                    <w:jc w:val="center"/>
                  </w:pPr>
                  <w:r>
                    <w:rPr>
                      <w:rFonts w:ascii="仿宋_GB2312" w:hAnsi="仿宋_GB2312" w:eastAsia="仿宋_GB2312" w:cs="仿宋_GB2312"/>
                      <w:sz w:val="20"/>
                    </w:rPr>
                    <w:t>传输特性</w:t>
                  </w:r>
                </w:p>
              </w:tc>
              <w:tc>
                <w:tcPr>
                  <w:tcW w:w="1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72E746">
                  <w:pPr>
                    <w:pStyle w:val="4"/>
                    <w:jc w:val="left"/>
                  </w:pPr>
                  <w:r>
                    <w:rPr>
                      <w:rFonts w:ascii="仿宋_GB2312" w:hAnsi="仿宋_GB2312" w:eastAsia="仿宋_GB2312" w:cs="仿宋_GB2312"/>
                      <w:sz w:val="20"/>
                    </w:rPr>
                    <w:t>误码率≤1×10⁻⁹，每公里线路损耗≤0.5dB</w:t>
                  </w:r>
                </w:p>
                <w:p w14:paraId="325B5F7F">
                  <w:pPr>
                    <w:pStyle w:val="4"/>
                    <w:jc w:val="left"/>
                  </w:pPr>
                  <w:r>
                    <w:rPr>
                      <w:rFonts w:ascii="仿宋_GB2312" w:hAnsi="仿宋_GB2312" w:eastAsia="仿宋_GB2312" w:cs="仿宋_GB2312"/>
                      <w:sz w:val="20"/>
                    </w:rPr>
                    <w:t>72小时传输稳定，无滑码、无帧丢失</w:t>
                  </w:r>
                </w:p>
              </w:tc>
            </w:tr>
            <w:tr w14:paraId="0CF5B1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6FE3E2">
                  <w:pPr>
                    <w:pStyle w:val="4"/>
                    <w:jc w:val="center"/>
                  </w:pPr>
                  <w:r>
                    <w:rPr>
                      <w:rFonts w:ascii="仿宋_GB2312" w:hAnsi="仿宋_GB2312" w:eastAsia="仿宋_GB2312" w:cs="仿宋_GB2312"/>
                      <w:sz w:val="20"/>
                    </w:rPr>
                    <w:t>41</w:t>
                  </w:r>
                </w:p>
              </w:tc>
              <w:tc>
                <w:tcPr>
                  <w:tcW w:w="3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4693D7">
                  <w:pPr>
                    <w:pStyle w:val="4"/>
                    <w:jc w:val="center"/>
                  </w:pPr>
                  <w:r>
                    <w:rPr>
                      <w:rFonts w:ascii="仿宋_GB2312" w:hAnsi="仿宋_GB2312" w:eastAsia="仿宋_GB2312" w:cs="仿宋_GB2312"/>
                      <w:sz w:val="20"/>
                    </w:rPr>
                    <w:t>信令协议</w:t>
                  </w:r>
                </w:p>
              </w:tc>
              <w:tc>
                <w:tcPr>
                  <w:tcW w:w="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E33B92">
                  <w:pPr>
                    <w:pStyle w:val="4"/>
                    <w:jc w:val="center"/>
                  </w:pPr>
                  <w:r>
                    <w:rPr>
                      <w:rFonts w:ascii="仿宋_GB2312" w:hAnsi="仿宋_GB2312" w:eastAsia="仿宋_GB2312" w:cs="仿宋_GB2312"/>
                      <w:sz w:val="20"/>
                    </w:rPr>
                    <w:t>协议规范</w:t>
                  </w:r>
                </w:p>
              </w:tc>
              <w:tc>
                <w:tcPr>
                  <w:tcW w:w="1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31668A">
                  <w:pPr>
                    <w:pStyle w:val="4"/>
                    <w:jc w:val="left"/>
                  </w:pPr>
                  <w:r>
                    <w:rPr>
                      <w:rFonts w:ascii="仿宋_GB2312" w:hAnsi="仿宋_GB2312" w:eastAsia="仿宋_GB2312" w:cs="仿宋_GB2312"/>
                      <w:sz w:val="20"/>
                    </w:rPr>
                    <w:t>协议：严格遵循IETF发布的SIP核心协议（RFC3261）及其扩展规范，</w:t>
                  </w:r>
                </w:p>
                <w:p w14:paraId="3609FDB5">
                  <w:pPr>
                    <w:pStyle w:val="4"/>
                    <w:jc w:val="left"/>
                  </w:pPr>
                  <w:r>
                    <w:rPr>
                      <w:rFonts w:ascii="仿宋_GB2312" w:hAnsi="仿宋_GB2312" w:eastAsia="仿宋_GB2312" w:cs="仿宋_GB2312"/>
                      <w:sz w:val="20"/>
                    </w:rPr>
                    <w:t>接通稳定，支持补充业务</w:t>
                  </w:r>
                </w:p>
              </w:tc>
            </w:tr>
            <w:tr w14:paraId="5A8C5C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29465F">
                  <w:pPr>
                    <w:pStyle w:val="4"/>
                    <w:jc w:val="center"/>
                  </w:pPr>
                  <w:r>
                    <w:rPr>
                      <w:rFonts w:ascii="仿宋_GB2312" w:hAnsi="仿宋_GB2312" w:eastAsia="仿宋_GB2312" w:cs="仿宋_GB2312"/>
                      <w:sz w:val="20"/>
                    </w:rPr>
                    <w:t>42</w:t>
                  </w:r>
                </w:p>
              </w:tc>
              <w:tc>
                <w:tcPr>
                  <w:tcW w:w="3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2F5533">
                  <w:pPr>
                    <w:pStyle w:val="4"/>
                    <w:jc w:val="center"/>
                  </w:pPr>
                  <w:r>
                    <w:rPr>
                      <w:rFonts w:ascii="仿宋_GB2312" w:hAnsi="仿宋_GB2312" w:eastAsia="仿宋_GB2312" w:cs="仿宋_GB2312"/>
                      <w:sz w:val="20"/>
                    </w:rPr>
                    <w:t>工程与防护</w:t>
                  </w:r>
                </w:p>
              </w:tc>
              <w:tc>
                <w:tcPr>
                  <w:tcW w:w="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11A742">
                  <w:pPr>
                    <w:pStyle w:val="4"/>
                    <w:jc w:val="center"/>
                  </w:pPr>
                  <w:r>
                    <w:rPr>
                      <w:rFonts w:ascii="仿宋_GB2312" w:hAnsi="仿宋_GB2312" w:eastAsia="仿宋_GB2312" w:cs="仿宋_GB2312"/>
                      <w:sz w:val="20"/>
                    </w:rPr>
                    <w:t>工程施工指标</w:t>
                  </w:r>
                </w:p>
              </w:tc>
              <w:tc>
                <w:tcPr>
                  <w:tcW w:w="1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DAE9FC">
                  <w:pPr>
                    <w:pStyle w:val="4"/>
                    <w:jc w:val="left"/>
                  </w:pPr>
                  <w:r>
                    <w:rPr>
                      <w:rFonts w:ascii="仿宋_GB2312" w:hAnsi="仿宋_GB2312" w:eastAsia="仿宋_GB2312" w:cs="仿宋_GB2312"/>
                      <w:sz w:val="20"/>
                    </w:rPr>
                    <w:t>接地电阻≤4Ω，防雷符合YD/T 944</w:t>
                  </w:r>
                </w:p>
                <w:p w14:paraId="5D2083C4">
                  <w:pPr>
                    <w:pStyle w:val="4"/>
                    <w:jc w:val="left"/>
                  </w:pPr>
                  <w:r>
                    <w:rPr>
                      <w:rFonts w:ascii="仿宋_GB2312" w:hAnsi="仿宋_GB2312" w:eastAsia="仿宋_GB2312" w:cs="仿宋_GB2312"/>
                      <w:sz w:val="20"/>
                    </w:rPr>
                    <w:t>布线规范，强弱电分离</w:t>
                  </w:r>
                </w:p>
              </w:tc>
            </w:tr>
            <w:tr w14:paraId="4EA832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46C335">
                  <w:pPr>
                    <w:pStyle w:val="4"/>
                    <w:jc w:val="center"/>
                  </w:pPr>
                  <w:r>
                    <w:rPr>
                      <w:rFonts w:ascii="仿宋_GB2312" w:hAnsi="仿宋_GB2312" w:eastAsia="仿宋_GB2312" w:cs="仿宋_GB2312"/>
                      <w:sz w:val="20"/>
                    </w:rPr>
                    <w:t>43</w:t>
                  </w:r>
                </w:p>
              </w:tc>
              <w:tc>
                <w:tcPr>
                  <w:tcW w:w="3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F0BBE8">
                  <w:pPr>
                    <w:pStyle w:val="4"/>
                    <w:jc w:val="center"/>
                  </w:pPr>
                  <w:r>
                    <w:rPr>
                      <w:rFonts w:ascii="仿宋_GB2312" w:hAnsi="仿宋_GB2312" w:eastAsia="仿宋_GB2312" w:cs="仿宋_GB2312"/>
                      <w:sz w:val="20"/>
                    </w:rPr>
                    <w:t>通话性能</w:t>
                  </w:r>
                </w:p>
              </w:tc>
              <w:tc>
                <w:tcPr>
                  <w:tcW w:w="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D27266">
                  <w:pPr>
                    <w:pStyle w:val="4"/>
                    <w:jc w:val="center"/>
                  </w:pPr>
                  <w:r>
                    <w:rPr>
                      <w:rFonts w:ascii="仿宋_GB2312" w:hAnsi="仿宋_GB2312" w:eastAsia="仿宋_GB2312" w:cs="仿宋_GB2312"/>
                      <w:sz w:val="20"/>
                    </w:rPr>
                    <w:t>通话性能指标</w:t>
                  </w:r>
                </w:p>
              </w:tc>
              <w:tc>
                <w:tcPr>
                  <w:tcW w:w="1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C95AE6">
                  <w:pPr>
                    <w:pStyle w:val="4"/>
                    <w:jc w:val="left"/>
                  </w:pPr>
                  <w:r>
                    <w:rPr>
                      <w:rFonts w:ascii="仿宋_GB2312" w:hAnsi="仿宋_GB2312" w:eastAsia="仿宋_GB2312" w:cs="仿宋_GB2312"/>
                      <w:sz w:val="20"/>
                    </w:rPr>
                    <w:t>编码：G.711，时延≤150ms，MOS≥4.0</w:t>
                  </w:r>
                </w:p>
                <w:p w14:paraId="55826C97">
                  <w:pPr>
                    <w:pStyle w:val="4"/>
                    <w:jc w:val="center"/>
                  </w:pPr>
                  <w:r>
                    <w:rPr>
                      <w:rFonts w:ascii="仿宋_GB2312" w:hAnsi="仿宋_GB2312" w:eastAsia="仿宋_GB2312" w:cs="仿宋_GB2312"/>
                      <w:sz w:val="20"/>
                    </w:rPr>
                    <w:t>接通率≥99.5%，挂机成功率不低于99.95%，无杂音、无断话</w:t>
                  </w:r>
                </w:p>
              </w:tc>
            </w:tr>
          </w:tbl>
          <w:p w14:paraId="38055A2D"/>
        </w:tc>
      </w:tr>
      <w:tr w14:paraId="4BBCC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5D27CE9">
            <w:pPr>
              <w:pStyle w:val="4"/>
            </w:pPr>
            <w:r>
              <w:rPr>
                <w:rFonts w:ascii="仿宋_GB2312" w:hAnsi="仿宋_GB2312" w:eastAsia="仿宋_GB2312" w:cs="仿宋_GB2312"/>
              </w:rPr>
              <w:t>3</w:t>
            </w:r>
          </w:p>
        </w:tc>
        <w:tc>
          <w:tcPr>
            <w:tcW w:w="2769" w:type="dxa"/>
          </w:tcPr>
          <w:p w14:paraId="0D5A2E50"/>
        </w:tc>
        <w:tc>
          <w:tcPr>
            <w:tcW w:w="2769" w:type="dxa"/>
          </w:tcPr>
          <w:p w14:paraId="12AF48A7">
            <w:pPr>
              <w:pStyle w:val="4"/>
            </w:pPr>
            <w:r>
              <w:rPr>
                <w:rFonts w:ascii="仿宋_GB2312" w:hAnsi="仿宋_GB2312" w:eastAsia="仿宋_GB2312" w:cs="仿宋_GB2312"/>
                <w:sz w:val="20"/>
              </w:rPr>
              <w:t>其他要求：</w:t>
            </w:r>
          </w:p>
          <w:p w14:paraId="191C24F7">
            <w:pPr>
              <w:pStyle w:val="4"/>
            </w:pPr>
            <w:r>
              <w:rPr>
                <w:rFonts w:ascii="仿宋_GB2312" w:hAnsi="仿宋_GB2312" w:eastAsia="仿宋_GB2312" w:cs="仿宋_GB2312"/>
                <w:sz w:val="20"/>
              </w:rPr>
              <w:t>1.售后服务：</w:t>
            </w:r>
          </w:p>
          <w:p w14:paraId="3D8F3D3D">
            <w:pPr>
              <w:pStyle w:val="4"/>
              <w:ind w:firstLine="400"/>
            </w:pPr>
            <w:r>
              <w:rPr>
                <w:rFonts w:ascii="仿宋_GB2312" w:hAnsi="仿宋_GB2312" w:eastAsia="仿宋_GB2312" w:cs="仿宋_GB2312"/>
                <w:color w:val="000000"/>
                <w:sz w:val="20"/>
              </w:rPr>
              <w:t>1)从项目全面验收合格之日起，厂商需要提供至少1年的免费系统质保服务，包括问题处理、安全防护、培训服务。</w:t>
            </w:r>
          </w:p>
          <w:p w14:paraId="0F10F906">
            <w:pPr>
              <w:pStyle w:val="4"/>
              <w:ind w:firstLine="400"/>
            </w:pPr>
            <w:r>
              <w:rPr>
                <w:rFonts w:ascii="仿宋_GB2312" w:hAnsi="仿宋_GB2312" w:eastAsia="仿宋_GB2312" w:cs="仿宋_GB2312"/>
                <w:color w:val="000000"/>
                <w:sz w:val="20"/>
              </w:rPr>
              <w:t>2)在系统质保期内，厂商应提供专业的技术支持工程师进行服务，技术支持工程师对用户的问题的响应时间不可超过30分钟。</w:t>
            </w:r>
          </w:p>
          <w:p w14:paraId="1F75252E">
            <w:pPr>
              <w:pStyle w:val="4"/>
              <w:ind w:firstLine="400"/>
            </w:pPr>
            <w:r>
              <w:rPr>
                <w:rFonts w:ascii="仿宋_GB2312" w:hAnsi="仿宋_GB2312" w:eastAsia="仿宋_GB2312" w:cs="仿宋_GB2312"/>
                <w:color w:val="000000"/>
                <w:sz w:val="20"/>
              </w:rPr>
              <w:t>3)提供针对售后服务提供成熟的信息化客户服务系统，系统业务显示用户客户售后服务，实现客户问题处理的显性化跟踪处理，支持用户对历史服务内容进行满意度在线评价反馈。</w:t>
            </w:r>
          </w:p>
          <w:p w14:paraId="2AC2FBE3">
            <w:pPr>
              <w:pStyle w:val="4"/>
            </w:pPr>
            <w:r>
              <w:rPr>
                <w:rFonts w:ascii="仿宋_GB2312" w:hAnsi="仿宋_GB2312" w:eastAsia="仿宋_GB2312" w:cs="仿宋_GB2312"/>
                <w:color w:val="000000"/>
                <w:sz w:val="20"/>
              </w:rPr>
              <w:t>提供服务小程序，解决服务入口统一的问题，小程序需要具备一键报修、报修任务查看等功能，能够在服务小程序上实现问题快速报修，支持语音、文字、图片方式进行问题反馈。同时集成网站群运行与管理的知识体系，满足使用者日常维护的处理操作和查询需求。</w:t>
            </w:r>
          </w:p>
          <w:p w14:paraId="29380F6F">
            <w:pPr>
              <w:pStyle w:val="4"/>
            </w:pPr>
            <w:r>
              <w:rPr>
                <w:rFonts w:ascii="仿宋_GB2312" w:hAnsi="仿宋_GB2312" w:eastAsia="仿宋_GB2312" w:cs="仿宋_GB2312"/>
                <w:sz w:val="20"/>
              </w:rPr>
              <w:t>2.售后服务响应时间（质保期内）：即时响应（包括电话响应）；电话响应无法解决24小时内到达现场。修复时间24小时内解决；如在24小时内无法修复，则提供部件冗余服务或采取应急措施，提供相同产品或不低于故障产品规格档次的备用产品供采购人使用，以确保货物的正常使用。</w:t>
            </w:r>
          </w:p>
          <w:p w14:paraId="65A39672">
            <w:pPr>
              <w:pStyle w:val="4"/>
            </w:pPr>
            <w:r>
              <w:rPr>
                <w:rFonts w:ascii="仿宋_GB2312" w:hAnsi="仿宋_GB2312" w:eastAsia="仿宋_GB2312" w:cs="仿宋_GB2312"/>
                <w:sz w:val="20"/>
              </w:rPr>
              <w:t>3.培训内容及要求：业务及使用操作相关内容的现场培训。</w:t>
            </w:r>
          </w:p>
        </w:tc>
      </w:tr>
      <w:tr w14:paraId="71EC8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01266DF">
            <w:pPr>
              <w:pStyle w:val="4"/>
            </w:pPr>
            <w:r>
              <w:rPr>
                <w:rFonts w:ascii="仿宋_GB2312" w:hAnsi="仿宋_GB2312" w:eastAsia="仿宋_GB2312" w:cs="仿宋_GB2312"/>
              </w:rPr>
              <w:t>4</w:t>
            </w:r>
          </w:p>
        </w:tc>
        <w:tc>
          <w:tcPr>
            <w:tcW w:w="2769" w:type="dxa"/>
          </w:tcPr>
          <w:p w14:paraId="713945D8"/>
        </w:tc>
        <w:tc>
          <w:tcPr>
            <w:tcW w:w="2769" w:type="dxa"/>
          </w:tcPr>
          <w:p w14:paraId="6DFE8AA7">
            <w:pPr>
              <w:pStyle w:val="4"/>
            </w:pPr>
            <w:r>
              <w:rPr>
                <w:rFonts w:ascii="仿宋_GB2312" w:hAnsi="仿宋_GB2312" w:eastAsia="仿宋_GB2312" w:cs="仿宋_GB2312"/>
                <w:sz w:val="21"/>
              </w:rPr>
              <w:t>核心产品：网站群系统</w:t>
            </w:r>
          </w:p>
        </w:tc>
      </w:tr>
    </w:tbl>
    <w:p w14:paraId="5155859E">
      <w:pPr>
        <w:pStyle w:val="4"/>
        <w:rPr>
          <w:rFonts w:hint="eastAsia"/>
          <w:lang w:val="en-US" w:eastAsia="zh-Han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49EA0289"/>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2897</Words>
  <Characters>3141</Characters>
  <Lines>0</Lines>
  <Paragraphs>0</Paragraphs>
  <TotalTime>0</TotalTime>
  <ScaleCrop>false</ScaleCrop>
  <LinksUpToDate>false</LinksUpToDate>
  <CharactersWithSpaces>3180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安安</cp:lastModifiedBy>
  <dcterms:modified xsi:type="dcterms:W3CDTF">2026-04-03T01:10:29Z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eyJoZGlkIjoiY2JiM2Q2YTNkZTc1Mjk4ODRhOWVjZTc0YTFmYTE5NzciLCJ1c2VySWQiOiIxMTQ2NDU0OTA0In0=</vt:lpwstr>
  </property>
  <property fmtid="{D5CDD505-2E9C-101B-9397-08002B2CF9AE}" pid="4" name="ICV">
    <vt:lpwstr>364B7CFEB10045CEBFE3DB325376DC02_12</vt:lpwstr>
  </property>
</Properties>
</file>