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43E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333333"/>
          <w:spacing w:val="0"/>
          <w:sz w:val="39"/>
          <w:szCs w:val="39"/>
        </w:rPr>
      </w:pPr>
      <w:bookmarkStart w:id="0" w:name="_GoBack"/>
      <w:r>
        <w:rPr>
          <w:rFonts w:hint="eastAsia" w:ascii="宋体" w:hAnsi="宋体" w:eastAsia="宋体" w:cs="宋体"/>
          <w:b/>
          <w:bCs/>
          <w:i w:val="0"/>
          <w:iCs w:val="0"/>
          <w:caps w:val="0"/>
          <w:color w:val="333333"/>
          <w:spacing w:val="0"/>
          <w:sz w:val="39"/>
          <w:szCs w:val="39"/>
          <w:bdr w:val="none" w:color="auto" w:sz="0" w:space="0"/>
          <w:shd w:val="clear" w:fill="FFFFFF"/>
        </w:rPr>
        <w:t>谈判项目技术、服务、商务及其他要求</w:t>
      </w:r>
    </w:p>
    <w:bookmarkEnd w:id="0"/>
    <w:p w14:paraId="76C6DA5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bdr w:val="none" w:color="auto" w:sz="0" w:space="0"/>
          <w:shd w:val="clear" w:fill="FFFFFF"/>
        </w:rPr>
        <w:t>（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0D841E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3.1采购项目概况</w:t>
      </w:r>
    </w:p>
    <w:p w14:paraId="43E342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一批撒(抛)肥机、喷杆喷雾机等全程机械化农机作业应急救灾配套机具，用于培育建设现代区域性农事社会化服务中心，开展农机化耕种收服务，提升粮食生产装备水平和农机应急救灾服务能力，要求所有货物（产品）质量标准符合国家、省、市（行业）强制性标准及采购人要求的合格标准、安装调试到位、验收合格达到交钥匙条件</w:t>
      </w:r>
    </w:p>
    <w:p w14:paraId="33DA5B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3.2采购内容</w:t>
      </w:r>
    </w:p>
    <w:p w14:paraId="1AF327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3CEFD8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采购包预算金额（元）: 300,000.00</w:t>
      </w:r>
    </w:p>
    <w:p w14:paraId="40F710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采购包最高限价（元）: 300,000.00</w:t>
      </w:r>
    </w:p>
    <w:p w14:paraId="236B8F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供应商报价不允许超过标的金额</w:t>
      </w:r>
    </w:p>
    <w:p w14:paraId="15CE94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50"/>
        <w:gridCol w:w="2760"/>
        <w:gridCol w:w="499"/>
        <w:gridCol w:w="1043"/>
        <w:gridCol w:w="535"/>
        <w:gridCol w:w="535"/>
        <w:gridCol w:w="570"/>
        <w:gridCol w:w="606"/>
        <w:gridCol w:w="606"/>
        <w:gridCol w:w="642"/>
      </w:tblGrid>
      <w:tr w14:paraId="0759DB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9EF6C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5AB17C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AA2FC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1872A0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20F301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4A386B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A047C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75342E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A61077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208017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是否属于环境标志产品</w:t>
            </w:r>
          </w:p>
        </w:tc>
      </w:tr>
      <w:tr w14:paraId="07373D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89271E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3163F7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撒(抛)肥机 喷杆喷雾机</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965AB54">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AA61818">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300,000.00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804180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0449C9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88CD7A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DF8A90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E744EA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CC9F96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r>
    </w:tbl>
    <w:p w14:paraId="686BF9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3.3技术要求</w:t>
      </w:r>
    </w:p>
    <w:p w14:paraId="11C7E2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3AA787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标的名称：撒(抛)肥机 喷杆喷雾机</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73"/>
        <w:gridCol w:w="473"/>
        <w:gridCol w:w="7600"/>
      </w:tblGrid>
      <w:tr w14:paraId="468157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18F221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7426F9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参数性质</w:t>
            </w:r>
          </w:p>
        </w:tc>
        <w:tc>
          <w:tcPr>
            <w:tcW w:w="2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3609E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技术参数与性能指标</w:t>
            </w:r>
          </w:p>
        </w:tc>
      </w:tr>
      <w:tr w14:paraId="337A4F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5FE12D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C28E88">
            <w:pP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CAF7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Style w:val="8"/>
                <w:rFonts w:ascii="仿宋" w:hAnsi="仿宋" w:eastAsia="仿宋" w:cs="仿宋"/>
                <w:color w:val="000000"/>
                <w:sz w:val="21"/>
                <w:szCs w:val="21"/>
                <w:bdr w:val="none" w:color="auto" w:sz="0" w:space="0"/>
              </w:rPr>
              <w:t>1.</w:t>
            </w:r>
            <w:r>
              <w:rPr>
                <w:rStyle w:val="8"/>
                <w:rFonts w:hint="eastAsia" w:ascii="仿宋" w:hAnsi="仿宋" w:eastAsia="仿宋" w:cs="仿宋"/>
                <w:color w:val="000000"/>
                <w:sz w:val="21"/>
                <w:szCs w:val="21"/>
                <w:bdr w:val="none" w:color="auto" w:sz="0" w:space="0"/>
              </w:rPr>
              <w:t>采购需求及要求</w:t>
            </w:r>
          </w:p>
          <w:p w14:paraId="3135C80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1.1采购需求清单：</w:t>
            </w:r>
          </w:p>
          <w:tbl>
            <w:tblPr>
              <w:tblW w:w="7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36"/>
              <w:gridCol w:w="1030"/>
              <w:gridCol w:w="4392"/>
              <w:gridCol w:w="701"/>
              <w:gridCol w:w="761"/>
            </w:tblGrid>
            <w:tr w14:paraId="7A2F2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7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3A8DD8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序号</w:t>
                  </w:r>
                </w:p>
              </w:tc>
              <w:tc>
                <w:tcPr>
                  <w:tcW w:w="103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6D4A00E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名称</w:t>
                  </w:r>
                </w:p>
              </w:tc>
              <w:tc>
                <w:tcPr>
                  <w:tcW w:w="444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031328A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技术规格要求</w:t>
                  </w:r>
                </w:p>
              </w:tc>
              <w:tc>
                <w:tcPr>
                  <w:tcW w:w="7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166AD21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单位</w:t>
                  </w:r>
                </w:p>
              </w:tc>
              <w:tc>
                <w:tcPr>
                  <w:tcW w:w="73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37BF4B4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数量</w:t>
                  </w:r>
                </w:p>
              </w:tc>
            </w:tr>
            <w:tr w14:paraId="10AB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7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48F93F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w:t>
                  </w:r>
                </w:p>
              </w:tc>
              <w:tc>
                <w:tcPr>
                  <w:tcW w:w="103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BC676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撒(抛)肥机</w:t>
                  </w:r>
                </w:p>
              </w:tc>
              <w:tc>
                <w:tcPr>
                  <w:tcW w:w="4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F761FB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★1.抛盘数量：≥2个。</w:t>
                  </w:r>
                </w:p>
                <w:p w14:paraId="018C02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2.配套动力：适配120-160马力。</w:t>
                  </w:r>
                </w:p>
                <w:p w14:paraId="65A58E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3.传动系统：采用外部轴传动+内部齿轮传动组合方式。</w:t>
                  </w:r>
                </w:p>
                <w:p w14:paraId="040A449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★4.作业幅宽：12-42米连续可调，支持半幅作业模式。</w:t>
                  </w:r>
                </w:p>
                <w:p w14:paraId="1FCAE52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★5.料箱容积：1400L-3200L。</w:t>
                  </w:r>
                </w:p>
                <w:p w14:paraId="3277DF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★6.料箱底座、撒肥量调节机构、撒肥部件等核心部件均采用100%不锈钢材料，采用加强型旋转叶片且经碳化钨涂层处理。</w:t>
                  </w:r>
                </w:p>
                <w:p w14:paraId="194B14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★7.配置2类牵引杆，具备双高度连接点位，支持适配多种拖拉机挂接。</w:t>
                  </w:r>
                </w:p>
                <w:p w14:paraId="6C0504F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★8.配备进料滤网、料箱料位视镜、专用流量控制工具、专用导流板等辅助配置。</w:t>
                  </w:r>
                </w:p>
                <w:p w14:paraId="483ECAD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9.搅拌转速：≤18转/分钟，作业温和，对化肥颗粒的搅拌操作极为轻缓。</w:t>
                  </w:r>
                </w:p>
                <w:p w14:paraId="1A9FAF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10.未加装增容装置时整机自重：330kg-720kg。</w:t>
                  </w:r>
                </w:p>
              </w:tc>
              <w:tc>
                <w:tcPr>
                  <w:tcW w:w="70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CA97F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台</w:t>
                  </w:r>
                </w:p>
              </w:tc>
              <w:tc>
                <w:tcPr>
                  <w:tcW w:w="73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64AC42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w:t>
                  </w:r>
                </w:p>
              </w:tc>
            </w:tr>
            <w:tr w14:paraId="3D269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7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8BF671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2</w:t>
                  </w:r>
                </w:p>
              </w:tc>
              <w:tc>
                <w:tcPr>
                  <w:tcW w:w="103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B6624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喷杆喷雾机</w:t>
                  </w:r>
                </w:p>
              </w:tc>
              <w:tc>
                <w:tcPr>
                  <w:tcW w:w="4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F13FA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★1.整机结构为自走式喷杆喷雾机。</w:t>
                  </w:r>
                </w:p>
                <w:p w14:paraId="6E3EA6F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2.整机工作压力：0-2.5MPa。</w:t>
                  </w:r>
                </w:p>
                <w:p w14:paraId="3AD5CC5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3.最小离地间隙：≥1010mm。</w:t>
                  </w:r>
                </w:p>
                <w:p w14:paraId="2B2F24D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★4.前置液压升降型式喷杆，整机喷杆长度：≥13000mm。</w:t>
                  </w:r>
                </w:p>
                <w:p w14:paraId="29ACF3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★5.达到国家第四排放标准，配套动力：四缸水冷四冲程，柴油机动力，轴距≤2100mm。</w:t>
                  </w:r>
                </w:p>
                <w:p w14:paraId="2F1BC3A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★6.发动机功率：≥36.8kW，转速：≥2400r/min，工作电压：≥24 V。</w:t>
                  </w:r>
                </w:p>
                <w:p w14:paraId="13043BA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7.三缸柱塞泵，电机泵额定压力：≥3.5MPa，电机泵额定流量 52-117L/min，液泵驱动方式为液压马达驱动。</w:t>
                  </w:r>
                </w:p>
                <w:p w14:paraId="0BB567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★8.药箱容积 ≥1000 L。</w:t>
                  </w:r>
                </w:p>
                <w:p w14:paraId="6F963AB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9.承压软管允许最大压力 MPa 8.7(分配器前)/2.76(分配器后)。</w:t>
                  </w:r>
                </w:p>
                <w:p w14:paraId="4CBDA87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10.支持选配撒肥器。</w:t>
                  </w:r>
                </w:p>
              </w:tc>
              <w:tc>
                <w:tcPr>
                  <w:tcW w:w="70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16CFCF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台</w:t>
                  </w:r>
                </w:p>
              </w:tc>
              <w:tc>
                <w:tcPr>
                  <w:tcW w:w="73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77958E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w:t>
                  </w:r>
                </w:p>
              </w:tc>
            </w:tr>
            <w:tr w14:paraId="5F26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20" w:type="dxa"/>
                  <w:gridSpan w:val="5"/>
                  <w:tcBorders>
                    <w:top w:val="nil"/>
                    <w:left w:val="single" w:color="000000" w:sz="6" w:space="0"/>
                    <w:bottom w:val="single" w:color="000000" w:sz="6" w:space="0"/>
                    <w:right w:val="single" w:color="000000" w:sz="6" w:space="0"/>
                  </w:tcBorders>
                  <w:shd w:val="clear"/>
                  <w:tcMar>
                    <w:left w:w="105" w:type="dxa"/>
                    <w:right w:w="105" w:type="dxa"/>
                  </w:tcMar>
                  <w:vAlign w:val="center"/>
                </w:tcPr>
                <w:p w14:paraId="7333F2E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480" w:lineRule="atLeast"/>
                    <w:ind w:left="0" w:right="105" w:firstLine="0"/>
                    <w:jc w:val="both"/>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说明：1.采购需求清单中带“★”的技术指标参数为实质性要求，未按要求提供相关证明材料(不限于原厂印刷的产品说明书、质量证书、检测报告、合格证、官网截图等)或技术指标参数存在负偏离的，均按无效响应处理。</w:t>
                  </w:r>
                </w:p>
                <w:p w14:paraId="7E456C9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2.有关重量、尺寸、体积等的表述，允许供应商在国标和采购需求允许的范围内浮动，但必须满足采购人实际使用，外观颜色需根据实际需求供采购人可选。</w:t>
                  </w:r>
                </w:p>
              </w:tc>
            </w:tr>
          </w:tbl>
          <w:p w14:paraId="6EAF3E9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1.2产品“三包”要求：</w:t>
            </w:r>
            <w:r>
              <w:rPr>
                <w:rFonts w:hint="eastAsia" w:ascii="仿宋" w:hAnsi="仿宋" w:eastAsia="仿宋" w:cs="仿宋"/>
                <w:color w:val="000000"/>
                <w:sz w:val="21"/>
                <w:szCs w:val="21"/>
                <w:bdr w:val="none" w:color="auto" w:sz="0" w:space="0"/>
              </w:rPr>
              <w:t>货物（产品）属于国家规定的“三包产品”，产品制造商、经销代理商应遵守“三包”的规定，在产品发生质量问题时，及时对所提供产品实行“包退、包换、保修”服务。</w:t>
            </w:r>
          </w:p>
          <w:p w14:paraId="7D70EF4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1.3安全要求：</w:t>
            </w:r>
            <w:r>
              <w:rPr>
                <w:rFonts w:hint="eastAsia" w:ascii="仿宋" w:hAnsi="仿宋" w:eastAsia="仿宋" w:cs="仿宋"/>
                <w:color w:val="000000"/>
                <w:sz w:val="21"/>
                <w:szCs w:val="21"/>
                <w:bdr w:val="none" w:color="auto" w:sz="0" w:space="0"/>
              </w:rPr>
              <w:t>认真贯彻执行国家及省、市有关安全文明生产的法律法规规章和强制性标准、安全操作规程等，所有设备(产品)应符合国家相关安全标准，所有货物（产品）能够承受频繁使用和可能的不当操作，结构稳定，不易损坏，无锐利边角、无毒无害、不易造成意外伤害，与实际使用场地相匹配；建立健全安装现场安全文明生产保证体系，落实各项具体措施，切实履行安全文明生产责任和义务，保护职工身体健康和生命安全，以及社会公众安全，保持安装现场整齐有序。</w:t>
            </w:r>
          </w:p>
          <w:p w14:paraId="66444E1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1.4供应商应按要求提供所投的设备（产品）的技术资料（不限于原厂印刷的产品说明书、质量证书、检测报告、合格证、官网截图等）；供应商应保证投标所提供第三方资料内容真实、完整、准确；如有相关第三方书面声明、相关检测报告等资料虚假，监管部门有权根据调查情形认定其是否属于提供虚假材料谋取中标（成交），并严肃处理。</w:t>
            </w:r>
          </w:p>
          <w:p w14:paraId="6CDC62C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1.5为保证货物（软件和硬件）质量功能的严谨性，中标（成交）后采购人有权要求成交供应商对其所提供的设备（产品）（包含软件和硬件）的功能进行逐一演示，如有功能与实际不相符，一律按虚假应标处理，由成交供应商承担因此产生的一切后果和责任。</w:t>
            </w:r>
          </w:p>
          <w:p w14:paraId="70BA41D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90" w:firstLine="42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1.6质量标准：（1）所有货物（产品）、服务符合国家、省、市（行业）强制性标准及采购人要求的合格标准；</w:t>
            </w:r>
          </w:p>
          <w:p w14:paraId="1C0EF79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货物（产品）制造商、经销代理商应严格遵守《中华人民共和国产品质量法》，确保提供的产品符合质量标准，达到合格产品的要求。可能危及人体健康和人身、财产安全的工业产品，必须符合保障人体健康和人身、财产安全的国家标准、行业标准；未制定国家标准、行业标准的，必须符合保障人体健康和人身、财产安全的要求。</w:t>
            </w:r>
          </w:p>
          <w:p w14:paraId="0ADB462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3）货物（产品）、服务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p w14:paraId="5AA7DB6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25"/>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1.7售后服务要求：（1）成交供应商须指派专人负责与采购人联系售后服务事宜；</w:t>
            </w:r>
          </w:p>
          <w:p w14:paraId="28AE027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（2）成交供应商负责货物的现场安装、调试、测试和启动等；</w:t>
            </w:r>
          </w:p>
          <w:p w14:paraId="4E8184F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3）成交供应商负责货物的安装、启动、运行及维护等对使用人员进行免费培训：培训主要内容为货物的基本结构、性能、主要部件的构造及原理，日常使用操作、维护保养与管理，常见故障的排除、紧急情况的处理等，如使用方未使用过同类型货物，成交供应商还需就货物的功能对使用方人员进行相应的技术培训，培训地点为货物安装现场或由采购人安排；</w:t>
            </w:r>
          </w:p>
          <w:p w14:paraId="656560A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（4）质保期自采购人在质量验收单（终验）上签字之日起计算，质保费用计入总价；</w:t>
            </w:r>
          </w:p>
          <w:p w14:paraId="703F43F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5）成交供应商负责对其提供的货物整体进行维修和系统维护，质保期内应无偿负责现场技术巡检、维修和替换等工作；若遇到采购人重大活动需无条件提供现场技术支持服务且不再收取任何费用，但不可抗力（如火灾、雷击等）造成的故障除外；超出质保期只收取维修所需原设备、材料成本费用；</w:t>
            </w:r>
          </w:p>
          <w:p w14:paraId="5F8A80A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（6）成交供应商负责对其所提供的设备、材料等备品配件供应，提供长期维修，并提供技术咨询等服务，所有维修记录交由采购人的现场技术人员一份，并详细说明问题所在、解决办法及注意事项；</w:t>
            </w:r>
          </w:p>
          <w:p w14:paraId="6EDA063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（7）货物故障报修的响应时间为：7x24小时免费上门服务；</w:t>
            </w:r>
          </w:p>
          <w:p w14:paraId="2C30374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8）所有货物服务方式均为成交供应商上门服务，即由成交供应商派人到货物使用现场维修，由此产生的一切费用均由成交供应商承担，对系统进行定期的检修、保养工作，并与用户进行沟通，定期开展技术交流活动，预防故障发生，保证系统的正常运行；</w:t>
            </w:r>
          </w:p>
          <w:p w14:paraId="46AC2D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（9）在保修期内更换系统中部件，其保修期应相应延长；</w:t>
            </w:r>
          </w:p>
          <w:p w14:paraId="451F841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（10）质保期结束后的维修、维护等由双方协商再定。</w:t>
            </w:r>
          </w:p>
          <w:p w14:paraId="3CF5136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2.其他要求或说明</w:t>
            </w:r>
          </w:p>
          <w:p w14:paraId="04C202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90" w:firstLine="422"/>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2.1人员配置要求：供应商根据采购项目特性及要求，自行配置履行合同所必需的专业服务团队，自行组织实施与管理，相关人员经过严格培训，具有相关工作经验，能够胜任项目工作，保证项目顺利实施。</w:t>
            </w:r>
          </w:p>
          <w:p w14:paraId="6345D0B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90" w:firstLine="422"/>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2.2供应商根据采购项目特性及要求，自行配置投入履行合同所必需的各类设施设备（不限于专业设备、辅助设备、工具、软件等），保证项目顺利实施。</w:t>
            </w:r>
          </w:p>
          <w:p w14:paraId="7BF2A03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★2.3核心产品名称：</w:t>
            </w:r>
            <w:r>
              <w:rPr>
                <w:rFonts w:hint="eastAsia" w:ascii="仿宋" w:hAnsi="仿宋" w:eastAsia="仿宋" w:cs="仿宋"/>
                <w:color w:val="000000"/>
                <w:sz w:val="21"/>
                <w:szCs w:val="21"/>
                <w:u w:val="single"/>
                <w:bdr w:val="none" w:color="auto" w:sz="0" w:space="0"/>
              </w:rPr>
              <w:t>喷杆喷雾机。</w:t>
            </w:r>
          </w:p>
          <w:p w14:paraId="6538588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2.4本项目采购标的为：</w:t>
            </w:r>
            <w:r>
              <w:rPr>
                <w:rFonts w:hint="eastAsia" w:ascii="仿宋" w:hAnsi="仿宋" w:eastAsia="仿宋" w:cs="仿宋"/>
                <w:color w:val="000000"/>
                <w:sz w:val="21"/>
                <w:szCs w:val="21"/>
                <w:u w:val="single"/>
                <w:bdr w:val="none" w:color="auto" w:sz="0" w:space="0"/>
              </w:rPr>
              <w:t>撒(抛)肥机、喷杆喷雾机。</w:t>
            </w:r>
            <w:r>
              <w:rPr>
                <w:rFonts w:hint="eastAsia" w:ascii="仿宋" w:hAnsi="仿宋" w:eastAsia="仿宋" w:cs="仿宋"/>
                <w:color w:val="000000"/>
                <w:sz w:val="21"/>
                <w:szCs w:val="21"/>
                <w:bdr w:val="none" w:color="auto" w:sz="0" w:space="0"/>
              </w:rPr>
              <w:t>标的所属行业为:</w:t>
            </w:r>
            <w:r>
              <w:rPr>
                <w:rFonts w:hint="eastAsia" w:ascii="宋体" w:hAnsi="宋体" w:eastAsia="宋体" w:cs="宋体"/>
                <w:color w:val="000000"/>
                <w:sz w:val="21"/>
                <w:szCs w:val="21"/>
                <w:u w:val="single"/>
                <w:bdr w:val="none" w:color="auto" w:sz="0" w:space="0"/>
              </w:rPr>
              <w:t> </w:t>
            </w:r>
            <w:r>
              <w:rPr>
                <w:rFonts w:hint="eastAsia" w:ascii="仿宋" w:hAnsi="仿宋" w:eastAsia="仿宋" w:cs="仿宋"/>
                <w:color w:val="000000"/>
                <w:sz w:val="21"/>
                <w:szCs w:val="21"/>
                <w:u w:val="single"/>
                <w:bdr w:val="none" w:color="auto" w:sz="0" w:space="0"/>
              </w:rPr>
              <w:t>工业</w:t>
            </w:r>
            <w:r>
              <w:rPr>
                <w:rFonts w:hint="eastAsia" w:ascii="宋体" w:hAnsi="宋体" w:eastAsia="宋体" w:cs="宋体"/>
                <w:color w:val="000000"/>
                <w:sz w:val="21"/>
                <w:szCs w:val="21"/>
                <w:u w:val="single"/>
                <w:bdr w:val="none" w:color="auto" w:sz="0" w:space="0"/>
              </w:rPr>
              <w:t> </w:t>
            </w:r>
            <w:r>
              <w:rPr>
                <w:rFonts w:hint="eastAsia" w:ascii="仿宋" w:hAnsi="仿宋" w:eastAsia="仿宋" w:cs="仿宋"/>
                <w:color w:val="000000"/>
                <w:sz w:val="21"/>
                <w:szCs w:val="21"/>
                <w:bdr w:val="none" w:color="auto" w:sz="0" w:space="0"/>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bl>
    <w:p w14:paraId="78FBF9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3.4商务要求</w:t>
      </w:r>
    </w:p>
    <w:p w14:paraId="792855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3.4.1交货时间</w:t>
      </w:r>
    </w:p>
    <w:p w14:paraId="19F9C1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107B64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自合同签订生效之日起15日内完成供货、安装、调试、验收</w:t>
      </w:r>
    </w:p>
    <w:p w14:paraId="32B83E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3.4.2交货地点和方式</w:t>
      </w:r>
    </w:p>
    <w:p w14:paraId="05A27B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0A1E52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按采购人指定地点</w:t>
      </w:r>
    </w:p>
    <w:p w14:paraId="5BC91F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3.4.3支付方式</w:t>
      </w:r>
    </w:p>
    <w:p w14:paraId="3074E6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167A94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一次付清</w:t>
      </w:r>
    </w:p>
    <w:p w14:paraId="2B40A4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3.4.4支付约定</w:t>
      </w:r>
    </w:p>
    <w:p w14:paraId="6E31FE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具体按合同相关条款执行，所有货物交货完成，验收合格 ，达到付款条件起 30 日内，支付合同总金额的 100.00%。</w:t>
      </w:r>
    </w:p>
    <w:p w14:paraId="2EB939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3.4.5验收标准和方法</w:t>
      </w:r>
    </w:p>
    <w:p w14:paraId="7A5669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54B7CF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现行的国家标准或国家行政部门颁布的法律法规、规章制度等，是项目验收的重要依据，采购人根据有关规范、规定及项目要求对成交供应商所供货物（产品）或服务进行检查或验收，成交供应商须无条件地接受采购人检查或验收；若验收不通过或质量不合格，成交供应商应在一定期限内进行整改完善，以采购人要求的标准提供合格的货物（产品）或服务；若成交供应商在接受检查整改后，仍不能提供符合采购要求的合格货物（产品）或服务，采购人有权按违约予以撤项，具体按合同相关条款执行</w:t>
      </w:r>
    </w:p>
    <w:p w14:paraId="5264EF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3.4.6包装方式及运输</w:t>
      </w:r>
    </w:p>
    <w:p w14:paraId="06600F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4D1A09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1）运输要求：采用公路或铁路运输方式，选择风险小、运费低和运距短的运输路线。运杂费一次性包死在总价内，采购人不再额外支付，包括从生产厂家到使用（安装）现场的包装、装载、运输、卸载、现场保管、二次倒运等费用。 （2）包装要求：①全部货物（产品）均应按照国家、行业规定的标准和保护措施进行包装，该包装应适应于远距离运输、防潮、防震、防锈和防野蛮装卸，以确保货物安全运抵指定地点；②当包装使用塑料、纸质、木材等包装材料时，除应当按照国家、行业规定的包装标准进行包装外，还需按照《商品包装政府采购需求标准（试行）》（财办库〔2020〕）123号）规定的环保要求进行包装；③当采用快递交货方式时，快递包装除应当按照国家、行业规定的包装标准进行包装外，还需按照《快递包装政府采购需求标准（试行）》（财办库〔2020〕）123号）规定的环保要求进行包装。</w:t>
      </w:r>
    </w:p>
    <w:p w14:paraId="382360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3.4.7质量保修范围和保修期</w:t>
      </w:r>
    </w:p>
    <w:p w14:paraId="35A113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75A079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本项目整体质保期≥12个月，供应商承诺超过采购文件要求的，按其承诺的质保期进行质保，质保期起始时间为终验合格之日。</w:t>
      </w:r>
    </w:p>
    <w:p w14:paraId="17BCBB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3.4.8违约责任及解决争议的方法</w:t>
      </w:r>
    </w:p>
    <w:p w14:paraId="786031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5CFCF4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详见合同相关条款</w:t>
      </w:r>
    </w:p>
    <w:p w14:paraId="55D481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3.5其他要求</w:t>
      </w:r>
    </w:p>
    <w:p w14:paraId="3262F9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1CE73F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一、供应商的报价是供应商响应采购项目要求的全部工作内容的价格体现，包括供应商完成本项目所需的直接费、间接费、利润、税金及其他相关的一切费用，包括但不限于：产品费、附件费、工具费、验收费、运输费、保险费、安装费、调试费、技术服务费（含售后）、招标代理费、税金、利润及不可预见费等费用；谈判总价中不得包含采购文件要求以外的内容，否则，在评标时不予核减。在供货、安装、调试、培训等工作中出现硬件、软件等的任何遗漏，均由成交供应商免费提供，采购人将不再支付任何费用。 二、谈判有效期 1.出现特殊情况需要延长谈判有效期的，采购代理机构或采购人可于谈判有效期满之前，以书面形式通知所有供应商延长谈判有效期。供应商应予书面答复，同意延长的，但不得要求或被允许修改其响应文件；供应商拒绝延长的，其响应文件失效。 2.在谈判有效期内，供应商撤销响应文件的，应承担响应文件和法律规定的责任。 3.中标人的谈判有效期自动延长至合同终止为止。 三、分公司独立参与谈判时，不能使用总公司的资质或业绩；总公司授权分公司或分支机构参与谈判，可以使用总公司的资质或业绩。总公司单独参与谈判时，可以使用分公司的业绩，在相关资质证书的管理要求和适用范围内可以使用分公司资质。 四、文件中签名是指：手写签名或加盖签名章（含电子章、印章、签名章），盖章是指加盖单位章（含电子章）。 五、资格性、符合性审查完成后，最终报价中如出现异常低价情形，执行财库〔2026〕2号《关于推动解决政府采购异常低价问题的通知》，谈判小组可在最后报价审查表中审核是否通过审查。 六、恶意质疑、投诉的法律后果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（1）《中华人民共和国刑法》第243条【诬告陷害罪】捏造事实诬告陷害他人，意图使他人受到刑事追究，情节严重的，处三年以下有期徒刑、拘役或者管制；造成严重后果的，处三年以上十年以下有期徒刑。 （2）《中华人民共和国刑法》第246条【侮辱罪、诽谤罪】以暴力或者其他方法公然侮辱他人或者捏造事实诽谤他人，情节严重的，处三年以下有期徒刑、拘役、管制或者剥夺政治权利。 七、参与本项目的供应商应通过陕西省政府采购综合管理平台的项目电子化交易系统在线实施报名、获取采购文件、响应、报价等操作，供应商无需现场提供纸质响应文件。但在中标（成交）后，中标（成交）供应商在领取中标（成交）通知书时需提供纸质响应文件正本一套、副本一套用于备案，纸质响应文件应通过专用制作软件直接打印，确保与项目电子化交易系统中的电子响应文件保持一致，不允许修改和补充。中标（成交）通知书领取地址：西安市雁塔区雁翔路111号赛格·中京坊6幢1（公寓A1）单元2层招标一部。</w:t>
      </w:r>
    </w:p>
    <w:p w14:paraId="5A7BC8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55243"/>
    <w:rsid w:val="74B55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2026-04-03T03:46:00Z</dcterms:created>
  <dc:creator>杜航</dc:creator>
  <cp:lastModifiedBy>杜航</cp:lastModifiedBy>
  <dcterms:modified xsi:type="dcterms:W3CDTF">2026-04-03T03:47:40Z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4CC3F5A2C3354DCBBF32C0647B763407_11</vt:lpwstr>
  </property>
  <property fmtid="{D5CDD505-2E9C-101B-9397-08002B2CF9AE}" pid="4" name="KSOTemplateDocerSaveRecord">
    <vt:lpwstr>eyJoZGlkIjoiNGVjNGI1ZWQxMDUyODY5ZDAxOTAyNjljNjE1NWUwNGQiLCJ1c2VySWQiOiIzMDgwODY2MDYifQ==</vt:lpwstr>
  </property>
</Properties>
</file>