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C07FE">
      <w:pPr>
        <w:pStyle w:val="2"/>
        <w:numPr>
          <w:ilvl w:val="0"/>
          <w:numId w:val="0"/>
        </w:numPr>
        <w:spacing w:before="210" w:after="210"/>
        <w:ind w:leftChars="0"/>
        <w:jc w:val="center"/>
        <w:rPr>
          <w:rFonts w:hint="eastAsia" w:ascii="宋体" w:hAnsi="宋体" w:eastAsia="宋体" w:cs="宋体"/>
          <w:b/>
          <w:bCs w:val="0"/>
          <w:highlight w:val="none"/>
        </w:rPr>
      </w:pPr>
      <w:bookmarkStart w:id="0" w:name="_Toc25097"/>
      <w:bookmarkStart w:id="1" w:name="_Toc32718_WPSOffice_Level1"/>
      <w:bookmarkStart w:id="2" w:name="_Toc19632"/>
      <w:bookmarkStart w:id="3" w:name="_Toc16096_WPSOffice_Level1"/>
      <w:bookmarkStart w:id="4" w:name="_Toc12574"/>
      <w:r>
        <w:rPr>
          <w:rFonts w:hint="eastAsia" w:ascii="宋体" w:hAnsi="宋体" w:eastAsia="宋体" w:cs="宋体"/>
          <w:b/>
          <w:bCs w:val="0"/>
          <w:highlight w:val="none"/>
        </w:rPr>
        <w:t>采购内容及需求</w:t>
      </w:r>
      <w:bookmarkEnd w:id="0"/>
      <w:bookmarkEnd w:id="1"/>
      <w:bookmarkEnd w:id="2"/>
      <w:bookmarkEnd w:id="3"/>
      <w:bookmarkEnd w:id="4"/>
    </w:p>
    <w:p w14:paraId="0E4984B0">
      <w:pPr>
        <w:keepNext w:val="0"/>
        <w:keepLines w:val="0"/>
        <w:pageBreakBefore w:val="0"/>
        <w:widowControl w:val="0"/>
        <w:kinsoku/>
        <w:wordWrap/>
        <w:overflowPunct/>
        <w:topLinePunct w:val="0"/>
        <w:autoSpaceDE/>
        <w:autoSpaceDN/>
        <w:bidi w:val="0"/>
        <w:snapToGrid w:val="0"/>
        <w:spacing w:line="360" w:lineRule="auto"/>
        <w:ind w:left="0" w:firstLine="482" w:firstLineChars="200"/>
        <w:jc w:val="both"/>
        <w:textAlignment w:val="auto"/>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t>一、</w:t>
      </w:r>
      <w:r>
        <w:rPr>
          <w:rFonts w:hint="eastAsia" w:ascii="宋体" w:hAnsi="宋体" w:eastAsia="宋体" w:cs="宋体"/>
          <w:b/>
          <w:bCs/>
          <w:sz w:val="24"/>
          <w:szCs w:val="24"/>
          <w:highlight w:val="none"/>
        </w:rPr>
        <w:t>采购内容</w:t>
      </w:r>
    </w:p>
    <w:p w14:paraId="709B9F47">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为实施</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rPr>
        <w:t>年度食品安全监督抽检计划，对</w:t>
      </w:r>
      <w:r>
        <w:rPr>
          <w:rFonts w:hint="eastAsia" w:ascii="宋体" w:hAnsi="宋体" w:eastAsia="宋体" w:cs="宋体"/>
          <w:sz w:val="24"/>
          <w:szCs w:val="24"/>
          <w:highlight w:val="none"/>
          <w:lang w:val="en-US" w:eastAsia="zh-CN"/>
        </w:rPr>
        <w:t>浐灞国际港内</w:t>
      </w:r>
      <w:r>
        <w:rPr>
          <w:rFonts w:hint="eastAsia" w:ascii="宋体" w:hAnsi="宋体" w:eastAsia="宋体" w:cs="宋体"/>
          <w:sz w:val="24"/>
          <w:szCs w:val="24"/>
          <w:highlight w:val="none"/>
        </w:rPr>
        <w:t>食品安全</w:t>
      </w:r>
      <w:r>
        <w:rPr>
          <w:rFonts w:hint="eastAsia" w:ascii="宋体" w:hAnsi="宋体" w:eastAsia="宋体" w:cs="宋体"/>
          <w:sz w:val="24"/>
          <w:szCs w:val="24"/>
          <w:highlight w:val="none"/>
          <w:lang w:val="en-US" w:eastAsia="zh-CN"/>
        </w:rPr>
        <w:t>开展</w:t>
      </w:r>
      <w:r>
        <w:rPr>
          <w:rFonts w:hint="eastAsia" w:ascii="宋体" w:hAnsi="宋体" w:eastAsia="宋体" w:cs="宋体"/>
          <w:sz w:val="24"/>
          <w:szCs w:val="24"/>
          <w:highlight w:val="none"/>
        </w:rPr>
        <w:t>抽检服务。</w:t>
      </w:r>
    </w:p>
    <w:p w14:paraId="2E9C9A2E">
      <w:pPr>
        <w:keepNext w:val="0"/>
        <w:keepLines w:val="0"/>
        <w:pageBreakBefore w:val="0"/>
        <w:widowControl w:val="0"/>
        <w:kinsoku/>
        <w:wordWrap/>
        <w:overflowPunct/>
        <w:topLinePunct w:val="0"/>
        <w:autoSpaceDE/>
        <w:autoSpaceDN/>
        <w:bidi w:val="0"/>
        <w:snapToGrid w:val="0"/>
        <w:spacing w:line="360" w:lineRule="auto"/>
        <w:ind w:left="0" w:firstLine="482" w:firstLineChars="200"/>
        <w:jc w:val="both"/>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二、服务要求</w:t>
      </w:r>
    </w:p>
    <w:p w14:paraId="3B9F34FC">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1、能提供高效抽检服务，全年365天提供24小时服务，能接受抽样工作委托，有专门团队负责配合采样；</w:t>
      </w:r>
    </w:p>
    <w:p w14:paraId="0F571CF1">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2、抽检样品必须在当天进入食品检测实验室，以确保样品检测报告的准确性、报告复检维持率高；</w:t>
      </w:r>
    </w:p>
    <w:p w14:paraId="595E8682">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3、能够熟练运用各级抽检系统，及时准确地录入抽检、检验信息，辅助</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完成统计报表、信息公示等工作；</w:t>
      </w:r>
    </w:p>
    <w:p w14:paraId="65EA9692">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4、有能满足采样、运输、检验等工作的车辆、设备等硬件；</w:t>
      </w:r>
    </w:p>
    <w:p w14:paraId="4B25C6C3">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5、不得将检验任务外包或分包给其他检测机构检验；</w:t>
      </w:r>
    </w:p>
    <w:p w14:paraId="027BBD7F">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6、若</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出具虚假、错误检验数据和结论，一经发现，立即取消合作资格；</w:t>
      </w:r>
    </w:p>
    <w:p w14:paraId="4FB236D0">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7、须提供相关的业务咨询、报告分析等服务；</w:t>
      </w:r>
    </w:p>
    <w:p w14:paraId="6A55482B">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8、检验机构收到检品后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个工作日出具检验报告。对于特殊、涉案样品</w:t>
      </w:r>
      <w:r>
        <w:rPr>
          <w:rFonts w:hint="eastAsia" w:ascii="宋体" w:hAnsi="宋体" w:eastAsia="宋体" w:cs="宋体"/>
          <w:color w:val="auto"/>
          <w:sz w:val="24"/>
          <w:szCs w:val="24"/>
          <w:highlight w:val="none"/>
          <w:lang w:val="en-US" w:eastAsia="zh-CN"/>
        </w:rPr>
        <w:t>以及采购人要求的其他样品</w:t>
      </w:r>
      <w:r>
        <w:rPr>
          <w:rFonts w:hint="eastAsia" w:ascii="宋体" w:hAnsi="宋体" w:eastAsia="宋体" w:cs="宋体"/>
          <w:color w:val="auto"/>
          <w:sz w:val="24"/>
          <w:szCs w:val="24"/>
          <w:highlight w:val="none"/>
        </w:rPr>
        <w:t>的检验，3天出结果</w:t>
      </w:r>
      <w:r>
        <w:rPr>
          <w:rFonts w:hint="eastAsia" w:ascii="宋体" w:hAnsi="宋体" w:eastAsia="宋体" w:cs="宋体"/>
          <w:color w:val="auto"/>
          <w:sz w:val="24"/>
          <w:szCs w:val="24"/>
          <w:highlight w:val="none"/>
          <w:lang w:eastAsia="zh-CN"/>
        </w:rPr>
        <w:t>（除含微生物项目外）</w:t>
      </w:r>
      <w:r>
        <w:rPr>
          <w:rFonts w:hint="eastAsia" w:ascii="宋体" w:hAnsi="宋体" w:eastAsia="宋体" w:cs="宋体"/>
          <w:color w:val="auto"/>
          <w:sz w:val="24"/>
          <w:szCs w:val="24"/>
          <w:highlight w:val="none"/>
        </w:rPr>
        <w:t>，7天出报告；</w:t>
      </w:r>
    </w:p>
    <w:p w14:paraId="10BE4074">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9、有完善的投诉受理机制，能够对委托检验人提出的异议做出有效回应；</w:t>
      </w:r>
    </w:p>
    <w:p w14:paraId="0A6F1F28">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10、投标</w:t>
      </w:r>
      <w:r>
        <w:rPr>
          <w:rFonts w:hint="eastAsia" w:ascii="宋体" w:hAnsi="宋体" w:eastAsia="宋体" w:cs="宋体"/>
          <w:sz w:val="24"/>
          <w:szCs w:val="24"/>
          <w:highlight w:val="none"/>
          <w:lang w:eastAsia="zh-CN"/>
        </w:rPr>
        <w:t>人</w:t>
      </w:r>
      <w:r>
        <w:rPr>
          <w:rFonts w:hint="eastAsia" w:ascii="宋体" w:hAnsi="宋体" w:eastAsia="宋体" w:cs="宋体"/>
          <w:sz w:val="24"/>
          <w:szCs w:val="24"/>
          <w:highlight w:val="none"/>
        </w:rPr>
        <w:t>检验检测项目未达到100%时，应承诺其余项目在服务合同签订后2个月内完成扩项，若中标后未能及时完成扩项，采购人有权终止合同；</w:t>
      </w:r>
    </w:p>
    <w:p w14:paraId="5DC6A2BF">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11、投标人中标后，承担对应包内的检测任务，应逐月完成当月任务，并当月汇总本月的抽检清单；</w:t>
      </w:r>
    </w:p>
    <w:p w14:paraId="0CD04A29">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12、承检机构如在一个季度内未按照要求完成承检任务的或严重影响阶段性监督抽检考核任务的，采购人有权终止合同并按照完成任务的70%进行结算。</w:t>
      </w:r>
    </w:p>
    <w:p w14:paraId="7BB7ED4D">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13、投标人在接受委托时，须详细审核委托单内容。在确认采购人的委托及要求后，应填写委托单同一页上的领证凭条交付采购人，采购人凭此查询及索取检验报告。 </w:t>
      </w:r>
    </w:p>
    <w:p w14:paraId="45B9788E">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14、投标人须向采购人提供优质的服务，检验质量符合计量认证有关要求，检验报告书及时通知并交给采购</w:t>
      </w:r>
      <w:r>
        <w:rPr>
          <w:rFonts w:hint="eastAsia" w:ascii="宋体" w:hAnsi="宋体" w:eastAsia="宋体" w:cs="宋体"/>
          <w:sz w:val="24"/>
          <w:szCs w:val="24"/>
          <w:highlight w:val="none"/>
          <w:lang w:val="en-US" w:eastAsia="zh-CN"/>
        </w:rPr>
        <w:t xml:space="preserve">人签收，不合格检验报告须在 24 小时内送达至采购人。 </w:t>
      </w:r>
    </w:p>
    <w:p w14:paraId="521A453B">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15、采购人对检验结果有异议的，应在一个月内凭检验证书原件向检验方要求复检，投标人应于十日内安排复检。复检结果维持原检验结果的，采购人须按规定向检验方支付复检费。复检结果确认原检验结果有误的，费用由投标人承担，并向采购人提交分析原检验结果有误原因。 </w:t>
      </w:r>
    </w:p>
    <w:p w14:paraId="7EE5A1C1">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16、对采购人提出的有关咨询问题负有及时解释的责任，并提供相关的报告分析等服务。 </w:t>
      </w:r>
    </w:p>
    <w:p w14:paraId="0AA407E2">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17、投标人确保具备所承担的抽检检测任务涉及的食品以及检验项目的检验能力和相关资质（非标准检验方法除外），能够对检验结论进行准确判定。 </w:t>
      </w:r>
    </w:p>
    <w:p w14:paraId="27AF81DF">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18场所、所抽样品环节、抽样批次、检验项目等的要求，并负责数据的准确性、可靠性。 </w:t>
      </w:r>
    </w:p>
    <w:p w14:paraId="5A0046F0">
      <w:pPr>
        <w:keepNext w:val="0"/>
        <w:keepLines w:val="0"/>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19、检测数据应及时报送，报送内容应准确，信息齐全，并经过投标人专业人员审核无误后提交采购人。投标人每月月底把当月完成的检验数据明细发给采购人。如需上传数据的应及时录入抽样信息和检测信息，要求在完成该项工作后 1 个工作日内完成录入。如需提供阶段数据的质量分析报告，应及时提供给采购人，年底提供全年任务的质量分析报告。投标人不得擅自发布与抽检有关的任何数据。 </w:t>
      </w:r>
    </w:p>
    <w:p w14:paraId="6BA311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FF0000"/>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20、投标人应安排专业人员对国抽系统内录入的抽检数据进行质量核查，核查率为100%。如因采购人对抽检数据质量核查时发现的问题反复出现的，或国家、省、市局对抽检数据质量核查时存在的问题被通报的，或因国抽系统错误数据影响采购人年度考核的，暂停抽检工作，待整改后视情况安排抽检工作；不合格抽检数据须严格审核无误后上传，如因审核不严，导致国抽系统内上传的抽检数据有误的或一年内出现两次不合格抽检数据上传有误的，投标人承担由此给采购人造成的损失。 </w:t>
      </w:r>
    </w:p>
    <w:p w14:paraId="5CDDA3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21、投标人在开展食品安全抽检时，应加大抽检工作的靶向性，提高问题发现率，且抽检问题发现率不低于全市平均水平。</w:t>
      </w:r>
    </w:p>
    <w:p w14:paraId="7C93EC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22、投标人出具虚假、错误检测数据和结论的，扣除相应的检测费用，由于虚假、错误检测数据和结论而给食品生产者和被抽检人造成损失的，或者在社会造成不良影响的，投标人应当赔偿，在采购人指定媒体上澄清事实并承担相应的法律责任。 </w:t>
      </w:r>
    </w:p>
    <w:p w14:paraId="7A04AB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23、投标人用于检测所购买的样品，归采购人所有，经破环性实验无法修复的样品，投标人应登记造册并进行无害化处理；投标人应将所检样品的备份样品交由采购人处理，或者采购人可以授权投标人按照有关规定对备份样品进行处理，并将样品处理情况报采购人备案。 </w:t>
      </w:r>
    </w:p>
    <w:p w14:paraId="5CA66F1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24、投标人或其雇员必须对受托检测样品的检验数据保密，数据仅提供给采购人，不得向任何第三方泄露。如投标人或其雇员向第三方人泄露检验数据的，或因投标人原因导致检验数据泄露的，采购人不支付投标人承检费用，造成采购人其他损失的仍应赔偿，同时在采购人指定的媒体上赔礼道歉并承担相应的法律责任。 </w:t>
      </w:r>
    </w:p>
    <w:p w14:paraId="20BBD26E">
      <w:pPr>
        <w:keepNext w:val="0"/>
        <w:keepLines w:val="0"/>
        <w:pageBreakBefore w:val="0"/>
        <w:widowControl w:val="0"/>
        <w:kinsoku/>
        <w:wordWrap/>
        <w:overflowPunct/>
        <w:topLinePunct w:val="0"/>
        <w:autoSpaceDE/>
        <w:autoSpaceDN/>
        <w:bidi w:val="0"/>
        <w:snapToGrid w:val="0"/>
        <w:spacing w:line="360" w:lineRule="auto"/>
        <w:ind w:left="0"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25、积极完成采购人交办的临时性抽检工作任务。</w:t>
      </w:r>
    </w:p>
    <w:p w14:paraId="6824F2DC">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三、抽检计划</w:t>
      </w:r>
    </w:p>
    <w:p w14:paraId="6FB562A9">
      <w:pPr>
        <w:keepNext w:val="0"/>
        <w:keepLines w:val="0"/>
        <w:pageBreakBefore w:val="0"/>
        <w:widowControl w:val="0"/>
        <w:kinsoku/>
        <w:wordWrap/>
        <w:overflowPunct/>
        <w:topLinePunct w:val="0"/>
        <w:autoSpaceDE/>
        <w:autoSpaceDN/>
        <w:bidi w:val="0"/>
        <w:snapToGrid w:val="0"/>
        <w:spacing w:line="360" w:lineRule="auto"/>
        <w:ind w:left="0" w:firstLine="482" w:firstLineChars="200"/>
        <w:jc w:val="center"/>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检验批次</w:t>
      </w:r>
    </w:p>
    <w:tbl>
      <w:tblPr>
        <w:tblStyle w:val="4"/>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
        <w:gridCol w:w="1232"/>
        <w:gridCol w:w="2163"/>
        <w:gridCol w:w="1421"/>
        <w:gridCol w:w="1535"/>
        <w:gridCol w:w="1535"/>
      </w:tblGrid>
      <w:tr w14:paraId="2038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exact"/>
        </w:trPr>
        <w:tc>
          <w:tcPr>
            <w:tcW w:w="337" w:type="pct"/>
            <w:gridSpan w:val="2"/>
            <w:noWrap w:val="0"/>
            <w:vAlign w:val="center"/>
          </w:tcPr>
          <w:p w14:paraId="47B44829">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bidi="ar-SA"/>
              </w:rPr>
              <w:t>序号</w:t>
            </w:r>
          </w:p>
        </w:tc>
        <w:tc>
          <w:tcPr>
            <w:tcW w:w="728" w:type="pct"/>
            <w:noWrap w:val="0"/>
            <w:vAlign w:val="center"/>
          </w:tcPr>
          <w:p w14:paraId="31DBC283">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vertAlign w:val="baseline"/>
                <w:lang w:val="en-US" w:eastAsia="zh-CN" w:bidi="ar-SA"/>
              </w:rPr>
              <w:t>包号</w:t>
            </w:r>
          </w:p>
        </w:tc>
        <w:tc>
          <w:tcPr>
            <w:tcW w:w="1278" w:type="pct"/>
            <w:noWrap w:val="0"/>
            <w:vAlign w:val="center"/>
          </w:tcPr>
          <w:p w14:paraId="5A46C08C">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bidi="ar-SA"/>
              </w:rPr>
              <w:t>抽检批次</w:t>
            </w:r>
          </w:p>
        </w:tc>
        <w:tc>
          <w:tcPr>
            <w:tcW w:w="840" w:type="pct"/>
            <w:noWrap w:val="0"/>
            <w:vAlign w:val="center"/>
          </w:tcPr>
          <w:p w14:paraId="3865F643">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bidi="ar-SA"/>
              </w:rPr>
              <w:t>预算金额</w:t>
            </w:r>
          </w:p>
          <w:p w14:paraId="2678CCBF">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bidi="ar-SA"/>
              </w:rPr>
              <w:t>（万元）</w:t>
            </w:r>
          </w:p>
        </w:tc>
        <w:tc>
          <w:tcPr>
            <w:tcW w:w="907" w:type="pct"/>
            <w:noWrap w:val="0"/>
            <w:vAlign w:val="center"/>
          </w:tcPr>
          <w:p w14:paraId="4D253490">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bidi="ar-SA"/>
              </w:rPr>
              <w:t>抽检区域</w:t>
            </w:r>
          </w:p>
        </w:tc>
        <w:tc>
          <w:tcPr>
            <w:tcW w:w="907" w:type="pct"/>
            <w:noWrap w:val="0"/>
            <w:vAlign w:val="center"/>
          </w:tcPr>
          <w:p w14:paraId="2988D42B">
            <w:pPr>
              <w:spacing w:line="360" w:lineRule="auto"/>
              <w:ind w:left="0" w:leftChars="0" w:firstLine="0" w:firstLineChars="0"/>
              <w:jc w:val="center"/>
              <w:rPr>
                <w:rFonts w:hint="eastAsia" w:ascii="宋体" w:hAnsi="宋体" w:eastAsia="宋体" w:cs="宋体"/>
                <w:b/>
                <w:bCs/>
                <w:sz w:val="24"/>
                <w:szCs w:val="24"/>
                <w:highlight w:val="none"/>
                <w:vertAlign w:val="baseline"/>
                <w:lang w:val="en-US" w:eastAsia="zh-CN" w:bidi="ar-SA"/>
              </w:rPr>
            </w:pPr>
            <w:r>
              <w:rPr>
                <w:rFonts w:hint="eastAsia" w:ascii="宋体" w:hAnsi="宋体" w:eastAsia="宋体" w:cs="宋体"/>
                <w:b/>
                <w:bCs/>
                <w:sz w:val="24"/>
                <w:szCs w:val="24"/>
                <w:highlight w:val="none"/>
                <w:vertAlign w:val="baseline"/>
                <w:lang w:val="en-US" w:eastAsia="zh-CN" w:bidi="ar-SA"/>
              </w:rPr>
              <w:t>采购需求</w:t>
            </w:r>
          </w:p>
        </w:tc>
      </w:tr>
      <w:tr w14:paraId="1F81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337" w:type="pct"/>
            <w:gridSpan w:val="2"/>
            <w:noWrap w:val="0"/>
            <w:vAlign w:val="center"/>
          </w:tcPr>
          <w:p w14:paraId="67BFE35D">
            <w:pPr>
              <w:spacing w:line="360" w:lineRule="auto"/>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1</w:t>
            </w:r>
          </w:p>
        </w:tc>
        <w:tc>
          <w:tcPr>
            <w:tcW w:w="728" w:type="pct"/>
            <w:noWrap w:val="0"/>
            <w:vAlign w:val="center"/>
          </w:tcPr>
          <w:p w14:paraId="0791F1A5">
            <w:pPr>
              <w:spacing w:line="360" w:lineRule="auto"/>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第1标段</w:t>
            </w:r>
          </w:p>
        </w:tc>
        <w:tc>
          <w:tcPr>
            <w:tcW w:w="1278" w:type="pct"/>
            <w:noWrap w:val="0"/>
            <w:vAlign w:val="center"/>
          </w:tcPr>
          <w:p w14:paraId="33651333">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776</w:t>
            </w:r>
          </w:p>
        </w:tc>
        <w:tc>
          <w:tcPr>
            <w:tcW w:w="840" w:type="pct"/>
            <w:noWrap w:val="0"/>
            <w:vAlign w:val="center"/>
          </w:tcPr>
          <w:p w14:paraId="4AA92CB2">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100.88</w:t>
            </w:r>
          </w:p>
        </w:tc>
        <w:tc>
          <w:tcPr>
            <w:tcW w:w="907" w:type="pct"/>
            <w:noWrap w:val="0"/>
            <w:vAlign w:val="center"/>
          </w:tcPr>
          <w:p w14:paraId="3DF0F721">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广运潭所</w:t>
            </w:r>
          </w:p>
        </w:tc>
        <w:tc>
          <w:tcPr>
            <w:tcW w:w="907" w:type="pct"/>
            <w:vMerge w:val="restart"/>
            <w:noWrap w:val="0"/>
            <w:vAlign w:val="center"/>
          </w:tcPr>
          <w:p w14:paraId="3C394BA1">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西安市市场监督管理局浐灞国际港分局2026年食品安全监督抽检项目，总批次2954批次，日常检测项目详见下文。</w:t>
            </w:r>
          </w:p>
        </w:tc>
      </w:tr>
      <w:tr w14:paraId="2BA7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333" w:type="pct"/>
            <w:noWrap w:val="0"/>
            <w:vAlign w:val="center"/>
          </w:tcPr>
          <w:p w14:paraId="65075A69">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2</w:t>
            </w:r>
          </w:p>
        </w:tc>
        <w:tc>
          <w:tcPr>
            <w:tcW w:w="732" w:type="pct"/>
            <w:gridSpan w:val="2"/>
            <w:noWrap w:val="0"/>
            <w:vAlign w:val="center"/>
          </w:tcPr>
          <w:p w14:paraId="1E0F8D2B">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第2标段</w:t>
            </w:r>
          </w:p>
        </w:tc>
        <w:tc>
          <w:tcPr>
            <w:tcW w:w="1278" w:type="pct"/>
            <w:noWrap w:val="0"/>
            <w:vAlign w:val="center"/>
          </w:tcPr>
          <w:p w14:paraId="58564434">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558</w:t>
            </w:r>
          </w:p>
        </w:tc>
        <w:tc>
          <w:tcPr>
            <w:tcW w:w="840" w:type="pct"/>
            <w:noWrap w:val="0"/>
            <w:vAlign w:val="center"/>
          </w:tcPr>
          <w:p w14:paraId="515B3429">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72.54</w:t>
            </w:r>
          </w:p>
        </w:tc>
        <w:tc>
          <w:tcPr>
            <w:tcW w:w="907" w:type="pct"/>
            <w:noWrap w:val="0"/>
            <w:vAlign w:val="center"/>
          </w:tcPr>
          <w:p w14:paraId="7C9228D8">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十里铺所</w:t>
            </w:r>
          </w:p>
        </w:tc>
        <w:tc>
          <w:tcPr>
            <w:tcW w:w="907" w:type="pct"/>
            <w:vMerge w:val="continue"/>
            <w:noWrap w:val="0"/>
            <w:vAlign w:val="center"/>
          </w:tcPr>
          <w:p w14:paraId="0E56B670">
            <w:pPr>
              <w:ind w:left="0" w:leftChars="0" w:firstLine="0" w:firstLineChars="0"/>
              <w:jc w:val="center"/>
              <w:rPr>
                <w:rFonts w:hint="eastAsia" w:ascii="宋体" w:hAnsi="宋体" w:eastAsia="宋体" w:cs="宋体"/>
                <w:sz w:val="24"/>
                <w:szCs w:val="24"/>
                <w:highlight w:val="none"/>
                <w:vertAlign w:val="baseline"/>
                <w:lang w:val="en-US" w:eastAsia="zh-CN" w:bidi="ar-SA"/>
              </w:rPr>
            </w:pPr>
          </w:p>
        </w:tc>
      </w:tr>
      <w:tr w14:paraId="2183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trPr>
        <w:tc>
          <w:tcPr>
            <w:tcW w:w="333" w:type="pct"/>
            <w:noWrap w:val="0"/>
            <w:vAlign w:val="center"/>
          </w:tcPr>
          <w:p w14:paraId="43C7C5FF">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3</w:t>
            </w:r>
          </w:p>
        </w:tc>
        <w:tc>
          <w:tcPr>
            <w:tcW w:w="732" w:type="pct"/>
            <w:gridSpan w:val="2"/>
            <w:noWrap w:val="0"/>
            <w:vAlign w:val="center"/>
          </w:tcPr>
          <w:p w14:paraId="3CA43014">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第3标段</w:t>
            </w:r>
          </w:p>
        </w:tc>
        <w:tc>
          <w:tcPr>
            <w:tcW w:w="1278" w:type="pct"/>
            <w:noWrap w:val="0"/>
            <w:vAlign w:val="center"/>
          </w:tcPr>
          <w:p w14:paraId="2FF3583D">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558</w:t>
            </w:r>
          </w:p>
        </w:tc>
        <w:tc>
          <w:tcPr>
            <w:tcW w:w="840" w:type="pct"/>
            <w:noWrap w:val="0"/>
            <w:vAlign w:val="center"/>
          </w:tcPr>
          <w:p w14:paraId="3DCE8F38">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72.54</w:t>
            </w:r>
          </w:p>
        </w:tc>
        <w:tc>
          <w:tcPr>
            <w:tcW w:w="907" w:type="pct"/>
            <w:noWrap w:val="0"/>
            <w:vAlign w:val="center"/>
          </w:tcPr>
          <w:p w14:paraId="2F7CC1FF">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十里铺所</w:t>
            </w:r>
          </w:p>
        </w:tc>
        <w:tc>
          <w:tcPr>
            <w:tcW w:w="907" w:type="pct"/>
            <w:vMerge w:val="continue"/>
            <w:noWrap w:val="0"/>
            <w:vAlign w:val="center"/>
          </w:tcPr>
          <w:p w14:paraId="0F38A427">
            <w:pPr>
              <w:ind w:left="0" w:leftChars="0" w:firstLine="0" w:firstLineChars="0"/>
              <w:jc w:val="center"/>
              <w:rPr>
                <w:rFonts w:hint="eastAsia" w:ascii="宋体" w:hAnsi="宋体" w:eastAsia="宋体" w:cs="宋体"/>
                <w:sz w:val="24"/>
                <w:szCs w:val="24"/>
                <w:highlight w:val="none"/>
                <w:vertAlign w:val="baseline"/>
                <w:lang w:val="en-US" w:eastAsia="zh-CN" w:bidi="ar-SA"/>
              </w:rPr>
            </w:pPr>
          </w:p>
        </w:tc>
      </w:tr>
      <w:tr w14:paraId="444A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trPr>
        <w:tc>
          <w:tcPr>
            <w:tcW w:w="333" w:type="pct"/>
            <w:vMerge w:val="restart"/>
            <w:noWrap w:val="0"/>
            <w:vAlign w:val="center"/>
          </w:tcPr>
          <w:p w14:paraId="6BF0C6A2">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4</w:t>
            </w:r>
          </w:p>
        </w:tc>
        <w:tc>
          <w:tcPr>
            <w:tcW w:w="732" w:type="pct"/>
            <w:gridSpan w:val="2"/>
            <w:vMerge w:val="restart"/>
            <w:noWrap w:val="0"/>
            <w:vAlign w:val="center"/>
          </w:tcPr>
          <w:p w14:paraId="6029AA5B">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第4标段</w:t>
            </w:r>
          </w:p>
        </w:tc>
        <w:tc>
          <w:tcPr>
            <w:tcW w:w="1278" w:type="pct"/>
            <w:noWrap w:val="0"/>
            <w:vAlign w:val="center"/>
          </w:tcPr>
          <w:p w14:paraId="77F53D1F">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344</w:t>
            </w:r>
          </w:p>
        </w:tc>
        <w:tc>
          <w:tcPr>
            <w:tcW w:w="840" w:type="pct"/>
            <w:vMerge w:val="restart"/>
            <w:noWrap w:val="0"/>
            <w:vAlign w:val="center"/>
          </w:tcPr>
          <w:p w14:paraId="3EFA8E80">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69.42</w:t>
            </w:r>
          </w:p>
        </w:tc>
        <w:tc>
          <w:tcPr>
            <w:tcW w:w="907" w:type="pct"/>
            <w:noWrap w:val="0"/>
            <w:vAlign w:val="center"/>
          </w:tcPr>
          <w:p w14:paraId="4C03E078">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世博园所</w:t>
            </w:r>
          </w:p>
        </w:tc>
        <w:tc>
          <w:tcPr>
            <w:tcW w:w="907" w:type="pct"/>
            <w:vMerge w:val="continue"/>
            <w:noWrap w:val="0"/>
            <w:vAlign w:val="center"/>
          </w:tcPr>
          <w:p w14:paraId="04938DF0">
            <w:pPr>
              <w:ind w:left="0" w:leftChars="0" w:firstLine="0" w:firstLineChars="0"/>
              <w:jc w:val="center"/>
              <w:rPr>
                <w:rFonts w:hint="eastAsia" w:ascii="宋体" w:hAnsi="宋体" w:eastAsia="宋体" w:cs="宋体"/>
                <w:sz w:val="24"/>
                <w:szCs w:val="24"/>
                <w:highlight w:val="none"/>
                <w:vertAlign w:val="baseline"/>
                <w:lang w:val="en-US" w:eastAsia="zh-CN" w:bidi="ar-SA"/>
              </w:rPr>
            </w:pPr>
          </w:p>
        </w:tc>
      </w:tr>
      <w:tr w14:paraId="0C87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333" w:type="pct"/>
            <w:vMerge w:val="continue"/>
            <w:noWrap w:val="0"/>
            <w:vAlign w:val="center"/>
          </w:tcPr>
          <w:p w14:paraId="11B27D65">
            <w:pPr>
              <w:ind w:left="0" w:leftChars="0" w:firstLine="0" w:firstLineChars="0"/>
              <w:jc w:val="center"/>
              <w:rPr>
                <w:rFonts w:hint="eastAsia" w:ascii="宋体" w:hAnsi="宋体" w:eastAsia="宋体" w:cs="宋体"/>
                <w:sz w:val="24"/>
                <w:szCs w:val="24"/>
                <w:highlight w:val="none"/>
                <w:vertAlign w:val="baseline"/>
                <w:lang w:val="en-US" w:eastAsia="zh-CN" w:bidi="ar-SA"/>
              </w:rPr>
            </w:pPr>
          </w:p>
        </w:tc>
        <w:tc>
          <w:tcPr>
            <w:tcW w:w="732" w:type="pct"/>
            <w:gridSpan w:val="2"/>
            <w:vMerge w:val="continue"/>
            <w:noWrap w:val="0"/>
            <w:vAlign w:val="center"/>
          </w:tcPr>
          <w:p w14:paraId="6606EBE4">
            <w:pPr>
              <w:ind w:left="0" w:leftChars="0" w:firstLine="0" w:firstLineChars="0"/>
              <w:jc w:val="center"/>
              <w:rPr>
                <w:rFonts w:hint="eastAsia" w:ascii="宋体" w:hAnsi="宋体" w:eastAsia="宋体" w:cs="宋体"/>
                <w:sz w:val="24"/>
                <w:szCs w:val="24"/>
                <w:highlight w:val="none"/>
                <w:vertAlign w:val="baseline"/>
                <w:lang w:val="en-US" w:eastAsia="zh-CN" w:bidi="ar-SA"/>
              </w:rPr>
            </w:pPr>
          </w:p>
        </w:tc>
        <w:tc>
          <w:tcPr>
            <w:tcW w:w="1278" w:type="pct"/>
            <w:noWrap w:val="0"/>
            <w:vAlign w:val="center"/>
          </w:tcPr>
          <w:p w14:paraId="74CBEAA8">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190</w:t>
            </w:r>
          </w:p>
        </w:tc>
        <w:tc>
          <w:tcPr>
            <w:tcW w:w="840" w:type="pct"/>
            <w:vMerge w:val="continue"/>
            <w:noWrap w:val="0"/>
            <w:vAlign w:val="center"/>
          </w:tcPr>
          <w:p w14:paraId="65918AEF">
            <w:pPr>
              <w:ind w:left="0" w:leftChars="0" w:firstLine="0" w:firstLineChars="0"/>
              <w:jc w:val="center"/>
              <w:rPr>
                <w:rFonts w:hint="eastAsia" w:ascii="宋体" w:hAnsi="宋体" w:eastAsia="宋体" w:cs="宋体"/>
                <w:sz w:val="24"/>
                <w:szCs w:val="24"/>
                <w:highlight w:val="none"/>
                <w:vertAlign w:val="baseline"/>
                <w:lang w:val="en-US" w:eastAsia="zh-CN" w:bidi="ar-SA"/>
              </w:rPr>
            </w:pPr>
          </w:p>
        </w:tc>
        <w:tc>
          <w:tcPr>
            <w:tcW w:w="907" w:type="pct"/>
            <w:noWrap w:val="0"/>
            <w:vAlign w:val="center"/>
          </w:tcPr>
          <w:p w14:paraId="12AD7726">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新合所</w:t>
            </w:r>
          </w:p>
        </w:tc>
        <w:tc>
          <w:tcPr>
            <w:tcW w:w="907" w:type="pct"/>
            <w:vMerge w:val="continue"/>
            <w:noWrap w:val="0"/>
            <w:vAlign w:val="center"/>
          </w:tcPr>
          <w:p w14:paraId="2FDAA016">
            <w:pPr>
              <w:ind w:left="0" w:leftChars="0" w:firstLine="0" w:firstLineChars="0"/>
              <w:jc w:val="center"/>
              <w:rPr>
                <w:rFonts w:hint="eastAsia" w:ascii="宋体" w:hAnsi="宋体" w:eastAsia="宋体" w:cs="宋体"/>
                <w:sz w:val="24"/>
                <w:szCs w:val="24"/>
                <w:highlight w:val="none"/>
                <w:vertAlign w:val="baseline"/>
                <w:lang w:val="en-US" w:eastAsia="zh-CN" w:bidi="ar-SA"/>
              </w:rPr>
            </w:pPr>
          </w:p>
        </w:tc>
      </w:tr>
      <w:tr w14:paraId="03D1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333" w:type="pct"/>
            <w:noWrap w:val="0"/>
            <w:vAlign w:val="center"/>
          </w:tcPr>
          <w:p w14:paraId="2437A7A8">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5</w:t>
            </w:r>
          </w:p>
        </w:tc>
        <w:tc>
          <w:tcPr>
            <w:tcW w:w="732" w:type="pct"/>
            <w:gridSpan w:val="2"/>
            <w:noWrap w:val="0"/>
            <w:vAlign w:val="center"/>
          </w:tcPr>
          <w:p w14:paraId="3E6369D5">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第5标段</w:t>
            </w:r>
          </w:p>
        </w:tc>
        <w:tc>
          <w:tcPr>
            <w:tcW w:w="1278" w:type="pct"/>
            <w:noWrap w:val="0"/>
            <w:vAlign w:val="center"/>
          </w:tcPr>
          <w:p w14:paraId="1DB80F70">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528</w:t>
            </w:r>
          </w:p>
        </w:tc>
        <w:tc>
          <w:tcPr>
            <w:tcW w:w="840" w:type="pct"/>
            <w:noWrap w:val="0"/>
            <w:vAlign w:val="center"/>
          </w:tcPr>
          <w:p w14:paraId="052F4C5F">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68.64</w:t>
            </w:r>
          </w:p>
        </w:tc>
        <w:tc>
          <w:tcPr>
            <w:tcW w:w="907" w:type="pct"/>
            <w:noWrap w:val="0"/>
            <w:vAlign w:val="center"/>
          </w:tcPr>
          <w:p w14:paraId="3E223A05">
            <w:pPr>
              <w:ind w:left="0" w:leftChars="0" w:firstLine="0" w:firstLineChars="0"/>
              <w:jc w:val="center"/>
              <w:rPr>
                <w:rFonts w:hint="eastAsia" w:ascii="宋体" w:hAnsi="宋体" w:eastAsia="宋体" w:cs="宋体"/>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bidi="ar-SA"/>
              </w:rPr>
              <w:t>新筑所</w:t>
            </w:r>
          </w:p>
        </w:tc>
        <w:tc>
          <w:tcPr>
            <w:tcW w:w="907" w:type="pct"/>
            <w:vMerge w:val="continue"/>
            <w:noWrap w:val="0"/>
            <w:vAlign w:val="center"/>
          </w:tcPr>
          <w:p w14:paraId="0D778527">
            <w:pPr>
              <w:ind w:left="0" w:leftChars="0" w:firstLine="0" w:firstLineChars="0"/>
              <w:jc w:val="center"/>
              <w:rPr>
                <w:rFonts w:hint="eastAsia" w:ascii="宋体" w:hAnsi="宋体" w:eastAsia="宋体" w:cs="宋体"/>
                <w:sz w:val="24"/>
                <w:szCs w:val="24"/>
                <w:highlight w:val="none"/>
                <w:vertAlign w:val="baseline"/>
                <w:lang w:val="en-US" w:eastAsia="zh-CN" w:bidi="ar-SA"/>
              </w:rPr>
            </w:pPr>
          </w:p>
        </w:tc>
      </w:tr>
    </w:tbl>
    <w:p w14:paraId="2159A6A8">
      <w:pPr>
        <w:rPr>
          <w:rFonts w:hint="default" w:eastAsiaTheme="minorEastAsia"/>
          <w:lang w:val="en-US" w:eastAsia="zh-CN"/>
        </w:rPr>
      </w:pPr>
      <w:r>
        <w:rPr>
          <w:rFonts w:hint="eastAsia"/>
          <w:lang w:val="en-US" w:eastAsia="zh-CN"/>
        </w:rPr>
        <w:t xml:space="preserve">         </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CC5563"/>
    <w:rsid w:val="36CC5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2026-04-07T06:12:00Z</dcterms:created>
  <dc:creator>四方衡裕</dc:creator>
  <cp:lastModifiedBy>四方衡裕</cp:lastModifiedBy>
  <dcterms:modified xsi:type="dcterms:W3CDTF">2026-04-07T06:13:13Z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4261713C98C546A8A96D17F5B212C30F_11</vt:lpwstr>
  </property>
  <property fmtid="{D5CDD505-2E9C-101B-9397-08002B2CF9AE}" pid="4" name="KSOTemplateDocerSaveRecord">
    <vt:lpwstr>eyJoZGlkIjoiYTRhNTRmZWJhMTZhMGI4NTIwNzY3MmY4OGE4OTA2NmYiLCJ1c2VySWQiOiIxNjgwMDIxMjIyIn0=</vt:lpwstr>
  </property>
</Properties>
</file>