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63F75">
      <w:pPr>
        <w:jc w:val="center"/>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采购需求</w:t>
      </w:r>
    </w:p>
    <w:tbl>
      <w:tblPr>
        <w:tblStyle w:val="4"/>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1"/>
        <w:gridCol w:w="1037"/>
        <w:gridCol w:w="797"/>
        <w:gridCol w:w="1657"/>
        <w:gridCol w:w="717"/>
        <w:gridCol w:w="970"/>
        <w:gridCol w:w="845"/>
        <w:gridCol w:w="845"/>
        <w:gridCol w:w="846"/>
        <w:gridCol w:w="846"/>
      </w:tblGrid>
      <w:tr w14:paraId="0669F4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88" w:type="pct"/>
            <w:vAlign w:val="center"/>
          </w:tcPr>
          <w:p w14:paraId="4E0E2FCB">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558" w:type="pct"/>
            <w:vAlign w:val="center"/>
          </w:tcPr>
          <w:p w14:paraId="35D06536">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标的名称</w:t>
            </w:r>
          </w:p>
        </w:tc>
        <w:tc>
          <w:tcPr>
            <w:tcW w:w="429" w:type="pct"/>
            <w:vAlign w:val="center"/>
          </w:tcPr>
          <w:p w14:paraId="4BB30905">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p>
        </w:tc>
        <w:tc>
          <w:tcPr>
            <w:tcW w:w="892" w:type="pct"/>
            <w:vAlign w:val="center"/>
          </w:tcPr>
          <w:p w14:paraId="4936E7D6">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标的金额（元</w:t>
            </w:r>
            <w:bookmarkStart w:id="0" w:name="_GoBack"/>
            <w:bookmarkEnd w:id="0"/>
            <w:r>
              <w:rPr>
                <w:rFonts w:hint="eastAsia" w:asciiTheme="minorEastAsia" w:hAnsiTheme="minorEastAsia" w:eastAsiaTheme="minorEastAsia" w:cstheme="minorEastAsia"/>
                <w:sz w:val="24"/>
                <w:szCs w:val="24"/>
              </w:rPr>
              <w:t>）</w:t>
            </w:r>
          </w:p>
        </w:tc>
        <w:tc>
          <w:tcPr>
            <w:tcW w:w="386" w:type="pct"/>
            <w:vAlign w:val="center"/>
          </w:tcPr>
          <w:p w14:paraId="5275CAFA">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计量单位</w:t>
            </w:r>
          </w:p>
        </w:tc>
        <w:tc>
          <w:tcPr>
            <w:tcW w:w="522" w:type="pct"/>
            <w:vAlign w:val="center"/>
          </w:tcPr>
          <w:p w14:paraId="6E61CE6F">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所属</w:t>
            </w:r>
          </w:p>
          <w:p w14:paraId="52F7A96E">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行业</w:t>
            </w:r>
          </w:p>
        </w:tc>
        <w:tc>
          <w:tcPr>
            <w:tcW w:w="455" w:type="pct"/>
            <w:vAlign w:val="center"/>
          </w:tcPr>
          <w:p w14:paraId="06C448C5">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是否核心产品</w:t>
            </w:r>
          </w:p>
        </w:tc>
        <w:tc>
          <w:tcPr>
            <w:tcW w:w="455" w:type="pct"/>
            <w:vAlign w:val="center"/>
          </w:tcPr>
          <w:p w14:paraId="69AA82D6">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是否允许进口产品</w:t>
            </w:r>
          </w:p>
        </w:tc>
        <w:tc>
          <w:tcPr>
            <w:tcW w:w="455" w:type="pct"/>
            <w:vAlign w:val="center"/>
          </w:tcPr>
          <w:p w14:paraId="1513E084">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是否属于节能产品</w:t>
            </w:r>
          </w:p>
        </w:tc>
        <w:tc>
          <w:tcPr>
            <w:tcW w:w="455" w:type="pct"/>
            <w:vAlign w:val="center"/>
          </w:tcPr>
          <w:p w14:paraId="230C6898">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是否属于环境标志产品</w:t>
            </w:r>
          </w:p>
        </w:tc>
      </w:tr>
      <w:tr w14:paraId="701508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27" w:hRule="atLeast"/>
        </w:trPr>
        <w:tc>
          <w:tcPr>
            <w:tcW w:w="388" w:type="pct"/>
            <w:vAlign w:val="center"/>
          </w:tcPr>
          <w:p w14:paraId="3B7ECC43">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558" w:type="pct"/>
            <w:vAlign w:val="center"/>
          </w:tcPr>
          <w:p w14:paraId="4754CF8A">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教职工体检服务</w:t>
            </w:r>
          </w:p>
        </w:tc>
        <w:tc>
          <w:tcPr>
            <w:tcW w:w="429" w:type="pct"/>
            <w:vAlign w:val="center"/>
          </w:tcPr>
          <w:p w14:paraId="4FD2A52B">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892" w:type="pct"/>
            <w:vAlign w:val="center"/>
          </w:tcPr>
          <w:p w14:paraId="1C2DB84A">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1,000,000.00</w:t>
            </w:r>
          </w:p>
        </w:tc>
        <w:tc>
          <w:tcPr>
            <w:tcW w:w="386" w:type="pct"/>
            <w:vAlign w:val="center"/>
          </w:tcPr>
          <w:p w14:paraId="3D506D15">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w:t>
            </w:r>
          </w:p>
        </w:tc>
        <w:tc>
          <w:tcPr>
            <w:tcW w:w="522" w:type="pct"/>
            <w:vAlign w:val="center"/>
          </w:tcPr>
          <w:p w14:paraId="5A65EB78">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租赁和商务服务业</w:t>
            </w:r>
          </w:p>
        </w:tc>
        <w:tc>
          <w:tcPr>
            <w:tcW w:w="455" w:type="pct"/>
            <w:vAlign w:val="center"/>
          </w:tcPr>
          <w:p w14:paraId="45BE91ED">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否</w:t>
            </w:r>
          </w:p>
        </w:tc>
        <w:tc>
          <w:tcPr>
            <w:tcW w:w="455" w:type="pct"/>
            <w:vAlign w:val="center"/>
          </w:tcPr>
          <w:p w14:paraId="57FEF286">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否</w:t>
            </w:r>
          </w:p>
        </w:tc>
        <w:tc>
          <w:tcPr>
            <w:tcW w:w="455" w:type="pct"/>
            <w:vAlign w:val="center"/>
          </w:tcPr>
          <w:p w14:paraId="0126410B">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否</w:t>
            </w:r>
          </w:p>
        </w:tc>
        <w:tc>
          <w:tcPr>
            <w:tcW w:w="455" w:type="pct"/>
            <w:vAlign w:val="center"/>
          </w:tcPr>
          <w:p w14:paraId="661760CC">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否</w:t>
            </w:r>
          </w:p>
        </w:tc>
      </w:tr>
    </w:tbl>
    <w:p w14:paraId="4AB49388">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rPr>
        <w:t>技术参数与性能指标</w:t>
      </w:r>
    </w:p>
    <w:p w14:paraId="379B2FBA">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①本项目为固定价格，单人预算为：350元/人。供应商可在采购需求要求的基础体检项目之外，根据不同性别、不同年龄提供相应增项体检项目。</w:t>
      </w:r>
    </w:p>
    <w:p w14:paraId="3444743A">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②本项目付款方式：所有服务完成后（按照采购人实际体检人数据实结算，在付款前必须开具结算金额的全额正式发票给采购人），达到付款条件起15日内，根据结算发票金额一次性全额公对公转账。（因系统格式问题，采购文件“3.3.5支付约定”以此处表述为准）</w:t>
      </w:r>
    </w:p>
    <w:p w14:paraId="0D834A69">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一、体检人数</w:t>
      </w:r>
    </w:p>
    <w:p w14:paraId="7ED2E5F8">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拟对西安科技大学约3000名职工（含离退休人员）体检，其中男1600人、女1400人，按照自愿原则参加体检，根据实际体检人数进行统一结算。</w:t>
      </w:r>
    </w:p>
    <w:p w14:paraId="11A06AAA">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二、基础体检项目</w:t>
      </w:r>
    </w:p>
    <w:p w14:paraId="00BB4E2F">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1、肾功能3项（尿素、肌酐、尿酸）</w:t>
      </w:r>
    </w:p>
    <w:p w14:paraId="69D26FE7">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2、肝功8项（总、直、间胆红素，总蛋白、白蛋白、球蛋白、丙氨酸氨基转移酶、天门冬氨酸氨基转移酶）</w:t>
      </w:r>
    </w:p>
    <w:p w14:paraId="62F3CAEA">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3、血脂4项（总胆固醇、甘油三脂、高密、低密脂蛋白）</w:t>
      </w:r>
    </w:p>
    <w:p w14:paraId="273BC76B">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4、空腹血糖；糖化血红蛋白（40岁以上）</w:t>
      </w:r>
    </w:p>
    <w:p w14:paraId="745A613E">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5、同型半胱氨酸</w:t>
      </w:r>
    </w:p>
    <w:p w14:paraId="6D2335F8">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6、甲功三项</w:t>
      </w:r>
    </w:p>
    <w:p w14:paraId="69337E50">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7、血常规5分类</w:t>
      </w:r>
    </w:p>
    <w:p w14:paraId="34F6FD1D">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8、尿常规</w:t>
      </w:r>
    </w:p>
    <w:p w14:paraId="7307E778">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9、心电图</w:t>
      </w:r>
    </w:p>
    <w:p w14:paraId="09A5053E">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10、胸部CT</w:t>
      </w:r>
    </w:p>
    <w:p w14:paraId="2604A522">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11、腹部彩超（肝胆胰脾双肾输尿管膀胱）</w:t>
      </w:r>
    </w:p>
    <w:p w14:paraId="78959557">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12、心脏彩超</w:t>
      </w:r>
    </w:p>
    <w:p w14:paraId="40A93100">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13、甲状腺；颈动脉彩超（40岁以上）</w:t>
      </w:r>
    </w:p>
    <w:p w14:paraId="479F051C">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14、女性妇科彩超(乳腺、盆腔)</w:t>
      </w:r>
    </w:p>
    <w:p w14:paraId="63EB09E5">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15、男性前列腺、膀胱彩超</w:t>
      </w:r>
    </w:p>
    <w:p w14:paraId="7E8BB042">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16、妇科检查（内诊）</w:t>
      </w:r>
    </w:p>
    <w:p w14:paraId="44E1A07B">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17、妇科人乳头瘤病毒（HPV）检测</w:t>
      </w:r>
    </w:p>
    <w:p w14:paraId="5D573E8E">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18、身高、体重、血压、口腔、视力、眼底</w:t>
      </w:r>
    </w:p>
    <w:p w14:paraId="750B5895">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三、体检要求</w:t>
      </w:r>
    </w:p>
    <w:p w14:paraId="18AE1E19">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1、按照卫生部《健康体检管理暂行规定》和中华医学会健康管理学分会推荐的健康体检目录和套餐要求，实施一站式、男女分线、医检分离进行健康体检。</w:t>
      </w:r>
    </w:p>
    <w:p w14:paraId="2D8B97C4">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2、供应商在基础体检的项目上根据不同性别、年龄段人群（40岁以下、40岁及以上、60岁及以上）和婚育情况自行增加服务项目，不同年龄段增加体检项目的数量一样、项目内容符合该年龄段的需求情况。</w:t>
      </w:r>
    </w:p>
    <w:p w14:paraId="68211B41">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3、对体检套餐项目以外有其他体检项目需求的教职工给予折扣价（提供折扣率）。</w:t>
      </w:r>
    </w:p>
    <w:p w14:paraId="4FB17DD7">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4、高度重视体检工作。具体时间，具体人次，与采购人协商每批次体检安排时间，根据采购人要求的时间安排执行项目检查；未按时参加人员可与采购人协商决定，适当延迟。</w:t>
      </w:r>
    </w:p>
    <w:p w14:paraId="60B66EEA">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5、体检报告包括专家结论及整体健康评估报告电子版发送到个人手机端或个人可通过APP查询。</w:t>
      </w:r>
    </w:p>
    <w:p w14:paraId="299D8773">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6、为采购人提供一份全面的体检总结分析报告（分在职人员和离退休人员），全面客观掌握全体员工健康状况。</w:t>
      </w:r>
    </w:p>
    <w:p w14:paraId="4121032D">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7、对离退休人员（约700人）和行动不便的人员提供车辆接送服务。</w:t>
      </w:r>
    </w:p>
    <w:p w14:paraId="069A5CBB">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8、体检结果纳入计算机系统管理保存(一般保存3年以上)，体检者可以在体检完成后工作日内电话或使用手机自行查询健康档案。</w:t>
      </w:r>
    </w:p>
    <w:p w14:paraId="41D94634">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9、选派责任心强，医技水平好的医生负责体检工作，参加体检的医生具有副主任医师以上职称。</w:t>
      </w:r>
    </w:p>
    <w:p w14:paraId="7DA0F9BE">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10、体检机构B超检测仪器达到4台及以上，必要时增派检查医生。</w:t>
      </w:r>
    </w:p>
    <w:p w14:paraId="07F599C9">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11、体检结束后可上门进行2次健康讲座。</w:t>
      </w:r>
    </w:p>
    <w:p w14:paraId="5ACBD3EE">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12、体检机构当日体检结束后提供早餐。</w:t>
      </w:r>
    </w:p>
    <w:p w14:paraId="253915FB">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13、体检机构在体检地点现场设有专人值班，耐心细致地做好宣传解释工作。体检结果及建议详实、可靠、具有指导性和现实操作性。</w:t>
      </w:r>
    </w:p>
    <w:p w14:paraId="2FC50D22">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14、体检过程中如遇设备故障应启动应急预案。参检人员参加体检时，以严肃认真、及时准确、高度负责的态度和行为，配备导检人员，为受检员工提供体检上的便利，提供优质高效的健康管理服务。</w:t>
      </w:r>
    </w:p>
    <w:p w14:paraId="5A4B8ED2">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15、按照体检项目，确保设备完好、优质；提供质量良好、运作正常、在规定使用期限内的设备，并完全符合三甲医院的设备要求，不能使用精密度较差的旧机器顶替，所有仪器设备中属于医疗器械的须取得医疗器械注册证；属于强制性产品认证的须取得相关认证；需要检定的设备需定期检定，确保性能稳定。</w:t>
      </w:r>
    </w:p>
    <w:p w14:paraId="24FB8221">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16、对体检者的体检结果负有保密义务，杜绝相关信息泄露给第三者。</w:t>
      </w:r>
    </w:p>
    <w:p w14:paraId="146AF5D4">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17、保证所有体检结果的真实性，如果发现体检结果有异议时，需派人陪同体检人员到指定的任意医院复查，如结果一致，费用由体检人员负责；结果不一致，由中标体检单位承担所有费用。如果发现体检报告有弄虚作假等情况，体检方有权终止协议。体检结束后体检人员三个月内发现重大疾病，体检单位按照体检价格三倍赔付；整体体检满意度无法达到招标人要求，今后三年内将不予合作。</w:t>
      </w:r>
    </w:p>
    <w:p w14:paraId="129635B4">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18、在体检过程中如出现体检纠纷，双方需友好协商解决。经协商未能达成一致时双方均可经医疗鉴定确定责任，鉴定结果对双方均有约束力。</w:t>
      </w:r>
    </w:p>
    <w:p w14:paraId="0968A61B">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19、确保后续服务。对体检结果有异常者提供专家预约、就诊、住院绿色通道；对体检发现的危急重症患者提供急救及转诊绿色通道。</w:t>
      </w:r>
    </w:p>
    <w:p w14:paraId="1178A10B">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20、合同执行不可抗力情况下的免责约定，双方约定不可抗力情况包括：疫情影响、五级以上地震、大风、大雨、大雪。如果因不可抗力影响合同正常履行，协商顺延工作时限。</w:t>
      </w:r>
    </w:p>
    <w:p w14:paraId="775291E6">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21、要求各诊室独立，保护参检人员隐私，且可满足高峰接待需求。</w:t>
      </w:r>
    </w:p>
    <w:p w14:paraId="343A3E37">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三、其他要求</w:t>
      </w:r>
    </w:p>
    <w:p w14:paraId="6723A928">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4"/>
          <w:szCs w:val="22"/>
          <w:lang w:val="en-US" w:eastAsia="zh-CN"/>
        </w:rPr>
        <w:t>体检结束后须在3-5日内按要求出具体检报告。</w:t>
      </w:r>
    </w:p>
    <w:p w14:paraId="09B9947B">
      <w:pPr>
        <w:pStyle w:val="2"/>
        <w:ind w:left="0" w:leftChars="0" w:firstLine="0"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 </w:t>
      </w:r>
    </w:p>
    <w:p w14:paraId="2F9306CB">
      <w:pPr>
        <w:pStyle w:val="2"/>
        <w:ind w:left="0" w:leftChars="0" w:firstLine="0"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 </w:t>
      </w:r>
    </w:p>
    <w:sectPr>
      <w:pgSz w:w="11906" w:h="16838"/>
      <w:pgMar w:top="1417" w:right="1417" w:bottom="1417"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FB54C5"/>
    <w:rsid w:val="127E1741"/>
    <w:rsid w:val="1770383D"/>
    <w:rsid w:val="1AFB54C5"/>
    <w:rsid w:val="6ADE6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仿宋" w:hAnsi="仿宋" w:eastAsia="仿宋" w:cs="仿宋"/>
      <w:kern w:val="2"/>
      <w:sz w:val="28"/>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Plain Text"/>
    <w:basedOn w:val="1"/>
    <w:link w:val="6"/>
    <w:qFormat/>
    <w:uiPriority w:val="0"/>
    <w:rPr>
      <w:rFonts w:ascii="仿宋" w:hAnsi="仿宋"/>
      <w:szCs w:val="21"/>
    </w:rPr>
  </w:style>
  <w:style w:type="character" w:customStyle="1" w:styleId="6">
    <w:name w:val="纯文本 字符1"/>
    <w:link w:val="3"/>
    <w:qFormat/>
    <w:locked/>
    <w:uiPriority w:val="99"/>
    <w:rPr>
      <w:rFonts w:ascii="仿宋" w:hAnsi="仿宋" w:eastAsia="仿宋"/>
      <w:kern w:val="2"/>
      <w:sz w:val="32"/>
      <w:szCs w:val="21"/>
    </w:rPr>
  </w:style>
  <w:style w:type="paragraph" w:customStyle="1" w:styleId="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2026-04-10T09:09:00Z</dcterms:created>
  <dc:creator>1</dc:creator>
  <cp:lastModifiedBy>1</cp:lastModifiedBy>
  <dcterms:modified xsi:type="dcterms:W3CDTF">2026-04-10T09:13:03Z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753161FC40F94CA58AAD9828255FFD10_11</vt:lpwstr>
  </property>
  <property fmtid="{D5CDD505-2E9C-101B-9397-08002B2CF9AE}" pid="4" name="KSOTemplateDocerSaveRecord">
    <vt:lpwstr>eyJoZGlkIjoiZjAzOWYwMjhiYjBlMzhhYzY1ODE1MTc0MGNiNjg5NmYiLCJ1c2VySWQiOiIxMDE0MTg1NzcyIn0=</vt:lpwstr>
  </property>
</Properties>
</file>