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64" w:name="_GoBack"/>
      <w:bookmarkEnd w:id="64"/>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cstheme="minorHAnsi"/>
          <w:spacing w:val="324"/>
          <w:kern w:val="0"/>
          <w:fitText w:val="5784" w:id="-495811072"/>
        </w:rPr>
        <w:t>招标文</w:t>
      </w:r>
      <w:r>
        <w:rPr>
          <w:rFonts w:cstheme="minorHAnsi"/>
          <w:spacing w:val="0"/>
          <w:kern w:val="0"/>
          <w:fitText w:val="5784" w:id="-495811072"/>
        </w:rPr>
        <w:t>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西安市精神卫生中心安保外聘</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XCZX2026-0010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趋之若鹜" w:date="2026-04-14T11:42:18Z">
        <w:r>
          <w:rPr>
            <w:rFonts w:eastAsia="宋体" w:cs="Tahoma" w:asciiTheme="minorHAnsi" w:hAnsiTheme="minorHAnsi"/>
          </w:rPr>
          <w:t>2026年4月</w:t>
        </w:r>
      </w:ins>
      <w:ins w:id="1" w:author="admin" w:date="2026-03-09T17:47:00Z">
        <w:del w:id="2" w:author="趋之若鹜" w:date="2026-04-14T11:42:18Z">
          <w:r>
            <w:rPr>
              <w:rFonts w:hint="eastAsia" w:eastAsia="宋体" w:cs="Tahoma" w:asciiTheme="minorHAnsi" w:hAnsiTheme="minorHAnsi"/>
            </w:rPr>
            <w:delText>2026年3月</w:delText>
          </w:r>
        </w:del>
      </w:ins>
      <w:del w:id="3" w:author="趋之若鹜" w:date="2026-04-14T11:42:18Z">
        <w:r>
          <w:rPr>
            <w:rFonts w:hint="eastAsia" w:eastAsia="宋体" w:cs="Tahoma" w:asciiTheme="minorHAnsi" w:hAnsiTheme="minorHAnsi"/>
          </w:rPr>
          <w:delText>2026年3月</w:delText>
        </w:r>
      </w:del>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t>1</w:t>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t>4</w:t>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t>35</w:t>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"_Toc211437469" </w:instrText>
      </w:r>
      <w:r>
        <w:fldChar w:fldCharType="separate"/>
      </w:r>
      <w:r>
        <w:rPr>
          <w:rStyle w:val="31"/>
          <w:rFonts w:hint="eastAsia"/>
        </w:rPr>
        <w:t>第四章　合同文本</w:t>
      </w:r>
      <w:r>
        <w:tab/>
      </w:r>
      <w:r>
        <w:t>39</w:t>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t>44</w:t>
      </w:r>
      <w:r>
        <w:fldChar w:fldCharType="end"/>
      </w:r>
    </w:p>
    <w:p>
      <w:pPr>
        <w:pStyle w:val="19"/>
        <w:tabs>
          <w:tab w:val="right" w:leader="dot" w:pos="8890"/>
        </w:tabs>
        <w:spacing w:before="460" w:after="460"/>
        <w:rPr>
          <w:rFonts w:cstheme="minorHAnsi"/>
          <w:sz w:val="36"/>
          <w:szCs w:val="36"/>
        </w:rPr>
      </w:pP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numPr>
          <w:ilvl w:val="0"/>
          <w:numId w:val="1"/>
        </w:numPr>
        <w:spacing w:beforeLines="0" w:afterLines="0"/>
      </w:pPr>
      <w:bookmarkStart w:id="0" w:name="_Toc211437466"/>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西安市精神卫生中心</w:t>
      </w:r>
      <w:r>
        <w:rPr>
          <w:rFonts w:hint="eastAsia"/>
        </w:rPr>
        <w:t>的委托，经政府采购监管部门批准，按照政府采购程序，对</w:t>
      </w:r>
      <w:r>
        <w:rPr>
          <w:rFonts w:hint="eastAsia"/>
          <w:color w:val="C00000"/>
        </w:rPr>
        <w:t>西安市精神卫生中心安保外聘</w:t>
      </w:r>
      <w:r>
        <w:rPr>
          <w:rFonts w:hint="eastAsia"/>
        </w:rPr>
        <w:t>进行公开招标，欢迎符合资格条件的、有能力提供本项目所需货物或服务的供应商参加投标。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西安市精神卫生中心安保外聘</w:t>
      </w:r>
    </w:p>
    <w:p>
      <w:pPr>
        <w:widowControl w:val="0"/>
        <w:topLinePunct/>
        <w:ind w:firstLine="480" w:firstLineChars="200"/>
        <w:jc w:val="both"/>
      </w:pPr>
      <w:r>
        <w:rPr>
          <w:rFonts w:hint="eastAsia"/>
        </w:rPr>
        <w:t>项目编号：</w:t>
      </w:r>
      <w:r>
        <w:rPr>
          <w:rFonts w:hint="eastAsia"/>
          <w:color w:val="C00000"/>
        </w:rPr>
        <w:t>XCZX2026-</w:t>
      </w:r>
      <w:r>
        <w:rPr>
          <w:color w:val="C00000"/>
        </w:rPr>
        <w:t>0010</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2026-0</w:t>
      </w:r>
      <w:r>
        <w:rPr>
          <w:color w:val="C00000"/>
        </w:rPr>
        <w:t>0105</w:t>
      </w:r>
    </w:p>
    <w:p>
      <w:pPr>
        <w:widowControl w:val="0"/>
        <w:topLinePunct/>
        <w:ind w:firstLine="480" w:firstLineChars="200"/>
        <w:jc w:val="both"/>
      </w:pPr>
      <w:r>
        <w:rPr>
          <w:rFonts w:hint="eastAsia"/>
          <w:b/>
        </w:rPr>
        <w:t>二、项目性质：</w:t>
      </w:r>
      <w:r>
        <w:rPr>
          <w:rFonts w:hint="eastAsia"/>
          <w:color w:val="C00000"/>
        </w:rPr>
        <w:t>专门面向中小企业的采购项目</w:t>
      </w:r>
    </w:p>
    <w:p>
      <w:pPr>
        <w:widowControl w:val="0"/>
        <w:topLinePunct/>
        <w:ind w:firstLine="480" w:firstLineChars="200"/>
        <w:jc w:val="both"/>
        <w:rPr>
          <w:color w:val="C00000"/>
        </w:rPr>
      </w:pPr>
      <w:r>
        <w:rPr>
          <w:rFonts w:hint="eastAsia"/>
          <w:b/>
        </w:rPr>
        <w:t>三、采购预算：</w:t>
      </w:r>
      <w:r>
        <w:rPr>
          <w:rFonts w:hint="eastAsia"/>
          <w:color w:val="C00000"/>
        </w:rPr>
        <w:t>〈</w:t>
      </w:r>
      <w:r>
        <w:rPr>
          <w:color w:val="C00000"/>
        </w:rPr>
        <w:t>2100000</w:t>
      </w:r>
      <w:r>
        <w:rPr>
          <w:rFonts w:hint="eastAsia"/>
          <w:color w:val="C00000"/>
        </w:rPr>
        <w:t>元〉（最高限价〈2</w:t>
      </w:r>
      <w:r>
        <w:rPr>
          <w:color w:val="C00000"/>
        </w:rPr>
        <w:t>100000</w:t>
      </w:r>
      <w:r>
        <w:rPr>
          <w:rFonts w:hint="eastAsia"/>
          <w:color w:val="C00000"/>
        </w:rPr>
        <w:t>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2026</w:t>
      </w:r>
      <w:r>
        <w:rPr>
          <w:rFonts w:hint="eastAsia"/>
        </w:rPr>
        <w:t>年</w:t>
      </w:r>
      <w:r>
        <w:rPr>
          <w:rFonts w:hint="eastAsia"/>
          <w:u w:val="single"/>
        </w:rPr>
        <w:t>_</w:t>
      </w:r>
      <w:r>
        <w:rPr>
          <w:u w:val="single"/>
        </w:rPr>
        <w:t>03_</w:t>
      </w:r>
      <w:r>
        <w:rPr>
          <w:rFonts w:hint="eastAsia"/>
        </w:rPr>
        <w:t>月</w:t>
      </w:r>
      <w:r>
        <w:rPr>
          <w:u w:val="single"/>
        </w:rPr>
        <w:t>31</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2026</w:t>
      </w:r>
      <w:r>
        <w:rPr>
          <w:rFonts w:hint="eastAsia"/>
        </w:rPr>
        <w:t>年</w:t>
      </w:r>
      <w:r>
        <w:rPr>
          <w:u w:val="single"/>
        </w:rPr>
        <w:t>03</w:t>
      </w:r>
      <w:r>
        <w:rPr>
          <w:rFonts w:hint="eastAsia"/>
        </w:rPr>
        <w:t>月</w:t>
      </w:r>
      <w:r>
        <w:rPr>
          <w:u w:val="single"/>
        </w:rPr>
        <w:t>31</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rPr>
          <w:rFonts w:hint="eastAsia"/>
          <w:u w:val="single"/>
        </w:rPr>
        <w:t xml:space="preserve"> </w:t>
      </w:r>
      <w:r>
        <w:rPr>
          <w:u w:val="single"/>
        </w:rPr>
        <w:t xml:space="preserve">4 </w:t>
      </w:r>
      <w:r>
        <w:rPr>
          <w:rFonts w:hint="eastAsia"/>
        </w:rPr>
        <w:t>。</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1．采购人：西安市精神卫生中心</w:t>
      </w:r>
    </w:p>
    <w:p>
      <w:pPr>
        <w:widowControl w:val="0"/>
        <w:topLinePunct/>
        <w:ind w:firstLine="480" w:firstLineChars="200"/>
        <w:jc w:val="both"/>
      </w:pPr>
      <w:r>
        <w:rPr>
          <w:rFonts w:hint="eastAsia"/>
        </w:rPr>
        <w:t>地址：陕西省西安市长安区康和路666号</w:t>
      </w:r>
    </w:p>
    <w:p>
      <w:pPr>
        <w:widowControl w:val="0"/>
        <w:topLinePunct/>
        <w:ind w:firstLine="480" w:firstLineChars="200"/>
        <w:jc w:val="both"/>
      </w:pPr>
      <w:r>
        <w:rPr>
          <w:rFonts w:hint="eastAsia"/>
        </w:rPr>
        <w:t>联系人：高老师</w:t>
      </w:r>
    </w:p>
    <w:p>
      <w:pPr>
        <w:topLinePunct/>
        <w:ind w:firstLine="480" w:firstLineChars="200"/>
      </w:pPr>
      <w:r>
        <w:rPr>
          <w:rFonts w:hint="eastAsia"/>
        </w:rPr>
        <w:t>联系电话：0</w:t>
      </w:r>
      <w:r>
        <w:t>29-63609327</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w:t>
      </w:r>
      <w:r>
        <w:t>80813</w:t>
      </w:r>
      <w:r>
        <w:rPr>
          <w:rFonts w:hint="eastAsia"/>
        </w:rPr>
        <w:t>）</w:t>
      </w:r>
    </w:p>
    <w:p>
      <w:pPr>
        <w:widowControl w:val="0"/>
        <w:topLinePunct/>
        <w:ind w:firstLine="480" w:firstLineChars="200"/>
        <w:jc w:val="both"/>
      </w:pPr>
      <w:r>
        <w:rPr>
          <w:rFonts w:hint="eastAsia"/>
        </w:rPr>
        <w:t>开标联系人及分机号：朱老师（</w:t>
      </w:r>
      <w:r>
        <w:t>80805</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numPr>
          <w:ilvl w:val="0"/>
          <w:numId w:val="1"/>
        </w:numPr>
        <w:spacing w:before="230" w:after="230"/>
      </w:pPr>
      <w:bookmarkStart w:id="1" w:name="_Toc211437467"/>
      <w:bookmarkStart w:id="2" w:name="_Toc534656409"/>
      <w:bookmarkStart w:id="3" w:name="_Toc533363262"/>
      <w:bookmarkStart w:id="4" w:name="_Toc534656414"/>
      <w:bookmarkStart w:id="5" w:name="_Toc445407251"/>
      <w:bookmarkStart w:id="6" w:name="_Toc533363235"/>
      <w:bookmarkStart w:id="7" w:name="_Toc498349068"/>
      <w:bookmarkStart w:id="8" w:name="_Toc97563329"/>
      <w:r>
        <w:t>第二章</w:t>
      </w:r>
      <w:r>
        <w:rPr>
          <w:rFonts w:hint="eastAsia"/>
        </w:rPr>
        <w:t>　</w:t>
      </w:r>
      <w:r>
        <w:t>供应商须知</w:t>
      </w:r>
      <w:bookmarkEnd w:id="1"/>
      <w:bookmarkEnd w:id="2"/>
      <w:bookmarkEnd w:id="3"/>
      <w:bookmarkEnd w:id="4"/>
      <w:bookmarkEnd w:id="5"/>
      <w:bookmarkEnd w:id="6"/>
      <w:bookmarkEnd w:id="7"/>
      <w:bookmarkEnd w:id="8"/>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rPr>
              <w:t>西安市精神卫生中心安保外聘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XCZX2026-0010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2100000</w:t>
            </w:r>
            <w:r>
              <w:rPr>
                <w:rFonts w:hint="eastAsia" w:ascii="Calibri" w:hAnsi="宋体" w:eastAsia="宋体" w:cstheme="minorHAnsi"/>
                <w:sz w:val="21"/>
              </w:rPr>
              <w:t>元〉（最高限价</w:t>
            </w:r>
            <w:r>
              <w:rPr>
                <w:rFonts w:ascii="Calibri" w:hAnsi="宋体" w:eastAsia="宋体" w:cstheme="minorHAnsi"/>
                <w:sz w:val="21"/>
              </w:rPr>
              <w:t>2100000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r>
        <w:br w:type="page"/>
      </w:r>
    </w:p>
    <w:p>
      <w:pPr>
        <w:pStyle w:val="3"/>
        <w:numPr>
          <w:ilvl w:val="1"/>
          <w:numId w:val="1"/>
        </w:numPr>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numPr>
          <w:ilvl w:val="1"/>
          <w:numId w:val="1"/>
        </w:numPr>
        <w:jc w:val="both"/>
      </w:pPr>
      <w:r>
        <w:t>二、供应商注意事项</w:t>
      </w:r>
    </w:p>
    <w:p>
      <w:pPr>
        <w:pStyle w:val="4"/>
        <w:numPr>
          <w:ilvl w:val="2"/>
          <w:numId w:val="1"/>
        </w:numPr>
        <w:ind w:firstLine="482" w:firstLineChars="0"/>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numPr>
          <w:ilvl w:val="2"/>
          <w:numId w:val="1"/>
        </w:numPr>
        <w:ind w:firstLine="482" w:firstLineChars="0"/>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numPr>
          <w:ilvl w:val="2"/>
          <w:numId w:val="1"/>
        </w:numPr>
        <w:ind w:firstLine="482" w:firstLineChars="0"/>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numPr>
          <w:ilvl w:val="2"/>
          <w:numId w:val="1"/>
        </w:numPr>
        <w:ind w:firstLine="482" w:firstLineChars="0"/>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numPr>
          <w:ilvl w:val="2"/>
          <w:numId w:val="1"/>
        </w:numPr>
        <w:ind w:firstLine="482" w:firstLineChars="0"/>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numPr>
          <w:ilvl w:val="2"/>
          <w:numId w:val="1"/>
        </w:numPr>
        <w:ind w:firstLine="482" w:firstLineChars="0"/>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numPr>
          <w:ilvl w:val="2"/>
          <w:numId w:val="1"/>
        </w:numPr>
        <w:ind w:firstLine="482" w:firstLineChars="0"/>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numPr>
          <w:ilvl w:val="2"/>
          <w:numId w:val="1"/>
        </w:numPr>
        <w:ind w:firstLine="482" w:firstLineChars="0"/>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numPr>
          <w:ilvl w:val="2"/>
          <w:numId w:val="1"/>
        </w:numPr>
        <w:ind w:firstLine="482" w:firstLineChars="0"/>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numPr>
          <w:ilvl w:val="2"/>
          <w:numId w:val="1"/>
        </w:numPr>
        <w:ind w:firstLine="482" w:firstLineChars="0"/>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numPr>
          <w:ilvl w:val="2"/>
          <w:numId w:val="1"/>
        </w:numPr>
        <w:ind w:firstLine="482" w:firstLineChars="0"/>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numPr>
          <w:ilvl w:val="1"/>
          <w:numId w:val="1"/>
        </w:numPr>
      </w:pPr>
      <w:r>
        <w:t>三、招标文件</w:t>
      </w:r>
    </w:p>
    <w:p>
      <w:pPr>
        <w:pStyle w:val="4"/>
        <w:numPr>
          <w:ilvl w:val="2"/>
          <w:numId w:val="1"/>
        </w:numPr>
        <w:ind w:firstLine="482" w:firstLineChars="0"/>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numPr>
          <w:ilvl w:val="2"/>
          <w:numId w:val="1"/>
        </w:numPr>
        <w:ind w:firstLine="482" w:firstLineChars="0"/>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numPr>
          <w:ilvl w:val="2"/>
          <w:numId w:val="1"/>
        </w:numPr>
        <w:ind w:firstLine="482" w:firstLineChars="0"/>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numPr>
          <w:ilvl w:val="2"/>
          <w:numId w:val="1"/>
        </w:numPr>
        <w:ind w:firstLine="482" w:firstLineChars="0"/>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numPr>
          <w:ilvl w:val="1"/>
          <w:numId w:val="1"/>
        </w:numPr>
      </w:pPr>
      <w:r>
        <w:t>四、投标文件</w:t>
      </w:r>
    </w:p>
    <w:p>
      <w:pPr>
        <w:pStyle w:val="4"/>
        <w:numPr>
          <w:ilvl w:val="2"/>
          <w:numId w:val="1"/>
        </w:numPr>
        <w:ind w:firstLine="482" w:firstLineChars="0"/>
      </w:pPr>
      <w:r>
        <w:rPr>
          <w:rFonts w:hint="eastAsia"/>
        </w:rPr>
        <w:t>（一）投标文件</w:t>
      </w:r>
      <w:r>
        <w:t>的式样</w:t>
      </w:r>
    </w:p>
    <w:p>
      <w:pPr>
        <w:pStyle w:val="60"/>
        <w:ind w:firstLine="480"/>
      </w:pPr>
      <w:r>
        <w:t>1</w:t>
      </w:r>
      <w:r>
        <w:rPr>
          <w:rFonts w:hint="eastAsia"/>
          <w:color w:val="auto"/>
        </w:rPr>
        <w:t>．</w:t>
      </w:r>
      <w:r>
        <w:rPr>
          <w:rFonts w:hint="eastAsia"/>
        </w:rPr>
        <w:t>组成</w:t>
      </w:r>
      <w:r>
        <w:t>及格式</w:t>
      </w:r>
    </w:p>
    <w:p>
      <w:pPr>
        <w:pStyle w:val="60"/>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60"/>
        <w:ind w:firstLine="480"/>
      </w:pPr>
      <w:r>
        <w:rPr>
          <w:rFonts w:hint="eastAsia"/>
        </w:rPr>
        <w:t>2</w:t>
      </w:r>
      <w:r>
        <w:rPr>
          <w:rFonts w:hint="eastAsia"/>
          <w:color w:val="auto"/>
        </w:rPr>
        <w:t>．</w:t>
      </w:r>
      <w:r>
        <w:rPr>
          <w:rFonts w:hint="eastAsia"/>
        </w:rPr>
        <w:t>语言</w:t>
      </w:r>
    </w:p>
    <w:p>
      <w:pPr>
        <w:pStyle w:val="60"/>
        <w:ind w:firstLine="480"/>
      </w:pPr>
      <w:r>
        <w:rPr>
          <w:rFonts w:hint="eastAsia"/>
        </w:rPr>
        <w:t>招标活动的所有文件、资料、函电文字均使用简体中文，确需提交用其他语言形成的资料，必须翻译成简体中文，如有差异，以简体中文为准。</w:t>
      </w:r>
    </w:p>
    <w:p>
      <w:pPr>
        <w:pStyle w:val="60"/>
        <w:ind w:firstLine="480"/>
      </w:pPr>
      <w:r>
        <w:rPr>
          <w:rFonts w:hint="eastAsia"/>
        </w:rPr>
        <w:t>3</w:t>
      </w:r>
      <w:r>
        <w:rPr>
          <w:rFonts w:hint="eastAsia"/>
          <w:color w:val="auto"/>
        </w:rPr>
        <w:t>．</w:t>
      </w:r>
      <w:r>
        <w:t>计量单位</w:t>
      </w:r>
    </w:p>
    <w:p>
      <w:pPr>
        <w:pStyle w:val="60"/>
        <w:ind w:firstLine="480"/>
      </w:pPr>
      <w:r>
        <w:rPr>
          <w:rFonts w:hint="eastAsia"/>
        </w:rPr>
        <w:t>投标文件的计量单位应使用中华人民共和国法定计量单位，但招标文件另有规定的除外。</w:t>
      </w:r>
    </w:p>
    <w:p>
      <w:pPr>
        <w:pStyle w:val="4"/>
        <w:numPr>
          <w:ilvl w:val="2"/>
          <w:numId w:val="1"/>
        </w:numPr>
        <w:ind w:firstLine="482" w:firstLineChars="0"/>
      </w:pPr>
      <w:r>
        <w:rPr>
          <w:rFonts w:hint="eastAsia"/>
        </w:rPr>
        <w:t>（二）投标文件</w:t>
      </w:r>
      <w:r>
        <w:t>的有效期</w:t>
      </w:r>
    </w:p>
    <w:p>
      <w:pPr>
        <w:pStyle w:val="60"/>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numPr>
          <w:ilvl w:val="2"/>
          <w:numId w:val="1"/>
        </w:numPr>
        <w:ind w:firstLine="482" w:firstLineChars="0"/>
      </w:pPr>
      <w:r>
        <w:rPr>
          <w:rFonts w:hint="eastAsia"/>
        </w:rPr>
        <w:t>（三）投标</w:t>
      </w:r>
      <w:r>
        <w:t>报价</w:t>
      </w:r>
    </w:p>
    <w:p>
      <w:pPr>
        <w:pStyle w:val="60"/>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60"/>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60"/>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60"/>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60"/>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numPr>
          <w:ilvl w:val="2"/>
          <w:numId w:val="1"/>
        </w:numPr>
        <w:ind w:firstLine="482" w:firstLineChars="0"/>
      </w:pPr>
      <w:r>
        <w:rPr>
          <w:rFonts w:hint="eastAsia"/>
        </w:rPr>
        <w:t>（四）电子投标文件</w:t>
      </w:r>
      <w:r>
        <w:t>的</w:t>
      </w:r>
      <w:r>
        <w:rPr>
          <w:rFonts w:hint="eastAsia"/>
        </w:rPr>
        <w:t>制作、</w:t>
      </w:r>
      <w:r>
        <w:t>签章及加密</w:t>
      </w:r>
    </w:p>
    <w:p>
      <w:pPr>
        <w:pStyle w:val="60"/>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60"/>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60"/>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60"/>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60"/>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60"/>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pPr>
        <w:pStyle w:val="60"/>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numPr>
          <w:ilvl w:val="2"/>
          <w:numId w:val="1"/>
        </w:numPr>
        <w:ind w:firstLine="482" w:firstLineChars="0"/>
      </w:pPr>
      <w:r>
        <w:rPr>
          <w:rFonts w:hint="eastAsia"/>
        </w:rPr>
        <w:t>（五）电子投标文件</w:t>
      </w:r>
      <w:r>
        <w:t>的提交</w:t>
      </w:r>
    </w:p>
    <w:p>
      <w:pPr>
        <w:pStyle w:val="60"/>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60"/>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60"/>
        <w:ind w:firstLine="480"/>
      </w:pPr>
      <w:r>
        <w:t>3</w:t>
      </w:r>
      <w:r>
        <w:rPr>
          <w:rFonts w:hint="eastAsia"/>
        </w:rPr>
        <w:t>．使用旧版电子招标文件制作电子投标文件的。</w:t>
      </w:r>
    </w:p>
    <w:p>
      <w:pPr>
        <w:pStyle w:val="4"/>
        <w:numPr>
          <w:ilvl w:val="2"/>
          <w:numId w:val="1"/>
        </w:numPr>
        <w:ind w:firstLine="482" w:firstLineChars="0"/>
      </w:pPr>
      <w:r>
        <w:t>（</w:t>
      </w:r>
      <w:r>
        <w:rPr>
          <w:rFonts w:hint="eastAsia"/>
        </w:rPr>
        <w:t>六</w:t>
      </w:r>
      <w:r>
        <w:t>）电子</w:t>
      </w:r>
      <w:r>
        <w:rPr>
          <w:rFonts w:hint="eastAsia"/>
        </w:rPr>
        <w:t>投标</w:t>
      </w:r>
      <w:r>
        <w:t>文件的撤回、补充及修改</w:t>
      </w:r>
    </w:p>
    <w:p>
      <w:pPr>
        <w:pStyle w:val="60"/>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60"/>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numPr>
          <w:ilvl w:val="2"/>
          <w:numId w:val="1"/>
        </w:numPr>
        <w:ind w:firstLine="482" w:firstLineChars="0"/>
      </w:pPr>
      <w:r>
        <w:rPr>
          <w:rFonts w:hint="eastAsia"/>
        </w:rPr>
        <w:t>（七）关于电子投标文件的雷同性分析</w:t>
      </w:r>
    </w:p>
    <w:p>
      <w:pPr>
        <w:pStyle w:val="60"/>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60"/>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60"/>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60"/>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numPr>
          <w:ilvl w:val="2"/>
          <w:numId w:val="1"/>
        </w:numPr>
        <w:ind w:firstLine="482" w:firstLineChars="0"/>
      </w:pPr>
      <w:r>
        <w:rPr>
          <w:rFonts w:hint="eastAsia"/>
        </w:rPr>
        <w:t>（八）投标文件出现下列情形时，视同供应商串通投标，其投标无效：</w:t>
      </w:r>
    </w:p>
    <w:p>
      <w:pPr>
        <w:pStyle w:val="60"/>
        <w:ind w:firstLine="480"/>
      </w:pPr>
      <w:r>
        <w:rPr>
          <w:rFonts w:hint="eastAsia"/>
        </w:rPr>
        <w:t>1．不同供应商的投标文件由同一单位或者个人编制的；</w:t>
      </w:r>
    </w:p>
    <w:p>
      <w:pPr>
        <w:pStyle w:val="60"/>
        <w:ind w:firstLine="480"/>
      </w:pPr>
      <w:r>
        <w:rPr>
          <w:rFonts w:hint="eastAsia"/>
        </w:rPr>
        <w:t>2．不同供应商委托同一单位或者个人办理投标事宜的；</w:t>
      </w:r>
    </w:p>
    <w:p>
      <w:pPr>
        <w:pStyle w:val="60"/>
        <w:ind w:firstLine="480"/>
      </w:pPr>
      <w:r>
        <w:rPr>
          <w:rFonts w:hint="eastAsia"/>
        </w:rPr>
        <w:t>3．不同供应商的投标文件载明的项目管理成员或者联系人员为同一人的；</w:t>
      </w:r>
    </w:p>
    <w:p>
      <w:pPr>
        <w:pStyle w:val="60"/>
        <w:ind w:firstLine="480"/>
      </w:pPr>
      <w:r>
        <w:rPr>
          <w:rFonts w:hint="eastAsia"/>
        </w:rPr>
        <w:t>4．不同供应商的投标文件异常一致或者投标报价呈规律性差异的。</w:t>
      </w:r>
    </w:p>
    <w:p>
      <w:pPr>
        <w:pStyle w:val="60"/>
        <w:ind w:firstLine="480"/>
      </w:pPr>
      <w:r>
        <w:rPr>
          <w:rFonts w:hint="eastAsia"/>
        </w:rPr>
        <w:t>5．不同供应商的投标文件相互混编或混装的。</w:t>
      </w:r>
    </w:p>
    <w:p>
      <w:pPr>
        <w:pStyle w:val="3"/>
        <w:numPr>
          <w:ilvl w:val="1"/>
          <w:numId w:val="1"/>
        </w:numPr>
      </w:pPr>
      <w:r>
        <w:rPr>
          <w:rFonts w:hint="eastAsia"/>
        </w:rPr>
        <w:t>五</w:t>
      </w:r>
      <w:r>
        <w:t>、开标</w:t>
      </w:r>
      <w:r>
        <w:rPr>
          <w:rFonts w:hint="eastAsia"/>
        </w:rPr>
        <w:t>程序</w:t>
      </w:r>
    </w:p>
    <w:p>
      <w:pPr>
        <w:pStyle w:val="60"/>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60"/>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60"/>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4"/>
        <w:numPr>
          <w:ilvl w:val="2"/>
          <w:numId w:val="1"/>
        </w:numPr>
        <w:ind w:firstLine="482" w:firstLineChars="0"/>
      </w:pPr>
      <w:r>
        <w:rPr>
          <w:rFonts w:hint="eastAsia"/>
        </w:rPr>
        <w:t>（一）基本流程</w:t>
      </w:r>
    </w:p>
    <w:p>
      <w:pPr>
        <w:pStyle w:val="60"/>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60"/>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60"/>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60"/>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60"/>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numPr>
          <w:ilvl w:val="2"/>
          <w:numId w:val="1"/>
        </w:numPr>
        <w:ind w:firstLine="482"/>
      </w:pPr>
      <w:r>
        <w:rPr>
          <w:rFonts w:hint="eastAsia"/>
        </w:rPr>
        <w:t>（二）开标环节出现以下情形之一的，投标文件将被视为无效：</w:t>
      </w:r>
    </w:p>
    <w:p>
      <w:pPr>
        <w:pStyle w:val="60"/>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60"/>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60"/>
        <w:ind w:firstLine="480"/>
        <w:rPr>
          <w:color w:val="auto"/>
        </w:rPr>
      </w:pPr>
      <w:r>
        <w:rPr>
          <w:rFonts w:hint="eastAsia"/>
          <w:color w:val="auto"/>
        </w:rPr>
        <w:t>3．上传</w:t>
      </w:r>
      <w:r>
        <w:rPr>
          <w:color w:val="auto"/>
        </w:rPr>
        <w:t>的电子投标文件无法正常打开的；</w:t>
      </w:r>
    </w:p>
    <w:p>
      <w:pPr>
        <w:pStyle w:val="60"/>
        <w:ind w:firstLine="480"/>
        <w:rPr>
          <w:color w:val="auto"/>
        </w:rPr>
      </w:pPr>
      <w:r>
        <w:rPr>
          <w:rFonts w:hint="eastAsia"/>
          <w:color w:val="auto"/>
        </w:rPr>
        <w:t>4．</w:t>
      </w:r>
      <w:r>
        <w:rPr>
          <w:color w:val="auto"/>
        </w:rPr>
        <w:t>政府采购法律法规规定的其他无效情形。</w:t>
      </w:r>
    </w:p>
    <w:p>
      <w:pPr>
        <w:pStyle w:val="4"/>
        <w:numPr>
          <w:ilvl w:val="2"/>
          <w:numId w:val="1"/>
        </w:numPr>
        <w:ind w:firstLine="482" w:firstLineChars="0"/>
      </w:pPr>
      <w:r>
        <w:rPr>
          <w:rFonts w:hint="eastAsia"/>
        </w:rPr>
        <w:t>（</w:t>
      </w:r>
      <w:r>
        <w:t>三</w:t>
      </w:r>
      <w:r>
        <w:rPr>
          <w:rFonts w:hint="eastAsia"/>
        </w:rPr>
        <w:t>）突发状况的应急处置</w:t>
      </w:r>
    </w:p>
    <w:p>
      <w:pPr>
        <w:pStyle w:val="60"/>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numPr>
          <w:ilvl w:val="1"/>
          <w:numId w:val="1"/>
        </w:numPr>
      </w:pPr>
      <w:r>
        <w:t>六、资格审查</w:t>
      </w:r>
    </w:p>
    <w:p>
      <w:pPr>
        <w:pStyle w:val="60"/>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60"/>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60"/>
        <w:ind w:firstLine="480"/>
      </w:pPr>
      <w:r>
        <w:rPr>
          <w:rFonts w:hint="eastAsia"/>
        </w:rPr>
        <w:t>（1）不具备招标文件中规定的资格要求的；</w:t>
      </w:r>
    </w:p>
    <w:p>
      <w:pPr>
        <w:pStyle w:val="60"/>
        <w:ind w:firstLine="480"/>
      </w:pPr>
      <w:r>
        <w:rPr>
          <w:rFonts w:hint="eastAsia"/>
        </w:rPr>
        <w:t>（2）未按招标文件要求提供资格证明文件，或资格证明文件未按招标文件要求签字、盖章的；</w:t>
      </w:r>
    </w:p>
    <w:p>
      <w:pPr>
        <w:pStyle w:val="60"/>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60"/>
        <w:ind w:firstLine="480"/>
      </w:pPr>
      <w:r>
        <w:rPr>
          <w:rFonts w:hint="eastAsia"/>
        </w:rPr>
        <w:t>（4）法律法规规定的其他无效情形。</w:t>
      </w:r>
    </w:p>
    <w:p>
      <w:pPr>
        <w:pStyle w:val="60"/>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60"/>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年度或2025年度经审计的财务会计报告（成立时间至提交投标文件截止时间不足一年的可提供成立后任意时段的资产负债表）；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bookmarkStart w:id="9" w:name="OLE_LINK33"/>
            <w:bookmarkStart w:id="10" w:name="OLE_LINK44"/>
            <w:r>
              <w:rPr>
                <w:rFonts w:hint="eastAsia" w:ascii="Calibri" w:hAnsi="宋体" w:eastAsia="宋体" w:cstheme="minorHAnsi"/>
                <w:bCs/>
                <w:sz w:val="21"/>
              </w:rPr>
              <w:t>社保资金缴纳证明</w:t>
            </w:r>
            <w:bookmarkEnd w:id="9"/>
            <w:bookmarkEnd w:id="10"/>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8389" w:type="dxa"/>
            <w:gridSpan w:val="2"/>
            <w:vAlign w:val="center"/>
          </w:tcPr>
          <w:p>
            <w:pPr>
              <w:spacing w:line="400" w:lineRule="exact"/>
              <w:jc w:val="both"/>
              <w:rPr>
                <w:rFonts w:ascii="Calibri" w:hAnsi="宋体" w:eastAsia="宋体" w:cstheme="minorHAnsi"/>
                <w:bCs/>
                <w:color w:val="C00000"/>
                <w:sz w:val="21"/>
              </w:rPr>
            </w:pPr>
            <w:bookmarkStart w:id="11" w:name="OLE_LINK1"/>
            <w:bookmarkStart w:id="12" w:name="OLE_LINK2"/>
            <w:r>
              <w:rPr>
                <w:rFonts w:hint="eastAsia" w:ascii="Calibri" w:hAnsi="宋体" w:eastAsia="宋体" w:cstheme="minorHAnsi"/>
                <w:bCs/>
                <w:sz w:val="21"/>
              </w:rPr>
              <w:t>供应商须提供公安机关颁发的《保安服务许可证》；陕西省外，供应商还须出具承诺书（承诺书形式不限），承诺自承接本项目之日起30日内向采购人</w:t>
            </w:r>
            <w:bookmarkStart w:id="13" w:name="OLE_LINK5"/>
            <w:bookmarkStart w:id="14" w:name="OLE_LINK17"/>
            <w:r>
              <w:rPr>
                <w:rFonts w:hint="eastAsia" w:ascii="Calibri" w:hAnsi="宋体" w:eastAsia="宋体" w:cstheme="minorHAnsi"/>
                <w:bCs/>
                <w:sz w:val="21"/>
              </w:rPr>
              <w:t>所在地设区的市级人民政府公安机关备案</w:t>
            </w:r>
            <w:bookmarkEnd w:id="13"/>
            <w:bookmarkEnd w:id="14"/>
            <w:r>
              <w:rPr>
                <w:rFonts w:hint="eastAsia" w:ascii="Calibri" w:hAnsi="宋体" w:eastAsia="宋体" w:cstheme="minorHAnsi"/>
                <w:bCs/>
                <w:sz w:val="21"/>
              </w:rPr>
              <w:t>。</w:t>
            </w:r>
            <w:bookmarkEnd w:id="11"/>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3"/>
        <w:numPr>
          <w:ilvl w:val="1"/>
          <w:numId w:val="1"/>
        </w:numPr>
      </w:pPr>
      <w:r>
        <w:t>七、评审方法和程序</w:t>
      </w:r>
    </w:p>
    <w:p>
      <w:pPr>
        <w:pStyle w:val="4"/>
        <w:numPr>
          <w:ilvl w:val="2"/>
          <w:numId w:val="1"/>
        </w:numPr>
        <w:ind w:firstLine="482" w:firstLineChars="0"/>
      </w:pPr>
      <w:r>
        <w:t>（一）评标方法</w:t>
      </w:r>
    </w:p>
    <w:p>
      <w:pPr>
        <w:pStyle w:val="60"/>
        <w:ind w:firstLine="480"/>
      </w:pPr>
      <w:r>
        <w:t>本项目采用</w:t>
      </w:r>
      <w:r>
        <w:rPr>
          <w:color w:val="C00000"/>
        </w:rPr>
        <w:t>综合评分法</w:t>
      </w:r>
      <w:r>
        <w:rPr>
          <w:rFonts w:hint="eastAsia"/>
          <w:color w:val="C00000"/>
        </w:rPr>
        <w:t>。</w:t>
      </w:r>
    </w:p>
    <w:p>
      <w:pPr>
        <w:pStyle w:val="60"/>
        <w:ind w:firstLine="480"/>
      </w:pPr>
      <w:r>
        <w:rPr>
          <w:rFonts w:hint="eastAsia"/>
        </w:rPr>
        <w:t>评标方法分为最低评标价法和综合评分法。</w:t>
      </w:r>
    </w:p>
    <w:p>
      <w:pPr>
        <w:pStyle w:val="60"/>
        <w:ind w:firstLine="480"/>
      </w:pPr>
      <w:r>
        <w:rPr>
          <w:rFonts w:hint="eastAsia"/>
        </w:rPr>
        <w:t>1、最低评标价法，是指投标文件满足招标文件全部实质性要求，且投标报价最低的供应商为中标候选人的评标方法。</w:t>
      </w:r>
    </w:p>
    <w:p>
      <w:pPr>
        <w:pStyle w:val="60"/>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numPr>
          <w:ilvl w:val="2"/>
          <w:numId w:val="1"/>
        </w:numPr>
        <w:ind w:firstLine="482" w:firstLineChars="0"/>
      </w:pPr>
      <w:r>
        <w:t>（二）评标形式</w:t>
      </w:r>
    </w:p>
    <w:p>
      <w:pPr>
        <w:pStyle w:val="60"/>
        <w:ind w:firstLine="480"/>
      </w:pPr>
      <w:r>
        <w:rPr>
          <w:rFonts w:hint="eastAsia"/>
        </w:rPr>
        <w:t>1．关于技术标“暗标盲评”</w:t>
      </w:r>
    </w:p>
    <w:p>
      <w:pPr>
        <w:pStyle w:val="60"/>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pPr>
        <w:pStyle w:val="60"/>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pPr>
        <w:pStyle w:val="60"/>
        <w:ind w:firstLine="480"/>
      </w:pPr>
      <w:r>
        <w:rPr>
          <w:rFonts w:hint="eastAsia"/>
        </w:rPr>
        <w:t>2．“暗标盲评部分”编制要求</w:t>
      </w:r>
    </w:p>
    <w:p>
      <w:pPr>
        <w:pStyle w:val="60"/>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pPr>
        <w:pStyle w:val="60"/>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pPr>
        <w:pStyle w:val="60"/>
        <w:ind w:firstLine="480"/>
        <w:rPr>
          <w:color w:val="C00000"/>
        </w:rPr>
      </w:pPr>
      <w:r>
        <w:rPr>
          <w:rFonts w:hint="eastAsia"/>
          <w:color w:val="C00000"/>
        </w:rPr>
        <w:t>（2）签章要求：暗标部分不得进行签章。</w:t>
      </w:r>
    </w:p>
    <w:p>
      <w:pPr>
        <w:pStyle w:val="60"/>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pPr>
        <w:pStyle w:val="4"/>
        <w:numPr>
          <w:ilvl w:val="2"/>
          <w:numId w:val="1"/>
        </w:numPr>
        <w:ind w:firstLine="482" w:firstLineChars="0"/>
      </w:pPr>
      <w:r>
        <w:t>（三）评标程序</w:t>
      </w:r>
    </w:p>
    <w:p>
      <w:pPr>
        <w:pStyle w:val="60"/>
        <w:ind w:firstLine="482"/>
        <w:rPr>
          <w:b/>
        </w:rPr>
      </w:pPr>
      <w:r>
        <w:rPr>
          <w:rFonts w:hint="eastAsia"/>
          <w:b/>
        </w:rPr>
        <w:t>1</w:t>
      </w:r>
      <w:r>
        <w:rPr>
          <w:rFonts w:hint="eastAsia"/>
          <w:b/>
          <w:color w:val="auto"/>
        </w:rPr>
        <w:t>．</w:t>
      </w:r>
      <w:r>
        <w:rPr>
          <w:rFonts w:hint="eastAsia"/>
          <w:b/>
        </w:rPr>
        <w:t>组建评标委员会</w:t>
      </w:r>
    </w:p>
    <w:p>
      <w:pPr>
        <w:pStyle w:val="60"/>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60"/>
        <w:ind w:firstLine="480"/>
      </w:pPr>
      <w:r>
        <w:rPr>
          <w:rFonts w:hint="eastAsia"/>
        </w:rPr>
        <w:t>由采购代理机构组织评标委员会推选评标组长，采购人代表不得担任组长。</w:t>
      </w:r>
    </w:p>
    <w:p>
      <w:pPr>
        <w:pStyle w:val="60"/>
        <w:ind w:firstLine="482"/>
        <w:rPr>
          <w:b/>
        </w:rPr>
      </w:pPr>
      <w:r>
        <w:rPr>
          <w:rFonts w:hint="eastAsia"/>
          <w:b/>
        </w:rPr>
        <w:t>2</w:t>
      </w:r>
      <w:r>
        <w:rPr>
          <w:rFonts w:hint="eastAsia"/>
          <w:b/>
          <w:color w:val="auto"/>
        </w:rPr>
        <w:t>．</w:t>
      </w:r>
      <w:r>
        <w:rPr>
          <w:b/>
        </w:rPr>
        <w:t>投标文件的符合性审查</w:t>
      </w:r>
    </w:p>
    <w:p>
      <w:pPr>
        <w:pStyle w:val="60"/>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60"/>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bookmarkStart w:id="15" w:name="_Hlk223960030"/>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bookmarkStart w:id="16" w:name="OLE_LINK26"/>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bookmarkEnd w:id="16"/>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bookmarkEnd w:id="15"/>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60"/>
        <w:ind w:firstLine="482"/>
        <w:rPr>
          <w:b/>
        </w:rPr>
      </w:pPr>
      <w:r>
        <w:rPr>
          <w:b/>
        </w:rPr>
        <w:t>3</w:t>
      </w:r>
      <w:r>
        <w:rPr>
          <w:rFonts w:hint="eastAsia"/>
          <w:b/>
          <w:color w:val="auto"/>
        </w:rPr>
        <w:t>．投标</w:t>
      </w:r>
      <w:r>
        <w:rPr>
          <w:rFonts w:hint="eastAsia"/>
          <w:b/>
        </w:rPr>
        <w:t>文件的澄清</w:t>
      </w:r>
    </w:p>
    <w:p>
      <w:pPr>
        <w:pStyle w:val="60"/>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60"/>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60"/>
        <w:ind w:firstLine="482"/>
        <w:rPr>
          <w:b/>
        </w:rPr>
      </w:pPr>
      <w:r>
        <w:rPr>
          <w:rFonts w:hint="eastAsia"/>
          <w:b/>
        </w:rPr>
        <w:t>4．异常低价的审查</w:t>
      </w:r>
    </w:p>
    <w:p>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（1）评审中出现下列情形之一的，评标委员会应当启动异常低价投标审查程序：</w:t>
      </w:r>
    </w:p>
    <w:p>
      <w:pPr>
        <w:pStyle w:val="100"/>
        <w:snapToGrid w:val="0"/>
        <w:spacing w:line="360" w:lineRule="auto"/>
        <w:ind w:firstLine="480" w:firstLineChars="200"/>
        <w:textAlignment w:val="auto"/>
        <w:rPr>
          <w:rFonts w:hAnsi="宋体" w:cs="宋体"/>
          <w:color w:val="FF0000"/>
          <w:sz w:val="24"/>
          <w:szCs w:val="24"/>
        </w:rPr>
      </w:pPr>
      <w:r>
        <w:rPr>
          <w:rFonts w:hint="eastAsia" w:hAnsi="宋体" w:cs="宋体"/>
          <w:color w:val="FF0000"/>
          <w:sz w:val="24"/>
          <w:szCs w:val="24"/>
        </w:rPr>
        <w:t xml:space="preserve">① </w:t>
      </w:r>
      <w:r>
        <w:rPr>
          <w:rFonts w:hAnsi="宋体" w:cs="宋体"/>
          <w:color w:val="FF0000"/>
          <w:sz w:val="24"/>
          <w:szCs w:val="24"/>
        </w:rPr>
        <w:t>投标报价低于全部通过符合性审查供应商投标报价平均值</w:t>
      </w:r>
      <w:r>
        <w:rPr>
          <w:rFonts w:hint="eastAsia" w:hAnsi="宋体" w:cs="宋体"/>
          <w:color w:val="FF0000"/>
          <w:sz w:val="24"/>
          <w:szCs w:val="24"/>
        </w:rPr>
        <w:t xml:space="preserve"> </w:t>
      </w:r>
      <w:r>
        <w:rPr>
          <w:rFonts w:hAnsi="宋体" w:cs="宋体"/>
          <w:color w:val="FF0000"/>
          <w:sz w:val="24"/>
          <w:szCs w:val="24"/>
        </w:rPr>
        <w:t>50</w:t>
      </w:r>
      <w:r>
        <w:rPr>
          <w:rFonts w:hint="eastAsia" w:hAnsi="宋体" w:cs="宋体"/>
          <w:color w:val="FF0000"/>
          <w:sz w:val="24"/>
          <w:szCs w:val="24"/>
        </w:rPr>
        <w:t xml:space="preserve"> </w:t>
      </w:r>
      <w:r>
        <w:rPr>
          <w:rFonts w:hAnsi="宋体" w:cs="宋体"/>
          <w:color w:val="FF0000"/>
          <w:sz w:val="24"/>
          <w:szCs w:val="24"/>
        </w:rPr>
        <w:t>%的，即投标报价</w:t>
      </w:r>
      <w:r>
        <w:rPr>
          <w:rFonts w:hint="eastAsia" w:hAnsi="宋体" w:cs="宋体"/>
          <w:color w:val="FF0000"/>
          <w:sz w:val="24"/>
          <w:szCs w:val="24"/>
        </w:rPr>
        <w:t>＜</w:t>
      </w:r>
      <w:r>
        <w:rPr>
          <w:rFonts w:hAnsi="宋体" w:cs="宋体"/>
          <w:color w:val="FF0000"/>
          <w:sz w:val="24"/>
          <w:szCs w:val="24"/>
        </w:rPr>
        <w:t>全部通过符合性审查供应商投标报价平均值×</w:t>
      </w:r>
      <w:r>
        <w:rPr>
          <w:rFonts w:hint="eastAsia" w:hAnsi="宋体" w:cs="宋体"/>
          <w:color w:val="FF0000"/>
          <w:sz w:val="24"/>
          <w:szCs w:val="24"/>
        </w:rPr>
        <w:t xml:space="preserve"> </w:t>
      </w:r>
      <w:r>
        <w:rPr>
          <w:rFonts w:hAnsi="宋体" w:cs="宋体"/>
          <w:color w:val="FF0000"/>
          <w:sz w:val="24"/>
          <w:szCs w:val="24"/>
        </w:rPr>
        <w:t>50</w:t>
      </w:r>
      <w:r>
        <w:rPr>
          <w:rFonts w:hint="eastAsia" w:hAnsi="宋体" w:cs="宋体"/>
          <w:color w:val="FF0000"/>
          <w:sz w:val="24"/>
          <w:szCs w:val="24"/>
        </w:rPr>
        <w:t xml:space="preserve"> </w:t>
      </w:r>
      <w:r>
        <w:rPr>
          <w:rFonts w:hAnsi="宋体" w:cs="宋体"/>
          <w:color w:val="FF0000"/>
          <w:sz w:val="24"/>
          <w:szCs w:val="24"/>
        </w:rPr>
        <w:t>%；</w:t>
      </w:r>
    </w:p>
    <w:p>
      <w:pPr>
        <w:pStyle w:val="100"/>
        <w:snapToGrid w:val="0"/>
        <w:spacing w:line="360" w:lineRule="auto"/>
        <w:ind w:firstLine="480" w:firstLineChars="200"/>
        <w:textAlignment w:val="auto"/>
        <w:rPr>
          <w:rFonts w:hAnsi="宋体" w:cs="宋体"/>
          <w:color w:val="FF0000"/>
          <w:sz w:val="24"/>
          <w:szCs w:val="24"/>
        </w:rPr>
      </w:pPr>
      <w:r>
        <w:rPr>
          <w:rFonts w:hint="eastAsia" w:hAnsi="宋体" w:cs="宋体"/>
          <w:color w:val="FF0000"/>
          <w:sz w:val="24"/>
          <w:szCs w:val="24"/>
        </w:rPr>
        <w:t xml:space="preserve">② </w:t>
      </w:r>
      <w:r>
        <w:rPr>
          <w:rFonts w:hAnsi="宋体" w:cs="宋体"/>
          <w:color w:val="FF0000"/>
          <w:sz w:val="24"/>
          <w:szCs w:val="24"/>
        </w:rPr>
        <w:t>投标报价低于通过符合性审查的次低报价供应商投标报价</w:t>
      </w:r>
      <w:r>
        <w:rPr>
          <w:rFonts w:hint="eastAsia" w:hAnsi="宋体" w:cs="宋体"/>
          <w:color w:val="FF0000"/>
          <w:sz w:val="24"/>
          <w:szCs w:val="24"/>
        </w:rPr>
        <w:t xml:space="preserve"> </w:t>
      </w:r>
      <w:r>
        <w:rPr>
          <w:rFonts w:hAnsi="宋体" w:cs="宋体"/>
          <w:color w:val="FF0000"/>
          <w:sz w:val="24"/>
          <w:szCs w:val="24"/>
        </w:rPr>
        <w:t>50</w:t>
      </w:r>
      <w:r>
        <w:rPr>
          <w:rFonts w:hint="eastAsia" w:hAnsi="宋体" w:cs="宋体"/>
          <w:color w:val="FF0000"/>
          <w:sz w:val="24"/>
          <w:szCs w:val="24"/>
        </w:rPr>
        <w:t xml:space="preserve"> </w:t>
      </w:r>
      <w:r>
        <w:rPr>
          <w:rFonts w:hAnsi="宋体" w:cs="宋体"/>
          <w:color w:val="FF0000"/>
          <w:sz w:val="24"/>
          <w:szCs w:val="24"/>
        </w:rPr>
        <w:t>%的，即投标报价</w:t>
      </w:r>
      <w:r>
        <w:rPr>
          <w:rFonts w:hint="eastAsia" w:hAnsi="宋体" w:cs="宋体"/>
          <w:color w:val="FF0000"/>
          <w:sz w:val="24"/>
          <w:szCs w:val="24"/>
        </w:rPr>
        <w:t>＜</w:t>
      </w:r>
      <w:r>
        <w:rPr>
          <w:rFonts w:hAnsi="宋体" w:cs="宋体"/>
          <w:color w:val="FF0000"/>
          <w:sz w:val="24"/>
          <w:szCs w:val="24"/>
        </w:rPr>
        <w:t>通过符合性审查的次低报价供应商投标报价×</w:t>
      </w:r>
      <w:r>
        <w:rPr>
          <w:rFonts w:hint="eastAsia" w:hAnsi="宋体" w:cs="宋体"/>
          <w:color w:val="FF0000"/>
          <w:sz w:val="24"/>
          <w:szCs w:val="24"/>
        </w:rPr>
        <w:t xml:space="preserve"> </w:t>
      </w:r>
      <w:r>
        <w:rPr>
          <w:rFonts w:hAnsi="宋体" w:cs="宋体"/>
          <w:color w:val="FF0000"/>
          <w:sz w:val="24"/>
          <w:szCs w:val="24"/>
        </w:rPr>
        <w:t>50</w:t>
      </w:r>
      <w:r>
        <w:rPr>
          <w:rFonts w:hint="eastAsia" w:hAnsi="宋体" w:cs="宋体"/>
          <w:color w:val="FF0000"/>
          <w:sz w:val="24"/>
          <w:szCs w:val="24"/>
        </w:rPr>
        <w:t xml:space="preserve"> </w:t>
      </w:r>
      <w:r>
        <w:rPr>
          <w:rFonts w:hAnsi="宋体" w:cs="宋体"/>
          <w:color w:val="FF0000"/>
          <w:sz w:val="24"/>
          <w:szCs w:val="24"/>
        </w:rPr>
        <w:t>%；</w:t>
      </w:r>
    </w:p>
    <w:p>
      <w:pPr>
        <w:pStyle w:val="100"/>
        <w:snapToGrid w:val="0"/>
        <w:spacing w:line="360" w:lineRule="auto"/>
        <w:ind w:firstLine="480" w:firstLineChars="200"/>
        <w:textAlignment w:val="auto"/>
        <w:rPr>
          <w:rFonts w:hAnsi="宋体" w:cs="宋体"/>
          <w:color w:val="FF0000"/>
          <w:sz w:val="24"/>
          <w:szCs w:val="24"/>
        </w:rPr>
      </w:pPr>
      <w:r>
        <w:rPr>
          <w:rFonts w:hint="eastAsia" w:hAnsi="宋体" w:cs="宋体"/>
          <w:color w:val="FF0000"/>
          <w:sz w:val="24"/>
          <w:szCs w:val="24"/>
        </w:rPr>
        <w:t xml:space="preserve">③ </w:t>
      </w:r>
      <w:r>
        <w:rPr>
          <w:rFonts w:hAnsi="宋体" w:cs="宋体"/>
          <w:color w:val="FF0000"/>
          <w:sz w:val="24"/>
          <w:szCs w:val="24"/>
        </w:rPr>
        <w:t>投标报价低于采购项目最高限价</w:t>
      </w:r>
      <w:r>
        <w:rPr>
          <w:rFonts w:hint="eastAsia" w:hAnsi="宋体" w:cs="宋体"/>
          <w:color w:val="FF0000"/>
          <w:sz w:val="24"/>
          <w:szCs w:val="24"/>
        </w:rPr>
        <w:t xml:space="preserve"> </w:t>
      </w:r>
      <w:r>
        <w:rPr>
          <w:rFonts w:hAnsi="宋体" w:cs="宋体"/>
          <w:color w:val="FF0000"/>
          <w:sz w:val="24"/>
          <w:szCs w:val="24"/>
        </w:rPr>
        <w:t>45</w:t>
      </w:r>
      <w:r>
        <w:rPr>
          <w:rFonts w:hint="eastAsia" w:hAnsi="宋体" w:cs="宋体"/>
          <w:color w:val="FF0000"/>
          <w:sz w:val="24"/>
          <w:szCs w:val="24"/>
        </w:rPr>
        <w:t xml:space="preserve"> </w:t>
      </w:r>
      <w:r>
        <w:rPr>
          <w:rFonts w:hAnsi="宋体" w:cs="宋体"/>
          <w:color w:val="FF0000"/>
          <w:sz w:val="24"/>
          <w:szCs w:val="24"/>
        </w:rPr>
        <w:t>%的，即投标报价</w:t>
      </w:r>
      <w:r>
        <w:rPr>
          <w:rFonts w:hint="eastAsia" w:hAnsi="宋体" w:cs="宋体"/>
          <w:color w:val="FF0000"/>
          <w:sz w:val="24"/>
          <w:szCs w:val="24"/>
        </w:rPr>
        <w:t>＜</w:t>
      </w:r>
      <w:r>
        <w:rPr>
          <w:rFonts w:hAnsi="宋体" w:cs="宋体"/>
          <w:color w:val="FF0000"/>
          <w:sz w:val="24"/>
          <w:szCs w:val="24"/>
        </w:rPr>
        <w:t>采购项目最高限价×</w:t>
      </w:r>
      <w:r>
        <w:rPr>
          <w:rFonts w:hint="eastAsia" w:hAnsi="宋体" w:cs="宋体"/>
          <w:color w:val="FF0000"/>
          <w:sz w:val="24"/>
          <w:szCs w:val="24"/>
        </w:rPr>
        <w:t xml:space="preserve"> </w:t>
      </w:r>
      <w:r>
        <w:rPr>
          <w:rFonts w:hAnsi="宋体" w:cs="宋体"/>
          <w:color w:val="FF0000"/>
          <w:sz w:val="24"/>
          <w:szCs w:val="24"/>
        </w:rPr>
        <w:t>45</w:t>
      </w:r>
      <w:r>
        <w:rPr>
          <w:rFonts w:hint="eastAsia" w:hAnsi="宋体" w:cs="宋体"/>
          <w:color w:val="FF0000"/>
          <w:sz w:val="24"/>
          <w:szCs w:val="24"/>
        </w:rPr>
        <w:t xml:space="preserve"> </w:t>
      </w:r>
      <w:r>
        <w:rPr>
          <w:rFonts w:hAnsi="宋体" w:cs="宋体"/>
          <w:color w:val="FF0000"/>
          <w:sz w:val="24"/>
          <w:szCs w:val="24"/>
        </w:rPr>
        <w:t>%</w:t>
      </w:r>
      <w:r>
        <w:rPr>
          <w:rFonts w:hint="eastAsia" w:hAnsi="宋体" w:cs="宋体"/>
          <w:color w:val="FF0000"/>
          <w:sz w:val="24"/>
          <w:szCs w:val="24"/>
        </w:rPr>
        <w:t>；</w:t>
      </w:r>
    </w:p>
    <w:p>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④ 评标委员会基于专业判断，认为供应商报价过低，有可能影响产品质量或者不能诚信履约的其他情形。</w:t>
      </w:r>
    </w:p>
    <w:p>
      <w:pPr>
        <w:pStyle w:val="100"/>
        <w:snapToGrid w:val="0"/>
        <w:spacing w:line="360" w:lineRule="auto"/>
        <w:ind w:firstLine="360" w:firstLineChars="150"/>
        <w:textAlignment w:val="auto"/>
        <w:rPr>
          <w:rFonts w:hAnsi="宋体" w:cs="宋体"/>
          <w:sz w:val="24"/>
          <w:szCs w:val="24"/>
        </w:rPr>
      </w:pPr>
      <w:r>
        <w:rPr>
          <w:rFonts w:hint="eastAsia" w:hAnsi="宋体" w:cs="宋体"/>
          <w:sz w:val="24"/>
          <w:szCs w:val="24"/>
        </w:rPr>
        <w:t>（2）评标委员会启动异常低价投标审查后，属于第①项至第④项情形的，相关供应商应当在40分钟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评标委员会依据专业经验，参考同类项目中标价格、类似产品市场价格水平、行业人工费用标准、国家有关部门指导行业协会发布的行业平均成本等情况，对报价合理性进行判断。</w:t>
      </w:r>
      <w:r>
        <w:rPr>
          <w:rFonts w:hint="eastAsia" w:hAnsi="宋体" w:cs="宋体"/>
          <w:b/>
          <w:sz w:val="24"/>
          <w:szCs w:val="24"/>
        </w:rPr>
        <w:t>投标供应商不能提供书面说明、证明材料，或者提供的书面说明、证明材料不能证明其报价合理性的，评标委员会应当将其作为无效投标处理。</w:t>
      </w:r>
    </w:p>
    <w:p>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pPr>
        <w:pStyle w:val="100"/>
        <w:snapToGrid w:val="0"/>
        <w:spacing w:line="360" w:lineRule="auto"/>
        <w:ind w:firstLine="480" w:firstLineChars="200"/>
        <w:textAlignment w:val="auto"/>
        <w:rPr>
          <w:rFonts w:hAnsi="宋体" w:cs="宋体"/>
          <w:sz w:val="24"/>
          <w:szCs w:val="24"/>
        </w:rPr>
      </w:pPr>
      <w:r>
        <w:rPr>
          <w:rFonts w:hint="eastAsia" w:hAnsi="宋体" w:cs="宋体"/>
          <w:sz w:val="24"/>
          <w:szCs w:val="24"/>
        </w:rPr>
        <w:t>异常低价投标审查的启动原因、审查意见和审查结果应当在评审报告中记录，并随供应商提供的相关书面说明及证明材料，以及评标委员会有关互联网浏览、查询历史一并归档。</w:t>
      </w:r>
    </w:p>
    <w:p>
      <w:pPr>
        <w:pStyle w:val="60"/>
        <w:ind w:firstLine="482"/>
        <w:rPr>
          <w:b/>
        </w:rPr>
      </w:pPr>
      <w:r>
        <w:rPr>
          <w:b/>
        </w:rPr>
        <w:t>5</w:t>
      </w:r>
      <w:r>
        <w:rPr>
          <w:rFonts w:hint="eastAsia"/>
          <w:b/>
        </w:rPr>
        <w:t>．</w:t>
      </w:r>
      <w:r>
        <w:rPr>
          <w:b/>
        </w:rPr>
        <w:t>综合比较与评价</w:t>
      </w:r>
    </w:p>
    <w:p>
      <w:pPr>
        <w:pStyle w:val="60"/>
        <w:ind w:firstLine="480"/>
      </w:pPr>
      <w:r>
        <w:rPr>
          <w:rFonts w:hint="eastAsia"/>
        </w:rPr>
        <w:t>采用最低评标价法的，评标委员会对通过符合性审查的投标文件的投标报价由低到高顺序排列。</w:t>
      </w:r>
    </w:p>
    <w:p>
      <w:pPr>
        <w:pStyle w:val="60"/>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keepNext/>
        <w:spacing w:before="230" w:beforeLines="50" w:after="230" w:afterLines="50"/>
        <w:jc w:val="center"/>
        <w:outlineLvl w:val="3"/>
        <w:rPr>
          <w:rFonts w:ascii="黑体" w:hAnsi="黑体" w:eastAsia="黑体" w:cstheme="minorHAnsi"/>
          <w:color w:val="1F4E79"/>
          <w:sz w:val="32"/>
          <w:szCs w:val="32"/>
        </w:rPr>
      </w:pPr>
      <w:bookmarkStart w:id="17" w:name="OLE_LINK24"/>
      <w:bookmarkStart w:id="18" w:name="OLE_LINK25"/>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692"/>
        <w:gridCol w:w="15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692"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535"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692"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ind w:firstLine="420"/>
              <w:jc w:val="center"/>
              <w:rPr>
                <w:rFonts w:ascii="Calibri" w:hAnsi="宋体" w:eastAsia="宋体" w:cstheme="minorHAnsi"/>
                <w:bCs/>
                <w:sz w:val="21"/>
                <w:szCs w:val="21"/>
              </w:rPr>
            </w:pPr>
          </w:p>
        </w:tc>
        <w:tc>
          <w:tcPr>
            <w:tcW w:w="1535"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692" w:type="dxa"/>
            <w:tcBorders>
              <w:top w:val="single" w:color="auto" w:sz="2" w:space="0"/>
            </w:tcBorders>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w:t>
            </w:r>
            <w:r>
              <w:rPr>
                <w:rFonts w:hint="eastAsia" w:ascii="Calibri" w:hAnsi="宋体" w:eastAsia="宋体" w:cs="宋体"/>
                <w:sz w:val="21"/>
                <w:szCs w:val="21"/>
              </w:rPr>
              <w:t>0%×100分</w:t>
            </w:r>
          </w:p>
        </w:tc>
        <w:tc>
          <w:tcPr>
            <w:tcW w:w="1535"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39</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5692" w:type="dxa"/>
            <w:tcBorders>
              <w:top w:val="single" w:color="auto" w:sz="2" w:space="0"/>
            </w:tcBorders>
            <w:shd w:val="clear" w:color="auto" w:fill="auto"/>
            <w:vAlign w:val="center"/>
          </w:tcPr>
          <w:p>
            <w:pPr>
              <w:tabs>
                <w:tab w:val="left" w:pos="547"/>
              </w:tabs>
              <w:spacing w:line="320" w:lineRule="exact"/>
              <w:ind w:firstLine="420" w:firstLineChars="200"/>
              <w:rPr>
                <w:rFonts w:ascii="Calibri" w:hAnsi="宋体" w:eastAsia="宋体" w:cs="仿宋"/>
                <w:b/>
                <w:color w:val="C00000"/>
                <w:sz w:val="21"/>
                <w:szCs w:val="21"/>
              </w:rPr>
            </w:pPr>
            <w:bookmarkStart w:id="19" w:name="OLE_LINK47"/>
            <w:bookmarkStart w:id="20" w:name="OLE_LINK48"/>
            <w:bookmarkStart w:id="21" w:name="OLE_LINK19"/>
            <w:r>
              <w:rPr>
                <w:rFonts w:hint="eastAsia" w:ascii="Calibri" w:hAnsi="宋体" w:eastAsia="宋体" w:cs="仿宋"/>
                <w:b/>
                <w:color w:val="C00000"/>
                <w:sz w:val="21"/>
                <w:szCs w:val="21"/>
              </w:rPr>
              <w:t>总体服务方案</w:t>
            </w:r>
            <w:bookmarkEnd w:id="19"/>
            <w:bookmarkEnd w:id="20"/>
            <w:r>
              <w:rPr>
                <w:rFonts w:hint="eastAsia" w:ascii="Calibri" w:hAnsi="宋体" w:eastAsia="宋体" w:cs="仿宋"/>
                <w:b/>
                <w:color w:val="C00000"/>
                <w:sz w:val="21"/>
                <w:szCs w:val="21"/>
              </w:rPr>
              <w:t>：</w:t>
            </w:r>
          </w:p>
          <w:p>
            <w:pPr>
              <w:tabs>
                <w:tab w:val="left" w:pos="547"/>
              </w:tabs>
              <w:spacing w:line="320" w:lineRule="exact"/>
              <w:ind w:firstLine="420" w:firstLineChars="200"/>
              <w:rPr>
                <w:rFonts w:ascii="Calibri" w:hAnsi="宋体" w:eastAsia="宋体" w:cs="仿宋"/>
                <w:b/>
                <w:sz w:val="21"/>
                <w:szCs w:val="21"/>
              </w:rPr>
            </w:pPr>
            <w:r>
              <w:rPr>
                <w:rFonts w:hint="eastAsia" w:ascii="Calibri" w:hAnsi="宋体" w:eastAsia="宋体" w:cs="仿宋"/>
                <w:b/>
                <w:sz w:val="21"/>
                <w:szCs w:val="21"/>
              </w:rPr>
              <w:t>一、评审内容</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供应商提供针对于本项目的总体</w:t>
            </w:r>
            <w:r>
              <w:rPr>
                <w:rFonts w:ascii="Calibri" w:hAnsi="宋体" w:eastAsia="宋体"/>
                <w:sz w:val="21"/>
                <w:szCs w:val="21"/>
              </w:rPr>
              <w:t>服务方案，方案内容包含：</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①总体服务目标及计划安排；</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②服务重难点分析及解决方案；</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③进退场交接方案。</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二、评审标准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1、完整性：方案须详细全面，表述清晰完整，完全满足招标文件要求；</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2、可实施性：切合本项目实际情况，实施步骤清晰、合理；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3、针对性：方案能够紧扣项目实际情况，内容科学合理。</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三、赋分标准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①总体服务目标及计划安排：</w:t>
            </w:r>
            <w:bookmarkStart w:id="22" w:name="OLE_LINK29"/>
            <w:bookmarkStart w:id="23" w:name="OLE_LINK28"/>
            <w:r>
              <w:rPr>
                <w:rFonts w:hint="eastAsia" w:ascii="Calibri" w:hAnsi="宋体" w:eastAsia="宋体"/>
                <w:sz w:val="21"/>
                <w:szCs w:val="21"/>
              </w:rPr>
              <w:t>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bookmarkEnd w:id="22"/>
            <w:bookmarkEnd w:id="23"/>
            <w:r>
              <w:rPr>
                <w:rFonts w:hint="eastAsia"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②服务重难点分析及解决方案：每完全满足一项评审标准得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tabs>
                <w:tab w:val="left" w:pos="547"/>
              </w:tabs>
              <w:spacing w:line="320" w:lineRule="exact"/>
              <w:ind w:firstLine="315" w:firstLineChars="150"/>
              <w:rPr>
                <w:rFonts w:ascii="Calibri" w:hAnsi="宋体" w:eastAsia="宋体" w:cs="宋体"/>
                <w:sz w:val="21"/>
                <w:szCs w:val="21"/>
              </w:rPr>
            </w:pPr>
            <w:r>
              <w:rPr>
                <w:rFonts w:hint="eastAsia" w:ascii="Calibri" w:hAnsi="宋体" w:eastAsia="宋体"/>
                <w:sz w:val="21"/>
                <w:szCs w:val="21"/>
              </w:rPr>
              <w:t>③进退场交接方案：每完全满足一项评审标准得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bookmarkEnd w:id="21"/>
            <w:r>
              <w:rPr>
                <w:rFonts w:hint="eastAsia" w:ascii="Calibri" w:hAnsi="宋体" w:eastAsia="宋体"/>
                <w:sz w:val="21"/>
                <w:szCs w:val="21"/>
              </w:rPr>
              <w:t>。</w:t>
            </w:r>
          </w:p>
        </w:tc>
        <w:tc>
          <w:tcPr>
            <w:tcW w:w="1535"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15</w:t>
            </w:r>
          </w:p>
        </w:tc>
        <w:tc>
          <w:tcPr>
            <w:tcW w:w="5692" w:type="dxa"/>
            <w:tcBorders>
              <w:top w:val="single" w:color="auto" w:sz="2" w:space="0"/>
            </w:tcBorders>
            <w:shd w:val="clear" w:color="auto" w:fill="auto"/>
            <w:vAlign w:val="center"/>
          </w:tcPr>
          <w:p>
            <w:pPr>
              <w:tabs>
                <w:tab w:val="left" w:pos="547"/>
              </w:tabs>
              <w:spacing w:line="320" w:lineRule="exact"/>
              <w:ind w:firstLine="315" w:firstLineChars="150"/>
              <w:rPr>
                <w:rFonts w:ascii="Calibri" w:hAnsi="宋体" w:eastAsia="宋体" w:cs="仿宋"/>
                <w:b/>
                <w:color w:val="C00000"/>
                <w:sz w:val="21"/>
                <w:szCs w:val="21"/>
              </w:rPr>
            </w:pPr>
            <w:r>
              <w:rPr>
                <w:rFonts w:hint="eastAsia" w:ascii="Calibri" w:hAnsi="宋体" w:eastAsia="宋体" w:cs="仿宋"/>
                <w:b/>
                <w:color w:val="C00000"/>
                <w:sz w:val="21"/>
                <w:szCs w:val="21"/>
              </w:rPr>
              <w:t>分项服务方案：</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一、评审内容</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供应商提供针对于本项目的分项服</w:t>
            </w:r>
            <w:r>
              <w:rPr>
                <w:rFonts w:ascii="Calibri" w:hAnsi="宋体" w:eastAsia="宋体"/>
                <w:sz w:val="21"/>
                <w:szCs w:val="21"/>
              </w:rPr>
              <w:t>务方案，方案内容包含：</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①安全保卫方案；</w:t>
            </w:r>
            <w:r>
              <w:rPr>
                <w:rFonts w:ascii="Calibri" w:hAnsi="宋体" w:eastAsia="宋体"/>
                <w:sz w:val="21"/>
                <w:szCs w:val="21"/>
              </w:rPr>
              <w:t xml:space="preserve"> </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②消防值班方案；</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③突发事件处理方案</w:t>
            </w:r>
            <w:r>
              <w:rPr>
                <w:rFonts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④辅助秩序维护方案。</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二、评审标准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1、完整性：方案须详细全面，表述清晰完整，完全满足招标文件要求；</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2、可实施性：切合本项目实际情况，实施步骤清晰、合理；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3、针对性：方案能够紧扣项目实际情况，内容科学合理。</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三、赋分标准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①安全保卫方案：每完全满足一项评审标准得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②消防值班方案：每完全满足一项评审标准得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③突发事件处理方案：每完全满足一项评审标准得</w:t>
            </w:r>
            <w:r>
              <w:rPr>
                <w:rFonts w:ascii="Calibri" w:hAnsi="宋体" w:eastAsia="宋体"/>
                <w:sz w:val="21"/>
                <w:szCs w:val="21"/>
              </w:rPr>
              <w:t>2</w:t>
            </w:r>
            <w:r>
              <w:rPr>
                <w:rFonts w:hint="eastAsia" w:ascii="Calibri" w:hAnsi="宋体" w:eastAsia="宋体"/>
                <w:sz w:val="21"/>
                <w:szCs w:val="21"/>
              </w:rPr>
              <w:t>分，满分</w:t>
            </w:r>
            <w:r>
              <w:rPr>
                <w:rFonts w:ascii="Calibri" w:hAnsi="宋体" w:eastAsia="宋体"/>
                <w:sz w:val="21"/>
                <w:szCs w:val="21"/>
              </w:rPr>
              <w:t>6</w:t>
            </w:r>
            <w:r>
              <w:rPr>
                <w:rFonts w:hint="eastAsia" w:ascii="Calibri" w:hAnsi="宋体" w:eastAsia="宋体"/>
                <w:sz w:val="21"/>
                <w:szCs w:val="21"/>
              </w:rPr>
              <w:t>分；</w:t>
            </w:r>
          </w:p>
          <w:p>
            <w:pPr>
              <w:tabs>
                <w:tab w:val="left" w:pos="547"/>
              </w:tabs>
              <w:spacing w:line="320" w:lineRule="exact"/>
              <w:ind w:firstLine="315" w:firstLineChars="150"/>
              <w:rPr>
                <w:rFonts w:ascii="Calibri" w:hAnsi="宋体" w:eastAsia="宋体" w:cs="宋体"/>
                <w:sz w:val="21"/>
                <w:szCs w:val="21"/>
              </w:rPr>
            </w:pPr>
            <w:r>
              <w:rPr>
                <w:rFonts w:hint="eastAsia" w:ascii="Calibri" w:hAnsi="宋体" w:eastAsia="宋体"/>
                <w:sz w:val="21"/>
                <w:szCs w:val="21"/>
              </w:rPr>
              <w:t>④辅助秩序维护方案：每完全满足一项评审标准得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15</w:t>
            </w:r>
          </w:p>
        </w:tc>
        <w:tc>
          <w:tcPr>
            <w:tcW w:w="5692" w:type="dxa"/>
            <w:tcBorders>
              <w:top w:val="single" w:color="auto" w:sz="2" w:space="0"/>
            </w:tcBorders>
            <w:shd w:val="clear" w:color="auto" w:fill="auto"/>
            <w:vAlign w:val="center"/>
          </w:tcPr>
          <w:p>
            <w:pPr>
              <w:tabs>
                <w:tab w:val="left" w:pos="547"/>
              </w:tabs>
              <w:spacing w:line="320" w:lineRule="exact"/>
              <w:ind w:firstLine="315" w:firstLineChars="150"/>
              <w:rPr>
                <w:rFonts w:ascii="Calibri" w:hAnsi="宋体" w:eastAsia="宋体" w:cs="仿宋"/>
                <w:b/>
                <w:color w:val="C00000"/>
                <w:sz w:val="21"/>
                <w:szCs w:val="21"/>
              </w:rPr>
            </w:pPr>
            <w:r>
              <w:rPr>
                <w:rFonts w:ascii="Calibri" w:hAnsi="宋体" w:eastAsia="宋体" w:cs="仿宋"/>
                <w:b/>
                <w:color w:val="C00000"/>
                <w:sz w:val="21"/>
                <w:szCs w:val="21"/>
              </w:rPr>
              <w:t>管理制度：</w:t>
            </w:r>
          </w:p>
          <w:p>
            <w:pPr>
              <w:tabs>
                <w:tab w:val="left" w:pos="547"/>
              </w:tabs>
              <w:spacing w:line="320" w:lineRule="exact"/>
              <w:ind w:firstLine="315" w:firstLineChars="150"/>
              <w:rPr>
                <w:rFonts w:ascii="Calibri" w:hAnsi="宋体" w:eastAsia="宋体"/>
                <w:b/>
                <w:sz w:val="21"/>
                <w:szCs w:val="21"/>
              </w:rPr>
            </w:pPr>
            <w:r>
              <w:rPr>
                <w:rFonts w:hint="eastAsia" w:ascii="Calibri" w:hAnsi="宋体" w:eastAsia="宋体"/>
                <w:b/>
                <w:sz w:val="21"/>
                <w:szCs w:val="21"/>
              </w:rPr>
              <w:t>一、评审内容</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供应商提供针对本项目的管理制度，方案内容应包含但</w:t>
            </w:r>
            <w:r>
              <w:rPr>
                <w:rFonts w:ascii="Calibri" w:hAnsi="宋体" w:eastAsia="宋体"/>
                <w:sz w:val="21"/>
                <w:szCs w:val="21"/>
              </w:rPr>
              <w:t>不少于</w:t>
            </w:r>
            <w:r>
              <w:rPr>
                <w:rFonts w:hint="eastAsia"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①保安工作制度</w:t>
            </w:r>
            <w:r>
              <w:rPr>
                <w:rFonts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bookmarkStart w:id="24" w:name="OLE_LINK3"/>
            <w:bookmarkStart w:id="25" w:name="OLE_LINK4"/>
            <w:r>
              <w:rPr>
                <w:rFonts w:hint="eastAsia" w:ascii="Calibri" w:hAnsi="宋体" w:eastAsia="宋体"/>
                <w:sz w:val="21"/>
                <w:szCs w:val="21"/>
              </w:rPr>
              <w:t>②巡视检查制度</w:t>
            </w:r>
            <w:bookmarkEnd w:id="24"/>
            <w:bookmarkEnd w:id="25"/>
            <w:r>
              <w:rPr>
                <w:rFonts w:hint="eastAsia"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③交接班制度；</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④安保人员</w:t>
            </w:r>
            <w:r>
              <w:rPr>
                <w:rFonts w:ascii="Calibri" w:hAnsi="宋体" w:eastAsia="宋体"/>
                <w:sz w:val="21"/>
                <w:szCs w:val="21"/>
              </w:rPr>
              <w:t>聘用与解聘制度；</w:t>
            </w:r>
          </w:p>
          <w:p>
            <w:pPr>
              <w:tabs>
                <w:tab w:val="left" w:pos="547"/>
              </w:tabs>
              <w:spacing w:line="320" w:lineRule="exact"/>
              <w:ind w:firstLine="315" w:firstLineChars="150"/>
              <w:rPr>
                <w:rFonts w:ascii="Calibri" w:hAnsi="宋体" w:eastAsia="宋体"/>
                <w:sz w:val="21"/>
                <w:szCs w:val="21"/>
              </w:rPr>
            </w:pPr>
            <w:bookmarkStart w:id="26" w:name="OLE_LINK20"/>
            <w:bookmarkStart w:id="27" w:name="OLE_LINK18"/>
            <w:r>
              <w:rPr>
                <w:rFonts w:hint="eastAsia" w:ascii="Calibri" w:hAnsi="宋体" w:eastAsia="宋体"/>
                <w:sz w:val="21"/>
                <w:szCs w:val="21"/>
              </w:rPr>
              <w:t>⑤岗前培训</w:t>
            </w:r>
            <w:r>
              <w:rPr>
                <w:rFonts w:ascii="Calibri" w:hAnsi="宋体" w:eastAsia="宋体"/>
                <w:sz w:val="21"/>
                <w:szCs w:val="21"/>
              </w:rPr>
              <w:t>制度</w:t>
            </w:r>
            <w:bookmarkEnd w:id="26"/>
            <w:bookmarkEnd w:id="27"/>
            <w:r>
              <w:rPr>
                <w:rFonts w:hint="eastAsia" w:ascii="Calibri" w:hAnsi="宋体" w:eastAsia="宋体"/>
                <w:sz w:val="21"/>
                <w:szCs w:val="21"/>
              </w:rPr>
              <w:t>。</w:t>
            </w:r>
          </w:p>
          <w:p>
            <w:pPr>
              <w:tabs>
                <w:tab w:val="left" w:pos="547"/>
              </w:tabs>
              <w:spacing w:line="320" w:lineRule="exact"/>
              <w:ind w:firstLine="315" w:firstLineChars="150"/>
              <w:rPr>
                <w:rFonts w:ascii="Calibri" w:hAnsi="宋体" w:eastAsia="宋体"/>
                <w:b/>
                <w:sz w:val="21"/>
                <w:szCs w:val="21"/>
              </w:rPr>
            </w:pPr>
            <w:r>
              <w:rPr>
                <w:rFonts w:hint="eastAsia" w:ascii="Calibri" w:hAnsi="宋体" w:eastAsia="宋体"/>
                <w:b/>
                <w:sz w:val="21"/>
                <w:szCs w:val="21"/>
              </w:rPr>
              <w:t>二、评审标准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1、完整性：制度须详细全面，表述清晰完整，完全满足招标文件要求；</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2、可实施性：切合本项目实际情况，实施步骤清晰、合理；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3、针对性：制度能够紧扣项目实际情况，内容科学合理。</w:t>
            </w:r>
          </w:p>
          <w:p>
            <w:pPr>
              <w:tabs>
                <w:tab w:val="left" w:pos="547"/>
              </w:tabs>
              <w:spacing w:line="320" w:lineRule="exact"/>
              <w:ind w:firstLine="315" w:firstLineChars="150"/>
              <w:rPr>
                <w:rFonts w:ascii="Calibri" w:hAnsi="宋体" w:eastAsia="宋体"/>
                <w:b/>
                <w:sz w:val="21"/>
                <w:szCs w:val="21"/>
              </w:rPr>
            </w:pPr>
            <w:r>
              <w:rPr>
                <w:rFonts w:hint="eastAsia" w:ascii="Calibri" w:hAnsi="宋体" w:eastAsia="宋体"/>
                <w:b/>
                <w:sz w:val="21"/>
                <w:szCs w:val="21"/>
              </w:rPr>
              <w:t>三、赋分标准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①保安工作制度：</w:t>
            </w:r>
            <w:bookmarkStart w:id="28" w:name="OLE_LINK21"/>
            <w:bookmarkStart w:id="29" w:name="OLE_LINK31"/>
            <w:bookmarkStart w:id="30" w:name="OLE_LINK30"/>
            <w:r>
              <w:rPr>
                <w:rFonts w:hint="eastAsia" w:ascii="Calibri" w:hAnsi="宋体" w:eastAsia="宋体"/>
                <w:sz w:val="21"/>
                <w:szCs w:val="21"/>
              </w:rPr>
              <w:t>每完全满足一项评审标准得</w:t>
            </w:r>
            <w:bookmarkStart w:id="31" w:name="OLE_LINK35"/>
            <w:bookmarkStart w:id="32" w:name="OLE_LINK34"/>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bookmarkEnd w:id="28"/>
            <w:bookmarkEnd w:id="29"/>
            <w:bookmarkEnd w:id="30"/>
            <w:bookmarkEnd w:id="31"/>
            <w:bookmarkEnd w:id="32"/>
            <w:r>
              <w:rPr>
                <w:rFonts w:hint="eastAsia"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②巡视检查制度：每完全满足一项评审标准得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③交接班制度</w:t>
            </w:r>
            <w:bookmarkStart w:id="33" w:name="OLE_LINK7"/>
            <w:bookmarkStart w:id="34" w:name="OLE_LINK6"/>
            <w:r>
              <w:rPr>
                <w:rFonts w:hint="eastAsia" w:ascii="Calibri" w:hAnsi="宋体" w:eastAsia="宋体"/>
                <w:sz w:val="21"/>
                <w:szCs w:val="21"/>
              </w:rPr>
              <w:t>：每完全满足一项评审标准得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bookmarkEnd w:id="33"/>
          <w:bookmarkEnd w:id="34"/>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④安保人员</w:t>
            </w:r>
            <w:r>
              <w:rPr>
                <w:rFonts w:ascii="Calibri" w:hAnsi="宋体" w:eastAsia="宋体"/>
                <w:sz w:val="21"/>
                <w:szCs w:val="21"/>
              </w:rPr>
              <w:t>聘用与解聘制度</w:t>
            </w:r>
            <w:r>
              <w:rPr>
                <w:rFonts w:hint="eastAsia" w:ascii="Calibri" w:hAnsi="宋体" w:eastAsia="宋体"/>
                <w:sz w:val="21"/>
                <w:szCs w:val="21"/>
              </w:rPr>
              <w:t>：每完全满足一项评审标准得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⑤岗前培训</w:t>
            </w:r>
            <w:r>
              <w:rPr>
                <w:rFonts w:ascii="Calibri" w:hAnsi="宋体" w:eastAsia="宋体"/>
                <w:sz w:val="21"/>
                <w:szCs w:val="21"/>
              </w:rPr>
              <w:t>制度</w:t>
            </w:r>
            <w:r>
              <w:rPr>
                <w:rFonts w:hint="eastAsia" w:ascii="Calibri" w:hAnsi="宋体" w:eastAsia="宋体"/>
                <w:sz w:val="21"/>
                <w:szCs w:val="21"/>
              </w:rPr>
              <w:t>：每完全满足一项评审标准得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51</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28</w:t>
            </w:r>
          </w:p>
        </w:tc>
        <w:tc>
          <w:tcPr>
            <w:tcW w:w="5692" w:type="dxa"/>
            <w:shd w:val="clear" w:color="auto" w:fill="auto"/>
            <w:vAlign w:val="center"/>
          </w:tcPr>
          <w:p>
            <w:pPr>
              <w:tabs>
                <w:tab w:val="left" w:pos="547"/>
              </w:tabs>
              <w:spacing w:line="320" w:lineRule="exact"/>
              <w:ind w:firstLine="315" w:firstLineChars="150"/>
              <w:rPr>
                <w:rFonts w:ascii="Calibri" w:hAnsi="宋体" w:eastAsia="宋体" w:cs="仿宋"/>
                <w:b/>
                <w:color w:val="C00000"/>
                <w:sz w:val="21"/>
                <w:szCs w:val="21"/>
              </w:rPr>
            </w:pPr>
            <w:r>
              <w:rPr>
                <w:rFonts w:ascii="Calibri" w:hAnsi="宋体" w:eastAsia="宋体" w:cs="仿宋"/>
                <w:b/>
                <w:color w:val="C00000"/>
                <w:sz w:val="21"/>
                <w:szCs w:val="21"/>
              </w:rPr>
              <w:t>人员配置</w:t>
            </w:r>
            <w:r>
              <w:rPr>
                <w:rFonts w:hint="eastAsia" w:ascii="Calibri" w:hAnsi="宋体" w:eastAsia="宋体" w:cs="仿宋"/>
                <w:b/>
                <w:color w:val="C00000"/>
                <w:sz w:val="21"/>
                <w:szCs w:val="21"/>
              </w:rPr>
              <w:t>：</w:t>
            </w:r>
          </w:p>
          <w:p>
            <w:pPr>
              <w:tabs>
                <w:tab w:val="left" w:pos="547"/>
              </w:tabs>
              <w:spacing w:line="320" w:lineRule="exact"/>
              <w:ind w:firstLine="315" w:firstLineChars="150"/>
              <w:rPr>
                <w:rFonts w:cs="宋体"/>
                <w:b/>
                <w:sz w:val="21"/>
                <w:szCs w:val="21"/>
              </w:rPr>
            </w:pPr>
            <w:r>
              <w:rPr>
                <w:rFonts w:hint="eastAsia" w:cs="宋体"/>
                <w:b/>
                <w:sz w:val="21"/>
                <w:szCs w:val="21"/>
              </w:rPr>
              <w:t>一</w:t>
            </w:r>
            <w:r>
              <w:rPr>
                <w:rFonts w:cs="宋体"/>
                <w:b/>
                <w:sz w:val="21"/>
                <w:szCs w:val="21"/>
              </w:rPr>
              <w:t>、</w:t>
            </w:r>
            <w:r>
              <w:rPr>
                <w:rFonts w:hint="eastAsia" w:cs="宋体"/>
                <w:b/>
                <w:sz w:val="21"/>
                <w:szCs w:val="21"/>
              </w:rPr>
              <w:t>项目经理及保安队长：</w:t>
            </w:r>
            <w:bookmarkStart w:id="35" w:name="OLE_LINK41"/>
            <w:bookmarkStart w:id="36" w:name="OLE_LINK40"/>
            <w:r>
              <w:rPr>
                <w:rFonts w:hint="eastAsia" w:cs="宋体"/>
                <w:b/>
                <w:sz w:val="21"/>
                <w:szCs w:val="21"/>
              </w:rPr>
              <w:t>（满分</w:t>
            </w:r>
            <w:r>
              <w:rPr>
                <w:rFonts w:cs="宋体"/>
                <w:b/>
                <w:sz w:val="21"/>
                <w:szCs w:val="21"/>
              </w:rPr>
              <w:t>12分）</w:t>
            </w:r>
          </w:p>
          <w:bookmarkEnd w:id="35"/>
          <w:bookmarkEnd w:id="36"/>
          <w:p>
            <w:pPr>
              <w:tabs>
                <w:tab w:val="left" w:pos="547"/>
              </w:tabs>
              <w:spacing w:line="320" w:lineRule="exact"/>
              <w:ind w:firstLine="315" w:firstLineChars="150"/>
              <w:rPr>
                <w:rFonts w:ascii="Calibri" w:hAnsi="宋体" w:eastAsia="宋体"/>
                <w:sz w:val="21"/>
                <w:szCs w:val="21"/>
              </w:rPr>
            </w:pPr>
            <w:bookmarkStart w:id="37" w:name="OLE_LINK11"/>
            <w:bookmarkStart w:id="38" w:name="OLE_LINK9"/>
            <w:r>
              <w:rPr>
                <w:rFonts w:hint="eastAsia" w:ascii="Calibri" w:hAnsi="宋体" w:eastAsia="宋体"/>
                <w:sz w:val="21"/>
                <w:szCs w:val="21"/>
              </w:rPr>
              <w:t>拟派项目经理 1名，保安队长1名，2人</w:t>
            </w:r>
            <w:r>
              <w:rPr>
                <w:rFonts w:ascii="Calibri" w:hAnsi="宋体" w:eastAsia="宋体"/>
                <w:sz w:val="21"/>
                <w:szCs w:val="21"/>
              </w:rPr>
              <w:t>均需满足</w:t>
            </w:r>
            <w:r>
              <w:rPr>
                <w:rFonts w:hint="eastAsia" w:ascii="Calibri" w:hAnsi="宋体" w:eastAsia="宋体"/>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①年龄 45 周岁（含）以下，具有专科及以上学历，提供身份证扫描件、学历证明扫描件，得4分。未提供、</w:t>
            </w:r>
            <w:r>
              <w:rPr>
                <w:rFonts w:ascii="Calibri" w:hAnsi="宋体" w:eastAsia="宋体"/>
                <w:sz w:val="21"/>
                <w:szCs w:val="21"/>
              </w:rPr>
              <w:t>提供</w:t>
            </w:r>
            <w:r>
              <w:rPr>
                <w:rFonts w:hint="eastAsia" w:ascii="Calibri" w:hAnsi="宋体" w:eastAsia="宋体"/>
                <w:sz w:val="21"/>
                <w:szCs w:val="21"/>
              </w:rPr>
              <w:t>不全或不满足本项要求不得分；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②具有5年及以上安保服务管理层经验，提供</w:t>
            </w:r>
            <w:r>
              <w:rPr>
                <w:rFonts w:ascii="Calibri" w:hAnsi="宋体" w:eastAsia="宋体"/>
                <w:sz w:val="21"/>
                <w:szCs w:val="21"/>
              </w:rPr>
              <w:t>被服务单位加盖公章的证明材料</w:t>
            </w:r>
            <w:r>
              <w:rPr>
                <w:rFonts w:hint="eastAsia" w:ascii="Calibri" w:hAnsi="宋体" w:eastAsia="宋体"/>
                <w:sz w:val="21"/>
                <w:szCs w:val="21"/>
              </w:rPr>
              <w:t>，得</w:t>
            </w:r>
            <w:r>
              <w:rPr>
                <w:rFonts w:ascii="Calibri" w:hAnsi="宋体" w:eastAsia="宋体"/>
                <w:sz w:val="21"/>
                <w:szCs w:val="21"/>
              </w:rPr>
              <w:t>4</w:t>
            </w:r>
            <w:r>
              <w:rPr>
                <w:rFonts w:hint="eastAsia" w:ascii="Calibri" w:hAnsi="宋体" w:eastAsia="宋体"/>
                <w:sz w:val="21"/>
                <w:szCs w:val="21"/>
              </w:rPr>
              <w:t>分。未提供、</w:t>
            </w:r>
            <w:r>
              <w:rPr>
                <w:rFonts w:ascii="Calibri" w:hAnsi="宋体" w:eastAsia="宋体"/>
                <w:sz w:val="21"/>
                <w:szCs w:val="21"/>
              </w:rPr>
              <w:t>提供</w:t>
            </w:r>
            <w:r>
              <w:rPr>
                <w:rFonts w:hint="eastAsia" w:ascii="Calibri" w:hAnsi="宋体" w:eastAsia="宋体"/>
                <w:sz w:val="21"/>
                <w:szCs w:val="21"/>
              </w:rPr>
              <w:t>不全或不满足本项要求不得分；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③具有退伍军人证或军警</w:t>
            </w:r>
            <w:r>
              <w:rPr>
                <w:rFonts w:ascii="Calibri" w:hAnsi="宋体" w:eastAsia="宋体"/>
                <w:sz w:val="21"/>
                <w:szCs w:val="21"/>
              </w:rPr>
              <w:t>院校学历证书，</w:t>
            </w:r>
            <w:bookmarkStart w:id="39" w:name="OLE_LINK14"/>
            <w:bookmarkStart w:id="40" w:name="OLE_LINK15"/>
            <w:r>
              <w:rPr>
                <w:rFonts w:hint="eastAsia" w:ascii="Calibri" w:hAnsi="宋体" w:eastAsia="宋体"/>
                <w:sz w:val="21"/>
                <w:szCs w:val="21"/>
              </w:rPr>
              <w:t>提供退伍军人证扫描件</w:t>
            </w:r>
            <w:r>
              <w:rPr>
                <w:rFonts w:ascii="Calibri" w:hAnsi="宋体" w:eastAsia="宋体"/>
                <w:sz w:val="21"/>
                <w:szCs w:val="21"/>
              </w:rPr>
              <w:t>或学历证书</w:t>
            </w:r>
            <w:r>
              <w:rPr>
                <w:rFonts w:hint="eastAsia" w:ascii="Calibri" w:hAnsi="宋体" w:eastAsia="宋体"/>
                <w:sz w:val="21"/>
                <w:szCs w:val="21"/>
              </w:rPr>
              <w:t>扫描件</w:t>
            </w:r>
            <w:bookmarkEnd w:id="39"/>
            <w:bookmarkEnd w:id="40"/>
            <w:r>
              <w:rPr>
                <w:rFonts w:hint="eastAsia" w:ascii="Calibri" w:hAnsi="宋体" w:eastAsia="宋体"/>
                <w:sz w:val="21"/>
                <w:szCs w:val="21"/>
              </w:rPr>
              <w:t>，得</w:t>
            </w:r>
            <w:r>
              <w:rPr>
                <w:rFonts w:ascii="Calibri" w:hAnsi="宋体" w:eastAsia="宋体"/>
                <w:sz w:val="21"/>
                <w:szCs w:val="21"/>
              </w:rPr>
              <w:t>4</w:t>
            </w:r>
            <w:r>
              <w:rPr>
                <w:rFonts w:hint="eastAsia" w:ascii="Calibri" w:hAnsi="宋体" w:eastAsia="宋体"/>
                <w:sz w:val="21"/>
                <w:szCs w:val="21"/>
              </w:rPr>
              <w:t>分。未提供、</w:t>
            </w:r>
            <w:r>
              <w:rPr>
                <w:rFonts w:ascii="Calibri" w:hAnsi="宋体" w:eastAsia="宋体"/>
                <w:sz w:val="21"/>
                <w:szCs w:val="21"/>
              </w:rPr>
              <w:t>提供</w:t>
            </w:r>
            <w:r>
              <w:rPr>
                <w:rFonts w:hint="eastAsia" w:ascii="Calibri" w:hAnsi="宋体" w:eastAsia="宋体"/>
                <w:sz w:val="21"/>
                <w:szCs w:val="21"/>
              </w:rPr>
              <w:t>不全或不满足本项要求不得分；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注</w:t>
            </w:r>
            <w:r>
              <w:rPr>
                <w:rFonts w:ascii="Calibri" w:hAnsi="宋体" w:eastAsia="宋体"/>
                <w:sz w:val="21"/>
                <w:szCs w:val="21"/>
              </w:rPr>
              <w:t>：</w:t>
            </w:r>
            <w:r>
              <w:rPr>
                <w:rFonts w:hint="eastAsia" w:ascii="Calibri" w:hAnsi="宋体" w:eastAsia="宋体"/>
                <w:sz w:val="21"/>
                <w:szCs w:val="21"/>
              </w:rPr>
              <w:t>以上须</w:t>
            </w:r>
            <w:r>
              <w:rPr>
                <w:rFonts w:ascii="Calibri" w:hAnsi="宋体" w:eastAsia="宋体"/>
                <w:sz w:val="21"/>
                <w:szCs w:val="21"/>
              </w:rPr>
              <w:t>同时提供供应商</w:t>
            </w:r>
            <w:r>
              <w:rPr>
                <w:rFonts w:hint="eastAsia" w:ascii="Calibri" w:hAnsi="宋体" w:eastAsia="宋体"/>
                <w:sz w:val="21"/>
                <w:szCs w:val="21"/>
              </w:rPr>
              <w:t>为其缴纳的自2025年1月以来连续3个月的社保证明。不满足或缺项不得分。</w:t>
            </w:r>
          </w:p>
          <w:bookmarkEnd w:id="37"/>
          <w:p>
            <w:pPr>
              <w:tabs>
                <w:tab w:val="left" w:pos="547"/>
              </w:tabs>
              <w:spacing w:line="320" w:lineRule="exact"/>
              <w:ind w:firstLine="420" w:firstLineChars="200"/>
              <w:rPr>
                <w:rFonts w:cs="宋体"/>
                <w:b/>
                <w:sz w:val="21"/>
                <w:szCs w:val="21"/>
              </w:rPr>
            </w:pPr>
            <w:r>
              <w:rPr>
                <w:rFonts w:hint="eastAsia" w:cs="宋体"/>
                <w:b/>
                <w:sz w:val="21"/>
                <w:szCs w:val="21"/>
              </w:rPr>
              <w:t>二</w:t>
            </w:r>
            <w:r>
              <w:rPr>
                <w:rFonts w:cs="宋体"/>
                <w:b/>
                <w:sz w:val="21"/>
                <w:szCs w:val="21"/>
              </w:rPr>
              <w:t>、</w:t>
            </w:r>
            <w:r>
              <w:rPr>
                <w:rFonts w:hint="eastAsia" w:cs="宋体"/>
                <w:b/>
                <w:sz w:val="21"/>
                <w:szCs w:val="21"/>
              </w:rPr>
              <w:t>应急处置队伍：（满分10</w:t>
            </w:r>
            <w:r>
              <w:rPr>
                <w:rFonts w:cs="宋体"/>
                <w:b/>
                <w:sz w:val="21"/>
                <w:szCs w:val="21"/>
              </w:rPr>
              <w:t>分）</w:t>
            </w:r>
          </w:p>
          <w:p>
            <w:pPr>
              <w:tabs>
                <w:tab w:val="left" w:pos="547"/>
              </w:tabs>
              <w:spacing w:line="320" w:lineRule="exact"/>
              <w:ind w:firstLine="315" w:firstLineChars="150"/>
              <w:rPr>
                <w:rFonts w:ascii="Calibri" w:hAnsi="宋体" w:eastAsia="宋体"/>
                <w:sz w:val="21"/>
                <w:szCs w:val="21"/>
              </w:rPr>
            </w:pPr>
            <w:bookmarkStart w:id="41" w:name="OLE_LINK43"/>
            <w:bookmarkStart w:id="42" w:name="OLE_LINK42"/>
            <w:r>
              <w:rPr>
                <w:rFonts w:hint="eastAsia" w:ascii="Calibri" w:hAnsi="宋体" w:eastAsia="宋体"/>
                <w:sz w:val="21"/>
                <w:szCs w:val="21"/>
              </w:rPr>
              <w:t>拟派应急处置队伍大于</w:t>
            </w:r>
            <w:r>
              <w:rPr>
                <w:rFonts w:ascii="Calibri" w:hAnsi="宋体" w:eastAsia="宋体"/>
                <w:sz w:val="21"/>
                <w:szCs w:val="21"/>
              </w:rPr>
              <w:t>等于</w:t>
            </w:r>
            <w:r>
              <w:rPr>
                <w:rFonts w:hint="eastAsia" w:ascii="Calibri" w:hAnsi="宋体" w:eastAsia="宋体"/>
                <w:sz w:val="21"/>
                <w:szCs w:val="21"/>
              </w:rPr>
              <w:t>5人，每</w:t>
            </w:r>
            <w:r>
              <w:rPr>
                <w:rFonts w:ascii="Calibri" w:hAnsi="宋体" w:eastAsia="宋体"/>
                <w:sz w:val="21"/>
                <w:szCs w:val="21"/>
              </w:rPr>
              <w:t>提供</w:t>
            </w:r>
            <w:r>
              <w:rPr>
                <w:rFonts w:hint="eastAsia" w:ascii="Calibri" w:hAnsi="宋体" w:eastAsia="宋体"/>
                <w:sz w:val="21"/>
                <w:szCs w:val="21"/>
              </w:rPr>
              <w:t>一个退伍军人证扫描件或军警</w:t>
            </w:r>
            <w:r>
              <w:rPr>
                <w:rFonts w:ascii="Calibri" w:hAnsi="宋体" w:eastAsia="宋体"/>
                <w:sz w:val="21"/>
                <w:szCs w:val="21"/>
              </w:rPr>
              <w:t>院校学历证书</w:t>
            </w:r>
            <w:r>
              <w:rPr>
                <w:rFonts w:hint="eastAsia" w:ascii="Calibri" w:hAnsi="宋体" w:eastAsia="宋体"/>
                <w:sz w:val="21"/>
                <w:szCs w:val="21"/>
              </w:rPr>
              <w:t>扫描件，</w:t>
            </w:r>
            <w:r>
              <w:rPr>
                <w:rFonts w:ascii="Calibri" w:hAnsi="宋体" w:eastAsia="宋体"/>
                <w:sz w:val="21"/>
                <w:szCs w:val="21"/>
              </w:rPr>
              <w:t>得</w:t>
            </w:r>
            <w:r>
              <w:rPr>
                <w:rFonts w:hint="eastAsia" w:ascii="Calibri" w:hAnsi="宋体" w:eastAsia="宋体"/>
                <w:sz w:val="21"/>
                <w:szCs w:val="21"/>
              </w:rPr>
              <w:t>2分</w:t>
            </w:r>
            <w:r>
              <w:rPr>
                <w:rFonts w:ascii="Calibri" w:hAnsi="宋体" w:eastAsia="宋体"/>
                <w:sz w:val="21"/>
                <w:szCs w:val="21"/>
              </w:rPr>
              <w:t>，满分10</w:t>
            </w:r>
            <w:r>
              <w:rPr>
                <w:rFonts w:hint="eastAsia" w:ascii="Calibri" w:hAnsi="宋体" w:eastAsia="宋体"/>
                <w:sz w:val="21"/>
                <w:szCs w:val="21"/>
              </w:rPr>
              <w:t>分。未提供</w:t>
            </w:r>
            <w:r>
              <w:rPr>
                <w:rFonts w:ascii="Calibri" w:hAnsi="宋体" w:eastAsia="宋体"/>
                <w:sz w:val="21"/>
                <w:szCs w:val="21"/>
              </w:rPr>
              <w:t>或不满足</w:t>
            </w:r>
            <w:r>
              <w:rPr>
                <w:rFonts w:hint="eastAsia" w:ascii="Calibri" w:hAnsi="宋体" w:eastAsia="宋体"/>
                <w:sz w:val="21"/>
                <w:szCs w:val="21"/>
              </w:rPr>
              <w:t>本项要求不得分。</w:t>
            </w:r>
            <w:bookmarkEnd w:id="38"/>
            <w:bookmarkEnd w:id="41"/>
            <w:bookmarkEnd w:id="42"/>
          </w:p>
          <w:p>
            <w:pPr>
              <w:tabs>
                <w:tab w:val="left" w:pos="547"/>
              </w:tabs>
              <w:spacing w:line="320" w:lineRule="exact"/>
              <w:ind w:firstLine="420" w:firstLineChars="200"/>
              <w:rPr>
                <w:rFonts w:cs="宋体"/>
                <w:b/>
                <w:sz w:val="21"/>
                <w:szCs w:val="21"/>
              </w:rPr>
            </w:pPr>
            <w:r>
              <w:rPr>
                <w:rFonts w:hint="eastAsia" w:ascii="Calibri" w:hAnsi="宋体" w:eastAsia="宋体" w:cs="仿宋"/>
                <w:b/>
                <w:sz w:val="21"/>
                <w:szCs w:val="21"/>
              </w:rPr>
              <w:t>三、人员配置方案：</w:t>
            </w:r>
            <w:r>
              <w:rPr>
                <w:rFonts w:hint="eastAsia" w:cs="宋体"/>
                <w:b/>
                <w:sz w:val="21"/>
                <w:szCs w:val="21"/>
              </w:rPr>
              <w:t>（满分</w:t>
            </w:r>
            <w:r>
              <w:rPr>
                <w:rFonts w:cs="宋体"/>
                <w:b/>
                <w:sz w:val="21"/>
                <w:szCs w:val="21"/>
              </w:rPr>
              <w:t>6</w:t>
            </w:r>
            <w:r>
              <w:rPr>
                <w:rFonts w:hint="eastAsia" w:cs="宋体"/>
                <w:b/>
                <w:sz w:val="21"/>
                <w:szCs w:val="21"/>
              </w:rPr>
              <w:t>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（一）评审内容</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针对本项目提供人员配备情况，包括管理组织机构架构、员工素质标准（包括不限于服务人员的年龄/学历/专业资格/职称等）。（以投标方案中《</w:t>
            </w:r>
            <w:r>
              <w:rPr>
                <w:rFonts w:ascii="Calibri" w:hAnsi="宋体" w:eastAsia="宋体"/>
                <w:sz w:val="21"/>
                <w:szCs w:val="21"/>
              </w:rPr>
              <w:t>拟派项目团队人员情况表</w:t>
            </w:r>
            <w:r>
              <w:rPr>
                <w:rFonts w:hint="eastAsia" w:ascii="Calibri" w:hAnsi="宋体" w:eastAsia="宋体"/>
                <w:sz w:val="21"/>
                <w:szCs w:val="21"/>
              </w:rPr>
              <w:t>》为依据）</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（二）评审标准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1、完整性：组织机构的运行配备完善、各岗位人员分工明确合理。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2、针对性：人员数量充足，人员资格/年龄等符合采购需求；</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3、专业性：人员相关岗位经验丰富，切合本项目实际情况。</w:t>
            </w:r>
          </w:p>
          <w:p>
            <w:pPr>
              <w:tabs>
                <w:tab w:val="left" w:pos="547"/>
              </w:tabs>
              <w:spacing w:line="320" w:lineRule="exact"/>
              <w:ind w:firstLine="315" w:firstLineChars="150"/>
              <w:rPr>
                <w:rFonts w:ascii="Calibri" w:hAnsi="宋体" w:eastAsia="宋体"/>
                <w:sz w:val="21"/>
              </w:rPr>
            </w:pPr>
            <w:r>
              <w:rPr>
                <w:rFonts w:hint="eastAsia" w:ascii="Calibri" w:hAnsi="宋体" w:eastAsia="宋体"/>
                <w:sz w:val="21"/>
                <w:szCs w:val="21"/>
              </w:rPr>
              <w:t>（三）赋分标准每完全满足一项评审标准得</w:t>
            </w:r>
            <w:r>
              <w:rPr>
                <w:rFonts w:ascii="Calibri" w:hAnsi="宋体" w:eastAsia="宋体"/>
                <w:sz w:val="21"/>
                <w:szCs w:val="21"/>
              </w:rPr>
              <w:t>2</w:t>
            </w:r>
            <w:r>
              <w:rPr>
                <w:rFonts w:hint="eastAsia" w:ascii="Calibri" w:hAnsi="宋体" w:eastAsia="宋体"/>
                <w:sz w:val="21"/>
                <w:szCs w:val="21"/>
              </w:rPr>
              <w:t>分，满分</w:t>
            </w:r>
            <w:r>
              <w:rPr>
                <w:rFonts w:ascii="Calibri" w:hAnsi="宋体" w:eastAsia="宋体"/>
                <w:sz w:val="21"/>
                <w:szCs w:val="21"/>
              </w:rPr>
              <w:t>6</w:t>
            </w:r>
            <w:r>
              <w:rPr>
                <w:rFonts w:hint="eastAsia" w:ascii="Calibri" w:hAnsi="宋体" w:eastAsia="宋体"/>
                <w:sz w:val="21"/>
                <w:szCs w:val="21"/>
              </w:rPr>
              <w:t>分。</w:t>
            </w:r>
          </w:p>
        </w:tc>
        <w:tc>
          <w:tcPr>
            <w:tcW w:w="1535" w:type="dxa"/>
            <w:vMerge w:val="restart"/>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692" w:type="dxa"/>
            <w:shd w:val="clear" w:color="auto" w:fill="auto"/>
            <w:vAlign w:val="center"/>
          </w:tcPr>
          <w:p>
            <w:pPr>
              <w:tabs>
                <w:tab w:val="left" w:pos="547"/>
              </w:tabs>
              <w:spacing w:line="320" w:lineRule="exact"/>
              <w:ind w:firstLine="315" w:firstLineChars="150"/>
              <w:rPr>
                <w:rFonts w:ascii="Calibri" w:hAnsi="宋体" w:eastAsia="宋体" w:cs="仿宋"/>
                <w:b/>
                <w:color w:val="C00000"/>
                <w:sz w:val="21"/>
                <w:szCs w:val="21"/>
              </w:rPr>
            </w:pPr>
            <w:bookmarkStart w:id="43" w:name="OLE_LINK36"/>
            <w:bookmarkStart w:id="44" w:name="OLE_LINK37"/>
            <w:r>
              <w:rPr>
                <w:rFonts w:hint="eastAsia" w:ascii="Calibri" w:hAnsi="宋体" w:eastAsia="宋体" w:cs="仿宋"/>
                <w:b/>
                <w:color w:val="C00000"/>
                <w:sz w:val="21"/>
                <w:szCs w:val="21"/>
              </w:rPr>
              <w:t>安保用具情况</w:t>
            </w:r>
            <w:bookmarkEnd w:id="43"/>
            <w:bookmarkEnd w:id="44"/>
            <w:r>
              <w:rPr>
                <w:rFonts w:hint="eastAsia" w:ascii="Calibri" w:hAnsi="宋体" w:eastAsia="宋体" w:cs="仿宋"/>
                <w:b/>
                <w:color w:val="C00000"/>
                <w:sz w:val="21"/>
                <w:szCs w:val="21"/>
              </w:rPr>
              <w:t>：</w:t>
            </w:r>
          </w:p>
          <w:p>
            <w:pPr>
              <w:tabs>
                <w:tab w:val="left" w:pos="547"/>
              </w:tabs>
              <w:spacing w:line="320" w:lineRule="exact"/>
              <w:ind w:firstLine="315" w:firstLineChars="150"/>
              <w:rPr>
                <w:rFonts w:ascii="Calibri" w:hAnsi="宋体" w:eastAsia="宋体" w:cs="仿宋"/>
                <w:b/>
                <w:sz w:val="21"/>
                <w:szCs w:val="21"/>
              </w:rPr>
            </w:pPr>
            <w:bookmarkStart w:id="45" w:name="OLE_LINK8"/>
            <w:bookmarkStart w:id="46" w:name="OLE_LINK10"/>
            <w:r>
              <w:rPr>
                <w:rFonts w:hint="eastAsia" w:ascii="Calibri" w:hAnsi="宋体" w:eastAsia="宋体" w:cs="仿宋"/>
                <w:b/>
                <w:sz w:val="21"/>
                <w:szCs w:val="21"/>
              </w:rPr>
              <w:t>一、评审内容</w:t>
            </w:r>
          </w:p>
          <w:bookmarkEnd w:id="45"/>
          <w:bookmarkEnd w:id="46"/>
          <w:p>
            <w:pPr>
              <w:tabs>
                <w:tab w:val="left" w:pos="547"/>
              </w:tabs>
              <w:spacing w:line="320" w:lineRule="exact"/>
              <w:ind w:firstLine="315" w:firstLineChars="150"/>
              <w:rPr>
                <w:rFonts w:ascii="Calibri" w:hAnsi="宋体" w:eastAsia="宋体" w:cs="仿宋"/>
                <w:sz w:val="21"/>
                <w:szCs w:val="21"/>
              </w:rPr>
            </w:pPr>
            <w:r>
              <w:rPr>
                <w:rFonts w:hint="eastAsia" w:ascii="Calibri" w:hAnsi="宋体" w:eastAsia="宋体" w:cs="仿宋"/>
                <w:sz w:val="21"/>
                <w:szCs w:val="21"/>
              </w:rPr>
              <w:t>供应商针对本项目特点提供装备配置清单，内容包含：安保用具、</w:t>
            </w:r>
            <w:r>
              <w:rPr>
                <w:rFonts w:ascii="Calibri" w:hAnsi="宋体" w:eastAsia="宋体" w:cs="仿宋"/>
                <w:sz w:val="21"/>
                <w:szCs w:val="21"/>
              </w:rPr>
              <w:t>辅助设备</w:t>
            </w:r>
            <w:r>
              <w:rPr>
                <w:rFonts w:hint="eastAsia" w:ascii="Calibri" w:hAnsi="宋体" w:eastAsia="宋体" w:cs="仿宋"/>
                <w:sz w:val="21"/>
                <w:szCs w:val="21"/>
              </w:rPr>
              <w:t>等。</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二、评审标准</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1、齐全程度：工具配置清单齐全详细，能完全满足招标文件要求；</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2、实用性：设备工具质量有保障、使用率高、安全性能强；</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3、针对性：设备工具能紧扣项目实际情况，配置合理科学。</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三、赋分标准（满分6分）</w:t>
            </w:r>
          </w:p>
          <w:p>
            <w:pPr>
              <w:tabs>
                <w:tab w:val="left" w:pos="547"/>
              </w:tabs>
              <w:spacing w:line="320" w:lineRule="exact"/>
              <w:ind w:firstLine="315" w:firstLineChars="150"/>
              <w:rPr>
                <w:rFonts w:ascii="Calibri" w:hAnsi="宋体" w:eastAsia="宋体" w:cs="仿宋"/>
                <w:sz w:val="21"/>
                <w:szCs w:val="21"/>
              </w:rPr>
            </w:pPr>
            <w:bookmarkStart w:id="47" w:name="OLE_LINK12"/>
            <w:bookmarkStart w:id="48" w:name="OLE_LINK13"/>
            <w:r>
              <w:rPr>
                <w:rFonts w:hint="eastAsia" w:cs="宋体"/>
                <w:sz w:val="21"/>
                <w:szCs w:val="21"/>
              </w:rPr>
              <w:t>每完全满足一项评审标准得2分，满分6分</w:t>
            </w:r>
            <w:r>
              <w:rPr>
                <w:rFonts w:ascii="Calibri" w:hAnsi="宋体" w:eastAsia="宋体" w:cs="仿宋"/>
                <w:sz w:val="21"/>
                <w:szCs w:val="21"/>
              </w:rPr>
              <w:t>。</w:t>
            </w:r>
            <w:bookmarkEnd w:id="47"/>
            <w:bookmarkEnd w:id="48"/>
          </w:p>
          <w:p>
            <w:pPr>
              <w:tabs>
                <w:tab w:val="left" w:pos="547"/>
              </w:tabs>
              <w:spacing w:line="320" w:lineRule="exact"/>
              <w:ind w:firstLine="315" w:firstLineChars="150"/>
              <w:rPr>
                <w:rFonts w:ascii="Calibri" w:hAnsi="宋体" w:eastAsia="宋体" w:cs="仿宋"/>
                <w:sz w:val="21"/>
                <w:szCs w:val="21"/>
              </w:rPr>
            </w:pPr>
            <w:r>
              <w:rPr>
                <w:rFonts w:hint="eastAsia" w:ascii="Calibri" w:hAnsi="宋体" w:eastAsia="宋体" w:cs="仿宋"/>
                <w:b/>
                <w:color w:val="C00000"/>
                <w:sz w:val="21"/>
                <w:szCs w:val="21"/>
              </w:rPr>
              <w:t>注</w:t>
            </w:r>
            <w:r>
              <w:rPr>
                <w:rFonts w:hint="eastAsia" w:ascii="Calibri" w:hAnsi="宋体" w:eastAsia="宋体" w:cs="仿宋"/>
                <w:sz w:val="21"/>
                <w:szCs w:val="21"/>
              </w:rPr>
              <w:t>：1、供应商提供详细的安保器械及执勤装备清单（包含但不限于品牌、规格、数量、用途、生产厂家、已服役年限等。）属于自购的附发票复印件，属于租借的附相关证明材料</w:t>
            </w:r>
            <w:r>
              <w:rPr>
                <w:rFonts w:hint="eastAsia"/>
                <w:sz w:val="21"/>
                <w:szCs w:val="21"/>
              </w:rPr>
              <w:t>。</w:t>
            </w:r>
          </w:p>
          <w:p>
            <w:pPr>
              <w:spacing w:line="400" w:lineRule="exact"/>
              <w:ind w:firstLine="420" w:firstLineChars="200"/>
              <w:jc w:val="both"/>
              <w:rPr>
                <w:rFonts w:ascii="Calibri" w:hAnsi="宋体" w:eastAsia="宋体"/>
                <w:sz w:val="21"/>
              </w:rPr>
            </w:pPr>
            <w:r>
              <w:rPr>
                <w:rFonts w:hint="eastAsia" w:ascii="Calibri" w:hAnsi="宋体" w:eastAsia="宋体" w:cs="仿宋"/>
                <w:sz w:val="21"/>
                <w:szCs w:val="21"/>
              </w:rPr>
              <w:t>2、装备物资少于“第三章　招标内容及要求”里装备物资清单数量要求，不得分。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3</w:t>
            </w:r>
          </w:p>
        </w:tc>
        <w:tc>
          <w:tcPr>
            <w:tcW w:w="5692" w:type="dxa"/>
            <w:shd w:val="clear" w:color="auto" w:fill="auto"/>
            <w:vAlign w:val="center"/>
          </w:tcPr>
          <w:p>
            <w:pPr>
              <w:tabs>
                <w:tab w:val="left" w:pos="547"/>
              </w:tabs>
              <w:spacing w:line="320" w:lineRule="exact"/>
              <w:ind w:firstLine="420" w:firstLineChars="200"/>
              <w:rPr>
                <w:rFonts w:hAnsi="宋体" w:eastAsia="宋体"/>
                <w:b/>
                <w:bCs/>
                <w:color w:val="C00000"/>
                <w:sz w:val="21"/>
                <w:szCs w:val="21"/>
              </w:rPr>
            </w:pPr>
            <w:r>
              <w:rPr>
                <w:rFonts w:hint="eastAsia" w:hAnsi="宋体" w:eastAsia="宋体"/>
                <w:b/>
                <w:bCs/>
                <w:color w:val="C00000"/>
                <w:sz w:val="21"/>
                <w:szCs w:val="21"/>
              </w:rPr>
              <w:t>特色化服务方案：</w:t>
            </w:r>
          </w:p>
          <w:p>
            <w:pPr>
              <w:tabs>
                <w:tab w:val="left" w:pos="547"/>
              </w:tabs>
              <w:spacing w:line="320" w:lineRule="exact"/>
              <w:ind w:firstLine="315" w:firstLineChars="150"/>
              <w:rPr>
                <w:rFonts w:ascii="Calibri" w:hAnsi="宋体" w:eastAsia="宋体" w:cs="仿宋"/>
                <w:b/>
                <w:sz w:val="21"/>
                <w:szCs w:val="21"/>
              </w:rPr>
            </w:pPr>
            <w:r>
              <w:rPr>
                <w:rFonts w:hint="eastAsia" w:ascii="Calibri" w:hAnsi="宋体" w:eastAsia="宋体" w:cs="仿宋"/>
                <w:b/>
                <w:sz w:val="21"/>
                <w:szCs w:val="21"/>
              </w:rPr>
              <w:t>一、评审内容</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供应商提供适用于采购人情况特点的特色化</w:t>
            </w:r>
            <w:r>
              <w:rPr>
                <w:rFonts w:ascii="Calibri" w:hAnsi="宋体" w:eastAsia="宋体"/>
                <w:sz w:val="21"/>
                <w:szCs w:val="21"/>
              </w:rPr>
              <w:t>服务方案，</w:t>
            </w:r>
            <w:r>
              <w:rPr>
                <w:rFonts w:hint="eastAsia" w:ascii="Calibri" w:hAnsi="宋体" w:eastAsia="宋体"/>
                <w:sz w:val="21"/>
                <w:szCs w:val="21"/>
              </w:rPr>
              <w:t>服务内容详细、便于实施、针对性强且能提升服务水平。</w:t>
            </w:r>
          </w:p>
          <w:p>
            <w:pPr>
              <w:tabs>
                <w:tab w:val="left" w:pos="547"/>
              </w:tabs>
              <w:spacing w:line="320" w:lineRule="exact"/>
              <w:ind w:firstLine="315" w:firstLineChars="150"/>
              <w:rPr>
                <w:rFonts w:ascii="Calibri" w:hAnsi="宋体" w:eastAsia="宋体"/>
                <w:b/>
                <w:sz w:val="21"/>
                <w:szCs w:val="21"/>
              </w:rPr>
            </w:pPr>
            <w:r>
              <w:rPr>
                <w:rFonts w:hint="eastAsia" w:ascii="Calibri" w:hAnsi="宋体" w:eastAsia="宋体"/>
                <w:b/>
                <w:sz w:val="21"/>
                <w:szCs w:val="21"/>
              </w:rPr>
              <w:t>二、评审标准</w:t>
            </w:r>
          </w:p>
          <w:p>
            <w:pPr>
              <w:tabs>
                <w:tab w:val="left" w:pos="547"/>
              </w:tabs>
              <w:spacing w:line="320" w:lineRule="exact"/>
              <w:ind w:firstLine="315" w:firstLineChars="150"/>
              <w:rPr>
                <w:rFonts w:ascii="Calibri" w:hAnsi="宋体" w:eastAsia="宋体"/>
                <w:sz w:val="21"/>
                <w:szCs w:val="21"/>
              </w:rPr>
            </w:pPr>
            <w:r>
              <w:rPr>
                <w:rFonts w:ascii="Calibri" w:hAnsi="宋体" w:eastAsia="宋体"/>
                <w:sz w:val="21"/>
                <w:szCs w:val="21"/>
              </w:rPr>
              <w:t>1</w:t>
            </w:r>
            <w:r>
              <w:rPr>
                <w:rFonts w:hint="eastAsia" w:ascii="Calibri" w:hAnsi="宋体" w:eastAsia="宋体"/>
                <w:sz w:val="21"/>
                <w:szCs w:val="21"/>
              </w:rPr>
              <w:t>、可实施性：切合本项目实际情况，实施步骤清晰、合理；</w:t>
            </w:r>
          </w:p>
          <w:p>
            <w:pPr>
              <w:tabs>
                <w:tab w:val="left" w:pos="547"/>
              </w:tabs>
              <w:spacing w:line="320" w:lineRule="exact"/>
              <w:ind w:firstLine="315" w:firstLineChars="150"/>
              <w:rPr>
                <w:rFonts w:ascii="Calibri" w:hAnsi="宋体" w:eastAsia="宋体"/>
                <w:sz w:val="21"/>
                <w:szCs w:val="21"/>
              </w:rPr>
            </w:pPr>
            <w:r>
              <w:rPr>
                <w:rFonts w:ascii="Calibri" w:hAnsi="宋体" w:eastAsia="宋体"/>
                <w:sz w:val="21"/>
                <w:szCs w:val="21"/>
              </w:rPr>
              <w:t>2</w:t>
            </w:r>
            <w:r>
              <w:rPr>
                <w:rFonts w:hint="eastAsia" w:ascii="Calibri" w:hAnsi="宋体" w:eastAsia="宋体"/>
                <w:sz w:val="21"/>
                <w:szCs w:val="21"/>
              </w:rPr>
              <w:t>、针对性：制度能够紧扣项目实际情况，内容科学合理。</w:t>
            </w:r>
          </w:p>
          <w:p>
            <w:pPr>
              <w:tabs>
                <w:tab w:val="left" w:pos="547"/>
              </w:tabs>
              <w:spacing w:line="320" w:lineRule="exact"/>
              <w:ind w:firstLine="315" w:firstLineChars="150"/>
              <w:rPr>
                <w:rFonts w:ascii="Calibri" w:hAnsi="宋体" w:eastAsia="宋体"/>
                <w:b/>
                <w:sz w:val="21"/>
                <w:szCs w:val="21"/>
              </w:rPr>
            </w:pPr>
            <w:r>
              <w:rPr>
                <w:rFonts w:hint="eastAsia" w:ascii="Calibri" w:hAnsi="宋体" w:eastAsia="宋体"/>
                <w:b/>
                <w:sz w:val="21"/>
                <w:szCs w:val="21"/>
              </w:rPr>
              <w:t>三、赋分标准</w:t>
            </w:r>
          </w:p>
          <w:p>
            <w:pPr>
              <w:tabs>
                <w:tab w:val="left" w:pos="547"/>
              </w:tabs>
              <w:spacing w:line="320" w:lineRule="exact"/>
              <w:ind w:firstLine="315" w:firstLineChars="150"/>
              <w:rPr>
                <w:rFonts w:ascii="Calibri" w:hAnsi="宋体" w:eastAsia="宋体"/>
                <w:sz w:val="21"/>
                <w:szCs w:val="21"/>
              </w:rPr>
            </w:pPr>
            <w:r>
              <w:rPr>
                <w:rFonts w:hint="eastAsia" w:cs="宋体"/>
                <w:sz w:val="21"/>
                <w:szCs w:val="21"/>
              </w:rPr>
              <w:t>每完全满足一项评审标准得</w:t>
            </w:r>
            <w:r>
              <w:rPr>
                <w:rFonts w:cs="宋体"/>
                <w:sz w:val="21"/>
                <w:szCs w:val="21"/>
              </w:rPr>
              <w:t>1.5</w:t>
            </w:r>
            <w:r>
              <w:rPr>
                <w:rFonts w:hint="eastAsia" w:cs="宋体"/>
                <w:sz w:val="21"/>
                <w:szCs w:val="21"/>
              </w:rPr>
              <w:t>分，满分</w:t>
            </w:r>
            <w:r>
              <w:rPr>
                <w:rFonts w:cs="宋体"/>
                <w:sz w:val="21"/>
                <w:szCs w:val="21"/>
              </w:rPr>
              <w:t>3</w:t>
            </w:r>
            <w:r>
              <w:rPr>
                <w:rFonts w:hint="eastAsia" w:cs="宋体"/>
                <w:sz w:val="21"/>
                <w:szCs w:val="21"/>
              </w:rPr>
              <w:t>分</w:t>
            </w:r>
            <w:r>
              <w:rPr>
                <w:rFonts w:ascii="Calibri" w:hAnsi="宋体" w:eastAsia="宋体" w:cs="仿宋"/>
                <w:sz w:val="21"/>
                <w:szCs w:val="21"/>
              </w:rPr>
              <w:t>。</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5692" w:type="dxa"/>
            <w:shd w:val="clear" w:color="auto" w:fill="auto"/>
            <w:vAlign w:val="center"/>
          </w:tcPr>
          <w:p>
            <w:pPr>
              <w:tabs>
                <w:tab w:val="left" w:pos="547"/>
              </w:tabs>
              <w:spacing w:line="320" w:lineRule="exact"/>
              <w:ind w:firstLine="420" w:firstLineChars="200"/>
              <w:rPr>
                <w:rFonts w:hAnsi="宋体" w:eastAsia="宋体"/>
                <w:b/>
                <w:bCs/>
                <w:color w:val="C00000"/>
                <w:sz w:val="21"/>
                <w:szCs w:val="21"/>
              </w:rPr>
            </w:pPr>
            <w:r>
              <w:rPr>
                <w:rFonts w:hint="eastAsia" w:hAnsi="宋体" w:eastAsia="宋体"/>
                <w:b/>
                <w:bCs/>
                <w:color w:val="C00000"/>
                <w:sz w:val="21"/>
                <w:szCs w:val="21"/>
              </w:rPr>
              <w:t>服务承诺</w:t>
            </w:r>
            <w:r>
              <w:rPr>
                <w:rFonts w:hAnsi="宋体" w:eastAsia="宋体"/>
                <w:b/>
                <w:bCs/>
                <w:color w:val="C00000"/>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1、接受采购人对本项目服务的考核、监督及管理，确保服务工作优质高效完成。有承诺得</w:t>
            </w:r>
            <w:r>
              <w:rPr>
                <w:rFonts w:ascii="Calibri" w:hAnsi="宋体" w:eastAsia="宋体"/>
                <w:sz w:val="21"/>
                <w:szCs w:val="21"/>
              </w:rPr>
              <w:t>1</w:t>
            </w:r>
            <w:r>
              <w:rPr>
                <w:rFonts w:hint="eastAsia" w:ascii="Calibri" w:hAnsi="宋体" w:eastAsia="宋体"/>
                <w:sz w:val="21"/>
                <w:szCs w:val="21"/>
              </w:rPr>
              <w:t>分，无承诺不得分。</w:t>
            </w:r>
          </w:p>
          <w:p>
            <w:pPr>
              <w:tabs>
                <w:tab w:val="left" w:pos="547"/>
              </w:tabs>
              <w:spacing w:line="320" w:lineRule="exact"/>
              <w:ind w:firstLine="420" w:firstLineChars="200"/>
              <w:rPr>
                <w:rFonts w:hAnsi="宋体" w:eastAsia="宋体"/>
                <w:b/>
                <w:bCs/>
                <w:color w:val="C00000"/>
                <w:sz w:val="21"/>
                <w:szCs w:val="21"/>
              </w:rPr>
            </w:pPr>
            <w:r>
              <w:rPr>
                <w:rFonts w:hint="eastAsia" w:ascii="Calibri" w:hAnsi="宋体" w:eastAsia="宋体"/>
                <w:sz w:val="21"/>
                <w:szCs w:val="21"/>
              </w:rPr>
              <w:t>2、上岗人员固定，不得随意更换，若出现服务人员因事、病等不能工作的，及时调整其他服务人员补充，确保服务工作的正常进行。有承诺得</w:t>
            </w:r>
            <w:r>
              <w:rPr>
                <w:rFonts w:ascii="Calibri" w:hAnsi="宋体" w:eastAsia="宋体"/>
                <w:sz w:val="21"/>
                <w:szCs w:val="21"/>
              </w:rPr>
              <w:t>1</w:t>
            </w:r>
            <w:r>
              <w:rPr>
                <w:rFonts w:hint="eastAsia" w:ascii="Calibri" w:hAnsi="宋体" w:eastAsia="宋体"/>
                <w:sz w:val="21"/>
                <w:szCs w:val="21"/>
              </w:rPr>
              <w:t>分，无承诺不得分。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12</w:t>
            </w:r>
          </w:p>
        </w:tc>
        <w:tc>
          <w:tcPr>
            <w:tcW w:w="5692" w:type="dxa"/>
            <w:shd w:val="clear" w:color="auto" w:fill="auto"/>
            <w:vAlign w:val="center"/>
          </w:tcPr>
          <w:p>
            <w:pPr>
              <w:spacing w:line="320" w:lineRule="exact"/>
              <w:ind w:firstLine="420" w:firstLineChars="200"/>
              <w:rPr>
                <w:rFonts w:asciiTheme="minorEastAsia" w:hAnsiTheme="minorEastAsia"/>
                <w:b/>
                <w:color w:val="C00000"/>
                <w:sz w:val="21"/>
                <w:szCs w:val="21"/>
              </w:rPr>
            </w:pPr>
            <w:bookmarkStart w:id="49" w:name="OLE_LINK38"/>
            <w:bookmarkStart w:id="50" w:name="OLE_LINK39"/>
            <w:r>
              <w:rPr>
                <w:rFonts w:asciiTheme="minorEastAsia" w:hAnsiTheme="minorEastAsia"/>
                <w:b/>
                <w:bCs/>
                <w:color w:val="C00000"/>
                <w:sz w:val="21"/>
                <w:szCs w:val="21"/>
              </w:rPr>
              <w:t>业绩</w:t>
            </w:r>
            <w:bookmarkEnd w:id="49"/>
            <w:bookmarkEnd w:id="50"/>
            <w:r>
              <w:rPr>
                <w:rFonts w:cs="宋体"/>
                <w:b/>
                <w:color w:val="C00000"/>
                <w:sz w:val="21"/>
                <w:szCs w:val="21"/>
              </w:rPr>
              <w:t>：</w:t>
            </w:r>
          </w:p>
          <w:p>
            <w:pPr>
              <w:tabs>
                <w:tab w:val="left" w:pos="547"/>
              </w:tabs>
              <w:spacing w:line="320" w:lineRule="exact"/>
              <w:ind w:firstLine="315" w:firstLineChars="150"/>
              <w:rPr>
                <w:rFonts w:ascii="Calibri" w:hAnsi="宋体" w:eastAsia="宋体"/>
                <w:sz w:val="21"/>
                <w:szCs w:val="21"/>
              </w:rPr>
            </w:pPr>
            <w:r>
              <w:rPr>
                <w:rFonts w:hint="eastAsia" w:ascii="Calibri" w:hAnsi="宋体" w:eastAsia="宋体"/>
                <w:sz w:val="21"/>
                <w:szCs w:val="21"/>
              </w:rPr>
              <w:t xml:space="preserve">提供 2023 年 </w:t>
            </w:r>
            <w:r>
              <w:rPr>
                <w:rFonts w:ascii="Calibri" w:hAnsi="宋体" w:eastAsia="宋体"/>
                <w:sz w:val="21"/>
                <w:szCs w:val="21"/>
              </w:rPr>
              <w:t xml:space="preserve">1 </w:t>
            </w:r>
            <w:r>
              <w:rPr>
                <w:rFonts w:hint="eastAsia" w:ascii="Calibri" w:hAnsi="宋体" w:eastAsia="宋体"/>
                <w:sz w:val="21"/>
                <w:szCs w:val="21"/>
              </w:rPr>
              <w:t xml:space="preserve">月 </w:t>
            </w:r>
            <w:r>
              <w:rPr>
                <w:rFonts w:ascii="Calibri" w:hAnsi="宋体" w:eastAsia="宋体"/>
                <w:sz w:val="21"/>
                <w:szCs w:val="21"/>
              </w:rPr>
              <w:t xml:space="preserve">1 </w:t>
            </w:r>
            <w:r>
              <w:rPr>
                <w:rFonts w:hint="eastAsia" w:ascii="Calibri" w:hAnsi="宋体" w:eastAsia="宋体"/>
                <w:sz w:val="21"/>
                <w:szCs w:val="21"/>
              </w:rPr>
              <w:t>日（</w:t>
            </w:r>
            <w:r>
              <w:rPr>
                <w:rFonts w:ascii="Calibri" w:hAnsi="宋体" w:eastAsia="宋体"/>
                <w:sz w:val="21"/>
                <w:szCs w:val="21"/>
              </w:rPr>
              <w:t>以合同签订时间</w:t>
            </w:r>
            <w:r>
              <w:rPr>
                <w:rFonts w:hint="eastAsia" w:ascii="Calibri" w:hAnsi="宋体" w:eastAsia="宋体"/>
                <w:sz w:val="21"/>
                <w:szCs w:val="21"/>
              </w:rPr>
              <w:t>）以来类似项目业绩证明文件【</w:t>
            </w:r>
            <w:r>
              <w:rPr>
                <w:rFonts w:ascii="Calibri" w:hAnsi="宋体" w:eastAsia="宋体"/>
                <w:sz w:val="21"/>
                <w:szCs w:val="21"/>
              </w:rPr>
              <w:t>包括合同、验收文件(或满意度评价表)</w:t>
            </w:r>
            <w:r>
              <w:rPr>
                <w:rFonts w:hint="eastAsia" w:ascii="Calibri" w:hAnsi="宋体" w:eastAsia="宋体"/>
                <w:sz w:val="21"/>
                <w:szCs w:val="21"/>
              </w:rPr>
              <w:t>、</w:t>
            </w:r>
            <w:r>
              <w:rPr>
                <w:rFonts w:ascii="Calibri" w:hAnsi="宋体" w:eastAsia="宋体"/>
                <w:sz w:val="21"/>
                <w:szCs w:val="21"/>
              </w:rPr>
              <w:t>合同有效期内的任意一期发票</w:t>
            </w:r>
            <w:r>
              <w:rPr>
                <w:rFonts w:hint="eastAsia" w:ascii="Calibri" w:hAnsi="宋体" w:eastAsia="宋体"/>
                <w:sz w:val="21"/>
                <w:szCs w:val="21"/>
              </w:rPr>
              <w:t>的</w:t>
            </w:r>
            <w:r>
              <w:rPr>
                <w:rFonts w:ascii="Calibri" w:hAnsi="宋体" w:eastAsia="宋体"/>
                <w:sz w:val="21"/>
                <w:szCs w:val="21"/>
              </w:rPr>
              <w:t>扫描件</w:t>
            </w:r>
            <w:r>
              <w:rPr>
                <w:rFonts w:hint="eastAsia" w:ascii="Calibri" w:hAnsi="宋体" w:eastAsia="宋体"/>
                <w:sz w:val="21"/>
                <w:szCs w:val="21"/>
              </w:rPr>
              <w:t>，三者同时出具方为有效】，每个</w:t>
            </w:r>
            <w:r>
              <w:rPr>
                <w:rFonts w:ascii="Calibri" w:hAnsi="宋体" w:eastAsia="宋体"/>
                <w:sz w:val="21"/>
                <w:szCs w:val="21"/>
              </w:rPr>
              <w:t>有效业绩的</w:t>
            </w:r>
            <w:r>
              <w:rPr>
                <w:rFonts w:hint="eastAsia" w:ascii="Calibri" w:hAnsi="宋体" w:eastAsia="宋体"/>
                <w:sz w:val="21"/>
                <w:szCs w:val="21"/>
              </w:rPr>
              <w:t>得</w:t>
            </w:r>
            <w:r>
              <w:rPr>
                <w:rFonts w:ascii="Calibri" w:hAnsi="宋体" w:eastAsia="宋体"/>
                <w:sz w:val="21"/>
                <w:szCs w:val="21"/>
              </w:rPr>
              <w:t>2</w:t>
            </w:r>
            <w:r>
              <w:rPr>
                <w:rFonts w:hint="eastAsia" w:ascii="Calibri" w:hAnsi="宋体" w:eastAsia="宋体"/>
                <w:sz w:val="21"/>
                <w:szCs w:val="21"/>
              </w:rPr>
              <w:t>分，最高</w:t>
            </w:r>
            <w:r>
              <w:rPr>
                <w:rFonts w:ascii="Calibri" w:hAnsi="宋体" w:eastAsia="宋体"/>
                <w:sz w:val="21"/>
                <w:szCs w:val="21"/>
              </w:rPr>
              <w:t>12分</w:t>
            </w:r>
            <w:r>
              <w:rPr>
                <w:rFonts w:hint="eastAsia" w:ascii="Calibri" w:hAnsi="宋体" w:eastAsia="宋体"/>
                <w:sz w:val="21"/>
                <w:szCs w:val="21"/>
              </w:rPr>
              <w:t>。缺项</w:t>
            </w:r>
            <w:r>
              <w:rPr>
                <w:rFonts w:ascii="Calibri" w:hAnsi="宋体" w:eastAsia="宋体"/>
                <w:sz w:val="21"/>
                <w:szCs w:val="21"/>
              </w:rPr>
              <w:t>或</w:t>
            </w:r>
            <w:r>
              <w:rPr>
                <w:rFonts w:hint="eastAsia" w:ascii="Calibri" w:hAnsi="宋体" w:eastAsia="宋体"/>
                <w:sz w:val="21"/>
                <w:szCs w:val="21"/>
              </w:rPr>
              <w:t>不提供不得分。</w:t>
            </w:r>
          </w:p>
          <w:p>
            <w:pPr>
              <w:tabs>
                <w:tab w:val="left" w:pos="547"/>
              </w:tabs>
              <w:spacing w:line="320" w:lineRule="exact"/>
              <w:ind w:firstLine="315" w:firstLineChars="150"/>
              <w:rPr>
                <w:rFonts w:ascii="Calibri" w:hAnsi="宋体" w:eastAsia="宋体"/>
                <w:sz w:val="21"/>
                <w:szCs w:val="21"/>
              </w:rPr>
            </w:pPr>
            <w:r>
              <w:rPr>
                <w:rFonts w:ascii="Calibri" w:hAnsi="宋体" w:eastAsia="宋体"/>
                <w:sz w:val="21"/>
                <w:szCs w:val="21"/>
              </w:rPr>
              <w:t>注：</w:t>
            </w:r>
            <w:r>
              <w:rPr>
                <w:rFonts w:hint="eastAsia" w:ascii="Calibri" w:hAnsi="宋体" w:eastAsia="宋体"/>
                <w:sz w:val="21"/>
                <w:szCs w:val="21"/>
              </w:rPr>
              <w:t>1、合同关键页须包括首页、金额页、加盖甲乙双方公章或</w:t>
            </w:r>
            <w:r>
              <w:rPr>
                <w:rFonts w:ascii="Calibri" w:hAnsi="宋体" w:eastAsia="宋体"/>
                <w:sz w:val="21"/>
                <w:szCs w:val="21"/>
              </w:rPr>
              <w:t>合同章</w:t>
            </w:r>
            <w:r>
              <w:rPr>
                <w:rFonts w:hint="eastAsia" w:ascii="Calibri" w:hAnsi="宋体" w:eastAsia="宋体"/>
                <w:sz w:val="21"/>
                <w:szCs w:val="21"/>
              </w:rPr>
              <w:t>的合同关键页。</w:t>
            </w:r>
          </w:p>
          <w:p>
            <w:pPr>
              <w:tabs>
                <w:tab w:val="left" w:pos="547"/>
              </w:tabs>
              <w:spacing w:line="320" w:lineRule="exact"/>
              <w:ind w:firstLine="315" w:firstLineChars="150"/>
              <w:rPr>
                <w:rFonts w:ascii="Calibri" w:hAnsi="宋体" w:eastAsia="宋体"/>
                <w:sz w:val="21"/>
                <w:szCs w:val="21"/>
              </w:rPr>
            </w:pPr>
            <w:r>
              <w:rPr>
                <w:rFonts w:ascii="Calibri" w:hAnsi="宋体" w:eastAsia="宋体"/>
                <w:sz w:val="21"/>
                <w:szCs w:val="21"/>
              </w:rPr>
              <w:t>2</w:t>
            </w:r>
            <w:r>
              <w:rPr>
                <w:rFonts w:hint="eastAsia" w:ascii="Calibri" w:hAnsi="宋体" w:eastAsia="宋体"/>
                <w:sz w:val="21"/>
                <w:szCs w:val="21"/>
              </w:rPr>
              <w:t>、</w:t>
            </w:r>
            <w:r>
              <w:rPr>
                <w:rFonts w:ascii="Calibri" w:hAnsi="宋体" w:eastAsia="宋体"/>
                <w:sz w:val="21"/>
                <w:szCs w:val="21"/>
              </w:rPr>
              <w:t>多</w:t>
            </w:r>
            <w:r>
              <w:rPr>
                <w:rFonts w:hint="eastAsia" w:ascii="Calibri" w:hAnsi="宋体" w:eastAsia="宋体"/>
                <w:sz w:val="21"/>
                <w:szCs w:val="21"/>
              </w:rPr>
              <w:t>份</w:t>
            </w:r>
            <w:r>
              <w:rPr>
                <w:rFonts w:ascii="Calibri" w:hAnsi="宋体" w:eastAsia="宋体"/>
                <w:sz w:val="21"/>
                <w:szCs w:val="21"/>
              </w:rPr>
              <w:t>业绩</w:t>
            </w:r>
            <w:r>
              <w:rPr>
                <w:rFonts w:hint="eastAsia" w:ascii="Calibri" w:hAnsi="宋体" w:eastAsia="宋体"/>
                <w:sz w:val="21"/>
                <w:szCs w:val="21"/>
              </w:rPr>
              <w:t>为</w:t>
            </w:r>
            <w:r>
              <w:rPr>
                <w:rFonts w:ascii="Calibri" w:hAnsi="宋体" w:eastAsia="宋体"/>
                <w:sz w:val="21"/>
                <w:szCs w:val="21"/>
              </w:rPr>
              <w:t>同一</w:t>
            </w:r>
            <w:r>
              <w:rPr>
                <w:rFonts w:hint="eastAsia" w:ascii="Calibri" w:hAnsi="宋体" w:eastAsia="宋体"/>
                <w:sz w:val="21"/>
                <w:szCs w:val="21"/>
              </w:rPr>
              <w:t>采购人的</w:t>
            </w:r>
            <w:r>
              <w:rPr>
                <w:rFonts w:ascii="Calibri" w:hAnsi="宋体" w:eastAsia="宋体"/>
                <w:sz w:val="21"/>
                <w:szCs w:val="21"/>
              </w:rPr>
              <w:t>分值</w:t>
            </w:r>
            <w:r>
              <w:rPr>
                <w:rFonts w:hint="eastAsia" w:ascii="Calibri" w:hAnsi="宋体" w:eastAsia="宋体"/>
                <w:sz w:val="21"/>
                <w:szCs w:val="21"/>
              </w:rPr>
              <w:t>不累计</w:t>
            </w:r>
            <w:r>
              <w:rPr>
                <w:rFonts w:ascii="Calibri" w:hAnsi="宋体" w:eastAsia="宋体"/>
                <w:sz w:val="21"/>
                <w:szCs w:val="21"/>
              </w:rPr>
              <w:t>，仅按一份业绩计分。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pPr>
        <w:pStyle w:val="60"/>
        <w:ind w:firstLine="482"/>
        <w:rPr>
          <w:b/>
        </w:rPr>
      </w:pPr>
      <w:r>
        <w:rPr>
          <w:b/>
        </w:rPr>
        <w:t>6</w:t>
      </w:r>
      <w:r>
        <w:rPr>
          <w:rFonts w:hint="eastAsia"/>
          <w:b/>
          <w:color w:val="auto"/>
        </w:rPr>
        <w:t>．</w:t>
      </w:r>
      <w:r>
        <w:rPr>
          <w:b/>
        </w:rPr>
        <w:t>推荐中标候选人</w:t>
      </w:r>
    </w:p>
    <w:p>
      <w:pPr>
        <w:pStyle w:val="60"/>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60"/>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60"/>
        <w:ind w:firstLine="482"/>
        <w:rPr>
          <w:b/>
        </w:rPr>
      </w:pPr>
      <w:r>
        <w:rPr>
          <w:b/>
        </w:rPr>
        <w:t>7</w:t>
      </w:r>
      <w:r>
        <w:rPr>
          <w:rFonts w:hint="eastAsia"/>
          <w:b/>
          <w:color w:val="auto"/>
        </w:rPr>
        <w:t>．</w:t>
      </w:r>
      <w:r>
        <w:rPr>
          <w:b/>
        </w:rPr>
        <w:t>编写评审报告</w:t>
      </w:r>
    </w:p>
    <w:p>
      <w:pPr>
        <w:pStyle w:val="60"/>
        <w:ind w:firstLine="480"/>
        <w:rPr>
          <w:rFonts w:hAnsi="华文仿宋"/>
        </w:rPr>
      </w:pPr>
      <w:r>
        <w:rPr>
          <w:rFonts w:hint="eastAsia" w:hAnsi="华文仿宋"/>
        </w:rPr>
        <w:t>评审报告是评标委员会根据全体评标成员签字的原始评标记录和评标结果编写的报告。</w:t>
      </w:r>
    </w:p>
    <w:p>
      <w:pPr>
        <w:pStyle w:val="60"/>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numPr>
          <w:ilvl w:val="2"/>
          <w:numId w:val="1"/>
        </w:numPr>
        <w:ind w:firstLine="482" w:firstLineChars="0"/>
      </w:pPr>
      <w:r>
        <w:t>（四）</w:t>
      </w:r>
      <w:r>
        <w:rPr>
          <w:rFonts w:hint="eastAsia"/>
        </w:rPr>
        <w:t>评标争议处理规则</w:t>
      </w:r>
    </w:p>
    <w:p>
      <w:pPr>
        <w:pStyle w:val="60"/>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numPr>
          <w:ilvl w:val="2"/>
          <w:numId w:val="1"/>
        </w:numPr>
        <w:ind w:firstLine="482" w:firstLineChars="0"/>
      </w:pPr>
      <w:r>
        <w:t>（五）评审现场人员的保密责任</w:t>
      </w:r>
    </w:p>
    <w:p>
      <w:pPr>
        <w:pStyle w:val="60"/>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numPr>
          <w:ilvl w:val="2"/>
          <w:numId w:val="1"/>
        </w:numPr>
        <w:ind w:firstLine="482" w:firstLineChars="0"/>
      </w:pPr>
      <w:r>
        <w:t>（六）出现下列情形时，视同供应商串通投标，其投标无效：</w:t>
      </w:r>
    </w:p>
    <w:p>
      <w:pPr>
        <w:pStyle w:val="60"/>
        <w:ind w:firstLine="480"/>
      </w:pPr>
      <w:r>
        <w:t>1</w:t>
      </w:r>
      <w:r>
        <w:rPr>
          <w:rFonts w:hint="eastAsia"/>
          <w:color w:val="auto"/>
        </w:rPr>
        <w:t>．</w:t>
      </w:r>
      <w:r>
        <w:t>不同供应商的投标文件由同一单位或者个人编制；</w:t>
      </w:r>
    </w:p>
    <w:p>
      <w:pPr>
        <w:pStyle w:val="60"/>
        <w:ind w:firstLine="480"/>
      </w:pPr>
      <w:r>
        <w:t>2</w:t>
      </w:r>
      <w:r>
        <w:rPr>
          <w:rFonts w:hint="eastAsia"/>
          <w:color w:val="auto"/>
        </w:rPr>
        <w:t>．</w:t>
      </w:r>
      <w:r>
        <w:t>不同供应商委托同一单位或者个人办理投标事宜；</w:t>
      </w:r>
    </w:p>
    <w:p>
      <w:pPr>
        <w:pStyle w:val="60"/>
        <w:ind w:firstLine="480"/>
      </w:pPr>
      <w:r>
        <w:t>3</w:t>
      </w:r>
      <w:r>
        <w:rPr>
          <w:rFonts w:hint="eastAsia"/>
          <w:color w:val="auto"/>
        </w:rPr>
        <w:t>．</w:t>
      </w:r>
      <w:r>
        <w:t>不同供应商的投标文件载明的项目管理成员或者联系人员为同一人；</w:t>
      </w:r>
    </w:p>
    <w:p>
      <w:pPr>
        <w:pStyle w:val="60"/>
        <w:ind w:firstLine="480"/>
        <w:rPr>
          <w:strike/>
        </w:rPr>
      </w:pPr>
      <w:r>
        <w:t>4</w:t>
      </w:r>
      <w:r>
        <w:rPr>
          <w:rFonts w:hint="eastAsia"/>
          <w:color w:val="auto"/>
        </w:rPr>
        <w:t>．</w:t>
      </w:r>
      <w:r>
        <w:t>不同供应商的投标文件异常一致或者投标报价呈规律性差异。</w:t>
      </w:r>
    </w:p>
    <w:p>
      <w:pPr>
        <w:pStyle w:val="3"/>
        <w:numPr>
          <w:ilvl w:val="1"/>
          <w:numId w:val="1"/>
        </w:numPr>
      </w:pPr>
      <w:r>
        <w:t>八、中标</w:t>
      </w:r>
    </w:p>
    <w:p>
      <w:pPr>
        <w:pStyle w:val="60"/>
        <w:ind w:firstLine="480"/>
      </w:pPr>
      <w:r>
        <w:rPr>
          <w:rFonts w:hint="eastAsia"/>
        </w:rPr>
        <w:t>1</w:t>
      </w:r>
      <w:r>
        <w:rPr>
          <w:rFonts w:hint="eastAsia"/>
          <w:color w:val="auto"/>
        </w:rPr>
        <w:t>．</w:t>
      </w:r>
      <w:r>
        <w:t>采购代理机构在评标工作结束后2个工作日内将评审报告送采购人。</w:t>
      </w:r>
    </w:p>
    <w:p>
      <w:pPr>
        <w:pStyle w:val="60"/>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60"/>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pPr>
        <w:pStyle w:val="60"/>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60"/>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60"/>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numPr>
          <w:ilvl w:val="1"/>
          <w:numId w:val="1"/>
        </w:numPr>
      </w:pPr>
      <w:r>
        <w:t>九、合同签订、履行及验收</w:t>
      </w:r>
    </w:p>
    <w:p>
      <w:pPr>
        <w:pStyle w:val="60"/>
        <w:ind w:firstLine="480"/>
      </w:pPr>
      <w:r>
        <w:t>招标文件、投标文件、澄清、补充合同等为政府采购合同的组成部分，具有同等法律效力。</w:t>
      </w:r>
    </w:p>
    <w:p>
      <w:pPr>
        <w:pStyle w:val="4"/>
        <w:numPr>
          <w:ilvl w:val="2"/>
          <w:numId w:val="1"/>
        </w:numPr>
        <w:ind w:firstLine="482" w:firstLineChars="0"/>
      </w:pPr>
      <w:r>
        <w:t>（一）签订政府采购合同</w:t>
      </w:r>
    </w:p>
    <w:p>
      <w:pPr>
        <w:pStyle w:val="60"/>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60"/>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60"/>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60"/>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numPr>
          <w:ilvl w:val="2"/>
          <w:numId w:val="1"/>
        </w:numPr>
        <w:ind w:firstLine="482" w:firstLineChars="0"/>
      </w:pPr>
      <w:r>
        <w:t>（二）合同公示</w:t>
      </w:r>
    </w:p>
    <w:p>
      <w:pPr>
        <w:pStyle w:val="60"/>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numPr>
          <w:ilvl w:val="2"/>
          <w:numId w:val="1"/>
        </w:numPr>
        <w:ind w:firstLine="482" w:firstLineChars="0"/>
      </w:pPr>
      <w:r>
        <w:t>（三）合同履行</w:t>
      </w:r>
    </w:p>
    <w:p>
      <w:pPr>
        <w:pStyle w:val="60"/>
        <w:ind w:firstLine="480"/>
      </w:pPr>
      <w:r>
        <w:rPr>
          <w:rFonts w:hint="eastAsia"/>
        </w:rPr>
        <w:t>1</w:t>
      </w:r>
      <w:r>
        <w:rPr>
          <w:rFonts w:hint="eastAsia"/>
          <w:color w:val="auto"/>
        </w:rPr>
        <w:t>．</w:t>
      </w:r>
      <w:r>
        <w:rPr>
          <w:rFonts w:hint="eastAsia"/>
        </w:rPr>
        <w:t>合同一经签订，双方应严格履行合同规定的义务。</w:t>
      </w:r>
    </w:p>
    <w:p>
      <w:pPr>
        <w:pStyle w:val="60"/>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numPr>
          <w:ilvl w:val="2"/>
          <w:numId w:val="1"/>
        </w:numPr>
        <w:ind w:firstLine="482" w:firstLineChars="0"/>
      </w:pPr>
      <w:r>
        <w:t>（四）验收或考核</w:t>
      </w:r>
    </w:p>
    <w:p>
      <w:pPr>
        <w:pStyle w:val="60"/>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60"/>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numPr>
          <w:ilvl w:val="1"/>
          <w:numId w:val="1"/>
        </w:numPr>
      </w:pPr>
      <w:r>
        <w:t>十、其他</w:t>
      </w:r>
    </w:p>
    <w:p>
      <w:pPr>
        <w:pStyle w:val="60"/>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60"/>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60"/>
        <w:ind w:firstLine="480"/>
      </w:pPr>
      <w:r>
        <w:t>3</w:t>
      </w:r>
      <w:r>
        <w:rPr>
          <w:rFonts w:hint="eastAsia"/>
          <w:color w:val="auto"/>
        </w:rPr>
        <w:t>．</w:t>
      </w:r>
      <w:r>
        <w:t>根据《政府采购法》第三十六条规定，在招标采购中，出现下列情形之一的，本项目按废标处理：</w:t>
      </w:r>
    </w:p>
    <w:p>
      <w:pPr>
        <w:pStyle w:val="60"/>
        <w:ind w:firstLine="480"/>
      </w:pPr>
      <w:r>
        <w:t>（</w:t>
      </w:r>
      <w:r>
        <w:rPr>
          <w:rFonts w:hint="eastAsia"/>
        </w:rPr>
        <w:t>1</w:t>
      </w:r>
      <w:r>
        <w:t>）出现影响采购公正的违法、违规行为的；</w:t>
      </w:r>
    </w:p>
    <w:p>
      <w:pPr>
        <w:pStyle w:val="60"/>
        <w:ind w:firstLine="480"/>
      </w:pPr>
      <w:r>
        <w:t>（</w:t>
      </w:r>
      <w:r>
        <w:rPr>
          <w:rFonts w:hint="eastAsia"/>
        </w:rPr>
        <w:t>2</w:t>
      </w:r>
      <w:r>
        <w:t>）供应商的报价均超过了采购预算，采购人不能支付的；</w:t>
      </w:r>
    </w:p>
    <w:p>
      <w:pPr>
        <w:pStyle w:val="60"/>
        <w:ind w:firstLine="480"/>
      </w:pPr>
      <w:r>
        <w:t>（</w:t>
      </w:r>
      <w:r>
        <w:rPr>
          <w:rFonts w:hint="eastAsia"/>
        </w:rPr>
        <w:t>3</w:t>
      </w:r>
      <w:r>
        <w:t>）因重大变故，采购任务取消的。</w:t>
      </w:r>
    </w:p>
    <w:p>
      <w:pPr>
        <w:pStyle w:val="60"/>
        <w:ind w:firstLine="480"/>
      </w:pPr>
      <w:r>
        <w:t>废标后，除采购任务取消外，本项目将重新组织招标。</w:t>
      </w:r>
    </w:p>
    <w:p>
      <w:pPr>
        <w:pStyle w:val="60"/>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60"/>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60"/>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numPr>
          <w:ilvl w:val="0"/>
          <w:numId w:val="1"/>
        </w:numPr>
        <w:spacing w:before="230" w:after="230"/>
      </w:pPr>
      <w:bookmarkStart w:id="51" w:name="_Toc211437468"/>
      <w:r>
        <w:rPr>
          <w:rFonts w:hint="eastAsia"/>
        </w:rPr>
        <w:t>第三章　招标内容及要求</w:t>
      </w:r>
      <w:bookmarkEnd w:id="51"/>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numPr>
          <w:ilvl w:val="1"/>
          <w:numId w:val="1"/>
        </w:numPr>
        <w:jc w:val="both"/>
      </w:pPr>
      <w:r>
        <w:rPr>
          <w:rFonts w:hint="eastAsia"/>
        </w:rPr>
        <w:t>一、项目概况</w:t>
      </w:r>
    </w:p>
    <w:p>
      <w:pPr>
        <w:pStyle w:val="60"/>
        <w:ind w:firstLine="480"/>
      </w:pPr>
      <w:r>
        <w:rPr>
          <w:rFonts w:hint="eastAsia"/>
        </w:rPr>
        <w:t>西安市精神卫生中心开放床位800张，为保障医院诊疗秩序、医患人身安全及财产安全，适配精神专科特殊服务场景及西安市安保管理相关规范，现采购专业安保服务。计划配备安保人员49名（包含4名医院内保人员）。</w:t>
      </w:r>
    </w:p>
    <w:p>
      <w:pPr>
        <w:pStyle w:val="3"/>
        <w:numPr>
          <w:ilvl w:val="1"/>
          <w:numId w:val="1"/>
        </w:numPr>
        <w:jc w:val="both"/>
      </w:pPr>
      <w:r>
        <w:rPr>
          <w:rFonts w:hint="eastAsia"/>
        </w:rPr>
        <w:t>二、采购内容</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一）安全保卫与消防值班：覆盖医院门诊、住院部、药房、收费结账处、食堂、动力中心、停车场等所有重点区域，实行24小时在岗值班；全员为义务消防员，负责日常消防设施巡查、消防隐患排查、初期火情处置，配合医院开展定期消防知识培训及应急演练。</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二）突发事件处理：针对精神专科医院患者冲动伤人、自伤自残、擅自离院、家属过激维权等特殊场景，制定专项应急预案，配合院方快速响应、稳妥处置，同步做好现场秩序维护及相关记录。接到院内一键报警后，安保人员应在3分钟内抵达现场进行先期处置。</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（三）辅助秩序维护：协助引导患者就诊流线，劝阻院内违规行为，防止患者间冲突、走失等情况发生，保障诊疗环境平稳。</w:t>
      </w:r>
    </w:p>
    <w:p>
      <w:pPr>
        <w:pStyle w:val="3"/>
        <w:numPr>
          <w:ilvl w:val="1"/>
          <w:numId w:val="1"/>
        </w:numPr>
        <w:jc w:val="both"/>
      </w:pPr>
      <w:r>
        <w:t>三、</w:t>
      </w:r>
      <w:r>
        <w:rPr>
          <w:rFonts w:hint="eastAsia"/>
        </w:rPr>
        <w:t>服务要求</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（一）总体</w:t>
      </w:r>
      <w:r>
        <w:rPr>
          <w:rFonts w:ascii="Calibri" w:hAnsi="Calibri" w:eastAsia="宋体" w:cstheme="minorHAnsi"/>
          <w:color w:val="000000"/>
          <w:kern w:val="24"/>
          <w:sz w:val="24"/>
          <w:szCs w:val="24"/>
        </w:rPr>
        <w:t>要求</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1.指挥权限：医院对安保岗位设置、人员调度及日常管理拥有直接指挥权和决定权，乙方需配合医院落实各项安保管理制度。</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2.值班备勤：实行全年24小时轮班制度，中标供应商应安排好备勤人员，确保突发情况可快速支援。</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3.消防职责：所有安保人员均为义务消防员，需积极参与医院组织的消防培训及演练，熟练掌握消防设施使用方法。</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7.制度建设要求：供应商须建立并严格执行包括但不限于《保安工作制度》、《巡视检查制度》、《交接班制度》在内的内部管理制度，制度报采购人备案，确保责任到岗、到人。</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8.执勤行为规范：执勤期间精神饱满，言行文明；不得迟到、早退、脱岗、串岗；不得在岗饮酒、睡觉、嬉戏打闹或从事与工作无关的活动；须按规定使用和保管装备，不得挪作他用。</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9.巡查与记录：实行“定时+不定时”巡查模式，对各重点部位加强巡查并做好规范记录。夜间巡查不得妨碍病人休息。发现可疑情况、安全隐患或群众失物，须及时报告并按规定处理。</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11.服务报告：供应商须每月向采购人提交详细的《服务月报》，内容包括人员考勤、巡查记录、事件处理、培训演练、装备维护情况以及下月工作计划等。</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（二）岗位配置要求</w:t>
      </w:r>
    </w:p>
    <w:tbl>
      <w:tblPr>
        <w:tblStyle w:val="102"/>
        <w:tblW w:w="89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2105"/>
        <w:gridCol w:w="2806"/>
        <w:gridCol w:w="27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1262" w:type="dxa"/>
            <w:tcBorders>
              <w:top w:val="single" w:color="000000" w:sz="10" w:space="0"/>
              <w:left w:val="single" w:color="000000" w:sz="10" w:space="0"/>
            </w:tcBorders>
            <w:shd w:val="clear" w:color="auto" w:fill="F1F1F1"/>
          </w:tcPr>
          <w:p>
            <w:pPr>
              <w:kinsoku w:val="0"/>
              <w:autoSpaceDE w:val="0"/>
              <w:autoSpaceDN w:val="0"/>
              <w:adjustRightInd w:val="0"/>
              <w:snapToGrid w:val="0"/>
              <w:spacing w:before="122" w:line="187" w:lineRule="auto"/>
              <w:ind w:left="100"/>
              <w:textAlignment w:val="baseline"/>
              <w:rPr>
                <w:rFonts w:cs="微软雅黑" w:asciiTheme="minorEastAsia" w:hAnsiTheme="minorEastAsia" w:eastAsiaTheme="minorEastAsia"/>
                <w:snapToGrid w:val="0"/>
                <w:color w:val="000000"/>
                <w:lang w:eastAsia="en-US"/>
              </w:rPr>
            </w:pPr>
            <w:r>
              <w:rPr>
                <w:rFonts w:cs="微软雅黑" w:asciiTheme="minorEastAsia" w:hAnsiTheme="minorEastAsia" w:eastAsiaTheme="minorEastAsia"/>
                <w:b/>
                <w:bCs/>
                <w:snapToGrid w:val="0"/>
                <w:color w:val="000000"/>
                <w:spacing w:val="8"/>
                <w:lang w:eastAsia="en-US"/>
              </w:rPr>
              <w:t>部门职能</w:t>
            </w:r>
          </w:p>
        </w:tc>
        <w:tc>
          <w:tcPr>
            <w:tcW w:w="2104" w:type="dxa"/>
            <w:tcBorders>
              <w:top w:val="single" w:color="000000" w:sz="10" w:space="0"/>
            </w:tcBorders>
            <w:shd w:val="clear" w:color="auto" w:fill="F1F1F1"/>
          </w:tcPr>
          <w:p>
            <w:pPr>
              <w:kinsoku w:val="0"/>
              <w:autoSpaceDE w:val="0"/>
              <w:autoSpaceDN w:val="0"/>
              <w:adjustRightInd w:val="0"/>
              <w:snapToGrid w:val="0"/>
              <w:spacing w:before="122" w:line="187" w:lineRule="auto"/>
              <w:ind w:left="643"/>
              <w:textAlignment w:val="baseline"/>
              <w:rPr>
                <w:rFonts w:cs="微软雅黑" w:asciiTheme="minorEastAsia" w:hAnsiTheme="minorEastAsia" w:eastAsiaTheme="minorEastAsia"/>
                <w:snapToGrid w:val="0"/>
                <w:color w:val="000000"/>
                <w:lang w:eastAsia="en-US"/>
              </w:rPr>
            </w:pPr>
            <w:r>
              <w:rPr>
                <w:rFonts w:cs="微软雅黑" w:asciiTheme="minorEastAsia" w:hAnsiTheme="minorEastAsia" w:eastAsiaTheme="minorEastAsia"/>
                <w:b/>
                <w:bCs/>
                <w:snapToGrid w:val="0"/>
                <w:color w:val="000000"/>
                <w:spacing w:val="1"/>
                <w:lang w:eastAsia="en-US"/>
              </w:rPr>
              <w:t>岗位</w:t>
            </w:r>
          </w:p>
        </w:tc>
        <w:tc>
          <w:tcPr>
            <w:tcW w:w="2806" w:type="dxa"/>
            <w:tcBorders>
              <w:top w:val="single" w:color="000000" w:sz="10" w:space="0"/>
            </w:tcBorders>
            <w:shd w:val="clear" w:color="auto" w:fill="F1F1F1"/>
          </w:tcPr>
          <w:p>
            <w:pPr>
              <w:kinsoku w:val="0"/>
              <w:autoSpaceDE w:val="0"/>
              <w:autoSpaceDN w:val="0"/>
              <w:adjustRightInd w:val="0"/>
              <w:snapToGrid w:val="0"/>
              <w:spacing w:before="122" w:line="187" w:lineRule="auto"/>
              <w:ind w:firstLine="635" w:firstLineChars="250"/>
              <w:textAlignment w:val="baseline"/>
              <w:rPr>
                <w:rFonts w:cs="微软雅黑" w:asciiTheme="minorEastAsia" w:hAnsiTheme="minorEastAsia" w:eastAsiaTheme="minorEastAsia"/>
                <w:snapToGrid w:val="0"/>
                <w:color w:val="000000"/>
                <w:lang w:eastAsia="en-US"/>
              </w:rPr>
            </w:pPr>
            <w:r>
              <w:rPr>
                <w:rFonts w:cs="微软雅黑" w:asciiTheme="minorEastAsia" w:hAnsiTheme="minorEastAsia" w:eastAsiaTheme="minorEastAsia"/>
                <w:b/>
                <w:bCs/>
                <w:snapToGrid w:val="0"/>
                <w:color w:val="000000"/>
                <w:spacing w:val="7"/>
                <w:lang w:eastAsia="en-US"/>
              </w:rPr>
              <w:t>岗位所需总人数</w:t>
            </w:r>
          </w:p>
        </w:tc>
        <w:tc>
          <w:tcPr>
            <w:tcW w:w="2794" w:type="dxa"/>
            <w:tcBorders>
              <w:top w:val="single" w:color="000000" w:sz="10" w:space="0"/>
              <w:right w:val="single" w:color="000000" w:sz="10" w:space="0"/>
            </w:tcBorders>
            <w:shd w:val="clear" w:color="auto" w:fill="F1F1F1"/>
          </w:tcPr>
          <w:p>
            <w:pPr>
              <w:kinsoku w:val="0"/>
              <w:autoSpaceDE w:val="0"/>
              <w:autoSpaceDN w:val="0"/>
              <w:adjustRightInd w:val="0"/>
              <w:snapToGrid w:val="0"/>
              <w:spacing w:before="84" w:line="189" w:lineRule="auto"/>
              <w:ind w:left="789"/>
              <w:textAlignment w:val="baseline"/>
              <w:rPr>
                <w:rFonts w:cs="微软雅黑" w:asciiTheme="minorEastAsia" w:hAnsiTheme="minorEastAsia" w:eastAsiaTheme="minorEastAsia"/>
                <w:snapToGrid w:val="0"/>
                <w:color w:val="000000"/>
                <w:lang w:eastAsia="en-US"/>
              </w:rPr>
            </w:pPr>
            <w:r>
              <w:rPr>
                <w:rFonts w:cs="微软雅黑" w:asciiTheme="minorEastAsia" w:hAnsiTheme="minorEastAsia" w:eastAsiaTheme="minorEastAsia"/>
                <w:b/>
                <w:bCs/>
                <w:snapToGrid w:val="0"/>
                <w:color w:val="000000"/>
                <w:spacing w:val="7"/>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262" w:type="dxa"/>
            <w:vMerge w:val="restart"/>
            <w:tcBorders>
              <w:left w:val="single" w:color="000000" w:sz="10" w:space="0"/>
              <w:bottom w:val="nil"/>
            </w:tcBorders>
          </w:tcPr>
          <w:p>
            <w:pPr>
              <w:kinsoku w:val="0"/>
              <w:autoSpaceDE w:val="0"/>
              <w:autoSpaceDN w:val="0"/>
              <w:adjustRightInd w:val="0"/>
              <w:snapToGrid w:val="0"/>
              <w:spacing w:line="316" w:lineRule="auto"/>
              <w:textAlignment w:val="baseline"/>
              <w:rPr>
                <w:rFonts w:ascii="Arial" w:hAnsi="Arial" w:eastAsia="Arial" w:cs="Arial"/>
                <w:snapToGrid w:val="0"/>
                <w:color w:val="000000"/>
                <w:sz w:val="21"/>
                <w:szCs w:val="21"/>
                <w:lang w:eastAsia="en-US"/>
              </w:rPr>
            </w:pPr>
          </w:p>
          <w:p>
            <w:pPr>
              <w:kinsoku w:val="0"/>
              <w:autoSpaceDE w:val="0"/>
              <w:autoSpaceDN w:val="0"/>
              <w:adjustRightInd w:val="0"/>
              <w:snapToGrid w:val="0"/>
              <w:spacing w:line="316" w:lineRule="auto"/>
              <w:textAlignment w:val="baseline"/>
              <w:rPr>
                <w:rFonts w:ascii="Arial" w:hAnsi="Arial" w:eastAsia="Arial" w:cs="Arial"/>
                <w:snapToGrid w:val="0"/>
                <w:color w:val="000000"/>
                <w:sz w:val="21"/>
                <w:szCs w:val="21"/>
                <w:lang w:eastAsia="en-US"/>
              </w:rPr>
            </w:pPr>
          </w:p>
          <w:p>
            <w:pPr>
              <w:kinsoku w:val="0"/>
              <w:autoSpaceDE w:val="0"/>
              <w:autoSpaceDN w:val="0"/>
              <w:adjustRightInd w:val="0"/>
              <w:snapToGrid w:val="0"/>
              <w:spacing w:before="86" w:line="190" w:lineRule="auto"/>
              <w:ind w:left="98"/>
              <w:textAlignment w:val="baseline"/>
              <w:rPr>
                <w:rFonts w:ascii="微软雅黑" w:hAnsi="微软雅黑" w:eastAsia="微软雅黑" w:cs="微软雅黑"/>
                <w:snapToGrid w:val="0"/>
                <w:color w:val="000000"/>
                <w:sz w:val="21"/>
                <w:szCs w:val="21"/>
                <w:lang w:eastAsia="en-US"/>
              </w:rPr>
            </w:pPr>
            <w:r>
              <w:rPr>
                <w:rFonts w:hint="eastAsia" w:ascii="微软雅黑" w:hAnsi="微软雅黑" w:eastAsia="微软雅黑" w:cs="微软雅黑"/>
                <w:snapToGrid w:val="0"/>
                <w:color w:val="000000"/>
                <w:spacing w:val="8"/>
                <w:sz w:val="21"/>
                <w:szCs w:val="21"/>
              </w:rPr>
              <w:t>安保</w:t>
            </w:r>
            <w:r>
              <w:rPr>
                <w:rFonts w:ascii="微软雅黑" w:hAnsi="微软雅黑" w:eastAsia="微软雅黑" w:cs="微软雅黑"/>
                <w:snapToGrid w:val="0"/>
                <w:color w:val="000000"/>
                <w:spacing w:val="8"/>
                <w:sz w:val="21"/>
                <w:szCs w:val="21"/>
                <w:lang w:eastAsia="en-US"/>
              </w:rPr>
              <w:t>服务</w:t>
            </w:r>
          </w:p>
        </w:tc>
        <w:tc>
          <w:tcPr>
            <w:tcW w:w="2104" w:type="dxa"/>
          </w:tcPr>
          <w:p>
            <w:pPr>
              <w:kinsoku w:val="0"/>
              <w:autoSpaceDE w:val="0"/>
              <w:autoSpaceDN w:val="0"/>
              <w:adjustRightInd w:val="0"/>
              <w:snapToGrid w:val="0"/>
              <w:spacing w:before="80" w:line="211" w:lineRule="auto"/>
              <w:ind w:left="102"/>
              <w:textAlignment w:val="baseline"/>
              <w:rPr>
                <w:rFonts w:ascii="微软雅黑" w:hAnsi="微软雅黑" w:eastAsia="微软雅黑" w:cs="微软雅黑"/>
                <w:snapToGrid w:val="0"/>
                <w:color w:val="000000"/>
                <w:sz w:val="21"/>
                <w:szCs w:val="21"/>
              </w:rPr>
            </w:pPr>
            <w:r>
              <w:rPr>
                <w:rFonts w:hint="eastAsia" w:ascii="微软雅黑" w:hAnsi="微软雅黑" w:eastAsia="微软雅黑" w:cs="微软雅黑"/>
                <w:snapToGrid w:val="0"/>
                <w:color w:val="000000"/>
                <w:spacing w:val="7"/>
                <w:sz w:val="21"/>
                <w:szCs w:val="21"/>
              </w:rPr>
              <w:t>项目经理</w:t>
            </w:r>
          </w:p>
        </w:tc>
        <w:tc>
          <w:tcPr>
            <w:tcW w:w="2806" w:type="dxa"/>
          </w:tcPr>
          <w:p>
            <w:pPr>
              <w:kinsoku w:val="0"/>
              <w:autoSpaceDE w:val="0"/>
              <w:autoSpaceDN w:val="0"/>
              <w:adjustRightInd w:val="0"/>
              <w:snapToGrid w:val="0"/>
              <w:spacing w:before="161" w:line="185" w:lineRule="auto"/>
              <w:ind w:firstLine="1470" w:firstLineChars="700"/>
              <w:textAlignment w:val="baseline"/>
              <w:rPr>
                <w:rFonts w:ascii="Calibri" w:hAnsi="Calibri" w:eastAsia="Calibri" w:cs="Calibri"/>
                <w:snapToGrid w:val="0"/>
                <w:color w:val="000000"/>
                <w:sz w:val="21"/>
                <w:szCs w:val="21"/>
                <w:lang w:eastAsia="en-US"/>
              </w:rPr>
            </w:pPr>
            <w:r>
              <w:rPr>
                <w:rFonts w:ascii="Calibri" w:hAnsi="Calibri" w:eastAsia="Calibri" w:cs="Calibri"/>
                <w:snapToGrid w:val="0"/>
                <w:color w:val="000000"/>
                <w:sz w:val="21"/>
                <w:szCs w:val="21"/>
                <w:lang w:eastAsia="en-US"/>
              </w:rPr>
              <w:t>1</w:t>
            </w:r>
          </w:p>
        </w:tc>
        <w:tc>
          <w:tcPr>
            <w:tcW w:w="2794" w:type="dxa"/>
            <w:vMerge w:val="restart"/>
            <w:tcBorders>
              <w:bottom w:val="nil"/>
              <w:right w:val="single" w:color="000000" w:sz="10" w:space="0"/>
            </w:tcBorders>
          </w:tcPr>
          <w:p>
            <w:pPr>
              <w:kinsoku w:val="0"/>
              <w:autoSpaceDE w:val="0"/>
              <w:autoSpaceDN w:val="0"/>
              <w:adjustRightInd w:val="0"/>
              <w:snapToGrid w:val="0"/>
              <w:spacing w:before="80" w:line="231" w:lineRule="auto"/>
              <w:ind w:left="115" w:right="187"/>
              <w:textAlignment w:val="baseline"/>
              <w:rPr>
                <w:rFonts w:ascii="微软雅黑" w:hAnsi="微软雅黑" w:eastAsia="微软雅黑" w:cs="微软雅黑"/>
                <w:snapToGrid w:val="0"/>
                <w:color w:val="000000"/>
                <w:spacing w:val="9"/>
                <w:sz w:val="21"/>
                <w:szCs w:val="21"/>
              </w:rPr>
            </w:pPr>
          </w:p>
          <w:p>
            <w:pPr>
              <w:kinsoku w:val="0"/>
              <w:autoSpaceDE w:val="0"/>
              <w:autoSpaceDN w:val="0"/>
              <w:adjustRightInd w:val="0"/>
              <w:snapToGrid w:val="0"/>
              <w:spacing w:before="80" w:line="231" w:lineRule="auto"/>
              <w:ind w:left="115" w:right="187"/>
              <w:textAlignment w:val="baseline"/>
              <w:rPr>
                <w:rFonts w:ascii="微软雅黑" w:hAnsi="微软雅黑" w:eastAsia="微软雅黑" w:cs="微软雅黑"/>
                <w:snapToGrid w:val="0"/>
                <w:color w:val="000000"/>
                <w:sz w:val="21"/>
                <w:szCs w:val="21"/>
              </w:rPr>
            </w:pPr>
            <w:r>
              <w:rPr>
                <w:rFonts w:ascii="微软雅黑" w:hAnsi="微软雅黑" w:eastAsia="微软雅黑" w:cs="微软雅黑"/>
                <w:snapToGrid w:val="0"/>
                <w:color w:val="000000"/>
                <w:spacing w:val="9"/>
                <w:sz w:val="21"/>
                <w:szCs w:val="21"/>
              </w:rPr>
              <w:t>根据采购人实际情况可进行合理岗位</w:t>
            </w:r>
            <w:r>
              <w:rPr>
                <w:rFonts w:ascii="微软雅黑" w:hAnsi="微软雅黑" w:eastAsia="微软雅黑" w:cs="微软雅黑"/>
                <w:snapToGrid w:val="0"/>
                <w:color w:val="000000"/>
                <w:spacing w:val="4"/>
                <w:sz w:val="21"/>
                <w:szCs w:val="21"/>
              </w:rPr>
              <w:t>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262" w:type="dxa"/>
            <w:vMerge w:val="continue"/>
            <w:tcBorders>
              <w:left w:val="single" w:color="000000" w:sz="10" w:space="0"/>
            </w:tcBorders>
          </w:tcPr>
          <w:p>
            <w:pPr>
              <w:kinsoku w:val="0"/>
              <w:autoSpaceDE w:val="0"/>
              <w:autoSpaceDN w:val="0"/>
              <w:adjustRightInd w:val="0"/>
              <w:snapToGrid w:val="0"/>
              <w:spacing w:before="86" w:line="190" w:lineRule="auto"/>
              <w:ind w:left="98"/>
              <w:textAlignment w:val="baseline"/>
              <w:rPr>
                <w:rFonts w:ascii="微软雅黑" w:hAnsi="微软雅黑" w:eastAsia="微软雅黑" w:cs="微软雅黑"/>
                <w:snapToGrid w:val="0"/>
                <w:color w:val="000000"/>
                <w:spacing w:val="8"/>
                <w:sz w:val="21"/>
                <w:szCs w:val="21"/>
              </w:rPr>
            </w:pPr>
          </w:p>
        </w:tc>
        <w:tc>
          <w:tcPr>
            <w:tcW w:w="2104" w:type="dxa"/>
          </w:tcPr>
          <w:p>
            <w:pPr>
              <w:kinsoku w:val="0"/>
              <w:autoSpaceDE w:val="0"/>
              <w:autoSpaceDN w:val="0"/>
              <w:adjustRightInd w:val="0"/>
              <w:snapToGrid w:val="0"/>
              <w:spacing w:before="80" w:line="211" w:lineRule="auto"/>
              <w:ind w:left="102"/>
              <w:textAlignment w:val="baseline"/>
              <w:rPr>
                <w:rFonts w:ascii="微软雅黑" w:hAnsi="微软雅黑" w:eastAsia="微软雅黑" w:cs="微软雅黑"/>
                <w:snapToGrid w:val="0"/>
                <w:color w:val="000000"/>
                <w:spacing w:val="7"/>
                <w:sz w:val="21"/>
                <w:szCs w:val="21"/>
              </w:rPr>
            </w:pPr>
            <w:r>
              <w:rPr>
                <w:rFonts w:hint="eastAsia" w:ascii="微软雅黑" w:hAnsi="微软雅黑" w:eastAsia="微软雅黑" w:cs="微软雅黑"/>
                <w:snapToGrid w:val="0"/>
                <w:color w:val="000000"/>
                <w:spacing w:val="7"/>
                <w:sz w:val="21"/>
                <w:szCs w:val="21"/>
              </w:rPr>
              <w:t>安保队长</w:t>
            </w:r>
          </w:p>
        </w:tc>
        <w:tc>
          <w:tcPr>
            <w:tcW w:w="2806" w:type="dxa"/>
          </w:tcPr>
          <w:p>
            <w:pPr>
              <w:kinsoku w:val="0"/>
              <w:autoSpaceDE w:val="0"/>
              <w:autoSpaceDN w:val="0"/>
              <w:adjustRightInd w:val="0"/>
              <w:snapToGrid w:val="0"/>
              <w:spacing w:before="161" w:line="185" w:lineRule="auto"/>
              <w:ind w:firstLine="1470" w:firstLineChars="700"/>
              <w:textAlignment w:val="baseline"/>
              <w:rPr>
                <w:rFonts w:ascii="Calibri" w:hAnsi="Calibri" w:eastAsia="宋体" w:cs="Calibri"/>
                <w:snapToGrid w:val="0"/>
                <w:color w:val="000000"/>
                <w:sz w:val="21"/>
                <w:szCs w:val="21"/>
              </w:rPr>
            </w:pPr>
            <w:r>
              <w:rPr>
                <w:rFonts w:hint="eastAsia" w:ascii="Calibri" w:hAnsi="Calibri" w:eastAsia="宋体" w:cs="Calibri"/>
                <w:snapToGrid w:val="0"/>
                <w:color w:val="000000"/>
                <w:sz w:val="21"/>
                <w:szCs w:val="21"/>
              </w:rPr>
              <w:t>1</w:t>
            </w:r>
          </w:p>
        </w:tc>
        <w:tc>
          <w:tcPr>
            <w:tcW w:w="2794" w:type="dxa"/>
            <w:vMerge w:val="continue"/>
            <w:tcBorders>
              <w:right w:val="single" w:color="000000" w:sz="10" w:space="0"/>
            </w:tcBorders>
          </w:tcPr>
          <w:p>
            <w:pPr>
              <w:kinsoku w:val="0"/>
              <w:autoSpaceDE w:val="0"/>
              <w:autoSpaceDN w:val="0"/>
              <w:adjustRightInd w:val="0"/>
              <w:snapToGrid w:val="0"/>
              <w:spacing w:before="80" w:line="231" w:lineRule="auto"/>
              <w:ind w:left="115" w:right="187"/>
              <w:textAlignment w:val="baseline"/>
              <w:rPr>
                <w:rFonts w:ascii="微软雅黑" w:hAnsi="微软雅黑" w:eastAsia="微软雅黑" w:cs="微软雅黑"/>
                <w:snapToGrid w:val="0"/>
                <w:color w:val="000000"/>
                <w:spacing w:val="9"/>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1262" w:type="dxa"/>
            <w:vMerge w:val="continue"/>
            <w:tcBorders>
              <w:top w:val="nil"/>
              <w:left w:val="single" w:color="000000" w:sz="10" w:space="0"/>
              <w:bottom w:val="nil"/>
            </w:tcBorders>
          </w:tcPr>
          <w:p>
            <w:pPr>
              <w:kinsoku w:val="0"/>
              <w:autoSpaceDE w:val="0"/>
              <w:autoSpaceDN w:val="0"/>
              <w:adjustRightInd w:val="0"/>
              <w:snapToGrid w:val="0"/>
              <w:textAlignment w:val="baseline"/>
              <w:rPr>
                <w:rFonts w:ascii="Arial" w:hAnsi="Arial" w:eastAsia="Arial" w:cs="Arial"/>
                <w:snapToGrid w:val="0"/>
                <w:color w:val="000000"/>
                <w:sz w:val="21"/>
                <w:szCs w:val="21"/>
                <w:lang w:eastAsia="en-US"/>
              </w:rPr>
            </w:pPr>
          </w:p>
        </w:tc>
        <w:tc>
          <w:tcPr>
            <w:tcW w:w="2104" w:type="dxa"/>
          </w:tcPr>
          <w:p>
            <w:pPr>
              <w:kinsoku w:val="0"/>
              <w:autoSpaceDE w:val="0"/>
              <w:autoSpaceDN w:val="0"/>
              <w:adjustRightInd w:val="0"/>
              <w:snapToGrid w:val="0"/>
              <w:spacing w:before="125" w:line="180" w:lineRule="auto"/>
              <w:ind w:left="116"/>
              <w:textAlignment w:val="baseline"/>
              <w:rPr>
                <w:rFonts w:ascii="微软雅黑" w:hAnsi="微软雅黑" w:eastAsia="微软雅黑" w:cs="微软雅黑"/>
                <w:snapToGrid w:val="0"/>
                <w:color w:val="000000"/>
                <w:sz w:val="21"/>
                <w:szCs w:val="21"/>
              </w:rPr>
            </w:pPr>
            <w:r>
              <w:rPr>
                <w:rFonts w:hint="eastAsia" w:ascii="微软雅黑" w:hAnsi="微软雅黑" w:eastAsia="微软雅黑" w:cs="微软雅黑"/>
                <w:snapToGrid w:val="0"/>
                <w:color w:val="000000"/>
                <w:spacing w:val="-1"/>
                <w:sz w:val="21"/>
                <w:szCs w:val="21"/>
              </w:rPr>
              <w:t>内保人员</w:t>
            </w:r>
          </w:p>
        </w:tc>
        <w:tc>
          <w:tcPr>
            <w:tcW w:w="2806" w:type="dxa"/>
          </w:tcPr>
          <w:p>
            <w:pPr>
              <w:kinsoku w:val="0"/>
              <w:autoSpaceDE w:val="0"/>
              <w:autoSpaceDN w:val="0"/>
              <w:adjustRightInd w:val="0"/>
              <w:snapToGrid w:val="0"/>
              <w:spacing w:before="166" w:line="186" w:lineRule="auto"/>
              <w:ind w:firstLine="1470" w:firstLineChars="700"/>
              <w:textAlignment w:val="baseline"/>
              <w:rPr>
                <w:rFonts w:ascii="Calibri" w:hAnsi="Calibri" w:eastAsia="宋体" w:cs="Calibri"/>
                <w:snapToGrid w:val="0"/>
                <w:color w:val="000000"/>
                <w:sz w:val="21"/>
                <w:szCs w:val="21"/>
              </w:rPr>
            </w:pPr>
            <w:r>
              <w:rPr>
                <w:rFonts w:hint="eastAsia" w:ascii="Calibri" w:hAnsi="Calibri" w:eastAsia="宋体" w:cs="Calibri"/>
                <w:snapToGrid w:val="0"/>
                <w:color w:val="000000"/>
                <w:sz w:val="21"/>
                <w:szCs w:val="21"/>
              </w:rPr>
              <w:t>4</w:t>
            </w:r>
          </w:p>
        </w:tc>
        <w:tc>
          <w:tcPr>
            <w:tcW w:w="2794" w:type="dxa"/>
            <w:vMerge w:val="continue"/>
            <w:tcBorders>
              <w:top w:val="nil"/>
              <w:bottom w:val="nil"/>
              <w:right w:val="single" w:color="000000" w:sz="10" w:space="0"/>
            </w:tcBorders>
          </w:tcPr>
          <w:p>
            <w:pPr>
              <w:kinsoku w:val="0"/>
              <w:autoSpaceDE w:val="0"/>
              <w:autoSpaceDN w:val="0"/>
              <w:adjustRightInd w:val="0"/>
              <w:snapToGrid w:val="0"/>
              <w:textAlignment w:val="baseline"/>
              <w:rPr>
                <w:rFonts w:ascii="Arial" w:hAnsi="Arial" w:eastAsia="Arial" w:cs="Arial"/>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1262" w:type="dxa"/>
            <w:vMerge w:val="continue"/>
            <w:tcBorders>
              <w:top w:val="nil"/>
              <w:left w:val="single" w:color="000000" w:sz="10" w:space="0"/>
            </w:tcBorders>
          </w:tcPr>
          <w:p>
            <w:pPr>
              <w:kinsoku w:val="0"/>
              <w:autoSpaceDE w:val="0"/>
              <w:autoSpaceDN w:val="0"/>
              <w:adjustRightInd w:val="0"/>
              <w:snapToGrid w:val="0"/>
              <w:textAlignment w:val="baseline"/>
              <w:rPr>
                <w:rFonts w:ascii="Arial" w:hAnsi="Arial" w:eastAsia="Arial" w:cs="Arial"/>
                <w:snapToGrid w:val="0"/>
                <w:color w:val="000000"/>
                <w:sz w:val="21"/>
                <w:szCs w:val="21"/>
                <w:lang w:eastAsia="en-US"/>
              </w:rPr>
            </w:pPr>
          </w:p>
        </w:tc>
        <w:tc>
          <w:tcPr>
            <w:tcW w:w="2104" w:type="dxa"/>
          </w:tcPr>
          <w:p>
            <w:pPr>
              <w:kinsoku w:val="0"/>
              <w:autoSpaceDE w:val="0"/>
              <w:autoSpaceDN w:val="0"/>
              <w:adjustRightInd w:val="0"/>
              <w:snapToGrid w:val="0"/>
              <w:spacing w:before="132" w:line="175" w:lineRule="auto"/>
              <w:ind w:left="102"/>
              <w:textAlignment w:val="baseline"/>
              <w:rPr>
                <w:rFonts w:ascii="微软雅黑" w:hAnsi="微软雅黑" w:eastAsia="微软雅黑" w:cs="微软雅黑"/>
                <w:snapToGrid w:val="0"/>
                <w:color w:val="000000"/>
                <w:sz w:val="21"/>
                <w:szCs w:val="21"/>
              </w:rPr>
            </w:pPr>
            <w:r>
              <w:rPr>
                <w:rFonts w:hint="eastAsia" w:ascii="微软雅黑" w:hAnsi="微软雅黑" w:eastAsia="微软雅黑" w:cs="微软雅黑"/>
                <w:snapToGrid w:val="0"/>
                <w:color w:val="000000"/>
                <w:spacing w:val="7"/>
                <w:sz w:val="21"/>
                <w:szCs w:val="21"/>
              </w:rPr>
              <w:t>门岗、巡逻保安员</w:t>
            </w:r>
          </w:p>
        </w:tc>
        <w:tc>
          <w:tcPr>
            <w:tcW w:w="2806" w:type="dxa"/>
          </w:tcPr>
          <w:p>
            <w:pPr>
              <w:kinsoku w:val="0"/>
              <w:autoSpaceDE w:val="0"/>
              <w:autoSpaceDN w:val="0"/>
              <w:adjustRightInd w:val="0"/>
              <w:snapToGrid w:val="0"/>
              <w:spacing w:before="174" w:line="186" w:lineRule="auto"/>
              <w:ind w:firstLine="1470" w:firstLineChars="700"/>
              <w:textAlignment w:val="baseline"/>
              <w:rPr>
                <w:rFonts w:ascii="Calibri" w:hAnsi="Calibri" w:eastAsia="宋体" w:cs="Calibri"/>
                <w:snapToGrid w:val="0"/>
                <w:color w:val="000000"/>
                <w:sz w:val="21"/>
                <w:szCs w:val="21"/>
              </w:rPr>
            </w:pPr>
            <w:r>
              <w:rPr>
                <w:rFonts w:hint="eastAsia" w:ascii="Calibri" w:hAnsi="Calibri" w:eastAsia="宋体" w:cs="Calibri"/>
                <w:snapToGrid w:val="0"/>
                <w:color w:val="000000"/>
                <w:sz w:val="21"/>
                <w:szCs w:val="21"/>
              </w:rPr>
              <w:t>43</w:t>
            </w:r>
          </w:p>
        </w:tc>
        <w:tc>
          <w:tcPr>
            <w:tcW w:w="2794" w:type="dxa"/>
            <w:vMerge w:val="continue"/>
            <w:tcBorders>
              <w:top w:val="nil"/>
              <w:right w:val="single" w:color="000000" w:sz="10" w:space="0"/>
            </w:tcBorders>
          </w:tcPr>
          <w:p>
            <w:pPr>
              <w:kinsoku w:val="0"/>
              <w:autoSpaceDE w:val="0"/>
              <w:autoSpaceDN w:val="0"/>
              <w:adjustRightInd w:val="0"/>
              <w:snapToGrid w:val="0"/>
              <w:textAlignment w:val="baseline"/>
              <w:rPr>
                <w:rFonts w:ascii="Arial" w:hAnsi="Arial" w:eastAsia="Arial" w:cs="Arial"/>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3367" w:type="dxa"/>
            <w:gridSpan w:val="2"/>
            <w:tcBorders>
              <w:left w:val="single" w:color="000000" w:sz="10" w:space="0"/>
              <w:bottom w:val="single" w:color="000000" w:sz="10" w:space="0"/>
            </w:tcBorders>
          </w:tcPr>
          <w:p>
            <w:pPr>
              <w:kinsoku w:val="0"/>
              <w:autoSpaceDE w:val="0"/>
              <w:autoSpaceDN w:val="0"/>
              <w:adjustRightInd w:val="0"/>
              <w:snapToGrid w:val="0"/>
              <w:spacing w:before="135" w:line="189" w:lineRule="auto"/>
              <w:ind w:left="1191" w:firstLine="112" w:firstLineChars="50"/>
              <w:textAlignment w:val="baseline"/>
              <w:rPr>
                <w:rFonts w:ascii="微软雅黑" w:hAnsi="微软雅黑" w:eastAsia="微软雅黑" w:cs="微软雅黑"/>
                <w:snapToGrid w:val="0"/>
                <w:color w:val="000000"/>
                <w:sz w:val="21"/>
                <w:szCs w:val="21"/>
              </w:rPr>
            </w:pPr>
            <w:r>
              <w:rPr>
                <w:rFonts w:ascii="微软雅黑" w:hAnsi="微软雅黑" w:eastAsia="微软雅黑" w:cs="微软雅黑"/>
                <w:b/>
                <w:bCs/>
                <w:snapToGrid w:val="0"/>
                <w:color w:val="000000"/>
                <w:spacing w:val="7"/>
                <w:sz w:val="21"/>
                <w:szCs w:val="21"/>
                <w:lang w:eastAsia="en-US"/>
              </w:rPr>
              <w:t>合计</w:t>
            </w:r>
            <w:r>
              <w:rPr>
                <w:rFonts w:hint="eastAsia" w:ascii="微软雅黑" w:hAnsi="微软雅黑" w:eastAsia="微软雅黑" w:cs="微软雅黑"/>
                <w:b/>
                <w:bCs/>
                <w:snapToGrid w:val="0"/>
                <w:color w:val="000000"/>
                <w:spacing w:val="7"/>
                <w:sz w:val="21"/>
                <w:szCs w:val="21"/>
              </w:rPr>
              <w:t>人数</w:t>
            </w:r>
          </w:p>
        </w:tc>
        <w:tc>
          <w:tcPr>
            <w:tcW w:w="5601" w:type="dxa"/>
            <w:gridSpan w:val="2"/>
            <w:tcBorders>
              <w:bottom w:val="single" w:color="000000" w:sz="10" w:space="0"/>
              <w:right w:val="single" w:color="000000" w:sz="10" w:space="0"/>
            </w:tcBorders>
          </w:tcPr>
          <w:p>
            <w:pPr>
              <w:kinsoku w:val="0"/>
              <w:autoSpaceDE w:val="0"/>
              <w:autoSpaceDN w:val="0"/>
              <w:adjustRightInd w:val="0"/>
              <w:snapToGrid w:val="0"/>
              <w:spacing w:before="138" w:line="187" w:lineRule="auto"/>
              <w:ind w:firstLine="1456" w:firstLineChars="700"/>
              <w:textAlignment w:val="baseline"/>
              <w:rPr>
                <w:rFonts w:ascii="Calibri" w:hAnsi="Calibri" w:eastAsia="宋体" w:cs="Calibri"/>
                <w:snapToGrid w:val="0"/>
                <w:color w:val="000000"/>
                <w:sz w:val="21"/>
                <w:szCs w:val="21"/>
              </w:rPr>
            </w:pPr>
            <w:r>
              <w:rPr>
                <w:rFonts w:hint="eastAsia" w:ascii="Calibri" w:hAnsi="Calibri" w:eastAsia="宋体" w:cs="Calibri"/>
                <w:b/>
                <w:bCs/>
                <w:snapToGrid w:val="0"/>
                <w:color w:val="000000"/>
                <w:spacing w:val="-1"/>
                <w:sz w:val="21"/>
                <w:szCs w:val="21"/>
              </w:rPr>
              <w:t>49</w:t>
            </w:r>
          </w:p>
        </w:tc>
      </w:tr>
    </w:tbl>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（三）人员要求</w:t>
      </w:r>
    </w:p>
    <w:p>
      <w:pPr>
        <w:pStyle w:val="40"/>
        <w:spacing w:line="240" w:lineRule="auto"/>
        <w:ind w:firstLine="480" w:firstLineChars="200"/>
        <w:rPr>
          <w:rFonts w:ascii="Calibri" w:hAnsi="Calibri" w:eastAsia="宋体" w:cstheme="minorHAnsi"/>
          <w:color w:val="000000"/>
          <w:kern w:val="24"/>
          <w:sz w:val="24"/>
          <w:szCs w:val="24"/>
        </w:rPr>
      </w:pPr>
      <w:r>
        <w:rPr>
          <w:rFonts w:ascii="Segoe UI Symbol" w:hAnsi="Segoe UI Symbol" w:eastAsia="宋体" w:cs="Segoe UI Symbol"/>
          <w:color w:val="FF0000"/>
          <w:kern w:val="24"/>
          <w:sz w:val="24"/>
          <w:szCs w:val="24"/>
        </w:rPr>
        <w:t>★</w:t>
      </w:r>
      <w:r>
        <w:rPr>
          <w:rFonts w:hint="eastAsia" w:ascii="Calibri" w:hAnsi="Calibri" w:eastAsia="宋体" w:cstheme="minorHAnsi"/>
          <w:color w:val="000000"/>
          <w:kern w:val="24"/>
          <w:sz w:val="24"/>
          <w:szCs w:val="24"/>
        </w:rPr>
        <w:t>1.供应商须承诺：本项目</w:t>
      </w:r>
      <w:bookmarkStart w:id="52" w:name="OLE_LINK64"/>
      <w:bookmarkStart w:id="53" w:name="OLE_LINK65"/>
      <w:r>
        <w:rPr>
          <w:rFonts w:hint="eastAsia" w:ascii="Calibri" w:hAnsi="Calibri" w:eastAsia="宋体" w:cstheme="minorHAnsi"/>
          <w:color w:val="000000"/>
          <w:kern w:val="24"/>
          <w:sz w:val="24"/>
          <w:szCs w:val="24"/>
        </w:rPr>
        <w:t>拟派安保</w:t>
      </w:r>
      <w:bookmarkEnd w:id="52"/>
      <w:bookmarkEnd w:id="53"/>
      <w:r>
        <w:rPr>
          <w:rFonts w:hint="eastAsia" w:ascii="Calibri" w:hAnsi="Calibri" w:eastAsia="宋体" w:cstheme="minorHAnsi"/>
          <w:color w:val="000000"/>
          <w:kern w:val="24"/>
          <w:sz w:val="24"/>
          <w:szCs w:val="24"/>
        </w:rPr>
        <w:t>人员</w:t>
      </w:r>
      <w:r>
        <w:rPr>
          <w:rFonts w:ascii="Calibri" w:hAnsi="Calibri" w:eastAsia="宋体" w:cstheme="minorHAnsi"/>
          <w:color w:val="000000"/>
          <w:kern w:val="24"/>
          <w:sz w:val="24"/>
          <w:szCs w:val="24"/>
        </w:rPr>
        <w:t>不少于49</w:t>
      </w:r>
      <w:r>
        <w:rPr>
          <w:rFonts w:hint="eastAsia" w:ascii="Calibri" w:hAnsi="Calibri" w:eastAsia="宋体" w:cstheme="minorHAnsi"/>
          <w:color w:val="000000"/>
          <w:kern w:val="24"/>
          <w:sz w:val="24"/>
          <w:szCs w:val="24"/>
        </w:rPr>
        <w:t>名（含项目经理），全员上岗前持有《保安员证》，全员具备安保服务2年及以上工作经验。</w:t>
      </w: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承诺书</w:t>
      </w:r>
      <w:r>
        <w:rPr>
          <w:rFonts w:ascii="Calibri" w:hAnsi="Calibri" w:eastAsia="宋体" w:cstheme="minorHAnsi"/>
          <w:color w:val="000000"/>
          <w:kern w:val="24"/>
          <w:sz w:val="24"/>
          <w:szCs w:val="24"/>
        </w:rPr>
        <w:t>格式自拟并加盖公章）</w:t>
      </w:r>
    </w:p>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2.供应商对拟派的</w:t>
      </w:r>
      <w:r>
        <w:rPr>
          <w:rFonts w:ascii="Calibri" w:hAnsi="Calibri" w:eastAsia="宋体" w:cstheme="minorHAnsi"/>
          <w:color w:val="000000"/>
          <w:kern w:val="24"/>
          <w:sz w:val="24"/>
          <w:szCs w:val="24"/>
        </w:rPr>
        <w:t>安保人员</w:t>
      </w:r>
      <w:r>
        <w:rPr>
          <w:rFonts w:hint="eastAsia" w:ascii="Calibri" w:hAnsi="Calibri" w:eastAsia="宋体" w:cstheme="minorHAnsi"/>
          <w:color w:val="000000"/>
          <w:kern w:val="24"/>
          <w:sz w:val="24"/>
          <w:szCs w:val="24"/>
        </w:rPr>
        <w:t>要严格调查审核，具备完善的人员储备及管理机制。确保全体安保人员年龄25周岁</w:t>
      </w: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50周岁，身高不低于170cm，身体健康、五官端正，无精神病史、无传染性疾病、无刑事犯罪及不良从业记录，体能达标并能适应高强度执勤需求。</w:t>
      </w:r>
    </w:p>
    <w:p>
      <w:pPr>
        <w:pStyle w:val="40"/>
        <w:spacing w:line="240" w:lineRule="auto"/>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3</w:t>
      </w:r>
      <w:r>
        <w:rPr>
          <w:rFonts w:hint="eastAsia" w:ascii="Calibri" w:hAnsi="Calibri" w:eastAsia="宋体" w:cstheme="minorHAnsi"/>
          <w:color w:val="000000"/>
          <w:kern w:val="24"/>
          <w:sz w:val="24"/>
          <w:szCs w:val="24"/>
        </w:rPr>
        <w:t>.要建立健全组织机构，派驻专职管理人员，任命项目经理</w:t>
      </w:r>
      <w:r>
        <w:rPr>
          <w:rFonts w:ascii="Calibri" w:hAnsi="Calibri" w:eastAsia="宋体" w:cstheme="minorHAnsi"/>
          <w:color w:val="000000"/>
          <w:kern w:val="24"/>
          <w:sz w:val="24"/>
          <w:szCs w:val="24"/>
        </w:rPr>
        <w:t xml:space="preserve"> </w:t>
      </w:r>
      <w:r>
        <w:rPr>
          <w:rFonts w:hint="eastAsia" w:ascii="Calibri" w:hAnsi="Calibri" w:eastAsia="宋体" w:cstheme="minorHAnsi"/>
          <w:color w:val="000000"/>
          <w:kern w:val="24"/>
          <w:sz w:val="24"/>
          <w:szCs w:val="24"/>
        </w:rPr>
        <w:t>1名及安保队长1名，负责现场日常的教育管理工作，带头落实好合同约定的服务项目、内容及职责。</w:t>
      </w:r>
    </w:p>
    <w:p>
      <w:pPr>
        <w:pStyle w:val="40"/>
        <w:spacing w:line="240" w:lineRule="auto"/>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4.</w:t>
      </w:r>
      <w:r>
        <w:rPr>
          <w:rFonts w:hint="eastAsia" w:ascii="Calibri" w:hAnsi="Calibri" w:eastAsia="宋体" w:cstheme="minorHAnsi"/>
          <w:color w:val="000000"/>
          <w:kern w:val="24"/>
          <w:sz w:val="24"/>
          <w:szCs w:val="24"/>
        </w:rPr>
        <w:t>拟派安保人员须经安保相关技能培训并合格后方可上岗，上岗后仍需继续接受院方精神卫生相关安保知识及沟通技巧培训。</w:t>
      </w:r>
    </w:p>
    <w:p>
      <w:pPr>
        <w:pStyle w:val="40"/>
        <w:spacing w:line="240" w:lineRule="auto"/>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5.</w:t>
      </w:r>
      <w:r>
        <w:rPr>
          <w:rFonts w:hint="eastAsia" w:ascii="Calibri" w:hAnsi="Calibri" w:eastAsia="宋体" w:cstheme="minorHAnsi"/>
          <w:color w:val="000000"/>
          <w:kern w:val="24"/>
          <w:sz w:val="24"/>
          <w:szCs w:val="24"/>
        </w:rPr>
        <w:t>拟派安保人员执勤时须统一着装、仪容整洁，文明执勤、耐心克制，面对患者及家属规范用语，避免激化矛盾。</w:t>
      </w:r>
    </w:p>
    <w:p>
      <w:pPr>
        <w:pStyle w:val="40"/>
        <w:spacing w:line="240" w:lineRule="auto"/>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6</w:t>
      </w:r>
      <w:r>
        <w:rPr>
          <w:rFonts w:hint="eastAsia" w:ascii="Calibri" w:hAnsi="Calibri" w:eastAsia="宋体" w:cstheme="minorHAnsi"/>
          <w:color w:val="000000"/>
          <w:kern w:val="24"/>
          <w:sz w:val="24"/>
          <w:szCs w:val="24"/>
        </w:rPr>
        <w:t>.供应商如更换派驻的项目经理，应</w:t>
      </w:r>
      <w:r>
        <w:rPr>
          <w:rFonts w:ascii="Calibri" w:hAnsi="Calibri" w:eastAsia="宋体" w:cstheme="minorHAnsi"/>
          <w:color w:val="000000"/>
          <w:kern w:val="24"/>
          <w:sz w:val="24"/>
          <w:szCs w:val="24"/>
        </w:rPr>
        <w:t>向采购人</w:t>
      </w:r>
      <w:r>
        <w:rPr>
          <w:rFonts w:hint="eastAsia" w:ascii="Calibri" w:hAnsi="Calibri" w:eastAsia="宋体" w:cstheme="minorHAnsi"/>
          <w:color w:val="000000"/>
          <w:kern w:val="24"/>
          <w:sz w:val="24"/>
          <w:szCs w:val="24"/>
        </w:rPr>
        <w:t>提前1个月书面报备；更换普通安保队员，应</w:t>
      </w:r>
      <w:r>
        <w:rPr>
          <w:rFonts w:ascii="Calibri" w:hAnsi="Calibri" w:eastAsia="宋体" w:cstheme="minorHAnsi"/>
          <w:color w:val="000000"/>
          <w:kern w:val="24"/>
          <w:sz w:val="24"/>
          <w:szCs w:val="24"/>
        </w:rPr>
        <w:t>向采购人</w:t>
      </w:r>
      <w:r>
        <w:rPr>
          <w:rFonts w:hint="eastAsia" w:ascii="Calibri" w:hAnsi="Calibri" w:eastAsia="宋体" w:cstheme="minorHAnsi"/>
          <w:color w:val="000000"/>
          <w:kern w:val="24"/>
          <w:sz w:val="24"/>
          <w:szCs w:val="24"/>
        </w:rPr>
        <w:t>提前3天书面报备。确保服务不间断保，接替的</w:t>
      </w:r>
      <w:r>
        <w:rPr>
          <w:rFonts w:ascii="Calibri" w:hAnsi="Calibri" w:eastAsia="宋体" w:cstheme="minorHAnsi"/>
          <w:color w:val="000000"/>
          <w:kern w:val="24"/>
          <w:sz w:val="24"/>
          <w:szCs w:val="24"/>
        </w:rPr>
        <w:t>安保</w:t>
      </w:r>
      <w:r>
        <w:rPr>
          <w:rFonts w:hint="eastAsia" w:ascii="Calibri" w:hAnsi="Calibri" w:eastAsia="宋体" w:cstheme="minorHAnsi"/>
          <w:color w:val="000000"/>
          <w:kern w:val="24"/>
          <w:sz w:val="24"/>
          <w:szCs w:val="24"/>
        </w:rPr>
        <w:t>人员符合录用</w:t>
      </w:r>
      <w:r>
        <w:rPr>
          <w:rFonts w:ascii="Calibri" w:hAnsi="Calibri" w:eastAsia="宋体" w:cstheme="minorHAnsi"/>
          <w:color w:val="000000"/>
          <w:kern w:val="24"/>
          <w:sz w:val="24"/>
          <w:szCs w:val="24"/>
        </w:rPr>
        <w:t>标准</w:t>
      </w:r>
      <w:r>
        <w:rPr>
          <w:rFonts w:hint="eastAsia" w:ascii="Calibri" w:hAnsi="Calibri" w:eastAsia="宋体" w:cstheme="minorHAnsi"/>
          <w:color w:val="000000"/>
          <w:kern w:val="24"/>
          <w:sz w:val="24"/>
          <w:szCs w:val="24"/>
        </w:rPr>
        <w:t>。</w:t>
      </w:r>
    </w:p>
    <w:p>
      <w:pPr>
        <w:pStyle w:val="3"/>
        <w:jc w:val="both"/>
      </w:pPr>
      <w:bookmarkStart w:id="54" w:name="OLE_LINK46"/>
      <w:bookmarkStart w:id="55" w:name="OLE_LINK45"/>
      <w:r>
        <w:rPr>
          <w:rFonts w:hint="eastAsia"/>
        </w:rPr>
        <w:t>四、装备物资要求</w:t>
      </w:r>
    </w:p>
    <w:bookmarkEnd w:id="54"/>
    <w:bookmarkEnd w:id="55"/>
    <w:p>
      <w:pPr>
        <w:pStyle w:val="40"/>
        <w:spacing w:line="240" w:lineRule="auto"/>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采购人根据项目实际需求，需要供应商提供作业设备（自有或租赁）用于安保管理服务的，以下为</w:t>
      </w:r>
      <w:r>
        <w:rPr>
          <w:rFonts w:ascii="Calibri" w:hAnsi="Calibri" w:eastAsia="宋体" w:cstheme="minorHAnsi"/>
          <w:color w:val="000000"/>
          <w:kern w:val="24"/>
          <w:sz w:val="24"/>
          <w:szCs w:val="24"/>
        </w:rPr>
        <w:t>最低配置要求</w:t>
      </w:r>
      <w:r>
        <w:rPr>
          <w:rFonts w:hint="eastAsia" w:ascii="Calibri" w:hAnsi="Calibri" w:eastAsia="宋体" w:cstheme="minorHAnsi"/>
          <w:color w:val="000000"/>
          <w:kern w:val="24"/>
          <w:sz w:val="24"/>
          <w:szCs w:val="24"/>
        </w:rPr>
        <w:t>：</w:t>
      </w:r>
    </w:p>
    <w:tbl>
      <w:tblPr>
        <w:tblStyle w:val="24"/>
        <w:tblW w:w="5000" w:type="pct"/>
        <w:tblInd w:w="0" w:type="dxa"/>
        <w:tblLayout w:type="fixed"/>
        <w:tblCellMar>
          <w:top w:w="0" w:type="dxa"/>
          <w:left w:w="108" w:type="dxa"/>
          <w:bottom w:w="0" w:type="dxa"/>
          <w:right w:w="108" w:type="dxa"/>
        </w:tblCellMar>
      </w:tblPr>
      <w:tblGrid>
        <w:gridCol w:w="729"/>
        <w:gridCol w:w="3662"/>
        <w:gridCol w:w="991"/>
        <w:gridCol w:w="1134"/>
        <w:gridCol w:w="2544"/>
      </w:tblGrid>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序号</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名称</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sz w:val="21"/>
                <w:szCs w:val="21"/>
                <w:lang w:bidi="ar"/>
              </w:rPr>
            </w:pPr>
            <w:r>
              <w:rPr>
                <w:rFonts w:hint="eastAsia" w:ascii="宋体" w:hAnsi="宋体" w:eastAsia="宋体" w:cs="宋体"/>
                <w:b/>
                <w:bCs/>
                <w:sz w:val="21"/>
                <w:szCs w:val="21"/>
                <w:lang w:bidi="ar"/>
              </w:rPr>
              <w:t>数量</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sz w:val="21"/>
                <w:szCs w:val="21"/>
                <w:lang w:bidi="ar"/>
              </w:rPr>
            </w:pPr>
            <w:r>
              <w:rPr>
                <w:rFonts w:hint="eastAsia" w:ascii="宋体" w:hAnsi="宋体" w:eastAsia="宋体" w:cs="宋体"/>
                <w:b/>
                <w:bCs/>
                <w:sz w:val="21"/>
                <w:szCs w:val="21"/>
                <w:lang w:bidi="ar"/>
              </w:rPr>
              <w:t>单位</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sz w:val="21"/>
                <w:szCs w:val="21"/>
                <w:lang w:bidi="ar"/>
              </w:rPr>
            </w:pPr>
            <w:r>
              <w:rPr>
                <w:rFonts w:hint="eastAsia" w:ascii="宋体" w:hAnsi="宋体" w:eastAsia="宋体" w:cs="宋体"/>
                <w:b/>
                <w:bCs/>
                <w:sz w:val="21"/>
                <w:szCs w:val="21"/>
                <w:lang w:bidi="ar"/>
              </w:rPr>
              <w:t>备注</w:t>
            </w:r>
          </w:p>
        </w:tc>
      </w:tr>
      <w:tr>
        <w:tblPrEx>
          <w:tblCellMar>
            <w:top w:w="0" w:type="dxa"/>
            <w:left w:w="108" w:type="dxa"/>
            <w:bottom w:w="0" w:type="dxa"/>
            <w:right w:w="108" w:type="dxa"/>
          </w:tblCellMar>
        </w:tblPrEx>
        <w:trPr>
          <w:trHeight w:val="485"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1</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lang w:bidi="ar"/>
              </w:rPr>
              <w:t>手持式金属探测器</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sz w:val="21"/>
                <w:szCs w:val="21"/>
                <w:lang w:bidi="ar"/>
              </w:rPr>
            </w:pPr>
            <w:r>
              <w:rPr>
                <w:rFonts w:hint="eastAsia" w:ascii="宋体" w:hAnsi="宋体" w:eastAsia="宋体" w:cs="宋体"/>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bCs/>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2</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lang w:bidi="ar"/>
              </w:rPr>
              <w:t>手持液体危险化学品易燃易爆探测器</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lang w:bidi="ar"/>
              </w:rPr>
              <w:t>2</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3</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lang w:bidi="ar"/>
              </w:rPr>
              <w:t>巡更手持机</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lang w:bidi="ar"/>
              </w:rPr>
              <w:t>4</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台</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4</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lang w:bidi="ar"/>
              </w:rPr>
              <w:t>强光手电</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rPr>
            </w:pPr>
            <w:r>
              <w:rPr>
                <w:rFonts w:hint="eastAsia" w:ascii="宋体" w:hAnsi="宋体" w:eastAsia="宋体" w:cs="宋体"/>
                <w:sz w:val="21"/>
                <w:szCs w:val="21"/>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支</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对讲机</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根据岗位人员数量配备</w:t>
            </w: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6</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执法记录仪</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部</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7</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闪光臂夹灯</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8</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发光指挥棒</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9</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防暴钢叉</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10</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防暴抓捕腰叉</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11</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钩脚器</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12</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防暴短棍</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13</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防暴盾牌</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15</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臂盾</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16</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防暴头盔</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顶</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18</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多功能腰带</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19</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防刺马甲</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件</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20</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防割手套</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副</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21</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反光背心</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件</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22</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防暴设备固定架</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根据安防设备数量准备</w:t>
            </w: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23</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防暴器材柜</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根据安防设备数量准备</w:t>
            </w:r>
          </w:p>
        </w:tc>
      </w:tr>
      <w:tr>
        <w:tblPrEx>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24</w:t>
            </w:r>
          </w:p>
        </w:tc>
        <w:tc>
          <w:tcPr>
            <w:tcW w:w="202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四轮巡逻车</w:t>
            </w:r>
          </w:p>
        </w:tc>
        <w:tc>
          <w:tcPr>
            <w:tcW w:w="54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辆</w:t>
            </w:r>
          </w:p>
        </w:tc>
        <w:tc>
          <w:tcPr>
            <w:tcW w:w="140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适配医院内部道路通行</w:t>
            </w:r>
          </w:p>
        </w:tc>
      </w:tr>
    </w:tbl>
    <w:p>
      <w:pPr>
        <w:pStyle w:val="3"/>
        <w:numPr>
          <w:ilvl w:val="0"/>
          <w:numId w:val="0"/>
        </w:numPr>
        <w:jc w:val="both"/>
      </w:pPr>
      <w:r>
        <w:rPr>
          <w:rFonts w:hint="eastAsia"/>
        </w:rPr>
        <w:t>五、商务要求</w:t>
      </w:r>
    </w:p>
    <w:p>
      <w:pPr>
        <w:pStyle w:val="60"/>
        <w:ind w:firstLine="480"/>
      </w:pPr>
      <w:r>
        <w:t>（一）</w:t>
      </w:r>
      <w:r>
        <w:rPr>
          <w:rFonts w:hint="eastAsia"/>
        </w:rPr>
        <w:t>服务期限：一年，以合同签订时约定的起止时间为准。</w:t>
      </w:r>
    </w:p>
    <w:p>
      <w:pPr>
        <w:pStyle w:val="60"/>
        <w:ind w:firstLine="480"/>
      </w:pPr>
      <w:r>
        <w:rPr>
          <w:rFonts w:hint="eastAsia"/>
        </w:rPr>
        <w:t>（二）4名内保人员，月费用5100元/人，</w:t>
      </w:r>
      <w:bookmarkStart w:id="56" w:name="OLE_LINK22"/>
      <w:bookmarkStart w:id="57" w:name="OLE_LINK16"/>
      <w:r>
        <w:rPr>
          <w:rFonts w:hint="eastAsia"/>
        </w:rPr>
        <w:t>为固定核算项</w:t>
      </w:r>
      <w:bookmarkEnd w:id="56"/>
      <w:bookmarkEnd w:id="57"/>
      <w:r>
        <w:rPr>
          <w:rFonts w:hint="eastAsia"/>
        </w:rPr>
        <w:t>。</w:t>
      </w:r>
    </w:p>
    <w:p>
      <w:pPr>
        <w:pStyle w:val="60"/>
        <w:ind w:firstLine="480"/>
      </w:pPr>
      <w:r>
        <w:rPr>
          <w:rFonts w:hint="eastAsia"/>
        </w:rPr>
        <w:t>（三）</w:t>
      </w:r>
      <w:r>
        <w:t>本项目投标报价中，</w:t>
      </w:r>
      <w:r>
        <w:rPr>
          <w:rFonts w:hint="eastAsia"/>
        </w:rPr>
        <w:t>所有安保</w:t>
      </w:r>
      <w:r>
        <w:t>服务人员单价已涵盖所有相关费用，项目所需设备、器具及其他相关费用均不另行单独报价。</w:t>
      </w:r>
    </w:p>
    <w:p>
      <w:pPr>
        <w:pStyle w:val="60"/>
        <w:ind w:firstLine="480"/>
      </w:pPr>
      <w:r>
        <w:rPr>
          <w:rFonts w:hint="eastAsia"/>
        </w:rPr>
        <w:t>（四）供应商须为其派驻人员购买足额工伤保险等法律法规要求的保险，并承担其作为采购人的全部劳动用工管理责任。在服务期间发生的人员劳动纠纷、安全事故等，均由中标供应商独立承担责任，若给采购人造成损失，中标供应商负责赔偿。</w:t>
      </w:r>
    </w:p>
    <w:p>
      <w:pPr>
        <w:pStyle w:val="60"/>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numPr>
          <w:ilvl w:val="0"/>
          <w:numId w:val="1"/>
        </w:numPr>
        <w:spacing w:before="230" w:after="230"/>
        <w:rPr>
          <w:color w:val="C00000"/>
        </w:rPr>
      </w:pPr>
      <w:bookmarkStart w:id="58" w:name="_Toc148453731"/>
      <w:bookmarkStart w:id="59" w:name="_Toc211437470"/>
      <w:r>
        <w:rPr>
          <w:rFonts w:hint="eastAsia"/>
        </w:rPr>
        <w:t>第四章　合同</w:t>
      </w:r>
      <w:bookmarkEnd w:id="58"/>
      <w:r>
        <w:rPr>
          <w:rFonts w:hint="eastAsia"/>
        </w:rPr>
        <w:t>文本</w:t>
      </w:r>
      <w:bookmarkEnd w:id="59"/>
    </w:p>
    <w:p>
      <w:pPr>
        <w:jc w:val="center"/>
        <w:rPr>
          <w:color w:val="C00000"/>
        </w:rPr>
      </w:pPr>
      <w:r>
        <w:rPr>
          <w:color w:val="C00000"/>
        </w:rPr>
        <w:t>（本合同为中小企业预留合同）</w:t>
      </w:r>
    </w:p>
    <w:p>
      <w:pPr>
        <w:spacing w:before="230" w:beforeLines="50"/>
        <w:ind w:firstLine="480" w:firstLineChars="200"/>
        <w:jc w:val="both"/>
        <w:rPr>
          <w:b/>
          <w:color w:val="C00000"/>
        </w:rPr>
      </w:pPr>
      <w:r>
        <w:rPr>
          <w:b/>
        </w:rPr>
        <w:t>甲方（采购人）：</w:t>
      </w:r>
      <w:r>
        <w:rPr>
          <w:rFonts w:hint="eastAsia"/>
          <w:b/>
          <w:color w:val="C00000"/>
          <w:u w:val="single"/>
        </w:rPr>
        <w:t>西安市精神卫生中心</w:t>
      </w:r>
    </w:p>
    <w:p>
      <w:pPr>
        <w:ind w:firstLine="480" w:firstLineChars="200"/>
        <w:jc w:val="both"/>
        <w:rPr>
          <w:b/>
        </w:rPr>
      </w:pPr>
      <w:r>
        <w:rPr>
          <w:b/>
        </w:rPr>
        <w:t>乙方（中标供应商）：</w:t>
      </w:r>
      <w:r>
        <w:rPr>
          <w:color w:val="C00000"/>
        </w:rPr>
        <w:t>_________________</w:t>
      </w:r>
    </w:p>
    <w:p>
      <w:pPr>
        <w:spacing w:before="230" w:beforeLines="50"/>
        <w:jc w:val="both"/>
        <w:rPr>
          <w:rFonts w:cs="Calibri Light"/>
          <w:b/>
        </w:rPr>
      </w:pPr>
      <w:r>
        <w:rPr>
          <w:rFonts w:cs="Calibri Light"/>
          <w:b/>
        </w:rPr>
        <w:t>一、服务条件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（二）服务内容：见本项目招标文件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pPr>
        <w:spacing w:before="230" w:beforeLines="50"/>
        <w:jc w:val="both"/>
        <w:rPr>
          <w:rFonts w:cs="Calibri Light"/>
          <w:b/>
        </w:rPr>
      </w:pPr>
      <w:r>
        <w:rPr>
          <w:rFonts w:cs="Calibri Light"/>
          <w:b/>
        </w:rPr>
        <w:t>二、合同价款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（一）本合同项下服务费按实际上岗人数、人员</w:t>
      </w:r>
      <w:r>
        <w:rPr>
          <w:rFonts w:hint="eastAsia" w:asciiTheme="minorHAnsi" w:hAnsiTheme="minorHAnsi" w:eastAsiaTheme="minorEastAsia"/>
          <w:sz w:val="24"/>
          <w:szCs w:val="24"/>
        </w:rPr>
        <w:t>合同</w:t>
      </w:r>
      <w:r>
        <w:rPr>
          <w:rFonts w:asciiTheme="minorHAnsi" w:hAnsiTheme="minorHAnsi" w:eastAsiaTheme="minorEastAsia"/>
          <w:sz w:val="24"/>
          <w:szCs w:val="24"/>
        </w:rPr>
        <w:t>单价据实核算支付，无固定总价，</w:t>
      </w:r>
      <w:r>
        <w:rPr>
          <w:rFonts w:hint="eastAsia" w:asciiTheme="minorHAnsi" w:hAnsiTheme="minorHAnsi" w:eastAsiaTheme="minorEastAsia"/>
          <w:sz w:val="24"/>
          <w:szCs w:val="24"/>
        </w:rPr>
        <w:t>服务期内总价不超出本项目预算金额，</w:t>
      </w:r>
      <w:r>
        <w:rPr>
          <w:rFonts w:asciiTheme="minorHAnsi" w:hAnsiTheme="minorHAnsi" w:eastAsiaTheme="minorEastAsia"/>
          <w:sz w:val="24"/>
          <w:szCs w:val="24"/>
        </w:rPr>
        <w:t>各岗位人员投标单价为本合同价款核算唯一依据（普通保安人员投标单价：______元/人</w:t>
      </w:r>
      <w:r>
        <w:rPr>
          <w:rFonts w:asciiTheme="minorHAnsi" w:hAnsiTheme="minorHAnsi" w:eastAsiaTheme="minorEastAsia"/>
          <w:b/>
          <w:sz w:val="24"/>
          <w:szCs w:val="24"/>
        </w:rPr>
        <w:t>·</w:t>
      </w:r>
      <w:r>
        <w:rPr>
          <w:rFonts w:asciiTheme="minorHAnsi" w:hAnsiTheme="minorHAnsi" w:eastAsiaTheme="minorEastAsia"/>
          <w:sz w:val="24"/>
          <w:szCs w:val="24"/>
        </w:rPr>
        <w:t>月；内保人员投标单价：</w:t>
      </w:r>
      <w:r>
        <w:rPr>
          <w:rFonts w:asciiTheme="minorHAnsi" w:hAnsiTheme="minorHAnsi" w:eastAsiaTheme="minorEastAsia"/>
          <w:b/>
          <w:sz w:val="24"/>
          <w:szCs w:val="24"/>
          <w:u w:val="single"/>
        </w:rPr>
        <w:t>5100</w:t>
      </w:r>
      <w:r>
        <w:rPr>
          <w:rFonts w:asciiTheme="minorHAnsi" w:hAnsiTheme="minorHAnsi" w:eastAsiaTheme="minorEastAsia"/>
          <w:sz w:val="24"/>
          <w:szCs w:val="24"/>
        </w:rPr>
        <w:t>元/人</w:t>
      </w:r>
      <w:r>
        <w:rPr>
          <w:rFonts w:asciiTheme="minorHAnsi" w:hAnsiTheme="minorHAnsi" w:eastAsiaTheme="minorEastAsia"/>
          <w:b/>
          <w:sz w:val="24"/>
          <w:szCs w:val="24"/>
        </w:rPr>
        <w:t>·</w:t>
      </w:r>
      <w:r>
        <w:rPr>
          <w:rFonts w:asciiTheme="minorHAnsi" w:hAnsiTheme="minorHAnsi" w:eastAsiaTheme="minorEastAsia"/>
          <w:sz w:val="24"/>
          <w:szCs w:val="24"/>
        </w:rPr>
        <w:t>月，本项目内保人员核算上限为 4 人）。</w:t>
      </w:r>
    </w:p>
    <w:p>
      <w:pPr>
        <w:pStyle w:val="40"/>
        <w:spacing w:line="240" w:lineRule="auto"/>
        <w:ind w:firstLine="480" w:firstLineChars="200"/>
        <w:jc w:val="both"/>
        <w:rPr>
          <w:rFonts w:cs="Calibri Light" w:asciiTheme="minorHAnsi" w:hAnsiTheme="minorHAnsi" w:eastAsiaTheme="minorEastAsia"/>
          <w:b/>
          <w:sz w:val="24"/>
          <w:szCs w:val="24"/>
        </w:rPr>
      </w:pPr>
      <w:r>
        <w:rPr>
          <w:rFonts w:asciiTheme="minorHAnsi" w:hAnsiTheme="minorHAnsi" w:eastAsiaTheme="minorEastAsia"/>
          <w:sz w:val="24"/>
          <w:szCs w:val="24"/>
        </w:rPr>
        <w:t>（二）各岗位</w:t>
      </w:r>
      <w:r>
        <w:rPr>
          <w:rFonts w:hint="eastAsia" w:asciiTheme="minorHAnsi" w:hAnsiTheme="minorHAnsi" w:eastAsiaTheme="minorEastAsia"/>
          <w:sz w:val="24"/>
          <w:szCs w:val="24"/>
        </w:rPr>
        <w:t>合同</w:t>
      </w:r>
      <w:r>
        <w:rPr>
          <w:rFonts w:asciiTheme="minorHAnsi" w:hAnsiTheme="minorHAnsi" w:eastAsiaTheme="minorEastAsia"/>
          <w:sz w:val="24"/>
          <w:szCs w:val="24"/>
        </w:rPr>
        <w:t>单价为全费用单价，已包含完成本岗位服务所需的人员工资、延时加班费、双休加班费、法定节假日加班费、遇突发重大应急加班费、人员食宿、制服、警具、寝具、雨具、通讯设备、电筒、值班登记等用具用品费用；法定税费；合理利润等一切费用。合同履行期间，各岗位</w:t>
      </w:r>
      <w:r>
        <w:rPr>
          <w:rFonts w:hint="eastAsia" w:asciiTheme="minorHAnsi" w:hAnsiTheme="minorHAnsi" w:eastAsiaTheme="minorEastAsia"/>
          <w:sz w:val="24"/>
          <w:szCs w:val="24"/>
        </w:rPr>
        <w:t>合同</w:t>
      </w:r>
      <w:r>
        <w:rPr>
          <w:rFonts w:asciiTheme="minorHAnsi" w:hAnsiTheme="minorHAnsi" w:eastAsiaTheme="minorEastAsia"/>
          <w:sz w:val="24"/>
          <w:szCs w:val="24"/>
        </w:rPr>
        <w:t>单价固定不变，不受市场价格变化因素的影响。</w:t>
      </w:r>
      <w:r>
        <w:rPr>
          <w:rFonts w:cs="Calibri Light" w:asciiTheme="minorHAnsi" w:hAnsiTheme="minorHAnsi" w:eastAsiaTheme="minorEastAsia"/>
          <w:b/>
          <w:sz w:val="24"/>
          <w:szCs w:val="24"/>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ind w:firstLine="480" w:firstLineChars="200"/>
        <w:jc w:val="both"/>
      </w:pPr>
      <w:r>
        <w:rPr>
          <w:rFonts w:hint="eastAsia"/>
        </w:rPr>
        <w:t>费用按月结算。乙方每月5日前须向甲方提交经双方签字确认的上月各岗位人员实际考勤、考核结果及服务报告，作为结算依据。甲方次月按照实际在岗情况及考核结果据实结算上月服务费。普通保安人员费用按合同单价据实结算，4名内保人员的费用，为固定核算费用。</w:t>
      </w:r>
      <w:r>
        <w:t>乙方未按要求提交结算资料、资料内容虚假或未完成双方确认的考核指标的，甲方有权暂缓结算，直至乙方补齐</w:t>
      </w:r>
      <w:r>
        <w:rPr>
          <w:rFonts w:hint="eastAsia"/>
        </w:rPr>
        <w:t>合规</w:t>
      </w:r>
      <w:r>
        <w:t>资料、整改达标，且不承担任何违约责任。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wordWrap w:val="0"/>
        <w:ind w:firstLine="480" w:firstLineChars="200"/>
        <w:jc w:val="both"/>
      </w:pPr>
      <w:r>
        <w:t>甲方仅认可上述指定账户并向该账户付款。否则甲方有权拒绝向指定账户之外的任何账户付款，并且由此导致的付款延迟责任由乙方承担。</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（三）结算方式：乙方持中标通知书、政府采购合同、发票、政府采购项目验收单，与甲方结算。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ind w:firstLine="480" w:firstLineChars="200"/>
      </w:pPr>
      <w:r>
        <w:rPr>
          <w:rFonts w:hint="eastAsia" w:ascii="Segoe UI Symbol" w:hAnsi="Segoe UI Symbol" w:eastAsia="宋体" w:cs="Segoe UI Symbol"/>
          <w:kern w:val="24"/>
        </w:rPr>
        <w:t>甲方向乙方支付款项前，乙方应向甲方提供等额合规的增值税发票，乙方延迟提供的，甲方有权延期支付款项且不承担任何责任，同时并不因此免除乙方的任意合同义务。</w:t>
      </w:r>
    </w:p>
    <w:p>
      <w:pPr>
        <w:spacing w:before="230" w:beforeLines="50"/>
        <w:jc w:val="both"/>
        <w:rPr>
          <w:rFonts w:cs="Calibri Light"/>
          <w:b/>
        </w:rPr>
      </w:pPr>
      <w:r>
        <w:rPr>
          <w:rFonts w:cs="Calibri Light"/>
          <w:b/>
        </w:rPr>
        <w:t>四、双方的权利和义务</w:t>
      </w:r>
    </w:p>
    <w:p>
      <w:pPr>
        <w:wordWrap w:val="0"/>
        <w:ind w:firstLine="480" w:firstLineChars="200"/>
        <w:jc w:val="both"/>
      </w:pPr>
      <w:r>
        <w:t>（一）甲方的权利和义务</w:t>
      </w:r>
    </w:p>
    <w:p>
      <w:pPr>
        <w:wordWrap w:val="0"/>
        <w:ind w:firstLine="480" w:firstLineChars="200"/>
        <w:jc w:val="both"/>
      </w:pPr>
      <w:r>
        <w:t>1．对本项目实施监管和指导。</w:t>
      </w:r>
    </w:p>
    <w:p>
      <w:pPr>
        <w:wordWrap w:val="0"/>
        <w:ind w:firstLine="480" w:firstLineChars="200"/>
        <w:jc w:val="both"/>
      </w:pPr>
      <w:r>
        <w:t>2．甲方负责按照本合同约定的指标考核乙方，具体考核的方式及内容由甲方决定。</w:t>
      </w:r>
    </w:p>
    <w:p>
      <w:pPr>
        <w:wordWrap w:val="0"/>
        <w:ind w:firstLine="480" w:firstLineChars="200"/>
        <w:jc w:val="both"/>
      </w:pPr>
      <w:r>
        <w:t>3．乙方进场服务人员上岗前需经过甲方确认，甲方有权对人员提出调整要求，乙方需积极配合。</w:t>
      </w:r>
    </w:p>
    <w:p>
      <w:pPr>
        <w:wordWrap w:val="0"/>
        <w:ind w:firstLine="480" w:firstLineChars="200"/>
        <w:jc w:val="both"/>
      </w:pPr>
      <w:r>
        <w:t>（二）乙方的权利和义务</w:t>
      </w:r>
    </w:p>
    <w:p>
      <w:pPr>
        <w:wordWrap w:val="0"/>
        <w:ind w:firstLine="480" w:firstLineChars="200"/>
        <w:jc w:val="both"/>
      </w:pPr>
      <w:r>
        <w:t>1．要求甲方为本合同标的的服务工作开展提供必要的资料和便利。</w:t>
      </w:r>
    </w:p>
    <w:p>
      <w:pPr>
        <w:wordWrap w:val="0"/>
        <w:ind w:firstLine="480" w:firstLineChars="200"/>
        <w:jc w:val="both"/>
      </w:pPr>
      <w:r>
        <w:t>2．要求甲方按本合同约定支付合同款项。</w:t>
      </w:r>
    </w:p>
    <w:p>
      <w:pPr>
        <w:wordWrap w:val="0"/>
        <w:ind w:firstLine="480" w:firstLineChars="200"/>
        <w:jc w:val="both"/>
      </w:pPr>
      <w:r>
        <w:t>3．乙方不得擅自将本合同委托事项转委托/转包/分包给第三方。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4．乙方负责合同中的从业人员及财产意外伤害、死亡或损失均由乙方自行承担所有费用和相应责任，与甲方无任何法律责任和经济责任。</w:t>
      </w:r>
    </w:p>
    <w:p>
      <w:pPr>
        <w:spacing w:before="230" w:beforeLines="50"/>
        <w:jc w:val="both"/>
        <w:rPr>
          <w:rFonts w:cs="Calibri Light"/>
          <w:b/>
        </w:rPr>
      </w:pPr>
      <w:r>
        <w:rPr>
          <w:rFonts w:cs="Calibri Light"/>
          <w:b/>
        </w:rPr>
        <w:t>五、质量保证</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（一）乙方应提供详细的服务标准和服务承诺，服务标准应当符合国家、行业和地方相关安保服务标准。</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（二）在服务期限内，遵循零干扰服务。乙方不得干扰或阻碍甲方对该办公区域和公共区域的正常使用。</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（三）乙方在提供安保服务时因管理不当或未尽义务，导致甲方或第三方人身损害或财产损失的，应承担全部责任和费用。</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（四）乙方应严格履行投标文件中的承诺，不得随意减少，投标文件为本合同组成内容的一部分，同样具备合同效力。</w:t>
      </w:r>
    </w:p>
    <w:p>
      <w:pPr>
        <w:spacing w:before="230" w:beforeLines="50"/>
        <w:jc w:val="both"/>
        <w:rPr>
          <w:rFonts w:cs="Calibri Light"/>
          <w:b/>
        </w:rPr>
      </w:pPr>
      <w:r>
        <w:rPr>
          <w:rFonts w:hint="eastAsia" w:cs="Calibri Light"/>
          <w:b/>
        </w:rPr>
        <w:t>六</w:t>
      </w:r>
      <w:r>
        <w:rPr>
          <w:rFonts w:cs="Calibri Light"/>
          <w:b/>
        </w:rPr>
        <w:t>、验收</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（一）</w:t>
      </w:r>
      <w:r>
        <w:rPr>
          <w:rFonts w:ascii="Segoe UI Symbol" w:hAnsi="Segoe UI Symbol" w:eastAsia="宋体" w:cs="Segoe UI Symbol"/>
          <w:kern w:val="24"/>
        </w:rPr>
        <w:t>服务期满后，甲方根据招标文件和投标文件及相关文件，进行验收，确认服务标准和服务方式是否达到采购要求。</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（二）甲方组织乙方（必要时请有关专家）进行验收，验收合格后，填写政府采购项目验收单（一式伍份）作为对项目的最终认可。</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（三）乙方向甲方提供服务过程中的所有资料，以便甲方日后管理。</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（四）验收依据：</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1．招标文件、投标文件、澄清表（函）；</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2．本合同及附件文本；</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3．国家相应的标准、规范。</w:t>
      </w:r>
    </w:p>
    <w:p>
      <w:pPr>
        <w:spacing w:before="230" w:beforeLines="50"/>
        <w:jc w:val="both"/>
        <w:rPr>
          <w:rFonts w:cs="Calibri Light"/>
          <w:b/>
        </w:rPr>
      </w:pPr>
      <w:r>
        <w:rPr>
          <w:rFonts w:hint="eastAsia" w:cs="Calibri Light"/>
          <w:b/>
        </w:rPr>
        <w:t>七</w:t>
      </w:r>
      <w:r>
        <w:rPr>
          <w:rFonts w:cs="Calibri Light"/>
          <w:b/>
        </w:rPr>
        <w:t>、违约责任</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（一）甲乙双方必须遵守本合同并执行合同中的各项规定，保证本合同的正常履行。</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（二）由双方按《民法典》中的相关原则经平等协商后补充。</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三）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四）未按合同要求提供服务或服务质量不能满足合同要求，甲方应当将乙方违约的情况以及拟采取的措施以书面形式报政府采购监管部门，根据政府采购监管部门的处理意见，甲方有权要求乙方限期整改，乙方未按要求整改或整改后仍不合格的，甲方有权单方解除合同，乙方应向甲方支付合同履行期间累计结算服务费【</w:t>
      </w:r>
      <w:r>
        <w:rPr>
          <w:rFonts w:ascii="Segoe UI Symbol" w:hAnsi="Segoe UI Symbol" w:eastAsia="宋体" w:cs="Segoe UI Symbol"/>
          <w:kern w:val="24"/>
        </w:rPr>
        <w:t>30</w:t>
      </w:r>
      <w:r>
        <w:rPr>
          <w:rFonts w:hint="eastAsia" w:ascii="Segoe UI Symbol" w:hAnsi="Segoe UI Symbol" w:eastAsia="宋体" w:cs="Segoe UI Symbol"/>
          <w:kern w:val="24"/>
        </w:rPr>
        <w:t>】%的违约金，违约金不足以弥补甲方损失的，由乙方另行承担。同时，政府采购监管部门有权依据《政府采购法》及相关法律法规对乙方的违法行为进行相应的处罚。</w:t>
      </w:r>
    </w:p>
    <w:p>
      <w:pPr>
        <w:spacing w:line="560" w:lineRule="exact"/>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（五）乙方未按招标文件 / 投标文件承诺或甲方要求足额、按时安排人员到岗的，甲方有权要求乙方限期整改，乙方未按要求整改或整改后仍不合格的，甲方有权单方解除本合同，乙方应向甲方支付合同履行期间累计结算服务费【</w:t>
      </w:r>
      <w:r>
        <w:rPr>
          <w:rFonts w:ascii="Segoe UI Symbol" w:hAnsi="Segoe UI Symbol" w:eastAsia="宋体" w:cs="Segoe UI Symbol"/>
          <w:kern w:val="24"/>
        </w:rPr>
        <w:t>30</w:t>
      </w:r>
      <w:r>
        <w:rPr>
          <w:rFonts w:hint="eastAsia" w:ascii="Segoe UI Symbol" w:hAnsi="Segoe UI Symbol" w:eastAsia="宋体" w:cs="Segoe UI Symbol"/>
          <w:kern w:val="24"/>
        </w:rPr>
        <w:t>】%的违约金，违约金不足以弥补甲方损失的，由乙方另行承担。</w:t>
      </w:r>
    </w:p>
    <w:p>
      <w:pPr>
        <w:spacing w:before="230" w:beforeLines="50"/>
        <w:jc w:val="both"/>
        <w:rPr>
          <w:rFonts w:cs="Calibri Light"/>
          <w:b/>
        </w:rPr>
      </w:pPr>
      <w:r>
        <w:rPr>
          <w:rFonts w:hint="eastAsia" w:cs="Calibri Light"/>
          <w:b/>
        </w:rPr>
        <w:t>八</w:t>
      </w:r>
      <w:r>
        <w:rPr>
          <w:rFonts w:cs="Calibri Light"/>
          <w:b/>
        </w:rPr>
        <w:t>、合同的变更和修改、中止和终止</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（二）甲方因乙方不履约或乙方其他原因而解除合同的，乙方须返还甲方全部费用、赔偿甲方由此产生的损失并承担其他相关责任，相应责任承担方式按照本合同约定执行。</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（三）乙方因甲方不履约或甲方其他原因而解除合同的，乙方不予返还甲方已付乙方已提供相应服务的费用款项，甲方赔偿乙方由此产生的损失并承担其他相关责任。</w:t>
      </w:r>
    </w:p>
    <w:p>
      <w:pPr>
        <w:spacing w:before="230" w:beforeLines="50"/>
        <w:jc w:val="both"/>
        <w:rPr>
          <w:rFonts w:cs="Calibri Light"/>
          <w:b/>
        </w:rPr>
      </w:pPr>
      <w:r>
        <w:rPr>
          <w:rFonts w:hint="eastAsia" w:cs="Calibri Light"/>
          <w:b/>
        </w:rPr>
        <w:t>九</w:t>
      </w:r>
      <w:r>
        <w:rPr>
          <w:rFonts w:cs="Calibri Light"/>
          <w:b/>
        </w:rPr>
        <w:t>、保密条款</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（一）乙方应遵守国家有关保密的法律法规和行业规定，并对甲方提供的资料负有保密义务。</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（二）本条款为独立条款，本合同的无效、变更、解除和终止均不影响本条款的效力。</w:t>
      </w:r>
    </w:p>
    <w:p>
      <w:pPr>
        <w:spacing w:before="230" w:beforeLines="50"/>
        <w:jc w:val="both"/>
        <w:rPr>
          <w:rFonts w:cs="Calibri Light"/>
          <w:b/>
        </w:rPr>
      </w:pPr>
      <w:r>
        <w:rPr>
          <w:rFonts w:cs="Calibri Light"/>
          <w:b/>
        </w:rPr>
        <w:t>十、争议解决</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（一）本合同适用法律为中华人民共和国法律。</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（二）凡与本合同有关的一切争议，双方应通过友好协商解决。如协商后仍不能达成协议时，按下列第</w:t>
      </w:r>
      <w:r>
        <w:rPr>
          <w:rFonts w:ascii="Segoe UI Symbol" w:hAnsi="Segoe UI Symbol" w:eastAsia="宋体" w:cs="Segoe UI Symbol"/>
          <w:kern w:val="24"/>
          <w:u w:val="single"/>
        </w:rPr>
        <w:t>_</w:t>
      </w:r>
      <w:r>
        <w:rPr>
          <w:rFonts w:hint="eastAsia" w:ascii="Segoe UI Symbol" w:hAnsi="Segoe UI Symbol" w:eastAsia="宋体" w:cs="Segoe UI Symbol"/>
          <w:kern w:val="24"/>
          <w:u w:val="single"/>
        </w:rPr>
        <w:t>2</w:t>
      </w:r>
      <w:r>
        <w:rPr>
          <w:rFonts w:ascii="Segoe UI Symbol" w:hAnsi="Segoe UI Symbol" w:eastAsia="宋体" w:cs="Segoe UI Symbol"/>
          <w:kern w:val="24"/>
          <w:u w:val="single"/>
        </w:rPr>
        <w:t>_</w:t>
      </w:r>
      <w:r>
        <w:rPr>
          <w:rFonts w:ascii="Segoe UI Symbol" w:hAnsi="Segoe UI Symbol" w:eastAsia="宋体" w:cs="Segoe UI Symbol"/>
          <w:kern w:val="24"/>
        </w:rPr>
        <w:t>种方式解决。</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1．提交西安仲裁委员会。</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2．依法向甲方所在地有管辖权的人民法院提起诉讼。</w:t>
      </w:r>
    </w:p>
    <w:p>
      <w:pPr>
        <w:spacing w:before="230" w:beforeLines="50"/>
        <w:jc w:val="both"/>
        <w:rPr>
          <w:rFonts w:cs="Calibri Light"/>
          <w:b/>
        </w:rPr>
      </w:pPr>
      <w:r>
        <w:rPr>
          <w:rFonts w:cs="Calibri Light"/>
          <w:b/>
        </w:rPr>
        <w:t>十</w:t>
      </w:r>
      <w:r>
        <w:rPr>
          <w:rFonts w:hint="eastAsia" w:cs="Calibri Light"/>
          <w:b/>
        </w:rPr>
        <w:t>一</w:t>
      </w:r>
      <w:r>
        <w:rPr>
          <w:rFonts w:cs="Calibri Light"/>
          <w:b/>
        </w:rPr>
        <w:t>、不可抗力</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十二、合同生效及其他</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（一）本合同自签订之日起生效。</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（二）合同一式</w:t>
      </w:r>
      <w:r>
        <w:rPr>
          <w:rFonts w:ascii="Segoe UI Symbol" w:hAnsi="Segoe UI Symbol" w:eastAsia="宋体" w:cs="Segoe UI Symbol"/>
          <w:kern w:val="24"/>
          <w:u w:val="single"/>
        </w:rPr>
        <w:t xml:space="preserve">   </w:t>
      </w:r>
      <w:r>
        <w:rPr>
          <w:rFonts w:ascii="Segoe UI Symbol" w:hAnsi="Segoe UI Symbol" w:eastAsia="宋体" w:cs="Segoe UI Symbol"/>
          <w:kern w:val="24"/>
        </w:rPr>
        <w:t>份，甲方执</w:t>
      </w:r>
      <w:r>
        <w:rPr>
          <w:rFonts w:ascii="Segoe UI Symbol" w:hAnsi="Segoe UI Symbol" w:eastAsia="宋体" w:cs="Segoe UI Symbol"/>
          <w:kern w:val="24"/>
          <w:u w:val="single"/>
        </w:rPr>
        <w:t xml:space="preserve">   </w:t>
      </w:r>
      <w:r>
        <w:rPr>
          <w:rFonts w:ascii="Segoe UI Symbol" w:hAnsi="Segoe UI Symbol" w:eastAsia="宋体" w:cs="Segoe UI Symbol"/>
          <w:kern w:val="24"/>
        </w:rPr>
        <w:t>份、乙方执</w:t>
      </w:r>
      <w:r>
        <w:rPr>
          <w:rFonts w:ascii="Segoe UI Symbol" w:hAnsi="Segoe UI Symbol" w:eastAsia="宋体" w:cs="Segoe UI Symbol"/>
          <w:kern w:val="24"/>
          <w:u w:val="single"/>
        </w:rPr>
        <w:t xml:space="preserve">   </w:t>
      </w:r>
      <w:r>
        <w:rPr>
          <w:rFonts w:ascii="Segoe UI Symbol" w:hAnsi="Segoe UI Symbol" w:eastAsia="宋体" w:cs="Segoe UI Symbol"/>
          <w:kern w:val="24"/>
        </w:rPr>
        <w:t>份。</w:t>
      </w:r>
    </w:p>
    <w:p>
      <w:pPr>
        <w:spacing w:line="560" w:lineRule="exact"/>
        <w:ind w:firstLine="480" w:firstLineChars="200"/>
        <w:rPr>
          <w:rFonts w:ascii="Segoe UI Symbol" w:hAnsi="Segoe UI Symbol" w:eastAsia="宋体" w:cs="Segoe UI Symbol"/>
          <w:kern w:val="24"/>
        </w:rPr>
      </w:pPr>
      <w:r>
        <w:rPr>
          <w:rFonts w:ascii="Segoe UI Symbol" w:hAnsi="Segoe UI Symbol" w:eastAsia="宋体" w:cs="Segoe UI Symbol"/>
          <w:kern w:val="24"/>
        </w:rPr>
        <w:t>（三）未尽事宜由双方在签订合同时具体明确或签订补充合同。</w:t>
      </w:r>
    </w:p>
    <w:bookmarkEnd w:id="17"/>
    <w:bookmarkEnd w:id="18"/>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numPr>
          <w:ilvl w:val="0"/>
          <w:numId w:val="1"/>
        </w:numPr>
        <w:spacing w:before="230" w:after="230"/>
      </w:pPr>
      <w:bookmarkStart w:id="60" w:name="_Toc211437471"/>
      <w:r>
        <w:rPr>
          <w:rFonts w:hint="eastAsia"/>
        </w:rPr>
        <w:t>第五章　投标文件构成及格式</w:t>
      </w:r>
      <w:bookmarkEnd w:id="60"/>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495811071"/>
        </w:rPr>
        <w:t>投标文</w:t>
      </w:r>
      <w:r>
        <w:rPr>
          <w:rFonts w:ascii="华文中宋" w:hAnsi="华文中宋" w:eastAsia="华文中宋" w:cstheme="minorHAnsi"/>
          <w:spacing w:val="0"/>
          <w:kern w:val="0"/>
          <w:sz w:val="96"/>
          <w:szCs w:val="96"/>
          <w:fitText w:val="5778" w:id="-495811071"/>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pStyle w:val="40"/>
        <w:jc w:val="center"/>
        <w:rPr>
          <w:rFonts w:asciiTheme="minorHAnsi" w:hAnsiTheme="minorHAnsi" w:eastAsiaTheme="minorEastAsia"/>
          <w:b/>
          <w:color w:val="C00000"/>
          <w:sz w:val="24"/>
          <w:szCs w:val="24"/>
        </w:rPr>
      </w:pPr>
    </w:p>
    <w:tbl>
      <w:tblPr>
        <w:tblStyle w:val="24"/>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4"/>
        <w:gridCol w:w="2591"/>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404" w:type="dxa"/>
            <w:vMerge w:val="restart"/>
            <w:tcBorders>
              <w:top w:val="single" w:color="auto" w:sz="2" w:space="0"/>
              <w:lef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591" w:type="dxa"/>
            <w:tcBorders>
              <w:top w:val="single" w:color="auto" w:sz="2" w:space="0"/>
              <w:right w:val="single" w:color="auto" w:sz="2" w:space="0"/>
            </w:tcBorders>
            <w:shd w:val="clear" w:color="auto" w:fill="F1F1F1" w:themeFill="background1" w:themeFillShade="F2"/>
          </w:tcPr>
          <w:p>
            <w:pPr>
              <w:jc w:val="center"/>
              <w:rPr>
                <w:rFonts w:cstheme="minorHAnsi"/>
                <w:b/>
              </w:rPr>
            </w:pPr>
            <w:r>
              <w:rPr>
                <w:rFonts w:cstheme="minorHAnsi"/>
                <w:b/>
              </w:rPr>
              <w:t>A</w:t>
            </w:r>
          </w:p>
        </w:tc>
        <w:tc>
          <w:tcPr>
            <w:tcW w:w="2644" w:type="dxa"/>
            <w:tcBorders>
              <w:top w:val="single" w:color="auto" w:sz="2" w:space="0"/>
              <w:right w:val="single" w:color="auto" w:sz="2" w:space="0"/>
            </w:tcBorders>
            <w:shd w:val="clear" w:color="auto" w:fill="F1F1F1" w:themeFill="background1" w:themeFillShade="F2"/>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3404" w:type="dxa"/>
            <w:vMerge w:val="continue"/>
            <w:tcBorders>
              <w:left w:val="single" w:color="auto" w:sz="2" w:space="0"/>
              <w:tl2br w:val="single" w:color="auto" w:sz="2" w:space="0"/>
            </w:tcBorders>
          </w:tcPr>
          <w:p>
            <w:pPr>
              <w:spacing w:line="440" w:lineRule="exact"/>
              <w:ind w:right="280"/>
              <w:jc w:val="right"/>
              <w:rPr>
                <w:rFonts w:cstheme="minorHAnsi"/>
                <w:b/>
                <w:color w:val="000000"/>
              </w:rPr>
            </w:pPr>
          </w:p>
        </w:tc>
        <w:tc>
          <w:tcPr>
            <w:tcW w:w="2591" w:type="dxa"/>
            <w:tcBorders>
              <w:right w:val="single" w:color="auto" w:sz="2" w:space="0"/>
            </w:tcBorders>
          </w:tcPr>
          <w:p>
            <w:pPr>
              <w:spacing w:line="440" w:lineRule="exact"/>
              <w:jc w:val="center"/>
              <w:rPr>
                <w:b/>
              </w:rPr>
            </w:pPr>
            <w:r>
              <w:rPr>
                <w:rFonts w:hint="eastAsia"/>
                <w:b/>
              </w:rPr>
              <w:t>投标报价</w:t>
            </w:r>
            <w:r>
              <w:rPr>
                <w:b/>
              </w:rPr>
              <w:t>（元</w:t>
            </w:r>
            <w:r>
              <w:rPr>
                <w:rFonts w:hint="eastAsia"/>
                <w:b/>
              </w:rPr>
              <w:t>）</w:t>
            </w:r>
          </w:p>
        </w:tc>
        <w:tc>
          <w:tcPr>
            <w:tcW w:w="2644" w:type="dxa"/>
            <w:tcBorders>
              <w:right w:val="single" w:color="auto" w:sz="2" w:space="0"/>
            </w:tcBorders>
          </w:tcPr>
          <w:p>
            <w:pPr>
              <w:spacing w:line="440" w:lineRule="exact"/>
              <w:jc w:val="center"/>
              <w:rPr>
                <w:b/>
              </w:rPr>
            </w:pPr>
            <w:r>
              <w:rPr>
                <w:rFonts w:hint="eastAsia"/>
                <w:b/>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404" w:type="dxa"/>
            <w:tcBorders>
              <w:lef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591" w:type="dxa"/>
            <w:tcBorders>
              <w:right w:val="single" w:color="auto" w:sz="2" w:space="0"/>
            </w:tcBorders>
          </w:tcPr>
          <w:p/>
        </w:tc>
        <w:tc>
          <w:tcPr>
            <w:tcW w:w="2644" w:type="dxa"/>
            <w:tcBorders>
              <w:right w:val="single" w:color="auto" w:sz="2" w:space="0"/>
            </w:tcBorders>
          </w:tc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jc w:val="both"/>
        <w:rPr>
          <w:kern w:val="24"/>
        </w:rPr>
      </w:pPr>
      <w:r>
        <w:rPr>
          <w:kern w:val="24"/>
        </w:rPr>
        <w:t>〖注〗（一）以下情况按无效投标处理：</w:t>
      </w:r>
    </w:p>
    <w:p>
      <w:pPr>
        <w:ind w:firstLine="480" w:firstLineChars="200"/>
        <w:jc w:val="both"/>
        <w:rPr>
          <w:kern w:val="24"/>
        </w:rPr>
      </w:pPr>
      <w:r>
        <w:rPr>
          <w:kern w:val="24"/>
        </w:rPr>
        <w:t>1．A</w:t>
      </w:r>
      <w:r>
        <w:rPr>
          <w:rFonts w:hint="eastAsia"/>
          <w:kern w:val="24"/>
        </w:rPr>
        <w:t>栏</w:t>
      </w:r>
      <w:r>
        <w:rPr>
          <w:kern w:val="24"/>
        </w:rPr>
        <w:t>未按银行小写金额样式填写，B栏未填写</w:t>
      </w:r>
      <w:r>
        <w:rPr>
          <w:rFonts w:hint="eastAsia"/>
          <w:kern w:val="24"/>
        </w:rPr>
        <w:t>服务期</w:t>
      </w:r>
      <w:r>
        <w:rPr>
          <w:kern w:val="24"/>
        </w:rPr>
        <w:t>。</w:t>
      </w:r>
    </w:p>
    <w:p>
      <w:pPr>
        <w:wordWrap w:val="0"/>
        <w:spacing w:line="400" w:lineRule="exact"/>
        <w:ind w:firstLine="480" w:firstLineChars="200"/>
        <w:rPr>
          <w:rFonts w:ascii="Calibri Light" w:hAnsi="Calibri Light" w:eastAsia="华文仿宋"/>
          <w:sz w:val="28"/>
          <w:szCs w:val="28"/>
        </w:rPr>
      </w:pPr>
      <w:r>
        <w:rPr>
          <w:kern w:val="24"/>
        </w:rPr>
        <w:t>2</w:t>
      </w:r>
      <w:r>
        <w:rPr>
          <w:rFonts w:hint="eastAsia"/>
          <w:kern w:val="24"/>
        </w:rPr>
        <w:t xml:space="preserve">. </w:t>
      </w:r>
      <w:r>
        <w:rPr>
          <w:kern w:val="24"/>
        </w:rPr>
        <w:t>本表A栏值与</w:t>
      </w:r>
      <w:r>
        <w:rPr>
          <w:rFonts w:hint="eastAsia"/>
          <w:kern w:val="24"/>
        </w:rPr>
        <w:t>分项报价表</w:t>
      </w:r>
      <w:r>
        <w:rPr>
          <w:kern w:val="24"/>
        </w:rPr>
        <w:t>中的“合计”值不一致的。</w:t>
      </w:r>
    </w:p>
    <w:p>
      <w:pPr>
        <w:ind w:firstLine="480" w:firstLineChars="200"/>
        <w:jc w:val="both"/>
        <w:rPr>
          <w:rFonts w:cs="Calibri Light"/>
          <w:bCs/>
        </w:rPr>
      </w:pPr>
      <w:r>
        <w:rPr>
          <w:kern w:val="24"/>
        </w:rPr>
        <w:t>3．本表A栏</w:t>
      </w:r>
      <w:r>
        <w:rPr>
          <w:rFonts w:hint="eastAsia" w:cs="Calibri Light"/>
        </w:rPr>
        <w:t>值</w:t>
      </w:r>
      <w:r>
        <w:rPr>
          <w:rFonts w:cs="Calibri Light"/>
        </w:rPr>
        <w:t>超过</w:t>
      </w:r>
      <w:r>
        <w:rPr>
          <w:rFonts w:hint="eastAsia" w:cs="Calibri Light"/>
        </w:rPr>
        <w:t>本</w:t>
      </w:r>
      <w:r>
        <w:rPr>
          <w:rFonts w:cs="Calibri Light"/>
        </w:rPr>
        <w:t>项目</w:t>
      </w:r>
      <w:r>
        <w:rPr>
          <w:rFonts w:hint="eastAsia" w:cs="Calibri Light"/>
        </w:rPr>
        <w:t>预算</w:t>
      </w:r>
      <w:r>
        <w:rPr>
          <w:rFonts w:cs="Calibri Light"/>
        </w:rPr>
        <w:t>的</w:t>
      </w:r>
      <w:r>
        <w:rPr>
          <w:rFonts w:hint="eastAsia" w:cs="Calibri Light"/>
        </w:rPr>
        <w:t>。</w:t>
      </w:r>
      <w:r>
        <w:rPr>
          <w:rFonts w:cs="Calibri Light"/>
          <w:bCs/>
        </w:rPr>
        <w:t xml:space="preserve"> </w:t>
      </w:r>
    </w:p>
    <w:p>
      <w:pPr>
        <w:ind w:firstLine="480" w:firstLineChars="200"/>
        <w:jc w:val="both"/>
        <w:rPr>
          <w:kern w:val="24"/>
        </w:rPr>
      </w:pPr>
      <w:r>
        <w:rPr>
          <w:kern w:val="24"/>
        </w:rPr>
        <w:t>（二）“</w:t>
      </w:r>
      <w:r>
        <w:rPr>
          <w:rFonts w:hint="eastAsia"/>
          <w:kern w:val="24"/>
        </w:rPr>
        <w:t>投标报价</w:t>
      </w:r>
      <w:r>
        <w:rPr>
          <w:kern w:val="24"/>
        </w:rPr>
        <w:t>”仅作为计算价格分的依据，实际结算以供应商所报中标单价和采购数量据实结算。</w:t>
      </w:r>
    </w:p>
    <w:p>
      <w:pPr>
        <w:rPr>
          <w:rFonts w:ascii="Calibri" w:hAnsi="Calibri" w:eastAsia="宋体"/>
          <w:kern w:val="24"/>
        </w:rPr>
      </w:pPr>
      <w:r>
        <w:rPr>
          <w:rFonts w:ascii="Calibri" w:hAnsi="Calibri" w:eastAsia="宋体"/>
          <w:kern w:val="24"/>
        </w:rPr>
        <w:br w:type="page"/>
      </w:r>
    </w:p>
    <w:p>
      <w:pPr>
        <w:jc w:val="center"/>
        <w:outlineLvl w:val="2"/>
        <w:rPr>
          <w:rFonts w:ascii="Calibri Light" w:hAnsi="Calibri Light" w:eastAsia="黑体"/>
          <w:color w:val="1F4E79" w:themeColor="accent1" w:themeShade="80"/>
          <w:sz w:val="32"/>
          <w:szCs w:val="36"/>
        </w:rPr>
      </w:pPr>
      <w:r>
        <w:rPr>
          <w:rFonts w:hint="eastAsia" w:ascii="Calibri Light" w:hAnsi="Calibri Light" w:eastAsia="黑体"/>
          <w:color w:val="1F4E79" w:themeColor="accent1" w:themeShade="80"/>
          <w:sz w:val="32"/>
          <w:szCs w:val="36"/>
        </w:rPr>
        <w:t>分项报价</w:t>
      </w:r>
      <w:r>
        <w:rPr>
          <w:rFonts w:ascii="Calibri Light" w:hAnsi="Calibri Light" w:eastAsia="黑体"/>
          <w:color w:val="1F4E79" w:themeColor="accent1" w:themeShade="80"/>
          <w:sz w:val="32"/>
          <w:szCs w:val="36"/>
        </w:rPr>
        <w:t>表</w:t>
      </w:r>
    </w:p>
    <w:p>
      <w:pPr>
        <w:tabs>
          <w:tab w:val="right" w:pos="9072"/>
        </w:tabs>
        <w:spacing w:before="230" w:beforeLines="50" w:line="400" w:lineRule="exact"/>
        <w:ind w:right="840"/>
        <w:jc w:val="center"/>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 xml:space="preserve">                                                  </w:t>
      </w:r>
      <w:r>
        <w:rPr>
          <w:rFonts w:ascii="Calibri Light" w:hAnsi="Calibri Light" w:eastAsia="华文仿宋" w:cs="Calibri Light"/>
          <w:color w:val="C00000"/>
          <w:sz w:val="28"/>
          <w:szCs w:val="28"/>
        </w:rPr>
        <w:t>单位：元</w:t>
      </w:r>
    </w:p>
    <w:tbl>
      <w:tblPr>
        <w:tblStyle w:val="24"/>
        <w:tblW w:w="870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785"/>
        <w:gridCol w:w="3126"/>
        <w:gridCol w:w="1566"/>
        <w:gridCol w:w="15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65" w:type="dxa"/>
            <w:shd w:val="clear" w:color="auto" w:fill="FFFFFF" w:themeFill="background1"/>
            <w:vAlign w:val="center"/>
          </w:tcPr>
          <w:p>
            <w:pPr>
              <w:autoSpaceDE w:val="0"/>
              <w:autoSpaceDN w:val="0"/>
              <w:spacing w:line="400" w:lineRule="exact"/>
              <w:jc w:val="center"/>
              <w:rPr>
                <w:rFonts w:cstheme="minorHAnsi"/>
                <w:b/>
                <w:color w:val="000000"/>
              </w:rPr>
            </w:pPr>
            <w:r>
              <w:rPr>
                <w:rFonts w:cstheme="minorHAnsi"/>
                <w:b/>
                <w:color w:val="000000"/>
              </w:rPr>
              <w:t>序号</w:t>
            </w:r>
          </w:p>
        </w:tc>
        <w:tc>
          <w:tcPr>
            <w:tcW w:w="1785" w:type="dxa"/>
            <w:shd w:val="clear" w:color="auto" w:fill="FFFFFF" w:themeFill="background1"/>
            <w:vAlign w:val="center"/>
          </w:tcPr>
          <w:p>
            <w:pPr>
              <w:autoSpaceDE w:val="0"/>
              <w:autoSpaceDN w:val="0"/>
              <w:spacing w:line="400" w:lineRule="exact"/>
              <w:jc w:val="center"/>
              <w:rPr>
                <w:rFonts w:cstheme="minorHAnsi"/>
                <w:b/>
                <w:color w:val="000000"/>
              </w:rPr>
            </w:pPr>
            <w:r>
              <w:rPr>
                <w:rFonts w:hint="eastAsia" w:cstheme="minorHAnsi"/>
                <w:b/>
                <w:color w:val="000000"/>
              </w:rPr>
              <w:t>人员分类</w:t>
            </w:r>
          </w:p>
        </w:tc>
        <w:tc>
          <w:tcPr>
            <w:tcW w:w="3126" w:type="dxa"/>
            <w:shd w:val="clear" w:color="auto" w:fill="FFFFFF" w:themeFill="background1"/>
            <w:vAlign w:val="center"/>
          </w:tcPr>
          <w:p>
            <w:pPr>
              <w:tabs>
                <w:tab w:val="center" w:pos="2056"/>
              </w:tabs>
              <w:autoSpaceDE w:val="0"/>
              <w:autoSpaceDN w:val="0"/>
              <w:spacing w:line="400" w:lineRule="exact"/>
              <w:jc w:val="center"/>
              <w:rPr>
                <w:rFonts w:cstheme="minorHAnsi"/>
                <w:b/>
                <w:color w:val="000000"/>
              </w:rPr>
            </w:pPr>
            <w:r>
              <w:rPr>
                <w:rFonts w:hint="eastAsia" w:cstheme="minorHAnsi"/>
                <w:b/>
                <w:color w:val="000000"/>
              </w:rPr>
              <w:t>人员人数</w:t>
            </w:r>
          </w:p>
        </w:tc>
        <w:tc>
          <w:tcPr>
            <w:tcW w:w="1566" w:type="dxa"/>
            <w:shd w:val="clear" w:color="auto" w:fill="FFFFFF" w:themeFill="background1"/>
            <w:vAlign w:val="center"/>
          </w:tcPr>
          <w:p>
            <w:pPr>
              <w:autoSpaceDE w:val="0"/>
              <w:autoSpaceDN w:val="0"/>
              <w:spacing w:line="400" w:lineRule="exact"/>
              <w:jc w:val="center"/>
              <w:rPr>
                <w:rFonts w:cstheme="minorHAnsi"/>
                <w:b/>
                <w:color w:val="000000"/>
              </w:rPr>
            </w:pPr>
            <w:r>
              <w:rPr>
                <w:rFonts w:hint="eastAsia" w:cstheme="minorHAnsi"/>
                <w:b/>
                <w:color w:val="000000"/>
              </w:rPr>
              <w:t>单价</w:t>
            </w:r>
          </w:p>
        </w:tc>
        <w:tc>
          <w:tcPr>
            <w:tcW w:w="1566" w:type="dxa"/>
            <w:shd w:val="clear" w:color="auto" w:fill="FFFFFF" w:themeFill="background1"/>
            <w:vAlign w:val="center"/>
          </w:tcPr>
          <w:p>
            <w:pPr>
              <w:autoSpaceDE w:val="0"/>
              <w:autoSpaceDN w:val="0"/>
              <w:spacing w:line="400" w:lineRule="exact"/>
              <w:jc w:val="center"/>
              <w:rPr>
                <w:rFonts w:cstheme="minorHAnsi"/>
                <w:b/>
                <w:color w:val="000000"/>
              </w:rPr>
            </w:pPr>
            <w:r>
              <w:rPr>
                <w:rFonts w:hint="eastAsia" w:cstheme="minorHAnsi"/>
                <w:b/>
                <w:color w:val="000000"/>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65" w:type="dxa"/>
            <w:shd w:val="clear" w:color="auto" w:fill="FFFFFF" w:themeFill="background1"/>
            <w:vAlign w:val="center"/>
          </w:tcPr>
          <w:p>
            <w:pPr>
              <w:autoSpaceDE w:val="0"/>
              <w:autoSpaceDN w:val="0"/>
              <w:spacing w:line="400" w:lineRule="exact"/>
              <w:ind w:firstLine="360" w:firstLineChars="150"/>
              <w:rPr>
                <w:kern w:val="24"/>
              </w:rPr>
            </w:pPr>
            <w:r>
              <w:rPr>
                <w:rFonts w:hint="eastAsia"/>
                <w:kern w:val="24"/>
              </w:rPr>
              <w:t>1</w:t>
            </w:r>
          </w:p>
        </w:tc>
        <w:tc>
          <w:tcPr>
            <w:tcW w:w="1785" w:type="dxa"/>
            <w:shd w:val="clear" w:color="auto" w:fill="FFFFFF" w:themeFill="background1"/>
            <w:vAlign w:val="center"/>
          </w:tcPr>
          <w:p>
            <w:pPr>
              <w:spacing w:line="320" w:lineRule="exact"/>
              <w:jc w:val="center"/>
              <w:rPr>
                <w:kern w:val="24"/>
              </w:rPr>
            </w:pPr>
            <w:r>
              <w:rPr>
                <w:rFonts w:hint="eastAsia"/>
                <w:kern w:val="24"/>
              </w:rPr>
              <w:t>内保</w:t>
            </w:r>
            <w:r>
              <w:rPr>
                <w:kern w:val="24"/>
              </w:rPr>
              <w:t>人员</w:t>
            </w:r>
          </w:p>
        </w:tc>
        <w:tc>
          <w:tcPr>
            <w:tcW w:w="3126" w:type="dxa"/>
            <w:shd w:val="clear" w:color="auto" w:fill="FFFFFF" w:themeFill="background1"/>
            <w:vAlign w:val="center"/>
          </w:tcPr>
          <w:p>
            <w:pPr>
              <w:spacing w:line="320" w:lineRule="exact"/>
              <w:jc w:val="center"/>
              <w:rPr>
                <w:kern w:val="24"/>
              </w:rPr>
            </w:pPr>
            <w:r>
              <w:rPr>
                <w:rFonts w:hint="eastAsia"/>
                <w:kern w:val="24"/>
              </w:rPr>
              <w:t>4人</w:t>
            </w:r>
          </w:p>
        </w:tc>
        <w:tc>
          <w:tcPr>
            <w:tcW w:w="1566" w:type="dxa"/>
            <w:shd w:val="clear" w:color="auto" w:fill="FFFFFF" w:themeFill="background1"/>
            <w:vAlign w:val="center"/>
          </w:tcPr>
          <w:p>
            <w:pPr>
              <w:spacing w:line="320" w:lineRule="exact"/>
              <w:jc w:val="center"/>
              <w:rPr>
                <w:kern w:val="24"/>
              </w:rPr>
            </w:pPr>
            <w:r>
              <w:rPr>
                <w:kern w:val="24"/>
              </w:rPr>
              <w:t xml:space="preserve">5100 </w:t>
            </w:r>
          </w:p>
        </w:tc>
        <w:tc>
          <w:tcPr>
            <w:tcW w:w="1566" w:type="dxa"/>
            <w:shd w:val="clear" w:color="auto" w:fill="FFFFFF" w:themeFill="background1"/>
            <w:vAlign w:val="center"/>
          </w:tcPr>
          <w:p>
            <w:pPr>
              <w:spacing w:line="320" w:lineRule="exact"/>
              <w:ind w:firstLine="360" w:firstLineChars="150"/>
              <w:rPr>
                <w:kern w:val="24"/>
              </w:rPr>
            </w:pPr>
            <w:r>
              <w:rPr>
                <w:rFonts w:hint="eastAsia"/>
                <w:kern w:val="24"/>
              </w:rPr>
              <w:t xml:space="preserve">244800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65" w:type="dxa"/>
            <w:shd w:val="clear" w:color="auto" w:fill="auto"/>
            <w:vAlign w:val="center"/>
          </w:tcPr>
          <w:p>
            <w:pPr>
              <w:autoSpaceDE w:val="0"/>
              <w:autoSpaceDN w:val="0"/>
              <w:spacing w:before="192" w:line="400" w:lineRule="exact"/>
              <w:ind w:firstLine="360" w:firstLineChars="150"/>
              <w:rPr>
                <w:kern w:val="24"/>
              </w:rPr>
            </w:pPr>
            <w:r>
              <w:rPr>
                <w:rFonts w:hint="eastAsia"/>
                <w:kern w:val="24"/>
              </w:rPr>
              <w:t>2</w:t>
            </w:r>
          </w:p>
        </w:tc>
        <w:tc>
          <w:tcPr>
            <w:tcW w:w="1785" w:type="dxa"/>
            <w:shd w:val="clear" w:color="auto" w:fill="auto"/>
            <w:vAlign w:val="center"/>
          </w:tcPr>
          <w:p>
            <w:pPr>
              <w:autoSpaceDE w:val="0"/>
              <w:autoSpaceDN w:val="0"/>
              <w:spacing w:before="192" w:line="400" w:lineRule="exact"/>
              <w:ind w:left="55"/>
              <w:jc w:val="center"/>
              <w:rPr>
                <w:kern w:val="24"/>
              </w:rPr>
            </w:pPr>
            <w:r>
              <w:rPr>
                <w:rFonts w:hint="eastAsia"/>
                <w:kern w:val="24"/>
              </w:rPr>
              <w:t>普通</w:t>
            </w:r>
            <w:r>
              <w:rPr>
                <w:kern w:val="24"/>
              </w:rPr>
              <w:t>安保</w:t>
            </w:r>
            <w:r>
              <w:rPr>
                <w:rFonts w:hint="eastAsia"/>
                <w:kern w:val="24"/>
              </w:rPr>
              <w:t>人员</w:t>
            </w:r>
          </w:p>
        </w:tc>
        <w:tc>
          <w:tcPr>
            <w:tcW w:w="3126" w:type="dxa"/>
            <w:shd w:val="clear" w:color="auto" w:fill="auto"/>
            <w:vAlign w:val="center"/>
          </w:tcPr>
          <w:p>
            <w:pPr>
              <w:autoSpaceDE w:val="0"/>
              <w:autoSpaceDN w:val="0"/>
              <w:spacing w:before="192" w:line="400" w:lineRule="exact"/>
              <w:ind w:left="55"/>
              <w:jc w:val="center"/>
              <w:rPr>
                <w:kern w:val="24"/>
              </w:rPr>
            </w:pPr>
            <w:r>
              <w:rPr>
                <w:rFonts w:hint="eastAsia"/>
                <w:kern w:val="24"/>
              </w:rPr>
              <w:t>45人</w:t>
            </w:r>
          </w:p>
        </w:tc>
        <w:tc>
          <w:tcPr>
            <w:tcW w:w="1566" w:type="dxa"/>
            <w:shd w:val="clear" w:color="auto" w:fill="auto"/>
            <w:vAlign w:val="center"/>
          </w:tcPr>
          <w:p>
            <w:pPr>
              <w:autoSpaceDE w:val="0"/>
              <w:autoSpaceDN w:val="0"/>
              <w:spacing w:before="192" w:line="400" w:lineRule="exact"/>
              <w:ind w:left="55"/>
              <w:jc w:val="center"/>
              <w:rPr>
                <w:kern w:val="24"/>
              </w:rPr>
            </w:pPr>
          </w:p>
        </w:tc>
        <w:tc>
          <w:tcPr>
            <w:tcW w:w="1566" w:type="dxa"/>
          </w:tcPr>
          <w:p>
            <w:pPr>
              <w:autoSpaceDE w:val="0"/>
              <w:autoSpaceDN w:val="0"/>
              <w:spacing w:before="192" w:line="400" w:lineRule="exact"/>
              <w:ind w:left="55"/>
              <w:jc w:val="center"/>
              <w:rPr>
                <w:kern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42" w:type="dxa"/>
            <w:gridSpan w:val="4"/>
            <w:shd w:val="clear" w:color="auto" w:fill="auto"/>
            <w:vAlign w:val="center"/>
          </w:tcPr>
          <w:p>
            <w:pPr>
              <w:autoSpaceDE w:val="0"/>
              <w:autoSpaceDN w:val="0"/>
              <w:spacing w:line="400" w:lineRule="exact"/>
              <w:jc w:val="center"/>
              <w:rPr>
                <w:kern w:val="24"/>
              </w:rPr>
            </w:pPr>
            <w:r>
              <w:rPr>
                <w:kern w:val="24"/>
              </w:rPr>
              <w:t>合计</w:t>
            </w:r>
          </w:p>
        </w:tc>
        <w:tc>
          <w:tcPr>
            <w:tcW w:w="1566" w:type="dxa"/>
          </w:tcPr>
          <w:p>
            <w:pPr>
              <w:autoSpaceDE w:val="0"/>
              <w:autoSpaceDN w:val="0"/>
              <w:spacing w:line="400" w:lineRule="exact"/>
              <w:jc w:val="center"/>
              <w:rPr>
                <w:kern w:val="24"/>
              </w:rPr>
            </w:pPr>
          </w:p>
        </w:tc>
      </w:tr>
    </w:tbl>
    <w:p>
      <w:pPr>
        <w:tabs>
          <w:tab w:val="right" w:pos="9070"/>
        </w:tabs>
        <w:spacing w:line="440" w:lineRule="exact"/>
        <w:rPr>
          <w:kern w:val="24"/>
        </w:rPr>
      </w:pPr>
      <w:r>
        <w:rPr>
          <w:rFonts w:hint="eastAsia"/>
          <w:kern w:val="24"/>
        </w:rPr>
        <w:t>供应商：（供应商全称并加盖公章）</w:t>
      </w:r>
    </w:p>
    <w:p>
      <w:pPr>
        <w:tabs>
          <w:tab w:val="right" w:pos="9070"/>
        </w:tabs>
        <w:spacing w:line="440" w:lineRule="exact"/>
        <w:rPr>
          <w:kern w:val="24"/>
        </w:rPr>
      </w:pPr>
    </w:p>
    <w:p>
      <w:pPr>
        <w:tabs>
          <w:tab w:val="right" w:pos="9070"/>
        </w:tabs>
        <w:spacing w:line="440" w:lineRule="exact"/>
        <w:rPr>
          <w:kern w:val="24"/>
        </w:rPr>
      </w:pPr>
      <w:r>
        <w:rPr>
          <w:kern w:val="24"/>
        </w:rPr>
        <w:t>注：</w:t>
      </w:r>
      <w:r>
        <w:rPr>
          <w:rFonts w:hint="eastAsia"/>
          <w:kern w:val="24"/>
        </w:rPr>
        <w:t xml:space="preserve"> 1、</w:t>
      </w:r>
      <w:r>
        <w:rPr>
          <w:kern w:val="24"/>
        </w:rPr>
        <w:t>“</w:t>
      </w:r>
      <w:r>
        <w:rPr>
          <w:rFonts w:hint="eastAsia"/>
          <w:kern w:val="24"/>
        </w:rPr>
        <w:t>合计</w:t>
      </w:r>
      <w:r>
        <w:rPr>
          <w:kern w:val="24"/>
        </w:rPr>
        <w:t>”</w:t>
      </w:r>
      <w:r>
        <w:rPr>
          <w:rFonts w:hint="eastAsia"/>
          <w:kern w:val="24"/>
        </w:rPr>
        <w:t>为</w:t>
      </w:r>
      <w:r>
        <w:rPr>
          <w:kern w:val="24"/>
        </w:rPr>
        <w:t>各行报价之和；</w:t>
      </w:r>
    </w:p>
    <w:p>
      <w:pPr>
        <w:tabs>
          <w:tab w:val="right" w:pos="9070"/>
        </w:tabs>
        <w:spacing w:line="440" w:lineRule="exact"/>
        <w:rPr>
          <w:kern w:val="24"/>
        </w:rPr>
      </w:pPr>
      <w:r>
        <w:rPr>
          <w:rFonts w:hint="eastAsia"/>
          <w:kern w:val="24"/>
        </w:rPr>
        <w:t xml:space="preserve">     2、</w:t>
      </w:r>
      <w:r>
        <w:rPr>
          <w:kern w:val="24"/>
        </w:rPr>
        <w:t>本表</w:t>
      </w:r>
      <w:r>
        <w:rPr>
          <w:rFonts w:hint="eastAsia"/>
          <w:kern w:val="24"/>
        </w:rPr>
        <w:t>“</w:t>
      </w:r>
      <w:r>
        <w:rPr>
          <w:kern w:val="24"/>
        </w:rPr>
        <w:t>合计</w:t>
      </w:r>
      <w:r>
        <w:rPr>
          <w:rFonts w:hint="eastAsia"/>
          <w:kern w:val="24"/>
        </w:rPr>
        <w:t>”</w:t>
      </w:r>
      <w:r>
        <w:rPr>
          <w:kern w:val="24"/>
        </w:rPr>
        <w:t>须与</w:t>
      </w:r>
      <w:r>
        <w:rPr>
          <w:rFonts w:hint="eastAsia"/>
          <w:kern w:val="24"/>
        </w:rPr>
        <w:t>开标一览表“投标报价”</w:t>
      </w:r>
      <w:r>
        <w:rPr>
          <w:kern w:val="24"/>
        </w:rPr>
        <w:t>值一致</w:t>
      </w:r>
      <w:r>
        <w:rPr>
          <w:rFonts w:hint="eastAsia"/>
          <w:kern w:val="24"/>
        </w:rPr>
        <w:t>。</w:t>
      </w:r>
    </w:p>
    <w:p>
      <w:pPr>
        <w:tabs>
          <w:tab w:val="right" w:pos="9070"/>
        </w:tabs>
        <w:spacing w:line="440" w:lineRule="exact"/>
        <w:ind w:firstLine="600" w:firstLineChars="250"/>
        <w:rPr>
          <w:kern w:val="24"/>
        </w:rPr>
      </w:pPr>
    </w:p>
    <w:p>
      <w:pPr>
        <w:tabs>
          <w:tab w:val="right" w:pos="9070"/>
        </w:tabs>
        <w:spacing w:line="440" w:lineRule="exact"/>
        <w:ind w:firstLine="600" w:firstLineChars="250"/>
        <w:rPr>
          <w:kern w:val="24"/>
        </w:rPr>
      </w:pPr>
    </w:p>
    <w:p>
      <w:pPr>
        <w:tabs>
          <w:tab w:val="right" w:pos="9070"/>
        </w:tabs>
        <w:spacing w:line="440" w:lineRule="exact"/>
        <w:ind w:firstLine="720" w:firstLineChars="300"/>
        <w:jc w:val="both"/>
        <w:rPr>
          <w:rFonts w:cs="Calibri Light"/>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bookmarkStart w:id="61" w:name="OLE_LINK50"/>
      <w:bookmarkStart w:id="62" w:name="OLE_LINK49"/>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bookmarkEnd w:id="61"/>
    <w:bookmarkEnd w:id="62"/>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pPr>
        <w:ind w:firstLine="480" w:firstLineChars="200"/>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pPr>
        <w:ind w:firstLine="480" w:firstLineChars="200"/>
      </w:pPr>
      <w:r>
        <w:t>中标供应商的声明函\证明函将随中标结果一同公布，接受社会监督。</w:t>
      </w:r>
    </w:p>
    <w:p>
      <w:pPr>
        <w:keepNext/>
        <w:spacing w:before="120" w:after="60"/>
        <w:outlineLvl w:val="3"/>
        <w:rPr>
          <w:b/>
          <w:kern w:val="28"/>
        </w:rPr>
      </w:pPr>
      <w:r>
        <w:rPr>
          <w:rFonts w:hint="eastAsia"/>
          <w:b/>
          <w:kern w:val="28"/>
        </w:rPr>
        <w:t>1．中小企业声明函</w:t>
      </w:r>
    </w:p>
    <w:p>
      <w:pPr>
        <w:pStyle w:val="40"/>
        <w:wordWrap/>
        <w:spacing w:before="230" w:after="230"/>
        <w:ind w:firstLine="480" w:firstLineChars="200"/>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before="230" w:after="230"/>
        <w:ind w:firstLine="480" w:firstLineChars="200"/>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before="230" w:after="230"/>
        <w:ind w:firstLine="480" w:firstLineChars="200"/>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before="230" w:after="230"/>
        <w:ind w:firstLine="480" w:firstLineChars="200"/>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jc w:val="center"/>
        <w:rPr>
          <w:rFonts w:cs="Calibri Light"/>
          <w:b/>
          <w:color w:val="1F4E79"/>
          <w:sz w:val="28"/>
        </w:rPr>
      </w:pPr>
      <w:r>
        <w:rPr>
          <w:rFonts w:cs="Calibri Light"/>
          <w:b/>
          <w:color w:val="1F4E79"/>
          <w:sz w:val="28"/>
        </w:rPr>
        <w:t>『中小企业声明函』（服务类格式）</w:t>
      </w:r>
    </w:p>
    <w:p>
      <w:pPr>
        <w:pStyle w:val="40"/>
        <w:wordWrap/>
        <w:spacing w:before="230" w:after="230" w:line="420" w:lineRule="exact"/>
        <w:ind w:firstLine="480" w:firstLineChars="200"/>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0"/>
        <w:wordWrap/>
        <w:spacing w:before="230" w:after="230" w:line="420" w:lineRule="exact"/>
        <w:ind w:firstLine="480" w:firstLineChars="200"/>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before="230" w:after="230" w:line="420" w:lineRule="exact"/>
        <w:ind w:firstLine="480" w:firstLineChars="200"/>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before="230" w:after="230" w:line="420" w:lineRule="exact"/>
        <w:ind w:firstLine="480" w:firstLineChars="200"/>
        <w:rPr>
          <w:rFonts w:asciiTheme="minorHAnsi" w:hAnsiTheme="minorHAnsi" w:eastAsiaTheme="minorEastAsia"/>
          <w:sz w:val="24"/>
          <w:szCs w:val="24"/>
        </w:rPr>
      </w:pPr>
      <w:r>
        <w:rPr>
          <w:rFonts w:asciiTheme="minorHAnsi" w:hAnsiTheme="minorHAnsi" w:eastAsiaTheme="minorEastAsia"/>
          <w:sz w:val="24"/>
          <w:szCs w:val="24"/>
        </w:rPr>
        <w:t>……</w:t>
      </w:r>
    </w:p>
    <w:p>
      <w:pPr>
        <w:spacing w:line="420" w:lineRule="exact"/>
        <w:ind w:firstLine="480" w:firstLineChars="200"/>
      </w:pPr>
      <w:r>
        <w:t>以上企业，不属于大企业的分支机构，不存在控股股东为大企业的情形，也不存在与大企业的负责人为同一人的情形。</w:t>
      </w:r>
    </w:p>
    <w:p>
      <w:pPr>
        <w:spacing w:line="420" w:lineRule="exact"/>
        <w:ind w:firstLine="480" w:firstLineChars="200"/>
      </w:pPr>
      <w:r>
        <w:t>本企业对上述声明内容的真实性负责。如有虚假，将依法承担相应责任。</w:t>
      </w:r>
    </w:p>
    <w:p>
      <w:pPr>
        <w:spacing w:line="420" w:lineRule="exact"/>
        <w:ind w:firstLine="480" w:firstLineChars="200"/>
      </w:pPr>
    </w:p>
    <w:p>
      <w:pPr>
        <w:tabs>
          <w:tab w:val="left" w:pos="5670"/>
        </w:tabs>
        <w:spacing w:line="420" w:lineRule="exact"/>
        <w:ind w:firstLine="480" w:firstLineChars="200"/>
        <w:rPr>
          <w:rFonts w:cs="Calibri Light"/>
          <w:color w:val="000000"/>
        </w:rPr>
      </w:pPr>
      <w:r>
        <w:rPr>
          <w:color w:val="000000"/>
        </w:rPr>
        <w:t>供应商：（</w:t>
      </w:r>
      <w:r>
        <w:rPr>
          <w:i/>
          <w:color w:val="7030A0"/>
        </w:rPr>
        <w:t>供应商全称并加盖公章</w:t>
      </w:r>
      <w:r>
        <w:rPr>
          <w:color w:val="000000"/>
        </w:rPr>
        <w:t>）</w:t>
      </w:r>
    </w:p>
    <w:p>
      <w:pPr>
        <w:tabs>
          <w:tab w:val="left" w:pos="5670"/>
        </w:tabs>
        <w:spacing w:line="420" w:lineRule="exact"/>
        <w:ind w:firstLine="480" w:firstLineChars="200"/>
        <w:rPr>
          <w:rFonts w:cs="Calibri Light"/>
          <w:color w:val="000000"/>
        </w:rPr>
      </w:pPr>
      <w:r>
        <w:rPr>
          <w:rFonts w:cs="Calibri Light"/>
          <w:color w:val="000000"/>
        </w:rPr>
        <w:t>日　期：　　年　月　日</w:t>
      </w:r>
    </w:p>
    <w:p>
      <w:pPr>
        <w:tabs>
          <w:tab w:val="left" w:pos="5670"/>
        </w:tabs>
        <w:spacing w:line="420" w:lineRule="exact"/>
        <w:ind w:firstLine="480" w:firstLineChars="200"/>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pPr>
        <w:rPr>
          <w:rFonts w:cstheme="minorHAnsi"/>
          <w:color w:val="000000"/>
        </w:rPr>
      </w:pPr>
      <w:r>
        <w:rPr>
          <w:rFonts w:cstheme="minorHAnsi"/>
          <w:color w:val="000000"/>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keepNext/>
        <w:spacing w:before="230" w:beforeLines="50" w:after="230" w:afterLines="50"/>
        <w:jc w:val="center"/>
        <w:outlineLvl w:val="1"/>
        <w:rPr>
          <w:rFonts w:ascii="Calibri" w:hAnsi="Calibri" w:eastAsia="黑体" w:cstheme="majorBidi"/>
          <w:sz w:val="32"/>
        </w:rPr>
      </w:pPr>
    </w:p>
    <w:p>
      <w:pPr>
        <w:ind w:firstLine="480" w:firstLineChars="200"/>
        <w:jc w:val="both"/>
        <w:rPr>
          <w:rFonts w:asciiTheme="minorEastAsia" w:hAnsiTheme="minorEastAsia" w:cstheme="minorHAnsi"/>
          <w:b/>
          <w:color w:val="C00000"/>
        </w:rPr>
      </w:pPr>
      <w:r>
        <w:rPr>
          <w:rFonts w:asciiTheme="minorEastAsia" w:hAnsiTheme="minorEastAsia" w:cstheme="minorHAnsi"/>
          <w:i/>
          <w:color w:val="7030A0"/>
          <w:kern w:val="24"/>
        </w:rPr>
        <w:t>说明：对第三章“招标内容及要求”中</w:t>
      </w:r>
      <w:r>
        <w:rPr>
          <w:rFonts w:asciiTheme="minorEastAsia" w:hAnsiTheme="minorEastAsia" w:cstheme="minorHAnsi"/>
          <w:i/>
          <w:color w:val="C00000"/>
          <w:kern w:val="24"/>
          <w:u w:val="single"/>
        </w:rPr>
        <w:t>标注“</w:t>
      </w:r>
      <w:r>
        <w:rPr>
          <w:rFonts w:cs="Segoe UI Symbol" w:asciiTheme="minorEastAsia" w:hAnsiTheme="minorEastAsia"/>
          <w:i/>
          <w:color w:val="C00000"/>
          <w:kern w:val="24"/>
          <w:u w:val="single"/>
        </w:rPr>
        <w:t>★</w:t>
      </w:r>
      <w:r>
        <w:rPr>
          <w:rFonts w:cs="Calibri" w:asciiTheme="minorEastAsia" w:hAnsiTheme="minorEastAsia"/>
          <w:i/>
          <w:color w:val="C00000"/>
          <w:kern w:val="24"/>
          <w:u w:val="single"/>
        </w:rPr>
        <w:t>”</w:t>
      </w:r>
      <w:r>
        <w:rPr>
          <w:rFonts w:asciiTheme="minorEastAsia" w:hAnsiTheme="minorEastAsia" w:cstheme="minorHAnsi"/>
          <w:i/>
          <w:color w:val="C00000"/>
          <w:kern w:val="24"/>
          <w:u w:val="single"/>
        </w:rPr>
        <w:t>的各项实质性条款</w:t>
      </w:r>
      <w:r>
        <w:rPr>
          <w:rFonts w:asciiTheme="minorEastAsia" w:hAnsiTheme="minorEastAsia" w:cstheme="minorHAnsi"/>
          <w:i/>
          <w:color w:val="7030A0"/>
          <w:kern w:val="24"/>
        </w:rPr>
        <w:t>作出</w:t>
      </w:r>
      <w:r>
        <w:rPr>
          <w:rFonts w:hint="eastAsia" w:asciiTheme="minorEastAsia" w:hAnsiTheme="minorEastAsia" w:cstheme="minorHAnsi"/>
          <w:i/>
          <w:color w:val="7030A0"/>
          <w:kern w:val="24"/>
        </w:rPr>
        <w:t>承诺</w:t>
      </w:r>
      <w:r>
        <w:rPr>
          <w:rFonts w:asciiTheme="minorEastAsia" w:hAnsiTheme="minorEastAsia" w:cstheme="minorHAnsi"/>
          <w:i/>
          <w:color w:val="7030A0"/>
          <w:kern w:val="24"/>
        </w:rPr>
        <w:t>响应，</w:t>
      </w:r>
      <w:r>
        <w:rPr>
          <w:rFonts w:hint="eastAsia" w:asciiTheme="minorEastAsia" w:hAnsiTheme="minorEastAsia" w:cstheme="minorHAnsi"/>
          <w:b/>
          <w:color w:val="C00000"/>
        </w:rPr>
        <w:t>格式自拟</w:t>
      </w:r>
      <w:r>
        <w:rPr>
          <w:rFonts w:asciiTheme="minorEastAsia" w:hAnsiTheme="minorEastAsia" w:cstheme="minorHAnsi"/>
          <w:b/>
          <w:color w:val="C00000"/>
        </w:rPr>
        <w:t>。</w:t>
      </w:r>
    </w:p>
    <w:p>
      <w:pPr>
        <w:rPr>
          <w:rFonts w:cstheme="minorHAnsi"/>
        </w:rPr>
      </w:pPr>
    </w:p>
    <w:p>
      <w:pPr>
        <w:rPr>
          <w:rFonts w:cstheme="minorHAnsi"/>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黑体" w:hAnsi="黑体" w:eastAsia="黑体"/>
          <w:sz w:val="28"/>
          <w:szCs w:val="28"/>
        </w:rPr>
      </w:pPr>
      <w:r>
        <w:rPr>
          <w:rFonts w:ascii="黑体" w:hAnsi="黑体" w:eastAsia="黑体"/>
          <w:sz w:val="28"/>
          <w:szCs w:val="28"/>
        </w:rPr>
        <w:t>（一）技术（服务）条款响应（暗标盲评部分）</w:t>
      </w:r>
    </w:p>
    <w:p>
      <w:pPr>
        <w:ind w:firstLine="480" w:firstLineChars="200"/>
        <w:rPr>
          <w:rFonts w:asciiTheme="minorEastAsia" w:hAnsiTheme="minorEastAsia"/>
        </w:rPr>
      </w:pPr>
      <w:r>
        <w:rPr>
          <w:rFonts w:asciiTheme="minorEastAsia" w:hAnsiTheme="minorEastAsia"/>
        </w:rPr>
        <w:t>特别提醒：</w:t>
      </w:r>
    </w:p>
    <w:p>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pPr>
        <w:ind w:firstLine="480" w:firstLineChars="200"/>
        <w:rPr>
          <w:rFonts w:asciiTheme="minorEastAsia" w:hAnsiTheme="minorEastAsia"/>
        </w:rPr>
      </w:pPr>
    </w:p>
    <w:p>
      <w:pPr>
        <w:jc w:val="center"/>
        <w:rPr>
          <w:rFonts w:ascii="宋体" w:hAnsi="宋体"/>
          <w:b/>
        </w:rPr>
      </w:pPr>
      <w:r>
        <w:rPr>
          <w:rFonts w:hint="eastAsia" w:ascii="宋体" w:hAnsi="宋体"/>
          <w:b/>
        </w:rPr>
        <w:t>技术（服务）评审部分响应方案</w:t>
      </w:r>
    </w:p>
    <w:p>
      <w:pPr>
        <w:rPr>
          <w:rFonts w:ascii="宋体" w:hAnsi="宋体"/>
        </w:rPr>
      </w:pPr>
      <w:r>
        <w:rPr>
          <w:rFonts w:hint="eastAsia" w:ascii="宋体" w:hAnsi="宋体"/>
        </w:rPr>
        <w:t>供应商结合第三章《招标内容及要求》相关要求及第二章《评审要素及分值一览表》暗标部分中各评审要素逐项编写方案。</w:t>
      </w:r>
    </w:p>
    <w:p>
      <w:pPr>
        <w:rPr>
          <w:rFonts w:ascii="宋体" w:hAnsi="宋体"/>
        </w:rPr>
      </w:pPr>
    </w:p>
    <w:p>
      <w:pPr>
        <w:rPr>
          <w:rFonts w:ascii="宋体" w:hAnsi="宋体"/>
        </w:rPr>
      </w:pPr>
      <w:r>
        <w:rPr>
          <w:rFonts w:hint="eastAsia" w:ascii="宋体" w:hAnsi="宋体"/>
        </w:rPr>
        <w:t>示例：</w:t>
      </w:r>
    </w:p>
    <w:p>
      <w:pPr>
        <w:rPr>
          <w:rFonts w:ascii="宋体" w:hAnsi="宋体" w:eastAsia="宋体"/>
        </w:rPr>
      </w:pPr>
      <w:r>
        <w:rPr>
          <w:rFonts w:hint="eastAsia" w:ascii="宋体" w:hAnsi="宋体" w:eastAsia="宋体"/>
        </w:rPr>
        <w:t>1．服务</w:t>
      </w:r>
      <w:r>
        <w:rPr>
          <w:rFonts w:ascii="宋体" w:hAnsi="宋体" w:eastAsia="宋体"/>
        </w:rPr>
        <w:t>方案</w:t>
      </w:r>
    </w:p>
    <w:p>
      <w:pPr>
        <w:rPr>
          <w:rFonts w:ascii="宋体" w:hAnsi="宋体" w:eastAsia="宋体"/>
        </w:rPr>
      </w:pPr>
    </w:p>
    <w:p>
      <w:pPr>
        <w:rPr>
          <w:rFonts w:ascii="宋体" w:hAnsi="宋体" w:eastAsia="宋体"/>
        </w:rPr>
      </w:pPr>
      <w:r>
        <w:rPr>
          <w:rFonts w:ascii="宋体" w:hAnsi="宋体" w:eastAsia="宋体"/>
        </w:rPr>
        <w:t>2</w:t>
      </w:r>
      <w:r>
        <w:rPr>
          <w:rFonts w:hint="eastAsia" w:ascii="宋体" w:hAnsi="宋体" w:eastAsia="宋体"/>
        </w:rPr>
        <w:t>．管理制度</w:t>
      </w:r>
    </w:p>
    <w:p>
      <w:pPr>
        <w:rPr>
          <w:rFonts w:asciiTheme="minorEastAsia" w:hAnsiTheme="minorEastAsia"/>
        </w:rPr>
      </w:pPr>
    </w:p>
    <w:p>
      <w:pPr>
        <w:rPr>
          <w:rFonts w:asciiTheme="minorEastAsia" w:hAnsiTheme="minorEastAsia"/>
        </w:rPr>
      </w:pPr>
      <w:r>
        <w:rPr>
          <w:rFonts w:asciiTheme="minorEastAsia" w:hAnsiTheme="minorEastAsia"/>
        </w:rPr>
        <w:t xml:space="preserve">3. </w:t>
      </w:r>
      <w:r>
        <w:rPr>
          <w:rFonts w:hint="eastAsia" w:asciiTheme="minorEastAsia" w:hAnsiTheme="minorEastAsia"/>
        </w:rPr>
        <w:t>应急</w:t>
      </w:r>
      <w:r>
        <w:rPr>
          <w:rFonts w:asciiTheme="minorEastAsia" w:hAnsiTheme="minorEastAsia"/>
        </w:rPr>
        <w:t>方案</w:t>
      </w:r>
    </w:p>
    <w:p>
      <w:pPr>
        <w:rPr>
          <w:rFonts w:asciiTheme="minorEastAsia" w:hAnsiTheme="minorEastAsia"/>
        </w:rPr>
      </w:pPr>
      <w:r>
        <w:rPr>
          <w:rFonts w:asciiTheme="minorEastAsia" w:hAnsiTheme="minorEastAsia"/>
        </w:rPr>
        <w:t>……</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w:t>
            </w:r>
            <w:r>
              <w:rPr>
                <w:rFonts w:hint="eastAsia" w:asciiTheme="minorEastAsia" w:hAnsiTheme="minorEastAsia"/>
                <w:color w:val="FF0000"/>
                <w:sz w:val="21"/>
                <w:szCs w:val="21"/>
              </w:rPr>
              <w:t>★</w:t>
            </w:r>
            <w:r>
              <w:rPr>
                <w:rFonts w:hint="eastAsia" w:asciiTheme="minorEastAsia" w:hAnsiTheme="minorEastAsia"/>
                <w:sz w:val="21"/>
                <w:szCs w:val="21"/>
              </w:rPr>
              <w:t>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jc w:val="center"/>
        <w:rPr>
          <w:rFonts w:cstheme="minorHAnsi"/>
          <w:b/>
        </w:rPr>
      </w:pPr>
      <w:r>
        <w:rPr>
          <w:rFonts w:cstheme="minorHAnsi"/>
          <w:b/>
        </w:rPr>
        <w:t>2</w:t>
      </w:r>
      <w:r>
        <w:rPr>
          <w:rFonts w:hint="eastAsia" w:cstheme="minorHAnsi"/>
          <w:b/>
        </w:rPr>
        <w:t>.商务评审部分响应方案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tabs>
          <w:tab w:val="center" w:pos="4395"/>
        </w:tabs>
        <w:rPr>
          <w:i/>
          <w:color w:val="C00000"/>
        </w:rPr>
      </w:pPr>
    </w:p>
    <w:p>
      <w:pPr>
        <w:rPr>
          <w:i/>
        </w:rPr>
      </w:pPr>
      <w:r>
        <w:rPr>
          <w:rFonts w:hint="eastAsia"/>
          <w:i/>
        </w:rPr>
        <w:t>示例：</w:t>
      </w:r>
    </w:p>
    <w:p>
      <w:pPr>
        <w:rPr>
          <w:rFonts w:asciiTheme="minorEastAsia" w:hAnsiTheme="minorEastAsia" w:cstheme="minorHAnsi"/>
          <w:b/>
          <w:color w:val="000000"/>
          <w:kern w:val="24"/>
        </w:rPr>
      </w:pPr>
      <w:r>
        <w:rPr>
          <w:rFonts w:hint="eastAsia" w:asciiTheme="minorEastAsia" w:hAnsiTheme="minorEastAsia" w:cstheme="minorHAnsi"/>
          <w:b/>
          <w:color w:val="000000"/>
          <w:kern w:val="24"/>
        </w:rPr>
        <w:t>1.</w:t>
      </w:r>
      <w:r>
        <w:rPr>
          <w:rFonts w:asciiTheme="minorEastAsia" w:hAnsiTheme="minorEastAsia" w:cstheme="minorHAnsi"/>
          <w:b/>
          <w:color w:val="000000"/>
          <w:kern w:val="24"/>
        </w:rPr>
        <w:t>拟派项目团队人员情况表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134"/>
        <w:gridCol w:w="709"/>
        <w:gridCol w:w="850"/>
        <w:gridCol w:w="1985"/>
        <w:gridCol w:w="1559"/>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hint="eastAsia" w:asciiTheme="minorEastAsia" w:hAnsiTheme="minorEastAsia" w:cstheme="minorHAnsi"/>
                <w:b/>
                <w:color w:val="000000"/>
                <w:szCs w:val="21"/>
              </w:rPr>
              <w:t>岗位</w:t>
            </w:r>
          </w:p>
        </w:tc>
        <w:tc>
          <w:tcPr>
            <w:tcW w:w="1134"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年龄</w:t>
            </w:r>
          </w:p>
        </w:tc>
        <w:tc>
          <w:tcPr>
            <w:tcW w:w="850"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性别</w:t>
            </w:r>
          </w:p>
        </w:tc>
        <w:tc>
          <w:tcPr>
            <w:tcW w:w="1985"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资格\学历\职称</w:t>
            </w:r>
          </w:p>
        </w:tc>
        <w:tc>
          <w:tcPr>
            <w:tcW w:w="1559"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在本行业从业工作年限</w:t>
            </w:r>
          </w:p>
        </w:tc>
        <w:tc>
          <w:tcPr>
            <w:tcW w:w="193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Cs w:val="21"/>
              </w:rPr>
            </w:pPr>
          </w:p>
        </w:tc>
        <w:tc>
          <w:tcPr>
            <w:tcW w:w="1134"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850"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85"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559"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34"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Cs w:val="21"/>
              </w:rPr>
            </w:pPr>
          </w:p>
        </w:tc>
        <w:tc>
          <w:tcPr>
            <w:tcW w:w="1134"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850"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85"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559"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34"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Cs w:val="21"/>
              </w:rPr>
            </w:pPr>
          </w:p>
        </w:tc>
        <w:tc>
          <w:tcPr>
            <w:tcW w:w="1134"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850"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85"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559"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34"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Cs w:val="21"/>
              </w:rPr>
            </w:pPr>
          </w:p>
        </w:tc>
        <w:tc>
          <w:tcPr>
            <w:tcW w:w="1134"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850"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85"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Cs w:val="21"/>
              </w:rPr>
            </w:pPr>
          </w:p>
        </w:tc>
        <w:tc>
          <w:tcPr>
            <w:tcW w:w="1559"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c>
          <w:tcPr>
            <w:tcW w:w="1934"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Cs w:val="21"/>
              </w:rPr>
            </w:pPr>
            <w:r>
              <w:rPr>
                <w:rFonts w:asciiTheme="minorEastAsia" w:hAnsiTheme="minorEastAsia" w:cstheme="minorHAnsi"/>
                <w:color w:val="000000"/>
                <w:szCs w:val="21"/>
              </w:rPr>
              <w:t>备注</w:t>
            </w:r>
          </w:p>
        </w:tc>
        <w:tc>
          <w:tcPr>
            <w:tcW w:w="817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80" w:hanging="180" w:hangingChars="75"/>
              <w:rPr>
                <w:rFonts w:asciiTheme="minorEastAsia" w:hAnsiTheme="minorEastAsia" w:cstheme="minorHAnsi"/>
                <w:color w:val="000000"/>
                <w:szCs w:val="21"/>
              </w:rPr>
            </w:pPr>
            <w:r>
              <w:rPr>
                <w:rFonts w:asciiTheme="minorEastAsia" w:hAnsiTheme="minorEastAsia" w:cstheme="minorHAnsi"/>
                <w:color w:val="000000"/>
                <w:szCs w:val="21"/>
              </w:rPr>
              <w:t>① 表格行数不足时请自行扩展。</w:t>
            </w:r>
          </w:p>
          <w:p>
            <w:pPr>
              <w:ind w:left="180" w:hanging="180" w:hangingChars="75"/>
              <w:rPr>
                <w:rFonts w:asciiTheme="minorEastAsia" w:hAnsiTheme="minorEastAsia" w:cstheme="minorHAnsi"/>
                <w:color w:val="000000"/>
                <w:szCs w:val="21"/>
              </w:rPr>
            </w:pPr>
            <w:r>
              <w:rPr>
                <w:rFonts w:asciiTheme="minorEastAsia" w:hAnsiTheme="minorEastAsia" w:cstheme="minorHAnsi"/>
                <w:color w:val="000000"/>
                <w:szCs w:val="21"/>
              </w:rPr>
              <w:t>② 招标文件对人员“资格\学历\职称”提出要求的，应在本表下方附相应的“资格证\学历证\职称证”等证明材料。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i/>
          <w:color w:val="C00000"/>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r>
        <w:rPr>
          <w:rFonts w:hint="eastAsia" w:ascii="宋体" w:hAnsi="宋体" w:eastAsia="宋体"/>
          <w:b/>
          <w:color w:val="000000"/>
          <w:kern w:val="24"/>
        </w:rPr>
        <w:t>安保用具配置清单</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pPr>
              <w:jc w:val="center"/>
              <w:rPr>
                <w:rFonts w:asciiTheme="minorEastAsia" w:hAnsiTheme="minorEastAsia"/>
                <w:b/>
                <w:szCs w:val="21"/>
              </w:rPr>
            </w:pPr>
            <w:r>
              <w:rPr>
                <w:rFonts w:asciiTheme="minorEastAsia" w:hAnsiTheme="minorEastAsia"/>
                <w:b/>
                <w:szCs w:val="21"/>
              </w:rPr>
              <w:t>设备名称</w:t>
            </w:r>
          </w:p>
        </w:tc>
        <w:tc>
          <w:tcPr>
            <w:tcW w:w="1576" w:type="dxa"/>
            <w:shd w:val="clear" w:color="auto" w:fill="F1F1F1" w:themeFill="background1" w:themeFillShade="F2"/>
            <w:vAlign w:val="center"/>
          </w:tcPr>
          <w:p>
            <w:pPr>
              <w:jc w:val="center"/>
              <w:rPr>
                <w:rFonts w:asciiTheme="minorEastAsia" w:hAnsiTheme="minorEastAsia"/>
                <w:b/>
                <w:szCs w:val="21"/>
              </w:rPr>
            </w:pPr>
            <w:r>
              <w:rPr>
                <w:rFonts w:asciiTheme="minorEastAsia" w:hAnsiTheme="minorEastAsia"/>
                <w:b/>
                <w:szCs w:val="21"/>
              </w:rPr>
              <w:t>型号</w:t>
            </w:r>
          </w:p>
        </w:tc>
        <w:tc>
          <w:tcPr>
            <w:tcW w:w="1417" w:type="dxa"/>
            <w:shd w:val="clear" w:color="auto" w:fill="F1F1F1" w:themeFill="background1" w:themeFillShade="F2"/>
            <w:vAlign w:val="center"/>
          </w:tcPr>
          <w:p>
            <w:pPr>
              <w:jc w:val="center"/>
              <w:rPr>
                <w:rFonts w:asciiTheme="minorEastAsia" w:hAnsiTheme="minorEastAsia"/>
                <w:b/>
                <w:szCs w:val="21"/>
              </w:rPr>
            </w:pPr>
            <w:r>
              <w:rPr>
                <w:rFonts w:asciiTheme="minorEastAsia" w:hAnsiTheme="minorEastAsia"/>
                <w:b/>
                <w:szCs w:val="21"/>
              </w:rPr>
              <w:t>用途</w:t>
            </w:r>
          </w:p>
        </w:tc>
        <w:tc>
          <w:tcPr>
            <w:tcW w:w="1701" w:type="dxa"/>
            <w:shd w:val="clear" w:color="auto" w:fill="F1F1F1" w:themeFill="background1" w:themeFillShade="F2"/>
            <w:vAlign w:val="center"/>
          </w:tcPr>
          <w:p>
            <w:pPr>
              <w:jc w:val="center"/>
              <w:rPr>
                <w:rFonts w:asciiTheme="minorEastAsia" w:hAnsiTheme="minorEastAsia"/>
                <w:b/>
                <w:szCs w:val="21"/>
              </w:rPr>
            </w:pPr>
            <w:r>
              <w:rPr>
                <w:rFonts w:hint="eastAsia" w:asciiTheme="minorEastAsia" w:hAnsiTheme="minorEastAsia"/>
                <w:b/>
                <w:szCs w:val="21"/>
              </w:rPr>
              <w:t>制造商</w:t>
            </w:r>
          </w:p>
        </w:tc>
        <w:tc>
          <w:tcPr>
            <w:tcW w:w="1426" w:type="dxa"/>
            <w:shd w:val="clear" w:color="auto" w:fill="F1F1F1" w:themeFill="background1" w:themeFillShade="F2"/>
            <w:vAlign w:val="center"/>
          </w:tcPr>
          <w:p>
            <w:pPr>
              <w:jc w:val="center"/>
              <w:rPr>
                <w:rFonts w:asciiTheme="minorEastAsia" w:hAnsiTheme="minorEastAsia"/>
                <w:b/>
                <w:szCs w:val="21"/>
              </w:rPr>
            </w:pPr>
            <w:r>
              <w:rPr>
                <w:rFonts w:asciiTheme="minorEastAsia" w:hAnsiTheme="minorEastAsia"/>
                <w:b/>
                <w:szCs w:val="21"/>
              </w:rPr>
              <w:t>已服役年限</w:t>
            </w:r>
          </w:p>
        </w:tc>
        <w:tc>
          <w:tcPr>
            <w:tcW w:w="1792" w:type="dxa"/>
            <w:shd w:val="clear" w:color="auto" w:fill="F1F1F1" w:themeFill="background1" w:themeFillShade="F2"/>
            <w:vAlign w:val="center"/>
          </w:tcPr>
          <w:p>
            <w:pPr>
              <w:jc w:val="center"/>
              <w:rPr>
                <w:rFonts w:asciiTheme="minorEastAsia" w:hAnsiTheme="minorEastAsia" w:cstheme="minorHAnsi"/>
                <w:b/>
                <w:color w:val="000000"/>
                <w:szCs w:val="21"/>
              </w:rPr>
            </w:pPr>
            <w:r>
              <w:rPr>
                <w:rFonts w:asciiTheme="minorEastAsia" w:hAnsiTheme="minorEastAsia" w:cstheme="minorHAnsi"/>
                <w:b/>
                <w:color w:val="000000"/>
                <w:szCs w:val="21"/>
              </w:rPr>
              <w:t>设备购买发票或租赁证明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pPr>
              <w:rPr>
                <w:rFonts w:asciiTheme="minorEastAsia" w:hAnsiTheme="minorEastAsia"/>
                <w:szCs w:val="21"/>
              </w:rPr>
            </w:pPr>
          </w:p>
        </w:tc>
        <w:tc>
          <w:tcPr>
            <w:tcW w:w="1576" w:type="dxa"/>
            <w:shd w:val="clear" w:color="auto" w:fill="auto"/>
            <w:vAlign w:val="center"/>
          </w:tcPr>
          <w:p>
            <w:pPr>
              <w:rPr>
                <w:rFonts w:asciiTheme="minorEastAsia" w:hAnsiTheme="minorEastAsia"/>
                <w:szCs w:val="21"/>
              </w:rPr>
            </w:pPr>
          </w:p>
        </w:tc>
        <w:tc>
          <w:tcPr>
            <w:tcW w:w="1417" w:type="dxa"/>
            <w:shd w:val="clear" w:color="auto" w:fill="auto"/>
            <w:vAlign w:val="center"/>
          </w:tcPr>
          <w:p>
            <w:pPr>
              <w:rPr>
                <w:rFonts w:asciiTheme="minorEastAsia" w:hAnsiTheme="minorEastAsia"/>
                <w:szCs w:val="21"/>
              </w:rPr>
            </w:pPr>
          </w:p>
        </w:tc>
        <w:tc>
          <w:tcPr>
            <w:tcW w:w="1701" w:type="dxa"/>
            <w:shd w:val="clear" w:color="auto" w:fill="auto"/>
            <w:vAlign w:val="center"/>
          </w:tcPr>
          <w:p>
            <w:pPr>
              <w:rPr>
                <w:rFonts w:asciiTheme="minorEastAsia" w:hAnsiTheme="minorEastAsia"/>
                <w:szCs w:val="21"/>
              </w:rPr>
            </w:pPr>
          </w:p>
        </w:tc>
        <w:tc>
          <w:tcPr>
            <w:tcW w:w="1426" w:type="dxa"/>
            <w:shd w:val="clear" w:color="auto" w:fill="auto"/>
            <w:vAlign w:val="center"/>
          </w:tcPr>
          <w:p>
            <w:pPr>
              <w:rPr>
                <w:rFonts w:asciiTheme="minorEastAsia" w:hAnsiTheme="minorEastAsia"/>
                <w:szCs w:val="21"/>
              </w:rPr>
            </w:pPr>
          </w:p>
        </w:tc>
        <w:tc>
          <w:tcPr>
            <w:tcW w:w="1792" w:type="dxa"/>
            <w:shd w:val="clear" w:color="auto" w:fill="auto"/>
            <w:vAlign w:val="center"/>
          </w:tcPr>
          <w:p>
            <w:pPr>
              <w:rPr>
                <w:rFonts w:asciiTheme="minorEastAsia" w:hAnsi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pPr>
              <w:rPr>
                <w:rFonts w:asciiTheme="minorEastAsia" w:hAnsiTheme="minorEastAsia"/>
                <w:szCs w:val="21"/>
              </w:rPr>
            </w:pPr>
          </w:p>
        </w:tc>
        <w:tc>
          <w:tcPr>
            <w:tcW w:w="1576" w:type="dxa"/>
            <w:shd w:val="clear" w:color="auto" w:fill="auto"/>
            <w:vAlign w:val="center"/>
          </w:tcPr>
          <w:p>
            <w:pPr>
              <w:rPr>
                <w:rFonts w:asciiTheme="minorEastAsia" w:hAnsiTheme="minorEastAsia"/>
                <w:szCs w:val="21"/>
              </w:rPr>
            </w:pPr>
          </w:p>
        </w:tc>
        <w:tc>
          <w:tcPr>
            <w:tcW w:w="1417" w:type="dxa"/>
            <w:shd w:val="clear" w:color="auto" w:fill="auto"/>
            <w:vAlign w:val="center"/>
          </w:tcPr>
          <w:p>
            <w:pPr>
              <w:rPr>
                <w:rFonts w:asciiTheme="minorEastAsia" w:hAnsiTheme="minorEastAsia"/>
                <w:szCs w:val="21"/>
              </w:rPr>
            </w:pPr>
          </w:p>
        </w:tc>
        <w:tc>
          <w:tcPr>
            <w:tcW w:w="1701" w:type="dxa"/>
            <w:shd w:val="clear" w:color="auto" w:fill="auto"/>
            <w:vAlign w:val="center"/>
          </w:tcPr>
          <w:p>
            <w:pPr>
              <w:rPr>
                <w:rFonts w:asciiTheme="minorEastAsia" w:hAnsiTheme="minorEastAsia"/>
                <w:szCs w:val="21"/>
              </w:rPr>
            </w:pPr>
          </w:p>
        </w:tc>
        <w:tc>
          <w:tcPr>
            <w:tcW w:w="1426" w:type="dxa"/>
            <w:shd w:val="clear" w:color="auto" w:fill="auto"/>
            <w:vAlign w:val="center"/>
          </w:tcPr>
          <w:p>
            <w:pPr>
              <w:rPr>
                <w:rFonts w:asciiTheme="minorEastAsia" w:hAnsiTheme="minorEastAsia"/>
                <w:szCs w:val="21"/>
              </w:rPr>
            </w:pPr>
          </w:p>
        </w:tc>
        <w:tc>
          <w:tcPr>
            <w:tcW w:w="1792" w:type="dxa"/>
            <w:shd w:val="clear" w:color="auto" w:fill="auto"/>
            <w:vAlign w:val="center"/>
          </w:tcPr>
          <w:p>
            <w:pPr>
              <w:rPr>
                <w:rFonts w:asciiTheme="minorEastAsia" w:hAnsi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pPr>
              <w:rPr>
                <w:rFonts w:asciiTheme="minorEastAsia" w:hAnsiTheme="minorEastAsia"/>
                <w:szCs w:val="21"/>
              </w:rPr>
            </w:pPr>
          </w:p>
        </w:tc>
        <w:tc>
          <w:tcPr>
            <w:tcW w:w="1576" w:type="dxa"/>
            <w:shd w:val="clear" w:color="auto" w:fill="auto"/>
            <w:vAlign w:val="center"/>
          </w:tcPr>
          <w:p>
            <w:pPr>
              <w:rPr>
                <w:rFonts w:asciiTheme="minorEastAsia" w:hAnsiTheme="minorEastAsia"/>
                <w:szCs w:val="21"/>
              </w:rPr>
            </w:pPr>
          </w:p>
        </w:tc>
        <w:tc>
          <w:tcPr>
            <w:tcW w:w="1417" w:type="dxa"/>
            <w:shd w:val="clear" w:color="auto" w:fill="auto"/>
            <w:vAlign w:val="center"/>
          </w:tcPr>
          <w:p>
            <w:pPr>
              <w:rPr>
                <w:rFonts w:asciiTheme="minorEastAsia" w:hAnsiTheme="minorEastAsia"/>
                <w:szCs w:val="21"/>
              </w:rPr>
            </w:pPr>
          </w:p>
        </w:tc>
        <w:tc>
          <w:tcPr>
            <w:tcW w:w="1701" w:type="dxa"/>
            <w:shd w:val="clear" w:color="auto" w:fill="auto"/>
            <w:vAlign w:val="center"/>
          </w:tcPr>
          <w:p>
            <w:pPr>
              <w:rPr>
                <w:rFonts w:asciiTheme="minorEastAsia" w:hAnsiTheme="minorEastAsia"/>
                <w:szCs w:val="21"/>
              </w:rPr>
            </w:pPr>
          </w:p>
        </w:tc>
        <w:tc>
          <w:tcPr>
            <w:tcW w:w="1426" w:type="dxa"/>
            <w:shd w:val="clear" w:color="auto" w:fill="auto"/>
            <w:vAlign w:val="center"/>
          </w:tcPr>
          <w:p>
            <w:pPr>
              <w:rPr>
                <w:rFonts w:asciiTheme="minorEastAsia" w:hAnsiTheme="minorEastAsia"/>
                <w:szCs w:val="21"/>
              </w:rPr>
            </w:pPr>
          </w:p>
        </w:tc>
        <w:tc>
          <w:tcPr>
            <w:tcW w:w="1792" w:type="dxa"/>
            <w:shd w:val="clear" w:color="auto" w:fill="auto"/>
            <w:vAlign w:val="center"/>
          </w:tcPr>
          <w:p>
            <w:pPr>
              <w:rPr>
                <w:rFonts w:asciiTheme="minorEastAsia" w:hAnsi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pPr>
              <w:rPr>
                <w:rFonts w:asciiTheme="minorEastAsia" w:hAnsiTheme="minorEastAsia"/>
                <w:szCs w:val="21"/>
              </w:rPr>
            </w:pPr>
          </w:p>
        </w:tc>
        <w:tc>
          <w:tcPr>
            <w:tcW w:w="1576" w:type="dxa"/>
            <w:shd w:val="clear" w:color="auto" w:fill="auto"/>
            <w:vAlign w:val="center"/>
          </w:tcPr>
          <w:p>
            <w:pPr>
              <w:rPr>
                <w:rFonts w:asciiTheme="minorEastAsia" w:hAnsiTheme="minorEastAsia"/>
                <w:szCs w:val="21"/>
              </w:rPr>
            </w:pPr>
          </w:p>
        </w:tc>
        <w:tc>
          <w:tcPr>
            <w:tcW w:w="1417" w:type="dxa"/>
            <w:shd w:val="clear" w:color="auto" w:fill="auto"/>
            <w:vAlign w:val="center"/>
          </w:tcPr>
          <w:p>
            <w:pPr>
              <w:rPr>
                <w:rFonts w:asciiTheme="minorEastAsia" w:hAnsiTheme="minorEastAsia"/>
                <w:szCs w:val="21"/>
              </w:rPr>
            </w:pPr>
          </w:p>
        </w:tc>
        <w:tc>
          <w:tcPr>
            <w:tcW w:w="1701" w:type="dxa"/>
            <w:shd w:val="clear" w:color="auto" w:fill="auto"/>
            <w:vAlign w:val="center"/>
          </w:tcPr>
          <w:p>
            <w:pPr>
              <w:rPr>
                <w:rFonts w:asciiTheme="minorEastAsia" w:hAnsiTheme="minorEastAsia"/>
                <w:szCs w:val="21"/>
              </w:rPr>
            </w:pPr>
          </w:p>
        </w:tc>
        <w:tc>
          <w:tcPr>
            <w:tcW w:w="1426" w:type="dxa"/>
            <w:shd w:val="clear" w:color="auto" w:fill="auto"/>
            <w:vAlign w:val="center"/>
          </w:tcPr>
          <w:p>
            <w:pPr>
              <w:rPr>
                <w:rFonts w:asciiTheme="minorEastAsia" w:hAnsiTheme="minorEastAsia"/>
                <w:szCs w:val="21"/>
              </w:rPr>
            </w:pPr>
          </w:p>
        </w:tc>
        <w:tc>
          <w:tcPr>
            <w:tcW w:w="1792" w:type="dxa"/>
            <w:shd w:val="clear" w:color="auto" w:fill="auto"/>
            <w:vAlign w:val="center"/>
          </w:tcPr>
          <w:p>
            <w:pPr>
              <w:rPr>
                <w:rFonts w:asciiTheme="minorEastAsia" w:hAnsi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pPr>
              <w:jc w:val="center"/>
              <w:rPr>
                <w:rFonts w:asciiTheme="minorEastAsia" w:hAnsiTheme="minorEastAsia"/>
                <w:szCs w:val="21"/>
              </w:rPr>
            </w:pPr>
            <w:r>
              <w:rPr>
                <w:rFonts w:asciiTheme="minorEastAsia" w:hAnsiTheme="minorEastAsia"/>
                <w:szCs w:val="21"/>
              </w:rPr>
              <w:t>备注</w:t>
            </w:r>
            <w:bookmarkStart w:id="63" w:name="OLE_LINK23"/>
          </w:p>
        </w:tc>
        <w:tc>
          <w:tcPr>
            <w:tcW w:w="7912" w:type="dxa"/>
            <w:gridSpan w:val="5"/>
            <w:shd w:val="clear" w:color="auto" w:fill="auto"/>
            <w:vAlign w:val="center"/>
          </w:tcPr>
          <w:p>
            <w:pPr>
              <w:rPr>
                <w:rFonts w:asciiTheme="minorEastAsia" w:hAnsiTheme="minorEastAsia"/>
                <w:szCs w:val="21"/>
              </w:rPr>
            </w:pPr>
            <w:r>
              <w:rPr>
                <w:rFonts w:asciiTheme="minorEastAsia" w:hAnsiTheme="minorEastAsia"/>
                <w:szCs w:val="21"/>
              </w:rPr>
              <w:t>① 表格行数不足时请自行扩展。</w:t>
            </w:r>
            <w:bookmarkEnd w:id="63"/>
          </w:p>
          <w:p>
            <w:pPr>
              <w:rPr>
                <w:rFonts w:asciiTheme="minorEastAsia" w:hAnsiTheme="minorEastAsia"/>
                <w:szCs w:val="21"/>
              </w:rPr>
            </w:pPr>
            <w:r>
              <w:rPr>
                <w:rFonts w:asciiTheme="minorEastAsia" w:hAnsiTheme="minorEastAsia"/>
                <w:szCs w:val="21"/>
              </w:rPr>
              <w:t>② 因单元格空间有限，不足以容纳响应内容时，</w:t>
            </w:r>
            <w:r>
              <w:rPr>
                <w:rFonts w:hint="eastAsia" w:asciiTheme="minorEastAsia" w:hAnsiTheme="minorEastAsia"/>
                <w:szCs w:val="21"/>
              </w:rPr>
              <w:t>允许在本表下方另附，但须在“响应内容或索引”中注明引用位置，如“见本表下方</w:t>
            </w:r>
            <w:r>
              <w:rPr>
                <w:rFonts w:asciiTheme="minorEastAsia" w:hAnsiTheme="minorEastAsia"/>
                <w:szCs w:val="21"/>
              </w:rPr>
              <w:t>5.2.1 表题</w:t>
            </w:r>
            <w:r>
              <w:rPr>
                <w:rFonts w:hint="eastAsia" w:asciiTheme="minorEastAsia" w:hAnsiTheme="minorEastAsia"/>
                <w:szCs w:val="21"/>
              </w:rPr>
              <w:t>”或“见本表下方</w:t>
            </w:r>
            <w:r>
              <w:rPr>
                <w:rFonts w:asciiTheme="minorEastAsia" w:hAnsiTheme="minorEastAsia"/>
                <w:szCs w:val="21"/>
              </w:rPr>
              <w:t>5</w:t>
            </w:r>
            <w:r>
              <w:rPr>
                <w:rFonts w:hint="eastAsia" w:asciiTheme="minorEastAsia" w:hAnsiTheme="minorEastAsia"/>
                <w:szCs w:val="21"/>
              </w:rPr>
              <w:t>-</w:t>
            </w:r>
            <w:r>
              <w:rPr>
                <w:rFonts w:asciiTheme="minorEastAsia" w:hAnsiTheme="minorEastAsia"/>
                <w:szCs w:val="21"/>
              </w:rPr>
              <w:t>2-1 图题</w:t>
            </w:r>
            <w:r>
              <w:rPr>
                <w:rFonts w:hint="eastAsia" w:asciiTheme="minorEastAsia" w:hAnsiTheme="minorEastAsia"/>
                <w:szCs w:val="21"/>
              </w:rPr>
              <w:t>”（可自行编号，并确保上下文一致，因引用位置错误引起的不良后果由供应商自行承担）。</w:t>
            </w:r>
          </w:p>
        </w:tc>
      </w:tr>
    </w:tbl>
    <w:p>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3</w:t>
      </w:r>
      <w:r>
        <w:rPr>
          <w:rFonts w:hint="eastAsia" w:asciiTheme="minorEastAsia" w:hAnsiTheme="minorEastAsia" w:cstheme="minorHAnsi"/>
          <w:b/>
          <w:color w:val="000000"/>
          <w:kern w:val="24"/>
        </w:rPr>
        <w:t>．业绩</w:t>
      </w:r>
    </w:p>
    <w:p>
      <w:pPr>
        <w:rPr>
          <w:rFonts w:asciiTheme="minorEastAsia" w:hAnsiTheme="minorEastAsia" w:cstheme="minorHAnsi"/>
          <w:b/>
          <w:color w:val="000000"/>
          <w:kern w:val="24"/>
        </w:rPr>
      </w:pPr>
    </w:p>
    <w:p>
      <w:pPr>
        <w:rPr>
          <w:rFonts w:cstheme="minorHAnsi"/>
          <w:b/>
        </w:rPr>
      </w:pPr>
      <w:r>
        <w:rPr>
          <w:rFonts w:cstheme="minorHAnsi"/>
          <w:b/>
        </w:rPr>
        <w:t>……</w:t>
      </w:r>
    </w:p>
    <w:p>
      <w:pPr>
        <w:rPr>
          <w:rFonts w:ascii="黑体" w:hAnsi="黑体" w:eastAsia="黑体"/>
          <w:kern w:val="28"/>
          <w:sz w:val="28"/>
          <w:szCs w:val="28"/>
        </w:rPr>
      </w:pPr>
      <w:r>
        <w:rPr>
          <w:rFonts w:ascii="黑体" w:hAnsi="黑体" w:eastAsia="黑体"/>
          <w:kern w:val="28"/>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60"/>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pStyle w:val="60"/>
        <w:ind w:firstLine="0" w:firstLineChars="0"/>
      </w:pP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0</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西安市精神卫生中心安保外聘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西安市精神卫生中心安保外聘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西安市精神卫生中心安保外聘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趋之若鹜">
    <w15:presenceInfo w15:providerId="WPS Office" w15:userId="144125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trackRevisions w:val="1"/>
  <w:documentProtection w:edit="trackedChanges" w:enforcement="1" w:cryptProviderType="rsaAES" w:cryptAlgorithmClass="hash" w:cryptAlgorithmType="typeAny" w:cryptAlgorithmSid="14" w:cryptSpinCount="100000" w:hash="XUtnnO13pdo2tpj5FgpyUL1Ys5AP7hoIjLKrT3Hwr15J+XlxQkD/U5C4GSeNrw8I6XolhVAkGzdhh8ITaQ7a5Q==" w:salt="/9UtbcV2dZreOXBbV8DNag=="/>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D3"/>
    <w:rsid w:val="0000159C"/>
    <w:rsid w:val="000019FA"/>
    <w:rsid w:val="00002BB3"/>
    <w:rsid w:val="000034C6"/>
    <w:rsid w:val="000039C2"/>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36C1"/>
    <w:rsid w:val="000251DF"/>
    <w:rsid w:val="00025563"/>
    <w:rsid w:val="0002702B"/>
    <w:rsid w:val="00027E6B"/>
    <w:rsid w:val="0003251F"/>
    <w:rsid w:val="00032BB4"/>
    <w:rsid w:val="00033377"/>
    <w:rsid w:val="00033B5A"/>
    <w:rsid w:val="00036E1D"/>
    <w:rsid w:val="000376A8"/>
    <w:rsid w:val="00037F2F"/>
    <w:rsid w:val="00037FD3"/>
    <w:rsid w:val="000403A2"/>
    <w:rsid w:val="00040799"/>
    <w:rsid w:val="00040973"/>
    <w:rsid w:val="00043830"/>
    <w:rsid w:val="000440AF"/>
    <w:rsid w:val="00044F32"/>
    <w:rsid w:val="000457AD"/>
    <w:rsid w:val="00051EF3"/>
    <w:rsid w:val="00053436"/>
    <w:rsid w:val="00053C28"/>
    <w:rsid w:val="000543B4"/>
    <w:rsid w:val="00054879"/>
    <w:rsid w:val="000556F1"/>
    <w:rsid w:val="0005692F"/>
    <w:rsid w:val="00061A13"/>
    <w:rsid w:val="00062D84"/>
    <w:rsid w:val="00063EEF"/>
    <w:rsid w:val="00064071"/>
    <w:rsid w:val="00064386"/>
    <w:rsid w:val="000668D2"/>
    <w:rsid w:val="00067A39"/>
    <w:rsid w:val="00067D44"/>
    <w:rsid w:val="00067E4A"/>
    <w:rsid w:val="0007053B"/>
    <w:rsid w:val="00070714"/>
    <w:rsid w:val="00070AA6"/>
    <w:rsid w:val="00070BE2"/>
    <w:rsid w:val="00071C3D"/>
    <w:rsid w:val="00072E3F"/>
    <w:rsid w:val="0007487B"/>
    <w:rsid w:val="0007534F"/>
    <w:rsid w:val="000770B7"/>
    <w:rsid w:val="00077B80"/>
    <w:rsid w:val="00080F5D"/>
    <w:rsid w:val="00082ED8"/>
    <w:rsid w:val="00084B7C"/>
    <w:rsid w:val="000857F2"/>
    <w:rsid w:val="00090002"/>
    <w:rsid w:val="000901DC"/>
    <w:rsid w:val="00090541"/>
    <w:rsid w:val="0009061F"/>
    <w:rsid w:val="000906B5"/>
    <w:rsid w:val="000911CC"/>
    <w:rsid w:val="00092417"/>
    <w:rsid w:val="00093AD5"/>
    <w:rsid w:val="000951C6"/>
    <w:rsid w:val="000952F2"/>
    <w:rsid w:val="00095788"/>
    <w:rsid w:val="00095A8D"/>
    <w:rsid w:val="0009637D"/>
    <w:rsid w:val="00096428"/>
    <w:rsid w:val="00096B0D"/>
    <w:rsid w:val="00097CDB"/>
    <w:rsid w:val="000A0237"/>
    <w:rsid w:val="000A0EFD"/>
    <w:rsid w:val="000A2583"/>
    <w:rsid w:val="000A58E0"/>
    <w:rsid w:val="000A7A6A"/>
    <w:rsid w:val="000B3560"/>
    <w:rsid w:val="000B3B65"/>
    <w:rsid w:val="000B43D3"/>
    <w:rsid w:val="000B5741"/>
    <w:rsid w:val="000B5ACF"/>
    <w:rsid w:val="000B6650"/>
    <w:rsid w:val="000B6858"/>
    <w:rsid w:val="000B7C81"/>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E75C6"/>
    <w:rsid w:val="000F043C"/>
    <w:rsid w:val="000F0C8A"/>
    <w:rsid w:val="000F1A9A"/>
    <w:rsid w:val="000F212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3ADF"/>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953"/>
    <w:rsid w:val="00156ED5"/>
    <w:rsid w:val="001630D0"/>
    <w:rsid w:val="00164101"/>
    <w:rsid w:val="00164EE1"/>
    <w:rsid w:val="001664B2"/>
    <w:rsid w:val="00166FD9"/>
    <w:rsid w:val="00167ECE"/>
    <w:rsid w:val="0017054A"/>
    <w:rsid w:val="001712C4"/>
    <w:rsid w:val="00171A61"/>
    <w:rsid w:val="001726D7"/>
    <w:rsid w:val="00173520"/>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022"/>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D785A"/>
    <w:rsid w:val="001E1DFE"/>
    <w:rsid w:val="001E2BB9"/>
    <w:rsid w:val="001E47DB"/>
    <w:rsid w:val="001E56B0"/>
    <w:rsid w:val="001E6A70"/>
    <w:rsid w:val="001E7761"/>
    <w:rsid w:val="001E790E"/>
    <w:rsid w:val="001F2059"/>
    <w:rsid w:val="001F23C9"/>
    <w:rsid w:val="001F28F2"/>
    <w:rsid w:val="001F49A1"/>
    <w:rsid w:val="001F4ACC"/>
    <w:rsid w:val="001F7270"/>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0CA"/>
    <w:rsid w:val="00254492"/>
    <w:rsid w:val="002547E0"/>
    <w:rsid w:val="002555EF"/>
    <w:rsid w:val="00255DBC"/>
    <w:rsid w:val="002560F7"/>
    <w:rsid w:val="00256AC1"/>
    <w:rsid w:val="0025777A"/>
    <w:rsid w:val="00257B25"/>
    <w:rsid w:val="00260306"/>
    <w:rsid w:val="00261507"/>
    <w:rsid w:val="00261898"/>
    <w:rsid w:val="00264014"/>
    <w:rsid w:val="0026501F"/>
    <w:rsid w:val="00265903"/>
    <w:rsid w:val="00266611"/>
    <w:rsid w:val="00267AE5"/>
    <w:rsid w:val="00267C8A"/>
    <w:rsid w:val="002706D3"/>
    <w:rsid w:val="00270E9E"/>
    <w:rsid w:val="00271136"/>
    <w:rsid w:val="002711F0"/>
    <w:rsid w:val="00272337"/>
    <w:rsid w:val="00272E7E"/>
    <w:rsid w:val="00273219"/>
    <w:rsid w:val="00273A93"/>
    <w:rsid w:val="002742EA"/>
    <w:rsid w:val="0027449B"/>
    <w:rsid w:val="00275C8F"/>
    <w:rsid w:val="00276641"/>
    <w:rsid w:val="00276C8A"/>
    <w:rsid w:val="00276F85"/>
    <w:rsid w:val="002771C6"/>
    <w:rsid w:val="0028033D"/>
    <w:rsid w:val="00280880"/>
    <w:rsid w:val="002816D3"/>
    <w:rsid w:val="002827A4"/>
    <w:rsid w:val="00282837"/>
    <w:rsid w:val="00282CF7"/>
    <w:rsid w:val="00290736"/>
    <w:rsid w:val="00291777"/>
    <w:rsid w:val="0029278B"/>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B726D"/>
    <w:rsid w:val="002C05A3"/>
    <w:rsid w:val="002C0812"/>
    <w:rsid w:val="002C296B"/>
    <w:rsid w:val="002C3513"/>
    <w:rsid w:val="002C4511"/>
    <w:rsid w:val="002C56CE"/>
    <w:rsid w:val="002D2B5F"/>
    <w:rsid w:val="002D327B"/>
    <w:rsid w:val="002D41DD"/>
    <w:rsid w:val="002D5FA3"/>
    <w:rsid w:val="002D62ED"/>
    <w:rsid w:val="002D65D4"/>
    <w:rsid w:val="002D7418"/>
    <w:rsid w:val="002E1660"/>
    <w:rsid w:val="002E379C"/>
    <w:rsid w:val="002E43F6"/>
    <w:rsid w:val="002E4813"/>
    <w:rsid w:val="002E7C3E"/>
    <w:rsid w:val="002F074B"/>
    <w:rsid w:val="002F1C19"/>
    <w:rsid w:val="002F1C7D"/>
    <w:rsid w:val="002F1EC9"/>
    <w:rsid w:val="002F2236"/>
    <w:rsid w:val="002F25EC"/>
    <w:rsid w:val="002F2A10"/>
    <w:rsid w:val="002F2EAB"/>
    <w:rsid w:val="002F30DD"/>
    <w:rsid w:val="002F3161"/>
    <w:rsid w:val="002F3224"/>
    <w:rsid w:val="002F3350"/>
    <w:rsid w:val="002F33F9"/>
    <w:rsid w:val="002F4A03"/>
    <w:rsid w:val="002F65D4"/>
    <w:rsid w:val="002F7A2D"/>
    <w:rsid w:val="002F7C30"/>
    <w:rsid w:val="002F7D7D"/>
    <w:rsid w:val="00300067"/>
    <w:rsid w:val="00300B27"/>
    <w:rsid w:val="0030123B"/>
    <w:rsid w:val="00301E0D"/>
    <w:rsid w:val="00301FAE"/>
    <w:rsid w:val="003024CF"/>
    <w:rsid w:val="00304F11"/>
    <w:rsid w:val="00306470"/>
    <w:rsid w:val="00311862"/>
    <w:rsid w:val="00315047"/>
    <w:rsid w:val="00315759"/>
    <w:rsid w:val="00316D60"/>
    <w:rsid w:val="003172BB"/>
    <w:rsid w:val="003204A5"/>
    <w:rsid w:val="003209B9"/>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0FC5"/>
    <w:rsid w:val="00342C65"/>
    <w:rsid w:val="00343305"/>
    <w:rsid w:val="00344168"/>
    <w:rsid w:val="003441C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4C9C"/>
    <w:rsid w:val="00366A2C"/>
    <w:rsid w:val="003704E3"/>
    <w:rsid w:val="00371456"/>
    <w:rsid w:val="00373AE9"/>
    <w:rsid w:val="00374506"/>
    <w:rsid w:val="0037495D"/>
    <w:rsid w:val="00375819"/>
    <w:rsid w:val="00375C89"/>
    <w:rsid w:val="00376BF7"/>
    <w:rsid w:val="00376DAF"/>
    <w:rsid w:val="00377D39"/>
    <w:rsid w:val="003833FB"/>
    <w:rsid w:val="00383750"/>
    <w:rsid w:val="00383F8F"/>
    <w:rsid w:val="003872CB"/>
    <w:rsid w:val="00387AFC"/>
    <w:rsid w:val="00390290"/>
    <w:rsid w:val="003916B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196"/>
    <w:rsid w:val="003A346B"/>
    <w:rsid w:val="003A35C1"/>
    <w:rsid w:val="003B086A"/>
    <w:rsid w:val="003B0C9C"/>
    <w:rsid w:val="003B0D75"/>
    <w:rsid w:val="003B2AF6"/>
    <w:rsid w:val="003B3207"/>
    <w:rsid w:val="003B3668"/>
    <w:rsid w:val="003B4187"/>
    <w:rsid w:val="003C0C7F"/>
    <w:rsid w:val="003C3325"/>
    <w:rsid w:val="003C3CEA"/>
    <w:rsid w:val="003C61F3"/>
    <w:rsid w:val="003C6AB2"/>
    <w:rsid w:val="003C7C29"/>
    <w:rsid w:val="003D2606"/>
    <w:rsid w:val="003D39C7"/>
    <w:rsid w:val="003D3A50"/>
    <w:rsid w:val="003D45F5"/>
    <w:rsid w:val="003D6B60"/>
    <w:rsid w:val="003E010E"/>
    <w:rsid w:val="003E1409"/>
    <w:rsid w:val="003E18E8"/>
    <w:rsid w:val="003E1D81"/>
    <w:rsid w:val="003E2F34"/>
    <w:rsid w:val="003E46E9"/>
    <w:rsid w:val="003E5CDB"/>
    <w:rsid w:val="003E7874"/>
    <w:rsid w:val="003F014A"/>
    <w:rsid w:val="003F3882"/>
    <w:rsid w:val="003F60A3"/>
    <w:rsid w:val="003F6116"/>
    <w:rsid w:val="004001BE"/>
    <w:rsid w:val="0040124D"/>
    <w:rsid w:val="004017C8"/>
    <w:rsid w:val="0040181A"/>
    <w:rsid w:val="004024C2"/>
    <w:rsid w:val="00403085"/>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2B63"/>
    <w:rsid w:val="0042388D"/>
    <w:rsid w:val="00425038"/>
    <w:rsid w:val="0042688F"/>
    <w:rsid w:val="00427ABD"/>
    <w:rsid w:val="004317AB"/>
    <w:rsid w:val="00431DBF"/>
    <w:rsid w:val="004331BF"/>
    <w:rsid w:val="00433512"/>
    <w:rsid w:val="0043432D"/>
    <w:rsid w:val="004366EB"/>
    <w:rsid w:val="00436CB1"/>
    <w:rsid w:val="00441D7B"/>
    <w:rsid w:val="00444250"/>
    <w:rsid w:val="00444298"/>
    <w:rsid w:val="00444815"/>
    <w:rsid w:val="004456C5"/>
    <w:rsid w:val="004477B6"/>
    <w:rsid w:val="00447B02"/>
    <w:rsid w:val="00454666"/>
    <w:rsid w:val="004547F6"/>
    <w:rsid w:val="004574A4"/>
    <w:rsid w:val="00463236"/>
    <w:rsid w:val="004657D3"/>
    <w:rsid w:val="00465DEF"/>
    <w:rsid w:val="0046690A"/>
    <w:rsid w:val="00467350"/>
    <w:rsid w:val="00467721"/>
    <w:rsid w:val="0046782F"/>
    <w:rsid w:val="004713C0"/>
    <w:rsid w:val="00471A37"/>
    <w:rsid w:val="00471E1E"/>
    <w:rsid w:val="00471F44"/>
    <w:rsid w:val="0047278F"/>
    <w:rsid w:val="00473462"/>
    <w:rsid w:val="00473CE1"/>
    <w:rsid w:val="0047590B"/>
    <w:rsid w:val="00476355"/>
    <w:rsid w:val="0048010A"/>
    <w:rsid w:val="00480370"/>
    <w:rsid w:val="0048203D"/>
    <w:rsid w:val="00483D56"/>
    <w:rsid w:val="004846F1"/>
    <w:rsid w:val="00486046"/>
    <w:rsid w:val="00490F98"/>
    <w:rsid w:val="00491349"/>
    <w:rsid w:val="0049287F"/>
    <w:rsid w:val="00492C31"/>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5E8B"/>
    <w:rsid w:val="004D7112"/>
    <w:rsid w:val="004D7C23"/>
    <w:rsid w:val="004D7F2C"/>
    <w:rsid w:val="004E07B6"/>
    <w:rsid w:val="004E0B6D"/>
    <w:rsid w:val="004E4F48"/>
    <w:rsid w:val="004E63AF"/>
    <w:rsid w:val="004E757B"/>
    <w:rsid w:val="004F01A5"/>
    <w:rsid w:val="004F04DD"/>
    <w:rsid w:val="004F2092"/>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495B"/>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2DD"/>
    <w:rsid w:val="005406CD"/>
    <w:rsid w:val="00540DF1"/>
    <w:rsid w:val="00541C8A"/>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6483"/>
    <w:rsid w:val="005676F6"/>
    <w:rsid w:val="00570E4B"/>
    <w:rsid w:val="00572506"/>
    <w:rsid w:val="00573AC9"/>
    <w:rsid w:val="00575980"/>
    <w:rsid w:val="00575AE7"/>
    <w:rsid w:val="005801CF"/>
    <w:rsid w:val="00581DBA"/>
    <w:rsid w:val="00581F60"/>
    <w:rsid w:val="0058276E"/>
    <w:rsid w:val="005829C2"/>
    <w:rsid w:val="00582A46"/>
    <w:rsid w:val="0058322B"/>
    <w:rsid w:val="00583A5C"/>
    <w:rsid w:val="005845D3"/>
    <w:rsid w:val="0058471F"/>
    <w:rsid w:val="0058487A"/>
    <w:rsid w:val="00584CF2"/>
    <w:rsid w:val="0059098E"/>
    <w:rsid w:val="005924DD"/>
    <w:rsid w:val="00592CFD"/>
    <w:rsid w:val="00593C8A"/>
    <w:rsid w:val="00594467"/>
    <w:rsid w:val="00594F66"/>
    <w:rsid w:val="005960B9"/>
    <w:rsid w:val="005A06B1"/>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4C1F"/>
    <w:rsid w:val="005B51A3"/>
    <w:rsid w:val="005B547C"/>
    <w:rsid w:val="005B65A5"/>
    <w:rsid w:val="005B67BE"/>
    <w:rsid w:val="005B6D52"/>
    <w:rsid w:val="005B7116"/>
    <w:rsid w:val="005C12E5"/>
    <w:rsid w:val="005C50A4"/>
    <w:rsid w:val="005C6C4F"/>
    <w:rsid w:val="005D000E"/>
    <w:rsid w:val="005D62E5"/>
    <w:rsid w:val="005D65D2"/>
    <w:rsid w:val="005D7216"/>
    <w:rsid w:val="005E05F3"/>
    <w:rsid w:val="005E12F7"/>
    <w:rsid w:val="005E18D2"/>
    <w:rsid w:val="005E37E1"/>
    <w:rsid w:val="005E3907"/>
    <w:rsid w:val="005E548A"/>
    <w:rsid w:val="005E5BCC"/>
    <w:rsid w:val="005E5CCE"/>
    <w:rsid w:val="005E5CDF"/>
    <w:rsid w:val="005E6CCC"/>
    <w:rsid w:val="005F0947"/>
    <w:rsid w:val="005F19BB"/>
    <w:rsid w:val="005F369D"/>
    <w:rsid w:val="005F37AF"/>
    <w:rsid w:val="005F3B5B"/>
    <w:rsid w:val="005F62A5"/>
    <w:rsid w:val="005F6909"/>
    <w:rsid w:val="005F6C88"/>
    <w:rsid w:val="005F6D53"/>
    <w:rsid w:val="006022C0"/>
    <w:rsid w:val="00602E42"/>
    <w:rsid w:val="00603657"/>
    <w:rsid w:val="00603BB4"/>
    <w:rsid w:val="0060479B"/>
    <w:rsid w:val="00606A55"/>
    <w:rsid w:val="00606B81"/>
    <w:rsid w:val="00611918"/>
    <w:rsid w:val="00611926"/>
    <w:rsid w:val="00611AC2"/>
    <w:rsid w:val="00611FFE"/>
    <w:rsid w:val="00613BB6"/>
    <w:rsid w:val="006146CD"/>
    <w:rsid w:val="00615600"/>
    <w:rsid w:val="0061777B"/>
    <w:rsid w:val="00622907"/>
    <w:rsid w:val="00623643"/>
    <w:rsid w:val="00624066"/>
    <w:rsid w:val="0062454A"/>
    <w:rsid w:val="00624620"/>
    <w:rsid w:val="00624946"/>
    <w:rsid w:val="00625173"/>
    <w:rsid w:val="00625B61"/>
    <w:rsid w:val="00630CCB"/>
    <w:rsid w:val="00631E71"/>
    <w:rsid w:val="0063350A"/>
    <w:rsid w:val="006340A0"/>
    <w:rsid w:val="006357FA"/>
    <w:rsid w:val="0063581A"/>
    <w:rsid w:val="00636BF4"/>
    <w:rsid w:val="00641C9A"/>
    <w:rsid w:val="00642CB1"/>
    <w:rsid w:val="006431A9"/>
    <w:rsid w:val="006460E3"/>
    <w:rsid w:val="006466DF"/>
    <w:rsid w:val="006518D0"/>
    <w:rsid w:val="00652393"/>
    <w:rsid w:val="00656003"/>
    <w:rsid w:val="00657150"/>
    <w:rsid w:val="006571DD"/>
    <w:rsid w:val="0065774D"/>
    <w:rsid w:val="0065792C"/>
    <w:rsid w:val="00657F31"/>
    <w:rsid w:val="00662E32"/>
    <w:rsid w:val="0066668A"/>
    <w:rsid w:val="00667CAB"/>
    <w:rsid w:val="00675065"/>
    <w:rsid w:val="00675563"/>
    <w:rsid w:val="00675A70"/>
    <w:rsid w:val="00675DAD"/>
    <w:rsid w:val="00677A51"/>
    <w:rsid w:val="00677E38"/>
    <w:rsid w:val="00682389"/>
    <w:rsid w:val="0068408F"/>
    <w:rsid w:val="00685346"/>
    <w:rsid w:val="00685B24"/>
    <w:rsid w:val="006870E8"/>
    <w:rsid w:val="00690BC5"/>
    <w:rsid w:val="00690C8E"/>
    <w:rsid w:val="00691341"/>
    <w:rsid w:val="006923BF"/>
    <w:rsid w:val="006933DD"/>
    <w:rsid w:val="00694236"/>
    <w:rsid w:val="00694561"/>
    <w:rsid w:val="0069471D"/>
    <w:rsid w:val="00695670"/>
    <w:rsid w:val="00695E20"/>
    <w:rsid w:val="00696005"/>
    <w:rsid w:val="0069674A"/>
    <w:rsid w:val="006A2D90"/>
    <w:rsid w:val="006A3BA0"/>
    <w:rsid w:val="006A4EA8"/>
    <w:rsid w:val="006A4EC6"/>
    <w:rsid w:val="006A5221"/>
    <w:rsid w:val="006A6DF3"/>
    <w:rsid w:val="006A7769"/>
    <w:rsid w:val="006B20D5"/>
    <w:rsid w:val="006B34F6"/>
    <w:rsid w:val="006B4952"/>
    <w:rsid w:val="006B5145"/>
    <w:rsid w:val="006B5EA1"/>
    <w:rsid w:val="006B7F10"/>
    <w:rsid w:val="006C042B"/>
    <w:rsid w:val="006C2543"/>
    <w:rsid w:val="006C2A45"/>
    <w:rsid w:val="006C2E47"/>
    <w:rsid w:val="006C3DBB"/>
    <w:rsid w:val="006C4042"/>
    <w:rsid w:val="006C47AF"/>
    <w:rsid w:val="006C5658"/>
    <w:rsid w:val="006C6C85"/>
    <w:rsid w:val="006C700A"/>
    <w:rsid w:val="006C7C59"/>
    <w:rsid w:val="006D0312"/>
    <w:rsid w:val="006D214E"/>
    <w:rsid w:val="006D2DEA"/>
    <w:rsid w:val="006D2E9C"/>
    <w:rsid w:val="006D30BC"/>
    <w:rsid w:val="006D41DA"/>
    <w:rsid w:val="006D4FAC"/>
    <w:rsid w:val="006D74BF"/>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2876"/>
    <w:rsid w:val="00715BE8"/>
    <w:rsid w:val="00716375"/>
    <w:rsid w:val="007165A2"/>
    <w:rsid w:val="00716DEA"/>
    <w:rsid w:val="00717B21"/>
    <w:rsid w:val="007240F9"/>
    <w:rsid w:val="00724763"/>
    <w:rsid w:val="0073139F"/>
    <w:rsid w:val="007326D4"/>
    <w:rsid w:val="007339D2"/>
    <w:rsid w:val="00733D26"/>
    <w:rsid w:val="00733E96"/>
    <w:rsid w:val="00733F1D"/>
    <w:rsid w:val="007346E1"/>
    <w:rsid w:val="00734BE2"/>
    <w:rsid w:val="00734DBA"/>
    <w:rsid w:val="007405AB"/>
    <w:rsid w:val="00740862"/>
    <w:rsid w:val="00740ED2"/>
    <w:rsid w:val="0074169B"/>
    <w:rsid w:val="00742326"/>
    <w:rsid w:val="00743F8B"/>
    <w:rsid w:val="00746413"/>
    <w:rsid w:val="00750AE8"/>
    <w:rsid w:val="007548BD"/>
    <w:rsid w:val="007552A7"/>
    <w:rsid w:val="00757FC1"/>
    <w:rsid w:val="00760265"/>
    <w:rsid w:val="007606BA"/>
    <w:rsid w:val="007623DB"/>
    <w:rsid w:val="00763522"/>
    <w:rsid w:val="0076387E"/>
    <w:rsid w:val="00763B46"/>
    <w:rsid w:val="00764210"/>
    <w:rsid w:val="00764ADA"/>
    <w:rsid w:val="0076698C"/>
    <w:rsid w:val="00766AF5"/>
    <w:rsid w:val="00767121"/>
    <w:rsid w:val="00770A23"/>
    <w:rsid w:val="00770B67"/>
    <w:rsid w:val="00770D89"/>
    <w:rsid w:val="00771970"/>
    <w:rsid w:val="00771FBD"/>
    <w:rsid w:val="00772751"/>
    <w:rsid w:val="00772BFA"/>
    <w:rsid w:val="007732E5"/>
    <w:rsid w:val="00773A1F"/>
    <w:rsid w:val="007750D4"/>
    <w:rsid w:val="00775725"/>
    <w:rsid w:val="00775864"/>
    <w:rsid w:val="0077697A"/>
    <w:rsid w:val="00781A2A"/>
    <w:rsid w:val="007833C3"/>
    <w:rsid w:val="00783D1F"/>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17BB"/>
    <w:rsid w:val="007E2751"/>
    <w:rsid w:val="007E2BD2"/>
    <w:rsid w:val="007E5F41"/>
    <w:rsid w:val="007E6CF2"/>
    <w:rsid w:val="007F0EEE"/>
    <w:rsid w:val="007F1EB4"/>
    <w:rsid w:val="007F214A"/>
    <w:rsid w:val="007F23BD"/>
    <w:rsid w:val="007F2F51"/>
    <w:rsid w:val="007F39D6"/>
    <w:rsid w:val="007F5493"/>
    <w:rsid w:val="007F5B53"/>
    <w:rsid w:val="007F60D5"/>
    <w:rsid w:val="007F6DC7"/>
    <w:rsid w:val="007F7B8C"/>
    <w:rsid w:val="0080075E"/>
    <w:rsid w:val="00802948"/>
    <w:rsid w:val="00802AAC"/>
    <w:rsid w:val="00806FED"/>
    <w:rsid w:val="00810AB3"/>
    <w:rsid w:val="00811115"/>
    <w:rsid w:val="00812FC4"/>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1E"/>
    <w:rsid w:val="008354ED"/>
    <w:rsid w:val="00835DAD"/>
    <w:rsid w:val="00836FBF"/>
    <w:rsid w:val="008376EF"/>
    <w:rsid w:val="00837760"/>
    <w:rsid w:val="00837F02"/>
    <w:rsid w:val="00837F4C"/>
    <w:rsid w:val="00840EF2"/>
    <w:rsid w:val="0084221A"/>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40DF"/>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97365"/>
    <w:rsid w:val="008A0DC8"/>
    <w:rsid w:val="008A15C2"/>
    <w:rsid w:val="008A2458"/>
    <w:rsid w:val="008A2820"/>
    <w:rsid w:val="008A326F"/>
    <w:rsid w:val="008A538A"/>
    <w:rsid w:val="008A570F"/>
    <w:rsid w:val="008A66B8"/>
    <w:rsid w:val="008A6BC9"/>
    <w:rsid w:val="008A7EED"/>
    <w:rsid w:val="008B191A"/>
    <w:rsid w:val="008B2B1D"/>
    <w:rsid w:val="008B5009"/>
    <w:rsid w:val="008B5510"/>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55E"/>
    <w:rsid w:val="008E2EFF"/>
    <w:rsid w:val="008E3B9E"/>
    <w:rsid w:val="008E4097"/>
    <w:rsid w:val="008E4E0F"/>
    <w:rsid w:val="008E5935"/>
    <w:rsid w:val="008E5F16"/>
    <w:rsid w:val="008E738E"/>
    <w:rsid w:val="008F0A84"/>
    <w:rsid w:val="008F0CC3"/>
    <w:rsid w:val="008F0D70"/>
    <w:rsid w:val="008F1C56"/>
    <w:rsid w:val="008F4263"/>
    <w:rsid w:val="008F44C7"/>
    <w:rsid w:val="008F5035"/>
    <w:rsid w:val="008F5056"/>
    <w:rsid w:val="008F5257"/>
    <w:rsid w:val="008F69DC"/>
    <w:rsid w:val="00900C2F"/>
    <w:rsid w:val="009021F1"/>
    <w:rsid w:val="0090408F"/>
    <w:rsid w:val="00906F8A"/>
    <w:rsid w:val="009104E4"/>
    <w:rsid w:val="00910A37"/>
    <w:rsid w:val="00915570"/>
    <w:rsid w:val="0091611D"/>
    <w:rsid w:val="00916267"/>
    <w:rsid w:val="009173A3"/>
    <w:rsid w:val="00920716"/>
    <w:rsid w:val="00920CEB"/>
    <w:rsid w:val="00921082"/>
    <w:rsid w:val="00922EFB"/>
    <w:rsid w:val="00923164"/>
    <w:rsid w:val="00923A6C"/>
    <w:rsid w:val="0092439E"/>
    <w:rsid w:val="009249C8"/>
    <w:rsid w:val="00927889"/>
    <w:rsid w:val="00930166"/>
    <w:rsid w:val="009315E6"/>
    <w:rsid w:val="00931671"/>
    <w:rsid w:val="00933F00"/>
    <w:rsid w:val="00934D77"/>
    <w:rsid w:val="00935401"/>
    <w:rsid w:val="0094003A"/>
    <w:rsid w:val="0094004A"/>
    <w:rsid w:val="00942950"/>
    <w:rsid w:val="00945ED1"/>
    <w:rsid w:val="0094638E"/>
    <w:rsid w:val="00946A82"/>
    <w:rsid w:val="009476AF"/>
    <w:rsid w:val="00950052"/>
    <w:rsid w:val="00951071"/>
    <w:rsid w:val="0095114C"/>
    <w:rsid w:val="0095333C"/>
    <w:rsid w:val="009544D9"/>
    <w:rsid w:val="00954F02"/>
    <w:rsid w:val="00955186"/>
    <w:rsid w:val="00955282"/>
    <w:rsid w:val="0095544C"/>
    <w:rsid w:val="00956990"/>
    <w:rsid w:val="00956EE8"/>
    <w:rsid w:val="009570F6"/>
    <w:rsid w:val="00957BE7"/>
    <w:rsid w:val="00960BBD"/>
    <w:rsid w:val="009659AB"/>
    <w:rsid w:val="00965C09"/>
    <w:rsid w:val="00966996"/>
    <w:rsid w:val="00966B6A"/>
    <w:rsid w:val="00967206"/>
    <w:rsid w:val="0097057C"/>
    <w:rsid w:val="009715C5"/>
    <w:rsid w:val="009718CC"/>
    <w:rsid w:val="00971AF2"/>
    <w:rsid w:val="009723B8"/>
    <w:rsid w:val="00974CC8"/>
    <w:rsid w:val="00974D6D"/>
    <w:rsid w:val="00976D97"/>
    <w:rsid w:val="0098281C"/>
    <w:rsid w:val="009833A0"/>
    <w:rsid w:val="0098423D"/>
    <w:rsid w:val="00984F7F"/>
    <w:rsid w:val="009850E9"/>
    <w:rsid w:val="00985DFA"/>
    <w:rsid w:val="00986315"/>
    <w:rsid w:val="00986617"/>
    <w:rsid w:val="00986677"/>
    <w:rsid w:val="009911E3"/>
    <w:rsid w:val="00991935"/>
    <w:rsid w:val="00993640"/>
    <w:rsid w:val="00994798"/>
    <w:rsid w:val="00994864"/>
    <w:rsid w:val="00994B4C"/>
    <w:rsid w:val="00994E42"/>
    <w:rsid w:val="00995178"/>
    <w:rsid w:val="009957A2"/>
    <w:rsid w:val="009960E6"/>
    <w:rsid w:val="0099778A"/>
    <w:rsid w:val="009A04AC"/>
    <w:rsid w:val="009A1C33"/>
    <w:rsid w:val="009A2439"/>
    <w:rsid w:val="009A2BFF"/>
    <w:rsid w:val="009A3B0C"/>
    <w:rsid w:val="009A665D"/>
    <w:rsid w:val="009A6D30"/>
    <w:rsid w:val="009A7643"/>
    <w:rsid w:val="009B206F"/>
    <w:rsid w:val="009B4BD5"/>
    <w:rsid w:val="009B5F6F"/>
    <w:rsid w:val="009B7A7F"/>
    <w:rsid w:val="009B7A90"/>
    <w:rsid w:val="009B7BA4"/>
    <w:rsid w:val="009C1007"/>
    <w:rsid w:val="009C1F6E"/>
    <w:rsid w:val="009C2514"/>
    <w:rsid w:val="009C3C03"/>
    <w:rsid w:val="009C3EBA"/>
    <w:rsid w:val="009C4C61"/>
    <w:rsid w:val="009C5377"/>
    <w:rsid w:val="009C59D1"/>
    <w:rsid w:val="009C7757"/>
    <w:rsid w:val="009C7BA0"/>
    <w:rsid w:val="009D1B51"/>
    <w:rsid w:val="009D426B"/>
    <w:rsid w:val="009D4279"/>
    <w:rsid w:val="009D52BF"/>
    <w:rsid w:val="009D57A7"/>
    <w:rsid w:val="009D6255"/>
    <w:rsid w:val="009D6DD3"/>
    <w:rsid w:val="009D7E9D"/>
    <w:rsid w:val="009E0269"/>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540"/>
    <w:rsid w:val="00A0582B"/>
    <w:rsid w:val="00A05B11"/>
    <w:rsid w:val="00A06B7F"/>
    <w:rsid w:val="00A06FBD"/>
    <w:rsid w:val="00A07680"/>
    <w:rsid w:val="00A07D9C"/>
    <w:rsid w:val="00A109CC"/>
    <w:rsid w:val="00A122AE"/>
    <w:rsid w:val="00A13EDB"/>
    <w:rsid w:val="00A14C4D"/>
    <w:rsid w:val="00A14D71"/>
    <w:rsid w:val="00A15845"/>
    <w:rsid w:val="00A1683C"/>
    <w:rsid w:val="00A17B52"/>
    <w:rsid w:val="00A2141C"/>
    <w:rsid w:val="00A21B16"/>
    <w:rsid w:val="00A22D76"/>
    <w:rsid w:val="00A22FB2"/>
    <w:rsid w:val="00A2438C"/>
    <w:rsid w:val="00A24D47"/>
    <w:rsid w:val="00A30370"/>
    <w:rsid w:val="00A31CF8"/>
    <w:rsid w:val="00A32017"/>
    <w:rsid w:val="00A32668"/>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068"/>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4294"/>
    <w:rsid w:val="00A86383"/>
    <w:rsid w:val="00A86484"/>
    <w:rsid w:val="00A86960"/>
    <w:rsid w:val="00A91A54"/>
    <w:rsid w:val="00A91B7E"/>
    <w:rsid w:val="00A96F13"/>
    <w:rsid w:val="00A97F8B"/>
    <w:rsid w:val="00AA1080"/>
    <w:rsid w:val="00AA10A3"/>
    <w:rsid w:val="00AA16D3"/>
    <w:rsid w:val="00AA18CA"/>
    <w:rsid w:val="00AA241A"/>
    <w:rsid w:val="00AA3063"/>
    <w:rsid w:val="00AA3BFA"/>
    <w:rsid w:val="00AA5A0A"/>
    <w:rsid w:val="00AA5E84"/>
    <w:rsid w:val="00AA6B10"/>
    <w:rsid w:val="00AA725C"/>
    <w:rsid w:val="00AA78AF"/>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0E7F"/>
    <w:rsid w:val="00AF44E9"/>
    <w:rsid w:val="00AF464E"/>
    <w:rsid w:val="00AF526E"/>
    <w:rsid w:val="00B021F8"/>
    <w:rsid w:val="00B02758"/>
    <w:rsid w:val="00B02B5A"/>
    <w:rsid w:val="00B0302F"/>
    <w:rsid w:val="00B036CF"/>
    <w:rsid w:val="00B03CDC"/>
    <w:rsid w:val="00B03ED5"/>
    <w:rsid w:val="00B04B8A"/>
    <w:rsid w:val="00B04BFB"/>
    <w:rsid w:val="00B0697F"/>
    <w:rsid w:val="00B06E37"/>
    <w:rsid w:val="00B104AA"/>
    <w:rsid w:val="00B11872"/>
    <w:rsid w:val="00B13758"/>
    <w:rsid w:val="00B13979"/>
    <w:rsid w:val="00B15864"/>
    <w:rsid w:val="00B15E4F"/>
    <w:rsid w:val="00B2012B"/>
    <w:rsid w:val="00B20B29"/>
    <w:rsid w:val="00B20CB9"/>
    <w:rsid w:val="00B20D52"/>
    <w:rsid w:val="00B2167C"/>
    <w:rsid w:val="00B22598"/>
    <w:rsid w:val="00B23B32"/>
    <w:rsid w:val="00B246D3"/>
    <w:rsid w:val="00B262C9"/>
    <w:rsid w:val="00B26A2C"/>
    <w:rsid w:val="00B26BC3"/>
    <w:rsid w:val="00B26BDA"/>
    <w:rsid w:val="00B26FE7"/>
    <w:rsid w:val="00B301EA"/>
    <w:rsid w:val="00B30526"/>
    <w:rsid w:val="00B3125B"/>
    <w:rsid w:val="00B32204"/>
    <w:rsid w:val="00B32F9A"/>
    <w:rsid w:val="00B32FCD"/>
    <w:rsid w:val="00B33C6D"/>
    <w:rsid w:val="00B34577"/>
    <w:rsid w:val="00B34E07"/>
    <w:rsid w:val="00B40788"/>
    <w:rsid w:val="00B40F49"/>
    <w:rsid w:val="00B41177"/>
    <w:rsid w:val="00B42CD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287"/>
    <w:rsid w:val="00B56472"/>
    <w:rsid w:val="00B56BAC"/>
    <w:rsid w:val="00B571F4"/>
    <w:rsid w:val="00B61F86"/>
    <w:rsid w:val="00B62EDF"/>
    <w:rsid w:val="00B64780"/>
    <w:rsid w:val="00B6494B"/>
    <w:rsid w:val="00B64D7D"/>
    <w:rsid w:val="00B651D0"/>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54C3"/>
    <w:rsid w:val="00B96111"/>
    <w:rsid w:val="00B975ED"/>
    <w:rsid w:val="00B979E2"/>
    <w:rsid w:val="00B97D1F"/>
    <w:rsid w:val="00B97E9D"/>
    <w:rsid w:val="00BA1C19"/>
    <w:rsid w:val="00BA25DB"/>
    <w:rsid w:val="00BA32E0"/>
    <w:rsid w:val="00BA38E0"/>
    <w:rsid w:val="00BA4649"/>
    <w:rsid w:val="00BA51C2"/>
    <w:rsid w:val="00BA619F"/>
    <w:rsid w:val="00BA7749"/>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3C56"/>
    <w:rsid w:val="00BC4B27"/>
    <w:rsid w:val="00BC4D4B"/>
    <w:rsid w:val="00BC5C23"/>
    <w:rsid w:val="00BC6FC7"/>
    <w:rsid w:val="00BC79BE"/>
    <w:rsid w:val="00BD15BE"/>
    <w:rsid w:val="00BD1A67"/>
    <w:rsid w:val="00BD2E19"/>
    <w:rsid w:val="00BD3BF3"/>
    <w:rsid w:val="00BD3E04"/>
    <w:rsid w:val="00BD5316"/>
    <w:rsid w:val="00BD65D6"/>
    <w:rsid w:val="00BD6613"/>
    <w:rsid w:val="00BD666C"/>
    <w:rsid w:val="00BE3307"/>
    <w:rsid w:val="00BE41BE"/>
    <w:rsid w:val="00BE4EBB"/>
    <w:rsid w:val="00BE5702"/>
    <w:rsid w:val="00BE60AC"/>
    <w:rsid w:val="00BE698E"/>
    <w:rsid w:val="00BE6F8C"/>
    <w:rsid w:val="00BE735F"/>
    <w:rsid w:val="00BF0B0F"/>
    <w:rsid w:val="00BF150A"/>
    <w:rsid w:val="00BF30A5"/>
    <w:rsid w:val="00BF3210"/>
    <w:rsid w:val="00BF3417"/>
    <w:rsid w:val="00BF3B09"/>
    <w:rsid w:val="00BF4A06"/>
    <w:rsid w:val="00BF64CF"/>
    <w:rsid w:val="00BF72BE"/>
    <w:rsid w:val="00C03270"/>
    <w:rsid w:val="00C03937"/>
    <w:rsid w:val="00C048FB"/>
    <w:rsid w:val="00C04CFA"/>
    <w:rsid w:val="00C0680A"/>
    <w:rsid w:val="00C076EF"/>
    <w:rsid w:val="00C11786"/>
    <w:rsid w:val="00C14F45"/>
    <w:rsid w:val="00C15E59"/>
    <w:rsid w:val="00C15E84"/>
    <w:rsid w:val="00C16C84"/>
    <w:rsid w:val="00C20F2B"/>
    <w:rsid w:val="00C21DB4"/>
    <w:rsid w:val="00C224CD"/>
    <w:rsid w:val="00C22BF9"/>
    <w:rsid w:val="00C246D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47DDD"/>
    <w:rsid w:val="00C50A13"/>
    <w:rsid w:val="00C50C4A"/>
    <w:rsid w:val="00C524B1"/>
    <w:rsid w:val="00C53D6E"/>
    <w:rsid w:val="00C56297"/>
    <w:rsid w:val="00C56B9D"/>
    <w:rsid w:val="00C60706"/>
    <w:rsid w:val="00C610D2"/>
    <w:rsid w:val="00C61A1B"/>
    <w:rsid w:val="00C62E34"/>
    <w:rsid w:val="00C63366"/>
    <w:rsid w:val="00C6464D"/>
    <w:rsid w:val="00C64FE6"/>
    <w:rsid w:val="00C65372"/>
    <w:rsid w:val="00C70F38"/>
    <w:rsid w:val="00C72246"/>
    <w:rsid w:val="00C726F1"/>
    <w:rsid w:val="00C72DBC"/>
    <w:rsid w:val="00C767FE"/>
    <w:rsid w:val="00C76B39"/>
    <w:rsid w:val="00C77891"/>
    <w:rsid w:val="00C8081E"/>
    <w:rsid w:val="00C8194B"/>
    <w:rsid w:val="00C82006"/>
    <w:rsid w:val="00C8510F"/>
    <w:rsid w:val="00C856C4"/>
    <w:rsid w:val="00C8634C"/>
    <w:rsid w:val="00C86F92"/>
    <w:rsid w:val="00C90072"/>
    <w:rsid w:val="00C93C93"/>
    <w:rsid w:val="00C93D2C"/>
    <w:rsid w:val="00C9533B"/>
    <w:rsid w:val="00C96D25"/>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D1"/>
    <w:rsid w:val="00CC1EEA"/>
    <w:rsid w:val="00CD2668"/>
    <w:rsid w:val="00CD2878"/>
    <w:rsid w:val="00CD2FAC"/>
    <w:rsid w:val="00CD4416"/>
    <w:rsid w:val="00CD495B"/>
    <w:rsid w:val="00CD5C64"/>
    <w:rsid w:val="00CD7A39"/>
    <w:rsid w:val="00CD7C0B"/>
    <w:rsid w:val="00CD7C6C"/>
    <w:rsid w:val="00CE3BDB"/>
    <w:rsid w:val="00CE4305"/>
    <w:rsid w:val="00CE44AB"/>
    <w:rsid w:val="00CE4BC6"/>
    <w:rsid w:val="00CE52BF"/>
    <w:rsid w:val="00CE5865"/>
    <w:rsid w:val="00CE70DB"/>
    <w:rsid w:val="00CF001E"/>
    <w:rsid w:val="00CF363A"/>
    <w:rsid w:val="00CF3ABF"/>
    <w:rsid w:val="00CF50D5"/>
    <w:rsid w:val="00CF5C9B"/>
    <w:rsid w:val="00CF6662"/>
    <w:rsid w:val="00CF77EC"/>
    <w:rsid w:val="00D01058"/>
    <w:rsid w:val="00D01136"/>
    <w:rsid w:val="00D03474"/>
    <w:rsid w:val="00D03476"/>
    <w:rsid w:val="00D03C0F"/>
    <w:rsid w:val="00D045B0"/>
    <w:rsid w:val="00D06998"/>
    <w:rsid w:val="00D06B71"/>
    <w:rsid w:val="00D06DC1"/>
    <w:rsid w:val="00D105D9"/>
    <w:rsid w:val="00D119F7"/>
    <w:rsid w:val="00D11FB0"/>
    <w:rsid w:val="00D129B0"/>
    <w:rsid w:val="00D1756F"/>
    <w:rsid w:val="00D20D57"/>
    <w:rsid w:val="00D21893"/>
    <w:rsid w:val="00D23DB6"/>
    <w:rsid w:val="00D242FC"/>
    <w:rsid w:val="00D24D82"/>
    <w:rsid w:val="00D24F90"/>
    <w:rsid w:val="00D26400"/>
    <w:rsid w:val="00D264F9"/>
    <w:rsid w:val="00D3187F"/>
    <w:rsid w:val="00D33609"/>
    <w:rsid w:val="00D3531D"/>
    <w:rsid w:val="00D35E6A"/>
    <w:rsid w:val="00D361F7"/>
    <w:rsid w:val="00D37A4D"/>
    <w:rsid w:val="00D37BDA"/>
    <w:rsid w:val="00D40072"/>
    <w:rsid w:val="00D41C58"/>
    <w:rsid w:val="00D41D8D"/>
    <w:rsid w:val="00D4459E"/>
    <w:rsid w:val="00D44625"/>
    <w:rsid w:val="00D51C08"/>
    <w:rsid w:val="00D51F3E"/>
    <w:rsid w:val="00D55D74"/>
    <w:rsid w:val="00D568D6"/>
    <w:rsid w:val="00D57DD6"/>
    <w:rsid w:val="00D613B2"/>
    <w:rsid w:val="00D61D4F"/>
    <w:rsid w:val="00D62526"/>
    <w:rsid w:val="00D6417F"/>
    <w:rsid w:val="00D65B3B"/>
    <w:rsid w:val="00D6655A"/>
    <w:rsid w:val="00D671FF"/>
    <w:rsid w:val="00D7301F"/>
    <w:rsid w:val="00D73BEF"/>
    <w:rsid w:val="00D75DD7"/>
    <w:rsid w:val="00D80E1B"/>
    <w:rsid w:val="00D81902"/>
    <w:rsid w:val="00D8461E"/>
    <w:rsid w:val="00D848AF"/>
    <w:rsid w:val="00D84D41"/>
    <w:rsid w:val="00D85867"/>
    <w:rsid w:val="00D901AA"/>
    <w:rsid w:val="00D90438"/>
    <w:rsid w:val="00D90B43"/>
    <w:rsid w:val="00D90F7C"/>
    <w:rsid w:val="00D92789"/>
    <w:rsid w:val="00D93BBB"/>
    <w:rsid w:val="00D9483F"/>
    <w:rsid w:val="00D95E86"/>
    <w:rsid w:val="00D9612C"/>
    <w:rsid w:val="00DA02CE"/>
    <w:rsid w:val="00DA0DFD"/>
    <w:rsid w:val="00DA26D1"/>
    <w:rsid w:val="00DA3FA6"/>
    <w:rsid w:val="00DA612E"/>
    <w:rsid w:val="00DB11C9"/>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782"/>
    <w:rsid w:val="00DE3B48"/>
    <w:rsid w:val="00DE3CE0"/>
    <w:rsid w:val="00DE50CE"/>
    <w:rsid w:val="00DE54B0"/>
    <w:rsid w:val="00DF0273"/>
    <w:rsid w:val="00DF0BA9"/>
    <w:rsid w:val="00DF0FF1"/>
    <w:rsid w:val="00DF1557"/>
    <w:rsid w:val="00DF49C5"/>
    <w:rsid w:val="00DF5C06"/>
    <w:rsid w:val="00DF60A4"/>
    <w:rsid w:val="00DF63E3"/>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19AB"/>
    <w:rsid w:val="00E4296F"/>
    <w:rsid w:val="00E45D44"/>
    <w:rsid w:val="00E46A08"/>
    <w:rsid w:val="00E47BE1"/>
    <w:rsid w:val="00E47ECE"/>
    <w:rsid w:val="00E518FB"/>
    <w:rsid w:val="00E56620"/>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6AEB"/>
    <w:rsid w:val="00E96E99"/>
    <w:rsid w:val="00E97186"/>
    <w:rsid w:val="00E97F6C"/>
    <w:rsid w:val="00EA04D2"/>
    <w:rsid w:val="00EA1DF4"/>
    <w:rsid w:val="00EA446F"/>
    <w:rsid w:val="00EA550D"/>
    <w:rsid w:val="00EA6401"/>
    <w:rsid w:val="00EA68DB"/>
    <w:rsid w:val="00EA71BA"/>
    <w:rsid w:val="00EB1322"/>
    <w:rsid w:val="00EB1A62"/>
    <w:rsid w:val="00EB22D7"/>
    <w:rsid w:val="00EB4751"/>
    <w:rsid w:val="00EB4FC8"/>
    <w:rsid w:val="00EB7A4C"/>
    <w:rsid w:val="00EC0DD8"/>
    <w:rsid w:val="00EC2A66"/>
    <w:rsid w:val="00EC2FD9"/>
    <w:rsid w:val="00EC3672"/>
    <w:rsid w:val="00EC44FF"/>
    <w:rsid w:val="00EC4D30"/>
    <w:rsid w:val="00EC5E14"/>
    <w:rsid w:val="00ED0960"/>
    <w:rsid w:val="00ED3782"/>
    <w:rsid w:val="00ED56C1"/>
    <w:rsid w:val="00ED7D80"/>
    <w:rsid w:val="00EE1F49"/>
    <w:rsid w:val="00EE1F87"/>
    <w:rsid w:val="00EE29A7"/>
    <w:rsid w:val="00EE3720"/>
    <w:rsid w:val="00EE3F92"/>
    <w:rsid w:val="00EE4A15"/>
    <w:rsid w:val="00EE587C"/>
    <w:rsid w:val="00EE62E9"/>
    <w:rsid w:val="00EE731B"/>
    <w:rsid w:val="00EE7634"/>
    <w:rsid w:val="00EF271D"/>
    <w:rsid w:val="00EF318B"/>
    <w:rsid w:val="00EF4228"/>
    <w:rsid w:val="00EF473E"/>
    <w:rsid w:val="00EF4DC8"/>
    <w:rsid w:val="00EF5AC2"/>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2C4"/>
    <w:rsid w:val="00F22674"/>
    <w:rsid w:val="00F22B78"/>
    <w:rsid w:val="00F244F9"/>
    <w:rsid w:val="00F25220"/>
    <w:rsid w:val="00F25309"/>
    <w:rsid w:val="00F25320"/>
    <w:rsid w:val="00F26FA6"/>
    <w:rsid w:val="00F306D7"/>
    <w:rsid w:val="00F308B7"/>
    <w:rsid w:val="00F31501"/>
    <w:rsid w:val="00F31BE1"/>
    <w:rsid w:val="00F31CAB"/>
    <w:rsid w:val="00F32A46"/>
    <w:rsid w:val="00F340DF"/>
    <w:rsid w:val="00F356E2"/>
    <w:rsid w:val="00F37170"/>
    <w:rsid w:val="00F37180"/>
    <w:rsid w:val="00F4066C"/>
    <w:rsid w:val="00F41B76"/>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2FCD"/>
    <w:rsid w:val="00F53CC6"/>
    <w:rsid w:val="00F54B83"/>
    <w:rsid w:val="00F564CD"/>
    <w:rsid w:val="00F61629"/>
    <w:rsid w:val="00F61702"/>
    <w:rsid w:val="00F61CB7"/>
    <w:rsid w:val="00F62E71"/>
    <w:rsid w:val="00F630C8"/>
    <w:rsid w:val="00F64C12"/>
    <w:rsid w:val="00F6552D"/>
    <w:rsid w:val="00F6643C"/>
    <w:rsid w:val="00F667F5"/>
    <w:rsid w:val="00F67278"/>
    <w:rsid w:val="00F710E9"/>
    <w:rsid w:val="00F733F0"/>
    <w:rsid w:val="00F74B71"/>
    <w:rsid w:val="00F75E72"/>
    <w:rsid w:val="00F76A72"/>
    <w:rsid w:val="00F77340"/>
    <w:rsid w:val="00F77E5E"/>
    <w:rsid w:val="00F8042D"/>
    <w:rsid w:val="00F84A71"/>
    <w:rsid w:val="00F85256"/>
    <w:rsid w:val="00F87572"/>
    <w:rsid w:val="00F87CA2"/>
    <w:rsid w:val="00F91976"/>
    <w:rsid w:val="00F91D71"/>
    <w:rsid w:val="00F929E1"/>
    <w:rsid w:val="00F92C8D"/>
    <w:rsid w:val="00F931AD"/>
    <w:rsid w:val="00F959E7"/>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50F"/>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900"/>
    <w:rsid w:val="00FE5C3D"/>
    <w:rsid w:val="00FE5DA4"/>
    <w:rsid w:val="00FF2E19"/>
    <w:rsid w:val="00FF361C"/>
    <w:rsid w:val="00FF679C"/>
    <w:rsid w:val="00FF756F"/>
    <w:rsid w:val="66E6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kern w:val="0"/>
      <w:sz w:val="24"/>
      <w:szCs w:val="24"/>
      <w:lang w:val="en-US" w:eastAsia="zh-CN" w:bidi="ar-SA"/>
    </w:rPr>
  </w:style>
  <w:style w:type="paragraph" w:styleId="2">
    <w:name w:val="heading 1"/>
    <w:basedOn w:val="1"/>
    <w:next w:val="1"/>
    <w:link w:val="53"/>
    <w:qFormat/>
    <w:uiPriority w:val="9"/>
    <w:pPr>
      <w:keepNext/>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54"/>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5"/>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5">
    <w:name w:val="heading 4"/>
    <w:basedOn w:val="1"/>
    <w:next w:val="1"/>
    <w:link w:val="63"/>
    <w:semiHidden/>
    <w:unhideWhenUsed/>
    <w:qFormat/>
    <w:uiPriority w:val="9"/>
    <w:pPr>
      <w:keepNext/>
      <w:spacing w:before="240" w:after="60"/>
      <w:ind w:left="864" w:hanging="864"/>
      <w:outlineLvl w:val="3"/>
    </w:pPr>
    <w:rPr>
      <w:rFonts w:cstheme="majorBidi"/>
      <w:b/>
      <w:bCs/>
      <w:sz w:val="28"/>
      <w:szCs w:val="28"/>
    </w:rPr>
  </w:style>
  <w:style w:type="paragraph" w:styleId="6">
    <w:name w:val="heading 5"/>
    <w:basedOn w:val="1"/>
    <w:next w:val="1"/>
    <w:link w:val="64"/>
    <w:semiHidden/>
    <w:unhideWhenUsed/>
    <w:qFormat/>
    <w:uiPriority w:val="9"/>
    <w:pPr>
      <w:spacing w:before="240" w:after="60"/>
      <w:ind w:left="1008" w:hanging="1008"/>
      <w:outlineLvl w:val="4"/>
    </w:pPr>
    <w:rPr>
      <w:b/>
      <w:bCs/>
      <w:i/>
      <w:iCs/>
      <w:sz w:val="26"/>
      <w:szCs w:val="26"/>
    </w:rPr>
  </w:style>
  <w:style w:type="paragraph" w:styleId="7">
    <w:name w:val="heading 6"/>
    <w:basedOn w:val="1"/>
    <w:next w:val="1"/>
    <w:link w:val="65"/>
    <w:semiHidden/>
    <w:unhideWhenUsed/>
    <w:qFormat/>
    <w:uiPriority w:val="9"/>
    <w:pPr>
      <w:spacing w:before="240" w:after="60"/>
      <w:ind w:left="1152" w:hanging="1152"/>
      <w:outlineLvl w:val="5"/>
    </w:pPr>
    <w:rPr>
      <w:rFonts w:cstheme="majorBidi"/>
      <w:b/>
      <w:bCs/>
      <w:sz w:val="22"/>
      <w:szCs w:val="22"/>
    </w:rPr>
  </w:style>
  <w:style w:type="paragraph" w:styleId="8">
    <w:name w:val="heading 7"/>
    <w:basedOn w:val="1"/>
    <w:next w:val="1"/>
    <w:link w:val="66"/>
    <w:semiHidden/>
    <w:unhideWhenUsed/>
    <w:qFormat/>
    <w:uiPriority w:val="9"/>
    <w:pPr>
      <w:spacing w:before="240" w:after="60"/>
      <w:ind w:left="1296" w:hanging="1296"/>
      <w:outlineLvl w:val="6"/>
    </w:pPr>
  </w:style>
  <w:style w:type="paragraph" w:styleId="9">
    <w:name w:val="heading 8"/>
    <w:basedOn w:val="1"/>
    <w:next w:val="1"/>
    <w:link w:val="67"/>
    <w:semiHidden/>
    <w:unhideWhenUsed/>
    <w:qFormat/>
    <w:uiPriority w:val="9"/>
    <w:pPr>
      <w:spacing w:before="240" w:after="60"/>
      <w:ind w:left="1440" w:hanging="1440"/>
      <w:outlineLvl w:val="7"/>
    </w:pPr>
    <w:rPr>
      <w:rFonts w:cstheme="majorBidi"/>
      <w:i/>
      <w:iCs/>
    </w:rPr>
  </w:style>
  <w:style w:type="paragraph" w:styleId="10">
    <w:name w:val="heading 9"/>
    <w:basedOn w:val="1"/>
    <w:next w:val="1"/>
    <w:link w:val="68"/>
    <w:semiHidden/>
    <w:unhideWhenUsed/>
    <w:qFormat/>
    <w:uiPriority w:val="9"/>
    <w:pPr>
      <w:spacing w:before="240" w:after="60"/>
      <w:ind w:left="1584" w:hanging="1584"/>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3"/>
    <w:unhideWhenUsed/>
    <w:qFormat/>
    <w:uiPriority w:val="0"/>
    <w:rPr>
      <w:rFonts w:ascii="宋体" w:hAnsi="Courier New" w:eastAsia="宋体" w:cs="Courier New"/>
      <w:sz w:val="21"/>
      <w:szCs w:val="21"/>
    </w:rPr>
  </w:style>
  <w:style w:type="paragraph" w:styleId="15">
    <w:name w:val="Date"/>
    <w:basedOn w:val="1"/>
    <w:next w:val="1"/>
    <w:link w:val="69"/>
    <w:semiHidden/>
    <w:unhideWhenUsed/>
    <w:qFormat/>
    <w:uiPriority w:val="99"/>
    <w:pPr>
      <w:ind w:left="100" w:leftChars="2500"/>
    </w:pPr>
  </w:style>
  <w:style w:type="paragraph" w:styleId="16">
    <w:name w:val="Balloon Text"/>
    <w:basedOn w:val="1"/>
    <w:link w:val="83"/>
    <w:semiHidden/>
    <w:unhideWhenUsed/>
    <w:qFormat/>
    <w:uiPriority w:val="99"/>
    <w:rPr>
      <w:sz w:val="18"/>
      <w:szCs w:val="18"/>
    </w:rPr>
  </w:style>
  <w:style w:type="paragraph" w:styleId="17">
    <w:name w:val="footer"/>
    <w:basedOn w:val="1"/>
    <w:link w:val="62"/>
    <w:unhideWhenUsed/>
    <w:qFormat/>
    <w:uiPriority w:val="99"/>
    <w:pPr>
      <w:tabs>
        <w:tab w:val="center" w:pos="4153"/>
        <w:tab w:val="right" w:pos="8306"/>
      </w:tabs>
      <w:snapToGrid w:val="0"/>
    </w:pPr>
    <w:rPr>
      <w:sz w:val="18"/>
      <w:szCs w:val="18"/>
    </w:rPr>
  </w:style>
  <w:style w:type="paragraph" w:styleId="18">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5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7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8"/>
    <w:semiHidden/>
    <w:unhideWhenUsed/>
    <w:qFormat/>
    <w:uiPriority w:val="99"/>
    <w:rPr>
      <w:b/>
      <w:bCs/>
    </w:rPr>
  </w:style>
  <w:style w:type="table" w:styleId="25">
    <w:name w:val="Table Grid"/>
    <w:basedOn w:val="24"/>
    <w:qFormat/>
    <w:uiPriority w:val="39"/>
    <w:rPr>
      <w:rFonts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Light" w:hAnsi="Calibri Light" w:eastAsia="华文仿宋"/>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标题 1 Char"/>
    <w:basedOn w:val="26"/>
    <w:link w:val="2"/>
    <w:qFormat/>
    <w:uiPriority w:val="9"/>
    <w:rPr>
      <w:rFonts w:ascii="Calibri" w:hAnsi="Calibri" w:eastAsia="黑体"/>
      <w:bCs/>
      <w:kern w:val="36"/>
      <w:sz w:val="36"/>
      <w:szCs w:val="32"/>
    </w:rPr>
  </w:style>
  <w:style w:type="character" w:customStyle="1" w:styleId="54">
    <w:name w:val="标题 2 Char"/>
    <w:basedOn w:val="26"/>
    <w:link w:val="3"/>
    <w:qFormat/>
    <w:uiPriority w:val="9"/>
    <w:rPr>
      <w:rFonts w:ascii="Calibri" w:hAnsi="Calibri" w:eastAsia="黑体" w:cstheme="majorBidi"/>
      <w:bCs/>
      <w:iCs/>
      <w:kern w:val="32"/>
      <w:sz w:val="28"/>
      <w:szCs w:val="28"/>
    </w:rPr>
  </w:style>
  <w:style w:type="character" w:customStyle="1" w:styleId="55">
    <w:name w:val="标题 3 Char"/>
    <w:basedOn w:val="26"/>
    <w:link w:val="4"/>
    <w:qFormat/>
    <w:uiPriority w:val="9"/>
    <w:rPr>
      <w:rFonts w:ascii="Calibri Light" w:hAnsi="Calibri Light" w:eastAsia="宋体"/>
      <w:b/>
      <w:bCs/>
      <w:kern w:val="30"/>
      <w:sz w:val="24"/>
      <w:szCs w:val="26"/>
    </w:rPr>
  </w:style>
  <w:style w:type="character" w:customStyle="1" w:styleId="56">
    <w:name w:val="副标题 Char"/>
    <w:basedOn w:val="26"/>
    <w:link w:val="20"/>
    <w:qFormat/>
    <w:uiPriority w:val="11"/>
    <w:rPr>
      <w:rFonts w:ascii="Calibri" w:hAnsi="Calibri" w:eastAsia="黑体" w:cstheme="majorBidi"/>
      <w:sz w:val="32"/>
      <w:szCs w:val="24"/>
    </w:rPr>
  </w:style>
  <w:style w:type="paragraph" w:customStyle="1" w:styleId="57">
    <w:name w:val="@新正文"/>
    <w:basedOn w:val="40"/>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8">
    <w:name w:val="@一级小标题"/>
    <w:basedOn w:val="1"/>
    <w:next w:val="57"/>
    <w:qFormat/>
    <w:uiPriority w:val="0"/>
    <w:pPr>
      <w:keepNext/>
      <w:spacing w:before="120" w:after="60"/>
      <w:outlineLvl w:val="2"/>
    </w:pPr>
    <w:rPr>
      <w:rFonts w:ascii="Calibri" w:hAnsi="Calibri" w:eastAsia="黑体"/>
      <w:kern w:val="28"/>
      <w:sz w:val="28"/>
    </w:rPr>
  </w:style>
  <w:style w:type="paragraph" w:customStyle="1" w:styleId="59">
    <w:name w:val="@标题"/>
    <w:basedOn w:val="1"/>
    <w:next w:val="57"/>
    <w:qFormat/>
    <w:uiPriority w:val="0"/>
    <w:pPr>
      <w:keepNext/>
      <w:spacing w:before="50" w:beforeLines="50" w:after="50" w:afterLines="50"/>
      <w:jc w:val="center"/>
      <w:outlineLvl w:val="1"/>
    </w:pPr>
    <w:rPr>
      <w:rFonts w:ascii="Calibri" w:hAnsi="Calibri" w:eastAsia="黑体"/>
      <w:kern w:val="32"/>
      <w:sz w:val="32"/>
    </w:rPr>
  </w:style>
  <w:style w:type="paragraph" w:customStyle="1" w:styleId="60">
    <w:name w:val="@正文"/>
    <w:basedOn w:val="40"/>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1">
    <w:name w:val="页眉 Char"/>
    <w:basedOn w:val="26"/>
    <w:link w:val="18"/>
    <w:qFormat/>
    <w:uiPriority w:val="0"/>
    <w:rPr>
      <w:sz w:val="18"/>
      <w:szCs w:val="18"/>
    </w:rPr>
  </w:style>
  <w:style w:type="character" w:customStyle="1" w:styleId="62">
    <w:name w:val="页脚 Char"/>
    <w:basedOn w:val="26"/>
    <w:link w:val="17"/>
    <w:qFormat/>
    <w:uiPriority w:val="99"/>
    <w:rPr>
      <w:sz w:val="18"/>
      <w:szCs w:val="18"/>
    </w:rPr>
  </w:style>
  <w:style w:type="character" w:customStyle="1" w:styleId="63">
    <w:name w:val="标题 4 Char"/>
    <w:basedOn w:val="26"/>
    <w:link w:val="5"/>
    <w:semiHidden/>
    <w:qFormat/>
    <w:uiPriority w:val="9"/>
    <w:rPr>
      <w:rFonts w:cstheme="majorBidi"/>
      <w:b/>
      <w:bCs/>
      <w:kern w:val="0"/>
      <w:sz w:val="28"/>
      <w:szCs w:val="28"/>
    </w:rPr>
  </w:style>
  <w:style w:type="character" w:customStyle="1" w:styleId="64">
    <w:name w:val="标题 5 Char"/>
    <w:basedOn w:val="26"/>
    <w:link w:val="6"/>
    <w:semiHidden/>
    <w:qFormat/>
    <w:uiPriority w:val="9"/>
    <w:rPr>
      <w:rFonts w:cs="Times New Roman"/>
      <w:b/>
      <w:bCs/>
      <w:i/>
      <w:iCs/>
      <w:kern w:val="0"/>
      <w:sz w:val="26"/>
      <w:szCs w:val="26"/>
    </w:rPr>
  </w:style>
  <w:style w:type="character" w:customStyle="1" w:styleId="65">
    <w:name w:val="标题 6 Char"/>
    <w:basedOn w:val="26"/>
    <w:link w:val="7"/>
    <w:semiHidden/>
    <w:qFormat/>
    <w:uiPriority w:val="9"/>
    <w:rPr>
      <w:rFonts w:cstheme="majorBidi"/>
      <w:b/>
      <w:bCs/>
      <w:kern w:val="0"/>
      <w:sz w:val="22"/>
    </w:rPr>
  </w:style>
  <w:style w:type="character" w:customStyle="1" w:styleId="66">
    <w:name w:val="标题 7 Char"/>
    <w:basedOn w:val="26"/>
    <w:link w:val="8"/>
    <w:semiHidden/>
    <w:qFormat/>
    <w:uiPriority w:val="9"/>
    <w:rPr>
      <w:rFonts w:cs="Times New Roman"/>
      <w:kern w:val="0"/>
      <w:sz w:val="24"/>
      <w:szCs w:val="24"/>
    </w:rPr>
  </w:style>
  <w:style w:type="character" w:customStyle="1" w:styleId="67">
    <w:name w:val="标题 8 Char"/>
    <w:basedOn w:val="26"/>
    <w:link w:val="9"/>
    <w:semiHidden/>
    <w:qFormat/>
    <w:uiPriority w:val="9"/>
    <w:rPr>
      <w:rFonts w:cstheme="majorBidi"/>
      <w:i/>
      <w:iCs/>
      <w:kern w:val="0"/>
      <w:sz w:val="24"/>
      <w:szCs w:val="24"/>
    </w:rPr>
  </w:style>
  <w:style w:type="character" w:customStyle="1" w:styleId="68">
    <w:name w:val="标题 9 Char"/>
    <w:basedOn w:val="26"/>
    <w:link w:val="10"/>
    <w:semiHidden/>
    <w:qFormat/>
    <w:uiPriority w:val="9"/>
    <w:rPr>
      <w:rFonts w:asciiTheme="majorHAnsi" w:hAnsiTheme="majorHAnsi" w:eastAsiaTheme="majorEastAsia" w:cstheme="majorBidi"/>
      <w:kern w:val="0"/>
      <w:sz w:val="22"/>
    </w:rPr>
  </w:style>
  <w:style w:type="character" w:customStyle="1" w:styleId="69">
    <w:name w:val="日期 Char"/>
    <w:basedOn w:val="26"/>
    <w:link w:val="15"/>
    <w:semiHidden/>
    <w:qFormat/>
    <w:uiPriority w:val="99"/>
    <w:rPr>
      <w:rFonts w:cs="Times New Roman"/>
      <w:kern w:val="0"/>
      <w:sz w:val="24"/>
      <w:szCs w:val="24"/>
    </w:rPr>
  </w:style>
  <w:style w:type="character" w:customStyle="1" w:styleId="70">
    <w:name w:val="标题 Char"/>
    <w:basedOn w:val="26"/>
    <w:link w:val="22"/>
    <w:qFormat/>
    <w:uiPriority w:val="10"/>
    <w:rPr>
      <w:rFonts w:asciiTheme="majorHAnsi" w:hAnsiTheme="majorHAnsi" w:eastAsiaTheme="majorEastAsia" w:cstheme="majorBidi"/>
      <w:b/>
      <w:bCs/>
      <w:kern w:val="28"/>
      <w:sz w:val="32"/>
      <w:szCs w:val="32"/>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Char"/>
    <w:basedOn w:val="26"/>
    <w:link w:val="73"/>
    <w:qFormat/>
    <w:uiPriority w:val="29"/>
    <w:rPr>
      <w:rFonts w:cs="Times New Roman"/>
      <w:i/>
      <w:kern w:val="0"/>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Char"/>
    <w:basedOn w:val="26"/>
    <w:link w:val="75"/>
    <w:qFormat/>
    <w:uiPriority w:val="30"/>
    <w:rPr>
      <w:rFonts w:cs="Times New Roman"/>
      <w:b/>
      <w:i/>
      <w:kern w:val="0"/>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26"/>
    <w:qFormat/>
    <w:uiPriority w:val="21"/>
    <w:rPr>
      <w:b/>
      <w:i/>
      <w:sz w:val="24"/>
      <w:szCs w:val="24"/>
      <w:u w:val="single"/>
    </w:rPr>
  </w:style>
  <w:style w:type="character" w:customStyle="1" w:styleId="79">
    <w:name w:val="Subtle Reference"/>
    <w:basedOn w:val="26"/>
    <w:qFormat/>
    <w:uiPriority w:val="31"/>
    <w:rPr>
      <w:sz w:val="24"/>
      <w:szCs w:val="24"/>
      <w:u w:val="single"/>
    </w:rPr>
  </w:style>
  <w:style w:type="character" w:customStyle="1" w:styleId="80">
    <w:name w:val="Intense Reference"/>
    <w:basedOn w:val="26"/>
    <w:qFormat/>
    <w:uiPriority w:val="32"/>
    <w:rPr>
      <w:b/>
      <w:sz w:val="24"/>
      <w:u w:val="single"/>
    </w:rPr>
  </w:style>
  <w:style w:type="character" w:customStyle="1" w:styleId="81">
    <w:name w:val="Book Title"/>
    <w:basedOn w:val="26"/>
    <w:qFormat/>
    <w:uiPriority w:val="33"/>
    <w:rPr>
      <w:rFonts w:asciiTheme="majorHAnsi" w:hAnsiTheme="majorHAnsi" w:eastAsiaTheme="majorEastAsia"/>
      <w:b/>
      <w:i/>
      <w:sz w:val="24"/>
      <w:szCs w:val="24"/>
    </w:rPr>
  </w:style>
  <w:style w:type="paragraph" w:customStyle="1" w:styleId="82">
    <w:name w:val="TOC Heading"/>
    <w:basedOn w:val="2"/>
    <w:next w:val="1"/>
    <w:semiHidden/>
    <w:unhideWhenUsed/>
    <w:qFormat/>
    <w:uiPriority w:val="39"/>
    <w:pPr>
      <w:numPr>
        <w:numId w:val="0"/>
      </w:numPr>
      <w:outlineLvl w:val="9"/>
    </w:pPr>
    <w:rPr>
      <w:sz w:val="32"/>
    </w:rPr>
  </w:style>
  <w:style w:type="character" w:customStyle="1" w:styleId="83">
    <w:name w:val="批注框文本 Char"/>
    <w:basedOn w:val="26"/>
    <w:link w:val="16"/>
    <w:semiHidden/>
    <w:qFormat/>
    <w:uiPriority w:val="99"/>
    <w:rPr>
      <w:rFonts w:cs="Times New Roman"/>
      <w:kern w:val="0"/>
      <w:sz w:val="18"/>
      <w:szCs w:val="18"/>
    </w:rPr>
  </w:style>
  <w:style w:type="character" w:customStyle="1" w:styleId="84">
    <w:name w:val="批注文字 Char"/>
    <w:basedOn w:val="26"/>
    <w:link w:val="13"/>
    <w:qFormat/>
    <w:uiPriority w:val="99"/>
    <w:rPr>
      <w:rFonts w:ascii="Calibri Light" w:hAnsi="Calibri Light" w:eastAsia="华文仿宋" w:cs="Calibri Light"/>
      <w:sz w:val="28"/>
      <w:szCs w:val="28"/>
    </w:rPr>
  </w:style>
  <w:style w:type="table" w:customStyle="1" w:styleId="85">
    <w:name w:val="网格型1"/>
    <w:basedOn w:val="24"/>
    <w:qFormat/>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6">
    <w:name w:val="页眉 Char1"/>
    <w:basedOn w:val="26"/>
    <w:semiHidden/>
    <w:qFormat/>
    <w:uiPriority w:val="99"/>
    <w:rPr>
      <w:rFonts w:cs="Calibri Light"/>
      <w:sz w:val="18"/>
      <w:szCs w:val="18"/>
    </w:rPr>
  </w:style>
  <w:style w:type="character" w:customStyle="1" w:styleId="87">
    <w:name w:val="页脚 Char1"/>
    <w:basedOn w:val="26"/>
    <w:semiHidden/>
    <w:qFormat/>
    <w:uiPriority w:val="99"/>
    <w:rPr>
      <w:rFonts w:cs="Calibri Light"/>
      <w:sz w:val="18"/>
      <w:szCs w:val="18"/>
    </w:rPr>
  </w:style>
  <w:style w:type="character" w:customStyle="1" w:styleId="88">
    <w:name w:val="批注主题 Char"/>
    <w:basedOn w:val="84"/>
    <w:link w:val="23"/>
    <w:semiHidden/>
    <w:qFormat/>
    <w:uiPriority w:val="99"/>
    <w:rPr>
      <w:rFonts w:ascii="Calibri Light" w:hAnsi="Calibri Light" w:eastAsia="华文仿宋" w:cs="Calibri Light"/>
      <w:b/>
      <w:bCs/>
      <w:sz w:val="28"/>
      <w:szCs w:val="28"/>
    </w:rPr>
  </w:style>
  <w:style w:type="character" w:customStyle="1" w:styleId="89">
    <w:name w:val="文档结构图 Char"/>
    <w:basedOn w:val="26"/>
    <w:link w:val="12"/>
    <w:semiHidden/>
    <w:qFormat/>
    <w:uiPriority w:val="99"/>
    <w:rPr>
      <w:rFonts w:ascii="宋体" w:hAnsi="Calibri Light" w:eastAsia="宋体" w:cs="Calibri Light"/>
      <w:sz w:val="18"/>
      <w:szCs w:val="18"/>
    </w:rPr>
  </w:style>
  <w:style w:type="character" w:styleId="90">
    <w:name w:val="Placeholder Text"/>
    <w:basedOn w:val="26"/>
    <w:semiHidden/>
    <w:qFormat/>
    <w:uiPriority w:val="99"/>
    <w:rPr>
      <w:color w:val="808080"/>
    </w:rPr>
  </w:style>
  <w:style w:type="table" w:customStyle="1" w:styleId="91">
    <w:name w:val="网格型11"/>
    <w:basedOn w:val="24"/>
    <w:qFormat/>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2"/>
    <w:basedOn w:val="24"/>
    <w:qFormat/>
    <w:uiPriority w:val="39"/>
    <w:rPr>
      <w:rFonts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纯文本 Char"/>
    <w:basedOn w:val="26"/>
    <w:link w:val="14"/>
    <w:qFormat/>
    <w:uiPriority w:val="0"/>
    <w:rPr>
      <w:rFonts w:ascii="宋体" w:hAnsi="Courier New" w:eastAsia="宋体" w:cs="Courier New"/>
      <w:kern w:val="0"/>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6"/>
    <w:qFormat/>
    <w:uiPriority w:val="21"/>
    <w:rPr>
      <w:b/>
      <w:i/>
      <w:sz w:val="24"/>
      <w:szCs w:val="24"/>
      <w:u w:val="single"/>
    </w:rPr>
  </w:style>
  <w:style w:type="character" w:customStyle="1" w:styleId="96">
    <w:name w:val="不明显参考1"/>
    <w:basedOn w:val="26"/>
    <w:qFormat/>
    <w:uiPriority w:val="31"/>
    <w:rPr>
      <w:sz w:val="24"/>
      <w:szCs w:val="24"/>
      <w:u w:val="single"/>
    </w:rPr>
  </w:style>
  <w:style w:type="character" w:customStyle="1" w:styleId="97">
    <w:name w:val="明显参考1"/>
    <w:basedOn w:val="26"/>
    <w:qFormat/>
    <w:uiPriority w:val="32"/>
    <w:rPr>
      <w:b/>
      <w:sz w:val="24"/>
      <w:u w:val="single"/>
    </w:rPr>
  </w:style>
  <w:style w:type="character" w:customStyle="1" w:styleId="98">
    <w:name w:val="书籍标题1"/>
    <w:basedOn w:val="26"/>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0"/>
      </w:numPr>
      <w:outlineLvl w:val="9"/>
    </w:pPr>
    <w:rPr>
      <w:sz w:val="32"/>
    </w:rPr>
  </w:style>
  <w:style w:type="paragraph" w:customStyle="1" w:styleId="100">
    <w:name w:val="样式1"/>
    <w:basedOn w:val="1"/>
    <w:uiPriority w:val="0"/>
    <w:pPr>
      <w:widowControl w:val="0"/>
      <w:adjustRightInd w:val="0"/>
      <w:jc w:val="both"/>
      <w:textAlignment w:val="baseline"/>
    </w:pPr>
    <w:rPr>
      <w:rFonts w:ascii="宋体" w:hAnsi="Times New Roman" w:eastAsia="宋体"/>
      <w:sz w:val="21"/>
      <w:szCs w:val="21"/>
    </w:rPr>
  </w:style>
  <w:style w:type="paragraph" w:customStyle="1" w:styleId="101">
    <w:name w:val="标题 41"/>
    <w:basedOn w:val="1"/>
    <w:qFormat/>
    <w:uiPriority w:val="1"/>
    <w:pPr>
      <w:widowControl w:val="0"/>
      <w:ind w:left="1745"/>
      <w:outlineLvl w:val="4"/>
    </w:pPr>
    <w:rPr>
      <w:rFonts w:ascii="宋体" w:hAnsi="宋体" w:eastAsia="宋体" w:cstheme="minorBidi"/>
      <w:sz w:val="26"/>
      <w:szCs w:val="26"/>
      <w:lang w:eastAsia="en-US"/>
    </w:rPr>
  </w:style>
  <w:style w:type="table" w:customStyle="1" w:styleId="102">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Normal&#65288;&#31896;&#36148;&#65289;.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Normal（粘贴）</Template>
  <Company>Universal</Company>
  <Pages>9</Pages>
  <Words>6007</Words>
  <Characters>34240</Characters>
  <Lines>285</Lines>
  <Paragraphs>80</Paragraphs>
  <TotalTime>1394</TotalTime>
  <ScaleCrop>false</ScaleCrop>
  <LinksUpToDate>false</LinksUpToDate>
  <CharactersWithSpaces>40167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2026-02-25T01:42:00Z</dcterms:created>
  <dc:creator>admin</dc:creator>
  <cp:lastModifiedBy>趋之若鹜</cp:lastModifiedBy>
  <cp:lastPrinted>2026-03-03T07:02:00Z</cp:lastPrinted>
  <dcterms:modified xsi:type="dcterms:W3CDTF">2026-04-14T03:42:35Z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204814336F164830BB07E0B4829FDCE4</vt:lpwstr>
  </property>
</Properties>
</file>