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F6CDE">
      <w:pPr>
        <w:pStyle w:val="4"/>
        <w:jc w:val="center"/>
        <w:outlineLvl w:val="1"/>
        <w:rPr>
          <w:rFonts w:hint="default" w:eastAsiaTheme="minorEastAsia"/>
          <w:lang w:val="en-US" w:eastAsia="zh-CN"/>
        </w:rPr>
      </w:pPr>
      <w:r>
        <w:rPr>
          <w:rFonts w:hint="eastAsia" w:ascii="仿宋_GB2312" w:hAnsi="仿宋_GB2312" w:eastAsia="仿宋_GB2312" w:cs="仿宋_GB2312"/>
          <w:b/>
          <w:sz w:val="36"/>
          <w:lang w:val="en-US" w:eastAsia="zh-CN"/>
        </w:rPr>
        <w:t>采购需求</w:t>
      </w:r>
    </w:p>
    <w:p w14:paraId="425107A0">
      <w:pPr>
        <w:pStyle w:val="4"/>
        <w:outlineLvl w:val="2"/>
      </w:pPr>
      <w:bookmarkStart w:id="0" w:name="_GoBack"/>
      <w:bookmarkEnd w:id="0"/>
      <w:r>
        <w:rPr>
          <w:rFonts w:ascii="仿宋_GB2312" w:hAnsi="仿宋_GB2312" w:eastAsia="仿宋_GB2312" w:cs="仿宋_GB2312"/>
          <w:b/>
          <w:sz w:val="28"/>
        </w:rPr>
        <w:t>服务要求</w:t>
      </w:r>
    </w:p>
    <w:p w14:paraId="40EBBE2C">
      <w:pPr>
        <w:pStyle w:val="4"/>
      </w:pPr>
      <w:r>
        <w:rPr>
          <w:rFonts w:ascii="仿宋_GB2312" w:hAnsi="仿宋_GB2312" w:eastAsia="仿宋_GB2312" w:cs="仿宋_GB2312"/>
        </w:rPr>
        <w:t>采购包1：</w:t>
      </w:r>
    </w:p>
    <w:p w14:paraId="20B322B0">
      <w:pPr>
        <w:pStyle w:val="4"/>
      </w:pPr>
      <w:r>
        <w:rPr>
          <w:rFonts w:ascii="仿宋_GB2312" w:hAnsi="仿宋_GB2312" w:eastAsia="仿宋_GB2312" w:cs="仿宋_GB2312"/>
        </w:rPr>
        <w:t>标的名称：正版软件授权服务采购项目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13FB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1B2071">
            <w:pPr>
              <w:pStyle w:val="4"/>
            </w:pPr>
            <w:r>
              <w:rPr>
                <w:rFonts w:ascii="仿宋_GB2312" w:hAnsi="仿宋_GB2312" w:eastAsia="仿宋_GB2312" w:cs="仿宋_GB2312"/>
              </w:rPr>
              <w:t xml:space="preserve"> 序号</w:t>
            </w:r>
          </w:p>
        </w:tc>
        <w:tc>
          <w:tcPr>
            <w:tcW w:w="2769" w:type="dxa"/>
          </w:tcPr>
          <w:p w14:paraId="17C94588">
            <w:pPr>
              <w:pStyle w:val="4"/>
            </w:pPr>
            <w:r>
              <w:rPr>
                <w:rFonts w:ascii="仿宋_GB2312" w:hAnsi="仿宋_GB2312" w:eastAsia="仿宋_GB2312" w:cs="仿宋_GB2312"/>
              </w:rPr>
              <w:t xml:space="preserve"> 参数性质</w:t>
            </w:r>
          </w:p>
        </w:tc>
        <w:tc>
          <w:tcPr>
            <w:tcW w:w="2769" w:type="dxa"/>
          </w:tcPr>
          <w:p w14:paraId="01845A33">
            <w:pPr>
              <w:pStyle w:val="4"/>
            </w:pPr>
            <w:r>
              <w:rPr>
                <w:rFonts w:ascii="仿宋_GB2312" w:hAnsi="仿宋_GB2312" w:eastAsia="仿宋_GB2312" w:cs="仿宋_GB2312"/>
              </w:rPr>
              <w:t xml:space="preserve"> 技术参数与性能指标</w:t>
            </w:r>
          </w:p>
        </w:tc>
      </w:tr>
      <w:tr w14:paraId="285E2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7FD75E">
            <w:pPr>
              <w:pStyle w:val="4"/>
            </w:pPr>
            <w:r>
              <w:rPr>
                <w:rFonts w:ascii="仿宋_GB2312" w:hAnsi="仿宋_GB2312" w:eastAsia="仿宋_GB2312" w:cs="仿宋_GB2312"/>
              </w:rPr>
              <w:t>1</w:t>
            </w:r>
          </w:p>
        </w:tc>
        <w:tc>
          <w:tcPr>
            <w:tcW w:w="2769" w:type="dxa"/>
          </w:tcPr>
          <w:p w14:paraId="745EED0B"/>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48"/>
            </w:tblGrid>
            <w:tr w14:paraId="16A2A6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8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6DCA7D">
                  <w:pPr>
                    <w:pStyle w:val="4"/>
                  </w:pPr>
                  <w:r>
                    <w:rPr>
                      <w:rFonts w:ascii="仿宋_GB2312" w:hAnsi="仿宋_GB2312" w:eastAsia="仿宋_GB2312" w:cs="仿宋_GB2312"/>
                      <w:sz w:val="19"/>
                    </w:rPr>
                    <w:t>一、国产正版办公软件（WPS365软件）授权</w:t>
                  </w:r>
                </w:p>
                <w:p w14:paraId="602BDC02">
                  <w:pPr>
                    <w:pStyle w:val="4"/>
                  </w:pPr>
                  <w:r>
                    <w:rPr>
                      <w:rFonts w:ascii="仿宋_GB2312" w:hAnsi="仿宋_GB2312" w:eastAsia="仿宋_GB2312" w:cs="仿宋_GB2312"/>
                      <w:sz w:val="19"/>
                    </w:rPr>
                    <w:t>建设内容：</w:t>
                  </w:r>
                </w:p>
                <w:p w14:paraId="695A0055">
                  <w:pPr>
                    <w:pStyle w:val="4"/>
                  </w:pPr>
                  <w:r>
                    <w:rPr>
                      <w:rFonts w:ascii="仿宋_GB2312" w:hAnsi="仿宋_GB2312" w:eastAsia="仿宋_GB2312" w:cs="仿宋_GB2312"/>
                      <w:sz w:val="19"/>
                    </w:rPr>
                    <w:t>本项目采购满足全校师生文档资料处理需求的WPS办公软件授权及WPS365云账号服务 ，包含教育应用版满足为我校教职工用户使用，教育基础版满足我校学生用户使用。具备文字编辑、表格计算、图片处理、PPT演示、AI助手灵犀功能，等基本功能模块，包含实现全校终端授权的全覆盖。</w:t>
                  </w:r>
                </w:p>
                <w:p w14:paraId="58F92F01">
                  <w:pPr>
                    <w:pStyle w:val="4"/>
                  </w:pPr>
                  <w:r>
                    <w:rPr>
                      <w:rFonts w:ascii="仿宋_GB2312" w:hAnsi="仿宋_GB2312" w:eastAsia="仿宋_GB2312" w:cs="仿宋_GB2312"/>
                      <w:sz w:val="19"/>
                    </w:rPr>
                    <w:t>（一）、软件性能指标：</w:t>
                  </w:r>
                </w:p>
                <w:p w14:paraId="08A5BA60">
                  <w:pPr>
                    <w:pStyle w:val="4"/>
                  </w:pPr>
                  <w:r>
                    <w:rPr>
                      <w:rFonts w:ascii="仿宋_GB2312" w:hAnsi="仿宋_GB2312" w:eastAsia="仿宋_GB2312" w:cs="仿宋_GB2312"/>
                      <w:sz w:val="19"/>
                    </w:rPr>
                    <w:t>1.★授权方式：办公软件年场地授权，满足我校教职工、在校学生及固定资产设备合法使用。</w:t>
                  </w:r>
                </w:p>
                <w:p w14:paraId="3A2705E9">
                  <w:pPr>
                    <w:pStyle w:val="4"/>
                  </w:pPr>
                  <w:r>
                    <w:rPr>
                      <w:rFonts w:ascii="仿宋_GB2312" w:hAnsi="仿宋_GB2312" w:eastAsia="仿宋_GB2312" w:cs="仿宋_GB2312"/>
                      <w:sz w:val="19"/>
                    </w:rPr>
                    <w:t>2.投标产品提供运行在Windows操作系统上运行的office办公软件产品，包含文字处理、表格计算、幻灯片演示三个组件。</w:t>
                  </w:r>
                </w:p>
                <w:p w14:paraId="64509CB2">
                  <w:pPr>
                    <w:pStyle w:val="4"/>
                  </w:pPr>
                  <w:r>
                    <w:rPr>
                      <w:rFonts w:ascii="仿宋_GB2312" w:hAnsi="仿宋_GB2312" w:eastAsia="仿宋_GB2312" w:cs="仿宋_GB2312"/>
                      <w:sz w:val="19"/>
                    </w:rPr>
                    <w:t>3.投标产品支持窗口多组件/整合模式，支持进行单窗口多标签的拆分与组合，在多窗口模式下支持在系统任务栏显示多主口，可以通过ALT+TAB快捷键来回切换查看多个文档。</w:t>
                  </w:r>
                </w:p>
                <w:p w14:paraId="6CB9E5CE">
                  <w:pPr>
                    <w:pStyle w:val="4"/>
                  </w:pPr>
                  <w:r>
                    <w:rPr>
                      <w:rFonts w:ascii="仿宋_GB2312" w:hAnsi="仿宋_GB2312" w:eastAsia="仿宋_GB2312" w:cs="仿宋_GB2312"/>
                      <w:sz w:val="19"/>
                    </w:rPr>
                    <w:t>4.投标产品支持灾难恢复功能，当突然发生如断电、死机等灾难性故障，系统重起后可通过备份管理功能找到灾难前的备份内容。</w:t>
                  </w:r>
                </w:p>
                <w:p w14:paraId="458C12D1">
                  <w:pPr>
                    <w:pStyle w:val="4"/>
                  </w:pPr>
                  <w:r>
                    <w:rPr>
                      <w:rFonts w:ascii="仿宋_GB2312" w:hAnsi="仿宋_GB2312" w:eastAsia="仿宋_GB2312" w:cs="仿宋_GB2312"/>
                      <w:sz w:val="19"/>
                    </w:rPr>
                    <w:t>5.投标产品支持PDF类型文件阅读，办公人员能投在办公软件中打开PDF文件。</w:t>
                  </w:r>
                </w:p>
                <w:p w14:paraId="4499E0B3">
                  <w:pPr>
                    <w:pStyle w:val="4"/>
                  </w:pPr>
                  <w:r>
                    <w:rPr>
                      <w:rFonts w:ascii="仿宋_GB2312" w:hAnsi="仿宋_GB2312" w:eastAsia="仿宋_GB2312" w:cs="仿宋_GB2312"/>
                      <w:sz w:val="19"/>
                    </w:rPr>
                    <w:t>6.投标产品支持文字、表格、演示模块对图形图片设置颜色支持取色器功能，有效的进行颜色适配填充。</w:t>
                  </w:r>
                </w:p>
                <w:p w14:paraId="3FB58FED">
                  <w:pPr>
                    <w:pStyle w:val="4"/>
                  </w:pPr>
                  <w:r>
                    <w:rPr>
                      <w:rFonts w:ascii="仿宋_GB2312" w:hAnsi="仿宋_GB2312" w:eastAsia="仿宋_GB2312" w:cs="仿宋_GB2312"/>
                      <w:sz w:val="19"/>
                    </w:rPr>
                    <w:t>7.文字模块智能目录导航，自动识别文档结构，实时调整文档目录；标题格式不用调整样式，也可智能自动生成目录。</w:t>
                  </w:r>
                </w:p>
                <w:p w14:paraId="6DDD5B18">
                  <w:pPr>
                    <w:pStyle w:val="4"/>
                  </w:pPr>
                  <w:r>
                    <w:rPr>
                      <w:rFonts w:ascii="仿宋_GB2312" w:hAnsi="仿宋_GB2312" w:eastAsia="仿宋_GB2312" w:cs="仿宋_GB2312"/>
                      <w:sz w:val="19"/>
                    </w:rPr>
                    <w:t>8.文字模块阅读版式，文字模块支持阅读版式的全屏窗口显示，更方便和清晰浏览大篇幅文章的内容。</w:t>
                  </w:r>
                </w:p>
                <w:p w14:paraId="1B040236">
                  <w:pPr>
                    <w:pStyle w:val="4"/>
                  </w:pPr>
                  <w:r>
                    <w:rPr>
                      <w:rFonts w:ascii="仿宋_GB2312" w:hAnsi="仿宋_GB2312" w:eastAsia="仿宋_GB2312" w:cs="仿宋_GB2312"/>
                      <w:sz w:val="19"/>
                    </w:rPr>
                    <w:t>9.文字模块支持“翻译”功能，能支持多种语言（至少包括中文，英语，韩语，日语，法语）互相翻译转换，同时支持“划词翻译”功能。</w:t>
                  </w:r>
                </w:p>
                <w:p w14:paraId="622CE208">
                  <w:pPr>
                    <w:pStyle w:val="4"/>
                  </w:pPr>
                  <w:r>
                    <w:rPr>
                      <w:rFonts w:ascii="仿宋_GB2312" w:hAnsi="仿宋_GB2312" w:eastAsia="仿宋_GB2312" w:cs="仿宋_GB2312"/>
                      <w:sz w:val="19"/>
                    </w:rPr>
                    <w:t>10.办公软件文字、表格、演示、移动端产品各功能模块与微软Office的Word、Excel、Powerpoint 三个功能模块文件相互兼容。能够兼容OA办公自动化系统（兼容Microsoft Office2003、2007、2010等版本），包含文字处理、电子表格和演示文稿。</w:t>
                  </w:r>
                </w:p>
                <w:p w14:paraId="358CA5F6">
                  <w:pPr>
                    <w:pStyle w:val="4"/>
                  </w:pPr>
                  <w:r>
                    <w:rPr>
                      <w:rFonts w:ascii="仿宋_GB2312" w:hAnsi="仿宋_GB2312" w:eastAsia="仿宋_GB2312" w:cs="仿宋_GB2312"/>
                      <w:sz w:val="19"/>
                    </w:rPr>
                    <w:t>11.宏代码兼容，能直接打开微软创建的宏文档，并运行宏代码。</w:t>
                  </w:r>
                </w:p>
                <w:p w14:paraId="492BF0E6">
                  <w:pPr>
                    <w:pStyle w:val="4"/>
                  </w:pPr>
                  <w:r>
                    <w:rPr>
                      <w:rFonts w:ascii="仿宋_GB2312" w:hAnsi="仿宋_GB2312" w:eastAsia="仿宋_GB2312" w:cs="仿宋_GB2312"/>
                      <w:sz w:val="19"/>
                    </w:rPr>
                    <w:t>12.兼容微软2007以上版本采用的CNG加密算法，能够打开CNG加密的文件。</w:t>
                  </w:r>
                </w:p>
                <w:p w14:paraId="6ADEF5B1">
                  <w:pPr>
                    <w:pStyle w:val="4"/>
                  </w:pPr>
                  <w:r>
                    <w:rPr>
                      <w:rFonts w:ascii="仿宋_GB2312" w:hAnsi="仿宋_GB2312" w:eastAsia="仿宋_GB2312" w:cs="仿宋_GB2312"/>
                      <w:sz w:val="19"/>
                    </w:rPr>
                    <w:t>13.兼容微软基于COM技术的插件接口标准，能够加载已有的常用插件。</w:t>
                  </w:r>
                </w:p>
                <w:p w14:paraId="1FA71D7D">
                  <w:pPr>
                    <w:pStyle w:val="4"/>
                  </w:pPr>
                  <w:r>
                    <w:rPr>
                      <w:rFonts w:ascii="仿宋_GB2312" w:hAnsi="仿宋_GB2312" w:eastAsia="仿宋_GB2312" w:cs="仿宋_GB2312"/>
                      <w:sz w:val="19"/>
                    </w:rPr>
                    <w:t>14.历史文件格式兼容：实现文件格式包括且不限于doc、docx、wps、wpt、xls、xlsx、et、ett、ppt、dps、dpt、Office模板文件（dot、xlt和pot文件），PDF文件的兼容。</w:t>
                  </w:r>
                </w:p>
                <w:p w14:paraId="30DC0F1C">
                  <w:pPr>
                    <w:pStyle w:val="4"/>
                  </w:pPr>
                  <w:r>
                    <w:rPr>
                      <w:rFonts w:ascii="仿宋_GB2312" w:hAnsi="仿宋_GB2312" w:eastAsia="仿宋_GB2312" w:cs="仿宋_GB2312"/>
                      <w:sz w:val="19"/>
                    </w:rPr>
                    <w:t>提供与OA系统，与SAP等业务系统的二次开发接口，全面支持B/S、C/S应用。</w:t>
                  </w:r>
                </w:p>
                <w:p w14:paraId="0273414E">
                  <w:pPr>
                    <w:pStyle w:val="4"/>
                  </w:pPr>
                  <w:r>
                    <w:rPr>
                      <w:rFonts w:ascii="仿宋_GB2312" w:hAnsi="仿宋_GB2312" w:eastAsia="仿宋_GB2312" w:cs="仿宋_GB2312"/>
                      <w:sz w:val="19"/>
                    </w:rPr>
                    <w:t>（二）、云服务需求：</w:t>
                  </w:r>
                </w:p>
                <w:p w14:paraId="0ECEF666">
                  <w:pPr>
                    <w:pStyle w:val="4"/>
                  </w:pPr>
                  <w:r>
                    <w:rPr>
                      <w:rFonts w:ascii="仿宋_GB2312" w:hAnsi="仿宋_GB2312" w:eastAsia="仿宋_GB2312" w:cs="仿宋_GB2312"/>
                      <w:sz w:val="19"/>
                    </w:rPr>
                    <w:t>1.延续学校现有的云服务账号体系。提供不少于2700个（全校教职工）教育应用版云服务成员账号用户订阅许可。每用户不少于100G云存储空间，企业空间总空间100G*用户数，支持企业空间自定义分配。</w:t>
                  </w:r>
                </w:p>
                <w:p w14:paraId="7CBFD6D7">
                  <w:pPr>
                    <w:pStyle w:val="4"/>
                  </w:pPr>
                  <w:r>
                    <w:rPr>
                      <w:rFonts w:ascii="仿宋_GB2312" w:hAnsi="仿宋_GB2312" w:eastAsia="仿宋_GB2312" w:cs="仿宋_GB2312"/>
                      <w:sz w:val="19"/>
                    </w:rPr>
                    <w:t>2.支持PDF版式文件格式互转功能，可与Word、Excel、PPT格式文档相互转换。（需提供有效证明文件或者截图进行证明）</w:t>
                  </w:r>
                </w:p>
                <w:p w14:paraId="558F41A8">
                  <w:pPr>
                    <w:pStyle w:val="4"/>
                  </w:pPr>
                  <w:r>
                    <w:rPr>
                      <w:rFonts w:ascii="仿宋_GB2312" w:hAnsi="仿宋_GB2312" w:eastAsia="仿宋_GB2312" w:cs="仿宋_GB2312"/>
                      <w:sz w:val="19"/>
                    </w:rPr>
                    <w:t>3.支持PDF编辑、压缩、拆分、合并、水印的能力。</w:t>
                  </w:r>
                </w:p>
                <w:p w14:paraId="5B9DF479">
                  <w:pPr>
                    <w:pStyle w:val="4"/>
                  </w:pPr>
                  <w:r>
                    <w:rPr>
                      <w:rFonts w:ascii="仿宋_GB2312" w:hAnsi="仿宋_GB2312" w:eastAsia="仿宋_GB2312" w:cs="仿宋_GB2312"/>
                      <w:sz w:val="19"/>
                    </w:rPr>
                    <w:t>4.支持表格的智能排版、高级筛选、数据对比的能力。</w:t>
                  </w:r>
                </w:p>
                <w:p w14:paraId="3E6D1F65">
                  <w:pPr>
                    <w:pStyle w:val="4"/>
                  </w:pPr>
                  <w:r>
                    <w:rPr>
                      <w:rFonts w:ascii="仿宋_GB2312" w:hAnsi="仿宋_GB2312" w:eastAsia="仿宋_GB2312" w:cs="仿宋_GB2312"/>
                      <w:sz w:val="19"/>
                    </w:rPr>
                    <w:t>5.支持图片转txt、图片转表格、图片转文字的能力。</w:t>
                  </w:r>
                </w:p>
                <w:p w14:paraId="3EE37AF1">
                  <w:pPr>
                    <w:pStyle w:val="4"/>
                  </w:pPr>
                  <w:r>
                    <w:rPr>
                      <w:rFonts w:ascii="仿宋_GB2312" w:hAnsi="仿宋_GB2312" w:eastAsia="仿宋_GB2312" w:cs="仿宋_GB2312"/>
                      <w:sz w:val="19"/>
                    </w:rPr>
                    <w:t>6.支持实时通讯能力，支持一对一单聊会话和创建群聊会话；会话支持设置消息免打扰、聊天列表置顶等功能。（需提供有效证明文件或者截图进行证明）</w:t>
                  </w:r>
                </w:p>
                <w:p w14:paraId="58CED15C">
                  <w:pPr>
                    <w:pStyle w:val="4"/>
                  </w:pPr>
                  <w:r>
                    <w:rPr>
                      <w:rFonts w:ascii="仿宋_GB2312" w:hAnsi="仿宋_GB2312" w:eastAsia="仿宋_GB2312" w:cs="仿宋_GB2312"/>
                      <w:sz w:val="19"/>
                    </w:rPr>
                    <w:t>7.提供可以共享协作的日历服务，可以将日历分享给其他人，其他人可以根据分享者配置的编辑、查看、仅查看忙闲权限，对于分享者的日历进行管理和查看。日程可以分享到聊天，选择参与人。</w:t>
                  </w:r>
                </w:p>
                <w:p w14:paraId="5DA8B6C0">
                  <w:pPr>
                    <w:pStyle w:val="4"/>
                  </w:pPr>
                  <w:r>
                    <w:rPr>
                      <w:rFonts w:ascii="仿宋_GB2312" w:hAnsi="仿宋_GB2312" w:eastAsia="仿宋_GB2312" w:cs="仿宋_GB2312"/>
                      <w:sz w:val="19"/>
                    </w:rPr>
                    <w:t>8.支持会议功能，可基于文档发起会议功能，并邀请其他成员参与；支持单独创建会议，通过会议ID或者链接可进行在线会议，可提供云文档共享、屏幕共享多种内容共享方式。（需提供有效证明文件或者截图进行证明）</w:t>
                  </w:r>
                </w:p>
                <w:p w14:paraId="63C67756">
                  <w:pPr>
                    <w:pStyle w:val="4"/>
                  </w:pPr>
                  <w:r>
                    <w:rPr>
                      <w:rFonts w:ascii="仿宋_GB2312" w:hAnsi="仿宋_GB2312" w:eastAsia="仿宋_GB2312" w:cs="仿宋_GB2312"/>
                      <w:sz w:val="19"/>
                    </w:rPr>
                    <w:t>9.支持表单功能，可创建基础表单、考试、打卡、接龙等多种常用信息采集表，提供多种常用模板，并且支持链接、二维码、海报、微信、QQ等方式进行邀请填写，后台自动生成Excel表格和填报情况汇总。（需提供有效证明文件或者截图进行证明）</w:t>
                  </w:r>
                </w:p>
                <w:p w14:paraId="2600A549">
                  <w:pPr>
                    <w:pStyle w:val="4"/>
                  </w:pPr>
                  <w:r>
                    <w:rPr>
                      <w:rFonts w:ascii="仿宋_GB2312" w:hAnsi="仿宋_GB2312" w:eastAsia="仿宋_GB2312" w:cs="仿宋_GB2312"/>
                      <w:sz w:val="19"/>
                    </w:rPr>
                    <w:t>10.支持在线文字、演示、表格、思维导图、流程图编辑。</w:t>
                  </w:r>
                </w:p>
                <w:p w14:paraId="1D7EA7B7">
                  <w:pPr>
                    <w:pStyle w:val="4"/>
                  </w:pPr>
                  <w:r>
                    <w:rPr>
                      <w:rFonts w:ascii="仿宋_GB2312" w:hAnsi="仿宋_GB2312" w:eastAsia="仿宋_GB2312" w:cs="仿宋_GB2312"/>
                      <w:sz w:val="19"/>
                    </w:rPr>
                    <w:t>11.后台管理提供文档安全管控能力，支持团队文档水印、团队文档分享范围管控、文档流转安全管控（禁止分享到学校/团队外）的能力；</w:t>
                  </w:r>
                </w:p>
                <w:p w14:paraId="2E646E8B">
                  <w:pPr>
                    <w:pStyle w:val="4"/>
                  </w:pPr>
                  <w:r>
                    <w:rPr>
                      <w:rFonts w:ascii="仿宋_GB2312" w:hAnsi="仿宋_GB2312" w:eastAsia="仿宋_GB2312" w:cs="仿宋_GB2312"/>
                      <w:sz w:val="19"/>
                    </w:rPr>
                    <w:t>12.后台角色管理：根据不同的管理能力，创建不同角色，如日志管理员、组织架构管理员等情况，完成分权管理。（需提供有效证明文件或者截图进行证明）</w:t>
                  </w:r>
                </w:p>
                <w:p w14:paraId="140A0B3F">
                  <w:pPr>
                    <w:pStyle w:val="4"/>
                  </w:pPr>
                  <w:r>
                    <w:rPr>
                      <w:rFonts w:ascii="仿宋_GB2312" w:hAnsi="仿宋_GB2312" w:eastAsia="仿宋_GB2312" w:cs="仿宋_GB2312"/>
                      <w:sz w:val="19"/>
                    </w:rPr>
                    <w:t>13.日志管理：支持对文档操作、团队操作、后台操作和登录操作进行日志记录，并支持日志导出。（需提供有效证明文件或者截图进行证明）</w:t>
                  </w:r>
                </w:p>
                <w:p w14:paraId="2896DEEB">
                  <w:pPr>
                    <w:pStyle w:val="4"/>
                  </w:pPr>
                  <w:r>
                    <w:rPr>
                      <w:rFonts w:ascii="仿宋_GB2312" w:hAnsi="仿宋_GB2312" w:eastAsia="仿宋_GB2312" w:cs="仿宋_GB2312"/>
                      <w:sz w:val="19"/>
                    </w:rPr>
                    <w:t>14.后台管理支持通讯录可见性自定义设置，有效保障组织架构信息不被任意查看。</w:t>
                  </w:r>
                </w:p>
                <w:p w14:paraId="2BE086B4">
                  <w:pPr>
                    <w:pStyle w:val="4"/>
                  </w:pPr>
                  <w:r>
                    <w:rPr>
                      <w:rFonts w:ascii="仿宋_GB2312" w:hAnsi="仿宋_GB2312" w:eastAsia="仿宋_GB2312" w:cs="仿宋_GB2312"/>
                      <w:sz w:val="19"/>
                    </w:rPr>
                    <w:t>15.支持IP访问限制，可实现内网禁止个人账号登录，外网访问企业文档受权限限制，形成数据安全屏障。</w:t>
                  </w:r>
                </w:p>
                <w:p w14:paraId="097ED09D">
                  <w:pPr>
                    <w:pStyle w:val="4"/>
                  </w:pPr>
                  <w:r>
                    <w:rPr>
                      <w:rFonts w:ascii="仿宋_GB2312" w:hAnsi="仿宋_GB2312" w:eastAsia="仿宋_GB2312" w:cs="仿宋_GB2312"/>
                      <w:sz w:val="19"/>
                    </w:rPr>
                    <w:t>16.额外提供初始1000个教育基础版账号（账号数量上限为在校学生数量），实现支持在线文字、演示、表格、思维导图、流程图编辑。</w:t>
                  </w:r>
                </w:p>
                <w:p w14:paraId="7CD6F759">
                  <w:pPr>
                    <w:pStyle w:val="4"/>
                  </w:pPr>
                  <w:r>
                    <w:rPr>
                      <w:rFonts w:ascii="仿宋_GB2312" w:hAnsi="仿宋_GB2312" w:eastAsia="仿宋_GB2312" w:cs="仿宋_GB2312"/>
                      <w:sz w:val="19"/>
                    </w:rPr>
                    <w:t>二、MATLAB科学计算软件软件授权</w:t>
                  </w:r>
                </w:p>
                <w:p w14:paraId="52135312">
                  <w:pPr>
                    <w:pStyle w:val="4"/>
                  </w:pPr>
                  <w:r>
                    <w:rPr>
                      <w:rFonts w:ascii="仿宋_GB2312" w:hAnsi="仿宋_GB2312" w:eastAsia="仿宋_GB2312" w:cs="仿宋_GB2312"/>
                      <w:sz w:val="19"/>
                    </w:rPr>
                    <w:t>（一）、详细技术参数</w:t>
                  </w:r>
                </w:p>
                <w:p w14:paraId="4A509834">
                  <w:pPr>
                    <w:pStyle w:val="4"/>
                  </w:pPr>
                  <w:r>
                    <w:rPr>
                      <w:rFonts w:ascii="仿宋_GB2312" w:hAnsi="仿宋_GB2312" w:eastAsia="仿宋_GB2312" w:cs="仿宋_GB2312"/>
                      <w:sz w:val="19"/>
                    </w:rPr>
                    <w:t>1.★提供最新版本MATLAB软件全校授权完整功能版，满足授权我校全体教师及全体学生安装激活使用及享受技术支持服务，不限制我校师生安装激活总用户数量。</w:t>
                  </w:r>
                </w:p>
                <w:p w14:paraId="003A9B92">
                  <w:pPr>
                    <w:pStyle w:val="4"/>
                  </w:pPr>
                  <w:r>
                    <w:rPr>
                      <w:rFonts w:ascii="仿宋_GB2312" w:hAnsi="仿宋_GB2312" w:eastAsia="仿宋_GB2312" w:cs="仿宋_GB2312"/>
                      <w:sz w:val="19"/>
                    </w:rPr>
                    <w:t>2.提供个人电脑授权方式：师生用户凭借学校@nwu.edu.cn邮箱自助从MATLAB制造商官网获取软件授权并激活。采取该种方式授权后，师生电脑可离网启动MATLAB软件，个人电脑直接启动无需服务器响应。该种方式对离网用户仍提供授权。</w:t>
                  </w:r>
                </w:p>
                <w:p w14:paraId="2C2B1826">
                  <w:pPr>
                    <w:pStyle w:val="4"/>
                  </w:pPr>
                  <w:r>
                    <w:rPr>
                      <w:rFonts w:ascii="仿宋_GB2312" w:hAnsi="仿宋_GB2312" w:eastAsia="仿宋_GB2312" w:cs="仿宋_GB2312"/>
                      <w:sz w:val="19"/>
                    </w:rPr>
                    <w:t>3.该软件的部署实施，无需依赖其他第三方授权管理平台，对于学校已有的软件资源下载中心，可将安装镜像文件布置在校内正版软件服务平台方便师生快速本地下载。</w:t>
                  </w:r>
                </w:p>
                <w:p w14:paraId="72B45C37">
                  <w:pPr>
                    <w:pStyle w:val="4"/>
                  </w:pPr>
                  <w:r>
                    <w:rPr>
                      <w:rFonts w:ascii="仿宋_GB2312" w:hAnsi="仿宋_GB2312" w:eastAsia="仿宋_GB2312" w:cs="仿宋_GB2312"/>
                      <w:sz w:val="19"/>
                    </w:rPr>
                    <w:t>4.MATLAB原厂官方网站mathworks.com提供可激活管理员账号，该账号以域名为@nwu.edu.cn的用户指定电子邮箱注册，该账号拥有安装激活MATLAB全校授权完整版的全部权限。</w:t>
                  </w:r>
                </w:p>
                <w:p w14:paraId="148188BC">
                  <w:pPr>
                    <w:pStyle w:val="4"/>
                  </w:pPr>
                  <w:r>
                    <w:rPr>
                      <w:rFonts w:ascii="仿宋_GB2312" w:hAnsi="仿宋_GB2312" w:eastAsia="仿宋_GB2312" w:cs="仿宋_GB2312"/>
                      <w:sz w:val="19"/>
                    </w:rPr>
                    <w:t>5.提供MATLAB基础在线培训课程，供师生不限次数访问学习。</w:t>
                  </w:r>
                </w:p>
                <w:p w14:paraId="426D2A01">
                  <w:pPr>
                    <w:pStyle w:val="4"/>
                  </w:pPr>
                  <w:r>
                    <w:rPr>
                      <w:rFonts w:ascii="仿宋_GB2312" w:hAnsi="仿宋_GB2312" w:eastAsia="仿宋_GB2312" w:cs="仿宋_GB2312"/>
                      <w:sz w:val="19"/>
                    </w:rPr>
                    <w:t>6.要求支持的操作系统为Windows、Linux及MacOS三种操作系统同时支持安装。</w:t>
                  </w:r>
                </w:p>
                <w:p w14:paraId="3C38E6BF">
                  <w:pPr>
                    <w:pStyle w:val="4"/>
                  </w:pPr>
                  <w:r>
                    <w:rPr>
                      <w:rFonts w:ascii="仿宋_GB2312" w:hAnsi="仿宋_GB2312" w:eastAsia="仿宋_GB2312" w:cs="仿宋_GB2312"/>
                      <w:sz w:val="19"/>
                    </w:rPr>
                    <w:t>7.授权有效期内，提供软件制造商原厂技术支持、及软件维护服务。软件制造商原厂始终通过电话服务、远程服务等方式提供快速、高效的维护服务。</w:t>
                  </w:r>
                </w:p>
                <w:p w14:paraId="2C5662F9">
                  <w:pPr>
                    <w:pStyle w:val="4"/>
                  </w:pPr>
                  <w:r>
                    <w:rPr>
                      <w:rFonts w:ascii="仿宋_GB2312" w:hAnsi="仿宋_GB2312" w:eastAsia="仿宋_GB2312" w:cs="仿宋_GB2312"/>
                      <w:sz w:val="19"/>
                    </w:rPr>
                    <w:t>8.授权有效期内，提供软件版本更新。</w:t>
                  </w:r>
                </w:p>
                <w:p w14:paraId="12AD6783">
                  <w:pPr>
                    <w:pStyle w:val="4"/>
                  </w:pPr>
                  <w:r>
                    <w:rPr>
                      <w:rFonts w:ascii="仿宋_GB2312" w:hAnsi="仿宋_GB2312" w:eastAsia="仿宋_GB2312" w:cs="仿宋_GB2312"/>
                      <w:sz w:val="19"/>
                    </w:rPr>
                    <w:t>9.该软件每年更新，每年引入最新的工具箱及功能模组，每年自动包含当年MATLAB新增的全部功能。</w:t>
                  </w:r>
                </w:p>
                <w:p w14:paraId="3F9B361C">
                  <w:pPr>
                    <w:pStyle w:val="4"/>
                  </w:pPr>
                  <w:r>
                    <w:rPr>
                      <w:rFonts w:ascii="仿宋_GB2312" w:hAnsi="仿宋_GB2312" w:eastAsia="仿宋_GB2312" w:cs="仿宋_GB2312"/>
                      <w:sz w:val="19"/>
                    </w:rPr>
                    <w:t>（二）、提供的文档资料</w:t>
                  </w:r>
                </w:p>
                <w:p w14:paraId="3D7DA379">
                  <w:pPr>
                    <w:pStyle w:val="4"/>
                  </w:pPr>
                  <w:r>
                    <w:rPr>
                      <w:rFonts w:ascii="仿宋_GB2312" w:hAnsi="仿宋_GB2312" w:eastAsia="仿宋_GB2312" w:cs="仿宋_GB2312"/>
                      <w:sz w:val="19"/>
                    </w:rPr>
                    <w:t>1.MATLAB 最新版本软件安装介质优盘一套，包含Windows / Linux / MacOS三种系统安装文件。</w:t>
                  </w:r>
                </w:p>
                <w:p w14:paraId="165FA298">
                  <w:pPr>
                    <w:pStyle w:val="4"/>
                  </w:pPr>
                  <w:r>
                    <w:rPr>
                      <w:rFonts w:ascii="仿宋_GB2312" w:hAnsi="仿宋_GB2312" w:eastAsia="仿宋_GB2312" w:cs="仿宋_GB2312"/>
                      <w:sz w:val="19"/>
                    </w:rPr>
                    <w:t>2.MATLAB全校授权完整版包含MATLAB当年全部工具箱，提供工具箱列表附件一份。</w:t>
                  </w:r>
                </w:p>
                <w:p w14:paraId="10EFBFBE">
                  <w:pPr>
                    <w:pStyle w:val="4"/>
                  </w:pPr>
                  <w:r>
                    <w:rPr>
                      <w:rFonts w:ascii="仿宋_GB2312" w:hAnsi="仿宋_GB2312" w:eastAsia="仿宋_GB2312" w:cs="仿宋_GB2312"/>
                      <w:sz w:val="19"/>
                    </w:rPr>
                    <w:t>3.MATLAB全校授权安装指南手册电子版一份。</w:t>
                  </w:r>
                </w:p>
                <w:p w14:paraId="12CE61FD">
                  <w:pPr>
                    <w:pStyle w:val="4"/>
                  </w:pPr>
                  <w:r>
                    <w:rPr>
                      <w:rFonts w:ascii="仿宋_GB2312" w:hAnsi="仿宋_GB2312" w:eastAsia="仿宋_GB2312" w:cs="仿宋_GB2312"/>
                      <w:sz w:val="19"/>
                    </w:rPr>
                    <w:t>4.MATLAB软件各功能中文介绍手册电子版一份。</w:t>
                  </w:r>
                </w:p>
                <w:p w14:paraId="43547AC7">
                  <w:pPr>
                    <w:pStyle w:val="4"/>
                  </w:pPr>
                  <w:r>
                    <w:rPr>
                      <w:rFonts w:ascii="仿宋_GB2312" w:hAnsi="仿宋_GB2312" w:eastAsia="仿宋_GB2312" w:cs="仿宋_GB2312"/>
                      <w:sz w:val="19"/>
                    </w:rPr>
                    <w:t>（三）、各组件详细列表与功能指标</w:t>
                  </w:r>
                </w:p>
                <w:p w14:paraId="0280FAA6">
                  <w:pPr>
                    <w:pStyle w:val="4"/>
                  </w:pPr>
                  <w:r>
                    <w:rPr>
                      <w:rFonts w:ascii="仿宋_GB2312" w:hAnsi="仿宋_GB2312" w:eastAsia="仿宋_GB2312" w:cs="仿宋_GB2312"/>
                      <w:sz w:val="19"/>
                    </w:rPr>
                    <w:t>1.MATLAB产品系列</w:t>
                  </w:r>
                </w:p>
                <w:p w14:paraId="420746ED">
                  <w:pPr>
                    <w:pStyle w:val="4"/>
                  </w:pPr>
                  <w:r>
                    <w:rPr>
                      <w:rFonts w:ascii="仿宋_GB2312" w:hAnsi="仿宋_GB2312" w:eastAsia="仿宋_GB2312" w:cs="仿宋_GB2312"/>
                      <w:sz w:val="19"/>
                    </w:rPr>
                    <w:t>（1）数学，统计和优化功能组</w:t>
                  </w:r>
                </w:p>
                <w:p w14:paraId="0D616B2D">
                  <w:pPr>
                    <w:pStyle w:val="4"/>
                  </w:pPr>
                  <w:r>
                    <w:rPr>
                      <w:rFonts w:ascii="仿宋_GB2312" w:hAnsi="仿宋_GB2312" w:eastAsia="仿宋_GB2312" w:cs="仿宋_GB2312"/>
                      <w:sz w:val="19"/>
                    </w:rPr>
                    <w:t>（2）并行计算功能组</w:t>
                  </w:r>
                </w:p>
                <w:p w14:paraId="7A235879">
                  <w:pPr>
                    <w:pStyle w:val="4"/>
                  </w:pPr>
                  <w:r>
                    <w:rPr>
                      <w:rFonts w:ascii="仿宋_GB2312" w:hAnsi="仿宋_GB2312" w:eastAsia="仿宋_GB2312" w:cs="仿宋_GB2312"/>
                      <w:sz w:val="19"/>
                    </w:rPr>
                    <w:t>（3）控制系统功能组</w:t>
                  </w:r>
                </w:p>
                <w:p w14:paraId="546C42C4">
                  <w:pPr>
                    <w:pStyle w:val="4"/>
                  </w:pPr>
                  <w:r>
                    <w:rPr>
                      <w:rFonts w:ascii="仿宋_GB2312" w:hAnsi="仿宋_GB2312" w:eastAsia="仿宋_GB2312" w:cs="仿宋_GB2312"/>
                      <w:sz w:val="19"/>
                    </w:rPr>
                    <w:t>（4）信号处理 和 无线通信功能组</w:t>
                  </w:r>
                </w:p>
                <w:p w14:paraId="2F82F91B">
                  <w:pPr>
                    <w:pStyle w:val="4"/>
                  </w:pPr>
                  <w:r>
                    <w:rPr>
                      <w:rFonts w:ascii="仿宋_GB2312" w:hAnsi="仿宋_GB2312" w:eastAsia="仿宋_GB2312" w:cs="仿宋_GB2312"/>
                      <w:sz w:val="19"/>
                    </w:rPr>
                    <w:t>（5）图像处理与计算机视觉功能组</w:t>
                  </w:r>
                </w:p>
                <w:p w14:paraId="3A221DA7">
                  <w:pPr>
                    <w:pStyle w:val="4"/>
                  </w:pPr>
                  <w:r>
                    <w:rPr>
                      <w:rFonts w:ascii="仿宋_GB2312" w:hAnsi="仿宋_GB2312" w:eastAsia="仿宋_GB2312" w:cs="仿宋_GB2312"/>
                      <w:sz w:val="19"/>
                    </w:rPr>
                    <w:t>（6）测试和测量功能组</w:t>
                  </w:r>
                </w:p>
                <w:p w14:paraId="175CF109">
                  <w:pPr>
                    <w:pStyle w:val="4"/>
                  </w:pPr>
                  <w:r>
                    <w:rPr>
                      <w:rFonts w:ascii="仿宋_GB2312" w:hAnsi="仿宋_GB2312" w:eastAsia="仿宋_GB2312" w:cs="仿宋_GB2312"/>
                      <w:sz w:val="19"/>
                    </w:rPr>
                    <w:t>（7）计算金融学功能组</w:t>
                  </w:r>
                </w:p>
                <w:p w14:paraId="189FCA85">
                  <w:pPr>
                    <w:pStyle w:val="4"/>
                  </w:pPr>
                  <w:r>
                    <w:rPr>
                      <w:rFonts w:ascii="仿宋_GB2312" w:hAnsi="仿宋_GB2312" w:eastAsia="仿宋_GB2312" w:cs="仿宋_GB2312"/>
                      <w:sz w:val="19"/>
                    </w:rPr>
                    <w:t>（8）计算生物学功能组</w:t>
                  </w:r>
                </w:p>
                <w:p w14:paraId="35AE7FEF">
                  <w:pPr>
                    <w:pStyle w:val="4"/>
                  </w:pPr>
                  <w:r>
                    <w:rPr>
                      <w:rFonts w:ascii="仿宋_GB2312" w:hAnsi="仿宋_GB2312" w:eastAsia="仿宋_GB2312" w:cs="仿宋_GB2312"/>
                      <w:sz w:val="19"/>
                    </w:rPr>
                    <w:t>（9）代码生成功能组</w:t>
                  </w:r>
                </w:p>
                <w:p w14:paraId="00452EBD">
                  <w:pPr>
                    <w:pStyle w:val="4"/>
                  </w:pPr>
                  <w:r>
                    <w:rPr>
                      <w:rFonts w:ascii="仿宋_GB2312" w:hAnsi="仿宋_GB2312" w:eastAsia="仿宋_GB2312" w:cs="仿宋_GB2312"/>
                      <w:sz w:val="19"/>
                    </w:rPr>
                    <w:t>（10）应用程序发布功能组</w:t>
                  </w:r>
                </w:p>
                <w:p w14:paraId="14247F4B">
                  <w:pPr>
                    <w:pStyle w:val="4"/>
                  </w:pPr>
                  <w:r>
                    <w:rPr>
                      <w:rFonts w:ascii="仿宋_GB2312" w:hAnsi="仿宋_GB2312" w:eastAsia="仿宋_GB2312" w:cs="仿宋_GB2312"/>
                      <w:sz w:val="19"/>
                    </w:rPr>
                    <w:t>（11）数据库访问与报告功能组</w:t>
                  </w:r>
                </w:p>
                <w:p w14:paraId="7BA5E556">
                  <w:pPr>
                    <w:pStyle w:val="4"/>
                  </w:pPr>
                  <w:r>
                    <w:rPr>
                      <w:rFonts w:ascii="仿宋_GB2312" w:hAnsi="仿宋_GB2312" w:eastAsia="仿宋_GB2312" w:cs="仿宋_GB2312"/>
                      <w:sz w:val="19"/>
                    </w:rPr>
                    <w:t>2.Simulink产品系列</w:t>
                  </w:r>
                </w:p>
                <w:p w14:paraId="0D60E6D6">
                  <w:pPr>
                    <w:pStyle w:val="4"/>
                  </w:pPr>
                  <w:r>
                    <w:rPr>
                      <w:rFonts w:ascii="仿宋_GB2312" w:hAnsi="仿宋_GB2312" w:eastAsia="仿宋_GB2312" w:cs="仿宋_GB2312"/>
                      <w:sz w:val="19"/>
                    </w:rPr>
                    <w:t>（1）基于事件建模功能组</w:t>
                  </w:r>
                </w:p>
                <w:p w14:paraId="1AF3454A">
                  <w:pPr>
                    <w:pStyle w:val="4"/>
                  </w:pPr>
                  <w:r>
                    <w:rPr>
                      <w:rFonts w:ascii="仿宋_GB2312" w:hAnsi="仿宋_GB2312" w:eastAsia="仿宋_GB2312" w:cs="仿宋_GB2312"/>
                      <w:sz w:val="19"/>
                    </w:rPr>
                    <w:t>（2）物理建模功能组</w:t>
                  </w:r>
                </w:p>
                <w:p w14:paraId="28EC6E6F">
                  <w:pPr>
                    <w:pStyle w:val="4"/>
                  </w:pPr>
                  <w:r>
                    <w:rPr>
                      <w:rFonts w:ascii="仿宋_GB2312" w:hAnsi="仿宋_GB2312" w:eastAsia="仿宋_GB2312" w:cs="仿宋_GB2312"/>
                      <w:sz w:val="19"/>
                    </w:rPr>
                    <w:t>（3）控制系统Simulink功能组</w:t>
                  </w:r>
                </w:p>
                <w:p w14:paraId="3E8C73F8">
                  <w:pPr>
                    <w:pStyle w:val="4"/>
                  </w:pPr>
                  <w:r>
                    <w:rPr>
                      <w:rFonts w:ascii="仿宋_GB2312" w:hAnsi="仿宋_GB2312" w:eastAsia="仿宋_GB2312" w:cs="仿宋_GB2312"/>
                      <w:sz w:val="19"/>
                    </w:rPr>
                    <w:t>（4）信号处理 和 无线通信Simulink功能组</w:t>
                  </w:r>
                </w:p>
                <w:p w14:paraId="220AFA50">
                  <w:pPr>
                    <w:pStyle w:val="4"/>
                  </w:pPr>
                  <w:r>
                    <w:rPr>
                      <w:rFonts w:ascii="仿宋_GB2312" w:hAnsi="仿宋_GB2312" w:eastAsia="仿宋_GB2312" w:cs="仿宋_GB2312"/>
                      <w:sz w:val="19"/>
                    </w:rPr>
                    <w:t>（5）代码生成Simulink功能组</w:t>
                  </w:r>
                </w:p>
                <w:p w14:paraId="4A08639D">
                  <w:pPr>
                    <w:pStyle w:val="4"/>
                  </w:pPr>
                  <w:r>
                    <w:rPr>
                      <w:rFonts w:ascii="仿宋_GB2312" w:hAnsi="仿宋_GB2312" w:eastAsia="仿宋_GB2312" w:cs="仿宋_GB2312"/>
                      <w:sz w:val="19"/>
                    </w:rPr>
                    <w:t>（6）实时仿真和测试功能组</w:t>
                  </w:r>
                </w:p>
                <w:p w14:paraId="161B6766">
                  <w:pPr>
                    <w:pStyle w:val="4"/>
                  </w:pPr>
                  <w:r>
                    <w:rPr>
                      <w:rFonts w:ascii="仿宋_GB2312" w:hAnsi="仿宋_GB2312" w:eastAsia="仿宋_GB2312" w:cs="仿宋_GB2312"/>
                      <w:sz w:val="19"/>
                    </w:rPr>
                    <w:t>（7）确认、验证和测试功能组</w:t>
                  </w:r>
                </w:p>
                <w:p w14:paraId="361AB4DD">
                  <w:pPr>
                    <w:pStyle w:val="4"/>
                  </w:pPr>
                  <w:r>
                    <w:rPr>
                      <w:rFonts w:ascii="仿宋_GB2312" w:hAnsi="仿宋_GB2312" w:eastAsia="仿宋_GB2312" w:cs="仿宋_GB2312"/>
                      <w:sz w:val="19"/>
                    </w:rPr>
                    <w:t>（8）仿真图形与报告功能组</w:t>
                  </w:r>
                </w:p>
                <w:p w14:paraId="10BA9359">
                  <w:pPr>
                    <w:pStyle w:val="4"/>
                  </w:pPr>
                  <w:r>
                    <w:rPr>
                      <w:rFonts w:ascii="仿宋_GB2312" w:hAnsi="仿宋_GB2312" w:eastAsia="仿宋_GB2312" w:cs="仿宋_GB2312"/>
                      <w:sz w:val="19"/>
                    </w:rPr>
                    <w:t>3.Polyspace产品系列</w:t>
                  </w:r>
                </w:p>
                <w:p w14:paraId="2B0EB56C">
                  <w:pPr>
                    <w:pStyle w:val="4"/>
                  </w:pPr>
                  <w:r>
                    <w:rPr>
                      <w:rFonts w:ascii="仿宋_GB2312" w:hAnsi="仿宋_GB2312" w:eastAsia="仿宋_GB2312" w:cs="仿宋_GB2312"/>
                      <w:sz w:val="19"/>
                    </w:rPr>
                    <w:t>（1）Polyspace错误代码检查器</w:t>
                  </w:r>
                </w:p>
                <w:p w14:paraId="5A5118A7">
                  <w:pPr>
                    <w:pStyle w:val="4"/>
                  </w:pPr>
                  <w:r>
                    <w:rPr>
                      <w:rFonts w:ascii="仿宋_GB2312" w:hAnsi="仿宋_GB2312" w:eastAsia="仿宋_GB2312" w:cs="仿宋_GB2312"/>
                      <w:sz w:val="19"/>
                    </w:rPr>
                    <w:t>（2）Polyspace代码验证器</w:t>
                  </w:r>
                </w:p>
                <w:p w14:paraId="67B37A02">
                  <w:pPr>
                    <w:pStyle w:val="4"/>
                  </w:pPr>
                  <w:r>
                    <w:rPr>
                      <w:rFonts w:ascii="仿宋_GB2312" w:hAnsi="仿宋_GB2312" w:eastAsia="仿宋_GB2312" w:cs="仿宋_GB2312"/>
                      <w:sz w:val="19"/>
                    </w:rPr>
                    <w:t>三、软件资源管理平台服务</w:t>
                  </w:r>
                </w:p>
                <w:p w14:paraId="59A2CD56">
                  <w:pPr>
                    <w:pStyle w:val="4"/>
                  </w:pPr>
                  <w:r>
                    <w:rPr>
                      <w:rFonts w:ascii="仿宋_GB2312" w:hAnsi="仿宋_GB2312" w:eastAsia="仿宋_GB2312" w:cs="仿宋_GB2312"/>
                      <w:sz w:val="19"/>
                    </w:rPr>
                    <w:t>（一）、技术参数</w:t>
                  </w:r>
                </w:p>
                <w:p w14:paraId="6D7F0D1B">
                  <w:pPr>
                    <w:pStyle w:val="4"/>
                  </w:pPr>
                  <w:r>
                    <w:rPr>
                      <w:rFonts w:ascii="仿宋_GB2312" w:hAnsi="仿宋_GB2312" w:eastAsia="仿宋_GB2312" w:cs="仿宋_GB2312"/>
                      <w:sz w:val="19"/>
                    </w:rPr>
                    <w:t>1.★提供一套软件资源管理平台，实现对微软、金山、MATLAB等软件下载、批量分发、激活软件管理、补丁管理、使用帮助、数量统计等全面管理。平台与西北大学统一身份系统对接，对接方式包括（但不限于）单点登录，具备师生身份分类、部门划分能力，实现统一的用户身份登陆验证和权限管理，简化授权激活验证。软件管理平台部署在学校指定服务器，并采用私有云平台架构部署。平台必须同时支持IPV4和IPV6。</w:t>
                  </w:r>
                </w:p>
                <w:p w14:paraId="345E7945">
                  <w:pPr>
                    <w:pStyle w:val="4"/>
                  </w:pPr>
                  <w:r>
                    <w:rPr>
                      <w:rFonts w:ascii="仿宋_GB2312" w:hAnsi="仿宋_GB2312" w:eastAsia="仿宋_GB2312" w:cs="仿宋_GB2312"/>
                      <w:sz w:val="19"/>
                    </w:rPr>
                    <w:t>2.知识产权要求：软件管理平台服务提供商，保证其提供的服务不得侵犯任何第三方的合法知识产权以及其他权益。必须引导学校用户合规的使用第三方公司的软件商品，如果是由于知识产权以及第三方公司的软件合规问题导致的第三方追责，学校概不负责，一切责任由软件管理平台服务提供商负责。</w:t>
                  </w:r>
                </w:p>
                <w:p w14:paraId="66D4E15D">
                  <w:pPr>
                    <w:pStyle w:val="4"/>
                  </w:pPr>
                  <w:r>
                    <w:rPr>
                      <w:rFonts w:ascii="仿宋_GB2312" w:hAnsi="仿宋_GB2312" w:eastAsia="仿宋_GB2312" w:cs="仿宋_GB2312"/>
                      <w:sz w:val="19"/>
                    </w:rPr>
                    <w:t>3.软件资源管理平台系统具有对软件的下载激活管理、知识库管理、数据统计分析管理、智能化运维服务管理等功能，满足对现有软件以及新增软件的扩展能力。</w:t>
                  </w:r>
                </w:p>
                <w:p w14:paraId="399B9C8C">
                  <w:pPr>
                    <w:pStyle w:val="4"/>
                  </w:pPr>
                  <w:r>
                    <w:rPr>
                      <w:rFonts w:ascii="仿宋_GB2312" w:hAnsi="仿宋_GB2312" w:eastAsia="仿宋_GB2312" w:cs="仿宋_GB2312"/>
                      <w:sz w:val="19"/>
                    </w:rPr>
                    <w:t>4.提供用户自助下载功能，在管理平台中用户可根据自身需要下载软件安装文件，同时提供该软件的安装与激活教程。每套正版软件可以独立设置权限，对没有分配到使用权限的用户不显示该软件。</w:t>
                  </w:r>
                </w:p>
                <w:p w14:paraId="45A468A3">
                  <w:pPr>
                    <w:pStyle w:val="4"/>
                  </w:pPr>
                  <w:r>
                    <w:rPr>
                      <w:rFonts w:ascii="仿宋_GB2312" w:hAnsi="仿宋_GB2312" w:eastAsia="仿宋_GB2312" w:cs="仿宋_GB2312"/>
                      <w:sz w:val="19"/>
                    </w:rPr>
                    <w:t>5.需提供自定义页面功能，根据我校需要进行自主编辑，自由分配和展示软件位置。</w:t>
                  </w:r>
                </w:p>
                <w:p w14:paraId="4606A52A">
                  <w:pPr>
                    <w:pStyle w:val="4"/>
                  </w:pPr>
                  <w:r>
                    <w:rPr>
                      <w:rFonts w:ascii="仿宋_GB2312" w:hAnsi="仿宋_GB2312" w:eastAsia="仿宋_GB2312" w:cs="仿宋_GB2312"/>
                      <w:sz w:val="19"/>
                    </w:rPr>
                    <w:t>6.提供知识库功能，管理平台中提供的软件经常遇到的问题及解决方案、软件使用技巧等，以图文并茂方式提供的用户学习和解决问题使用。</w:t>
                  </w:r>
                </w:p>
                <w:p w14:paraId="0EA962DD">
                  <w:pPr>
                    <w:pStyle w:val="4"/>
                  </w:pPr>
                  <w:r>
                    <w:rPr>
                      <w:rFonts w:ascii="仿宋_GB2312" w:hAnsi="仿宋_GB2312" w:eastAsia="仿宋_GB2312" w:cs="仿宋_GB2312"/>
                      <w:sz w:val="19"/>
                    </w:rPr>
                    <w:t>7.提供多种激活方式，具有智能化的软件授权机制，支持通过web方式激活软件，所有授权方式必须方便用户操作。支持实验室、公共机房等大批量的计算机激活，激活过程中，机房的客户机需要能在无人干预的情况下自动完成激活操作。</w:t>
                  </w:r>
                </w:p>
                <w:p w14:paraId="56384DAA">
                  <w:pPr>
                    <w:pStyle w:val="4"/>
                  </w:pPr>
                  <w:r>
                    <w:rPr>
                      <w:rFonts w:ascii="仿宋_GB2312" w:hAnsi="仿宋_GB2312" w:eastAsia="仿宋_GB2312" w:cs="仿宋_GB2312"/>
                      <w:sz w:val="19"/>
                    </w:rPr>
                    <w:t>8.软件管理平台自带独立的用户管理系统，独立设置用户在软件管理平台中的使用权限，管理员可调整用户每个软件的激活次数。</w:t>
                  </w:r>
                </w:p>
                <w:p w14:paraId="7F58B5F1">
                  <w:pPr>
                    <w:pStyle w:val="4"/>
                  </w:pPr>
                  <w:r>
                    <w:rPr>
                      <w:rFonts w:ascii="仿宋_GB2312" w:hAnsi="仿宋_GB2312" w:eastAsia="仿宋_GB2312" w:cs="仿宋_GB2312"/>
                      <w:sz w:val="19"/>
                    </w:rPr>
                    <w:t>9.软件管理平台提供多级部门管理，且每级部门可以单独设置管理员来管理本部门的下级部门、用户权限和激活次数的分配。</w:t>
                  </w:r>
                </w:p>
                <w:p w14:paraId="1FBB8EF6">
                  <w:pPr>
                    <w:pStyle w:val="4"/>
                  </w:pPr>
                  <w:r>
                    <w:rPr>
                      <w:rFonts w:ascii="仿宋_GB2312" w:hAnsi="仿宋_GB2312" w:eastAsia="仿宋_GB2312" w:cs="仿宋_GB2312"/>
                      <w:sz w:val="19"/>
                    </w:rPr>
                    <w:t>10.提供软件正版化检查功能，用户可自助检查软件是否正版以及是否符合版权局正版化检查要求。</w:t>
                  </w:r>
                </w:p>
                <w:p w14:paraId="1868EF7A">
                  <w:pPr>
                    <w:pStyle w:val="4"/>
                  </w:pPr>
                  <w:r>
                    <w:rPr>
                      <w:rFonts w:ascii="仿宋_GB2312" w:hAnsi="仿宋_GB2312" w:eastAsia="仿宋_GB2312" w:cs="仿宋_GB2312"/>
                      <w:sz w:val="19"/>
                    </w:rPr>
                    <w:t>11.提供原厂商补丁升级功能（不得采用第三方补丁软件），可管理最新的补丁信息和计算机安装补丁情况，通过管理平台查看补丁服务器和终端计算机安装补丁数据。提供操作系统和办公软件的补丁升级服务和操作系统的病毒库更新服务。</w:t>
                  </w:r>
                </w:p>
                <w:p w14:paraId="3A13527B">
                  <w:pPr>
                    <w:pStyle w:val="4"/>
                  </w:pPr>
                  <w:r>
                    <w:rPr>
                      <w:rFonts w:ascii="仿宋_GB2312" w:hAnsi="仿宋_GB2312" w:eastAsia="仿宋_GB2312" w:cs="仿宋_GB2312"/>
                      <w:sz w:val="19"/>
                    </w:rPr>
                    <w:t>12.提供智能云数据数据分析功能，分析项目运维数据，出具多维度得数据分析并定期生成数据报告。</w:t>
                  </w:r>
                </w:p>
                <w:p w14:paraId="10F34E69">
                  <w:pPr>
                    <w:pStyle w:val="4"/>
                  </w:pPr>
                  <w:r>
                    <w:rPr>
                      <w:rFonts w:ascii="仿宋_GB2312" w:hAnsi="仿宋_GB2312" w:eastAsia="仿宋_GB2312" w:cs="仿宋_GB2312"/>
                      <w:sz w:val="19"/>
                    </w:rPr>
                    <w:t>13.需提供正版化软件统计分析功能，可根据版权局正版化工作要求自动生产各类统计报表，自动生成、维护正版软件资产表，支持数据导出功能。</w:t>
                  </w:r>
                </w:p>
                <w:p w14:paraId="68C3E09B">
                  <w:pPr>
                    <w:pStyle w:val="4"/>
                  </w:pPr>
                  <w:r>
                    <w:rPr>
                      <w:rFonts w:ascii="仿宋_GB2312" w:hAnsi="仿宋_GB2312" w:eastAsia="仿宋_GB2312" w:cs="仿宋_GB2312"/>
                      <w:sz w:val="19"/>
                    </w:rPr>
                    <w:t>14.提供自动化运维能力，对整个正版化项目的运行数据、运行稳定性、异常行为、非法访问等进行预测及报警。</w:t>
                  </w:r>
                </w:p>
                <w:p w14:paraId="59D52478">
                  <w:pPr>
                    <w:pStyle w:val="4"/>
                  </w:pPr>
                  <w:r>
                    <w:rPr>
                      <w:rFonts w:ascii="仿宋_GB2312" w:hAnsi="仿宋_GB2312" w:eastAsia="仿宋_GB2312" w:cs="仿宋_GB2312"/>
                      <w:sz w:val="19"/>
                    </w:rPr>
                    <w:t>15.提供对MATLAB软件的数据可视化功能，包括但不限于对用户活跃度、功能模块、终端设备等数据的统计分析。</w:t>
                  </w:r>
                </w:p>
                <w:p w14:paraId="716ED6A3">
                  <w:pPr>
                    <w:pStyle w:val="4"/>
                  </w:pPr>
                  <w:r>
                    <w:rPr>
                      <w:rFonts w:ascii="仿宋_GB2312" w:hAnsi="仿宋_GB2312" w:eastAsia="仿宋_GB2312" w:cs="仿宋_GB2312"/>
                      <w:sz w:val="19"/>
                    </w:rPr>
                    <w:t>16.管理平台提供与国产办公软件授权的单点登录对接，使用学校统一认证账号密码即可激活国产办公软件；与管理平台实现无缝对接，可一键激活国产办公软件账号。</w:t>
                  </w:r>
                </w:p>
                <w:p w14:paraId="578C8CD5">
                  <w:pPr>
                    <w:pStyle w:val="4"/>
                  </w:pPr>
                  <w:r>
                    <w:rPr>
                      <w:rFonts w:ascii="仿宋_GB2312" w:hAnsi="仿宋_GB2312" w:eastAsia="仿宋_GB2312" w:cs="仿宋_GB2312"/>
                      <w:sz w:val="19"/>
                    </w:rPr>
                    <w:t>17.提供对WPS 365软件用户使用情况数据分析功能，了解学校各类用户的使用分布情况，具有对离职和毕业生授权进行自动回收功能。</w:t>
                  </w:r>
                </w:p>
                <w:p w14:paraId="7C134B1B">
                  <w:pPr>
                    <w:pStyle w:val="4"/>
                  </w:pPr>
                  <w:r>
                    <w:rPr>
                      <w:rFonts w:ascii="仿宋_GB2312" w:hAnsi="仿宋_GB2312" w:eastAsia="仿宋_GB2312" w:cs="仿宋_GB2312"/>
                      <w:sz w:val="19"/>
                    </w:rPr>
                    <w:t>18.具有可视化大屏功能，集中展示正版化项目所有数据，如下载量、激活量、性能指标等。</w:t>
                  </w:r>
                </w:p>
                <w:p w14:paraId="25535D01">
                  <w:pPr>
                    <w:pStyle w:val="4"/>
                  </w:pPr>
                  <w:r>
                    <w:rPr>
                      <w:rFonts w:ascii="仿宋_GB2312" w:hAnsi="仿宋_GB2312" w:eastAsia="仿宋_GB2312" w:cs="仿宋_GB2312"/>
                      <w:sz w:val="19"/>
                    </w:rPr>
                    <w:t>19.提供首页自定义功能，管理员可根据需要自定义首页模块，有权限的用户可查看，否则不显示。</w:t>
                  </w:r>
                </w:p>
                <w:p w14:paraId="0EB66057">
                  <w:pPr>
                    <w:pStyle w:val="4"/>
                  </w:pPr>
                  <w:r>
                    <w:rPr>
                      <w:rFonts w:ascii="仿宋_GB2312" w:hAnsi="仿宋_GB2312" w:eastAsia="仿宋_GB2312" w:cs="仿宋_GB2312"/>
                      <w:sz w:val="19"/>
                    </w:rPr>
                    <w:t>20.提供软件激活次数控制功能，管理员可对用户的激活次数进行调整，并支持批量调整功能。</w:t>
                  </w:r>
                </w:p>
                <w:p w14:paraId="5A892A8A">
                  <w:pPr>
                    <w:pStyle w:val="4"/>
                  </w:pPr>
                  <w:r>
                    <w:rPr>
                      <w:rFonts w:ascii="仿宋_GB2312" w:hAnsi="仿宋_GB2312" w:eastAsia="仿宋_GB2312" w:cs="仿宋_GB2312"/>
                      <w:sz w:val="19"/>
                    </w:rPr>
                    <w:t>21.保持学校原有平台中历史数据的延续性，与新建的管理平台融合使用。</w:t>
                  </w:r>
                </w:p>
                <w:p w14:paraId="4566A1B2">
                  <w:pPr>
                    <w:pStyle w:val="4"/>
                  </w:pPr>
                  <w:r>
                    <w:rPr>
                      <w:rFonts w:ascii="仿宋_GB2312" w:hAnsi="仿宋_GB2312" w:eastAsia="仿宋_GB2312" w:cs="仿宋_GB2312"/>
                      <w:sz w:val="19"/>
                    </w:rPr>
                    <w:t>（二）、演示要求</w:t>
                  </w:r>
                </w:p>
                <w:p w14:paraId="0E0BD199">
                  <w:pPr>
                    <w:pStyle w:val="4"/>
                  </w:pPr>
                  <w:r>
                    <w:rPr>
                      <w:rFonts w:ascii="仿宋_GB2312" w:hAnsi="仿宋_GB2312" w:eastAsia="仿宋_GB2312" w:cs="仿宋_GB2312"/>
                      <w:sz w:val="19"/>
                    </w:rPr>
                    <w:t>1.演示便捷的在线激活功能，通过web方式激活系统和办公软件，并验证激活结果。</w:t>
                  </w:r>
                </w:p>
                <w:p w14:paraId="787356D4">
                  <w:pPr>
                    <w:pStyle w:val="4"/>
                  </w:pPr>
                  <w:r>
                    <w:rPr>
                      <w:rFonts w:ascii="仿宋_GB2312" w:hAnsi="仿宋_GB2312" w:eastAsia="仿宋_GB2312" w:cs="仿宋_GB2312"/>
                      <w:sz w:val="19"/>
                    </w:rPr>
                    <w:t>2.演示用户通过该平台检查电脑设备是否是正版授权。</w:t>
                  </w:r>
                </w:p>
                <w:p w14:paraId="2BBBF86C">
                  <w:pPr>
                    <w:pStyle w:val="4"/>
                  </w:pPr>
                  <w:r>
                    <w:rPr>
                      <w:rFonts w:ascii="仿宋_GB2312" w:hAnsi="仿宋_GB2312" w:eastAsia="仿宋_GB2312" w:cs="仿宋_GB2312"/>
                      <w:sz w:val="19"/>
                    </w:rPr>
                    <w:t>3.演示金山WPS云账号的授权过程，使用学校统一认证的账号密码激活WPS软件。</w:t>
                  </w:r>
                </w:p>
                <w:p w14:paraId="26F46477">
                  <w:pPr>
                    <w:pStyle w:val="4"/>
                  </w:pPr>
                  <w:r>
                    <w:rPr>
                      <w:rFonts w:ascii="仿宋_GB2312" w:hAnsi="仿宋_GB2312" w:eastAsia="仿宋_GB2312" w:cs="仿宋_GB2312"/>
                      <w:sz w:val="19"/>
                    </w:rPr>
                    <w:t>4.支持接入学校现有大模型平台，提供智能客服，具有软件安装、激活、常见问题、一键开通账号等功能。</w:t>
                  </w:r>
                </w:p>
                <w:p w14:paraId="22A7B89E">
                  <w:pPr>
                    <w:pStyle w:val="4"/>
                  </w:pPr>
                  <w:r>
                    <w:rPr>
                      <w:rFonts w:ascii="仿宋_GB2312" w:hAnsi="仿宋_GB2312" w:eastAsia="仿宋_GB2312" w:cs="仿宋_GB2312"/>
                      <w:sz w:val="19"/>
                    </w:rPr>
                    <w:t>5.演示的须以真实案例环境在现场演示，供应商自行携带演示设备，演示时间不超过10分钟。</w:t>
                  </w:r>
                </w:p>
                <w:p w14:paraId="42A13E7B">
                  <w:pPr>
                    <w:pStyle w:val="4"/>
                  </w:pPr>
                  <w:r>
                    <w:rPr>
                      <w:rFonts w:ascii="仿宋_GB2312" w:hAnsi="仿宋_GB2312" w:eastAsia="仿宋_GB2312" w:cs="仿宋_GB2312"/>
                      <w:sz w:val="19"/>
                    </w:rPr>
                    <w:t>五、技术服务</w:t>
                  </w:r>
                </w:p>
                <w:p w14:paraId="40E50FB3">
                  <w:pPr>
                    <w:pStyle w:val="4"/>
                  </w:pPr>
                  <w:r>
                    <w:rPr>
                      <w:rFonts w:ascii="仿宋_GB2312" w:hAnsi="仿宋_GB2312" w:eastAsia="仿宋_GB2312" w:cs="仿宋_GB2312"/>
                      <w:sz w:val="19"/>
                    </w:rPr>
                    <w:t>1.提供WPS365（教育版）、MATLAB软件授权，期限满足一年，提供原厂服务承诺函。</w:t>
                  </w:r>
                </w:p>
                <w:p w14:paraId="59467FF9">
                  <w:pPr>
                    <w:pStyle w:val="4"/>
                  </w:pPr>
                  <w:r>
                    <w:rPr>
                      <w:rFonts w:ascii="仿宋_GB2312" w:hAnsi="仿宋_GB2312" w:eastAsia="仿宋_GB2312" w:cs="仿宋_GB2312"/>
                      <w:sz w:val="19"/>
                    </w:rPr>
                    <w:t>2.在服务期内，由软件生产商提供所有版本软件的7*24小时技术支持与服务，服务形式包括在线、电话、邮件、远程、现场等多种形式，例如安装支持、培训教程和技术支持。其中安装支持解答用户在软件系统安装激活过程中的问题；培训教程方便用户学习掌握软件使用方法；根据学校实际情况提供一套包括软件激活流程说明、激活客户端使用说明、操作系统和办公软件在使用过程中的常见问题解决方案、激活常见问题处理方案等帮助文档。技术支持服务对于师生使用中遇到的实际技术问题，提供解答，帮助师生熟悉使用软件的各项功能。</w:t>
                  </w:r>
                </w:p>
                <w:p w14:paraId="33947C38">
                  <w:pPr>
                    <w:pStyle w:val="4"/>
                  </w:pPr>
                  <w:r>
                    <w:rPr>
                      <w:rFonts w:ascii="仿宋_GB2312" w:hAnsi="仿宋_GB2312" w:eastAsia="仿宋_GB2312" w:cs="仿宋_GB2312"/>
                      <w:sz w:val="19"/>
                    </w:rPr>
                    <w:t>3.供应商是软件正版化服务的提供方与技术支持方，应主动为采购人做好项目咨询服务，在项目实施期间供应商至少指定一名项目负责人与采购人定向沟通联系，沟通事项包括但不限于在项目前期与采购人充分沟通并记录采购人对项目的具体需求、认真核查采购人反馈的信息，并形成服务实施方案。</w:t>
                  </w:r>
                </w:p>
                <w:p w14:paraId="11FBFB55">
                  <w:pPr>
                    <w:pStyle w:val="4"/>
                  </w:pPr>
                  <w:r>
                    <w:rPr>
                      <w:rFonts w:ascii="仿宋_GB2312" w:hAnsi="仿宋_GB2312" w:eastAsia="仿宋_GB2312" w:cs="仿宋_GB2312"/>
                      <w:sz w:val="19"/>
                    </w:rPr>
                    <w:t>4.根据实际使用情况，提供为期60天驻场服务，保证师生的使用及其他问题得到及时解决。</w:t>
                  </w:r>
                </w:p>
                <w:p w14:paraId="45758C96">
                  <w:pPr>
                    <w:pStyle w:val="4"/>
                  </w:pPr>
                  <w:r>
                    <w:rPr>
                      <w:rFonts w:ascii="仿宋_GB2312" w:hAnsi="仿宋_GB2312" w:eastAsia="仿宋_GB2312" w:cs="仿宋_GB2312"/>
                      <w:sz w:val="19"/>
                    </w:rPr>
                    <w:t>5.服务期内由软件生产商提供最新版的软件版本更新。</w:t>
                  </w:r>
                </w:p>
                <w:p w14:paraId="4EFE8A1D">
                  <w:pPr>
                    <w:pStyle w:val="4"/>
                  </w:pPr>
                  <w:r>
                    <w:rPr>
                      <w:rFonts w:ascii="仿宋_GB2312" w:hAnsi="仿宋_GB2312" w:eastAsia="仿宋_GB2312" w:cs="仿宋_GB2312"/>
                      <w:sz w:val="19"/>
                    </w:rPr>
                    <w:t>6.提供不少于两次的校内用户的基本使用及特色应用推广活动。</w:t>
                  </w:r>
                </w:p>
                <w:p w14:paraId="460D5687">
                  <w:pPr>
                    <w:pStyle w:val="4"/>
                  </w:pPr>
                  <w:r>
                    <w:rPr>
                      <w:rFonts w:ascii="仿宋_GB2312" w:hAnsi="仿宋_GB2312" w:eastAsia="仿宋_GB2312" w:cs="仿宋_GB2312"/>
                      <w:sz w:val="19"/>
                    </w:rPr>
                    <w:t>7.在服务期限内对于项目设计和实施过程中出现的问题，7*24小时响应，当天解决；对于重大问题，立刻安排专人一对一现场解决。</w:t>
                  </w:r>
                </w:p>
                <w:p w14:paraId="3AAF9B87">
                  <w:pPr>
                    <w:pStyle w:val="4"/>
                  </w:pPr>
                  <w:r>
                    <w:rPr>
                      <w:rFonts w:ascii="仿宋_GB2312" w:hAnsi="仿宋_GB2312" w:eastAsia="仿宋_GB2312" w:cs="仿宋_GB2312"/>
                      <w:sz w:val="19"/>
                    </w:rPr>
                    <w:t>8.在服务期限内供应商安排的定点技术人员（人数不少于一名）提供技术支持，巡检软件管理平台服务器运行情况监测、KMS服务器检查、激活测试、下载测试、系统及应用服务系统的补丁更新、数据备份检查。巡检发现问题应当在24小时内完成处理。提供线上、 线下推广及培训服务，根据用户实际需求，提供软件正版化制度修订咨询、工作情况汇总、开展培训活动等服务工作。</w:t>
                  </w:r>
                </w:p>
                <w:p w14:paraId="7FD5DD93">
                  <w:pPr>
                    <w:pStyle w:val="4"/>
                  </w:pPr>
                  <w:r>
                    <w:rPr>
                      <w:rFonts w:ascii="仿宋_GB2312" w:hAnsi="仿宋_GB2312" w:eastAsia="仿宋_GB2312" w:cs="仿宋_GB2312"/>
                      <w:sz w:val="19"/>
                    </w:rPr>
                    <w:t>9.服务器系统故障或根据客户发展需要更换服务器等原因需要平台迁移或重新部署，提供平台迁移和重新部署服务。根据客户需求如有用户数量的变化，导入新用户，删除没有权限的用户等要求时，提供数据更新服务，保证登陆平台是用户最新数据。</w:t>
                  </w:r>
                </w:p>
                <w:p w14:paraId="3E2A0097">
                  <w:pPr>
                    <w:pStyle w:val="4"/>
                  </w:pPr>
                  <w:r>
                    <w:rPr>
                      <w:rFonts w:ascii="仿宋_GB2312" w:hAnsi="仿宋_GB2312" w:eastAsia="仿宋_GB2312" w:cs="仿宋_GB2312"/>
                      <w:sz w:val="19"/>
                    </w:rPr>
                    <w:t>10.软件授权有效期内，学校用户享受软件最新版本免费更新。</w:t>
                  </w:r>
                </w:p>
                <w:p w14:paraId="2CFF2B55">
                  <w:pPr>
                    <w:pStyle w:val="4"/>
                  </w:pPr>
                  <w:r>
                    <w:rPr>
                      <w:rFonts w:ascii="仿宋_GB2312" w:hAnsi="仿宋_GB2312" w:eastAsia="仿宋_GB2312" w:cs="仿宋_GB2312"/>
                      <w:sz w:val="19"/>
                    </w:rPr>
                    <w:t>11.成交供应商需在中标后5个工作日内，按文件要求在我校进行生成环境部署，并进行逐条技术验证，如有弄虚作假行为将取消中标资格，并承担虚假应标的相关法律责任。</w:t>
                  </w:r>
                </w:p>
                <w:p w14:paraId="220CAC89">
                  <w:pPr>
                    <w:pStyle w:val="4"/>
                  </w:pPr>
                  <w:r>
                    <w:rPr>
                      <w:rFonts w:ascii="仿宋_GB2312" w:hAnsi="仿宋_GB2312" w:eastAsia="仿宋_GB2312" w:cs="仿宋_GB2312"/>
                      <w:sz w:val="19"/>
                    </w:rPr>
                    <w:t>六、保密要求</w:t>
                  </w:r>
                </w:p>
                <w:p w14:paraId="4F0E469B">
                  <w:pPr>
                    <w:pStyle w:val="4"/>
                  </w:pPr>
                  <w:r>
                    <w:rPr>
                      <w:rFonts w:ascii="仿宋_GB2312" w:hAnsi="仿宋_GB2312" w:eastAsia="仿宋_GB2312" w:cs="仿宋_GB2312"/>
                      <w:sz w:val="19"/>
                    </w:rPr>
                    <w:t>1.供应商应保护在项目实施过程中采购人提供的所有信息和平台上的记录，对所有的信息数据及记录要采取保密措施，严禁泄露给除采购人以外的任何第三方。</w:t>
                  </w:r>
                </w:p>
                <w:p w14:paraId="4F3FD0E9">
                  <w:pPr>
                    <w:pStyle w:val="4"/>
                  </w:pPr>
                  <w:r>
                    <w:rPr>
                      <w:rFonts w:ascii="仿宋_GB2312" w:hAnsi="仿宋_GB2312" w:eastAsia="仿宋_GB2312" w:cs="仿宋_GB2312"/>
                      <w:sz w:val="19"/>
                    </w:rPr>
                    <w:t>2.为保护研究对象隐私权，避免违反国家和地方法律法规规定的，供应商不得向采购人提供任何有违国家及地方法律法规规定的任何信息或资料。</w:t>
                  </w:r>
                </w:p>
              </w:tc>
            </w:tr>
          </w:tbl>
          <w:p w14:paraId="157146FF"/>
        </w:tc>
      </w:tr>
    </w:tbl>
    <w:p w14:paraId="52E01A7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34EB73">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AEA5D99"/>
    <w:rsid w:val="219C666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3637</Words>
  <Characters>3935</Characters>
  <Lines>0</Lines>
  <Paragraphs>0</Paragraphs>
  <TotalTime>0</TotalTime>
  <ScaleCrop>false</ScaleCrop>
  <LinksUpToDate>false</LinksUpToDate>
  <CharactersWithSpaces>3981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2026-04-14T07:44:47Z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826CDA3C72AD43BE92E6F86AFE5947F8_12</vt:lpwstr>
  </property>
</Properties>
</file>