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A08D2">
      <w:pPr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ascii="宋体" w:hAnsi="宋体" w:cs="宋体"/>
          <w:b/>
          <w:bCs/>
          <w:sz w:val="24"/>
        </w:rPr>
        <w:t>一、项目概况</w:t>
      </w:r>
    </w:p>
    <w:p w14:paraId="7861434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2025年西安碑林博物馆北区场馆建成后，大量设备设施将逐步移交博物馆。为规范固定资产管理，精准掌握资产实存状况，夯实管理基础，防范资产流失、闲置或低效使用等问题，确保资产账实相符、账卡相符、账账相符，为后续资源配置优化、预算编制及资产处置提供准确依据，拟通过公开招标方式聘请专业机构，协助完成固定资产清查整理工作，并同步购置相关清查设备，提升后续资产管理信息化水平。</w:t>
      </w:r>
    </w:p>
    <w:p w14:paraId="465E85E2">
      <w:pPr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ascii="宋体" w:hAnsi="宋体" w:cs="宋体"/>
          <w:b/>
          <w:bCs/>
          <w:sz w:val="24"/>
        </w:rPr>
        <w:t>二、服务内容</w:t>
      </w:r>
      <w:r>
        <w:rPr>
          <w:rFonts w:hint="eastAsia" w:ascii="宋体" w:hAnsi="宋体" w:cs="宋体"/>
          <w:b/>
          <w:bCs/>
          <w:sz w:val="24"/>
        </w:rPr>
        <w:t>及检验批次</w:t>
      </w:r>
    </w:p>
    <w:p w14:paraId="33430472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1.全面资产清查</w:t>
      </w:r>
    </w:p>
    <w:p w14:paraId="2D0E5EF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对博物馆原有资产及北区新增交付资产进行全面盘点，摸清数量、权属、状态及价值情况，解决购入资产账实不符、卡片信息不全等问题。</w:t>
      </w:r>
    </w:p>
    <w:p w14:paraId="1B5EADA9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ascii="宋体" w:hAnsi="宋体" w:cs="宋体"/>
          <w:sz w:val="24"/>
        </w:rPr>
        <w:t>2.资产卡片规范管理</w:t>
      </w:r>
    </w:p>
    <w:p w14:paraId="1A38E425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规范资产卡片信息，实现实物管理与价值管理相统一，确保“一物一卡一条码”，推动条码、RFID等技术应用，提升后期资产管理效率。</w:t>
      </w:r>
    </w:p>
    <w:p w14:paraId="13951851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3.差异处理与信息修正</w:t>
      </w:r>
    </w:p>
    <w:p w14:paraId="59D289BB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形成账实核对差异清单，整理账上资产信息错误明细，核实资产累计折旧差异，查明原因并协助履行审批程序后调整资产信息。</w:t>
      </w:r>
    </w:p>
    <w:p w14:paraId="7CFAAE83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4.盘盈盘亏处理</w:t>
      </w:r>
    </w:p>
    <w:p w14:paraId="3805C0CA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精准确定资产盘盈、盘亏数量及价值，如实填写相关明细表，查找原因并收集资料，推动盘盈资产上账和盘亏资产下账工作。</w:t>
      </w:r>
    </w:p>
    <w:p w14:paraId="4FC1E01F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5.闲置与报废资产处置</w:t>
      </w:r>
    </w:p>
    <w:p w14:paraId="5BBFDDD3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对清查出的低效、闲置或待报废资产，制定分类处置方案，协助通过内部调拨、公开拍卖等方式提升资源利用效率，完成资产下账与台账更新。</w:t>
      </w:r>
      <w:r>
        <w:rPr>
          <w:rFonts w:hint="eastAsia" w:ascii="宋体" w:hAnsi="宋体" w:cs="宋体"/>
          <w:color w:val="auto"/>
          <w:sz w:val="24"/>
        </w:rPr>
        <w:t>解决一批固定资产因登记年代久远（90年代录入数据）无法查明、等存在多项盘亏资产问题。</w:t>
      </w:r>
    </w:p>
    <w:p w14:paraId="6AADDC50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6.房屋产权梳理</w:t>
      </w:r>
    </w:p>
    <w:p w14:paraId="201A5D4E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梳理并核实博物馆房屋产权情况，</w:t>
      </w:r>
      <w:r>
        <w:rPr>
          <w:rFonts w:hint="eastAsia" w:ascii="宋体" w:hAnsi="宋体" w:cs="宋体"/>
          <w:color w:val="auto"/>
          <w:sz w:val="24"/>
        </w:rPr>
        <w:t>解决改扩建工程实施过程再，我馆拆除原办公大楼空调锅炉用房、原拓片室、前院厕所、柏树林街48号宿舍楼、东院库房、原办公大楼、老控制室、原公安科平房及消防水泵房等9处房屋。但尚未办理账务核销手续，处于盘亏状态的问题，</w:t>
      </w:r>
    </w:p>
    <w:p w14:paraId="045F89AF">
      <w:pPr>
        <w:spacing w:line="360" w:lineRule="auto"/>
        <w:ind w:left="48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部分房屋因历史遗留问题长期未得到妥善解决，具体表现为：缺乏产权证书、虽有产权证书但未在现有账面核算、房屋已出售给个人但未办理下账处置手续。</w:t>
      </w:r>
    </w:p>
    <w:p w14:paraId="6D6445AB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解决房屋账面问题，</w:t>
      </w:r>
    </w:p>
    <w:p w14:paraId="2AE9E226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预算系统与财务系统无形资产价值存在差异</w:t>
      </w:r>
      <w:r>
        <w:rPr>
          <w:rFonts w:ascii="宋体" w:hAnsi="宋体" w:cs="宋体"/>
          <w:color w:val="auto"/>
          <w:sz w:val="24"/>
        </w:rPr>
        <w:t>明确使用状态。</w:t>
      </w:r>
    </w:p>
    <w:p w14:paraId="699593A9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7.管理制度优化</w:t>
      </w:r>
    </w:p>
    <w:p w14:paraId="2A4E9BA7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梳理现有固定资产管理制度，建立“日常监管、动态更新、定期盘点、规范处置”的长效机制，明确“谁使用谁负责”的责任体系，推动资产管理规范化、科学化。</w:t>
      </w:r>
    </w:p>
    <w:p w14:paraId="24B626AB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8.培训与技术支持</w:t>
      </w:r>
    </w:p>
    <w:p w14:paraId="0D69C0E5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定期开展固定资产管理实务培训，协助资产管理部门学习使用手持终端、电子标签读写器等设备，提升内部管理能力。</w:t>
      </w:r>
    </w:p>
    <w:p w14:paraId="517C04D8">
      <w:pPr>
        <w:spacing w:line="360" w:lineRule="auto"/>
        <w:rPr>
          <w:rFonts w:hint="eastAsia" w:ascii="宋体" w:hAnsi="宋体" w:cs="宋体"/>
          <w:b/>
          <w:bCs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三</w:t>
      </w:r>
      <w:r>
        <w:rPr>
          <w:rFonts w:ascii="宋体" w:hAnsi="宋体" w:cs="宋体"/>
          <w:b/>
          <w:bCs/>
          <w:color w:val="auto"/>
          <w:sz w:val="24"/>
        </w:rPr>
        <w:t>、设备购置要求</w:t>
      </w:r>
    </w:p>
    <w:p w14:paraId="1DD2C14A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为保障资产清查工作顺利开展并提升后续常态化管理能力，中标机构需根据项目实际需求，配备并提供以下设备（费用纳入项目总预算）：</w:t>
      </w:r>
    </w:p>
    <w:p w14:paraId="394E0029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1.标签打印机：用于现场打印固定资产条码标签，支持一物一码管理；</w:t>
      </w:r>
    </w:p>
    <w:p w14:paraId="0068FB4B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color w:val="auto"/>
          <w:sz w:val="24"/>
        </w:rPr>
        <w:t>2.手持终端标签扫码枪：支持条码及RFID电子标签读取，便于现场快速</w:t>
      </w:r>
      <w:r>
        <w:rPr>
          <w:rFonts w:ascii="宋体" w:hAnsi="宋体" w:cs="宋体"/>
          <w:sz w:val="24"/>
        </w:rPr>
        <w:t>盘点；</w:t>
      </w:r>
    </w:p>
    <w:p w14:paraId="567D09EB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3.拍照设备：用于留存资产实物影像资料，形成资产影像档案；</w:t>
      </w:r>
    </w:p>
    <w:p w14:paraId="15F2538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4.RFID电子标签及读写器：推动全生命周期数字化管理升级，实现动态监管。</w:t>
      </w:r>
    </w:p>
    <w:p w14:paraId="0C7ABA5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上述设备在项目结束后归西安碑林博物馆所有，用于后续固定资产日常管理与定期盘点工作。</w:t>
      </w:r>
    </w:p>
    <w:p w14:paraId="5B4B1E60">
      <w:pPr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</w:t>
      </w:r>
      <w:r>
        <w:rPr>
          <w:rFonts w:ascii="宋体" w:hAnsi="宋体" w:cs="宋体"/>
          <w:b/>
          <w:bCs/>
          <w:sz w:val="24"/>
        </w:rPr>
        <w:t>、服务期限</w:t>
      </w:r>
    </w:p>
    <w:p w14:paraId="6BD93E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现场资产清查工作时间为55个工作日，培训、制度梳理及资产处置等相关工作根据项目进展配合完成。</w:t>
      </w:r>
    </w:p>
    <w:p w14:paraId="1808F1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459DE"/>
    <w:rsid w:val="1CC4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2026-04-20T08:07:00Z</dcterms:created>
  <dc:creator>默.</dc:creator>
  <cp:lastModifiedBy>默.</cp:lastModifiedBy>
  <dcterms:modified xsi:type="dcterms:W3CDTF">2026-04-20T08:07:37Z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E04284215AF24E7880E7E6FA933D6CA4_11</vt:lpwstr>
  </property>
  <property fmtid="{D5CDD505-2E9C-101B-9397-08002B2CF9AE}" pid="4" name="KSOTemplateDocerSaveRecord">
    <vt:lpwstr>eyJoZGlkIjoiMDFhNGRjM2IyY2I1ZTdjZDQ1YjM3MWYxMGIwMWY2NjIiLCJ1c2VySWQiOiI0MjU4NjcyNzgifQ==</vt:lpwstr>
  </property>
</Properties>
</file>