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328FB">
      <w:pPr>
        <w:rPr>
          <w:rFonts w:ascii="宋体" w:hAnsi="宋体" w:cs="宋体"/>
          <w:color w:val="auto"/>
          <w:sz w:val="24"/>
          <w:szCs w:val="24"/>
          <w:highlight w:val="none"/>
        </w:rPr>
      </w:pPr>
    </w:p>
    <w:p w14:paraId="79462BF1">
      <w:pPr>
        <w:rPr>
          <w:rFonts w:ascii="宋体" w:hAnsi="宋体" w:cs="宋体"/>
          <w:color w:val="auto"/>
          <w:sz w:val="32"/>
          <w:szCs w:val="32"/>
          <w:highlight w:val="none"/>
        </w:rPr>
      </w:pPr>
    </w:p>
    <w:p w14:paraId="0F722552">
      <w:pPr>
        <w:spacing w:line="700" w:lineRule="exact"/>
        <w:jc w:val="center"/>
        <w:rPr>
          <w:rFonts w:hint="eastAsia" w:asciiTheme="minorEastAsia" w:hAnsiTheme="minorEastAsia" w:eastAsiaTheme="minorEastAsia" w:cstheme="minorEastAsia"/>
          <w:b/>
          <w:bCs/>
          <w:color w:val="auto"/>
          <w:sz w:val="48"/>
          <w:szCs w:val="56"/>
          <w:highlight w:val="none"/>
        </w:rPr>
      </w:pPr>
      <w:r>
        <w:rPr>
          <w:rFonts w:hint="eastAsia" w:asciiTheme="minorEastAsia" w:hAnsiTheme="minorEastAsia" w:eastAsiaTheme="minorEastAsia" w:cstheme="minorEastAsia"/>
          <w:b/>
          <w:bCs/>
          <w:color w:val="auto"/>
          <w:sz w:val="48"/>
          <w:szCs w:val="56"/>
          <w:highlight w:val="none"/>
        </w:rPr>
        <w:t>陕西省马栏监狱</w:t>
      </w:r>
    </w:p>
    <w:p w14:paraId="3AC03218">
      <w:pPr>
        <w:spacing w:line="700" w:lineRule="exact"/>
        <w:jc w:val="center"/>
        <w:rPr>
          <w:rFonts w:ascii="宋体" w:hAnsi="宋体" w:cs="宋体"/>
          <w:b w:val="0"/>
          <w:bCs w:val="0"/>
          <w:color w:val="auto"/>
          <w:szCs w:val="21"/>
          <w:highlight w:val="none"/>
        </w:rPr>
      </w:pPr>
      <w:r>
        <w:rPr>
          <w:rFonts w:hint="eastAsia" w:asciiTheme="minorEastAsia" w:hAnsiTheme="minorEastAsia" w:eastAsiaTheme="minorEastAsia" w:cstheme="minorEastAsia"/>
          <w:b/>
          <w:bCs/>
          <w:color w:val="auto"/>
          <w:sz w:val="48"/>
          <w:szCs w:val="56"/>
          <w:highlight w:val="none"/>
        </w:rPr>
        <w:t>罪犯伙房屋面防水维修工程</w:t>
      </w:r>
    </w:p>
    <w:p w14:paraId="459028CB">
      <w:pPr>
        <w:spacing w:line="360" w:lineRule="auto"/>
        <w:rPr>
          <w:rFonts w:ascii="宋体" w:hAnsi="宋体" w:cs="宋体"/>
          <w:color w:val="auto"/>
          <w:highlight w:val="none"/>
        </w:rPr>
      </w:pPr>
    </w:p>
    <w:p w14:paraId="660C2A82">
      <w:pPr>
        <w:rPr>
          <w:rFonts w:ascii="宋体" w:hAnsi="宋体" w:cs="宋体"/>
          <w:color w:val="auto"/>
          <w:highlight w:val="none"/>
        </w:rPr>
      </w:pPr>
    </w:p>
    <w:p w14:paraId="4DC71F92">
      <w:pPr>
        <w:rPr>
          <w:rFonts w:ascii="宋体" w:hAnsi="宋体" w:cs="宋体"/>
          <w:color w:val="auto"/>
          <w:highlight w:val="none"/>
        </w:rPr>
      </w:pPr>
    </w:p>
    <w:p w14:paraId="79C10F0A">
      <w:pPr>
        <w:rPr>
          <w:rFonts w:ascii="宋体" w:hAnsi="宋体" w:cs="宋体"/>
          <w:color w:val="auto"/>
          <w:highlight w:val="none"/>
        </w:rPr>
      </w:pPr>
    </w:p>
    <w:p w14:paraId="063CAF16">
      <w:pPr>
        <w:rPr>
          <w:rFonts w:ascii="宋体" w:hAnsi="宋体" w:cs="宋体"/>
          <w:color w:val="auto"/>
          <w:highlight w:val="none"/>
        </w:rPr>
      </w:pPr>
    </w:p>
    <w:p w14:paraId="0136C154">
      <w:pPr>
        <w:rPr>
          <w:rFonts w:ascii="宋体" w:hAnsi="宋体" w:cs="宋体"/>
          <w:color w:val="auto"/>
          <w:highlight w:val="none"/>
        </w:rPr>
      </w:pPr>
    </w:p>
    <w:p w14:paraId="7CB3160C">
      <w:pPr>
        <w:rPr>
          <w:rFonts w:ascii="宋体" w:hAnsi="宋体" w:cs="宋体"/>
          <w:color w:val="auto"/>
          <w:highlight w:val="none"/>
        </w:rPr>
      </w:pPr>
    </w:p>
    <w:p w14:paraId="79F2FE7C">
      <w:pPr>
        <w:rPr>
          <w:rFonts w:ascii="宋体" w:hAnsi="宋体" w:cs="宋体"/>
          <w:color w:val="auto"/>
          <w:highlight w:val="none"/>
        </w:rPr>
      </w:pPr>
    </w:p>
    <w:p w14:paraId="62E6F1EF">
      <w:pPr>
        <w:rPr>
          <w:rFonts w:ascii="宋体" w:hAnsi="宋体" w:cs="宋体"/>
          <w:color w:val="auto"/>
          <w:highlight w:val="none"/>
        </w:rPr>
      </w:pPr>
    </w:p>
    <w:p w14:paraId="62FD5AF5">
      <w:pPr>
        <w:rPr>
          <w:rFonts w:ascii="宋体" w:hAnsi="宋体" w:cs="宋体"/>
          <w:color w:val="auto"/>
          <w:highlight w:val="none"/>
        </w:rPr>
      </w:pPr>
    </w:p>
    <w:p w14:paraId="42CC42E1">
      <w:pPr>
        <w:spacing w:line="720" w:lineRule="auto"/>
        <w:jc w:val="center"/>
        <w:rPr>
          <w:rFonts w:ascii="宋体" w:hAnsi="宋体" w:cs="宋体"/>
          <w:b/>
          <w:bCs/>
          <w:color w:val="auto"/>
          <w:sz w:val="100"/>
          <w:szCs w:val="100"/>
          <w:highlight w:val="none"/>
        </w:rPr>
      </w:pPr>
      <w:r>
        <w:rPr>
          <w:rFonts w:hint="eastAsia" w:ascii="宋体" w:hAnsi="宋体" w:cs="宋体"/>
          <w:b/>
          <w:bCs/>
          <w:color w:val="auto"/>
          <w:sz w:val="80"/>
          <w:szCs w:val="80"/>
          <w:highlight w:val="none"/>
        </w:rPr>
        <w:t>竞争性磋商文件</w:t>
      </w:r>
    </w:p>
    <w:p w14:paraId="4547A3D3">
      <w:pPr>
        <w:spacing w:line="600" w:lineRule="auto"/>
        <w:jc w:val="center"/>
        <w:rPr>
          <w:rFonts w:hint="default" w:ascii="宋体" w:hAnsi="宋体" w:eastAsia="宋体" w:cs="宋体"/>
          <w:b/>
          <w:bCs/>
          <w:color w:val="auto"/>
          <w:sz w:val="44"/>
          <w:szCs w:val="44"/>
          <w:highlight w:val="none"/>
          <w:lang w:val="en-US" w:eastAsia="zh-CN"/>
        </w:rPr>
      </w:pPr>
      <w:r>
        <w:rPr>
          <w:rFonts w:hint="eastAsia" w:ascii="宋体" w:hAnsi="宋体" w:cs="宋体"/>
          <w:b/>
          <w:bCs/>
          <w:color w:val="auto"/>
          <w:sz w:val="36"/>
          <w:szCs w:val="36"/>
          <w:highlight w:val="none"/>
        </w:rPr>
        <w:t>项目编号：</w:t>
      </w:r>
      <w:r>
        <w:rPr>
          <w:rFonts w:hint="eastAsia" w:ascii="宋体" w:hAnsi="宋体" w:cs="宋体"/>
          <w:b/>
          <w:bCs/>
          <w:color w:val="auto"/>
          <w:sz w:val="36"/>
          <w:szCs w:val="36"/>
          <w:highlight w:val="none"/>
          <w:lang w:val="en-US" w:eastAsia="zh-CN"/>
        </w:rPr>
        <w:t>HRY-CGGC20260401</w:t>
      </w:r>
    </w:p>
    <w:p w14:paraId="4D48339C">
      <w:pPr>
        <w:rPr>
          <w:color w:val="auto"/>
          <w:highlight w:val="none"/>
        </w:rPr>
      </w:pPr>
    </w:p>
    <w:p w14:paraId="36DBF793">
      <w:pPr>
        <w:rPr>
          <w:color w:val="auto"/>
          <w:highlight w:val="none"/>
        </w:rPr>
      </w:pPr>
    </w:p>
    <w:p w14:paraId="49836986">
      <w:pPr>
        <w:rPr>
          <w:color w:val="auto"/>
          <w:highlight w:val="none"/>
        </w:rPr>
      </w:pPr>
    </w:p>
    <w:p w14:paraId="5D35AB37">
      <w:pPr>
        <w:rPr>
          <w:color w:val="auto"/>
          <w:highlight w:val="none"/>
        </w:rPr>
      </w:pPr>
    </w:p>
    <w:p w14:paraId="1E364F77">
      <w:pPr>
        <w:rPr>
          <w:color w:val="auto"/>
          <w:highlight w:val="none"/>
        </w:rPr>
      </w:pPr>
    </w:p>
    <w:p w14:paraId="793E7232">
      <w:pPr>
        <w:rPr>
          <w:color w:val="auto"/>
          <w:highlight w:val="none"/>
        </w:rPr>
      </w:pPr>
    </w:p>
    <w:p w14:paraId="5940CD95">
      <w:pPr>
        <w:rPr>
          <w:color w:val="auto"/>
          <w:highlight w:val="none"/>
        </w:rPr>
      </w:pPr>
    </w:p>
    <w:p w14:paraId="1AAD3AB5">
      <w:pPr>
        <w:rPr>
          <w:color w:val="auto"/>
          <w:highlight w:val="none"/>
        </w:rPr>
      </w:pPr>
    </w:p>
    <w:p w14:paraId="58762B6B">
      <w:pPr>
        <w:rPr>
          <w:color w:val="auto"/>
          <w:highlight w:val="none"/>
        </w:rPr>
      </w:pPr>
    </w:p>
    <w:p w14:paraId="4634793B">
      <w:pPr>
        <w:rPr>
          <w:color w:val="auto"/>
          <w:highlight w:val="none"/>
        </w:rPr>
      </w:pPr>
    </w:p>
    <w:p w14:paraId="788E3DD6">
      <w:pPr>
        <w:spacing w:line="552" w:lineRule="auto"/>
        <w:jc w:val="center"/>
        <w:rPr>
          <w:rFonts w:hint="eastAsia" w:ascii="宋体" w:hAnsi="宋体" w:eastAsia="宋体" w:cs="宋体"/>
          <w:b/>
          <w:bCs/>
          <w:color w:val="auto"/>
          <w:sz w:val="32"/>
          <w:szCs w:val="40"/>
          <w:highlight w:val="none"/>
          <w:lang w:eastAsia="zh-CN"/>
        </w:rPr>
      </w:pPr>
      <w:r>
        <w:rPr>
          <w:rFonts w:hint="eastAsia" w:ascii="宋体" w:hAnsi="宋体" w:cs="宋体"/>
          <w:b/>
          <w:bCs/>
          <w:color w:val="auto"/>
          <w:sz w:val="32"/>
          <w:szCs w:val="40"/>
          <w:highlight w:val="none"/>
        </w:rPr>
        <w:t>采购人：</w:t>
      </w:r>
      <w:r>
        <w:rPr>
          <w:rFonts w:hint="eastAsia" w:ascii="宋体" w:hAnsi="宋体" w:cs="宋体"/>
          <w:b/>
          <w:bCs/>
          <w:color w:val="auto"/>
          <w:sz w:val="32"/>
          <w:highlight w:val="none"/>
          <w:lang w:eastAsia="zh-CN"/>
        </w:rPr>
        <w:t>陕西省马栏监狱</w:t>
      </w:r>
    </w:p>
    <w:p w14:paraId="60E72EE5">
      <w:pPr>
        <w:spacing w:line="552" w:lineRule="auto"/>
        <w:jc w:val="center"/>
        <w:rPr>
          <w:rFonts w:hint="eastAsia" w:ascii="宋体" w:hAnsi="宋体" w:eastAsia="宋体" w:cs="宋体"/>
          <w:b/>
          <w:bCs/>
          <w:color w:val="auto"/>
          <w:sz w:val="32"/>
          <w:szCs w:val="40"/>
          <w:highlight w:val="none"/>
          <w:lang w:eastAsia="zh-CN"/>
        </w:rPr>
      </w:pPr>
      <w:r>
        <w:rPr>
          <w:rFonts w:hint="eastAsia" w:ascii="宋体" w:hAnsi="宋体" w:cs="宋体"/>
          <w:b/>
          <w:bCs/>
          <w:color w:val="auto"/>
          <w:sz w:val="32"/>
          <w:szCs w:val="40"/>
          <w:highlight w:val="none"/>
        </w:rPr>
        <w:t>代理机构：</w:t>
      </w:r>
      <w:r>
        <w:rPr>
          <w:rFonts w:hint="eastAsia" w:ascii="宋体" w:hAnsi="宋体" w:cs="宋体"/>
          <w:b/>
          <w:bCs/>
          <w:color w:val="auto"/>
          <w:sz w:val="32"/>
          <w:szCs w:val="40"/>
          <w:highlight w:val="none"/>
          <w:lang w:eastAsia="zh-CN"/>
        </w:rPr>
        <w:t>陕西恒睿源项目管理有限公司</w:t>
      </w:r>
    </w:p>
    <w:p w14:paraId="188B1F7F">
      <w:pPr>
        <w:spacing w:line="552" w:lineRule="auto"/>
        <w:jc w:val="center"/>
        <w:rPr>
          <w:rFonts w:ascii="宋体" w:hAnsi="宋体" w:cs="宋体"/>
          <w:b/>
          <w:bCs/>
          <w:color w:val="auto"/>
          <w:sz w:val="32"/>
          <w:szCs w:val="40"/>
          <w:highlight w:val="none"/>
        </w:rPr>
      </w:pPr>
      <w:r>
        <w:rPr>
          <w:rFonts w:hint="eastAsia" w:ascii="宋体" w:hAnsi="宋体" w:cs="宋体"/>
          <w:b/>
          <w:bCs/>
          <w:color w:val="auto"/>
          <w:sz w:val="32"/>
          <w:szCs w:val="40"/>
          <w:highlight w:val="none"/>
        </w:rPr>
        <w:t>2026年0</w:t>
      </w:r>
      <w:r>
        <w:rPr>
          <w:rFonts w:hint="eastAsia" w:ascii="宋体" w:hAnsi="宋体" w:cs="宋体"/>
          <w:b/>
          <w:bCs/>
          <w:color w:val="auto"/>
          <w:sz w:val="32"/>
          <w:szCs w:val="40"/>
          <w:highlight w:val="none"/>
          <w:lang w:val="en-US" w:eastAsia="zh-CN"/>
        </w:rPr>
        <w:t>4</w:t>
      </w:r>
      <w:r>
        <w:rPr>
          <w:rFonts w:hint="eastAsia" w:ascii="宋体" w:hAnsi="宋体" w:cs="宋体"/>
          <w:b/>
          <w:bCs/>
          <w:color w:val="auto"/>
          <w:sz w:val="32"/>
          <w:szCs w:val="40"/>
          <w:highlight w:val="none"/>
        </w:rPr>
        <w:t>月</w:t>
      </w:r>
    </w:p>
    <w:p w14:paraId="6657D4C8">
      <w:pPr>
        <w:spacing w:line="600" w:lineRule="exact"/>
        <w:jc w:val="center"/>
        <w:rPr>
          <w:rFonts w:ascii="宋体" w:hAnsi="宋体" w:cs="宋体"/>
          <w:color w:val="auto"/>
          <w:spacing w:val="26"/>
          <w:sz w:val="28"/>
          <w:szCs w:val="28"/>
          <w:highlight w:val="none"/>
        </w:rPr>
        <w:sectPr>
          <w:headerReference r:id="rId4" w:type="first"/>
          <w:headerReference r:id="rId3" w:type="default"/>
          <w:footerReference r:id="rId5" w:type="default"/>
          <w:pgSz w:w="11907" w:h="16840"/>
          <w:pgMar w:top="1440" w:right="1800" w:bottom="1440" w:left="1800" w:header="851" w:footer="992" w:gutter="0"/>
          <w:pgNumType w:fmt="numberInDash" w:start="1"/>
          <w:cols w:space="720" w:num="1"/>
          <w:docGrid w:type="linesAndChars" w:linePitch="312" w:charSpace="0"/>
        </w:sectPr>
      </w:pPr>
    </w:p>
    <w:p w14:paraId="02070EC0">
      <w:pPr>
        <w:spacing w:line="720" w:lineRule="auto"/>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重要提示</w:t>
      </w:r>
    </w:p>
    <w:p w14:paraId="70B839FD">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为了打造市场化法治化国际化营商环境，加快现代化产业体系建设，推动经济社会高质量发展，促进政府采购工作的公正公平开展，根据国务院办公厅印发的《政府采购领域“整顿市场秩序、建设法规体系、促进产业发展”三年行动方案（2024—2026年）》的精神，参与本项目的供应商应严格遵守《中华人民共和国政府采购法》、《中华人民共和国政府采购法实施条例》及《政府采购货物及服务招投标管理办法》等相关法律法规，坚持诚实守信、公平竞争的原则。</w:t>
      </w:r>
    </w:p>
    <w:p w14:paraId="1BC51034">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在投标过程中存在下列情形之一的，视为供应商串通投标，其投标无效：</w:t>
      </w:r>
    </w:p>
    <w:p w14:paraId="619BE318">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(一)不同供应商的投标文件由同一单位或者个人编制；</w:t>
      </w:r>
    </w:p>
    <w:p w14:paraId="283A6C9F">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(二)不同供应商委托同一单位或者个人办理投标事宜；</w:t>
      </w:r>
    </w:p>
    <w:p w14:paraId="1B9B3A37">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(三)不同供应商的投标文件载明的项目管理成员或者联系人员为同一人；</w:t>
      </w:r>
    </w:p>
    <w:p w14:paraId="4752400F">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(四)不同供应商的投标文件异常一致或者投标报价呈规律性差异；</w:t>
      </w:r>
    </w:p>
    <w:p w14:paraId="7221A1FB">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(五)不同供应商的投标文件相互混装；</w:t>
      </w:r>
    </w:p>
    <w:p w14:paraId="23E1F00F">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(六)不同供应商的投标保证金从同一单位或者个人的账户转出。</w:t>
      </w:r>
    </w:p>
    <w:p w14:paraId="435F13C8">
      <w:pPr>
        <w:adjustRightInd w:val="0"/>
        <w:snapToGrid w:val="0"/>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如在投标环节及后续审查、审计中发现存在围标串标等问题的，我公司及采</w:t>
      </w:r>
    </w:p>
    <w:p w14:paraId="6C38E998">
      <w:pPr>
        <w:adjustRightInd w:val="0"/>
        <w:snapToGrid w:val="0"/>
        <w:spacing w:line="360" w:lineRule="auto"/>
        <w:rPr>
          <w:rFonts w:ascii="宋体" w:hAnsi="宋体" w:cs="宋体"/>
          <w:color w:val="auto"/>
          <w:sz w:val="44"/>
          <w:szCs w:val="44"/>
          <w:highlight w:val="none"/>
          <w:lang w:val="zh-CN"/>
        </w:rPr>
        <w:sectPr>
          <w:footerReference r:id="rId8" w:type="first"/>
          <w:headerReference r:id="rId6" w:type="default"/>
          <w:footerReference r:id="rId7" w:type="default"/>
          <w:pgSz w:w="11907" w:h="16840"/>
          <w:pgMar w:top="1440" w:right="1800" w:bottom="1440" w:left="1800" w:header="851" w:footer="992" w:gutter="0"/>
          <w:pgNumType w:fmt="numberInDash"/>
          <w:cols w:space="720" w:num="1"/>
          <w:docGrid w:type="linesAndChars" w:linePitch="312" w:charSpace="0"/>
        </w:sectPr>
      </w:pPr>
      <w:r>
        <w:rPr>
          <w:rFonts w:hint="eastAsia" w:ascii="宋体" w:hAnsi="宋体" w:cs="宋体"/>
          <w:color w:val="auto"/>
          <w:sz w:val="24"/>
          <w:szCs w:val="24"/>
          <w:highlight w:val="none"/>
        </w:rPr>
        <w:t>购人将上报上级监管部门，根据《中华人民共和国政府采购法》第七十七条的规定依法追究有关责任单位的法律责任，同时将按照《中华人民共和国民法典》第五百条的规定追究其缔约过失责任，并赔偿由此给采购人带来的相关损失。</w:t>
      </w:r>
    </w:p>
    <w:p w14:paraId="318796F0">
      <w:pPr>
        <w:adjustRightInd w:val="0"/>
        <w:snapToGrid w:val="0"/>
        <w:spacing w:line="360" w:lineRule="auto"/>
        <w:jc w:val="center"/>
        <w:rPr>
          <w:rFonts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t>目  录</w:t>
      </w:r>
    </w:p>
    <w:p w14:paraId="589EA34E">
      <w:pPr>
        <w:pStyle w:val="30"/>
        <w:keepNext w:val="0"/>
        <w:keepLines w:val="0"/>
        <w:pageBreakBefore w:val="0"/>
        <w:widowControl w:val="0"/>
        <w:tabs>
          <w:tab w:val="right" w:leader="dot" w:pos="8733"/>
        </w:tabs>
        <w:kinsoku/>
        <w:wordWrap/>
        <w:overflowPunct/>
        <w:topLinePunct w:val="0"/>
        <w:autoSpaceDE/>
        <w:autoSpaceDN/>
        <w:bidi w:val="0"/>
        <w:adjustRightInd w:val="0"/>
        <w:snapToGrid w:val="0"/>
        <w:spacing w:before="0" w:after="0" w:line="480" w:lineRule="auto"/>
        <w:textAlignment w:val="auto"/>
        <w:rPr>
          <w:rFonts w:hint="eastAsia" w:asciiTheme="minorEastAsia" w:hAnsiTheme="minorEastAsia" w:eastAsiaTheme="minorEastAsia" w:cstheme="minorEastAsia"/>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TOC \o "1-2" \h \u </w:instrText>
      </w:r>
      <w:r>
        <w:rPr>
          <w:rFonts w:hint="eastAsia" w:ascii="宋体" w:hAnsi="宋体" w:cs="宋体"/>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_Toc17644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z w:val="30"/>
          <w:szCs w:val="30"/>
          <w:highlight w:val="none"/>
        </w:rPr>
        <w:t>第一章  竞争性磋商公告</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_Toc17644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1</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14:paraId="161BAD6D">
      <w:pPr>
        <w:pStyle w:val="30"/>
        <w:keepNext w:val="0"/>
        <w:keepLines w:val="0"/>
        <w:pageBreakBefore w:val="0"/>
        <w:widowControl w:val="0"/>
        <w:tabs>
          <w:tab w:val="right" w:leader="dot" w:pos="8733"/>
        </w:tabs>
        <w:kinsoku/>
        <w:wordWrap/>
        <w:overflowPunct/>
        <w:topLinePunct w:val="0"/>
        <w:autoSpaceDE/>
        <w:autoSpaceDN/>
        <w:bidi w:val="0"/>
        <w:adjustRightInd w:val="0"/>
        <w:snapToGrid w:val="0"/>
        <w:spacing w:before="0" w:after="0" w:line="48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Cs/>
          <w:color w:val="auto"/>
          <w:sz w:val="30"/>
          <w:szCs w:val="30"/>
          <w:highlight w:val="none"/>
        </w:rPr>
        <w:fldChar w:fldCharType="begin"/>
      </w:r>
      <w:r>
        <w:rPr>
          <w:rFonts w:hint="eastAsia" w:asciiTheme="minorEastAsia" w:hAnsiTheme="minorEastAsia" w:eastAsiaTheme="minorEastAsia" w:cstheme="minorEastAsia"/>
          <w:bCs/>
          <w:color w:val="auto"/>
          <w:sz w:val="30"/>
          <w:szCs w:val="30"/>
          <w:highlight w:val="none"/>
        </w:rPr>
        <w:instrText xml:space="preserve"> HYPERLINK \l _Toc2666 </w:instrText>
      </w:r>
      <w:r>
        <w:rPr>
          <w:rFonts w:hint="eastAsia" w:asciiTheme="minorEastAsia" w:hAnsiTheme="minorEastAsia" w:eastAsiaTheme="minorEastAsia" w:cstheme="minorEastAsia"/>
          <w:bCs/>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第二章  供应商须知前附表及供应商须知</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_Toc2666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5</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bCs/>
          <w:color w:val="auto"/>
          <w:sz w:val="30"/>
          <w:szCs w:val="30"/>
          <w:highlight w:val="none"/>
        </w:rPr>
        <w:fldChar w:fldCharType="end"/>
      </w:r>
    </w:p>
    <w:p w14:paraId="0BF21195">
      <w:pPr>
        <w:pStyle w:val="30"/>
        <w:keepNext w:val="0"/>
        <w:keepLines w:val="0"/>
        <w:pageBreakBefore w:val="0"/>
        <w:widowControl w:val="0"/>
        <w:tabs>
          <w:tab w:val="right" w:leader="dot" w:pos="8733"/>
        </w:tabs>
        <w:kinsoku/>
        <w:wordWrap/>
        <w:overflowPunct/>
        <w:topLinePunct w:val="0"/>
        <w:autoSpaceDE/>
        <w:autoSpaceDN/>
        <w:bidi w:val="0"/>
        <w:adjustRightInd w:val="0"/>
        <w:snapToGrid w:val="0"/>
        <w:spacing w:before="0" w:after="0" w:line="48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Cs/>
          <w:color w:val="auto"/>
          <w:sz w:val="30"/>
          <w:szCs w:val="30"/>
          <w:highlight w:val="none"/>
        </w:rPr>
        <w:fldChar w:fldCharType="begin"/>
      </w:r>
      <w:r>
        <w:rPr>
          <w:rFonts w:hint="eastAsia" w:asciiTheme="minorEastAsia" w:hAnsiTheme="minorEastAsia" w:eastAsiaTheme="minorEastAsia" w:cstheme="minorEastAsia"/>
          <w:bCs/>
          <w:color w:val="auto"/>
          <w:sz w:val="30"/>
          <w:szCs w:val="30"/>
          <w:highlight w:val="none"/>
        </w:rPr>
        <w:instrText xml:space="preserve"> HYPERLINK \l _Toc3755 </w:instrText>
      </w:r>
      <w:r>
        <w:rPr>
          <w:rFonts w:hint="eastAsia" w:asciiTheme="minorEastAsia" w:hAnsiTheme="minorEastAsia" w:eastAsiaTheme="minorEastAsia" w:cstheme="minorEastAsia"/>
          <w:bCs/>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第三章  工程技术标准和要求</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_Toc3755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21</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bCs/>
          <w:color w:val="auto"/>
          <w:sz w:val="30"/>
          <w:szCs w:val="30"/>
          <w:highlight w:val="none"/>
        </w:rPr>
        <w:fldChar w:fldCharType="end"/>
      </w:r>
    </w:p>
    <w:p w14:paraId="6474B4B9">
      <w:pPr>
        <w:pStyle w:val="30"/>
        <w:keepNext w:val="0"/>
        <w:keepLines w:val="0"/>
        <w:pageBreakBefore w:val="0"/>
        <w:widowControl w:val="0"/>
        <w:tabs>
          <w:tab w:val="right" w:leader="dot" w:pos="8733"/>
        </w:tabs>
        <w:kinsoku/>
        <w:wordWrap/>
        <w:overflowPunct/>
        <w:topLinePunct w:val="0"/>
        <w:autoSpaceDE/>
        <w:autoSpaceDN/>
        <w:bidi w:val="0"/>
        <w:adjustRightInd w:val="0"/>
        <w:snapToGrid w:val="0"/>
        <w:spacing w:before="0" w:after="0" w:line="48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Cs/>
          <w:color w:val="auto"/>
          <w:sz w:val="30"/>
          <w:szCs w:val="30"/>
          <w:highlight w:val="none"/>
        </w:rPr>
        <w:fldChar w:fldCharType="begin"/>
      </w:r>
      <w:r>
        <w:rPr>
          <w:rFonts w:hint="eastAsia" w:asciiTheme="minorEastAsia" w:hAnsiTheme="minorEastAsia" w:eastAsiaTheme="minorEastAsia" w:cstheme="minorEastAsia"/>
          <w:bCs/>
          <w:color w:val="auto"/>
          <w:sz w:val="30"/>
          <w:szCs w:val="30"/>
          <w:highlight w:val="none"/>
        </w:rPr>
        <w:instrText xml:space="preserve"> HYPERLINK \l _Toc12972 </w:instrText>
      </w:r>
      <w:r>
        <w:rPr>
          <w:rFonts w:hint="eastAsia" w:asciiTheme="minorEastAsia" w:hAnsiTheme="minorEastAsia" w:eastAsiaTheme="minorEastAsia" w:cstheme="minorEastAsia"/>
          <w:bCs/>
          <w:color w:val="auto"/>
          <w:sz w:val="30"/>
          <w:szCs w:val="30"/>
          <w:highlight w:val="none"/>
        </w:rPr>
        <w:fldChar w:fldCharType="separate"/>
      </w:r>
      <w:r>
        <w:rPr>
          <w:rFonts w:hint="eastAsia" w:asciiTheme="minorEastAsia" w:hAnsiTheme="minorEastAsia" w:eastAsiaTheme="minorEastAsia" w:cstheme="minorEastAsia"/>
          <w:bCs/>
          <w:color w:val="auto"/>
          <w:sz w:val="30"/>
          <w:szCs w:val="30"/>
          <w:highlight w:val="none"/>
        </w:rPr>
        <w:t>第四章  评审办法</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_Toc12972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27</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bCs/>
          <w:color w:val="auto"/>
          <w:sz w:val="30"/>
          <w:szCs w:val="30"/>
          <w:highlight w:val="none"/>
        </w:rPr>
        <w:fldChar w:fldCharType="end"/>
      </w:r>
    </w:p>
    <w:p w14:paraId="45E83D73">
      <w:pPr>
        <w:pStyle w:val="30"/>
        <w:keepNext w:val="0"/>
        <w:keepLines w:val="0"/>
        <w:pageBreakBefore w:val="0"/>
        <w:widowControl w:val="0"/>
        <w:tabs>
          <w:tab w:val="right" w:leader="dot" w:pos="8733"/>
        </w:tabs>
        <w:kinsoku/>
        <w:wordWrap/>
        <w:overflowPunct/>
        <w:topLinePunct w:val="0"/>
        <w:autoSpaceDE/>
        <w:autoSpaceDN/>
        <w:bidi w:val="0"/>
        <w:adjustRightInd w:val="0"/>
        <w:snapToGrid w:val="0"/>
        <w:spacing w:before="0" w:after="0" w:line="48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Cs/>
          <w:color w:val="auto"/>
          <w:sz w:val="30"/>
          <w:szCs w:val="30"/>
          <w:highlight w:val="none"/>
        </w:rPr>
        <w:fldChar w:fldCharType="begin"/>
      </w:r>
      <w:r>
        <w:rPr>
          <w:rFonts w:hint="eastAsia" w:asciiTheme="minorEastAsia" w:hAnsiTheme="minorEastAsia" w:eastAsiaTheme="minorEastAsia" w:cstheme="minorEastAsia"/>
          <w:bCs/>
          <w:color w:val="auto"/>
          <w:sz w:val="30"/>
          <w:szCs w:val="30"/>
          <w:highlight w:val="none"/>
        </w:rPr>
        <w:instrText xml:space="preserve"> HYPERLINK \l _Toc450 </w:instrText>
      </w:r>
      <w:r>
        <w:rPr>
          <w:rFonts w:hint="eastAsia" w:asciiTheme="minorEastAsia" w:hAnsiTheme="minorEastAsia" w:eastAsiaTheme="minorEastAsia" w:cstheme="minorEastAsia"/>
          <w:bCs/>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第五章  拟签订的合同文本</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_Toc450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41</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bCs/>
          <w:color w:val="auto"/>
          <w:sz w:val="30"/>
          <w:szCs w:val="30"/>
          <w:highlight w:val="none"/>
        </w:rPr>
        <w:fldChar w:fldCharType="end"/>
      </w:r>
    </w:p>
    <w:p w14:paraId="3A5F0970">
      <w:pPr>
        <w:pStyle w:val="30"/>
        <w:keepNext w:val="0"/>
        <w:keepLines w:val="0"/>
        <w:pageBreakBefore w:val="0"/>
        <w:widowControl w:val="0"/>
        <w:tabs>
          <w:tab w:val="right" w:leader="dot" w:pos="8733"/>
        </w:tabs>
        <w:kinsoku/>
        <w:wordWrap/>
        <w:overflowPunct/>
        <w:topLinePunct w:val="0"/>
        <w:autoSpaceDE/>
        <w:autoSpaceDN/>
        <w:bidi w:val="0"/>
        <w:adjustRightInd w:val="0"/>
        <w:snapToGrid w:val="0"/>
        <w:spacing w:before="0" w:after="0" w:line="48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Cs/>
          <w:color w:val="auto"/>
          <w:sz w:val="30"/>
          <w:szCs w:val="30"/>
          <w:highlight w:val="none"/>
        </w:rPr>
        <w:fldChar w:fldCharType="begin"/>
      </w:r>
      <w:r>
        <w:rPr>
          <w:rFonts w:hint="eastAsia" w:asciiTheme="minorEastAsia" w:hAnsiTheme="minorEastAsia" w:eastAsiaTheme="minorEastAsia" w:cstheme="minorEastAsia"/>
          <w:bCs/>
          <w:color w:val="auto"/>
          <w:sz w:val="30"/>
          <w:szCs w:val="30"/>
          <w:highlight w:val="none"/>
        </w:rPr>
        <w:instrText xml:space="preserve"> HYPERLINK \l _Toc14297 </w:instrText>
      </w:r>
      <w:r>
        <w:rPr>
          <w:rFonts w:hint="eastAsia" w:asciiTheme="minorEastAsia" w:hAnsiTheme="minorEastAsia" w:eastAsiaTheme="minorEastAsia" w:cstheme="minorEastAsia"/>
          <w:bCs/>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第六章  响应文件格式</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_Toc14297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54</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bCs/>
          <w:color w:val="auto"/>
          <w:sz w:val="30"/>
          <w:szCs w:val="30"/>
          <w:highlight w:val="none"/>
        </w:rPr>
        <w:fldChar w:fldCharType="end"/>
      </w:r>
    </w:p>
    <w:p w14:paraId="7481B987">
      <w:pPr>
        <w:pStyle w:val="33"/>
        <w:tabs>
          <w:tab w:val="right" w:leader="dot" w:pos="8733"/>
        </w:tabs>
        <w:rPr>
          <w:color w:val="auto"/>
          <w:highlight w:val="none"/>
        </w:rPr>
      </w:pPr>
    </w:p>
    <w:p w14:paraId="7576C925">
      <w:pPr>
        <w:adjustRightInd w:val="0"/>
        <w:snapToGrid w:val="0"/>
        <w:spacing w:line="480" w:lineRule="auto"/>
        <w:rPr>
          <w:rFonts w:ascii="宋体" w:hAnsi="宋体" w:cs="宋体"/>
          <w:color w:val="auto"/>
          <w:sz w:val="28"/>
          <w:szCs w:val="28"/>
          <w:highlight w:val="none"/>
        </w:rPr>
      </w:pPr>
      <w:r>
        <w:rPr>
          <w:rFonts w:hint="eastAsia" w:ascii="宋体" w:hAnsi="宋体" w:cs="宋体"/>
          <w:bCs/>
          <w:color w:val="auto"/>
          <w:szCs w:val="30"/>
          <w:highlight w:val="none"/>
        </w:rPr>
        <w:fldChar w:fldCharType="end"/>
      </w:r>
    </w:p>
    <w:p w14:paraId="1514E3D4">
      <w:pPr>
        <w:jc w:val="center"/>
        <w:rPr>
          <w:rFonts w:ascii="宋体" w:hAnsi="宋体" w:cs="宋体"/>
          <w:color w:val="auto"/>
          <w:sz w:val="44"/>
          <w:highlight w:val="none"/>
        </w:rPr>
      </w:pPr>
    </w:p>
    <w:p w14:paraId="12648AA6">
      <w:pPr>
        <w:jc w:val="center"/>
        <w:rPr>
          <w:rFonts w:ascii="宋体" w:hAnsi="宋体" w:cs="宋体"/>
          <w:color w:val="auto"/>
          <w:sz w:val="44"/>
          <w:highlight w:val="none"/>
        </w:rPr>
      </w:pPr>
    </w:p>
    <w:p w14:paraId="2087DDB6">
      <w:pPr>
        <w:pStyle w:val="2"/>
        <w:rPr>
          <w:rFonts w:ascii="宋体" w:hAnsi="宋体" w:eastAsia="宋体" w:cs="宋体"/>
          <w:b w:val="0"/>
          <w:color w:val="auto"/>
          <w:highlight w:val="none"/>
        </w:rPr>
        <w:sectPr>
          <w:pgSz w:w="11907" w:h="16840"/>
          <w:pgMar w:top="1440" w:right="1587" w:bottom="1440" w:left="1587" w:header="851" w:footer="992" w:gutter="0"/>
          <w:pgNumType w:fmt="numberInDash"/>
          <w:cols w:space="720" w:num="1"/>
          <w:docGrid w:type="linesAndChars" w:linePitch="312" w:charSpace="0"/>
        </w:sectPr>
      </w:pPr>
    </w:p>
    <w:p w14:paraId="2403C361">
      <w:pPr>
        <w:pStyle w:val="2"/>
        <w:rPr>
          <w:rFonts w:ascii="黑体" w:hAnsi="黑体" w:cs="黑体"/>
          <w:bCs/>
          <w:color w:val="auto"/>
          <w:highlight w:val="none"/>
        </w:rPr>
      </w:pPr>
      <w:bookmarkStart w:id="0" w:name="_Toc25152"/>
      <w:bookmarkStart w:id="1" w:name="_Toc10177"/>
      <w:bookmarkStart w:id="2" w:name="_Toc1093"/>
      <w:bookmarkStart w:id="3" w:name="_Toc17644"/>
      <w:bookmarkStart w:id="4" w:name="_Toc10563630"/>
      <w:bookmarkStart w:id="5" w:name="_Toc10621832"/>
      <w:bookmarkStart w:id="6" w:name="_Toc12377614"/>
      <w:bookmarkStart w:id="7" w:name="_Toc504605085"/>
      <w:bookmarkStart w:id="8" w:name="_Toc511316279"/>
      <w:bookmarkStart w:id="9" w:name="_Toc25422"/>
      <w:bookmarkStart w:id="10" w:name="_Toc2736"/>
      <w:r>
        <w:rPr>
          <w:rFonts w:hint="eastAsia" w:ascii="黑体" w:hAnsi="黑体" w:cs="黑体"/>
          <w:bCs/>
          <w:color w:val="auto"/>
          <w:highlight w:val="none"/>
        </w:rPr>
        <w:t>第一章</w:t>
      </w:r>
      <w:bookmarkEnd w:id="0"/>
      <w:bookmarkEnd w:id="1"/>
      <w:r>
        <w:rPr>
          <w:rFonts w:hint="eastAsia" w:ascii="黑体" w:hAnsi="黑体" w:cs="黑体"/>
          <w:bCs/>
          <w:color w:val="auto"/>
          <w:highlight w:val="none"/>
        </w:rPr>
        <w:t xml:space="preserve">  竞争性磋商公告</w:t>
      </w:r>
      <w:bookmarkEnd w:id="2"/>
      <w:bookmarkEnd w:id="3"/>
    </w:p>
    <w:p w14:paraId="7FC13217">
      <w:pPr>
        <w:spacing w:line="360" w:lineRule="auto"/>
        <w:rPr>
          <w:b/>
          <w:bCs/>
          <w:color w:val="auto"/>
          <w:sz w:val="24"/>
          <w:szCs w:val="24"/>
          <w:highlight w:val="none"/>
        </w:rPr>
      </w:pPr>
      <w:r>
        <w:rPr>
          <w:rFonts w:hint="eastAsia"/>
          <w:b/>
          <w:bCs/>
          <w:color w:val="auto"/>
          <w:sz w:val="24"/>
          <w:szCs w:val="24"/>
          <w:highlight w:val="none"/>
        </w:rPr>
        <w:t>项目概况</w:t>
      </w:r>
    </w:p>
    <w:p w14:paraId="00664176">
      <w:pPr>
        <w:spacing w:line="360" w:lineRule="auto"/>
        <w:ind w:firstLine="480" w:firstLineChars="200"/>
        <w:rPr>
          <w:rFonts w:ascii="宋体" w:hAnsi="宋体" w:cs="宋体"/>
          <w:color w:val="auto"/>
          <w:sz w:val="24"/>
          <w:szCs w:val="24"/>
          <w:highlight w:val="none"/>
        </w:rPr>
      </w:pPr>
      <w:bookmarkStart w:id="11" w:name="_Toc26834"/>
      <w:bookmarkStart w:id="12" w:name="_Toc18059"/>
      <w:bookmarkStart w:id="13" w:name="_Toc17641"/>
      <w:r>
        <w:rPr>
          <w:rFonts w:hint="eastAsia" w:ascii="宋体" w:hAnsi="宋体" w:cs="宋体"/>
          <w:color w:val="auto"/>
          <w:sz w:val="24"/>
          <w:szCs w:val="24"/>
          <w:highlight w:val="none"/>
          <w:lang w:eastAsia="zh-CN"/>
        </w:rPr>
        <w:t>陕西省马栏监狱罪犯伙房屋面防水维修工程</w:t>
      </w:r>
      <w:r>
        <w:rPr>
          <w:rFonts w:hint="eastAsia" w:ascii="宋体" w:hAnsi="宋体" w:cs="宋体"/>
          <w:color w:val="auto"/>
          <w:sz w:val="24"/>
          <w:szCs w:val="24"/>
          <w:highlight w:val="none"/>
        </w:rPr>
        <w:t>的潜在供应商应在</w:t>
      </w:r>
      <w:r>
        <w:rPr>
          <w:rFonts w:hint="eastAsia" w:ascii="宋体" w:hAnsi="宋体" w:cs="宋体"/>
          <w:color w:val="auto"/>
          <w:sz w:val="24"/>
          <w:szCs w:val="24"/>
          <w:highlight w:val="none"/>
          <w:lang w:eastAsia="zh-CN"/>
        </w:rPr>
        <w:t>西安曲江新区雁展路1111号莱安中心1幢1单元12层1215室</w:t>
      </w:r>
      <w:r>
        <w:rPr>
          <w:rFonts w:hint="eastAsia" w:ascii="宋体" w:hAnsi="宋体" w:cs="宋体"/>
          <w:color w:val="auto"/>
          <w:sz w:val="24"/>
          <w:szCs w:val="24"/>
          <w:highlight w:val="none"/>
        </w:rPr>
        <w:t>获取竞争性磋商文件，并于</w:t>
      </w:r>
      <w:r>
        <w:rPr>
          <w:rFonts w:hint="eastAsia" w:ascii="宋体" w:hAnsi="宋体" w:cs="宋体"/>
          <w:color w:val="auto"/>
          <w:sz w:val="24"/>
          <w:szCs w:val="24"/>
          <w:highlight w:val="none"/>
          <w:u w:val="single"/>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分前递交响应文件。</w:t>
      </w:r>
    </w:p>
    <w:p w14:paraId="44BAB70A">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bookmarkEnd w:id="11"/>
      <w:bookmarkEnd w:id="12"/>
      <w:bookmarkEnd w:id="13"/>
    </w:p>
    <w:p w14:paraId="5E8D4101">
      <w:pPr>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项目编号：HRY-CGGC20260401</w:t>
      </w:r>
    </w:p>
    <w:p w14:paraId="47920D07">
      <w:pPr>
        <w:spacing w:line="360" w:lineRule="auto"/>
        <w:ind w:left="420" w:left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陕西省马栏监狱罪犯伙房屋面防水维修工程</w:t>
      </w:r>
    </w:p>
    <w:p w14:paraId="45DFDC9E">
      <w:pPr>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采购人式：竞争性磋商</w:t>
      </w:r>
    </w:p>
    <w:p w14:paraId="68B3FE20">
      <w:pPr>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val="en-US" w:eastAsia="zh-CN"/>
        </w:rPr>
        <w:t>500000.00</w:t>
      </w:r>
      <w:r>
        <w:rPr>
          <w:rFonts w:hint="eastAsia" w:ascii="宋体" w:hAnsi="宋体" w:cs="宋体"/>
          <w:color w:val="auto"/>
          <w:sz w:val="24"/>
          <w:szCs w:val="24"/>
          <w:highlight w:val="none"/>
        </w:rPr>
        <w:t>元</w:t>
      </w:r>
    </w:p>
    <w:p w14:paraId="329773B9">
      <w:pPr>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采购需求：</w:t>
      </w:r>
    </w:p>
    <w:p w14:paraId="25CCB378">
      <w:pPr>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合同包1(</w:t>
      </w:r>
      <w:r>
        <w:rPr>
          <w:rFonts w:hint="eastAsia" w:ascii="宋体" w:hAnsi="宋体" w:cs="宋体"/>
          <w:color w:val="auto"/>
          <w:sz w:val="24"/>
          <w:szCs w:val="24"/>
          <w:highlight w:val="none"/>
          <w:lang w:eastAsia="zh-CN"/>
        </w:rPr>
        <w:t>陕西省马栏监狱罪犯伙房屋面防水维修工程</w:t>
      </w:r>
      <w:r>
        <w:rPr>
          <w:rFonts w:hint="eastAsia" w:ascii="宋体" w:hAnsi="宋体" w:cs="宋体"/>
          <w:color w:val="auto"/>
          <w:sz w:val="24"/>
          <w:szCs w:val="24"/>
          <w:highlight w:val="none"/>
        </w:rPr>
        <w:t>)：</w:t>
      </w:r>
    </w:p>
    <w:p w14:paraId="7A7074AC">
      <w:pPr>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合同包预算金额：</w:t>
      </w:r>
      <w:r>
        <w:rPr>
          <w:rFonts w:hint="eastAsia" w:ascii="宋体" w:hAnsi="宋体" w:cs="宋体"/>
          <w:color w:val="auto"/>
          <w:sz w:val="24"/>
          <w:szCs w:val="24"/>
          <w:highlight w:val="none"/>
          <w:lang w:val="en-US" w:eastAsia="zh-CN"/>
        </w:rPr>
        <w:t>500000.00</w:t>
      </w:r>
      <w:r>
        <w:rPr>
          <w:rFonts w:hint="eastAsia" w:ascii="宋体" w:hAnsi="宋体" w:cs="宋体"/>
          <w:color w:val="auto"/>
          <w:sz w:val="24"/>
          <w:szCs w:val="24"/>
          <w:highlight w:val="none"/>
        </w:rPr>
        <w:t>元</w:t>
      </w:r>
    </w:p>
    <w:p w14:paraId="4BBD93A3">
      <w:pPr>
        <w:spacing w:line="360" w:lineRule="auto"/>
        <w:ind w:left="420" w:leftChars="200"/>
        <w:rPr>
          <w:rFonts w:ascii="宋体" w:hAnsi="宋体" w:cs="宋体"/>
          <w:color w:val="auto"/>
          <w:sz w:val="24"/>
          <w:szCs w:val="22"/>
          <w:highlight w:val="none"/>
        </w:rPr>
      </w:pPr>
      <w:r>
        <w:rPr>
          <w:rFonts w:hint="eastAsia" w:ascii="宋体" w:hAnsi="宋体" w:cs="宋体"/>
          <w:color w:val="auto"/>
          <w:sz w:val="24"/>
          <w:szCs w:val="22"/>
          <w:highlight w:val="none"/>
        </w:rPr>
        <w:t>合同包最高限价：</w:t>
      </w:r>
      <w:r>
        <w:rPr>
          <w:rFonts w:hint="eastAsia" w:ascii="宋体" w:hAnsi="宋体" w:cs="宋体"/>
          <w:color w:val="auto"/>
          <w:sz w:val="24"/>
          <w:szCs w:val="24"/>
          <w:highlight w:val="none"/>
          <w:shd w:val="clear" w:color="auto" w:fill="FFFFFF"/>
          <w:lang w:val="en-US" w:eastAsia="zh-CN"/>
        </w:rPr>
        <w:t>499270.97</w:t>
      </w:r>
      <w:r>
        <w:rPr>
          <w:rFonts w:hint="eastAsia" w:ascii="宋体" w:hAnsi="宋体" w:cs="宋体"/>
          <w:color w:val="auto"/>
          <w:sz w:val="24"/>
          <w:szCs w:val="22"/>
          <w:highlight w:val="none"/>
        </w:rPr>
        <w:t>元</w:t>
      </w:r>
    </w:p>
    <w:tbl>
      <w:tblPr>
        <w:tblStyle w:val="39"/>
        <w:tblW w:w="9073" w:type="dxa"/>
        <w:jc w:val="center"/>
        <w:tblLayout w:type="fixed"/>
        <w:tblCellMar>
          <w:top w:w="0" w:type="dxa"/>
          <w:left w:w="0" w:type="dxa"/>
          <w:bottom w:w="0" w:type="dxa"/>
          <w:right w:w="0" w:type="dxa"/>
        </w:tblCellMar>
      </w:tblPr>
      <w:tblGrid>
        <w:gridCol w:w="794"/>
        <w:gridCol w:w="1462"/>
        <w:gridCol w:w="1463"/>
        <w:gridCol w:w="1147"/>
        <w:gridCol w:w="1511"/>
        <w:gridCol w:w="1360"/>
        <w:gridCol w:w="1336"/>
      </w:tblGrid>
      <w:tr w14:paraId="7BDCF9EC">
        <w:tblPrEx>
          <w:tblCellMar>
            <w:top w:w="0" w:type="dxa"/>
            <w:left w:w="0" w:type="dxa"/>
            <w:bottom w:w="0" w:type="dxa"/>
            <w:right w:w="0" w:type="dxa"/>
          </w:tblCellMar>
        </w:tblPrEx>
        <w:trPr>
          <w:trHeight w:val="986" w:hRule="atLeast"/>
          <w:tblHeader/>
          <w:jc w:val="center"/>
        </w:trPr>
        <w:tc>
          <w:tcPr>
            <w:tcW w:w="79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1131ED7">
            <w:pPr>
              <w:widowControl/>
              <w:wordWrap w:val="0"/>
              <w:adjustRightInd w:val="0"/>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品目号</w:t>
            </w:r>
          </w:p>
        </w:tc>
        <w:tc>
          <w:tcPr>
            <w:tcW w:w="14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40354CA">
            <w:pPr>
              <w:widowControl/>
              <w:wordWrap w:val="0"/>
              <w:adjustRightInd w:val="0"/>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品目名称</w:t>
            </w:r>
          </w:p>
        </w:tc>
        <w:tc>
          <w:tcPr>
            <w:tcW w:w="14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42AF074">
            <w:pPr>
              <w:widowControl/>
              <w:wordWrap w:val="0"/>
              <w:adjustRightInd w:val="0"/>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采购标的</w:t>
            </w:r>
          </w:p>
        </w:tc>
        <w:tc>
          <w:tcPr>
            <w:tcW w:w="114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B36FEED">
            <w:pPr>
              <w:widowControl/>
              <w:wordWrap w:val="0"/>
              <w:adjustRightInd w:val="0"/>
              <w:snapToGrid w:val="0"/>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数量</w:t>
            </w:r>
          </w:p>
          <w:p w14:paraId="03CB38B6">
            <w:pPr>
              <w:widowControl/>
              <w:wordWrap w:val="0"/>
              <w:adjustRightInd w:val="0"/>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（单位）</w:t>
            </w:r>
          </w:p>
        </w:tc>
        <w:tc>
          <w:tcPr>
            <w:tcW w:w="15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AB09BCF">
            <w:pPr>
              <w:widowControl/>
              <w:wordWrap w:val="0"/>
              <w:adjustRightInd w:val="0"/>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技术规格、参数及要求</w:t>
            </w:r>
          </w:p>
        </w:tc>
        <w:tc>
          <w:tcPr>
            <w:tcW w:w="136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A4DE685">
            <w:pPr>
              <w:widowControl/>
              <w:wordWrap w:val="0"/>
              <w:adjustRightInd w:val="0"/>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品目预算(元)</w:t>
            </w:r>
          </w:p>
        </w:tc>
        <w:tc>
          <w:tcPr>
            <w:tcW w:w="133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314504D">
            <w:pPr>
              <w:widowControl/>
              <w:wordWrap w:val="0"/>
              <w:adjustRightInd w:val="0"/>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最高限价(元)</w:t>
            </w:r>
          </w:p>
        </w:tc>
      </w:tr>
      <w:tr w14:paraId="14289C40">
        <w:tblPrEx>
          <w:tblCellMar>
            <w:top w:w="0" w:type="dxa"/>
            <w:left w:w="0" w:type="dxa"/>
            <w:bottom w:w="0" w:type="dxa"/>
            <w:right w:w="0" w:type="dxa"/>
          </w:tblCellMar>
        </w:tblPrEx>
        <w:trPr>
          <w:trHeight w:val="1568" w:hRule="atLeast"/>
          <w:jc w:val="center"/>
        </w:trPr>
        <w:tc>
          <w:tcPr>
            <w:tcW w:w="79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F4BD428">
            <w:pPr>
              <w:widowControl/>
              <w:wordWrap w:val="0"/>
              <w:adjustRightInd w:val="0"/>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w:t>
            </w:r>
          </w:p>
        </w:tc>
        <w:tc>
          <w:tcPr>
            <w:tcW w:w="14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E16991C">
            <w:pPr>
              <w:widowControl/>
              <w:wordWrap w:val="0"/>
              <w:adjustRightInd w:val="0"/>
              <w:snapToGrid w:val="0"/>
              <w:spacing w:line="360" w:lineRule="auto"/>
              <w:jc w:val="center"/>
              <w:rPr>
                <w:rFonts w:ascii="宋体" w:hAnsi="宋体" w:cs="宋体"/>
                <w:color w:val="auto"/>
                <w:kern w:val="0"/>
                <w:sz w:val="24"/>
                <w:szCs w:val="24"/>
                <w:highlight w:val="none"/>
                <w:u w:val="single"/>
                <w:lang w:bidi="ar"/>
              </w:rPr>
            </w:pPr>
            <w:r>
              <w:rPr>
                <w:rFonts w:hint="eastAsia" w:ascii="宋体" w:hAnsi="宋体" w:cs="宋体"/>
                <w:color w:val="auto"/>
                <w:sz w:val="24"/>
                <w:szCs w:val="24"/>
                <w:highlight w:val="none"/>
              </w:rPr>
              <w:t>部</w:t>
            </w:r>
            <w:r>
              <w:rPr>
                <w:rFonts w:hint="eastAsia" w:ascii="宋体" w:hAnsi="宋体" w:cs="宋体"/>
                <w:color w:val="auto"/>
                <w:sz w:val="24"/>
                <w:szCs w:val="24"/>
                <w:highlight w:val="none"/>
                <w:lang w:eastAsia="zh-CN"/>
              </w:rPr>
              <w:t>屋面防水维修工程</w:t>
            </w:r>
          </w:p>
        </w:tc>
        <w:tc>
          <w:tcPr>
            <w:tcW w:w="14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65CEF8C">
            <w:pPr>
              <w:widowControl/>
              <w:wordWrap w:val="0"/>
              <w:adjustRightInd w:val="0"/>
              <w:snapToGrid w:val="0"/>
              <w:spacing w:line="360" w:lineRule="auto"/>
              <w:jc w:val="center"/>
              <w:rPr>
                <w:rFonts w:ascii="宋体" w:hAnsi="宋体" w:cs="宋体"/>
                <w:color w:val="auto"/>
                <w:kern w:val="0"/>
                <w:sz w:val="24"/>
                <w:szCs w:val="24"/>
                <w:highlight w:val="none"/>
                <w:lang w:bidi="ar"/>
              </w:rPr>
            </w:pPr>
            <w:r>
              <w:rPr>
                <w:rFonts w:hint="eastAsia" w:ascii="宋体" w:hAnsi="宋体" w:cs="宋体"/>
                <w:color w:val="auto"/>
                <w:sz w:val="24"/>
                <w:szCs w:val="24"/>
                <w:highlight w:val="none"/>
                <w:lang w:eastAsia="zh-CN"/>
              </w:rPr>
              <w:t>屋面防水维修工程</w:t>
            </w:r>
          </w:p>
        </w:tc>
        <w:tc>
          <w:tcPr>
            <w:tcW w:w="114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57FABA8">
            <w:pPr>
              <w:widowControl/>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shd w:val="clear" w:color="auto" w:fill="FFFFFF"/>
              </w:rPr>
              <w:t>1（项）</w:t>
            </w:r>
          </w:p>
        </w:tc>
        <w:tc>
          <w:tcPr>
            <w:tcW w:w="15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ED4376">
            <w:pPr>
              <w:widowControl/>
              <w:wordWrap w:val="0"/>
              <w:adjustRightInd w:val="0"/>
              <w:snapToGrid w:val="0"/>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详见采购</w:t>
            </w:r>
          </w:p>
          <w:p w14:paraId="62E485DF">
            <w:pPr>
              <w:widowControl/>
              <w:wordWrap w:val="0"/>
              <w:adjustRightInd w:val="0"/>
              <w:snapToGrid w:val="0"/>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文件</w:t>
            </w:r>
          </w:p>
        </w:tc>
        <w:tc>
          <w:tcPr>
            <w:tcW w:w="136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C135712">
            <w:pPr>
              <w:widowControl/>
              <w:wordWrap w:val="0"/>
              <w:adjustRightInd w:val="0"/>
              <w:snapToGrid w:val="0"/>
              <w:spacing w:line="360" w:lineRule="auto"/>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lang w:val="en-US" w:eastAsia="zh-CN"/>
              </w:rPr>
              <w:t>500000</w:t>
            </w:r>
          </w:p>
        </w:tc>
        <w:tc>
          <w:tcPr>
            <w:tcW w:w="133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CACC729">
            <w:pPr>
              <w:widowControl/>
              <w:tabs>
                <w:tab w:val="left" w:pos="864"/>
              </w:tabs>
              <w:wordWrap w:val="0"/>
              <w:adjustRightInd w:val="0"/>
              <w:snapToGrid w:val="0"/>
              <w:spacing w:line="360" w:lineRule="auto"/>
              <w:jc w:val="center"/>
              <w:textAlignment w:val="baseline"/>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499270.97</w:t>
            </w:r>
          </w:p>
        </w:tc>
      </w:tr>
    </w:tbl>
    <w:p w14:paraId="60A4C5DB">
      <w:pPr>
        <w:wordWrap w:val="0"/>
        <w:spacing w:line="360" w:lineRule="auto"/>
        <w:ind w:firstLine="482" w:firstLineChars="200"/>
        <w:rPr>
          <w:rFonts w:ascii="宋体" w:hAnsi="宋体" w:cs="宋体"/>
          <w:b/>
          <w:bCs/>
          <w:color w:val="auto"/>
          <w:sz w:val="24"/>
          <w:szCs w:val="24"/>
          <w:highlight w:val="none"/>
        </w:rPr>
      </w:pPr>
      <w:bookmarkStart w:id="14" w:name="_Toc26630"/>
      <w:bookmarkStart w:id="15" w:name="_Toc18983"/>
      <w:bookmarkStart w:id="16" w:name="_Toc29004"/>
      <w:r>
        <w:rPr>
          <w:rFonts w:hint="eastAsia" w:ascii="宋体" w:hAnsi="宋体" w:cs="宋体"/>
          <w:b/>
          <w:bCs/>
          <w:color w:val="auto"/>
          <w:sz w:val="24"/>
          <w:szCs w:val="24"/>
          <w:highlight w:val="none"/>
        </w:rPr>
        <w:t>本合同包不接受联合体磋商</w:t>
      </w:r>
    </w:p>
    <w:p w14:paraId="74646EA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合同履行期限：自接到采购人开工通知之日起</w:t>
      </w:r>
      <w:r>
        <w:rPr>
          <w:rFonts w:ascii="宋体" w:hAnsi="宋体" w:cs="宋体"/>
          <w:color w:val="auto"/>
          <w:sz w:val="24"/>
          <w:szCs w:val="24"/>
          <w:highlight w:val="none"/>
        </w:rPr>
        <w:t>15</w:t>
      </w:r>
      <w:r>
        <w:rPr>
          <w:rFonts w:hint="eastAsia" w:ascii="宋体" w:hAnsi="宋体" w:cs="宋体"/>
          <w:color w:val="auto"/>
          <w:sz w:val="24"/>
          <w:szCs w:val="24"/>
          <w:highlight w:val="none"/>
        </w:rPr>
        <w:t>日历天内。</w:t>
      </w:r>
    </w:p>
    <w:p w14:paraId="5683E7B1">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二、供应商的资格要求：</w:t>
      </w:r>
      <w:bookmarkEnd w:id="14"/>
      <w:bookmarkEnd w:id="15"/>
      <w:bookmarkEnd w:id="16"/>
    </w:p>
    <w:p w14:paraId="7A752E92">
      <w:pPr>
        <w:wordWrap w:val="0"/>
        <w:spacing w:line="360" w:lineRule="auto"/>
        <w:ind w:firstLine="480" w:firstLineChars="200"/>
        <w:rPr>
          <w:rFonts w:ascii="宋体" w:hAnsi="宋体" w:cs="宋体"/>
          <w:color w:val="auto"/>
          <w:sz w:val="24"/>
          <w:szCs w:val="24"/>
          <w:highlight w:val="none"/>
          <w:u w:val="none" w:color="auto"/>
        </w:rPr>
      </w:pPr>
      <w:r>
        <w:rPr>
          <w:rFonts w:hint="eastAsia" w:ascii="宋体" w:hAnsi="宋体" w:cs="宋体"/>
          <w:color w:val="auto"/>
          <w:sz w:val="24"/>
          <w:szCs w:val="24"/>
          <w:highlight w:val="none"/>
          <w:u w:val="none" w:color="auto"/>
          <w:lang w:eastAsia="zh-CN"/>
        </w:rPr>
        <w:t>陕西省马栏监狱罪犯伙房屋面防水维修工程</w:t>
      </w:r>
      <w:r>
        <w:rPr>
          <w:rFonts w:hint="eastAsia" w:ascii="宋体" w:hAnsi="宋体" w:cs="宋体"/>
          <w:color w:val="auto"/>
          <w:sz w:val="24"/>
          <w:szCs w:val="24"/>
          <w:highlight w:val="none"/>
          <w:u w:val="none" w:color="auto"/>
        </w:rPr>
        <w:t>的供应商资格要求是：</w:t>
      </w:r>
    </w:p>
    <w:p w14:paraId="211C555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7F5825C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w:t>
      </w:r>
    </w:p>
    <w:p w14:paraId="32B52295">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（1）《关于在政府采购活动中查询及使用信用记录有关问题的通知》（财库〔2016〕125号）；</w:t>
      </w:r>
    </w:p>
    <w:p w14:paraId="2DD84F9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（2）《政府采购促进中小企业发展管理办法》（财库〔2020〕46号）、《关于进一步加大政府采购支持中小企业力度的通知》（财库〔2022〕19 号）《关于政府采购支持监狱企业发展有关问题的通知》（财库〔2014〕68号）以及《关于促进残疾人就业政府采购政策的通知》（财库〔2017〕141号）；</w:t>
      </w:r>
    </w:p>
    <w:p w14:paraId="068BBFD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国务院办公厅《关于建立政府强制采购节能产品制度的通知》（国办发〔2007〕51号）、财政部、国家发改委、生态环境部、市场监督管理总局联合印发《关于调整优化节能产品、环境标志产品政府采购执行机制的通知》（财库〔2019〕9号）； </w:t>
      </w:r>
    </w:p>
    <w:p w14:paraId="03BE5AE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（4）《陕西省财政厅关于加快推进我省中小企业政府采购信用融资工作的通知》（陕财办采〔2020〕15号）、陕西省财政厅关于印发《陕西省中小企业政府采购信用融资办法》（陕财办采〔2018〕23号）； </w:t>
      </w:r>
    </w:p>
    <w:p w14:paraId="4F76B88D">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（5）其他需要落实的政府采购政策。</w:t>
      </w:r>
    </w:p>
    <w:p w14:paraId="2C7F7BE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（6）本项目面向中小企业</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w:t>
      </w:r>
    </w:p>
    <w:p w14:paraId="2C513FC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625E4CBD">
      <w:pPr>
        <w:wordWrap w:val="0"/>
        <w:spacing w:line="360" w:lineRule="auto"/>
        <w:ind w:firstLine="480" w:firstLineChars="200"/>
        <w:rPr>
          <w:rFonts w:ascii="宋体" w:hAnsi="宋体" w:cs="宋体"/>
          <w:color w:val="auto"/>
          <w:sz w:val="24"/>
          <w:szCs w:val="24"/>
          <w:highlight w:val="none"/>
        </w:rPr>
      </w:pPr>
      <w:bookmarkStart w:id="17" w:name="_Toc6686"/>
      <w:bookmarkStart w:id="18" w:name="_Toc8813"/>
      <w:bookmarkStart w:id="19" w:name="_Toc20942"/>
      <w:r>
        <w:rPr>
          <w:rFonts w:hint="eastAsia" w:ascii="宋体" w:hAnsi="宋体" w:cs="宋体"/>
          <w:color w:val="auto"/>
          <w:sz w:val="24"/>
          <w:szCs w:val="24"/>
          <w:highlight w:val="none"/>
        </w:rPr>
        <w:t>3.1供应商为向采购人提供工程及配套服务的法人或其他组织；</w:t>
      </w:r>
    </w:p>
    <w:p w14:paraId="64FEF16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供应商未被“信用中国”网站列入“重大税收违法失信主体名单”“安全生产严重失信主体名单（法人）”，未被“中国执行信息公开网”列入“失信被执行人”，未被“中国政府采购网”网站列入“政府采购严重违法失信行为记录名单”，未被“国家企业信用信息公示系统”网站“列入严重违法失信名单（黑名单）信息”；</w:t>
      </w:r>
    </w:p>
    <w:p w14:paraId="19DE7B3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同时拟派项目经理未被列入“信用中国”网站的“重点领域严重失信主体名单”中的“安全生产严重失信主体名单（自然人）”，未被“中国执行信息公开网”列入失信被执行人；</w:t>
      </w:r>
    </w:p>
    <w:p w14:paraId="27B30FC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3.3单位负责人为同一人或者存在直接控股、管理关系的不同供应商，不得参加同一合同项下的政府采购活动； </w:t>
      </w:r>
    </w:p>
    <w:p w14:paraId="6CA0DA7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3.4供应商具备建设行政主管部门颁发的防水防腐保温工程专业承包二级（含）以上资质；同时具备有效的安全生产许可证，并在人员、设备、资金等方面具备相应的能力；</w:t>
      </w:r>
    </w:p>
    <w:p w14:paraId="22606A1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3.5拟派项目经理应具备建筑工程专业二级（含）以上注册建造师执业资格及合法有效的安全生产考核合格证（安全B证），在本单位注册且无在建工程；</w:t>
      </w:r>
    </w:p>
    <w:p w14:paraId="48957D4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3.6供应商及其拟派项目经理须在“陕西省住房和城乡建设厅”官方网站可查询；如供应商为外省进陕企业，还须同时提供“陕西省住房和城乡建设厅”官网企业库外省进陕施工企业信息首页截图；</w:t>
      </w:r>
    </w:p>
    <w:bookmarkEnd w:id="17"/>
    <w:bookmarkEnd w:id="18"/>
    <w:p w14:paraId="2E5DDB93">
      <w:pPr>
        <w:wordWrap w:val="0"/>
        <w:spacing w:line="360" w:lineRule="auto"/>
        <w:ind w:firstLine="482" w:firstLineChars="200"/>
        <w:rPr>
          <w:rFonts w:ascii="宋体" w:hAnsi="宋体" w:cs="宋体"/>
          <w:b/>
          <w:bCs/>
          <w:color w:val="auto"/>
          <w:sz w:val="24"/>
          <w:szCs w:val="24"/>
          <w:highlight w:val="none"/>
        </w:rPr>
      </w:pPr>
      <w:bookmarkStart w:id="20" w:name="_Toc4158"/>
      <w:bookmarkStart w:id="21" w:name="_Toc4588"/>
      <w:r>
        <w:rPr>
          <w:rFonts w:hint="eastAsia" w:ascii="宋体" w:hAnsi="宋体" w:cs="宋体"/>
          <w:b/>
          <w:bCs/>
          <w:color w:val="auto"/>
          <w:sz w:val="24"/>
          <w:szCs w:val="24"/>
          <w:highlight w:val="none"/>
        </w:rPr>
        <w:t>三、获取采购文件</w:t>
      </w:r>
      <w:bookmarkEnd w:id="19"/>
      <w:bookmarkEnd w:id="20"/>
      <w:bookmarkEnd w:id="21"/>
    </w:p>
    <w:p w14:paraId="668DEF61">
      <w:pPr>
        <w:wordWrap w:val="0"/>
        <w:spacing w:line="360" w:lineRule="auto"/>
        <w:ind w:firstLine="480" w:firstLineChars="200"/>
        <w:rPr>
          <w:rFonts w:ascii="宋体" w:hAnsi="宋体" w:cs="宋体"/>
          <w:color w:val="auto"/>
          <w:sz w:val="24"/>
          <w:szCs w:val="24"/>
          <w:highlight w:val="none"/>
        </w:rPr>
      </w:pPr>
      <w:bookmarkStart w:id="22" w:name="_Toc20088"/>
      <w:bookmarkStart w:id="23" w:name="_Toc19250"/>
      <w:bookmarkStart w:id="24" w:name="_Toc26941"/>
      <w:r>
        <w:rPr>
          <w:rFonts w:hint="eastAsia" w:ascii="宋体" w:hAnsi="宋体" w:cs="宋体"/>
          <w:color w:val="auto"/>
          <w:sz w:val="24"/>
          <w:szCs w:val="24"/>
          <w:highlight w:val="none"/>
        </w:rPr>
        <w:t>2026-</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rPr>
        <w:t>至2026-</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07</w:t>
      </w:r>
      <w:r>
        <w:rPr>
          <w:rFonts w:hint="eastAsia" w:ascii="宋体" w:hAnsi="宋体" w:cs="宋体"/>
          <w:color w:val="auto"/>
          <w:sz w:val="24"/>
          <w:szCs w:val="24"/>
          <w:highlight w:val="none"/>
        </w:rPr>
        <w:t>，每天上午09：00：00至12：00：00，下午14：00：00至17：00：00（北京时间,法定节假日除外）</w:t>
      </w:r>
    </w:p>
    <w:p w14:paraId="25B7F788">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西安曲江新区雁展路1111号莱安中心1幢1单元12层1215室</w:t>
      </w:r>
    </w:p>
    <w:p w14:paraId="27405A6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方式：线下获取</w:t>
      </w:r>
    </w:p>
    <w:p w14:paraId="2B7A06D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售价：500元，售后不退</w:t>
      </w:r>
    </w:p>
    <w:p w14:paraId="1B860174">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四、提交投标文件截止时间、开标时间和地点</w:t>
      </w:r>
      <w:bookmarkEnd w:id="22"/>
      <w:bookmarkEnd w:id="23"/>
      <w:bookmarkEnd w:id="24"/>
    </w:p>
    <w:p w14:paraId="5C485C75">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13</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分（北京时间）</w:t>
      </w:r>
    </w:p>
    <w:p w14:paraId="6F35FE3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color w:val="000000"/>
          <w:kern w:val="0"/>
          <w:sz w:val="24"/>
          <w:szCs w:val="24"/>
          <w:highlight w:val="none"/>
          <w:lang w:eastAsia="zh-CN"/>
        </w:rPr>
        <w:t>西安曲江新区雁展路1111号莱安中心1幢1单元12层1215室</w:t>
      </w:r>
      <w:r>
        <w:rPr>
          <w:rFonts w:hint="eastAsia" w:ascii="宋体" w:hAnsi="宋体" w:cs="宋体"/>
          <w:color w:val="000000"/>
          <w:kern w:val="0"/>
          <w:sz w:val="24"/>
          <w:szCs w:val="24"/>
          <w:highlight w:val="none"/>
        </w:rPr>
        <w:t>会议室</w:t>
      </w:r>
    </w:p>
    <w:p w14:paraId="200A4D33">
      <w:pPr>
        <w:wordWrap w:val="0"/>
        <w:spacing w:line="360" w:lineRule="auto"/>
        <w:ind w:firstLine="482" w:firstLineChars="200"/>
        <w:rPr>
          <w:rFonts w:ascii="宋体" w:hAnsi="宋体" w:cs="宋体"/>
          <w:b/>
          <w:bCs/>
          <w:color w:val="auto"/>
          <w:sz w:val="24"/>
          <w:szCs w:val="24"/>
          <w:highlight w:val="none"/>
        </w:rPr>
      </w:pPr>
      <w:bookmarkStart w:id="25" w:name="_Toc20566"/>
      <w:r>
        <w:rPr>
          <w:rFonts w:hint="eastAsia" w:ascii="宋体" w:hAnsi="宋体" w:cs="宋体"/>
          <w:b/>
          <w:bCs/>
          <w:color w:val="auto"/>
          <w:sz w:val="24"/>
          <w:szCs w:val="24"/>
          <w:highlight w:val="none"/>
        </w:rPr>
        <w:t>五、开启</w:t>
      </w:r>
    </w:p>
    <w:p w14:paraId="23D5F81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13</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分（北京时间）</w:t>
      </w:r>
    </w:p>
    <w:p w14:paraId="316FF0C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开标地点：</w:t>
      </w:r>
      <w:r>
        <w:rPr>
          <w:rFonts w:hint="eastAsia" w:ascii="宋体" w:hAnsi="宋体" w:cs="宋体"/>
          <w:color w:val="000000"/>
          <w:kern w:val="0"/>
          <w:sz w:val="24"/>
          <w:szCs w:val="24"/>
          <w:highlight w:val="none"/>
          <w:lang w:eastAsia="zh-CN"/>
        </w:rPr>
        <w:t>西安曲江新区雁展路1111号莱安中心1幢1单元12层1215室</w:t>
      </w:r>
      <w:r>
        <w:rPr>
          <w:rFonts w:hint="eastAsia" w:ascii="宋体" w:hAnsi="宋体" w:cs="宋体"/>
          <w:color w:val="000000"/>
          <w:kern w:val="0"/>
          <w:sz w:val="24"/>
          <w:szCs w:val="24"/>
          <w:highlight w:val="none"/>
        </w:rPr>
        <w:t>会议室</w:t>
      </w:r>
    </w:p>
    <w:p w14:paraId="2C344135">
      <w:pPr>
        <w:wordWrap w:val="0"/>
        <w:spacing w:line="360" w:lineRule="auto"/>
        <w:ind w:firstLine="482" w:firstLineChars="200"/>
        <w:rPr>
          <w:rFonts w:ascii="宋体" w:hAnsi="宋体" w:cs="宋体"/>
          <w:b/>
          <w:bCs/>
          <w:color w:val="auto"/>
          <w:sz w:val="24"/>
          <w:szCs w:val="24"/>
          <w:highlight w:val="none"/>
        </w:rPr>
      </w:pPr>
      <w:bookmarkStart w:id="26" w:name="_Toc19840"/>
      <w:bookmarkStart w:id="27" w:name="_Toc7302"/>
      <w:r>
        <w:rPr>
          <w:rFonts w:hint="eastAsia" w:ascii="宋体" w:hAnsi="宋体" w:cs="宋体"/>
          <w:b/>
          <w:bCs/>
          <w:color w:val="auto"/>
          <w:sz w:val="24"/>
          <w:szCs w:val="24"/>
          <w:highlight w:val="none"/>
        </w:rPr>
        <w:t>六、公告期限</w:t>
      </w:r>
      <w:bookmarkEnd w:id="25"/>
      <w:bookmarkEnd w:id="26"/>
      <w:bookmarkEnd w:id="27"/>
    </w:p>
    <w:p w14:paraId="0E3BE79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自本公告发布之日起3个工作日。</w:t>
      </w:r>
    </w:p>
    <w:p w14:paraId="1FE7B57D">
      <w:pPr>
        <w:wordWrap w:val="0"/>
        <w:spacing w:line="360" w:lineRule="auto"/>
        <w:ind w:firstLine="482" w:firstLineChars="200"/>
        <w:rPr>
          <w:rFonts w:ascii="宋体" w:hAnsi="宋体" w:cs="宋体"/>
          <w:b/>
          <w:bCs/>
          <w:color w:val="auto"/>
          <w:sz w:val="24"/>
          <w:szCs w:val="24"/>
          <w:highlight w:val="none"/>
        </w:rPr>
      </w:pPr>
      <w:bookmarkStart w:id="28" w:name="_Toc9281"/>
      <w:bookmarkStart w:id="29" w:name="_Toc11229"/>
      <w:bookmarkStart w:id="30" w:name="_Toc21384"/>
      <w:r>
        <w:rPr>
          <w:rFonts w:hint="eastAsia" w:ascii="宋体" w:hAnsi="宋体" w:cs="宋体"/>
          <w:b/>
          <w:bCs/>
          <w:color w:val="auto"/>
          <w:sz w:val="24"/>
          <w:szCs w:val="24"/>
          <w:highlight w:val="none"/>
        </w:rPr>
        <w:t>七、其他补充事宜</w:t>
      </w:r>
      <w:bookmarkEnd w:id="28"/>
      <w:bookmarkEnd w:id="29"/>
      <w:bookmarkEnd w:id="30"/>
    </w:p>
    <w:p w14:paraId="6B3B8DE3">
      <w:pPr>
        <w:wordWrap w:val="0"/>
        <w:spacing w:line="360" w:lineRule="auto"/>
        <w:ind w:firstLine="480" w:firstLineChars="200"/>
        <w:rPr>
          <w:rFonts w:ascii="宋体" w:hAnsi="宋体" w:cs="宋体"/>
          <w:color w:val="auto"/>
          <w:sz w:val="24"/>
          <w:szCs w:val="24"/>
          <w:highlight w:val="none"/>
        </w:rPr>
      </w:pPr>
      <w:bookmarkStart w:id="31" w:name="_Toc23510"/>
      <w:r>
        <w:rPr>
          <w:rFonts w:hint="eastAsia" w:ascii="宋体" w:hAnsi="宋体" w:cs="宋体"/>
          <w:color w:val="auto"/>
          <w:sz w:val="24"/>
          <w:szCs w:val="24"/>
          <w:highlight w:val="none"/>
        </w:rPr>
        <w:t>领取竞争性磋商文件时请携带单位介绍信原件（或授权委托书原件）以及经办人身份证原件及复印件加盖公章，现场领取，谢绝邮寄。</w:t>
      </w:r>
    </w:p>
    <w:p w14:paraId="363D58B2">
      <w:pPr>
        <w:wordWrap w:val="0"/>
        <w:spacing w:line="360" w:lineRule="auto"/>
        <w:ind w:firstLine="482" w:firstLineChars="200"/>
        <w:rPr>
          <w:rFonts w:ascii="宋体" w:hAnsi="宋体" w:cs="宋体"/>
          <w:b/>
          <w:bCs/>
          <w:color w:val="auto"/>
          <w:sz w:val="24"/>
          <w:szCs w:val="24"/>
          <w:highlight w:val="none"/>
        </w:rPr>
      </w:pPr>
      <w:bookmarkStart w:id="32" w:name="_Toc1589"/>
      <w:bookmarkStart w:id="33" w:name="_Toc23056"/>
      <w:r>
        <w:rPr>
          <w:rFonts w:hint="eastAsia" w:ascii="宋体" w:hAnsi="宋体" w:cs="宋体"/>
          <w:b/>
          <w:bCs/>
          <w:color w:val="auto"/>
          <w:sz w:val="24"/>
          <w:szCs w:val="24"/>
          <w:highlight w:val="none"/>
        </w:rPr>
        <w:t>八、对本次采购提出询问，请按以下方式联系</w:t>
      </w:r>
      <w:bookmarkEnd w:id="31"/>
      <w:bookmarkEnd w:id="32"/>
      <w:bookmarkEnd w:id="33"/>
    </w:p>
    <w:p w14:paraId="1C7D027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1.采购人信息</w:t>
      </w:r>
    </w:p>
    <w:p w14:paraId="2B3C81AB">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陕西省马栏监狱</w:t>
      </w:r>
    </w:p>
    <w:p w14:paraId="7281053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‌陕西省咸阳市渭城区望贤路 11 号</w:t>
      </w:r>
    </w:p>
    <w:p w14:paraId="44EB6EFA">
      <w:pPr>
        <w:wordWrap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 xml:space="preserve">李拴让 </w:t>
      </w:r>
    </w:p>
    <w:p w14:paraId="5CB536E6">
      <w:pPr>
        <w:wordWrap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电</w:t>
      </w:r>
      <w:r>
        <w:rPr>
          <w:rFonts w:hint="eastAsia" w:ascii="宋体" w:hAnsi="宋体" w:cs="宋体"/>
          <w:color w:val="auto"/>
          <w:sz w:val="24"/>
          <w:szCs w:val="24"/>
          <w:highlight w:val="none"/>
          <w:lang w:val="en-US" w:eastAsia="zh-CN"/>
        </w:rPr>
        <w:t xml:space="preserve">话：029-32088520  </w:t>
      </w:r>
    </w:p>
    <w:p w14:paraId="0A44577D">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6196F2F3">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陕西恒睿源项目管理有限公司</w:t>
      </w:r>
    </w:p>
    <w:p w14:paraId="787BA0E8">
      <w:pPr>
        <w:adjustRightInd w:val="0"/>
        <w:snapToGrid w:val="0"/>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color w:val="000000"/>
          <w:kern w:val="0"/>
          <w:sz w:val="24"/>
          <w:szCs w:val="24"/>
          <w:highlight w:val="none"/>
          <w:lang w:eastAsia="zh-CN"/>
        </w:rPr>
        <w:t>西安曲江新区雁展路1111号莱安中心1幢1单元12层1215室</w:t>
      </w:r>
    </w:p>
    <w:p w14:paraId="78B4FA8F">
      <w:pPr>
        <w:wordWrap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000000"/>
          <w:kern w:val="0"/>
          <w:sz w:val="24"/>
          <w:szCs w:val="24"/>
          <w:highlight w:val="none"/>
          <w:lang w:val="en-US" w:eastAsia="zh-CN"/>
        </w:rPr>
        <w:t>电子邮件：</w:t>
      </w:r>
      <w:r>
        <w:rPr>
          <w:rFonts w:hint="eastAsia" w:ascii="宋体" w:hAnsi="宋体" w:cs="宋体"/>
          <w:color w:val="auto"/>
          <w:sz w:val="24"/>
          <w:szCs w:val="24"/>
          <w:highlight w:val="none"/>
          <w:lang w:val="en-US" w:eastAsia="zh-CN"/>
        </w:rPr>
        <w:t>378263935</w:t>
      </w:r>
      <w:r>
        <w:rPr>
          <w:rFonts w:hint="eastAsia" w:ascii="宋体" w:hAnsi="宋体" w:cs="宋体"/>
          <w:color w:val="000000"/>
          <w:kern w:val="0"/>
          <w:sz w:val="24"/>
          <w:szCs w:val="24"/>
          <w:highlight w:val="none"/>
          <w:lang w:val="en-US" w:eastAsia="zh-CN"/>
        </w:rPr>
        <w:t>@qq.com</w:t>
      </w:r>
      <w:r>
        <w:rPr>
          <w:rFonts w:hint="eastAsia" w:ascii="宋体" w:hAnsi="宋体" w:cs="宋体"/>
          <w:sz w:val="24"/>
          <w:szCs w:val="24"/>
          <w:highlight w:val="none"/>
        </w:rPr>
        <w:t xml:space="preserve"> </w:t>
      </w:r>
    </w:p>
    <w:p w14:paraId="1581068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3.项目联系方式</w:t>
      </w:r>
    </w:p>
    <w:p w14:paraId="6A3D717C">
      <w:pPr>
        <w:wordWrap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秦工</w:t>
      </w:r>
    </w:p>
    <w:p w14:paraId="36DED1D2">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话：029-89863725</w:t>
      </w:r>
    </w:p>
    <w:p w14:paraId="0A96E4DE">
      <w:pPr>
        <w:rPr>
          <w:rFonts w:hint="eastAsia" w:ascii="黑体" w:hAnsi="黑体" w:cs="黑体"/>
          <w:b w:val="0"/>
          <w:color w:val="auto"/>
          <w:highlight w:val="none"/>
        </w:rPr>
      </w:pPr>
      <w:bookmarkStart w:id="34" w:name="_Toc2666"/>
      <w:r>
        <w:rPr>
          <w:rFonts w:hint="eastAsia" w:ascii="黑体" w:hAnsi="黑体" w:cs="黑体"/>
          <w:b w:val="0"/>
          <w:color w:val="auto"/>
          <w:highlight w:val="none"/>
        </w:rPr>
        <w:br w:type="page"/>
      </w:r>
    </w:p>
    <w:p w14:paraId="3025D210">
      <w:pPr>
        <w:pStyle w:val="2"/>
        <w:rPr>
          <w:rFonts w:ascii="黑体" w:hAnsi="黑体" w:cs="黑体"/>
          <w:b w:val="0"/>
          <w:color w:val="auto"/>
          <w:highlight w:val="none"/>
        </w:rPr>
      </w:pPr>
      <w:r>
        <w:rPr>
          <w:rFonts w:hint="eastAsia" w:ascii="黑体" w:hAnsi="黑体" w:cs="黑体"/>
          <w:b w:val="0"/>
          <w:color w:val="auto"/>
          <w:highlight w:val="none"/>
        </w:rPr>
        <w:t>第二章  供应商须知前附表及</w:t>
      </w:r>
      <w:bookmarkEnd w:id="4"/>
      <w:bookmarkEnd w:id="5"/>
      <w:bookmarkEnd w:id="6"/>
      <w:bookmarkEnd w:id="7"/>
      <w:bookmarkEnd w:id="8"/>
      <w:bookmarkEnd w:id="9"/>
      <w:r>
        <w:rPr>
          <w:rFonts w:hint="eastAsia" w:ascii="黑体" w:hAnsi="黑体" w:cs="黑体"/>
          <w:b w:val="0"/>
          <w:color w:val="auto"/>
          <w:highlight w:val="none"/>
        </w:rPr>
        <w:t>供应商须知</w:t>
      </w:r>
      <w:bookmarkEnd w:id="10"/>
      <w:bookmarkEnd w:id="34"/>
    </w:p>
    <w:p w14:paraId="6017DCA5">
      <w:pPr>
        <w:pStyle w:val="3"/>
        <w:spacing w:line="240" w:lineRule="auto"/>
        <w:rPr>
          <w:color w:val="auto"/>
          <w:highlight w:val="none"/>
        </w:rPr>
      </w:pPr>
      <w:bookmarkStart w:id="35" w:name="_Toc13458"/>
      <w:bookmarkStart w:id="36" w:name="_Toc511316280"/>
      <w:bookmarkStart w:id="37" w:name="_Toc10563089"/>
      <w:bookmarkStart w:id="38" w:name="_Toc504605168"/>
      <w:bookmarkStart w:id="39" w:name="_Toc504605086"/>
      <w:bookmarkStart w:id="40" w:name="_Toc10621833"/>
      <w:bookmarkStart w:id="41" w:name="_Toc10563631"/>
      <w:bookmarkStart w:id="42" w:name="_Toc11888"/>
      <w:bookmarkStart w:id="43" w:name="_Toc12413"/>
      <w:bookmarkStart w:id="44" w:name="_Toc12377615"/>
      <w:r>
        <w:rPr>
          <w:rFonts w:hint="eastAsia"/>
          <w:color w:val="auto"/>
          <w:highlight w:val="none"/>
        </w:rPr>
        <w:t>一、供应商须知前附表</w:t>
      </w:r>
      <w:bookmarkEnd w:id="35"/>
      <w:bookmarkEnd w:id="36"/>
      <w:bookmarkEnd w:id="37"/>
      <w:bookmarkEnd w:id="38"/>
      <w:bookmarkEnd w:id="39"/>
      <w:bookmarkEnd w:id="40"/>
      <w:bookmarkEnd w:id="41"/>
      <w:bookmarkEnd w:id="42"/>
      <w:bookmarkEnd w:id="43"/>
      <w:bookmarkEnd w:id="44"/>
    </w:p>
    <w:tbl>
      <w:tblPr>
        <w:tblStyle w:val="39"/>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529"/>
        <w:gridCol w:w="772"/>
        <w:gridCol w:w="2785"/>
        <w:gridCol w:w="2396"/>
      </w:tblGrid>
      <w:tr w14:paraId="7A41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67" w:type="dxa"/>
            <w:vAlign w:val="center"/>
          </w:tcPr>
          <w:p w14:paraId="313D0D30">
            <w:pPr>
              <w:spacing w:line="360" w:lineRule="auto"/>
              <w:jc w:val="center"/>
              <w:rPr>
                <w:rFonts w:ascii="宋体" w:hAnsi="宋体" w:cs="宋体"/>
                <w:b/>
                <w:bCs/>
                <w:color w:val="auto"/>
                <w:sz w:val="24"/>
                <w:szCs w:val="24"/>
                <w:highlight w:val="none"/>
              </w:rPr>
            </w:pPr>
            <w:bookmarkStart w:id="45" w:name="_Toc10621834"/>
            <w:bookmarkStart w:id="46" w:name="_Toc10563090"/>
            <w:bookmarkStart w:id="47" w:name="_Toc10563632"/>
            <w:bookmarkStart w:id="48" w:name="_Toc12377616"/>
            <w:bookmarkStart w:id="49" w:name="_Toc511316281"/>
            <w:bookmarkStart w:id="50" w:name="_Toc504605087"/>
            <w:bookmarkStart w:id="51" w:name="_Toc504605169"/>
            <w:r>
              <w:rPr>
                <w:rFonts w:hint="eastAsia" w:ascii="宋体" w:hAnsi="宋体" w:cs="宋体"/>
                <w:b/>
                <w:bCs/>
                <w:color w:val="auto"/>
                <w:sz w:val="24"/>
                <w:szCs w:val="24"/>
                <w:highlight w:val="none"/>
              </w:rPr>
              <w:t>条款号</w:t>
            </w:r>
          </w:p>
        </w:tc>
        <w:tc>
          <w:tcPr>
            <w:tcW w:w="1529" w:type="dxa"/>
            <w:vAlign w:val="center"/>
          </w:tcPr>
          <w:p w14:paraId="0AD90BDA">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条款名称</w:t>
            </w:r>
          </w:p>
        </w:tc>
        <w:tc>
          <w:tcPr>
            <w:tcW w:w="5953" w:type="dxa"/>
            <w:gridSpan w:val="3"/>
            <w:vAlign w:val="center"/>
          </w:tcPr>
          <w:p w14:paraId="20A0C88E">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编列内容</w:t>
            </w:r>
          </w:p>
        </w:tc>
      </w:tr>
      <w:tr w14:paraId="6951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3CEAB07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1.1.5</w:t>
            </w:r>
          </w:p>
        </w:tc>
        <w:tc>
          <w:tcPr>
            <w:tcW w:w="1529" w:type="dxa"/>
            <w:vAlign w:val="center"/>
          </w:tcPr>
          <w:p w14:paraId="1076E98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工程地点</w:t>
            </w:r>
          </w:p>
        </w:tc>
        <w:tc>
          <w:tcPr>
            <w:tcW w:w="5953" w:type="dxa"/>
            <w:gridSpan w:val="3"/>
            <w:vAlign w:val="center"/>
          </w:tcPr>
          <w:p w14:paraId="4D09F7A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陕西省马栏监狱</w:t>
            </w:r>
          </w:p>
        </w:tc>
      </w:tr>
      <w:tr w14:paraId="31BB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1D65042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1.3.1</w:t>
            </w:r>
          </w:p>
        </w:tc>
        <w:tc>
          <w:tcPr>
            <w:tcW w:w="1529" w:type="dxa"/>
            <w:vAlign w:val="center"/>
          </w:tcPr>
          <w:p w14:paraId="563A07A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采购范围</w:t>
            </w:r>
          </w:p>
        </w:tc>
        <w:tc>
          <w:tcPr>
            <w:tcW w:w="5953" w:type="dxa"/>
            <w:gridSpan w:val="3"/>
            <w:vAlign w:val="center"/>
          </w:tcPr>
          <w:p w14:paraId="2E845A1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项目为陕西省马栏监狱罪犯伙房屋面防水维修工程，项目位于陕西省咸阳市渭滨区。维修内容：罪犯伙房监区屋面防水维修、罪犯伙房操作大厅屋面防水维修(北半侧)、罪犯伙房屋面设备基础维修、屋面防水层拆除及垃圾外运、医疗防疫站卫生间改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2号楼前篮球场维修</w:t>
            </w:r>
            <w:r>
              <w:rPr>
                <w:rFonts w:hint="eastAsia" w:ascii="宋体" w:hAnsi="宋体" w:cs="宋体"/>
                <w:color w:val="auto"/>
                <w:sz w:val="24"/>
                <w:szCs w:val="24"/>
                <w:highlight w:val="none"/>
              </w:rPr>
              <w:t>及零星维修等工程。具体内容及要求详见本竞争性磋商文件、答疑文件中所涵盖的全部服务内容。</w:t>
            </w:r>
          </w:p>
        </w:tc>
      </w:tr>
      <w:tr w14:paraId="27B6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1D8ED96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1.3.2</w:t>
            </w:r>
          </w:p>
        </w:tc>
        <w:tc>
          <w:tcPr>
            <w:tcW w:w="1529" w:type="dxa"/>
            <w:vAlign w:val="center"/>
          </w:tcPr>
          <w:p w14:paraId="44EE81F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工期</w:t>
            </w:r>
          </w:p>
        </w:tc>
        <w:tc>
          <w:tcPr>
            <w:tcW w:w="5953" w:type="dxa"/>
            <w:gridSpan w:val="3"/>
            <w:vAlign w:val="center"/>
          </w:tcPr>
          <w:p w14:paraId="05A2A98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自接到采购人开工通知之日起</w:t>
            </w:r>
            <w:r>
              <w:rPr>
                <w:rFonts w:hint="eastAsia" w:ascii="宋体" w:hAnsi="宋体" w:cs="宋体"/>
                <w:color w:val="auto"/>
                <w:sz w:val="24"/>
                <w:szCs w:val="24"/>
                <w:highlight w:val="none"/>
                <w:u w:val="single"/>
                <w:lang w:val="en-US" w:eastAsia="zh-CN"/>
              </w:rPr>
              <w:t>45</w:t>
            </w:r>
            <w:r>
              <w:rPr>
                <w:rFonts w:hint="eastAsia" w:ascii="宋体" w:hAnsi="宋体" w:cs="宋体"/>
                <w:color w:val="auto"/>
                <w:sz w:val="24"/>
                <w:szCs w:val="24"/>
                <w:highlight w:val="none"/>
              </w:rPr>
              <w:t>日历天内</w:t>
            </w:r>
          </w:p>
        </w:tc>
      </w:tr>
      <w:tr w14:paraId="3AD4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6956BBB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1.3.3</w:t>
            </w:r>
          </w:p>
        </w:tc>
        <w:tc>
          <w:tcPr>
            <w:tcW w:w="1529" w:type="dxa"/>
            <w:vAlign w:val="center"/>
          </w:tcPr>
          <w:p w14:paraId="002463E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5953" w:type="dxa"/>
            <w:gridSpan w:val="3"/>
            <w:vAlign w:val="center"/>
          </w:tcPr>
          <w:p w14:paraId="7A125E8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满足现行《建筑与市政工程施工质量控制通用规范》的要求，质量验收合格。</w:t>
            </w:r>
          </w:p>
        </w:tc>
      </w:tr>
      <w:tr w14:paraId="7D6C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3DCF270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1.4.1</w:t>
            </w:r>
          </w:p>
        </w:tc>
        <w:tc>
          <w:tcPr>
            <w:tcW w:w="1529" w:type="dxa"/>
            <w:vAlign w:val="center"/>
          </w:tcPr>
          <w:p w14:paraId="68BEF8C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供应商资质条件</w:t>
            </w:r>
          </w:p>
        </w:tc>
        <w:tc>
          <w:tcPr>
            <w:tcW w:w="5953" w:type="dxa"/>
            <w:gridSpan w:val="3"/>
            <w:vAlign w:val="center"/>
          </w:tcPr>
          <w:p w14:paraId="52A088F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详见本文件“第一章 竞争性磋商公告”供应商资格要求。</w:t>
            </w:r>
          </w:p>
        </w:tc>
      </w:tr>
      <w:tr w14:paraId="11F5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33570EE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1.10</w:t>
            </w:r>
          </w:p>
        </w:tc>
        <w:tc>
          <w:tcPr>
            <w:tcW w:w="1529" w:type="dxa"/>
            <w:vAlign w:val="center"/>
          </w:tcPr>
          <w:p w14:paraId="6FDC7C3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答疑</w:t>
            </w:r>
          </w:p>
        </w:tc>
        <w:tc>
          <w:tcPr>
            <w:tcW w:w="5953" w:type="dxa"/>
            <w:gridSpan w:val="3"/>
            <w:vAlign w:val="center"/>
          </w:tcPr>
          <w:p w14:paraId="6ADA425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已领取本竞争性磋商文件的供应商若对本竞争性磋商文件有疑问，需要采购人或采购代理机构回复的，应在响应文件递交截止时间5天前向采购代理机构指定邮箱提交疑问问题word版电子文件以及加盖公章的PDF扫描件，如缺少上述要求的书面材料或逾期提交的，采购人或采购代理机构将依法不予进行回复。指定邮箱为：</w:t>
            </w:r>
            <w:r>
              <w:rPr>
                <w:rFonts w:hint="eastAsia" w:ascii="宋体" w:hAnsi="宋体" w:cs="宋体"/>
                <w:color w:val="auto"/>
                <w:sz w:val="24"/>
                <w:szCs w:val="24"/>
                <w:highlight w:val="none"/>
                <w:lang w:val="en-US" w:eastAsia="zh-CN"/>
              </w:rPr>
              <w:t>378262935</w:t>
            </w:r>
            <w:r>
              <w:rPr>
                <w:rFonts w:hint="eastAsia" w:ascii="宋体" w:hAnsi="宋体" w:cs="宋体"/>
                <w:color w:val="auto"/>
                <w:sz w:val="24"/>
                <w:szCs w:val="24"/>
                <w:highlight w:val="none"/>
              </w:rPr>
              <w:t>@qq.com</w:t>
            </w:r>
          </w:p>
        </w:tc>
      </w:tr>
      <w:tr w14:paraId="2EA3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0250F4A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3.1.2</w:t>
            </w:r>
          </w:p>
        </w:tc>
        <w:tc>
          <w:tcPr>
            <w:tcW w:w="1529" w:type="dxa"/>
            <w:vAlign w:val="center"/>
          </w:tcPr>
          <w:p w14:paraId="22DE703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响应文件的</w:t>
            </w:r>
          </w:p>
          <w:p w14:paraId="18305F3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份数</w:t>
            </w:r>
          </w:p>
        </w:tc>
        <w:tc>
          <w:tcPr>
            <w:tcW w:w="5953" w:type="dxa"/>
            <w:gridSpan w:val="3"/>
            <w:vAlign w:val="center"/>
          </w:tcPr>
          <w:p w14:paraId="49529F0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本一份、副本二份、电子版文件一份，电子版（电子版本文件为与纸质版本响应文件一致的word版本及盖章签字后扫描的PDF版本各一份，电子版内容仅作为后期留存资料，如后期核对中发现电子版本与纸质版本内容不一致或因故无法正常读取的，供应商应配合及时完成更换）</w:t>
            </w:r>
          </w:p>
          <w:p w14:paraId="66B7E93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备注：电子版文件存储介质：U盘，供应商所递交的U盘上用标签注明单位简称、项目名称，便于审查。</w:t>
            </w:r>
          </w:p>
        </w:tc>
      </w:tr>
      <w:tr w14:paraId="0B6E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5BD4CD7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3.1.3</w:t>
            </w:r>
          </w:p>
        </w:tc>
        <w:tc>
          <w:tcPr>
            <w:tcW w:w="1529" w:type="dxa"/>
            <w:vAlign w:val="center"/>
          </w:tcPr>
          <w:p w14:paraId="7622EEF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响应文件的密封与包装</w:t>
            </w:r>
          </w:p>
        </w:tc>
        <w:tc>
          <w:tcPr>
            <w:tcW w:w="5953" w:type="dxa"/>
            <w:gridSpan w:val="3"/>
            <w:vAlign w:val="center"/>
          </w:tcPr>
          <w:p w14:paraId="2443522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1.响应文件正、副本应分别胶装成册，装订应牢固、不易拆散和换页，不得采用活页装订。</w:t>
            </w:r>
          </w:p>
          <w:p w14:paraId="678ADA6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2.密封包装方式：</w:t>
            </w:r>
          </w:p>
          <w:p w14:paraId="450BB13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响应文件的正本与电子版文件（U盘）密封于一个密封袋内，副本密封于一个密封袋内。</w:t>
            </w:r>
          </w:p>
          <w:p w14:paraId="0D54391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3.封套上应载明的信息：照本文件“第六章 响应文件格式”编制。</w:t>
            </w:r>
          </w:p>
        </w:tc>
      </w:tr>
      <w:tr w14:paraId="55DE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1B848CC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3.2.3</w:t>
            </w:r>
          </w:p>
        </w:tc>
        <w:tc>
          <w:tcPr>
            <w:tcW w:w="1529" w:type="dxa"/>
            <w:vAlign w:val="center"/>
          </w:tcPr>
          <w:p w14:paraId="060DA8A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磋商</w:t>
            </w:r>
          </w:p>
          <w:p w14:paraId="770AD47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报价要求</w:t>
            </w:r>
          </w:p>
        </w:tc>
        <w:tc>
          <w:tcPr>
            <w:tcW w:w="5953" w:type="dxa"/>
            <w:gridSpan w:val="3"/>
            <w:vAlign w:val="center"/>
          </w:tcPr>
          <w:p w14:paraId="433AD01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应充分考虑竞争性磋商文件的各项条款和所掌握的市场情况及本工程的实际情况，且应根据企业自身情况以“总价及全费用单价”的形式自主填报响应报价。（以所填报的总价参与价格分的评审，以成交全费用单价为准结合合同约定的结算方式进行最终结算） </w:t>
            </w:r>
          </w:p>
          <w:p w14:paraId="68F6703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本项目所填报的响应报价，包括但不限于完成本项目招标范围内各项工程所投入的破除、内倒、窝工、外运、消纳、人工费、材料费、机械设备使用费、管理费、利润、税金、水、电等一切与之相关的费用。响应供应商的响应总价应综合考虑竞争性磋商文件中提出的各项费用支出设备材料价格、资金拨付、政策性调整等未知风险因素。</w:t>
            </w:r>
          </w:p>
          <w:p w14:paraId="6ACECE5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供应商可自行到实施地点踏勘以充分了解工地位置、情况、道路、储存空间、装卸限制及任何其他足以影响响应报价的情况，供应商因忽视或误解工地情况而导致的其提出的任何索赔或工期延长申请将不被批准。凡因供应商对竞争性磋商文件阅读疏忽或误解，或因对施工现场、施工环境、市场行情等了解不清而造成的后果和风险，由供应商自行负责。</w:t>
            </w:r>
          </w:p>
          <w:p w14:paraId="2B1DCFA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所有材料必须使用合格产品，竞争性磋商文件如对材料的材质、品牌等有明确要求的，不得变更相关要求，使用前应当由采购人认质确认后方可投入使用。工程施工完毕后需对施工场地进行保洁，保洁标准达到采购人要求。</w:t>
            </w:r>
          </w:p>
          <w:p w14:paraId="4DA89E7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5.供应商的响应报价包括项目实施过程中按表计量的工程水、电费并支付给采购人。如项目实施期间，国家对税收进行调整的，按最新相关规定执行。</w:t>
            </w:r>
          </w:p>
          <w:p w14:paraId="661F0D5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6.要求的其他相关费用以本竞争性磋商文件的内容和要求作为响应依据。</w:t>
            </w:r>
          </w:p>
          <w:p w14:paraId="0A32FD68">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本项目最终成交单价需根据一次报价与二次报价的差额，在保持暂列金额不变的情况下，在一次清单报价的基础上，进行调整，并保证总金额与二次报价一致，且分项报价不得高于一次分项报价；</w:t>
            </w:r>
          </w:p>
          <w:p w14:paraId="6309673C">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关于本项目的结算方式、价格调整办法详见本文件中“第五章  拟签订的合同文本”</w:t>
            </w:r>
            <w:r>
              <w:rPr>
                <w:rFonts w:hint="eastAsia" w:ascii="宋体" w:hAnsi="宋体" w:cs="宋体"/>
                <w:color w:val="auto"/>
                <w:sz w:val="24"/>
                <w:szCs w:val="24"/>
                <w:highlight w:val="none"/>
                <w:lang w:eastAsia="zh-CN"/>
              </w:rPr>
              <w:t>；</w:t>
            </w:r>
          </w:p>
        </w:tc>
      </w:tr>
      <w:tr w14:paraId="70FD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29657E0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3.3.1</w:t>
            </w:r>
          </w:p>
        </w:tc>
        <w:tc>
          <w:tcPr>
            <w:tcW w:w="1529" w:type="dxa"/>
            <w:vAlign w:val="center"/>
          </w:tcPr>
          <w:p w14:paraId="5C39F63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磋商有效期</w:t>
            </w:r>
          </w:p>
        </w:tc>
        <w:tc>
          <w:tcPr>
            <w:tcW w:w="5953" w:type="dxa"/>
            <w:gridSpan w:val="3"/>
            <w:vAlign w:val="center"/>
          </w:tcPr>
          <w:p w14:paraId="3157D09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自响应文件递交截止之日起90天。</w:t>
            </w:r>
          </w:p>
        </w:tc>
      </w:tr>
      <w:tr w14:paraId="0379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50916EF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3.4</w:t>
            </w:r>
          </w:p>
        </w:tc>
        <w:tc>
          <w:tcPr>
            <w:tcW w:w="1529" w:type="dxa"/>
            <w:vAlign w:val="center"/>
          </w:tcPr>
          <w:p w14:paraId="15F1CE7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磋商保证金</w:t>
            </w:r>
          </w:p>
        </w:tc>
        <w:tc>
          <w:tcPr>
            <w:tcW w:w="5953" w:type="dxa"/>
            <w:gridSpan w:val="3"/>
            <w:vAlign w:val="center"/>
          </w:tcPr>
          <w:p w14:paraId="24C51AC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需要交纳。响应保证金要求如下：</w:t>
            </w:r>
          </w:p>
          <w:p w14:paraId="464B35CB">
            <w:pPr>
              <w:spacing w:line="360" w:lineRule="auto"/>
              <w:rPr>
                <w:rFonts w:ascii="宋体" w:hAnsi="宋体" w:cs="宋体"/>
                <w:color w:val="auto"/>
                <w:sz w:val="24"/>
                <w:szCs w:val="24"/>
                <w:highlight w:val="none"/>
                <w:u w:val="none" w:color="auto"/>
              </w:rPr>
            </w:pPr>
            <w:r>
              <w:rPr>
                <w:rFonts w:hint="eastAsia" w:ascii="宋体" w:hAnsi="宋体" w:cs="宋体"/>
                <w:color w:val="auto"/>
                <w:sz w:val="24"/>
                <w:szCs w:val="24"/>
                <w:highlight w:val="none"/>
                <w:u w:val="none" w:color="auto"/>
              </w:rPr>
              <w:t>1.交纳金额：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伍仟元整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000元）</w:t>
            </w:r>
            <w:r>
              <w:rPr>
                <w:rFonts w:hint="eastAsia" w:ascii="宋体" w:hAnsi="宋体" w:cs="宋体"/>
                <w:color w:val="auto"/>
                <w:sz w:val="24"/>
                <w:szCs w:val="24"/>
                <w:highlight w:val="none"/>
                <w:u w:val="none" w:color="auto"/>
              </w:rPr>
              <w:t xml:space="preserve"> </w:t>
            </w:r>
          </w:p>
          <w:p w14:paraId="7E2E2BA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2.交纳时间：以到账时间为准，由于转账当天不一定能够到账，为避免因保证金未到账而导致采购被拒绝，建议提前转账；缴纳截至时间以响应文件递交截至时间为准。</w:t>
            </w:r>
          </w:p>
          <w:p w14:paraId="0D264E4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响应保证金的交纳形式：本项目接受所有符合国家相关规定形式的保证金缴纳（包括但不限于现金转账、银行保函、担保公司出具的保函或保险机构出具的保证保险保单、电子保函等)，鼓励采用电子保函形式缴纳。</w:t>
            </w:r>
          </w:p>
          <w:p w14:paraId="67561ADE">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4.指定账户名称：</w:t>
            </w:r>
            <w:r>
              <w:rPr>
                <w:rFonts w:hint="eastAsia" w:ascii="宋体" w:hAnsi="宋体" w:cs="宋体"/>
                <w:color w:val="auto"/>
                <w:sz w:val="24"/>
                <w:szCs w:val="24"/>
                <w:highlight w:val="none"/>
                <w:lang w:eastAsia="zh-CN"/>
              </w:rPr>
              <w:t>陕西恒睿源项目管理有限公司</w:t>
            </w:r>
          </w:p>
          <w:p w14:paraId="5CC573A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账  号：8111701012500587913</w:t>
            </w:r>
          </w:p>
          <w:p w14:paraId="408B6ED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开户行：中信银行股份有限公司西安朱雀南路支行</w:t>
            </w:r>
          </w:p>
          <w:p w14:paraId="5C68A3B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转账事由：【项目编号（或项目名称）磋商响应保证金】</w:t>
            </w:r>
          </w:p>
          <w:p w14:paraId="6F801C9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注：供应商必须将上述转账事由填写清楚，否则所带来的不利后果由其自行承担。</w:t>
            </w:r>
          </w:p>
          <w:p w14:paraId="298EB35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注：①对公转账、电汇时必须写明【项目编号（或项目名称）响应保证金】等字样，便于采购代理机构查询登记。</w:t>
            </w:r>
          </w:p>
          <w:p w14:paraId="5297C56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响应保证金交纳时间以到达指定账户时间为准。各供应商在银行转账（电汇）时，须充分考虑银行转账（电汇）的时间差风险，如同城转账、异地转账或汇款、跨行转账或电汇的时间要求，确保在本文件规定的交纳截止时间之前交纳进入到指定账户内的响应保证金，如果在本文件规定的交纳截止时间之前未能收到响应保证金，则视为未响应本竞争性磋商文件要求，按照为无效响应处理，不得进入后续评审环节。</w:t>
            </w:r>
          </w:p>
        </w:tc>
      </w:tr>
      <w:tr w14:paraId="50DA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Merge w:val="restart"/>
            <w:vAlign w:val="center"/>
          </w:tcPr>
          <w:p w14:paraId="5941110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3.5</w:t>
            </w:r>
          </w:p>
        </w:tc>
        <w:tc>
          <w:tcPr>
            <w:tcW w:w="1529" w:type="dxa"/>
            <w:vMerge w:val="restart"/>
            <w:vAlign w:val="center"/>
          </w:tcPr>
          <w:p w14:paraId="54D6CAF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资格审查要求及审查</w:t>
            </w:r>
          </w:p>
          <w:p w14:paraId="5093EFB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依据</w:t>
            </w:r>
          </w:p>
        </w:tc>
        <w:tc>
          <w:tcPr>
            <w:tcW w:w="772" w:type="dxa"/>
            <w:vAlign w:val="center"/>
          </w:tcPr>
          <w:p w14:paraId="45159B18">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2785" w:type="dxa"/>
            <w:vAlign w:val="center"/>
          </w:tcPr>
          <w:p w14:paraId="05142E3A">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资格审查要求</w:t>
            </w:r>
          </w:p>
        </w:tc>
        <w:tc>
          <w:tcPr>
            <w:tcW w:w="2396" w:type="dxa"/>
            <w:vAlign w:val="center"/>
          </w:tcPr>
          <w:p w14:paraId="2BA8AD74">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审查内容及依据</w:t>
            </w:r>
          </w:p>
        </w:tc>
      </w:tr>
      <w:tr w14:paraId="1FA3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Merge w:val="continue"/>
            <w:vAlign w:val="center"/>
          </w:tcPr>
          <w:p w14:paraId="0544BD78">
            <w:pPr>
              <w:spacing w:line="360" w:lineRule="auto"/>
              <w:rPr>
                <w:rFonts w:ascii="宋体" w:hAnsi="宋体" w:cs="宋体"/>
                <w:color w:val="auto"/>
                <w:sz w:val="24"/>
                <w:szCs w:val="24"/>
                <w:highlight w:val="none"/>
              </w:rPr>
            </w:pPr>
          </w:p>
        </w:tc>
        <w:tc>
          <w:tcPr>
            <w:tcW w:w="1529" w:type="dxa"/>
            <w:vMerge w:val="continue"/>
            <w:vAlign w:val="center"/>
          </w:tcPr>
          <w:p w14:paraId="029CC139">
            <w:pPr>
              <w:spacing w:line="360" w:lineRule="auto"/>
              <w:rPr>
                <w:rFonts w:ascii="宋体" w:hAnsi="宋体" w:cs="宋体"/>
                <w:color w:val="auto"/>
                <w:sz w:val="24"/>
                <w:szCs w:val="24"/>
                <w:highlight w:val="none"/>
              </w:rPr>
            </w:pPr>
          </w:p>
        </w:tc>
        <w:tc>
          <w:tcPr>
            <w:tcW w:w="772" w:type="dxa"/>
            <w:vAlign w:val="center"/>
          </w:tcPr>
          <w:p w14:paraId="3465D7F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785" w:type="dxa"/>
            <w:vAlign w:val="center"/>
          </w:tcPr>
          <w:p w14:paraId="45ED197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符合《中华人民共和国政府采购法》第二十二条的规定；</w:t>
            </w:r>
          </w:p>
        </w:tc>
        <w:tc>
          <w:tcPr>
            <w:tcW w:w="2396" w:type="dxa"/>
            <w:vAlign w:val="center"/>
          </w:tcPr>
          <w:p w14:paraId="05EB6DBF">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color w:val="auto"/>
                <w:sz w:val="24"/>
                <w:szCs w:val="24"/>
                <w:highlight w:val="none"/>
              </w:rPr>
              <w:t>供应商应在响应文件中附符合本条要求的承诺函并加盖公章，格式及内容详见本项目竞争性磋商文件“第六章 响应文件格式”</w:t>
            </w:r>
          </w:p>
        </w:tc>
      </w:tr>
      <w:tr w14:paraId="6280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Merge w:val="continue"/>
            <w:vAlign w:val="center"/>
          </w:tcPr>
          <w:p w14:paraId="0C07A1C7">
            <w:pPr>
              <w:spacing w:line="360" w:lineRule="auto"/>
              <w:rPr>
                <w:rFonts w:ascii="宋体" w:hAnsi="宋体" w:cs="宋体"/>
                <w:color w:val="auto"/>
                <w:sz w:val="24"/>
                <w:szCs w:val="24"/>
                <w:highlight w:val="none"/>
              </w:rPr>
            </w:pPr>
          </w:p>
        </w:tc>
        <w:tc>
          <w:tcPr>
            <w:tcW w:w="1529" w:type="dxa"/>
            <w:vMerge w:val="continue"/>
            <w:vAlign w:val="center"/>
          </w:tcPr>
          <w:p w14:paraId="03F9514E">
            <w:pPr>
              <w:spacing w:line="360" w:lineRule="auto"/>
              <w:rPr>
                <w:rFonts w:ascii="宋体" w:hAnsi="宋体" w:cs="宋体"/>
                <w:color w:val="auto"/>
                <w:sz w:val="24"/>
                <w:szCs w:val="24"/>
                <w:highlight w:val="none"/>
              </w:rPr>
            </w:pPr>
          </w:p>
        </w:tc>
        <w:tc>
          <w:tcPr>
            <w:tcW w:w="772" w:type="dxa"/>
            <w:vAlign w:val="center"/>
          </w:tcPr>
          <w:p w14:paraId="32F75A6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785" w:type="dxa"/>
            <w:vAlign w:val="center"/>
          </w:tcPr>
          <w:p w14:paraId="512E57F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供应商为向采购人提供工程及配套服务的法人或其他组织；</w:t>
            </w:r>
          </w:p>
        </w:tc>
        <w:tc>
          <w:tcPr>
            <w:tcW w:w="2396" w:type="dxa"/>
            <w:vAlign w:val="center"/>
          </w:tcPr>
          <w:p w14:paraId="4460D7DB">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color w:val="auto"/>
                <w:sz w:val="24"/>
                <w:szCs w:val="24"/>
                <w:highlight w:val="none"/>
              </w:rPr>
              <w:t>供应商应提供营业执照复印件或扫描件，其他组织提供相应证明材料。</w:t>
            </w:r>
          </w:p>
        </w:tc>
      </w:tr>
      <w:tr w14:paraId="2B31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Merge w:val="continue"/>
            <w:vAlign w:val="center"/>
          </w:tcPr>
          <w:p w14:paraId="72C7E685">
            <w:pPr>
              <w:spacing w:line="360" w:lineRule="auto"/>
              <w:rPr>
                <w:rFonts w:ascii="宋体" w:hAnsi="宋体" w:cs="宋体"/>
                <w:color w:val="auto"/>
                <w:sz w:val="24"/>
                <w:szCs w:val="24"/>
                <w:highlight w:val="none"/>
              </w:rPr>
            </w:pPr>
          </w:p>
        </w:tc>
        <w:tc>
          <w:tcPr>
            <w:tcW w:w="1529" w:type="dxa"/>
            <w:vMerge w:val="continue"/>
            <w:vAlign w:val="center"/>
          </w:tcPr>
          <w:p w14:paraId="030E54BF">
            <w:pPr>
              <w:spacing w:line="360" w:lineRule="auto"/>
              <w:rPr>
                <w:rFonts w:ascii="宋体" w:hAnsi="宋体" w:cs="宋体"/>
                <w:color w:val="auto"/>
                <w:sz w:val="24"/>
                <w:szCs w:val="24"/>
                <w:highlight w:val="none"/>
              </w:rPr>
            </w:pPr>
          </w:p>
        </w:tc>
        <w:tc>
          <w:tcPr>
            <w:tcW w:w="772" w:type="dxa"/>
            <w:vAlign w:val="center"/>
          </w:tcPr>
          <w:p w14:paraId="1659BDC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785" w:type="dxa"/>
            <w:vAlign w:val="center"/>
          </w:tcPr>
          <w:p w14:paraId="41F4E7E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未被“信用中国”网站列入“重大税收违法失信主体名单”“安全生产严重失信主体名单（法人）”，未被“中国执行信息公开网”列入“失信被执行人”，未被“中国政府采购网”网站列入“政府采购严重违法失信行为记录名单”，未被“国家企业信用信息公示系统”网站“列入严重违法失信名单（黑名单）信息”；</w:t>
            </w:r>
          </w:p>
          <w:p w14:paraId="3BF65C3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同时拟派项目经理未被列入“信用中国”网站的“重点领域严重失信主体名单”中的“安全生产严重失信主体名单（自然人）”，未被“中国执行信息公开网”列入失信被执行人；</w:t>
            </w:r>
          </w:p>
        </w:tc>
        <w:tc>
          <w:tcPr>
            <w:tcW w:w="2396" w:type="dxa"/>
            <w:vAlign w:val="center"/>
          </w:tcPr>
          <w:p w14:paraId="35D16F38">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color w:val="auto"/>
                <w:sz w:val="24"/>
                <w:szCs w:val="24"/>
                <w:highlight w:val="none"/>
              </w:rPr>
              <w:t>供应商应在响应文件中附符合本条要求的承诺函并加盖公章，格式及内容详见本项目竞争性磋商文件“第六章 响应文件格式”</w:t>
            </w:r>
          </w:p>
        </w:tc>
      </w:tr>
      <w:tr w14:paraId="45AD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Merge w:val="continue"/>
            <w:vAlign w:val="center"/>
          </w:tcPr>
          <w:p w14:paraId="6D120222">
            <w:pPr>
              <w:spacing w:line="360" w:lineRule="auto"/>
              <w:rPr>
                <w:rFonts w:ascii="宋体" w:hAnsi="宋体" w:cs="宋体"/>
                <w:color w:val="auto"/>
                <w:sz w:val="24"/>
                <w:szCs w:val="24"/>
                <w:highlight w:val="none"/>
              </w:rPr>
            </w:pPr>
          </w:p>
        </w:tc>
        <w:tc>
          <w:tcPr>
            <w:tcW w:w="1529" w:type="dxa"/>
            <w:vMerge w:val="continue"/>
            <w:vAlign w:val="center"/>
          </w:tcPr>
          <w:p w14:paraId="49CFB898">
            <w:pPr>
              <w:spacing w:line="360" w:lineRule="auto"/>
              <w:rPr>
                <w:rFonts w:ascii="宋体" w:hAnsi="宋体" w:cs="宋体"/>
                <w:color w:val="auto"/>
                <w:sz w:val="24"/>
                <w:szCs w:val="24"/>
                <w:highlight w:val="none"/>
              </w:rPr>
            </w:pPr>
          </w:p>
        </w:tc>
        <w:tc>
          <w:tcPr>
            <w:tcW w:w="772" w:type="dxa"/>
            <w:vAlign w:val="center"/>
          </w:tcPr>
          <w:p w14:paraId="28D7432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785" w:type="dxa"/>
            <w:vAlign w:val="center"/>
          </w:tcPr>
          <w:p w14:paraId="7CDE687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单位负责人为同一人或者存在直接控股、管理关系的不同供应商，不得参加同一合同项下的政府采购活动；</w:t>
            </w:r>
          </w:p>
        </w:tc>
        <w:tc>
          <w:tcPr>
            <w:tcW w:w="2396" w:type="dxa"/>
            <w:vAlign w:val="center"/>
          </w:tcPr>
          <w:p w14:paraId="3F66AFED">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color w:val="auto"/>
                <w:sz w:val="24"/>
                <w:szCs w:val="24"/>
                <w:highlight w:val="none"/>
              </w:rPr>
              <w:t>供应商应在响应文件中附符合本条要求的供应商关联关系说明并加盖公章，格式及内容详见本项目竞争性磋商文件“第六章 响应文件格式”</w:t>
            </w:r>
          </w:p>
        </w:tc>
      </w:tr>
      <w:tr w14:paraId="463E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Merge w:val="continue"/>
            <w:vAlign w:val="center"/>
          </w:tcPr>
          <w:p w14:paraId="7D6928B4">
            <w:pPr>
              <w:spacing w:line="360" w:lineRule="auto"/>
              <w:rPr>
                <w:rFonts w:ascii="宋体" w:hAnsi="宋体" w:cs="宋体"/>
                <w:color w:val="auto"/>
                <w:sz w:val="24"/>
                <w:szCs w:val="24"/>
                <w:highlight w:val="none"/>
              </w:rPr>
            </w:pPr>
          </w:p>
        </w:tc>
        <w:tc>
          <w:tcPr>
            <w:tcW w:w="1529" w:type="dxa"/>
            <w:vMerge w:val="continue"/>
            <w:vAlign w:val="center"/>
          </w:tcPr>
          <w:p w14:paraId="7E363EDA">
            <w:pPr>
              <w:spacing w:line="360" w:lineRule="auto"/>
              <w:rPr>
                <w:rFonts w:ascii="宋体" w:hAnsi="宋体" w:cs="宋体"/>
                <w:color w:val="auto"/>
                <w:sz w:val="24"/>
                <w:szCs w:val="24"/>
                <w:highlight w:val="none"/>
              </w:rPr>
            </w:pPr>
          </w:p>
        </w:tc>
        <w:tc>
          <w:tcPr>
            <w:tcW w:w="772" w:type="dxa"/>
            <w:vAlign w:val="center"/>
          </w:tcPr>
          <w:p w14:paraId="20D310F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785" w:type="dxa"/>
            <w:vAlign w:val="center"/>
          </w:tcPr>
          <w:p w14:paraId="25FA47C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供应商具备建设行政主管部门颁发的防水防腐保温工程专业承包二级（含）以上资质；同时具备有效的安全生产许可证，并在人员、设备、资金等方面具备相应的能力；</w:t>
            </w:r>
          </w:p>
        </w:tc>
        <w:tc>
          <w:tcPr>
            <w:tcW w:w="2396" w:type="dxa"/>
            <w:vAlign w:val="center"/>
          </w:tcPr>
          <w:p w14:paraId="7D54332A">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color w:val="auto"/>
                <w:sz w:val="24"/>
                <w:szCs w:val="24"/>
                <w:highlight w:val="none"/>
              </w:rPr>
              <w:t xml:space="preserve">供应商应在响应文件中提供上述证明资料的复印件或扫描件及承诺函并加盖单位公章。承诺函格式及内容详见本项目竞争性磋商文件“第六章 响应文件格式” </w:t>
            </w:r>
          </w:p>
        </w:tc>
      </w:tr>
      <w:tr w14:paraId="66A5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Merge w:val="continue"/>
            <w:vAlign w:val="center"/>
          </w:tcPr>
          <w:p w14:paraId="3A7A42C0">
            <w:pPr>
              <w:spacing w:line="360" w:lineRule="auto"/>
              <w:rPr>
                <w:rFonts w:ascii="宋体" w:hAnsi="宋体" w:cs="宋体"/>
                <w:color w:val="auto"/>
                <w:sz w:val="24"/>
                <w:szCs w:val="24"/>
                <w:highlight w:val="none"/>
              </w:rPr>
            </w:pPr>
          </w:p>
        </w:tc>
        <w:tc>
          <w:tcPr>
            <w:tcW w:w="1529" w:type="dxa"/>
            <w:vMerge w:val="continue"/>
            <w:vAlign w:val="center"/>
          </w:tcPr>
          <w:p w14:paraId="36CBF146">
            <w:pPr>
              <w:spacing w:line="360" w:lineRule="auto"/>
              <w:rPr>
                <w:rFonts w:ascii="宋体" w:hAnsi="宋体" w:cs="宋体"/>
                <w:color w:val="auto"/>
                <w:sz w:val="24"/>
                <w:szCs w:val="24"/>
                <w:highlight w:val="none"/>
              </w:rPr>
            </w:pPr>
          </w:p>
        </w:tc>
        <w:tc>
          <w:tcPr>
            <w:tcW w:w="772" w:type="dxa"/>
            <w:vAlign w:val="center"/>
          </w:tcPr>
          <w:p w14:paraId="4F659D7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785" w:type="dxa"/>
            <w:vAlign w:val="center"/>
          </w:tcPr>
          <w:p w14:paraId="34C5563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拟派项目经理应具备建筑工程专业二级（含）以上注册建造师执业资格及合法有效的安全生产考核合格证（安全B证），在本单位注册且无在建工程；</w:t>
            </w:r>
          </w:p>
        </w:tc>
        <w:tc>
          <w:tcPr>
            <w:tcW w:w="2396" w:type="dxa"/>
            <w:vAlign w:val="center"/>
          </w:tcPr>
          <w:p w14:paraId="7D608C64">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color w:val="auto"/>
                <w:sz w:val="24"/>
                <w:szCs w:val="24"/>
                <w:highlight w:val="none"/>
              </w:rPr>
              <w:t xml:space="preserve">供应商应在响应文件中附符合本条要求的证明材料及承诺书并加盖公章，承诺书格式及内容详见本项目竞争性磋商文件“第六章 响应文件格式” </w:t>
            </w:r>
          </w:p>
        </w:tc>
      </w:tr>
      <w:tr w14:paraId="48E6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Merge w:val="continue"/>
            <w:vAlign w:val="center"/>
          </w:tcPr>
          <w:p w14:paraId="4F85D812">
            <w:pPr>
              <w:spacing w:line="360" w:lineRule="auto"/>
              <w:rPr>
                <w:rFonts w:ascii="宋体" w:hAnsi="宋体" w:cs="宋体"/>
                <w:color w:val="auto"/>
                <w:sz w:val="24"/>
                <w:szCs w:val="24"/>
                <w:highlight w:val="none"/>
              </w:rPr>
            </w:pPr>
          </w:p>
        </w:tc>
        <w:tc>
          <w:tcPr>
            <w:tcW w:w="1529" w:type="dxa"/>
            <w:vMerge w:val="continue"/>
            <w:vAlign w:val="center"/>
          </w:tcPr>
          <w:p w14:paraId="1084A53A">
            <w:pPr>
              <w:spacing w:line="360" w:lineRule="auto"/>
              <w:rPr>
                <w:rFonts w:ascii="宋体" w:hAnsi="宋体" w:cs="宋体"/>
                <w:color w:val="auto"/>
                <w:sz w:val="24"/>
                <w:szCs w:val="24"/>
                <w:highlight w:val="none"/>
              </w:rPr>
            </w:pPr>
          </w:p>
        </w:tc>
        <w:tc>
          <w:tcPr>
            <w:tcW w:w="772" w:type="dxa"/>
            <w:vAlign w:val="center"/>
          </w:tcPr>
          <w:p w14:paraId="219F577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785" w:type="dxa"/>
            <w:vAlign w:val="center"/>
          </w:tcPr>
          <w:p w14:paraId="1AB1A46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供应商及其拟派项目经理须在“陕西省住房和城乡建设厅”官方网站可查询；如供应商为外省进陕企业，还须同时提供“陕西省住房和城乡建设厅”官网企业库外省进陕施工企业信息首页截图；</w:t>
            </w:r>
          </w:p>
        </w:tc>
        <w:tc>
          <w:tcPr>
            <w:tcW w:w="2396" w:type="dxa"/>
            <w:vAlign w:val="center"/>
          </w:tcPr>
          <w:p w14:paraId="46D4963D">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color w:val="auto"/>
                <w:sz w:val="24"/>
                <w:szCs w:val="24"/>
                <w:highlight w:val="none"/>
              </w:rPr>
              <w:t>供应商应在响应文件中附满足要求的查询截图。</w:t>
            </w:r>
          </w:p>
        </w:tc>
      </w:tr>
      <w:tr w14:paraId="32AC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Merge w:val="continue"/>
            <w:vAlign w:val="center"/>
          </w:tcPr>
          <w:p w14:paraId="04F824D2">
            <w:pPr>
              <w:spacing w:line="360" w:lineRule="auto"/>
              <w:rPr>
                <w:rFonts w:ascii="宋体" w:hAnsi="宋体" w:cs="宋体"/>
                <w:color w:val="auto"/>
                <w:sz w:val="24"/>
                <w:szCs w:val="24"/>
                <w:highlight w:val="none"/>
              </w:rPr>
            </w:pPr>
          </w:p>
        </w:tc>
        <w:tc>
          <w:tcPr>
            <w:tcW w:w="1529" w:type="dxa"/>
            <w:vMerge w:val="continue"/>
            <w:vAlign w:val="center"/>
          </w:tcPr>
          <w:p w14:paraId="68DEAAC2">
            <w:pPr>
              <w:spacing w:line="360" w:lineRule="auto"/>
              <w:rPr>
                <w:rFonts w:ascii="宋体" w:hAnsi="宋体" w:cs="宋体"/>
                <w:color w:val="auto"/>
                <w:sz w:val="24"/>
                <w:szCs w:val="24"/>
                <w:highlight w:val="none"/>
              </w:rPr>
            </w:pPr>
          </w:p>
        </w:tc>
        <w:tc>
          <w:tcPr>
            <w:tcW w:w="772" w:type="dxa"/>
            <w:vAlign w:val="center"/>
          </w:tcPr>
          <w:p w14:paraId="536C4DF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2785" w:type="dxa"/>
            <w:vAlign w:val="center"/>
          </w:tcPr>
          <w:p w14:paraId="58C604B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落实政府采购政策：本项目面向中小企业</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w:t>
            </w:r>
          </w:p>
        </w:tc>
        <w:tc>
          <w:tcPr>
            <w:tcW w:w="2396" w:type="dxa"/>
            <w:vAlign w:val="center"/>
          </w:tcPr>
          <w:p w14:paraId="755F55E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评审依据：供应商应在响应文件中附符合本条要求的中小企业声明函并加盖公章，格式及内容详见本项目竞争性磋商文件“第六章 响应文件格式” </w:t>
            </w:r>
          </w:p>
        </w:tc>
      </w:tr>
      <w:tr w14:paraId="22EE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Merge w:val="continue"/>
            <w:vAlign w:val="center"/>
          </w:tcPr>
          <w:p w14:paraId="2CDD382B">
            <w:pPr>
              <w:spacing w:line="360" w:lineRule="auto"/>
              <w:rPr>
                <w:rFonts w:ascii="宋体" w:hAnsi="宋体" w:cs="宋体"/>
                <w:color w:val="auto"/>
                <w:sz w:val="24"/>
                <w:szCs w:val="24"/>
                <w:highlight w:val="none"/>
              </w:rPr>
            </w:pPr>
          </w:p>
        </w:tc>
        <w:tc>
          <w:tcPr>
            <w:tcW w:w="1529" w:type="dxa"/>
            <w:vMerge w:val="continue"/>
            <w:vAlign w:val="center"/>
          </w:tcPr>
          <w:p w14:paraId="444BE588">
            <w:pPr>
              <w:spacing w:line="360" w:lineRule="auto"/>
              <w:rPr>
                <w:rFonts w:ascii="宋体" w:hAnsi="宋体" w:cs="宋体"/>
                <w:color w:val="auto"/>
                <w:sz w:val="24"/>
                <w:szCs w:val="24"/>
                <w:highlight w:val="none"/>
              </w:rPr>
            </w:pPr>
          </w:p>
        </w:tc>
        <w:tc>
          <w:tcPr>
            <w:tcW w:w="5953" w:type="dxa"/>
            <w:gridSpan w:val="3"/>
            <w:vAlign w:val="center"/>
          </w:tcPr>
          <w:p w14:paraId="77F48D36">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14:paraId="2A6DC20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①以上资格证明材料需提供合格有效的证明材料，证明材料提供不全或签字盖章不符合要求的，均属于未按竞争性磋商文件要求提供证明文件，不得通过资格审查。</w:t>
            </w:r>
          </w:p>
          <w:p w14:paraId="2DC9AB9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②信用信息查询渠道：“信用中国”“中国执行信息公开网”“中国政府采购网”“国家企业信用信息公示系统”“陕西省住房和城乡建设厅官网”为供应商信用信息查询渠道。</w:t>
            </w:r>
          </w:p>
          <w:p w14:paraId="3138A51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③供应商在参加采购活动前3年内因违法经营被禁止在一定期限内参加采购活动，期限届满的，可以参加采购活动，但应提供期限届满的证明材料。</w:t>
            </w:r>
          </w:p>
          <w:p w14:paraId="34FB6CD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4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④</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磋商小组或者采购人有权在评审过程中对供应商提供的证明材料进行复核，若发现复核结果与供应商提供的证明材料不符的，供应商自行承担相关不利风险。</w:t>
            </w:r>
          </w:p>
        </w:tc>
      </w:tr>
      <w:tr w14:paraId="5F3B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49E0002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4.2.1</w:t>
            </w:r>
          </w:p>
        </w:tc>
        <w:tc>
          <w:tcPr>
            <w:tcW w:w="1529" w:type="dxa"/>
            <w:vAlign w:val="center"/>
          </w:tcPr>
          <w:p w14:paraId="58C1B97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递交响应文件截止时间</w:t>
            </w:r>
          </w:p>
        </w:tc>
        <w:tc>
          <w:tcPr>
            <w:tcW w:w="5953" w:type="dxa"/>
            <w:gridSpan w:val="3"/>
            <w:vAlign w:val="center"/>
          </w:tcPr>
          <w:p w14:paraId="1436738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13</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bookmarkStart w:id="640" w:name="_GoBack"/>
            <w:bookmarkEnd w:id="640"/>
            <w:r>
              <w:rPr>
                <w:rFonts w:hint="eastAsia" w:ascii="宋体" w:hAnsi="宋体" w:cs="宋体"/>
                <w:color w:val="auto"/>
                <w:sz w:val="24"/>
                <w:szCs w:val="24"/>
                <w:highlight w:val="none"/>
              </w:rPr>
              <w:t>（北京时间）</w:t>
            </w:r>
          </w:p>
        </w:tc>
      </w:tr>
      <w:tr w14:paraId="233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7014B55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4.2.2</w:t>
            </w:r>
          </w:p>
        </w:tc>
        <w:tc>
          <w:tcPr>
            <w:tcW w:w="1529" w:type="dxa"/>
            <w:vAlign w:val="center"/>
          </w:tcPr>
          <w:p w14:paraId="2A0A171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递交响应文件地点</w:t>
            </w:r>
          </w:p>
        </w:tc>
        <w:tc>
          <w:tcPr>
            <w:tcW w:w="5953" w:type="dxa"/>
            <w:gridSpan w:val="3"/>
            <w:vAlign w:val="center"/>
          </w:tcPr>
          <w:p w14:paraId="28EAFCF2">
            <w:pPr>
              <w:spacing w:line="360" w:lineRule="auto"/>
              <w:rPr>
                <w:rFonts w:ascii="宋体" w:hAnsi="宋体" w:cs="宋体"/>
                <w:color w:val="auto"/>
                <w:sz w:val="24"/>
                <w:szCs w:val="24"/>
                <w:highlight w:val="none"/>
              </w:rPr>
            </w:pPr>
            <w:r>
              <w:rPr>
                <w:rFonts w:hint="eastAsia" w:ascii="宋体" w:hAnsi="宋体" w:cs="宋体"/>
                <w:color w:val="000000"/>
                <w:kern w:val="0"/>
                <w:sz w:val="24"/>
                <w:szCs w:val="24"/>
                <w:highlight w:val="none"/>
                <w:lang w:eastAsia="zh-CN"/>
              </w:rPr>
              <w:t>西安曲江新区雁展路1111号莱安中心1幢1单元12层1215室</w:t>
            </w:r>
          </w:p>
        </w:tc>
      </w:tr>
      <w:tr w14:paraId="31B5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6BC0276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5.2</w:t>
            </w:r>
          </w:p>
        </w:tc>
        <w:tc>
          <w:tcPr>
            <w:tcW w:w="1529" w:type="dxa"/>
            <w:vAlign w:val="center"/>
          </w:tcPr>
          <w:p w14:paraId="55B8938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磋商程序</w:t>
            </w:r>
          </w:p>
        </w:tc>
        <w:tc>
          <w:tcPr>
            <w:tcW w:w="5953" w:type="dxa"/>
            <w:gridSpan w:val="3"/>
            <w:vAlign w:val="center"/>
          </w:tcPr>
          <w:p w14:paraId="0575390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本次磋商项目原则上采用二次报价。</w:t>
            </w:r>
          </w:p>
          <w:p w14:paraId="0250923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（1）宣读本项目基本情况</w:t>
            </w:r>
          </w:p>
          <w:p w14:paraId="7B62A94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（2）宣读会议纪律</w:t>
            </w:r>
          </w:p>
          <w:p w14:paraId="10DBA0A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（3）核验响应文件密封情况</w:t>
            </w:r>
          </w:p>
          <w:p w14:paraId="00588DC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（4）开启响应文件</w:t>
            </w:r>
          </w:p>
          <w:p w14:paraId="05A1FBF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（5）依次进行磋商、第二次商务报价。对有效供应商要求提交第二次商务报价，在磋商小组未对磋商文件进行实质性修改的情况下，第二次报价不得超过一次报价。</w:t>
            </w:r>
          </w:p>
          <w:p w14:paraId="691D549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（6）宣布供应商离场</w:t>
            </w:r>
          </w:p>
          <w:p w14:paraId="591FDB8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注：在本项目磋商过程中，磋商小组可根据本磋商文件要求和磋商情况实质性变动服务要求中的技术、服务要求以及合同草案条款。根据相关规定，所有报价在公示前均不公开宣布。</w:t>
            </w:r>
          </w:p>
        </w:tc>
      </w:tr>
      <w:tr w14:paraId="2997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580739B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6.1.1</w:t>
            </w:r>
          </w:p>
        </w:tc>
        <w:tc>
          <w:tcPr>
            <w:tcW w:w="1529" w:type="dxa"/>
            <w:vAlign w:val="center"/>
          </w:tcPr>
          <w:p w14:paraId="6254ACE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磋商小组</w:t>
            </w:r>
          </w:p>
          <w:p w14:paraId="2A13F44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的组建</w:t>
            </w:r>
          </w:p>
        </w:tc>
        <w:tc>
          <w:tcPr>
            <w:tcW w:w="5953" w:type="dxa"/>
            <w:gridSpan w:val="3"/>
            <w:vAlign w:val="center"/>
          </w:tcPr>
          <w:p w14:paraId="662961D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磋商小组构成：3人。</w:t>
            </w:r>
          </w:p>
          <w:p w14:paraId="05C1EF3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磋商小组确定方式：评审前24小时内在法律认可的专家库中随机抽取技术、经济方面的专家。</w:t>
            </w:r>
          </w:p>
        </w:tc>
      </w:tr>
      <w:tr w14:paraId="73A0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559A07D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7.1</w:t>
            </w:r>
          </w:p>
        </w:tc>
        <w:tc>
          <w:tcPr>
            <w:tcW w:w="1529" w:type="dxa"/>
            <w:vAlign w:val="center"/>
          </w:tcPr>
          <w:p w14:paraId="7E7289C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定标方式</w:t>
            </w:r>
          </w:p>
        </w:tc>
        <w:tc>
          <w:tcPr>
            <w:tcW w:w="5953" w:type="dxa"/>
            <w:gridSpan w:val="3"/>
            <w:vAlign w:val="center"/>
          </w:tcPr>
          <w:p w14:paraId="021109A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是否授权磋商小组确定成交供应商：</w:t>
            </w:r>
          </w:p>
          <w:p w14:paraId="4CB3787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□是   ☑否</w:t>
            </w:r>
          </w:p>
          <w:p w14:paraId="0815304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采购人依据磋商小组推荐的成交候选人确定成交供应商，磋商小组推荐成交候选人的人数：3；</w:t>
            </w:r>
          </w:p>
        </w:tc>
      </w:tr>
      <w:tr w14:paraId="5026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7" w:type="dxa"/>
            <w:vAlign w:val="center"/>
          </w:tcPr>
          <w:p w14:paraId="4911F30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7.3</w:t>
            </w:r>
          </w:p>
        </w:tc>
        <w:tc>
          <w:tcPr>
            <w:tcW w:w="1529" w:type="dxa"/>
            <w:vAlign w:val="center"/>
          </w:tcPr>
          <w:p w14:paraId="5BA8EB7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履约担保</w:t>
            </w:r>
          </w:p>
        </w:tc>
        <w:tc>
          <w:tcPr>
            <w:tcW w:w="5953" w:type="dxa"/>
            <w:gridSpan w:val="3"/>
            <w:vAlign w:val="center"/>
          </w:tcPr>
          <w:p w14:paraId="642F182A">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□要求</w:t>
            </w:r>
          </w:p>
          <w:p w14:paraId="747B7E3C">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☑不要求</w:t>
            </w:r>
          </w:p>
        </w:tc>
      </w:tr>
      <w:tr w14:paraId="4F15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Align w:val="center"/>
          </w:tcPr>
          <w:p w14:paraId="03A1F3E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10.1</w:t>
            </w:r>
          </w:p>
        </w:tc>
        <w:tc>
          <w:tcPr>
            <w:tcW w:w="1529" w:type="dxa"/>
            <w:vAlign w:val="center"/>
          </w:tcPr>
          <w:p w14:paraId="0D94412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需要补充的</w:t>
            </w:r>
          </w:p>
          <w:p w14:paraId="06F47F3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其他内容</w:t>
            </w:r>
          </w:p>
        </w:tc>
        <w:tc>
          <w:tcPr>
            <w:tcW w:w="5953" w:type="dxa"/>
            <w:gridSpan w:val="3"/>
            <w:vAlign w:val="center"/>
          </w:tcPr>
          <w:p w14:paraId="662301B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1.本项目采购预算及响应最高限价：</w:t>
            </w:r>
            <w:r>
              <w:rPr>
                <w:rFonts w:hint="eastAsia" w:ascii="宋体" w:hAnsi="宋体" w:cs="宋体"/>
                <w:color w:val="auto"/>
                <w:sz w:val="24"/>
                <w:szCs w:val="24"/>
                <w:highlight w:val="none"/>
                <w:lang w:val="en-US" w:eastAsia="zh-CN"/>
              </w:rPr>
              <w:t>499270.97</w:t>
            </w:r>
            <w:r>
              <w:rPr>
                <w:rFonts w:hint="eastAsia" w:ascii="宋体" w:hAnsi="宋体" w:cs="宋体"/>
                <w:color w:val="auto"/>
                <w:sz w:val="24"/>
                <w:szCs w:val="24"/>
                <w:highlight w:val="none"/>
              </w:rPr>
              <w:t>元</w:t>
            </w:r>
          </w:p>
          <w:p w14:paraId="6B10210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备注：各供应商磋商报价不得超过上述响应最高限价，否则将按照无效磋商处理。</w:t>
            </w:r>
          </w:p>
          <w:p w14:paraId="6B6CE11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2.本项目标的所属</w:t>
            </w:r>
            <w:r>
              <w:rPr>
                <w:rFonts w:hint="eastAsia" w:ascii="宋体" w:hAnsi="宋体" w:cs="宋体"/>
                <w:color w:val="auto"/>
                <w:sz w:val="24"/>
                <w:szCs w:val="24"/>
                <w:highlight w:val="none"/>
                <w:u w:val="single"/>
              </w:rPr>
              <w:t xml:space="preserve"> 建筑业 </w:t>
            </w:r>
            <w:r>
              <w:rPr>
                <w:rFonts w:hint="eastAsia" w:ascii="宋体" w:hAnsi="宋体" w:cs="宋体"/>
                <w:color w:val="auto"/>
                <w:sz w:val="24"/>
                <w:szCs w:val="24"/>
                <w:highlight w:val="none"/>
              </w:rPr>
              <w:t>行业；</w:t>
            </w:r>
          </w:p>
          <w:p w14:paraId="60891F3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知识产权：构成本竞争性磋商文件各个组成部分的文件，未经采购人书面同意，供应商不得擅自复印和用于非本采购项目所需的其他目的。采购人全部或者部分使用未成交的响应文件中的技术成果或技术方案时，需征得其书面同意，并不得擅自复印或提供给第三人。</w:t>
            </w:r>
          </w:p>
          <w:p w14:paraId="05E1CEB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4.确定成交供应商后3日内，由</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参照国家计委颁发的《招标代理服务收费管理暂行办法》（计价格[2002]1980号）和国家发展改革委员会办公厅颁发的《关于招标代理服务收费有关问题的通知》（发改办价格[2003] 857号）的有关规定标准向采购代理机构一次付清代理服务费。</w:t>
            </w:r>
          </w:p>
          <w:p w14:paraId="3AE438A1">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供应商以保函（保险）等形式提交投标保证金的，需按照规定的时间及要求将保函（保险）原件或复印件或扫描件递交至招标代理机构，由采购人、招标代理机构需对保函（保险）的真实性、有效性进行核验。供应商递交的保函（保险）原件中应含有查询验证渠道或所出具机构的联系方式或其他能够验证其真实性、有效性的途径。</w:t>
            </w:r>
          </w:p>
          <w:p w14:paraId="0776DCD9">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（1）递交时间：投标文件递交截止时间前。</w:t>
            </w:r>
          </w:p>
          <w:p w14:paraId="61ADD12C">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（2）递交方式：扫描件或复印件邮箱递交（指定邮箱：</w:t>
            </w:r>
            <w:r>
              <w:rPr>
                <w:rFonts w:hint="eastAsia" w:ascii="宋体" w:hAnsi="宋体" w:cs="宋体"/>
                <w:color w:val="auto"/>
                <w:sz w:val="24"/>
                <w:szCs w:val="24"/>
                <w:highlight w:val="none"/>
                <w:lang w:val="en-US" w:eastAsia="zh-CN"/>
              </w:rPr>
              <w:t>378262935</w:t>
            </w:r>
            <w:r>
              <w:rPr>
                <w:rFonts w:hint="eastAsia" w:ascii="宋体" w:hAnsi="宋体" w:cs="宋体"/>
                <w:color w:val="auto"/>
                <w:sz w:val="24"/>
                <w:szCs w:val="24"/>
                <w:highlight w:val="none"/>
              </w:rPr>
              <w:t>@qq.com）</w:t>
            </w:r>
          </w:p>
          <w:p w14:paraId="3D456A7D">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如供应商未按上述要求提供保函（保险）原件或所提供的保函（保险）原件经验证无效或无法验证的，采购人、采购代理机构有权拒收响应文件。</w:t>
            </w:r>
          </w:p>
          <w:p w14:paraId="58B49288">
            <w:pPr>
              <w:adjustRightInd w:val="0"/>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6.工程量清单电子版，使用广联达正版软件GCCP7.0 （版本号：7.5000.23.2）</w:t>
            </w:r>
            <w:r>
              <w:rPr>
                <w:rFonts w:hint="eastAsia" w:ascii="宋体" w:hAnsi="宋体" w:cs="宋体"/>
                <w:color w:val="auto"/>
                <w:sz w:val="24"/>
                <w:szCs w:val="24"/>
                <w:highlight w:val="none"/>
                <w:lang w:eastAsia="zh-CN"/>
              </w:rPr>
              <w:t>；</w:t>
            </w:r>
          </w:p>
          <w:p w14:paraId="2776D85C">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本竞争性磋商文件未明确的其他事项，按照有关法律、法规或省市有关规定执行。本竞争性磋商文件由采购人和采购代理机构负责解释。</w:t>
            </w:r>
          </w:p>
        </w:tc>
      </w:tr>
      <w:tr w14:paraId="0934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49" w:type="dxa"/>
            <w:gridSpan w:val="5"/>
            <w:vAlign w:val="center"/>
          </w:tcPr>
          <w:p w14:paraId="6F23CDC0">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本表是对供应商须知的提示和说明，如有矛盾，应以本表为准。如本表未说明的，以本竞争性磋商文件内容为准。</w:t>
            </w:r>
          </w:p>
        </w:tc>
      </w:tr>
      <w:bookmarkEnd w:id="45"/>
      <w:bookmarkEnd w:id="46"/>
      <w:bookmarkEnd w:id="47"/>
      <w:bookmarkEnd w:id="48"/>
    </w:tbl>
    <w:p w14:paraId="71BCAB12">
      <w:pPr>
        <w:pStyle w:val="3"/>
        <w:rPr>
          <w:rFonts w:ascii="宋体" w:hAnsi="宋体" w:cs="宋体"/>
          <w:b w:val="0"/>
          <w:bCs w:val="0"/>
          <w:color w:val="auto"/>
          <w:highlight w:val="none"/>
        </w:rPr>
      </w:pPr>
      <w:bookmarkStart w:id="52" w:name="_Toc10621835"/>
      <w:bookmarkStart w:id="53" w:name="_Toc10563633"/>
      <w:bookmarkStart w:id="54" w:name="_Toc10563091"/>
      <w:bookmarkStart w:id="55" w:name="_Toc12377617"/>
      <w:r>
        <w:rPr>
          <w:rFonts w:hint="eastAsia" w:ascii="宋体" w:hAnsi="宋体" w:cs="宋体"/>
          <w:b w:val="0"/>
          <w:bCs w:val="0"/>
          <w:color w:val="auto"/>
          <w:highlight w:val="none"/>
        </w:rPr>
        <w:br w:type="page"/>
      </w:r>
      <w:bookmarkStart w:id="56" w:name="_Toc9802"/>
      <w:bookmarkStart w:id="57" w:name="_Toc12320"/>
      <w:bookmarkStart w:id="58" w:name="_Toc4211"/>
      <w:r>
        <w:rPr>
          <w:rFonts w:hint="eastAsia"/>
          <w:color w:val="auto"/>
          <w:highlight w:val="none"/>
        </w:rPr>
        <w:t>二、供应商须知</w:t>
      </w:r>
      <w:bookmarkEnd w:id="49"/>
      <w:bookmarkEnd w:id="52"/>
      <w:bookmarkEnd w:id="53"/>
      <w:bookmarkEnd w:id="54"/>
      <w:bookmarkEnd w:id="55"/>
      <w:r>
        <w:rPr>
          <w:rFonts w:hint="eastAsia"/>
          <w:color w:val="auto"/>
          <w:highlight w:val="none"/>
        </w:rPr>
        <w:t>正文</w:t>
      </w:r>
      <w:bookmarkEnd w:id="56"/>
      <w:bookmarkEnd w:id="57"/>
      <w:bookmarkEnd w:id="58"/>
    </w:p>
    <w:bookmarkEnd w:id="50"/>
    <w:bookmarkEnd w:id="51"/>
    <w:p w14:paraId="19237E8E">
      <w:pPr>
        <w:wordWrap w:val="0"/>
        <w:adjustRightInd w:val="0"/>
        <w:snapToGrid w:val="0"/>
        <w:spacing w:line="360" w:lineRule="auto"/>
        <w:ind w:firstLine="480" w:firstLineChars="200"/>
        <w:rPr>
          <w:rFonts w:ascii="宋体" w:hAnsi="宋体" w:cs="宋体"/>
          <w:color w:val="auto"/>
          <w:sz w:val="24"/>
          <w:szCs w:val="24"/>
          <w:highlight w:val="none"/>
        </w:rPr>
      </w:pPr>
      <w:bookmarkStart w:id="59" w:name="_Toc10563640"/>
      <w:bookmarkStart w:id="60" w:name="_Toc1459"/>
      <w:bookmarkStart w:id="61" w:name="_Toc511316288"/>
      <w:bookmarkStart w:id="62" w:name="_Toc12377624"/>
      <w:bookmarkStart w:id="63" w:name="_Toc10621842"/>
      <w:bookmarkStart w:id="64" w:name="_Toc23014"/>
      <w:bookmarkStart w:id="65" w:name="_Toc10563098"/>
      <w:bookmarkStart w:id="66" w:name="_Toc13857"/>
      <w:bookmarkStart w:id="67" w:name="_Toc504605093"/>
      <w:r>
        <w:rPr>
          <w:rFonts w:hint="eastAsia" w:ascii="宋体" w:hAnsi="宋体" w:cs="宋体"/>
          <w:color w:val="auto"/>
          <w:sz w:val="24"/>
          <w:szCs w:val="24"/>
          <w:highlight w:val="none"/>
        </w:rPr>
        <w:t>1.总则</w:t>
      </w:r>
    </w:p>
    <w:p w14:paraId="145EF9AF">
      <w:pPr>
        <w:wordWrap w:val="0"/>
        <w:adjustRightInd w:val="0"/>
        <w:snapToGrid w:val="0"/>
        <w:spacing w:line="360" w:lineRule="auto"/>
        <w:ind w:firstLine="480" w:firstLineChars="200"/>
        <w:rPr>
          <w:rFonts w:ascii="宋体" w:hAnsi="宋体" w:cs="宋体"/>
          <w:color w:val="auto"/>
          <w:sz w:val="24"/>
          <w:szCs w:val="24"/>
          <w:highlight w:val="none"/>
        </w:rPr>
      </w:pPr>
      <w:bookmarkStart w:id="68" w:name="_Toc179632547"/>
      <w:bookmarkStart w:id="69" w:name="_Toc152045530"/>
      <w:bookmarkStart w:id="70" w:name="_Toc11972"/>
      <w:bookmarkStart w:id="71" w:name="_Toc144974498"/>
      <w:bookmarkStart w:id="72" w:name="_Toc152042306"/>
      <w:r>
        <w:rPr>
          <w:rFonts w:hint="eastAsia" w:ascii="宋体" w:hAnsi="宋体" w:cs="宋体"/>
          <w:color w:val="auto"/>
          <w:sz w:val="24"/>
          <w:szCs w:val="24"/>
          <w:highlight w:val="none"/>
        </w:rPr>
        <w:t>1.1 项目概况</w:t>
      </w:r>
      <w:bookmarkEnd w:id="68"/>
      <w:bookmarkEnd w:id="69"/>
      <w:bookmarkEnd w:id="70"/>
      <w:bookmarkEnd w:id="71"/>
      <w:bookmarkEnd w:id="72"/>
    </w:p>
    <w:p w14:paraId="318D7336">
      <w:pPr>
        <w:wordWrap w:val="0"/>
        <w:adjustRightInd w:val="0"/>
        <w:snapToGrid w:val="0"/>
        <w:spacing w:line="360" w:lineRule="auto"/>
        <w:ind w:firstLine="480" w:firstLineChars="200"/>
        <w:rPr>
          <w:rFonts w:ascii="宋体" w:hAnsi="宋体" w:cs="宋体"/>
          <w:color w:val="auto"/>
          <w:sz w:val="24"/>
          <w:szCs w:val="24"/>
          <w:highlight w:val="none"/>
        </w:rPr>
      </w:pPr>
      <w:bookmarkStart w:id="73" w:name="_Toc24898"/>
      <w:r>
        <w:rPr>
          <w:rFonts w:hint="eastAsia" w:ascii="宋体" w:hAnsi="宋体" w:cs="宋体"/>
          <w:color w:val="auto"/>
          <w:sz w:val="24"/>
          <w:szCs w:val="24"/>
          <w:highlight w:val="none"/>
        </w:rPr>
        <w:t>1.1.1</w:t>
      </w:r>
      <w:bookmarkEnd w:id="73"/>
      <w:r>
        <w:rPr>
          <w:rFonts w:hint="eastAsia" w:ascii="宋体" w:hAnsi="宋体" w:cs="宋体"/>
          <w:color w:val="auto"/>
          <w:sz w:val="24"/>
          <w:szCs w:val="24"/>
          <w:highlight w:val="none"/>
        </w:rPr>
        <w:t>本采购项目已具备采购条件，根据《中华人民共和国政府采购法》以及有关法律、法规和规章的规定，本招标项目已具备招标条件，现对本项目进行磋商采购。</w:t>
      </w:r>
    </w:p>
    <w:p w14:paraId="12576350">
      <w:pPr>
        <w:wordWrap w:val="0"/>
        <w:adjustRightInd w:val="0"/>
        <w:snapToGrid w:val="0"/>
        <w:spacing w:line="360" w:lineRule="auto"/>
        <w:ind w:firstLine="480" w:firstLineChars="200"/>
        <w:rPr>
          <w:rFonts w:ascii="宋体" w:hAnsi="宋体" w:cs="宋体"/>
          <w:color w:val="auto"/>
          <w:sz w:val="24"/>
          <w:szCs w:val="24"/>
          <w:highlight w:val="none"/>
        </w:rPr>
      </w:pPr>
      <w:bookmarkStart w:id="74" w:name="_Toc14474"/>
      <w:r>
        <w:rPr>
          <w:rFonts w:hint="eastAsia" w:ascii="宋体" w:hAnsi="宋体" w:cs="宋体"/>
          <w:color w:val="auto"/>
          <w:sz w:val="24"/>
          <w:szCs w:val="24"/>
          <w:highlight w:val="none"/>
        </w:rPr>
        <w:t>1.1.2 采购人：详见“第一章 竞争性磋商公告”</w:t>
      </w:r>
      <w:bookmarkEnd w:id="74"/>
    </w:p>
    <w:p w14:paraId="25413AF6">
      <w:pPr>
        <w:wordWrap w:val="0"/>
        <w:adjustRightInd w:val="0"/>
        <w:snapToGrid w:val="0"/>
        <w:spacing w:line="360" w:lineRule="auto"/>
        <w:ind w:firstLine="480" w:firstLineChars="200"/>
        <w:rPr>
          <w:rFonts w:ascii="宋体" w:hAnsi="宋体" w:cs="宋体"/>
          <w:color w:val="auto"/>
          <w:sz w:val="24"/>
          <w:szCs w:val="24"/>
          <w:highlight w:val="none"/>
        </w:rPr>
      </w:pPr>
      <w:bookmarkStart w:id="75" w:name="_Toc30938"/>
      <w:r>
        <w:rPr>
          <w:rFonts w:hint="eastAsia" w:ascii="宋体" w:hAnsi="宋体" w:cs="宋体"/>
          <w:color w:val="auto"/>
          <w:sz w:val="24"/>
          <w:szCs w:val="24"/>
          <w:highlight w:val="none"/>
        </w:rPr>
        <w:t>1.1.3 采购代理机构：详见“第一章 竞争性磋商公告”</w:t>
      </w:r>
      <w:bookmarkEnd w:id="75"/>
    </w:p>
    <w:p w14:paraId="36A9A315">
      <w:pPr>
        <w:wordWrap w:val="0"/>
        <w:adjustRightInd w:val="0"/>
        <w:snapToGrid w:val="0"/>
        <w:spacing w:line="360" w:lineRule="auto"/>
        <w:ind w:firstLine="480" w:firstLineChars="200"/>
        <w:rPr>
          <w:rFonts w:ascii="宋体" w:hAnsi="宋体" w:cs="宋体"/>
          <w:color w:val="auto"/>
          <w:sz w:val="24"/>
          <w:szCs w:val="24"/>
          <w:highlight w:val="none"/>
        </w:rPr>
      </w:pPr>
      <w:bookmarkStart w:id="76" w:name="_Toc28187"/>
      <w:r>
        <w:rPr>
          <w:rFonts w:hint="eastAsia" w:ascii="宋体" w:hAnsi="宋体" w:cs="宋体"/>
          <w:color w:val="auto"/>
          <w:sz w:val="24"/>
          <w:szCs w:val="24"/>
          <w:highlight w:val="none"/>
        </w:rPr>
        <w:t>1.1.4 项目名称：详见“第一章 竞争性磋商公告”</w:t>
      </w:r>
      <w:bookmarkEnd w:id="76"/>
    </w:p>
    <w:p w14:paraId="4E823E25">
      <w:pPr>
        <w:wordWrap w:val="0"/>
        <w:adjustRightInd w:val="0"/>
        <w:snapToGrid w:val="0"/>
        <w:spacing w:line="360" w:lineRule="auto"/>
        <w:ind w:firstLine="480" w:firstLineChars="200"/>
        <w:rPr>
          <w:rFonts w:ascii="宋体" w:hAnsi="宋体" w:cs="宋体"/>
          <w:color w:val="auto"/>
          <w:sz w:val="24"/>
          <w:szCs w:val="24"/>
          <w:highlight w:val="none"/>
        </w:rPr>
      </w:pPr>
      <w:bookmarkStart w:id="77" w:name="_Toc4535"/>
      <w:r>
        <w:rPr>
          <w:rFonts w:hint="eastAsia" w:ascii="宋体" w:hAnsi="宋体" w:cs="宋体"/>
          <w:color w:val="auto"/>
          <w:sz w:val="24"/>
          <w:szCs w:val="24"/>
          <w:highlight w:val="none"/>
        </w:rPr>
        <w:t>1.1.5 工程地点：</w:t>
      </w:r>
      <w:bookmarkEnd w:id="77"/>
      <w:r>
        <w:rPr>
          <w:rFonts w:hint="eastAsia" w:ascii="宋体" w:hAnsi="宋体" w:cs="宋体"/>
          <w:color w:val="auto"/>
          <w:sz w:val="24"/>
          <w:szCs w:val="24"/>
          <w:highlight w:val="none"/>
        </w:rPr>
        <w:t>详见供应商须知前附表。</w:t>
      </w:r>
    </w:p>
    <w:p w14:paraId="27A605A6">
      <w:pPr>
        <w:wordWrap w:val="0"/>
        <w:adjustRightInd w:val="0"/>
        <w:snapToGrid w:val="0"/>
        <w:spacing w:line="360" w:lineRule="auto"/>
        <w:ind w:firstLine="480" w:firstLineChars="200"/>
        <w:rPr>
          <w:rFonts w:ascii="宋体" w:hAnsi="宋体" w:cs="宋体"/>
          <w:color w:val="auto"/>
          <w:sz w:val="24"/>
          <w:szCs w:val="24"/>
          <w:highlight w:val="none"/>
        </w:rPr>
      </w:pPr>
      <w:bookmarkStart w:id="78" w:name="_Toc144974499"/>
      <w:bookmarkStart w:id="79" w:name="_Toc179632548"/>
      <w:bookmarkStart w:id="80" w:name="_Toc152045531"/>
      <w:bookmarkStart w:id="81" w:name="_Toc27387"/>
      <w:bookmarkStart w:id="82" w:name="_Toc152042307"/>
      <w:r>
        <w:rPr>
          <w:rFonts w:hint="eastAsia" w:ascii="宋体" w:hAnsi="宋体" w:cs="宋体"/>
          <w:color w:val="auto"/>
          <w:sz w:val="24"/>
          <w:szCs w:val="24"/>
          <w:highlight w:val="none"/>
        </w:rPr>
        <w:t>1.2 资金来源和落实情况</w:t>
      </w:r>
      <w:bookmarkEnd w:id="78"/>
      <w:bookmarkEnd w:id="79"/>
      <w:bookmarkEnd w:id="80"/>
      <w:bookmarkEnd w:id="81"/>
      <w:bookmarkEnd w:id="82"/>
    </w:p>
    <w:p w14:paraId="22BCEDE5">
      <w:pPr>
        <w:wordWrap w:val="0"/>
        <w:adjustRightInd w:val="0"/>
        <w:snapToGrid w:val="0"/>
        <w:spacing w:line="360" w:lineRule="auto"/>
        <w:ind w:firstLine="480" w:firstLineChars="200"/>
        <w:rPr>
          <w:rFonts w:ascii="宋体" w:hAnsi="宋体" w:cs="宋体"/>
          <w:color w:val="auto"/>
          <w:sz w:val="24"/>
          <w:szCs w:val="24"/>
          <w:highlight w:val="none"/>
        </w:rPr>
      </w:pPr>
      <w:bookmarkStart w:id="83" w:name="_Toc26715"/>
      <w:r>
        <w:rPr>
          <w:rFonts w:hint="eastAsia" w:ascii="宋体" w:hAnsi="宋体" w:cs="宋体"/>
          <w:color w:val="auto"/>
          <w:sz w:val="24"/>
          <w:szCs w:val="24"/>
          <w:highlight w:val="none"/>
        </w:rPr>
        <w:t>1.2.1 资金来源：财政性资金</w:t>
      </w:r>
      <w:bookmarkEnd w:id="83"/>
      <w:r>
        <w:rPr>
          <w:rFonts w:hint="eastAsia" w:ascii="宋体" w:hAnsi="宋体" w:cs="宋体"/>
          <w:color w:val="auto"/>
          <w:sz w:val="24"/>
          <w:szCs w:val="24"/>
          <w:highlight w:val="none"/>
        </w:rPr>
        <w:t>。</w:t>
      </w:r>
    </w:p>
    <w:p w14:paraId="74E4C9CF">
      <w:pPr>
        <w:wordWrap w:val="0"/>
        <w:adjustRightInd w:val="0"/>
        <w:snapToGrid w:val="0"/>
        <w:spacing w:line="360" w:lineRule="auto"/>
        <w:ind w:firstLine="480" w:firstLineChars="200"/>
        <w:rPr>
          <w:rFonts w:ascii="宋体" w:hAnsi="宋体" w:cs="宋体"/>
          <w:color w:val="auto"/>
          <w:sz w:val="24"/>
          <w:szCs w:val="24"/>
          <w:highlight w:val="none"/>
        </w:rPr>
      </w:pPr>
      <w:bookmarkStart w:id="84" w:name="_Toc5223"/>
      <w:r>
        <w:rPr>
          <w:rFonts w:hint="eastAsia" w:ascii="宋体" w:hAnsi="宋体" w:cs="宋体"/>
          <w:color w:val="auto"/>
          <w:sz w:val="24"/>
          <w:szCs w:val="24"/>
          <w:highlight w:val="none"/>
        </w:rPr>
        <w:t>1.2.2 资金落实情况：已落实</w:t>
      </w:r>
      <w:bookmarkEnd w:id="84"/>
      <w:r>
        <w:rPr>
          <w:rFonts w:hint="eastAsia" w:ascii="宋体" w:hAnsi="宋体" w:cs="宋体"/>
          <w:color w:val="auto"/>
          <w:sz w:val="24"/>
          <w:szCs w:val="24"/>
          <w:highlight w:val="none"/>
        </w:rPr>
        <w:t>。</w:t>
      </w:r>
    </w:p>
    <w:p w14:paraId="215A6D0B">
      <w:pPr>
        <w:wordWrap w:val="0"/>
        <w:adjustRightInd w:val="0"/>
        <w:snapToGrid w:val="0"/>
        <w:spacing w:line="360" w:lineRule="auto"/>
        <w:ind w:firstLine="480" w:firstLineChars="200"/>
        <w:rPr>
          <w:rFonts w:ascii="宋体" w:hAnsi="宋体" w:cs="宋体"/>
          <w:color w:val="auto"/>
          <w:sz w:val="24"/>
          <w:szCs w:val="24"/>
          <w:highlight w:val="none"/>
        </w:rPr>
      </w:pPr>
      <w:bookmarkStart w:id="85" w:name="_Toc152042308"/>
      <w:bookmarkStart w:id="86" w:name="_Toc9392"/>
      <w:bookmarkStart w:id="87" w:name="_Toc144974500"/>
      <w:bookmarkStart w:id="88" w:name="_Toc179632549"/>
      <w:bookmarkStart w:id="89" w:name="_Toc152045532"/>
      <w:r>
        <w:rPr>
          <w:rFonts w:hint="eastAsia" w:ascii="宋体" w:hAnsi="宋体" w:cs="宋体"/>
          <w:color w:val="auto"/>
          <w:sz w:val="24"/>
          <w:szCs w:val="24"/>
          <w:highlight w:val="none"/>
        </w:rPr>
        <w:t>1.3 采购范围、工期和质量要求</w:t>
      </w:r>
      <w:bookmarkEnd w:id="85"/>
      <w:bookmarkEnd w:id="86"/>
      <w:bookmarkEnd w:id="87"/>
      <w:bookmarkEnd w:id="88"/>
      <w:bookmarkEnd w:id="89"/>
    </w:p>
    <w:p w14:paraId="4726D965">
      <w:pPr>
        <w:wordWrap w:val="0"/>
        <w:adjustRightInd w:val="0"/>
        <w:snapToGrid w:val="0"/>
        <w:spacing w:line="360" w:lineRule="auto"/>
        <w:ind w:firstLine="480" w:firstLineChars="200"/>
        <w:rPr>
          <w:rFonts w:ascii="宋体" w:hAnsi="宋体" w:cs="宋体"/>
          <w:color w:val="auto"/>
          <w:sz w:val="24"/>
          <w:szCs w:val="24"/>
          <w:highlight w:val="none"/>
        </w:rPr>
      </w:pPr>
      <w:bookmarkStart w:id="90" w:name="_Toc29629"/>
      <w:r>
        <w:rPr>
          <w:rFonts w:hint="eastAsia" w:ascii="宋体" w:hAnsi="宋体" w:cs="宋体"/>
          <w:color w:val="auto"/>
          <w:sz w:val="24"/>
          <w:szCs w:val="24"/>
          <w:highlight w:val="none"/>
        </w:rPr>
        <w:t>1.3.1 采购范围：</w:t>
      </w:r>
      <w:bookmarkEnd w:id="90"/>
      <w:r>
        <w:rPr>
          <w:rFonts w:hint="eastAsia" w:ascii="宋体" w:hAnsi="宋体" w:cs="宋体"/>
          <w:color w:val="auto"/>
          <w:sz w:val="24"/>
          <w:szCs w:val="24"/>
          <w:highlight w:val="none"/>
        </w:rPr>
        <w:t>详见供应商须知前附表。</w:t>
      </w:r>
    </w:p>
    <w:p w14:paraId="25FA775E">
      <w:pPr>
        <w:wordWrap w:val="0"/>
        <w:adjustRightInd w:val="0"/>
        <w:snapToGrid w:val="0"/>
        <w:spacing w:line="360" w:lineRule="auto"/>
        <w:ind w:firstLine="480" w:firstLineChars="200"/>
        <w:rPr>
          <w:rFonts w:ascii="宋体" w:hAnsi="宋体" w:cs="宋体"/>
          <w:color w:val="auto"/>
          <w:sz w:val="24"/>
          <w:szCs w:val="24"/>
          <w:highlight w:val="none"/>
        </w:rPr>
      </w:pPr>
      <w:bookmarkStart w:id="91" w:name="_Toc3919"/>
      <w:r>
        <w:rPr>
          <w:rFonts w:hint="eastAsia" w:ascii="宋体" w:hAnsi="宋体" w:cs="宋体"/>
          <w:color w:val="auto"/>
          <w:sz w:val="24"/>
          <w:szCs w:val="24"/>
          <w:highlight w:val="none"/>
        </w:rPr>
        <w:t>1.3.2 工期：</w:t>
      </w:r>
      <w:bookmarkEnd w:id="91"/>
      <w:r>
        <w:rPr>
          <w:rFonts w:hint="eastAsia" w:ascii="宋体" w:hAnsi="宋体" w:cs="宋体"/>
          <w:color w:val="auto"/>
          <w:sz w:val="24"/>
          <w:szCs w:val="24"/>
          <w:highlight w:val="none"/>
        </w:rPr>
        <w:t>详见供应商须知前附表。</w:t>
      </w:r>
    </w:p>
    <w:p w14:paraId="0C74E686">
      <w:pPr>
        <w:wordWrap w:val="0"/>
        <w:adjustRightInd w:val="0"/>
        <w:snapToGrid w:val="0"/>
        <w:spacing w:line="360" w:lineRule="auto"/>
        <w:ind w:firstLine="480" w:firstLineChars="200"/>
        <w:rPr>
          <w:rFonts w:ascii="宋体" w:hAnsi="宋体" w:cs="宋体"/>
          <w:color w:val="auto"/>
          <w:sz w:val="24"/>
          <w:szCs w:val="24"/>
          <w:highlight w:val="none"/>
        </w:rPr>
      </w:pPr>
      <w:bookmarkStart w:id="92" w:name="_Toc18714"/>
      <w:r>
        <w:rPr>
          <w:rFonts w:hint="eastAsia" w:ascii="宋体" w:hAnsi="宋体" w:cs="宋体"/>
          <w:color w:val="auto"/>
          <w:sz w:val="24"/>
          <w:szCs w:val="24"/>
          <w:highlight w:val="none"/>
        </w:rPr>
        <w:t>1.3.3 质量要求：</w:t>
      </w:r>
      <w:bookmarkEnd w:id="92"/>
      <w:r>
        <w:rPr>
          <w:rFonts w:hint="eastAsia" w:ascii="宋体" w:hAnsi="宋体" w:cs="宋体"/>
          <w:color w:val="auto"/>
          <w:sz w:val="24"/>
          <w:szCs w:val="24"/>
          <w:highlight w:val="none"/>
        </w:rPr>
        <w:t>详见供应商须知前附表。</w:t>
      </w:r>
    </w:p>
    <w:p w14:paraId="2360814D">
      <w:pPr>
        <w:wordWrap w:val="0"/>
        <w:adjustRightInd w:val="0"/>
        <w:snapToGrid w:val="0"/>
        <w:spacing w:line="360" w:lineRule="auto"/>
        <w:ind w:firstLine="480" w:firstLineChars="200"/>
        <w:rPr>
          <w:rFonts w:ascii="宋体" w:hAnsi="宋体" w:cs="宋体"/>
          <w:color w:val="auto"/>
          <w:sz w:val="24"/>
          <w:szCs w:val="24"/>
          <w:highlight w:val="none"/>
        </w:rPr>
      </w:pPr>
      <w:bookmarkStart w:id="93" w:name="_Toc179632550"/>
      <w:bookmarkStart w:id="94" w:name="_Toc152045533"/>
      <w:bookmarkStart w:id="95" w:name="_Toc152042309"/>
      <w:bookmarkStart w:id="96" w:name="_Toc16930"/>
      <w:bookmarkStart w:id="97" w:name="_Toc144974501"/>
      <w:r>
        <w:rPr>
          <w:rFonts w:hint="eastAsia" w:ascii="宋体" w:hAnsi="宋体" w:cs="宋体"/>
          <w:color w:val="auto"/>
          <w:sz w:val="24"/>
          <w:szCs w:val="24"/>
          <w:highlight w:val="none"/>
        </w:rPr>
        <w:t>1.4 供应商资格要求</w:t>
      </w:r>
      <w:bookmarkEnd w:id="93"/>
      <w:bookmarkEnd w:id="94"/>
      <w:bookmarkEnd w:id="95"/>
      <w:bookmarkEnd w:id="96"/>
      <w:bookmarkEnd w:id="97"/>
    </w:p>
    <w:p w14:paraId="563B9D33">
      <w:pPr>
        <w:wordWrap w:val="0"/>
        <w:adjustRightInd w:val="0"/>
        <w:snapToGrid w:val="0"/>
        <w:spacing w:line="360" w:lineRule="auto"/>
        <w:ind w:firstLine="480" w:firstLineChars="200"/>
        <w:rPr>
          <w:rFonts w:ascii="宋体" w:hAnsi="宋体" w:cs="宋体"/>
          <w:color w:val="auto"/>
          <w:sz w:val="24"/>
          <w:szCs w:val="24"/>
          <w:highlight w:val="none"/>
        </w:rPr>
      </w:pPr>
      <w:bookmarkStart w:id="98" w:name="_Toc16382"/>
      <w:r>
        <w:rPr>
          <w:rFonts w:hint="eastAsia" w:ascii="宋体" w:hAnsi="宋体" w:cs="宋体"/>
          <w:color w:val="auto"/>
          <w:sz w:val="24"/>
          <w:szCs w:val="24"/>
          <w:highlight w:val="none"/>
        </w:rPr>
        <w:t>1.4.1</w:t>
      </w:r>
      <w:bookmarkEnd w:id="98"/>
      <w:r>
        <w:rPr>
          <w:rFonts w:hint="eastAsia" w:ascii="宋体" w:hAnsi="宋体" w:cs="宋体"/>
          <w:color w:val="auto"/>
          <w:sz w:val="24"/>
          <w:szCs w:val="24"/>
          <w:highlight w:val="none"/>
        </w:rPr>
        <w:t>供应商资质条件</w:t>
      </w:r>
      <w:bookmarkStart w:id="99" w:name="_Toc14078"/>
      <w:r>
        <w:rPr>
          <w:rFonts w:hint="eastAsia" w:ascii="宋体" w:hAnsi="宋体" w:cs="宋体"/>
          <w:color w:val="auto"/>
          <w:sz w:val="24"/>
          <w:szCs w:val="24"/>
          <w:highlight w:val="none"/>
        </w:rPr>
        <w:t>：</w:t>
      </w:r>
      <w:bookmarkEnd w:id="99"/>
      <w:r>
        <w:rPr>
          <w:rFonts w:hint="eastAsia" w:ascii="宋体" w:hAnsi="宋体" w:cs="宋体"/>
          <w:color w:val="auto"/>
          <w:sz w:val="24"/>
          <w:szCs w:val="24"/>
          <w:highlight w:val="none"/>
        </w:rPr>
        <w:t>详见“第一章 竞争性磋商公告”</w:t>
      </w:r>
    </w:p>
    <w:p w14:paraId="75EB487A">
      <w:pPr>
        <w:wordWrap w:val="0"/>
        <w:adjustRightInd w:val="0"/>
        <w:snapToGrid w:val="0"/>
        <w:spacing w:line="360" w:lineRule="auto"/>
        <w:ind w:firstLine="480" w:firstLineChars="200"/>
        <w:rPr>
          <w:rFonts w:ascii="宋体" w:hAnsi="宋体" w:cs="宋体"/>
          <w:color w:val="auto"/>
          <w:sz w:val="24"/>
          <w:szCs w:val="24"/>
          <w:highlight w:val="none"/>
        </w:rPr>
      </w:pPr>
      <w:bookmarkStart w:id="100" w:name="_Toc15859"/>
      <w:r>
        <w:rPr>
          <w:rFonts w:hint="eastAsia" w:ascii="宋体" w:hAnsi="宋体" w:cs="宋体"/>
          <w:color w:val="auto"/>
          <w:sz w:val="24"/>
          <w:szCs w:val="24"/>
          <w:highlight w:val="none"/>
        </w:rPr>
        <w:t>1.4.2 供应商不得存在下列情形之一，否则其磋商无效：</w:t>
      </w:r>
      <w:bookmarkEnd w:id="100"/>
    </w:p>
    <w:p w14:paraId="5811426B">
      <w:pPr>
        <w:wordWrap w:val="0"/>
        <w:adjustRightInd w:val="0"/>
        <w:snapToGrid w:val="0"/>
        <w:spacing w:line="360" w:lineRule="auto"/>
        <w:ind w:firstLine="480" w:firstLineChars="200"/>
        <w:rPr>
          <w:rFonts w:ascii="宋体" w:hAnsi="宋体" w:cs="宋体"/>
          <w:color w:val="auto"/>
          <w:sz w:val="24"/>
          <w:szCs w:val="24"/>
          <w:highlight w:val="none"/>
        </w:rPr>
      </w:pPr>
      <w:bookmarkStart w:id="101" w:name="_Toc27686"/>
      <w:r>
        <w:rPr>
          <w:rFonts w:hint="eastAsia" w:ascii="宋体" w:hAnsi="宋体" w:cs="宋体"/>
          <w:color w:val="auto"/>
          <w:sz w:val="24"/>
          <w:szCs w:val="24"/>
          <w:highlight w:val="none"/>
        </w:rPr>
        <w:t>（1）为采购人不具有独立法人资格的附属机构；</w:t>
      </w:r>
      <w:bookmarkEnd w:id="101"/>
      <w:r>
        <w:rPr>
          <w:rFonts w:hint="eastAsia" w:ascii="宋体" w:hAnsi="宋体" w:cs="宋体"/>
          <w:color w:val="auto"/>
          <w:sz w:val="24"/>
          <w:szCs w:val="24"/>
          <w:highlight w:val="none"/>
        </w:rPr>
        <w:t xml:space="preserve"> </w:t>
      </w:r>
    </w:p>
    <w:p w14:paraId="25C2CFB4">
      <w:pPr>
        <w:wordWrap w:val="0"/>
        <w:adjustRightInd w:val="0"/>
        <w:snapToGrid w:val="0"/>
        <w:spacing w:line="360" w:lineRule="auto"/>
        <w:ind w:firstLine="480" w:firstLineChars="200"/>
        <w:rPr>
          <w:rFonts w:ascii="宋体" w:hAnsi="宋体" w:cs="宋体"/>
          <w:color w:val="auto"/>
          <w:sz w:val="24"/>
          <w:szCs w:val="24"/>
          <w:highlight w:val="none"/>
        </w:rPr>
      </w:pPr>
      <w:bookmarkStart w:id="102" w:name="_Toc17289"/>
      <w:r>
        <w:rPr>
          <w:rFonts w:hint="eastAsia" w:ascii="宋体" w:hAnsi="宋体" w:cs="宋体"/>
          <w:color w:val="auto"/>
          <w:sz w:val="24"/>
          <w:szCs w:val="24"/>
          <w:highlight w:val="none"/>
        </w:rPr>
        <w:t>（2）</w:t>
      </w:r>
      <w:bookmarkEnd w:id="102"/>
      <w:r>
        <w:rPr>
          <w:rFonts w:hint="eastAsia" w:ascii="宋体" w:hAnsi="宋体" w:cs="宋体"/>
          <w:color w:val="auto"/>
          <w:sz w:val="24"/>
          <w:szCs w:val="24"/>
          <w:highlight w:val="none"/>
        </w:rPr>
        <w:t>财产被接管或冻结的；</w:t>
      </w:r>
    </w:p>
    <w:p w14:paraId="1A9DE435">
      <w:pPr>
        <w:wordWrap w:val="0"/>
        <w:adjustRightInd w:val="0"/>
        <w:snapToGrid w:val="0"/>
        <w:spacing w:line="360" w:lineRule="auto"/>
        <w:ind w:firstLine="480" w:firstLineChars="200"/>
        <w:rPr>
          <w:rFonts w:ascii="宋体" w:hAnsi="宋体" w:cs="宋体"/>
          <w:color w:val="auto"/>
          <w:sz w:val="24"/>
          <w:szCs w:val="24"/>
          <w:highlight w:val="none"/>
        </w:rPr>
      </w:pPr>
      <w:bookmarkStart w:id="103" w:name="_Toc21977"/>
      <w:r>
        <w:rPr>
          <w:rFonts w:hint="eastAsia" w:ascii="宋体" w:hAnsi="宋体" w:cs="宋体"/>
          <w:color w:val="auto"/>
          <w:sz w:val="24"/>
          <w:szCs w:val="24"/>
          <w:highlight w:val="none"/>
        </w:rPr>
        <w:t>（3）为本采购项目提供采购代理服务的；</w:t>
      </w:r>
      <w:bookmarkEnd w:id="103"/>
    </w:p>
    <w:p w14:paraId="37E3B96F">
      <w:pPr>
        <w:wordWrap w:val="0"/>
        <w:adjustRightInd w:val="0"/>
        <w:snapToGrid w:val="0"/>
        <w:spacing w:line="360" w:lineRule="auto"/>
        <w:ind w:firstLine="480" w:firstLineChars="200"/>
        <w:rPr>
          <w:rFonts w:ascii="宋体" w:hAnsi="宋体" w:cs="宋体"/>
          <w:color w:val="auto"/>
          <w:sz w:val="24"/>
          <w:szCs w:val="24"/>
          <w:highlight w:val="none"/>
        </w:rPr>
      </w:pPr>
      <w:bookmarkStart w:id="104" w:name="_Toc23085"/>
      <w:r>
        <w:rPr>
          <w:rFonts w:hint="eastAsia" w:ascii="宋体" w:hAnsi="宋体" w:cs="宋体"/>
          <w:color w:val="auto"/>
          <w:sz w:val="24"/>
          <w:szCs w:val="24"/>
          <w:highlight w:val="none"/>
        </w:rPr>
        <w:t>（4）与本采购项目的采购代理机构同为一个法定代表人的；</w:t>
      </w:r>
      <w:bookmarkEnd w:id="104"/>
      <w:r>
        <w:rPr>
          <w:rFonts w:hint="eastAsia" w:ascii="宋体" w:hAnsi="宋体" w:cs="宋体"/>
          <w:color w:val="auto"/>
          <w:sz w:val="24"/>
          <w:szCs w:val="24"/>
          <w:highlight w:val="none"/>
        </w:rPr>
        <w:t xml:space="preserve"> </w:t>
      </w:r>
    </w:p>
    <w:p w14:paraId="28835EDB">
      <w:pPr>
        <w:wordWrap w:val="0"/>
        <w:adjustRightInd w:val="0"/>
        <w:snapToGrid w:val="0"/>
        <w:spacing w:line="360" w:lineRule="auto"/>
        <w:ind w:firstLine="480" w:firstLineChars="200"/>
        <w:rPr>
          <w:rFonts w:ascii="宋体" w:hAnsi="宋体" w:cs="宋体"/>
          <w:color w:val="auto"/>
          <w:sz w:val="24"/>
          <w:szCs w:val="24"/>
          <w:highlight w:val="none"/>
        </w:rPr>
      </w:pPr>
      <w:bookmarkStart w:id="105" w:name="_Toc19800"/>
      <w:r>
        <w:rPr>
          <w:rFonts w:hint="eastAsia" w:ascii="宋体" w:hAnsi="宋体" w:cs="宋体"/>
          <w:color w:val="auto"/>
          <w:sz w:val="24"/>
          <w:szCs w:val="24"/>
          <w:highlight w:val="none"/>
        </w:rPr>
        <w:t>（5）与本采购项目的采购代理机构相互控股或参股的；</w:t>
      </w:r>
      <w:bookmarkEnd w:id="105"/>
      <w:r>
        <w:rPr>
          <w:rFonts w:hint="eastAsia" w:ascii="宋体" w:hAnsi="宋体" w:cs="宋体"/>
          <w:color w:val="auto"/>
          <w:sz w:val="24"/>
          <w:szCs w:val="24"/>
          <w:highlight w:val="none"/>
        </w:rPr>
        <w:t xml:space="preserve"> </w:t>
      </w:r>
    </w:p>
    <w:p w14:paraId="65C88232">
      <w:pPr>
        <w:wordWrap w:val="0"/>
        <w:adjustRightInd w:val="0"/>
        <w:snapToGrid w:val="0"/>
        <w:spacing w:line="360" w:lineRule="auto"/>
        <w:ind w:firstLine="480" w:firstLineChars="200"/>
        <w:rPr>
          <w:rFonts w:ascii="宋体" w:hAnsi="宋体" w:cs="宋体"/>
          <w:color w:val="auto"/>
          <w:sz w:val="24"/>
          <w:szCs w:val="24"/>
          <w:highlight w:val="none"/>
        </w:rPr>
      </w:pPr>
      <w:bookmarkStart w:id="106" w:name="_Toc7576"/>
      <w:r>
        <w:rPr>
          <w:rFonts w:hint="eastAsia" w:ascii="宋体" w:hAnsi="宋体" w:cs="宋体"/>
          <w:color w:val="auto"/>
          <w:sz w:val="24"/>
          <w:szCs w:val="24"/>
          <w:highlight w:val="none"/>
        </w:rPr>
        <w:t>（6）与本采购项目的采购代理机构相互任职或工作的；</w:t>
      </w:r>
      <w:bookmarkEnd w:id="106"/>
    </w:p>
    <w:p w14:paraId="40DFE0B5">
      <w:pPr>
        <w:wordWrap w:val="0"/>
        <w:adjustRightInd w:val="0"/>
        <w:snapToGrid w:val="0"/>
        <w:spacing w:line="360" w:lineRule="auto"/>
        <w:ind w:firstLine="480" w:firstLineChars="200"/>
        <w:rPr>
          <w:rFonts w:ascii="宋体" w:hAnsi="宋体" w:cs="宋体"/>
          <w:color w:val="auto"/>
          <w:sz w:val="24"/>
          <w:szCs w:val="24"/>
          <w:highlight w:val="none"/>
        </w:rPr>
      </w:pPr>
      <w:bookmarkStart w:id="107" w:name="_Toc28929"/>
      <w:r>
        <w:rPr>
          <w:rFonts w:hint="eastAsia" w:ascii="宋体" w:hAnsi="宋体" w:cs="宋体"/>
          <w:color w:val="auto"/>
          <w:sz w:val="24"/>
          <w:szCs w:val="24"/>
          <w:highlight w:val="none"/>
        </w:rPr>
        <w:t>（7）供应商之间负责人为同一人或者存在控股、管理关系的不同单位的；</w:t>
      </w:r>
      <w:bookmarkEnd w:id="107"/>
    </w:p>
    <w:p w14:paraId="153CE9DD">
      <w:pPr>
        <w:wordWrap w:val="0"/>
        <w:adjustRightInd w:val="0"/>
        <w:snapToGrid w:val="0"/>
        <w:spacing w:line="360" w:lineRule="auto"/>
        <w:ind w:firstLine="480" w:firstLineChars="200"/>
        <w:rPr>
          <w:rFonts w:ascii="宋体" w:hAnsi="宋体" w:cs="宋体"/>
          <w:color w:val="auto"/>
          <w:sz w:val="24"/>
          <w:szCs w:val="24"/>
          <w:highlight w:val="none"/>
        </w:rPr>
      </w:pPr>
      <w:bookmarkStart w:id="108" w:name="_Toc9718"/>
      <w:r>
        <w:rPr>
          <w:rFonts w:hint="eastAsia" w:ascii="宋体" w:hAnsi="宋体" w:cs="宋体"/>
          <w:color w:val="auto"/>
          <w:sz w:val="24"/>
          <w:szCs w:val="24"/>
          <w:highlight w:val="none"/>
        </w:rPr>
        <w:t>（8）被政府有关部门责令停业的；</w:t>
      </w:r>
      <w:bookmarkEnd w:id="108"/>
    </w:p>
    <w:p w14:paraId="5CF6F058">
      <w:pPr>
        <w:wordWrap w:val="0"/>
        <w:adjustRightInd w:val="0"/>
        <w:snapToGrid w:val="0"/>
        <w:spacing w:line="360" w:lineRule="auto"/>
        <w:ind w:firstLine="480" w:firstLineChars="200"/>
        <w:rPr>
          <w:rFonts w:ascii="宋体" w:hAnsi="宋体" w:cs="宋体"/>
          <w:color w:val="auto"/>
          <w:sz w:val="24"/>
          <w:szCs w:val="24"/>
          <w:highlight w:val="none"/>
        </w:rPr>
      </w:pPr>
      <w:bookmarkStart w:id="109" w:name="_Toc18044"/>
      <w:r>
        <w:rPr>
          <w:rFonts w:hint="eastAsia" w:ascii="宋体" w:hAnsi="宋体" w:cs="宋体"/>
          <w:color w:val="auto"/>
          <w:sz w:val="24"/>
          <w:szCs w:val="24"/>
          <w:highlight w:val="none"/>
        </w:rPr>
        <w:t>（9）被暂停或取消磋商资格的；</w:t>
      </w:r>
      <w:bookmarkEnd w:id="109"/>
    </w:p>
    <w:p w14:paraId="1F1DE486">
      <w:pPr>
        <w:wordWrap w:val="0"/>
        <w:adjustRightInd w:val="0"/>
        <w:snapToGrid w:val="0"/>
        <w:spacing w:line="360" w:lineRule="auto"/>
        <w:ind w:firstLine="480" w:firstLineChars="200"/>
        <w:rPr>
          <w:rFonts w:ascii="宋体" w:hAnsi="宋体" w:cs="宋体"/>
          <w:color w:val="auto"/>
          <w:sz w:val="24"/>
          <w:szCs w:val="24"/>
          <w:highlight w:val="none"/>
        </w:rPr>
      </w:pPr>
      <w:bookmarkStart w:id="110" w:name="_Toc32746"/>
      <w:r>
        <w:rPr>
          <w:rFonts w:hint="eastAsia" w:ascii="宋体" w:hAnsi="宋体" w:cs="宋体"/>
          <w:color w:val="auto"/>
          <w:sz w:val="24"/>
          <w:szCs w:val="24"/>
          <w:highlight w:val="none"/>
        </w:rPr>
        <w:t>（10）</w:t>
      </w:r>
      <w:bookmarkEnd w:id="110"/>
      <w:r>
        <w:rPr>
          <w:rFonts w:hint="eastAsia" w:ascii="宋体" w:hAnsi="宋体" w:cs="宋体"/>
          <w:color w:val="auto"/>
          <w:sz w:val="24"/>
          <w:szCs w:val="24"/>
          <w:highlight w:val="none"/>
        </w:rPr>
        <w:t xml:space="preserve">法律法规规定的其他情形； </w:t>
      </w:r>
    </w:p>
    <w:p w14:paraId="322A9091">
      <w:pPr>
        <w:wordWrap w:val="0"/>
        <w:adjustRightInd w:val="0"/>
        <w:snapToGrid w:val="0"/>
        <w:spacing w:line="360" w:lineRule="auto"/>
        <w:ind w:firstLine="480" w:firstLineChars="200"/>
        <w:rPr>
          <w:rFonts w:ascii="宋体" w:hAnsi="宋体" w:cs="宋体"/>
          <w:color w:val="auto"/>
          <w:sz w:val="24"/>
          <w:szCs w:val="24"/>
          <w:highlight w:val="none"/>
        </w:rPr>
      </w:pPr>
      <w:bookmarkStart w:id="111" w:name="_Toc2594"/>
      <w:r>
        <w:rPr>
          <w:rFonts w:hint="eastAsia" w:ascii="宋体" w:hAnsi="宋体" w:cs="宋体"/>
          <w:color w:val="auto"/>
          <w:sz w:val="24"/>
          <w:szCs w:val="24"/>
          <w:highlight w:val="none"/>
        </w:rPr>
        <w:t>1.4.3 是否接受联合体磋商：</w:t>
      </w:r>
      <w:bookmarkEnd w:id="111"/>
      <w:bookmarkStart w:id="112" w:name="_Toc179632552"/>
      <w:bookmarkStart w:id="113" w:name="_Toc152045535"/>
      <w:bookmarkStart w:id="114" w:name="_Toc32616"/>
      <w:bookmarkStart w:id="115" w:name="_Toc144974503"/>
      <w:bookmarkStart w:id="116" w:name="_Toc152042311"/>
      <w:r>
        <w:rPr>
          <w:rFonts w:hint="eastAsia" w:ascii="宋体" w:hAnsi="宋体" w:cs="宋体"/>
          <w:color w:val="auto"/>
          <w:sz w:val="24"/>
          <w:szCs w:val="24"/>
          <w:highlight w:val="none"/>
        </w:rPr>
        <w:t>详见“第一章 竞争性磋商公告”</w:t>
      </w:r>
    </w:p>
    <w:p w14:paraId="19F5F9CF">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 费用承担</w:t>
      </w:r>
      <w:bookmarkEnd w:id="112"/>
      <w:bookmarkEnd w:id="113"/>
      <w:bookmarkEnd w:id="114"/>
      <w:bookmarkEnd w:id="115"/>
      <w:bookmarkEnd w:id="116"/>
      <w:r>
        <w:rPr>
          <w:rFonts w:hint="eastAsia" w:ascii="宋体" w:hAnsi="宋体" w:cs="宋体"/>
          <w:color w:val="auto"/>
          <w:sz w:val="24"/>
          <w:szCs w:val="24"/>
          <w:highlight w:val="none"/>
        </w:rPr>
        <w:t>：供应商参与本项目所有发生的费用，不论成交与否均由供应商自行承担。</w:t>
      </w:r>
    </w:p>
    <w:p w14:paraId="3EDCB67A">
      <w:pPr>
        <w:wordWrap w:val="0"/>
        <w:adjustRightInd w:val="0"/>
        <w:snapToGrid w:val="0"/>
        <w:spacing w:line="360" w:lineRule="auto"/>
        <w:ind w:firstLine="480" w:firstLineChars="200"/>
        <w:rPr>
          <w:rFonts w:ascii="宋体" w:hAnsi="宋体" w:cs="宋体"/>
          <w:color w:val="auto"/>
          <w:sz w:val="24"/>
          <w:szCs w:val="24"/>
          <w:highlight w:val="none"/>
        </w:rPr>
      </w:pPr>
      <w:bookmarkStart w:id="117" w:name="_Toc144974504"/>
      <w:bookmarkStart w:id="118" w:name="_Toc14333"/>
      <w:bookmarkStart w:id="119" w:name="_Toc152045536"/>
      <w:bookmarkStart w:id="120" w:name="_Toc179632553"/>
      <w:bookmarkStart w:id="121" w:name="_Toc152042312"/>
      <w:r>
        <w:rPr>
          <w:rFonts w:hint="eastAsia" w:ascii="宋体" w:hAnsi="宋体" w:cs="宋体"/>
          <w:color w:val="auto"/>
          <w:sz w:val="24"/>
          <w:szCs w:val="24"/>
          <w:highlight w:val="none"/>
        </w:rPr>
        <w:t>1.6 保密</w:t>
      </w:r>
      <w:bookmarkEnd w:id="117"/>
      <w:bookmarkEnd w:id="118"/>
      <w:bookmarkEnd w:id="119"/>
      <w:bookmarkEnd w:id="120"/>
      <w:bookmarkEnd w:id="121"/>
      <w:r>
        <w:rPr>
          <w:rFonts w:hint="eastAsia" w:ascii="宋体" w:hAnsi="宋体" w:cs="宋体"/>
          <w:color w:val="auto"/>
          <w:sz w:val="24"/>
          <w:szCs w:val="24"/>
          <w:highlight w:val="none"/>
        </w:rPr>
        <w:t>：</w:t>
      </w:r>
      <w:bookmarkStart w:id="122" w:name="_Toc14369"/>
      <w:r>
        <w:rPr>
          <w:rFonts w:hint="eastAsia" w:ascii="宋体" w:hAnsi="宋体" w:cs="宋体"/>
          <w:color w:val="auto"/>
          <w:sz w:val="24"/>
          <w:szCs w:val="24"/>
          <w:highlight w:val="none"/>
        </w:rPr>
        <w:t>参与采购磋商活动的各方均应对竞争性磋商文件和响应文件中的商业和技术等秘密保密，违者应对由此造成的后果承担责任。</w:t>
      </w:r>
      <w:bookmarkEnd w:id="122"/>
      <w:r>
        <w:rPr>
          <w:rFonts w:hint="eastAsia" w:ascii="宋体" w:hAnsi="宋体" w:cs="宋体"/>
          <w:color w:val="auto"/>
          <w:sz w:val="24"/>
          <w:szCs w:val="24"/>
          <w:highlight w:val="none"/>
        </w:rPr>
        <w:t xml:space="preserve"> </w:t>
      </w:r>
    </w:p>
    <w:p w14:paraId="664DBC43">
      <w:pPr>
        <w:wordWrap w:val="0"/>
        <w:adjustRightInd w:val="0"/>
        <w:snapToGrid w:val="0"/>
        <w:spacing w:line="360" w:lineRule="auto"/>
        <w:ind w:firstLine="480" w:firstLineChars="200"/>
        <w:rPr>
          <w:rFonts w:ascii="宋体" w:hAnsi="宋体" w:cs="宋体"/>
          <w:color w:val="auto"/>
          <w:sz w:val="24"/>
          <w:szCs w:val="24"/>
          <w:highlight w:val="none"/>
        </w:rPr>
      </w:pPr>
      <w:bookmarkStart w:id="123" w:name="_Toc144974505"/>
      <w:bookmarkStart w:id="124" w:name="_Toc32542"/>
      <w:bookmarkStart w:id="125" w:name="_Toc179632554"/>
      <w:bookmarkStart w:id="126" w:name="_Toc152042313"/>
      <w:bookmarkStart w:id="127" w:name="_Toc152045537"/>
      <w:r>
        <w:rPr>
          <w:rFonts w:hint="eastAsia" w:ascii="宋体" w:hAnsi="宋体" w:cs="宋体"/>
          <w:color w:val="auto"/>
          <w:sz w:val="24"/>
          <w:szCs w:val="24"/>
          <w:highlight w:val="none"/>
        </w:rPr>
        <w:t>1.7 语言</w:t>
      </w:r>
      <w:bookmarkEnd w:id="123"/>
      <w:r>
        <w:rPr>
          <w:rFonts w:hint="eastAsia" w:ascii="宋体" w:hAnsi="宋体" w:cs="宋体"/>
          <w:color w:val="auto"/>
          <w:sz w:val="24"/>
          <w:szCs w:val="24"/>
          <w:highlight w:val="none"/>
        </w:rPr>
        <w:t>文字</w:t>
      </w:r>
      <w:bookmarkEnd w:id="124"/>
      <w:bookmarkEnd w:id="125"/>
      <w:bookmarkEnd w:id="126"/>
      <w:bookmarkEnd w:id="127"/>
      <w:r>
        <w:rPr>
          <w:rFonts w:hint="eastAsia" w:ascii="宋体" w:hAnsi="宋体" w:cs="宋体"/>
          <w:color w:val="auto"/>
          <w:sz w:val="24"/>
          <w:szCs w:val="24"/>
          <w:highlight w:val="none"/>
        </w:rPr>
        <w:t>：</w:t>
      </w:r>
      <w:bookmarkStart w:id="128" w:name="_Toc6943"/>
      <w:r>
        <w:rPr>
          <w:rFonts w:hint="eastAsia" w:ascii="宋体" w:hAnsi="宋体" w:cs="宋体"/>
          <w:color w:val="auto"/>
          <w:sz w:val="24"/>
          <w:szCs w:val="24"/>
          <w:highlight w:val="none"/>
        </w:rPr>
        <w:t>除专用术语外，与采购磋商有关的语言均使用中文。必要时专用术语应附有中文注释。</w:t>
      </w:r>
      <w:bookmarkEnd w:id="128"/>
    </w:p>
    <w:p w14:paraId="036E3C5A">
      <w:pPr>
        <w:wordWrap w:val="0"/>
        <w:adjustRightInd w:val="0"/>
        <w:snapToGrid w:val="0"/>
        <w:spacing w:line="360" w:lineRule="auto"/>
        <w:ind w:firstLine="480" w:firstLineChars="200"/>
        <w:rPr>
          <w:rFonts w:ascii="宋体" w:hAnsi="宋体" w:cs="宋体"/>
          <w:color w:val="auto"/>
          <w:sz w:val="24"/>
          <w:szCs w:val="24"/>
          <w:highlight w:val="none"/>
        </w:rPr>
      </w:pPr>
      <w:bookmarkStart w:id="129" w:name="_Toc152045538"/>
      <w:bookmarkStart w:id="130" w:name="_Toc179632555"/>
      <w:bookmarkStart w:id="131" w:name="_Toc144974506"/>
      <w:bookmarkStart w:id="132" w:name="_Toc24227"/>
      <w:bookmarkStart w:id="133" w:name="_Toc152042314"/>
      <w:r>
        <w:rPr>
          <w:rFonts w:hint="eastAsia" w:ascii="宋体" w:hAnsi="宋体" w:cs="宋体"/>
          <w:color w:val="auto"/>
          <w:sz w:val="24"/>
          <w:szCs w:val="24"/>
          <w:highlight w:val="none"/>
        </w:rPr>
        <w:t>1.8 计量单位</w:t>
      </w:r>
      <w:bookmarkEnd w:id="129"/>
      <w:bookmarkEnd w:id="130"/>
      <w:bookmarkEnd w:id="131"/>
      <w:bookmarkEnd w:id="132"/>
      <w:bookmarkEnd w:id="133"/>
      <w:r>
        <w:rPr>
          <w:rFonts w:hint="eastAsia" w:ascii="宋体" w:hAnsi="宋体" w:cs="宋体"/>
          <w:color w:val="auto"/>
          <w:sz w:val="24"/>
          <w:szCs w:val="24"/>
          <w:highlight w:val="none"/>
        </w:rPr>
        <w:t>：</w:t>
      </w:r>
      <w:bookmarkStart w:id="134" w:name="_Toc20014"/>
      <w:r>
        <w:rPr>
          <w:rFonts w:hint="eastAsia" w:ascii="宋体" w:hAnsi="宋体" w:cs="宋体"/>
          <w:color w:val="auto"/>
          <w:sz w:val="24"/>
          <w:szCs w:val="24"/>
          <w:highlight w:val="none"/>
        </w:rPr>
        <w:t>所有计量均采用中华人民共和国法定计量单位。</w:t>
      </w:r>
      <w:bookmarkEnd w:id="134"/>
    </w:p>
    <w:p w14:paraId="7D0CF682">
      <w:pPr>
        <w:wordWrap w:val="0"/>
        <w:adjustRightInd w:val="0"/>
        <w:snapToGrid w:val="0"/>
        <w:spacing w:line="360" w:lineRule="auto"/>
        <w:ind w:firstLine="480" w:firstLineChars="200"/>
        <w:rPr>
          <w:rFonts w:ascii="宋体" w:hAnsi="宋体" w:cs="宋体"/>
          <w:color w:val="auto"/>
          <w:sz w:val="24"/>
          <w:szCs w:val="24"/>
          <w:highlight w:val="none"/>
        </w:rPr>
      </w:pPr>
      <w:bookmarkStart w:id="135" w:name="_Toc179632556"/>
      <w:bookmarkStart w:id="136" w:name="_Toc152045539"/>
      <w:bookmarkStart w:id="137" w:name="_Toc144974507"/>
      <w:bookmarkStart w:id="138" w:name="_Toc3896"/>
      <w:bookmarkStart w:id="139" w:name="_Toc152042315"/>
      <w:r>
        <w:rPr>
          <w:rFonts w:hint="eastAsia" w:ascii="宋体" w:hAnsi="宋体" w:cs="宋体"/>
          <w:color w:val="auto"/>
          <w:sz w:val="24"/>
          <w:szCs w:val="24"/>
          <w:highlight w:val="none"/>
        </w:rPr>
        <w:t>1.9 踏勘现场</w:t>
      </w:r>
      <w:bookmarkEnd w:id="135"/>
      <w:bookmarkEnd w:id="136"/>
      <w:bookmarkEnd w:id="137"/>
      <w:bookmarkEnd w:id="138"/>
      <w:bookmarkEnd w:id="139"/>
      <w:r>
        <w:rPr>
          <w:rFonts w:hint="eastAsia" w:ascii="宋体" w:hAnsi="宋体" w:cs="宋体"/>
          <w:color w:val="auto"/>
          <w:sz w:val="24"/>
          <w:szCs w:val="24"/>
          <w:highlight w:val="none"/>
        </w:rPr>
        <w:t>：</w:t>
      </w:r>
      <w:bookmarkStart w:id="140" w:name="_Toc12330"/>
      <w:bookmarkStart w:id="141" w:name="_Toc179632557"/>
      <w:bookmarkStart w:id="142" w:name="_Toc152045540"/>
      <w:bookmarkStart w:id="143" w:name="_Toc152042316"/>
      <w:bookmarkStart w:id="144" w:name="_Toc144974508"/>
      <w:r>
        <w:rPr>
          <w:rFonts w:hint="eastAsia" w:ascii="宋体" w:hAnsi="宋体" w:cs="宋体"/>
          <w:color w:val="auto"/>
          <w:sz w:val="24"/>
          <w:szCs w:val="24"/>
          <w:highlight w:val="none"/>
        </w:rPr>
        <w:t>除供应商须知前附表10.1需要补充的其他内容特殊要求外，不组织统一踏勘现场，各供应商可自行前往项目所在地进行踏勘。过程中所产生的任何费用及安全问题由供应商自行承担。不论供应商是否踏勘，与本项目实施的所有因素、细节由供应商自行考虑并承担相关不利风险。</w:t>
      </w:r>
    </w:p>
    <w:p w14:paraId="78405D4E">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1.10 答疑</w:t>
      </w:r>
      <w:bookmarkEnd w:id="140"/>
      <w:bookmarkEnd w:id="141"/>
      <w:bookmarkEnd w:id="142"/>
      <w:bookmarkEnd w:id="143"/>
      <w:bookmarkEnd w:id="144"/>
      <w:r>
        <w:rPr>
          <w:rFonts w:hint="eastAsia" w:ascii="宋体" w:hAnsi="宋体" w:cs="宋体"/>
          <w:color w:val="auto"/>
          <w:sz w:val="24"/>
          <w:szCs w:val="24"/>
          <w:highlight w:val="none"/>
        </w:rPr>
        <w:t>：详见供应商须知前附表。</w:t>
      </w:r>
    </w:p>
    <w:p w14:paraId="7831251B">
      <w:pPr>
        <w:wordWrap w:val="0"/>
        <w:adjustRightInd w:val="0"/>
        <w:snapToGrid w:val="0"/>
        <w:spacing w:line="360" w:lineRule="auto"/>
        <w:ind w:firstLine="480" w:firstLineChars="200"/>
        <w:rPr>
          <w:rFonts w:ascii="宋体" w:hAnsi="宋体" w:cs="宋体"/>
          <w:color w:val="auto"/>
          <w:sz w:val="24"/>
          <w:szCs w:val="24"/>
          <w:highlight w:val="none"/>
        </w:rPr>
      </w:pPr>
      <w:bookmarkStart w:id="145" w:name="_Toc152045541"/>
      <w:bookmarkStart w:id="146" w:name="_Toc144974509"/>
      <w:bookmarkStart w:id="147" w:name="_Toc179632558"/>
      <w:bookmarkStart w:id="148" w:name="_Toc152042317"/>
      <w:bookmarkStart w:id="149" w:name="_Toc5889"/>
      <w:r>
        <w:rPr>
          <w:rFonts w:hint="eastAsia" w:ascii="宋体" w:hAnsi="宋体" w:cs="宋体"/>
          <w:color w:val="auto"/>
          <w:sz w:val="24"/>
          <w:szCs w:val="24"/>
          <w:highlight w:val="none"/>
        </w:rPr>
        <w:t>1.11 转包</w:t>
      </w:r>
      <w:bookmarkEnd w:id="145"/>
      <w:bookmarkEnd w:id="146"/>
      <w:bookmarkEnd w:id="147"/>
      <w:bookmarkEnd w:id="148"/>
      <w:bookmarkEnd w:id="149"/>
      <w:bookmarkStart w:id="150" w:name="_Toc179632559"/>
      <w:r>
        <w:rPr>
          <w:rFonts w:hint="eastAsia" w:ascii="宋体" w:hAnsi="宋体" w:cs="宋体"/>
          <w:color w:val="auto"/>
          <w:sz w:val="24"/>
          <w:szCs w:val="24"/>
          <w:highlight w:val="none"/>
        </w:rPr>
        <w:t>：本项目不允许成交后转包。</w:t>
      </w:r>
    </w:p>
    <w:bookmarkEnd w:id="150"/>
    <w:p w14:paraId="73B5AE94">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2.竞争性磋商文件的组成</w:t>
      </w:r>
    </w:p>
    <w:p w14:paraId="7D8376A2">
      <w:pPr>
        <w:wordWrap w:val="0"/>
        <w:adjustRightInd w:val="0"/>
        <w:snapToGrid w:val="0"/>
        <w:spacing w:line="360" w:lineRule="auto"/>
        <w:ind w:firstLine="480" w:firstLineChars="200"/>
        <w:rPr>
          <w:rFonts w:ascii="宋体" w:hAnsi="宋体" w:cs="宋体"/>
          <w:color w:val="auto"/>
          <w:sz w:val="24"/>
          <w:szCs w:val="24"/>
          <w:highlight w:val="none"/>
        </w:rPr>
      </w:pPr>
      <w:bookmarkStart w:id="151" w:name="_Toc152045543"/>
      <w:bookmarkStart w:id="152" w:name="_Toc144974511"/>
      <w:bookmarkStart w:id="153" w:name="_Toc152042319"/>
      <w:bookmarkStart w:id="154" w:name="_Toc6865"/>
      <w:bookmarkStart w:id="155" w:name="_Toc179632561"/>
      <w:r>
        <w:rPr>
          <w:rFonts w:hint="eastAsia" w:ascii="宋体" w:hAnsi="宋体" w:cs="宋体"/>
          <w:color w:val="auto"/>
          <w:sz w:val="24"/>
          <w:szCs w:val="24"/>
          <w:highlight w:val="none"/>
        </w:rPr>
        <w:t>2.1 竞争性磋商文件的组成</w:t>
      </w:r>
      <w:bookmarkEnd w:id="151"/>
      <w:bookmarkEnd w:id="152"/>
      <w:bookmarkEnd w:id="153"/>
      <w:bookmarkEnd w:id="154"/>
      <w:bookmarkEnd w:id="155"/>
    </w:p>
    <w:p w14:paraId="7C375F92">
      <w:pPr>
        <w:wordWrap w:val="0"/>
        <w:adjustRightInd w:val="0"/>
        <w:snapToGrid w:val="0"/>
        <w:spacing w:line="360" w:lineRule="auto"/>
        <w:ind w:firstLine="480" w:firstLineChars="200"/>
        <w:rPr>
          <w:rFonts w:ascii="宋体" w:hAnsi="宋体" w:cs="宋体"/>
          <w:color w:val="auto"/>
          <w:sz w:val="24"/>
          <w:szCs w:val="24"/>
          <w:highlight w:val="none"/>
        </w:rPr>
      </w:pPr>
      <w:bookmarkStart w:id="156" w:name="_Toc8529"/>
      <w:r>
        <w:rPr>
          <w:rFonts w:hint="eastAsia" w:ascii="宋体" w:hAnsi="宋体" w:cs="宋体"/>
          <w:color w:val="auto"/>
          <w:sz w:val="24"/>
          <w:szCs w:val="24"/>
          <w:highlight w:val="none"/>
        </w:rPr>
        <w:t>2.1.1本竞争性磋商文件包括：</w:t>
      </w:r>
      <w:bookmarkEnd w:id="156"/>
    </w:p>
    <w:p w14:paraId="7299CE76">
      <w:pPr>
        <w:wordWrap w:val="0"/>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第一章  竞争性磋商公告</w:t>
      </w:r>
      <w:r>
        <w:rPr>
          <w:rFonts w:hint="eastAsia" w:ascii="宋体" w:hAnsi="宋体" w:cs="宋体"/>
          <w:color w:val="auto"/>
          <w:sz w:val="24"/>
          <w:szCs w:val="24"/>
          <w:highlight w:val="none"/>
        </w:rPr>
        <w:tab/>
      </w:r>
    </w:p>
    <w:p w14:paraId="4A96F503">
      <w:pPr>
        <w:wordWrap w:val="0"/>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第二章  供应商须知前附表及供应商须知</w:t>
      </w:r>
    </w:p>
    <w:p w14:paraId="1A2AFEB9">
      <w:pPr>
        <w:wordWrap w:val="0"/>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第三章  工程技术标准和要求</w:t>
      </w:r>
      <w:r>
        <w:rPr>
          <w:rFonts w:hint="eastAsia" w:ascii="宋体" w:hAnsi="宋体" w:cs="宋体"/>
          <w:color w:val="auto"/>
          <w:sz w:val="24"/>
          <w:szCs w:val="24"/>
          <w:highlight w:val="none"/>
        </w:rPr>
        <w:tab/>
      </w:r>
    </w:p>
    <w:p w14:paraId="1E561A42">
      <w:pPr>
        <w:wordWrap w:val="0"/>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 xml:space="preserve">第四章  评审办法 </w:t>
      </w:r>
      <w:r>
        <w:rPr>
          <w:rFonts w:hint="eastAsia" w:ascii="宋体" w:hAnsi="宋体" w:cs="宋体"/>
          <w:color w:val="auto"/>
          <w:sz w:val="24"/>
          <w:szCs w:val="24"/>
          <w:highlight w:val="none"/>
        </w:rPr>
        <w:tab/>
      </w:r>
    </w:p>
    <w:p w14:paraId="313A8C66">
      <w:pPr>
        <w:wordWrap w:val="0"/>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p>
    <w:p w14:paraId="4E759E25">
      <w:pPr>
        <w:wordWrap w:val="0"/>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第六章  响应文件格式</w:t>
      </w:r>
    </w:p>
    <w:p w14:paraId="6EE5D324">
      <w:pPr>
        <w:wordWrap w:val="0"/>
        <w:adjustRightInd w:val="0"/>
        <w:snapToGrid w:val="0"/>
        <w:spacing w:line="360" w:lineRule="auto"/>
        <w:ind w:firstLine="480" w:firstLineChars="200"/>
        <w:rPr>
          <w:rFonts w:ascii="宋体" w:hAnsi="宋体" w:cs="宋体"/>
          <w:color w:val="auto"/>
          <w:sz w:val="24"/>
          <w:szCs w:val="24"/>
          <w:highlight w:val="none"/>
        </w:rPr>
      </w:pPr>
      <w:bookmarkStart w:id="157" w:name="_Toc10269"/>
      <w:r>
        <w:rPr>
          <w:rFonts w:hint="eastAsia" w:ascii="宋体" w:hAnsi="宋体" w:cs="宋体"/>
          <w:color w:val="auto"/>
          <w:sz w:val="24"/>
          <w:szCs w:val="24"/>
          <w:highlight w:val="none"/>
        </w:rPr>
        <w:t>根据本章第1.10款和第2.2款对竞争性磋商文件所作的澄清、修改，均构成竞争性磋商文件的组成部分。</w:t>
      </w:r>
      <w:bookmarkEnd w:id="157"/>
    </w:p>
    <w:p w14:paraId="442FB74B">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2.1.2供应商应及时获取竞争性磋商文件，否则引起的一切风险由供应商自负。</w:t>
      </w:r>
    </w:p>
    <w:p w14:paraId="62999684">
      <w:pPr>
        <w:wordWrap w:val="0"/>
        <w:adjustRightInd w:val="0"/>
        <w:snapToGrid w:val="0"/>
        <w:spacing w:line="360" w:lineRule="auto"/>
        <w:ind w:firstLine="480" w:firstLineChars="200"/>
        <w:rPr>
          <w:rFonts w:ascii="宋体" w:hAnsi="宋体" w:cs="宋体"/>
          <w:color w:val="auto"/>
          <w:sz w:val="24"/>
          <w:szCs w:val="24"/>
          <w:highlight w:val="none"/>
        </w:rPr>
      </w:pPr>
      <w:bookmarkStart w:id="158" w:name="_Toc152042320"/>
      <w:bookmarkStart w:id="159" w:name="_Toc179632562"/>
      <w:bookmarkStart w:id="160" w:name="_Toc144974512"/>
      <w:bookmarkStart w:id="161" w:name="_Toc18080"/>
      <w:bookmarkStart w:id="162" w:name="_Toc152045544"/>
      <w:r>
        <w:rPr>
          <w:rFonts w:hint="eastAsia" w:ascii="宋体" w:hAnsi="宋体" w:cs="宋体"/>
          <w:color w:val="auto"/>
          <w:sz w:val="24"/>
          <w:szCs w:val="24"/>
          <w:highlight w:val="none"/>
        </w:rPr>
        <w:t>2.2 竞争性磋商文件的澄清</w:t>
      </w:r>
      <w:bookmarkEnd w:id="158"/>
      <w:bookmarkEnd w:id="159"/>
      <w:bookmarkEnd w:id="160"/>
      <w:bookmarkEnd w:id="161"/>
      <w:bookmarkEnd w:id="162"/>
      <w:r>
        <w:rPr>
          <w:rFonts w:hint="eastAsia" w:ascii="宋体" w:hAnsi="宋体" w:cs="宋体"/>
          <w:color w:val="auto"/>
          <w:sz w:val="24"/>
          <w:szCs w:val="24"/>
          <w:highlight w:val="none"/>
        </w:rPr>
        <w:t>与修改</w:t>
      </w:r>
    </w:p>
    <w:p w14:paraId="4DF852F9">
      <w:pPr>
        <w:wordWrap w:val="0"/>
        <w:adjustRightInd w:val="0"/>
        <w:snapToGrid w:val="0"/>
        <w:spacing w:line="360" w:lineRule="auto"/>
        <w:ind w:firstLine="480" w:firstLineChars="200"/>
        <w:rPr>
          <w:rFonts w:ascii="宋体" w:hAnsi="宋体" w:cs="宋体"/>
          <w:color w:val="auto"/>
          <w:sz w:val="24"/>
          <w:szCs w:val="24"/>
          <w:highlight w:val="none"/>
        </w:rPr>
      </w:pPr>
      <w:bookmarkStart w:id="163" w:name="_Toc8736"/>
      <w:r>
        <w:rPr>
          <w:rFonts w:hint="eastAsia" w:ascii="宋体" w:hAnsi="宋体" w:cs="宋体"/>
          <w:color w:val="auto"/>
          <w:sz w:val="24"/>
          <w:szCs w:val="24"/>
          <w:highlight w:val="none"/>
        </w:rPr>
        <w:t>2.2.1供应商应仔细阅读和检查竞争性磋商文件的全部内容。如发现缺页或附件不全，应及时向采购代理机构提出，以便补齐。如有疑问，按照前附表要求向采购代理机构提出疑问，要求采购代理机构对竞争性磋商文件予以澄清。</w:t>
      </w:r>
      <w:bookmarkEnd w:id="163"/>
    </w:p>
    <w:p w14:paraId="3215FD74">
      <w:pPr>
        <w:wordWrap w:val="0"/>
        <w:adjustRightInd w:val="0"/>
        <w:snapToGrid w:val="0"/>
        <w:spacing w:line="360" w:lineRule="auto"/>
        <w:ind w:firstLine="480" w:firstLineChars="200"/>
        <w:rPr>
          <w:rFonts w:ascii="宋体" w:hAnsi="宋体" w:cs="宋体"/>
          <w:color w:val="auto"/>
          <w:sz w:val="24"/>
          <w:szCs w:val="24"/>
          <w:highlight w:val="none"/>
        </w:rPr>
      </w:pPr>
      <w:bookmarkStart w:id="164" w:name="_Toc1339"/>
      <w:r>
        <w:rPr>
          <w:rFonts w:hint="eastAsia" w:ascii="宋体" w:hAnsi="宋体" w:cs="宋体"/>
          <w:color w:val="auto"/>
          <w:sz w:val="24"/>
          <w:szCs w:val="24"/>
          <w:highlight w:val="none"/>
        </w:rPr>
        <w:t>2.2.2 供应商应及时登录相应网站查看本项目的采购变更信息并获取澄清和修改后的文件，未按澄清和修改后的竞争性磋商文件编制的响应文件有可能被磋商小组否决。</w:t>
      </w:r>
    </w:p>
    <w:p w14:paraId="0CEE7D85">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2.2.3当竞争性磋商文件、磋商文件澄清（答疑）纪要、磋商文件修改（补充）文件在同一内容的表述上不一致时，以时间在后的为准。</w:t>
      </w:r>
    </w:p>
    <w:p w14:paraId="485C4F7D">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2.2.4其它关于澄清与修改的要求以现行相关法律、法规为准。</w:t>
      </w:r>
    </w:p>
    <w:bookmarkEnd w:id="164"/>
    <w:p w14:paraId="0EF39EDD">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3.响应文件</w:t>
      </w:r>
    </w:p>
    <w:p w14:paraId="2FC6986F">
      <w:pPr>
        <w:wordWrap w:val="0"/>
        <w:adjustRightInd w:val="0"/>
        <w:snapToGrid w:val="0"/>
        <w:spacing w:line="360" w:lineRule="auto"/>
        <w:ind w:firstLine="480" w:firstLineChars="200"/>
        <w:rPr>
          <w:rFonts w:ascii="宋体" w:hAnsi="宋体" w:cs="宋体"/>
          <w:color w:val="auto"/>
          <w:sz w:val="24"/>
          <w:szCs w:val="24"/>
          <w:highlight w:val="none"/>
        </w:rPr>
      </w:pPr>
      <w:bookmarkStart w:id="165" w:name="_Toc152045547"/>
      <w:bookmarkStart w:id="166" w:name="_Toc144974515"/>
      <w:bookmarkStart w:id="167" w:name="_Toc179632565"/>
      <w:bookmarkStart w:id="168" w:name="_Toc20122"/>
      <w:bookmarkStart w:id="169" w:name="_Toc152042323"/>
      <w:r>
        <w:rPr>
          <w:rFonts w:hint="eastAsia" w:ascii="宋体" w:hAnsi="宋体" w:cs="宋体"/>
          <w:color w:val="auto"/>
          <w:sz w:val="24"/>
          <w:szCs w:val="24"/>
          <w:highlight w:val="none"/>
        </w:rPr>
        <w:t>3.1 响应文件的组成</w:t>
      </w:r>
      <w:bookmarkEnd w:id="165"/>
      <w:bookmarkEnd w:id="166"/>
      <w:bookmarkEnd w:id="167"/>
      <w:bookmarkEnd w:id="168"/>
      <w:bookmarkEnd w:id="169"/>
      <w:r>
        <w:rPr>
          <w:rFonts w:hint="eastAsia" w:ascii="宋体" w:hAnsi="宋体" w:cs="宋体"/>
          <w:color w:val="auto"/>
          <w:sz w:val="24"/>
          <w:szCs w:val="24"/>
          <w:highlight w:val="none"/>
        </w:rPr>
        <w:t>：</w:t>
      </w:r>
      <w:bookmarkStart w:id="170" w:name="_Toc19703"/>
    </w:p>
    <w:p w14:paraId="47694988">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3.1.1响应文件应按照本竞争性磋商文件提供的“第六章 响应文件格式”、“第四章 评审办法”及本文件的其他要求完整的进行编制</w:t>
      </w:r>
      <w:bookmarkEnd w:id="170"/>
      <w:r>
        <w:rPr>
          <w:rFonts w:hint="eastAsia" w:ascii="宋体" w:hAnsi="宋体" w:cs="宋体"/>
          <w:color w:val="auto"/>
          <w:sz w:val="24"/>
          <w:szCs w:val="24"/>
          <w:highlight w:val="none"/>
        </w:rPr>
        <w:t>。</w:t>
      </w:r>
    </w:p>
    <w:p w14:paraId="1F2E7679">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供应商在编制响应文件时未按照上述要求提供证明材料、擅自修改响应文件格式内容、未按照响应文件格式内容进行响应的，将视为响应文件的组成不完整，在符合性审查时将按照不合格处理。</w:t>
      </w:r>
    </w:p>
    <w:p w14:paraId="5D087295">
      <w:pPr>
        <w:wordWrap w:val="0"/>
        <w:adjustRightInd w:val="0"/>
        <w:snapToGrid w:val="0"/>
        <w:spacing w:line="360" w:lineRule="auto"/>
        <w:rPr>
          <w:rFonts w:ascii="宋体" w:hAnsi="宋体" w:cs="宋体"/>
          <w:color w:val="auto"/>
          <w:sz w:val="24"/>
          <w:szCs w:val="24"/>
          <w:highlight w:val="none"/>
        </w:rPr>
      </w:pPr>
      <w:bookmarkStart w:id="171" w:name="_Toc5965"/>
      <w:r>
        <w:rPr>
          <w:rFonts w:hint="eastAsia" w:ascii="宋体" w:hAnsi="宋体" w:cs="宋体"/>
          <w:color w:val="auto"/>
          <w:sz w:val="24"/>
          <w:szCs w:val="24"/>
          <w:highlight w:val="none"/>
        </w:rPr>
        <w:t>3.1.2</w:t>
      </w:r>
      <w:bookmarkEnd w:id="171"/>
      <w:bookmarkStart w:id="172" w:name="_Toc16247"/>
      <w:r>
        <w:rPr>
          <w:rFonts w:hint="eastAsia" w:ascii="宋体" w:hAnsi="宋体" w:cs="宋体"/>
          <w:color w:val="auto"/>
          <w:sz w:val="24"/>
          <w:szCs w:val="24"/>
          <w:highlight w:val="none"/>
        </w:rPr>
        <w:t>响应文件的份数：详见供应商须知前附表。</w:t>
      </w:r>
    </w:p>
    <w:p w14:paraId="712750B7">
      <w:pPr>
        <w:wordWrap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3.1.3响应文件的密封与包装：详见供应商须知前附表。</w:t>
      </w:r>
    </w:p>
    <w:p w14:paraId="2C7B5BC6">
      <w:pPr>
        <w:wordWrap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3.1.4响应文件的补充、修改和撤回：</w:t>
      </w:r>
    </w:p>
    <w:p w14:paraId="42B7D07C">
      <w:pPr>
        <w:numPr>
          <w:ilvl w:val="0"/>
          <w:numId w:val="3"/>
        </w:numPr>
        <w:wordWrap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在提交响应文件截止时间前，可以对所提交的响应文件进行补充、修改或者撤回，但需要书面通知采购人、采购代理机构。补充、修改的内容作为响应文件的组成部分。补充、修改的内容与响应文件不一致的，以补充、修改的内容为准。</w:t>
      </w:r>
    </w:p>
    <w:p w14:paraId="005D1E44">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（2）供应商在提交响应文件截止时间后，撤回响应文件的，磋商保证金不予退还。</w:t>
      </w:r>
    </w:p>
    <w:p w14:paraId="429CEE1A">
      <w:pPr>
        <w:wordWrap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3.1.5响应文件被拒绝接收的情形：</w:t>
      </w:r>
    </w:p>
    <w:p w14:paraId="10597413">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（1）未按照竞争性磋商文件要求递交响应文件的；</w:t>
      </w:r>
    </w:p>
    <w:p w14:paraId="5F6CF049">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（2）逾期提交响应文件的；</w:t>
      </w:r>
    </w:p>
    <w:p w14:paraId="7D29F14C">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（3）其它法律法规规定的应当拒绝接受的情形。</w:t>
      </w:r>
    </w:p>
    <w:p w14:paraId="265F562A">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3.1.6响应文件由于编制问题导致无法正常评审的，将按无效响应文件处理。</w:t>
      </w:r>
      <w:bookmarkEnd w:id="172"/>
    </w:p>
    <w:p w14:paraId="08113053">
      <w:pPr>
        <w:wordWrap w:val="0"/>
        <w:adjustRightInd w:val="0"/>
        <w:snapToGrid w:val="0"/>
        <w:spacing w:line="360" w:lineRule="auto"/>
        <w:ind w:firstLine="480" w:firstLineChars="200"/>
        <w:rPr>
          <w:rFonts w:ascii="宋体" w:hAnsi="宋体" w:cs="宋体"/>
          <w:color w:val="auto"/>
          <w:sz w:val="24"/>
          <w:szCs w:val="24"/>
          <w:highlight w:val="none"/>
        </w:rPr>
      </w:pPr>
      <w:bookmarkStart w:id="173" w:name="_Toc24516"/>
      <w:bookmarkStart w:id="174" w:name="_Toc144974516"/>
      <w:bookmarkStart w:id="175" w:name="_Toc152042324"/>
      <w:bookmarkStart w:id="176" w:name="_Toc179632566"/>
      <w:bookmarkStart w:id="177" w:name="_Toc152045548"/>
      <w:r>
        <w:rPr>
          <w:rFonts w:hint="eastAsia" w:ascii="宋体" w:hAnsi="宋体" w:cs="宋体"/>
          <w:color w:val="auto"/>
          <w:sz w:val="24"/>
          <w:szCs w:val="24"/>
          <w:highlight w:val="none"/>
        </w:rPr>
        <w:t xml:space="preserve">3.2 </w:t>
      </w:r>
      <w:bookmarkEnd w:id="173"/>
      <w:bookmarkEnd w:id="174"/>
      <w:bookmarkEnd w:id="175"/>
      <w:bookmarkEnd w:id="176"/>
      <w:bookmarkEnd w:id="177"/>
      <w:r>
        <w:rPr>
          <w:rFonts w:hint="eastAsia" w:ascii="宋体" w:hAnsi="宋体" w:cs="宋体"/>
          <w:color w:val="auto"/>
          <w:sz w:val="24"/>
          <w:szCs w:val="24"/>
          <w:highlight w:val="none"/>
        </w:rPr>
        <w:t>磋商报价</w:t>
      </w:r>
    </w:p>
    <w:p w14:paraId="1DDD8136">
      <w:pPr>
        <w:wordWrap w:val="0"/>
        <w:adjustRightInd w:val="0"/>
        <w:snapToGrid w:val="0"/>
        <w:spacing w:line="360" w:lineRule="auto"/>
        <w:ind w:firstLine="480" w:firstLineChars="200"/>
        <w:rPr>
          <w:rFonts w:ascii="宋体" w:hAnsi="宋体" w:cs="宋体"/>
          <w:color w:val="auto"/>
          <w:sz w:val="24"/>
          <w:szCs w:val="24"/>
          <w:highlight w:val="none"/>
        </w:rPr>
      </w:pPr>
      <w:bookmarkStart w:id="178" w:name="_Toc25009"/>
      <w:r>
        <w:rPr>
          <w:rFonts w:hint="eastAsia" w:ascii="宋体" w:hAnsi="宋体" w:cs="宋体"/>
          <w:color w:val="auto"/>
          <w:sz w:val="24"/>
          <w:szCs w:val="24"/>
          <w:highlight w:val="none"/>
        </w:rPr>
        <w:t>3.2.1供应商应按照竞争性磋商文件中的规定和要求报价，任何不符合报价要求的磋商将按照废标处理。</w:t>
      </w:r>
      <w:bookmarkEnd w:id="178"/>
    </w:p>
    <w:p w14:paraId="22098042">
      <w:pPr>
        <w:wordWrap w:val="0"/>
        <w:adjustRightInd w:val="0"/>
        <w:snapToGrid w:val="0"/>
        <w:spacing w:line="360" w:lineRule="auto"/>
        <w:ind w:firstLine="480" w:firstLineChars="200"/>
        <w:rPr>
          <w:rFonts w:ascii="宋体" w:hAnsi="宋体" w:cs="宋体"/>
          <w:color w:val="auto"/>
          <w:sz w:val="24"/>
          <w:szCs w:val="24"/>
          <w:highlight w:val="none"/>
        </w:rPr>
      </w:pPr>
      <w:bookmarkStart w:id="179" w:name="_Toc27614"/>
      <w:r>
        <w:rPr>
          <w:rFonts w:hint="eastAsia" w:ascii="宋体" w:hAnsi="宋体" w:cs="宋体"/>
          <w:color w:val="auto"/>
          <w:sz w:val="24"/>
          <w:szCs w:val="24"/>
          <w:highlight w:val="none"/>
        </w:rPr>
        <w:t>3.2.2磋商报价表中标明的价格应为履行合同的固定价格，不得以任何理由予以变更。任何有选择的报价及以可调整价格的磋商均按照废标处理。</w:t>
      </w:r>
      <w:bookmarkEnd w:id="179"/>
    </w:p>
    <w:p w14:paraId="41796690">
      <w:pPr>
        <w:wordWrap w:val="0"/>
        <w:adjustRightInd w:val="0"/>
        <w:snapToGrid w:val="0"/>
        <w:spacing w:line="360" w:lineRule="auto"/>
        <w:ind w:firstLine="480" w:firstLineChars="200"/>
        <w:rPr>
          <w:rFonts w:ascii="宋体" w:hAnsi="宋体" w:cs="宋体"/>
          <w:color w:val="auto"/>
          <w:sz w:val="24"/>
          <w:szCs w:val="24"/>
          <w:highlight w:val="none"/>
        </w:rPr>
      </w:pPr>
      <w:bookmarkStart w:id="180" w:name="_Toc13351"/>
      <w:r>
        <w:rPr>
          <w:rFonts w:hint="eastAsia" w:ascii="宋体" w:hAnsi="宋体" w:cs="宋体"/>
          <w:color w:val="auto"/>
          <w:sz w:val="24"/>
          <w:szCs w:val="24"/>
          <w:highlight w:val="none"/>
        </w:rPr>
        <w:t>3.2.3磋商报价其他要求：详见供应商须知前附表。</w:t>
      </w:r>
      <w:bookmarkEnd w:id="180"/>
    </w:p>
    <w:p w14:paraId="6C232C7B">
      <w:pPr>
        <w:wordWrap w:val="0"/>
        <w:adjustRightInd w:val="0"/>
        <w:snapToGrid w:val="0"/>
        <w:spacing w:line="360" w:lineRule="auto"/>
        <w:ind w:firstLine="480" w:firstLineChars="200"/>
        <w:rPr>
          <w:rFonts w:ascii="宋体" w:hAnsi="宋体" w:cs="宋体"/>
          <w:color w:val="auto"/>
          <w:sz w:val="24"/>
          <w:szCs w:val="24"/>
          <w:highlight w:val="none"/>
        </w:rPr>
      </w:pPr>
      <w:bookmarkStart w:id="181" w:name="_Toc144974517"/>
      <w:bookmarkStart w:id="182" w:name="_Toc152042325"/>
      <w:bookmarkStart w:id="183" w:name="_Toc19568"/>
      <w:bookmarkStart w:id="184" w:name="_Toc152045549"/>
      <w:bookmarkStart w:id="185" w:name="_Toc179632567"/>
      <w:r>
        <w:rPr>
          <w:rFonts w:hint="eastAsia" w:ascii="宋体" w:hAnsi="宋体" w:cs="宋体"/>
          <w:color w:val="auto"/>
          <w:sz w:val="24"/>
          <w:szCs w:val="24"/>
          <w:highlight w:val="none"/>
        </w:rPr>
        <w:t>3.3 磋商有效期</w:t>
      </w:r>
      <w:bookmarkEnd w:id="181"/>
      <w:bookmarkEnd w:id="182"/>
      <w:bookmarkEnd w:id="183"/>
      <w:bookmarkEnd w:id="184"/>
      <w:bookmarkEnd w:id="185"/>
    </w:p>
    <w:p w14:paraId="2DF4214E">
      <w:pPr>
        <w:wordWrap w:val="0"/>
        <w:adjustRightInd w:val="0"/>
        <w:snapToGrid w:val="0"/>
        <w:spacing w:line="360" w:lineRule="auto"/>
        <w:ind w:firstLine="480" w:firstLineChars="200"/>
        <w:rPr>
          <w:rFonts w:ascii="宋体" w:hAnsi="宋体" w:cs="宋体"/>
          <w:color w:val="auto"/>
          <w:sz w:val="24"/>
          <w:szCs w:val="24"/>
          <w:highlight w:val="none"/>
        </w:rPr>
      </w:pPr>
      <w:bookmarkStart w:id="186" w:name="_Toc18981"/>
      <w:r>
        <w:rPr>
          <w:rFonts w:hint="eastAsia" w:ascii="宋体" w:hAnsi="宋体" w:cs="宋体"/>
          <w:color w:val="auto"/>
          <w:sz w:val="24"/>
          <w:szCs w:val="24"/>
          <w:highlight w:val="none"/>
        </w:rPr>
        <w:t>3.3.1 磋商有效期：在规定的磋商有效期内，供应商不得要求撤销或修改其响应文件。其他内容详见供应商须知前附表。</w:t>
      </w:r>
      <w:bookmarkEnd w:id="186"/>
    </w:p>
    <w:p w14:paraId="0E2B98A9">
      <w:pPr>
        <w:wordWrap w:val="0"/>
        <w:adjustRightInd w:val="0"/>
        <w:snapToGrid w:val="0"/>
        <w:spacing w:line="360" w:lineRule="auto"/>
        <w:ind w:firstLine="480" w:firstLineChars="200"/>
        <w:rPr>
          <w:rFonts w:ascii="宋体" w:hAnsi="宋体" w:cs="宋体"/>
          <w:color w:val="auto"/>
          <w:sz w:val="24"/>
          <w:szCs w:val="24"/>
          <w:highlight w:val="none"/>
        </w:rPr>
      </w:pPr>
      <w:bookmarkStart w:id="187" w:name="_Toc3847"/>
      <w:r>
        <w:rPr>
          <w:rFonts w:hint="eastAsia" w:ascii="宋体" w:hAnsi="宋体" w:cs="宋体"/>
          <w:color w:val="auto"/>
          <w:sz w:val="24"/>
          <w:szCs w:val="24"/>
          <w:highlight w:val="none"/>
        </w:rPr>
        <w:t>3.3.2在特殊情况下，采购人或采购代理机构在原定磋商有效期内，可以根据需要以书面形式向供应商提出延长磋商有效期的要求，对此要求供应商须以书面形式予以答复。供应商可以拒绝采购人或采购代理机构这种要求，而不被没收磋商保证金。同意延长磋商有效期的供应商既不能要求也不允许修改其响应文件，但需要相应的延长磋商保证金的有效期，在延长的磋商有效期内本须知关于磋商担保的退还与没收的规定仍然适用。</w:t>
      </w:r>
      <w:bookmarkEnd w:id="187"/>
    </w:p>
    <w:p w14:paraId="4B035314">
      <w:pPr>
        <w:wordWrap w:val="0"/>
        <w:adjustRightInd w:val="0"/>
        <w:snapToGrid w:val="0"/>
        <w:spacing w:line="360" w:lineRule="auto"/>
        <w:ind w:firstLine="480" w:firstLineChars="200"/>
        <w:rPr>
          <w:rFonts w:ascii="宋体" w:hAnsi="宋体" w:cs="宋体"/>
          <w:color w:val="auto"/>
          <w:sz w:val="24"/>
          <w:szCs w:val="24"/>
          <w:highlight w:val="none"/>
        </w:rPr>
      </w:pPr>
      <w:bookmarkStart w:id="188" w:name="_Toc152042326"/>
      <w:bookmarkStart w:id="189" w:name="_Toc144974518"/>
      <w:bookmarkStart w:id="190" w:name="_Toc179632568"/>
      <w:bookmarkStart w:id="191" w:name="_Toc152045550"/>
      <w:bookmarkStart w:id="192" w:name="_Toc15696"/>
      <w:r>
        <w:rPr>
          <w:rFonts w:hint="eastAsia" w:ascii="宋体" w:hAnsi="宋体" w:cs="宋体"/>
          <w:color w:val="auto"/>
          <w:sz w:val="24"/>
          <w:szCs w:val="24"/>
          <w:highlight w:val="none"/>
        </w:rPr>
        <w:t>3.4 磋商保证金</w:t>
      </w:r>
      <w:bookmarkEnd w:id="188"/>
      <w:bookmarkEnd w:id="189"/>
      <w:bookmarkEnd w:id="190"/>
      <w:bookmarkEnd w:id="191"/>
      <w:bookmarkEnd w:id="192"/>
      <w:r>
        <w:rPr>
          <w:rFonts w:hint="eastAsia" w:ascii="宋体" w:hAnsi="宋体" w:cs="宋体"/>
          <w:color w:val="auto"/>
          <w:sz w:val="24"/>
          <w:szCs w:val="24"/>
          <w:highlight w:val="none"/>
        </w:rPr>
        <w:t>：详见供应商须知前附表。</w:t>
      </w:r>
    </w:p>
    <w:p w14:paraId="1440BF59">
      <w:pPr>
        <w:tabs>
          <w:tab w:val="left" w:pos="429"/>
        </w:tabs>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 资格审查要求及审查依据：详见供应商须知前附表。</w:t>
      </w:r>
    </w:p>
    <w:p w14:paraId="3C607FDC">
      <w:pPr>
        <w:wordWrap w:val="0"/>
        <w:adjustRightInd w:val="0"/>
        <w:snapToGrid w:val="0"/>
        <w:spacing w:line="360" w:lineRule="auto"/>
        <w:ind w:firstLine="480" w:firstLineChars="200"/>
        <w:rPr>
          <w:rFonts w:ascii="宋体" w:hAnsi="宋体" w:cs="宋体"/>
          <w:color w:val="auto"/>
          <w:sz w:val="24"/>
          <w:szCs w:val="24"/>
          <w:highlight w:val="none"/>
        </w:rPr>
      </w:pPr>
      <w:bookmarkStart w:id="193" w:name="_Toc152042329"/>
      <w:bookmarkStart w:id="194" w:name="_Toc179632571"/>
      <w:bookmarkStart w:id="195" w:name="_Toc144974521"/>
      <w:bookmarkStart w:id="196" w:name="_Toc152045553"/>
      <w:bookmarkStart w:id="197" w:name="_Toc15100"/>
      <w:r>
        <w:rPr>
          <w:rFonts w:hint="eastAsia" w:ascii="宋体" w:hAnsi="宋体" w:cs="宋体"/>
          <w:color w:val="auto"/>
          <w:sz w:val="24"/>
          <w:szCs w:val="24"/>
          <w:highlight w:val="none"/>
        </w:rPr>
        <w:t>3.6 是否允许递交备选磋商方案</w:t>
      </w:r>
      <w:bookmarkEnd w:id="193"/>
      <w:bookmarkEnd w:id="194"/>
      <w:bookmarkEnd w:id="195"/>
      <w:bookmarkEnd w:id="196"/>
      <w:bookmarkEnd w:id="197"/>
      <w:bookmarkStart w:id="198" w:name="_Toc16154"/>
      <w:r>
        <w:rPr>
          <w:rFonts w:hint="eastAsia" w:ascii="宋体" w:hAnsi="宋体" w:cs="宋体"/>
          <w:color w:val="auto"/>
          <w:sz w:val="24"/>
          <w:szCs w:val="24"/>
          <w:highlight w:val="none"/>
        </w:rPr>
        <w:t>：供应商不得递交备选磋商方案。</w:t>
      </w:r>
      <w:bookmarkEnd w:id="198"/>
    </w:p>
    <w:p w14:paraId="3AC7E95E">
      <w:pPr>
        <w:wordWrap w:val="0"/>
        <w:adjustRightInd w:val="0"/>
        <w:snapToGrid w:val="0"/>
        <w:spacing w:line="360" w:lineRule="auto"/>
        <w:ind w:firstLine="480" w:firstLineChars="200"/>
        <w:rPr>
          <w:rFonts w:ascii="宋体" w:hAnsi="宋体" w:cs="宋体"/>
          <w:color w:val="auto"/>
          <w:sz w:val="24"/>
          <w:szCs w:val="24"/>
          <w:highlight w:val="none"/>
        </w:rPr>
      </w:pPr>
      <w:bookmarkStart w:id="199" w:name="_Toc144974522"/>
      <w:bookmarkStart w:id="200" w:name="_Toc152045554"/>
      <w:bookmarkStart w:id="201" w:name="_Toc152042330"/>
      <w:bookmarkStart w:id="202" w:name="_Toc12719"/>
      <w:bookmarkStart w:id="203" w:name="_Toc179632572"/>
      <w:r>
        <w:rPr>
          <w:rFonts w:hint="eastAsia" w:ascii="宋体" w:hAnsi="宋体" w:cs="宋体"/>
          <w:color w:val="auto"/>
          <w:sz w:val="24"/>
          <w:szCs w:val="24"/>
          <w:highlight w:val="none"/>
        </w:rPr>
        <w:t>3.7 响应文件的编制</w:t>
      </w:r>
      <w:bookmarkEnd w:id="199"/>
      <w:bookmarkEnd w:id="200"/>
      <w:bookmarkEnd w:id="201"/>
      <w:bookmarkEnd w:id="202"/>
      <w:bookmarkEnd w:id="203"/>
      <w:r>
        <w:rPr>
          <w:rFonts w:hint="eastAsia" w:ascii="宋体" w:hAnsi="宋体" w:cs="宋体"/>
          <w:color w:val="auto"/>
          <w:sz w:val="24"/>
          <w:szCs w:val="24"/>
          <w:highlight w:val="none"/>
        </w:rPr>
        <w:t>及组成</w:t>
      </w:r>
    </w:p>
    <w:p w14:paraId="644177B9">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3.7.1响应文件应按 “响应文件格式”进行编写，如有必要，可以增加附页，作为响应文件的组成部分。其中，磋商函附录在满足竞争性磋商文件实质性要求的基础上，可以提出比竞争性磋商文件要求更有利于采购人的承诺。</w:t>
      </w:r>
    </w:p>
    <w:p w14:paraId="16E9774C">
      <w:pPr>
        <w:wordWrap w:val="0"/>
        <w:adjustRightInd w:val="0"/>
        <w:snapToGrid w:val="0"/>
        <w:spacing w:line="360" w:lineRule="auto"/>
        <w:ind w:firstLine="480" w:firstLineChars="200"/>
        <w:rPr>
          <w:rFonts w:ascii="宋体" w:hAnsi="宋体" w:cs="宋体"/>
          <w:color w:val="auto"/>
          <w:sz w:val="24"/>
          <w:szCs w:val="24"/>
          <w:highlight w:val="none"/>
        </w:rPr>
      </w:pPr>
      <w:bookmarkStart w:id="204" w:name="_Toc18131"/>
      <w:r>
        <w:rPr>
          <w:rFonts w:hint="eastAsia" w:ascii="宋体" w:hAnsi="宋体" w:cs="宋体"/>
          <w:color w:val="auto"/>
          <w:sz w:val="24"/>
          <w:szCs w:val="24"/>
          <w:highlight w:val="none"/>
        </w:rPr>
        <w:t xml:space="preserve">3.7.2 </w:t>
      </w:r>
      <w:bookmarkEnd w:id="204"/>
      <w:r>
        <w:rPr>
          <w:rFonts w:hint="eastAsia" w:ascii="宋体" w:hAnsi="宋体" w:cs="宋体"/>
          <w:color w:val="auto"/>
          <w:sz w:val="24"/>
          <w:szCs w:val="24"/>
          <w:highlight w:val="none"/>
        </w:rPr>
        <w:t>响应文件应当对竞争性磋商文件明确的实质性要求和条件进行响应，对于竞争性磋商文件特别要求需要逐条明确响应或提供相关证明材料的，应当按照其要求进行编制，否则视为未响应。</w:t>
      </w:r>
    </w:p>
    <w:p w14:paraId="126C1B8B">
      <w:pPr>
        <w:wordWrap w:val="0"/>
        <w:adjustRightInd w:val="0"/>
        <w:snapToGrid w:val="0"/>
        <w:spacing w:line="360" w:lineRule="auto"/>
        <w:ind w:firstLine="480" w:firstLineChars="200"/>
        <w:rPr>
          <w:rFonts w:ascii="宋体" w:hAnsi="宋体" w:cs="宋体"/>
          <w:color w:val="auto"/>
          <w:sz w:val="24"/>
          <w:szCs w:val="24"/>
          <w:highlight w:val="none"/>
        </w:rPr>
      </w:pPr>
      <w:bookmarkStart w:id="205" w:name="_Toc152042331"/>
      <w:bookmarkStart w:id="206" w:name="_Toc152045555"/>
      <w:bookmarkStart w:id="207" w:name="_Toc511585903"/>
      <w:bookmarkStart w:id="208" w:name="_Toc179632573"/>
      <w:bookmarkStart w:id="209" w:name="_Toc9750"/>
      <w:bookmarkStart w:id="210" w:name="_Toc7204"/>
      <w:bookmarkStart w:id="211" w:name="_Toc510859895"/>
      <w:bookmarkStart w:id="212" w:name="_Toc5025"/>
      <w:bookmarkStart w:id="213" w:name="_Toc144974523"/>
      <w:bookmarkStart w:id="214" w:name="_Toc17210"/>
      <w:bookmarkStart w:id="215" w:name="_Toc363119281"/>
      <w:bookmarkStart w:id="216" w:name="_Toc510859689"/>
      <w:r>
        <w:rPr>
          <w:rFonts w:hint="eastAsia" w:ascii="宋体" w:hAnsi="宋体" w:cs="宋体"/>
          <w:color w:val="auto"/>
          <w:sz w:val="24"/>
          <w:szCs w:val="24"/>
          <w:highlight w:val="none"/>
        </w:rPr>
        <w:t>4.</w:t>
      </w:r>
      <w:bookmarkEnd w:id="205"/>
      <w:bookmarkEnd w:id="206"/>
      <w:bookmarkEnd w:id="207"/>
      <w:bookmarkEnd w:id="208"/>
      <w:bookmarkEnd w:id="209"/>
      <w:bookmarkEnd w:id="210"/>
      <w:bookmarkEnd w:id="211"/>
      <w:bookmarkEnd w:id="212"/>
      <w:bookmarkEnd w:id="213"/>
      <w:bookmarkEnd w:id="214"/>
      <w:bookmarkEnd w:id="215"/>
      <w:bookmarkEnd w:id="216"/>
      <w:r>
        <w:rPr>
          <w:rFonts w:hint="eastAsia" w:ascii="宋体" w:hAnsi="宋体" w:cs="宋体"/>
          <w:color w:val="auto"/>
          <w:sz w:val="24"/>
          <w:szCs w:val="24"/>
          <w:highlight w:val="none"/>
        </w:rPr>
        <w:t>磋商</w:t>
      </w:r>
    </w:p>
    <w:p w14:paraId="54BA989E">
      <w:pPr>
        <w:wordWrap w:val="0"/>
        <w:adjustRightInd w:val="0"/>
        <w:snapToGrid w:val="0"/>
        <w:spacing w:line="360" w:lineRule="auto"/>
        <w:ind w:firstLine="480" w:firstLineChars="200"/>
        <w:rPr>
          <w:rFonts w:ascii="宋体" w:hAnsi="宋体" w:cs="宋体"/>
          <w:color w:val="auto"/>
          <w:sz w:val="24"/>
          <w:szCs w:val="24"/>
          <w:highlight w:val="none"/>
        </w:rPr>
      </w:pPr>
      <w:bookmarkStart w:id="217" w:name="_Toc586"/>
      <w:bookmarkStart w:id="218" w:name="_Toc152042332"/>
      <w:bookmarkStart w:id="219" w:name="_Toc179632574"/>
      <w:bookmarkStart w:id="220" w:name="_Toc152045556"/>
      <w:bookmarkStart w:id="221" w:name="_Toc144974524"/>
      <w:bookmarkStart w:id="222" w:name="_Toc19580"/>
      <w:r>
        <w:rPr>
          <w:rFonts w:hint="eastAsia" w:ascii="宋体" w:hAnsi="宋体" w:cs="宋体"/>
          <w:color w:val="auto"/>
          <w:sz w:val="24"/>
          <w:szCs w:val="24"/>
          <w:highlight w:val="none"/>
        </w:rPr>
        <w:t>4.1 响应文件的标记</w:t>
      </w:r>
      <w:bookmarkEnd w:id="217"/>
      <w:bookmarkEnd w:id="218"/>
      <w:bookmarkEnd w:id="219"/>
      <w:bookmarkEnd w:id="220"/>
      <w:bookmarkEnd w:id="221"/>
    </w:p>
    <w:p w14:paraId="2BA1EEEC">
      <w:pPr>
        <w:wordWrap w:val="0"/>
        <w:adjustRightInd w:val="0"/>
        <w:snapToGrid w:val="0"/>
        <w:spacing w:line="360" w:lineRule="auto"/>
        <w:ind w:firstLine="480" w:firstLineChars="200"/>
        <w:rPr>
          <w:rFonts w:ascii="宋体" w:hAnsi="宋体" w:cs="宋体"/>
          <w:color w:val="auto"/>
          <w:sz w:val="24"/>
          <w:szCs w:val="24"/>
          <w:highlight w:val="none"/>
        </w:rPr>
      </w:pPr>
      <w:bookmarkStart w:id="223" w:name="_Toc16808"/>
      <w:r>
        <w:rPr>
          <w:rFonts w:hint="eastAsia" w:ascii="宋体" w:hAnsi="宋体" w:cs="宋体"/>
          <w:color w:val="auto"/>
          <w:sz w:val="24"/>
          <w:szCs w:val="24"/>
          <w:highlight w:val="none"/>
        </w:rPr>
        <w:t>4.1.1 响应文件的</w:t>
      </w:r>
      <w:bookmarkEnd w:id="223"/>
      <w:r>
        <w:rPr>
          <w:rFonts w:hint="eastAsia" w:ascii="宋体" w:hAnsi="宋体" w:cs="宋体"/>
          <w:color w:val="auto"/>
          <w:sz w:val="24"/>
          <w:szCs w:val="24"/>
          <w:highlight w:val="none"/>
        </w:rPr>
        <w:t>封面上应写明的其他内容：</w:t>
      </w:r>
      <w:bookmarkEnd w:id="222"/>
      <w:r>
        <w:rPr>
          <w:rFonts w:hint="eastAsia" w:ascii="宋体" w:hAnsi="宋体" w:cs="宋体"/>
          <w:color w:val="auto"/>
          <w:sz w:val="24"/>
          <w:szCs w:val="24"/>
          <w:highlight w:val="none"/>
        </w:rPr>
        <w:t>按照本文件“第六章 响应文件格式”编制。</w:t>
      </w:r>
    </w:p>
    <w:p w14:paraId="5A19953A">
      <w:pPr>
        <w:wordWrap w:val="0"/>
        <w:adjustRightInd w:val="0"/>
        <w:snapToGrid w:val="0"/>
        <w:spacing w:line="360" w:lineRule="auto"/>
        <w:ind w:firstLine="480" w:firstLineChars="200"/>
        <w:rPr>
          <w:rFonts w:ascii="宋体" w:hAnsi="宋体" w:cs="宋体"/>
          <w:color w:val="auto"/>
          <w:sz w:val="24"/>
          <w:szCs w:val="24"/>
          <w:highlight w:val="none"/>
        </w:rPr>
      </w:pPr>
      <w:bookmarkStart w:id="224" w:name="_Toc31766"/>
      <w:r>
        <w:rPr>
          <w:rFonts w:hint="eastAsia" w:ascii="宋体" w:hAnsi="宋体" w:cs="宋体"/>
          <w:color w:val="auto"/>
          <w:sz w:val="24"/>
          <w:szCs w:val="24"/>
          <w:highlight w:val="none"/>
        </w:rPr>
        <w:t>4.2</w:t>
      </w:r>
      <w:bookmarkEnd w:id="224"/>
      <w:bookmarkStart w:id="225" w:name="_Toc144974525"/>
      <w:bookmarkStart w:id="226" w:name="_Toc179632575"/>
      <w:bookmarkStart w:id="227" w:name="_Toc152042333"/>
      <w:bookmarkStart w:id="228" w:name="_Toc21228"/>
      <w:bookmarkStart w:id="229" w:name="_Toc152045557"/>
      <w:r>
        <w:rPr>
          <w:rFonts w:hint="eastAsia" w:ascii="宋体" w:hAnsi="宋体" w:cs="宋体"/>
          <w:color w:val="auto"/>
          <w:sz w:val="24"/>
          <w:szCs w:val="24"/>
          <w:highlight w:val="none"/>
        </w:rPr>
        <w:t>响应文件的递交</w:t>
      </w:r>
      <w:bookmarkEnd w:id="225"/>
      <w:bookmarkEnd w:id="226"/>
      <w:bookmarkEnd w:id="227"/>
      <w:bookmarkEnd w:id="228"/>
      <w:bookmarkEnd w:id="229"/>
    </w:p>
    <w:p w14:paraId="06F935E5">
      <w:pPr>
        <w:wordWrap w:val="0"/>
        <w:adjustRightInd w:val="0"/>
        <w:snapToGrid w:val="0"/>
        <w:spacing w:line="360" w:lineRule="auto"/>
        <w:ind w:firstLine="480" w:firstLineChars="200"/>
        <w:rPr>
          <w:rFonts w:ascii="宋体" w:hAnsi="宋体" w:cs="宋体"/>
          <w:color w:val="auto"/>
          <w:sz w:val="24"/>
          <w:szCs w:val="24"/>
          <w:highlight w:val="none"/>
        </w:rPr>
      </w:pPr>
      <w:bookmarkStart w:id="230" w:name="_Toc29162"/>
      <w:r>
        <w:rPr>
          <w:rFonts w:hint="eastAsia" w:ascii="宋体" w:hAnsi="宋体" w:cs="宋体"/>
          <w:color w:val="auto"/>
          <w:sz w:val="24"/>
          <w:szCs w:val="24"/>
          <w:highlight w:val="none"/>
        </w:rPr>
        <w:t xml:space="preserve">4.2.1 </w:t>
      </w:r>
      <w:bookmarkStart w:id="231" w:name="_Toc15951"/>
      <w:r>
        <w:rPr>
          <w:rFonts w:hint="eastAsia" w:ascii="宋体" w:hAnsi="宋体" w:cs="宋体"/>
          <w:color w:val="auto"/>
          <w:sz w:val="24"/>
          <w:szCs w:val="24"/>
          <w:highlight w:val="none"/>
        </w:rPr>
        <w:t>供应商递交响应文件截止时间：详见供应商须知前附表</w:t>
      </w:r>
      <w:bookmarkEnd w:id="231"/>
      <w:r>
        <w:rPr>
          <w:rFonts w:hint="eastAsia" w:ascii="宋体" w:hAnsi="宋体" w:cs="宋体"/>
          <w:color w:val="auto"/>
          <w:sz w:val="24"/>
          <w:szCs w:val="24"/>
          <w:highlight w:val="none"/>
        </w:rPr>
        <w:t>。</w:t>
      </w:r>
    </w:p>
    <w:p w14:paraId="40580472">
      <w:pPr>
        <w:wordWrap w:val="0"/>
        <w:adjustRightInd w:val="0"/>
        <w:snapToGrid w:val="0"/>
        <w:spacing w:line="360" w:lineRule="auto"/>
        <w:ind w:firstLine="480" w:firstLineChars="200"/>
        <w:rPr>
          <w:rFonts w:ascii="宋体" w:hAnsi="宋体" w:cs="宋体"/>
          <w:color w:val="auto"/>
          <w:sz w:val="24"/>
          <w:szCs w:val="24"/>
          <w:highlight w:val="none"/>
        </w:rPr>
      </w:pPr>
      <w:bookmarkStart w:id="232" w:name="_Toc13743"/>
      <w:r>
        <w:rPr>
          <w:rFonts w:hint="eastAsia" w:ascii="宋体" w:hAnsi="宋体" w:cs="宋体"/>
          <w:color w:val="auto"/>
          <w:sz w:val="24"/>
          <w:szCs w:val="24"/>
          <w:highlight w:val="none"/>
        </w:rPr>
        <w:t>4.2.2 供应商递交响应文件的地点：详见供应商须知前附表</w:t>
      </w:r>
      <w:bookmarkEnd w:id="232"/>
      <w:r>
        <w:rPr>
          <w:rFonts w:hint="eastAsia" w:ascii="宋体" w:hAnsi="宋体" w:cs="宋体"/>
          <w:color w:val="auto"/>
          <w:sz w:val="24"/>
          <w:szCs w:val="24"/>
          <w:highlight w:val="none"/>
        </w:rPr>
        <w:t>。</w:t>
      </w:r>
    </w:p>
    <w:p w14:paraId="0341EAF4">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4.2.3是否退还响应文件：</w:t>
      </w:r>
      <w:bookmarkEnd w:id="230"/>
      <w:r>
        <w:rPr>
          <w:rFonts w:hint="eastAsia" w:ascii="宋体" w:hAnsi="宋体" w:cs="宋体"/>
          <w:color w:val="auto"/>
          <w:sz w:val="24"/>
          <w:szCs w:val="24"/>
          <w:highlight w:val="none"/>
        </w:rPr>
        <w:t>不予退还。</w:t>
      </w:r>
    </w:p>
    <w:p w14:paraId="09CE2375">
      <w:pPr>
        <w:wordWrap w:val="0"/>
        <w:adjustRightInd w:val="0"/>
        <w:snapToGrid w:val="0"/>
        <w:spacing w:line="360" w:lineRule="auto"/>
        <w:ind w:firstLine="480" w:firstLineChars="200"/>
        <w:rPr>
          <w:rFonts w:ascii="宋体" w:hAnsi="宋体" w:cs="宋体"/>
          <w:color w:val="auto"/>
          <w:sz w:val="24"/>
          <w:szCs w:val="24"/>
          <w:highlight w:val="none"/>
        </w:rPr>
      </w:pPr>
      <w:bookmarkStart w:id="233" w:name="_Toc10583"/>
      <w:r>
        <w:rPr>
          <w:rFonts w:hint="eastAsia" w:ascii="宋体" w:hAnsi="宋体" w:cs="宋体"/>
          <w:color w:val="auto"/>
          <w:sz w:val="24"/>
          <w:szCs w:val="24"/>
          <w:highlight w:val="none"/>
        </w:rPr>
        <w:t>4.2.</w:t>
      </w:r>
      <w:bookmarkEnd w:id="233"/>
      <w:bookmarkStart w:id="234" w:name="_Toc1316"/>
      <w:r>
        <w:rPr>
          <w:rFonts w:hint="eastAsia" w:ascii="宋体" w:hAnsi="宋体" w:cs="宋体"/>
          <w:color w:val="auto"/>
          <w:sz w:val="24"/>
          <w:szCs w:val="24"/>
          <w:highlight w:val="none"/>
        </w:rPr>
        <w:t>4逾期送达的或者未送达指定地点的响应文件，采购人不予受理。</w:t>
      </w:r>
      <w:bookmarkEnd w:id="234"/>
    </w:p>
    <w:p w14:paraId="42FAE326">
      <w:pPr>
        <w:wordWrap w:val="0"/>
        <w:adjustRightInd w:val="0"/>
        <w:snapToGrid w:val="0"/>
        <w:spacing w:line="360" w:lineRule="auto"/>
        <w:ind w:firstLine="480" w:firstLineChars="200"/>
        <w:rPr>
          <w:rFonts w:ascii="宋体" w:hAnsi="宋体" w:cs="宋体"/>
          <w:color w:val="auto"/>
          <w:sz w:val="24"/>
          <w:szCs w:val="24"/>
          <w:highlight w:val="none"/>
        </w:rPr>
      </w:pPr>
      <w:bookmarkStart w:id="235" w:name="_Toc152042335"/>
      <w:bookmarkStart w:id="236" w:name="_Toc29037"/>
      <w:bookmarkStart w:id="237" w:name="_Toc29322"/>
      <w:bookmarkStart w:id="238" w:name="_Toc144974527"/>
      <w:bookmarkStart w:id="239" w:name="_Toc179632577"/>
      <w:bookmarkStart w:id="240" w:name="_Toc152045559"/>
      <w:bookmarkStart w:id="241" w:name="_Toc511585904"/>
      <w:bookmarkStart w:id="242" w:name="_Toc28351"/>
      <w:bookmarkStart w:id="243" w:name="_Toc11122"/>
      <w:bookmarkStart w:id="244" w:name="_Toc363119282"/>
      <w:bookmarkStart w:id="245" w:name="_Toc510859896"/>
      <w:bookmarkStart w:id="246" w:name="_Toc510859690"/>
      <w:r>
        <w:rPr>
          <w:rFonts w:hint="eastAsia" w:ascii="宋体" w:hAnsi="宋体" w:cs="宋体"/>
          <w:color w:val="auto"/>
          <w:sz w:val="24"/>
          <w:szCs w:val="24"/>
          <w:highlight w:val="none"/>
        </w:rPr>
        <w:t>5.开标</w:t>
      </w:r>
      <w:bookmarkEnd w:id="235"/>
      <w:bookmarkEnd w:id="236"/>
      <w:bookmarkEnd w:id="237"/>
      <w:bookmarkEnd w:id="238"/>
      <w:bookmarkEnd w:id="239"/>
      <w:bookmarkEnd w:id="240"/>
      <w:bookmarkEnd w:id="241"/>
      <w:bookmarkEnd w:id="242"/>
      <w:bookmarkEnd w:id="243"/>
      <w:bookmarkEnd w:id="244"/>
      <w:bookmarkEnd w:id="245"/>
      <w:bookmarkEnd w:id="246"/>
    </w:p>
    <w:p w14:paraId="32BB1E89">
      <w:pPr>
        <w:wordWrap w:val="0"/>
        <w:adjustRightInd w:val="0"/>
        <w:snapToGrid w:val="0"/>
        <w:spacing w:line="360" w:lineRule="auto"/>
        <w:ind w:firstLine="480" w:firstLineChars="200"/>
        <w:rPr>
          <w:rFonts w:ascii="宋体" w:hAnsi="宋体" w:cs="宋体"/>
          <w:color w:val="auto"/>
          <w:sz w:val="24"/>
          <w:szCs w:val="24"/>
          <w:highlight w:val="none"/>
        </w:rPr>
      </w:pPr>
      <w:bookmarkStart w:id="247" w:name="_Toc2321"/>
      <w:bookmarkStart w:id="248" w:name="_Toc152042336"/>
      <w:bookmarkStart w:id="249" w:name="_Toc152045560"/>
      <w:bookmarkStart w:id="250" w:name="_Toc144974528"/>
      <w:bookmarkStart w:id="251" w:name="_Toc179632578"/>
      <w:r>
        <w:rPr>
          <w:rFonts w:hint="eastAsia" w:ascii="宋体" w:hAnsi="宋体" w:cs="宋体"/>
          <w:color w:val="auto"/>
          <w:sz w:val="24"/>
          <w:szCs w:val="24"/>
          <w:highlight w:val="none"/>
        </w:rPr>
        <w:t>5.1 磋商会议时间和地点</w:t>
      </w:r>
      <w:bookmarkEnd w:id="247"/>
      <w:bookmarkEnd w:id="248"/>
      <w:bookmarkEnd w:id="249"/>
      <w:bookmarkEnd w:id="250"/>
      <w:bookmarkEnd w:id="251"/>
      <w:r>
        <w:rPr>
          <w:rFonts w:hint="eastAsia" w:ascii="宋体" w:hAnsi="宋体" w:cs="宋体"/>
          <w:color w:val="auto"/>
          <w:sz w:val="24"/>
          <w:szCs w:val="24"/>
          <w:highlight w:val="none"/>
        </w:rPr>
        <w:t>：</w:t>
      </w:r>
      <w:bookmarkStart w:id="252" w:name="_Toc9885"/>
      <w:r>
        <w:rPr>
          <w:rFonts w:hint="eastAsia" w:ascii="宋体" w:hAnsi="宋体" w:cs="宋体"/>
          <w:color w:val="auto"/>
          <w:sz w:val="24"/>
          <w:szCs w:val="24"/>
          <w:highlight w:val="none"/>
        </w:rPr>
        <w:t>磋商会议时间及地点与供应商递交响应文件截止时间及地点一致。采购人在规定的磋商截止时间（磋商会议时间）和供应商须知前附表规定的地点进行磋商会议，并邀请所有供应商的法定代表人或其委托代理人准时参加。</w:t>
      </w:r>
      <w:bookmarkEnd w:id="252"/>
    </w:p>
    <w:p w14:paraId="0BD38675">
      <w:pPr>
        <w:wordWrap w:val="0"/>
        <w:adjustRightInd w:val="0"/>
        <w:snapToGrid w:val="0"/>
        <w:spacing w:line="360" w:lineRule="auto"/>
        <w:ind w:firstLine="480" w:firstLineChars="200"/>
        <w:rPr>
          <w:rFonts w:ascii="宋体" w:hAnsi="宋体" w:cs="宋体"/>
          <w:color w:val="auto"/>
          <w:sz w:val="24"/>
          <w:szCs w:val="24"/>
          <w:highlight w:val="none"/>
        </w:rPr>
      </w:pPr>
      <w:bookmarkStart w:id="253" w:name="_Toc152045561"/>
      <w:bookmarkStart w:id="254" w:name="_Toc144974529"/>
      <w:bookmarkStart w:id="255" w:name="_Toc10213"/>
      <w:bookmarkStart w:id="256" w:name="_Toc152042337"/>
      <w:bookmarkStart w:id="257" w:name="_Toc179632579"/>
      <w:r>
        <w:rPr>
          <w:rFonts w:hint="eastAsia" w:ascii="宋体" w:hAnsi="宋体" w:cs="宋体"/>
          <w:color w:val="auto"/>
          <w:sz w:val="24"/>
          <w:szCs w:val="24"/>
          <w:highlight w:val="none"/>
        </w:rPr>
        <w:t>5.2 开标程序</w:t>
      </w:r>
      <w:bookmarkEnd w:id="253"/>
      <w:bookmarkEnd w:id="254"/>
      <w:bookmarkEnd w:id="255"/>
      <w:bookmarkEnd w:id="256"/>
      <w:bookmarkEnd w:id="257"/>
      <w:r>
        <w:rPr>
          <w:rFonts w:hint="eastAsia" w:ascii="宋体" w:hAnsi="宋体" w:cs="宋体"/>
          <w:color w:val="auto"/>
          <w:sz w:val="24"/>
          <w:szCs w:val="24"/>
          <w:highlight w:val="none"/>
        </w:rPr>
        <w:t>：详见供应商须知前附表。</w:t>
      </w:r>
    </w:p>
    <w:p w14:paraId="4FA7A736">
      <w:pPr>
        <w:wordWrap w:val="0"/>
        <w:adjustRightInd w:val="0"/>
        <w:snapToGrid w:val="0"/>
        <w:spacing w:line="360" w:lineRule="auto"/>
        <w:ind w:firstLine="480" w:firstLineChars="200"/>
        <w:rPr>
          <w:rFonts w:ascii="宋体" w:hAnsi="宋体" w:cs="宋体"/>
          <w:color w:val="auto"/>
          <w:sz w:val="24"/>
          <w:szCs w:val="24"/>
          <w:highlight w:val="none"/>
        </w:rPr>
      </w:pPr>
      <w:bookmarkStart w:id="258" w:name="_Toc10068"/>
      <w:bookmarkStart w:id="259" w:name="_Toc15910"/>
      <w:bookmarkStart w:id="260" w:name="_Toc179632580"/>
      <w:bookmarkStart w:id="261" w:name="_Toc510859897"/>
      <w:bookmarkStart w:id="262" w:name="_Toc363119283"/>
      <w:bookmarkStart w:id="263" w:name="_Toc144974530"/>
      <w:bookmarkStart w:id="264" w:name="_Toc511585905"/>
      <w:bookmarkStart w:id="265" w:name="_Toc152045562"/>
      <w:bookmarkStart w:id="266" w:name="_Toc152042338"/>
      <w:bookmarkStart w:id="267" w:name="_Toc20274"/>
      <w:bookmarkStart w:id="268" w:name="_Toc510859691"/>
      <w:bookmarkStart w:id="269" w:name="_Toc17998"/>
      <w:r>
        <w:rPr>
          <w:rFonts w:hint="eastAsia" w:ascii="宋体" w:hAnsi="宋体" w:cs="宋体"/>
          <w:color w:val="auto"/>
          <w:sz w:val="24"/>
          <w:szCs w:val="24"/>
          <w:highlight w:val="none"/>
        </w:rPr>
        <w:t>6.</w:t>
      </w:r>
      <w:bookmarkEnd w:id="258"/>
      <w:bookmarkEnd w:id="259"/>
      <w:bookmarkEnd w:id="260"/>
      <w:bookmarkEnd w:id="261"/>
      <w:bookmarkEnd w:id="262"/>
      <w:bookmarkEnd w:id="263"/>
      <w:bookmarkEnd w:id="264"/>
      <w:bookmarkEnd w:id="265"/>
      <w:bookmarkEnd w:id="266"/>
      <w:bookmarkEnd w:id="267"/>
      <w:bookmarkEnd w:id="268"/>
      <w:bookmarkEnd w:id="269"/>
      <w:r>
        <w:rPr>
          <w:rFonts w:hint="eastAsia" w:ascii="宋体" w:hAnsi="宋体" w:cs="宋体"/>
          <w:color w:val="auto"/>
          <w:sz w:val="24"/>
          <w:szCs w:val="24"/>
          <w:highlight w:val="none"/>
        </w:rPr>
        <w:t>评审</w:t>
      </w:r>
    </w:p>
    <w:p w14:paraId="21B8085F">
      <w:pPr>
        <w:wordWrap w:val="0"/>
        <w:adjustRightInd w:val="0"/>
        <w:snapToGrid w:val="0"/>
        <w:spacing w:line="360" w:lineRule="auto"/>
        <w:ind w:firstLine="480" w:firstLineChars="200"/>
        <w:rPr>
          <w:rFonts w:ascii="宋体" w:hAnsi="宋体" w:cs="宋体"/>
          <w:color w:val="auto"/>
          <w:sz w:val="24"/>
          <w:szCs w:val="24"/>
          <w:highlight w:val="none"/>
        </w:rPr>
      </w:pPr>
      <w:bookmarkStart w:id="270" w:name="_Toc152042339"/>
      <w:bookmarkStart w:id="271" w:name="_Toc14991"/>
      <w:bookmarkStart w:id="272" w:name="_Toc179632581"/>
      <w:bookmarkStart w:id="273" w:name="_Toc144974531"/>
      <w:bookmarkStart w:id="274" w:name="_Toc152045563"/>
      <w:r>
        <w:rPr>
          <w:rFonts w:hint="eastAsia" w:ascii="宋体" w:hAnsi="宋体" w:cs="宋体"/>
          <w:color w:val="auto"/>
          <w:sz w:val="24"/>
          <w:szCs w:val="24"/>
          <w:highlight w:val="none"/>
        </w:rPr>
        <w:t xml:space="preserve">6.1 </w:t>
      </w:r>
      <w:bookmarkEnd w:id="270"/>
      <w:bookmarkEnd w:id="271"/>
      <w:bookmarkEnd w:id="272"/>
      <w:bookmarkEnd w:id="273"/>
      <w:bookmarkEnd w:id="274"/>
      <w:bookmarkStart w:id="275" w:name="_Toc29293"/>
      <w:r>
        <w:rPr>
          <w:rFonts w:hint="eastAsia" w:ascii="宋体" w:hAnsi="宋体" w:cs="宋体"/>
          <w:color w:val="auto"/>
          <w:sz w:val="24"/>
          <w:szCs w:val="24"/>
          <w:highlight w:val="none"/>
        </w:rPr>
        <w:t>评审由采购人依法组建的磋商小组负责。磋商小组由采购人代表以及有关技术、经济等方面的专家组成。磋商小组成员人数以及技术、经济等方面专家的确定方式详见供应商须知前附表。</w:t>
      </w:r>
      <w:bookmarkEnd w:id="275"/>
    </w:p>
    <w:p w14:paraId="3DAE981D">
      <w:pPr>
        <w:wordWrap w:val="0"/>
        <w:adjustRightInd w:val="0"/>
        <w:snapToGrid w:val="0"/>
        <w:spacing w:line="360" w:lineRule="auto"/>
        <w:ind w:firstLine="480" w:firstLineChars="200"/>
        <w:rPr>
          <w:rFonts w:ascii="宋体" w:hAnsi="宋体" w:cs="宋体"/>
          <w:color w:val="auto"/>
          <w:sz w:val="24"/>
          <w:szCs w:val="24"/>
          <w:highlight w:val="none"/>
        </w:rPr>
      </w:pPr>
      <w:bookmarkStart w:id="276" w:name="_Toc18720"/>
      <w:r>
        <w:rPr>
          <w:rFonts w:hint="eastAsia" w:ascii="宋体" w:hAnsi="宋体" w:cs="宋体"/>
          <w:color w:val="auto"/>
          <w:sz w:val="24"/>
          <w:szCs w:val="24"/>
          <w:highlight w:val="none"/>
        </w:rPr>
        <w:t>6.2 磋商小组成员</w:t>
      </w:r>
      <w:bookmarkEnd w:id="276"/>
      <w:bookmarkStart w:id="277" w:name="_Toc179632582"/>
      <w:bookmarkStart w:id="278" w:name="_Toc152045564"/>
      <w:bookmarkStart w:id="279" w:name="_Toc152042340"/>
      <w:bookmarkStart w:id="280" w:name="_Toc13026"/>
      <w:bookmarkStart w:id="281" w:name="_Toc144974532"/>
      <w:r>
        <w:rPr>
          <w:rFonts w:hint="eastAsia" w:ascii="宋体" w:hAnsi="宋体" w:cs="宋体"/>
          <w:color w:val="auto"/>
          <w:sz w:val="24"/>
          <w:szCs w:val="24"/>
          <w:highlight w:val="none"/>
        </w:rPr>
        <w:t>发现有法定回避情形的应当主动提出回避，采购人或者采购代理机构发现评审专家与参加采购活动的供应商有利害关系的，应当要求其回避。各级财政部门政府采购监督管理工作人员，不得作为评审专家参与政府采购项目的评审活动。</w:t>
      </w:r>
    </w:p>
    <w:p w14:paraId="641E3F12">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bookmarkEnd w:id="277"/>
      <w:bookmarkEnd w:id="278"/>
      <w:bookmarkEnd w:id="279"/>
      <w:bookmarkEnd w:id="280"/>
      <w:bookmarkEnd w:id="281"/>
      <w:bookmarkStart w:id="282" w:name="_Toc179632583"/>
      <w:bookmarkStart w:id="283" w:name="_Toc152042341"/>
      <w:bookmarkStart w:id="284" w:name="_Toc23670"/>
      <w:bookmarkStart w:id="285" w:name="_Toc144974533"/>
      <w:bookmarkStart w:id="286" w:name="_Toc152045565"/>
      <w:r>
        <w:rPr>
          <w:rFonts w:hint="eastAsia" w:ascii="宋体" w:hAnsi="宋体" w:cs="宋体"/>
          <w:color w:val="auto"/>
          <w:sz w:val="24"/>
          <w:szCs w:val="24"/>
          <w:highlight w:val="none"/>
        </w:rPr>
        <w:t xml:space="preserve">3 </w:t>
      </w:r>
      <w:bookmarkEnd w:id="282"/>
      <w:bookmarkEnd w:id="283"/>
      <w:bookmarkEnd w:id="284"/>
      <w:bookmarkEnd w:id="285"/>
      <w:bookmarkEnd w:id="286"/>
      <w:bookmarkStart w:id="287" w:name="_Toc15743"/>
      <w:r>
        <w:rPr>
          <w:rFonts w:hint="eastAsia" w:ascii="宋体" w:hAnsi="宋体" w:cs="宋体"/>
          <w:color w:val="auto"/>
          <w:sz w:val="24"/>
          <w:szCs w:val="24"/>
          <w:highlight w:val="none"/>
        </w:rPr>
        <w:t>磋商小组按照“评审办法”规定的方法、评审因素、标准和程序对响应文件进行评审。“评审办法”没有规定的方法、评审因素和标准，不作为评审依据。</w:t>
      </w:r>
      <w:bookmarkEnd w:id="287"/>
    </w:p>
    <w:p w14:paraId="2904F251">
      <w:pPr>
        <w:wordWrap w:val="0"/>
        <w:adjustRightInd w:val="0"/>
        <w:snapToGrid w:val="0"/>
        <w:spacing w:line="360" w:lineRule="auto"/>
        <w:ind w:firstLine="480" w:firstLineChars="200"/>
        <w:rPr>
          <w:rFonts w:ascii="宋体" w:hAnsi="宋体" w:cs="宋体"/>
          <w:color w:val="auto"/>
          <w:sz w:val="24"/>
          <w:szCs w:val="24"/>
          <w:highlight w:val="none"/>
        </w:rPr>
      </w:pPr>
      <w:bookmarkStart w:id="288" w:name="_Toc12679"/>
      <w:r>
        <w:rPr>
          <w:rFonts w:hint="eastAsia" w:ascii="宋体" w:hAnsi="宋体" w:cs="宋体"/>
          <w:color w:val="auto"/>
          <w:sz w:val="24"/>
          <w:szCs w:val="24"/>
          <w:highlight w:val="none"/>
        </w:rPr>
        <w:t>6.4评审过程的保密</w:t>
      </w:r>
      <w:bookmarkEnd w:id="288"/>
    </w:p>
    <w:p w14:paraId="7386B4CD">
      <w:pPr>
        <w:wordWrap w:val="0"/>
        <w:adjustRightInd w:val="0"/>
        <w:snapToGrid w:val="0"/>
        <w:spacing w:line="360" w:lineRule="auto"/>
        <w:ind w:firstLine="480" w:firstLineChars="200"/>
        <w:rPr>
          <w:rFonts w:ascii="宋体" w:hAnsi="宋体" w:cs="宋体"/>
          <w:color w:val="auto"/>
          <w:sz w:val="24"/>
          <w:szCs w:val="24"/>
          <w:highlight w:val="none"/>
        </w:rPr>
      </w:pPr>
      <w:bookmarkStart w:id="289" w:name="_Toc27575"/>
      <w:r>
        <w:rPr>
          <w:rFonts w:hint="eastAsia" w:ascii="宋体" w:hAnsi="宋体" w:cs="宋体"/>
          <w:color w:val="auto"/>
          <w:sz w:val="24"/>
          <w:szCs w:val="24"/>
          <w:highlight w:val="none"/>
        </w:rPr>
        <w:t>（1）开标后，直至授予成交供应商合同为止，凡属于对响应文件的审查、补遗、评价和比较的有关资料以及成交候选人的推荐情况等均严格保密。</w:t>
      </w:r>
      <w:bookmarkEnd w:id="289"/>
    </w:p>
    <w:p w14:paraId="17E70BF0">
      <w:pPr>
        <w:wordWrap w:val="0"/>
        <w:adjustRightInd w:val="0"/>
        <w:snapToGrid w:val="0"/>
        <w:spacing w:line="360" w:lineRule="auto"/>
        <w:ind w:firstLine="480" w:firstLineChars="200"/>
        <w:rPr>
          <w:rFonts w:ascii="宋体" w:hAnsi="宋体" w:cs="宋体"/>
          <w:color w:val="auto"/>
          <w:sz w:val="24"/>
          <w:szCs w:val="24"/>
          <w:highlight w:val="none"/>
        </w:rPr>
      </w:pPr>
      <w:bookmarkStart w:id="290" w:name="_Toc10051"/>
      <w:r>
        <w:rPr>
          <w:rFonts w:hint="eastAsia" w:ascii="宋体" w:hAnsi="宋体" w:cs="宋体"/>
          <w:color w:val="auto"/>
          <w:sz w:val="24"/>
          <w:szCs w:val="24"/>
          <w:highlight w:val="none"/>
        </w:rPr>
        <w:t>（2）在响应文件的评审、成交候选人推荐以及授予合同的过程中，供应商向采购人和磋商小组施加影响的任何行为，都将会导致其磋商被拒绝直至取消其中标资格。</w:t>
      </w:r>
      <w:bookmarkEnd w:id="290"/>
    </w:p>
    <w:p w14:paraId="50F79501">
      <w:pPr>
        <w:wordWrap w:val="0"/>
        <w:adjustRightInd w:val="0"/>
        <w:snapToGrid w:val="0"/>
        <w:spacing w:line="360" w:lineRule="auto"/>
        <w:ind w:firstLine="480" w:firstLineChars="200"/>
        <w:rPr>
          <w:rFonts w:ascii="宋体" w:hAnsi="宋体" w:cs="宋体"/>
          <w:color w:val="auto"/>
          <w:sz w:val="24"/>
          <w:szCs w:val="24"/>
          <w:highlight w:val="none"/>
        </w:rPr>
      </w:pPr>
      <w:bookmarkStart w:id="291" w:name="_Toc28535"/>
      <w:r>
        <w:rPr>
          <w:rFonts w:hint="eastAsia" w:ascii="宋体" w:hAnsi="宋体" w:cs="宋体"/>
          <w:color w:val="auto"/>
          <w:sz w:val="24"/>
          <w:szCs w:val="24"/>
          <w:highlight w:val="none"/>
        </w:rPr>
        <w:t>（3） 成交供应商确定后，采购人不对未成交供应商就评审过程以及未能中标原因作出任何解释。未成交供应商不得向磋商小组组成人员或其他有关人员索问评审过程的情况和材料。</w:t>
      </w:r>
      <w:bookmarkEnd w:id="291"/>
      <w:bookmarkStart w:id="292" w:name="_Toc152042342"/>
      <w:bookmarkStart w:id="293" w:name="_Toc152045566"/>
      <w:bookmarkStart w:id="294" w:name="_Toc144974534"/>
      <w:bookmarkStart w:id="295" w:name="_Toc179632584"/>
    </w:p>
    <w:p w14:paraId="42226CE0">
      <w:pPr>
        <w:wordWrap w:val="0"/>
        <w:adjustRightInd w:val="0"/>
        <w:snapToGrid w:val="0"/>
        <w:spacing w:line="360" w:lineRule="auto"/>
        <w:ind w:firstLine="480" w:firstLineChars="200"/>
        <w:rPr>
          <w:rFonts w:ascii="宋体" w:hAnsi="宋体" w:cs="宋体"/>
          <w:color w:val="auto"/>
          <w:sz w:val="24"/>
          <w:szCs w:val="24"/>
          <w:highlight w:val="none"/>
        </w:rPr>
      </w:pPr>
      <w:bookmarkStart w:id="296" w:name="_Toc510859692"/>
      <w:bookmarkStart w:id="297" w:name="_Toc12726"/>
      <w:bookmarkStart w:id="298" w:name="_Toc363119284"/>
      <w:bookmarkStart w:id="299" w:name="_Toc29031"/>
      <w:bookmarkStart w:id="300" w:name="_Toc31723"/>
      <w:bookmarkStart w:id="301" w:name="_Toc7702"/>
      <w:bookmarkStart w:id="302" w:name="_Toc510859898"/>
      <w:bookmarkStart w:id="303" w:name="_Toc511585906"/>
      <w:r>
        <w:rPr>
          <w:rFonts w:hint="eastAsia" w:ascii="宋体" w:hAnsi="宋体" w:cs="宋体"/>
          <w:color w:val="auto"/>
          <w:sz w:val="24"/>
          <w:szCs w:val="24"/>
          <w:highlight w:val="none"/>
        </w:rPr>
        <w:t>7.合同授予</w:t>
      </w:r>
      <w:bookmarkEnd w:id="292"/>
      <w:bookmarkEnd w:id="293"/>
      <w:bookmarkEnd w:id="294"/>
      <w:bookmarkEnd w:id="295"/>
      <w:bookmarkEnd w:id="296"/>
      <w:bookmarkEnd w:id="297"/>
      <w:bookmarkEnd w:id="298"/>
      <w:bookmarkEnd w:id="299"/>
      <w:bookmarkEnd w:id="300"/>
      <w:bookmarkEnd w:id="301"/>
      <w:bookmarkEnd w:id="302"/>
      <w:bookmarkEnd w:id="303"/>
    </w:p>
    <w:p w14:paraId="1C030B33">
      <w:pPr>
        <w:wordWrap w:val="0"/>
        <w:adjustRightInd w:val="0"/>
        <w:snapToGrid w:val="0"/>
        <w:spacing w:line="360" w:lineRule="auto"/>
        <w:ind w:firstLine="480" w:firstLineChars="200"/>
        <w:rPr>
          <w:rFonts w:ascii="宋体" w:hAnsi="宋体" w:cs="宋体"/>
          <w:color w:val="auto"/>
          <w:sz w:val="24"/>
          <w:szCs w:val="24"/>
          <w:highlight w:val="none"/>
        </w:rPr>
      </w:pPr>
      <w:bookmarkStart w:id="304" w:name="_Toc152045567"/>
      <w:bookmarkStart w:id="305" w:name="_Toc179632585"/>
      <w:bookmarkStart w:id="306" w:name="_Toc152042343"/>
      <w:bookmarkStart w:id="307" w:name="_Toc144974535"/>
      <w:bookmarkStart w:id="308" w:name="_Toc18545"/>
      <w:r>
        <w:rPr>
          <w:rFonts w:hint="eastAsia" w:ascii="宋体" w:hAnsi="宋体" w:cs="宋体"/>
          <w:color w:val="auto"/>
          <w:sz w:val="24"/>
          <w:szCs w:val="24"/>
          <w:highlight w:val="none"/>
        </w:rPr>
        <w:t>7.1 定标方式</w:t>
      </w:r>
      <w:bookmarkEnd w:id="304"/>
      <w:bookmarkEnd w:id="305"/>
      <w:bookmarkEnd w:id="306"/>
      <w:bookmarkEnd w:id="307"/>
      <w:bookmarkEnd w:id="308"/>
      <w:r>
        <w:rPr>
          <w:rFonts w:hint="eastAsia" w:ascii="宋体" w:hAnsi="宋体" w:cs="宋体"/>
          <w:color w:val="auto"/>
          <w:sz w:val="24"/>
          <w:szCs w:val="24"/>
          <w:highlight w:val="none"/>
        </w:rPr>
        <w:t>：</w:t>
      </w:r>
      <w:bookmarkStart w:id="309" w:name="_Toc179632586"/>
      <w:bookmarkStart w:id="310" w:name="_Toc152045568"/>
      <w:bookmarkStart w:id="311" w:name="_Toc24719"/>
      <w:bookmarkStart w:id="312" w:name="_Toc144974536"/>
      <w:bookmarkStart w:id="313" w:name="_Toc152042344"/>
      <w:r>
        <w:rPr>
          <w:rFonts w:hint="eastAsia" w:ascii="宋体" w:hAnsi="宋体" w:cs="宋体"/>
          <w:color w:val="auto"/>
          <w:sz w:val="24"/>
          <w:szCs w:val="24"/>
          <w:highlight w:val="none"/>
        </w:rPr>
        <w:t>详见供应商须知前附表，采购人依据磋商小组推荐的成交候选人确定成交供应商。</w:t>
      </w:r>
    </w:p>
    <w:p w14:paraId="23B7D770">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7.2 </w:t>
      </w:r>
      <w:bookmarkEnd w:id="309"/>
      <w:bookmarkEnd w:id="310"/>
      <w:bookmarkEnd w:id="311"/>
      <w:bookmarkEnd w:id="312"/>
      <w:bookmarkEnd w:id="313"/>
      <w:r>
        <w:rPr>
          <w:rFonts w:hint="eastAsia" w:ascii="宋体" w:hAnsi="宋体" w:cs="宋体"/>
          <w:color w:val="auto"/>
          <w:sz w:val="24"/>
          <w:szCs w:val="24"/>
          <w:highlight w:val="none"/>
        </w:rPr>
        <w:t>成交通知</w:t>
      </w:r>
    </w:p>
    <w:p w14:paraId="2A1CA170">
      <w:pPr>
        <w:wordWrap w:val="0"/>
        <w:adjustRightInd w:val="0"/>
        <w:snapToGrid w:val="0"/>
        <w:spacing w:line="360" w:lineRule="auto"/>
        <w:ind w:firstLine="480" w:firstLineChars="200"/>
        <w:rPr>
          <w:rFonts w:ascii="宋体" w:hAnsi="宋体" w:cs="宋体"/>
          <w:color w:val="auto"/>
          <w:sz w:val="24"/>
          <w:szCs w:val="24"/>
          <w:highlight w:val="none"/>
        </w:rPr>
      </w:pPr>
      <w:bookmarkStart w:id="314" w:name="_Toc12920"/>
      <w:r>
        <w:rPr>
          <w:rFonts w:hint="eastAsia" w:ascii="宋体" w:hAnsi="宋体" w:cs="宋体"/>
          <w:color w:val="auto"/>
          <w:sz w:val="24"/>
          <w:szCs w:val="24"/>
          <w:highlight w:val="none"/>
        </w:rPr>
        <w:t>7.2.1在本章规定的磋商有效期内，采购代理机构将对成交供应商进行中标（成交）结果公示同时发布成交通知书，公告期限为1个工作日。</w:t>
      </w:r>
      <w:bookmarkEnd w:id="314"/>
    </w:p>
    <w:p w14:paraId="6FCEC3A4">
      <w:pPr>
        <w:wordWrap w:val="0"/>
        <w:adjustRightInd w:val="0"/>
        <w:snapToGrid w:val="0"/>
        <w:spacing w:line="360" w:lineRule="auto"/>
        <w:ind w:firstLine="480" w:firstLineChars="200"/>
        <w:rPr>
          <w:rFonts w:ascii="宋体" w:hAnsi="宋体" w:cs="宋体"/>
          <w:color w:val="auto"/>
          <w:sz w:val="24"/>
          <w:szCs w:val="24"/>
          <w:highlight w:val="none"/>
        </w:rPr>
      </w:pPr>
      <w:bookmarkStart w:id="315" w:name="_Toc152045569"/>
      <w:bookmarkStart w:id="316" w:name="_Toc11786"/>
      <w:bookmarkStart w:id="317" w:name="_Toc179632587"/>
      <w:bookmarkStart w:id="318" w:name="_Toc152042345"/>
      <w:bookmarkStart w:id="319" w:name="_Toc144974537"/>
      <w:r>
        <w:rPr>
          <w:rFonts w:hint="eastAsia" w:ascii="宋体" w:hAnsi="宋体" w:cs="宋体"/>
          <w:color w:val="auto"/>
          <w:sz w:val="24"/>
          <w:szCs w:val="24"/>
          <w:highlight w:val="none"/>
        </w:rPr>
        <w:t>7.3 履约担保</w:t>
      </w:r>
      <w:bookmarkEnd w:id="315"/>
      <w:bookmarkEnd w:id="316"/>
      <w:bookmarkEnd w:id="317"/>
      <w:bookmarkEnd w:id="318"/>
      <w:bookmarkEnd w:id="319"/>
    </w:p>
    <w:p w14:paraId="5650F4EF">
      <w:pPr>
        <w:wordWrap w:val="0"/>
        <w:adjustRightInd w:val="0"/>
        <w:snapToGrid w:val="0"/>
        <w:spacing w:line="360" w:lineRule="auto"/>
        <w:ind w:firstLine="480" w:firstLineChars="200"/>
        <w:rPr>
          <w:rFonts w:ascii="宋体" w:hAnsi="宋体" w:cs="宋体"/>
          <w:color w:val="auto"/>
          <w:sz w:val="24"/>
          <w:szCs w:val="24"/>
          <w:highlight w:val="none"/>
        </w:rPr>
      </w:pPr>
      <w:bookmarkStart w:id="320" w:name="_Toc4551"/>
      <w:r>
        <w:rPr>
          <w:rFonts w:hint="eastAsia" w:ascii="宋体" w:hAnsi="宋体" w:cs="宋体"/>
          <w:color w:val="auto"/>
          <w:sz w:val="24"/>
          <w:szCs w:val="24"/>
          <w:highlight w:val="none"/>
        </w:rPr>
        <w:t>7.3.1在签订合同前，成交供应商应按供应商须知前附表规定的金额、担保形式和竞争性磋商文件“合同条款及格式”规定的履约担保格式向采购人提交履约担保。联合体中标的，其履约担保由牵头人递交，并应符合供应商须知前附表规定的金额、担保形式和竞争性磋商文件“合同条款及格式”规定的履约担保格式要求。</w:t>
      </w:r>
      <w:bookmarkEnd w:id="320"/>
    </w:p>
    <w:p w14:paraId="5E25B59E">
      <w:pPr>
        <w:wordWrap w:val="0"/>
        <w:adjustRightInd w:val="0"/>
        <w:snapToGrid w:val="0"/>
        <w:spacing w:line="360" w:lineRule="auto"/>
        <w:ind w:firstLine="480" w:firstLineChars="200"/>
        <w:rPr>
          <w:rFonts w:ascii="宋体" w:hAnsi="宋体" w:cs="宋体"/>
          <w:color w:val="auto"/>
          <w:sz w:val="24"/>
          <w:szCs w:val="24"/>
          <w:highlight w:val="none"/>
        </w:rPr>
      </w:pPr>
      <w:bookmarkStart w:id="321" w:name="_Toc18356"/>
      <w:r>
        <w:rPr>
          <w:rFonts w:hint="eastAsia" w:ascii="宋体" w:hAnsi="宋体" w:cs="宋体"/>
          <w:color w:val="auto"/>
          <w:sz w:val="24"/>
          <w:szCs w:val="24"/>
          <w:highlight w:val="none"/>
        </w:rPr>
        <w:t>7.3.2 成交供应商不能按本章第7.3.1项要求提交履约担保的，视为放弃中标，其磋商保证金不予退还，给采购人造成的损失超过磋商保证金数额的，成交供应商还应当对超过部分予以赔偿。</w:t>
      </w:r>
      <w:bookmarkEnd w:id="321"/>
    </w:p>
    <w:p w14:paraId="2C68D6BB">
      <w:pPr>
        <w:wordWrap w:val="0"/>
        <w:adjustRightInd w:val="0"/>
        <w:snapToGrid w:val="0"/>
        <w:spacing w:line="360" w:lineRule="auto"/>
        <w:ind w:firstLine="480" w:firstLineChars="200"/>
        <w:rPr>
          <w:rFonts w:ascii="宋体" w:hAnsi="宋体" w:cs="宋体"/>
          <w:color w:val="auto"/>
          <w:sz w:val="24"/>
          <w:szCs w:val="24"/>
          <w:highlight w:val="none"/>
        </w:rPr>
      </w:pPr>
      <w:bookmarkStart w:id="322" w:name="_Toc28306"/>
      <w:bookmarkStart w:id="323" w:name="_Toc152042346"/>
      <w:bookmarkStart w:id="324" w:name="_Toc179632588"/>
      <w:bookmarkStart w:id="325" w:name="_Toc152045570"/>
      <w:bookmarkStart w:id="326" w:name="_Toc144974538"/>
      <w:r>
        <w:rPr>
          <w:rFonts w:hint="eastAsia" w:ascii="宋体" w:hAnsi="宋体" w:cs="宋体"/>
          <w:color w:val="auto"/>
          <w:sz w:val="24"/>
          <w:szCs w:val="24"/>
          <w:highlight w:val="none"/>
        </w:rPr>
        <w:t>7.4签订合同</w:t>
      </w:r>
      <w:bookmarkEnd w:id="322"/>
      <w:bookmarkEnd w:id="323"/>
      <w:bookmarkEnd w:id="324"/>
      <w:bookmarkEnd w:id="325"/>
      <w:bookmarkEnd w:id="326"/>
    </w:p>
    <w:p w14:paraId="223A22DB">
      <w:pPr>
        <w:wordWrap w:val="0"/>
        <w:adjustRightInd w:val="0"/>
        <w:snapToGrid w:val="0"/>
        <w:spacing w:line="360" w:lineRule="auto"/>
        <w:ind w:firstLine="480" w:firstLineChars="200"/>
        <w:rPr>
          <w:rFonts w:ascii="宋体" w:hAnsi="宋体" w:cs="宋体"/>
          <w:color w:val="auto"/>
          <w:sz w:val="24"/>
          <w:szCs w:val="24"/>
          <w:highlight w:val="none"/>
        </w:rPr>
      </w:pPr>
      <w:bookmarkStart w:id="327" w:name="_Toc3503"/>
      <w:r>
        <w:rPr>
          <w:rFonts w:hint="eastAsia" w:ascii="宋体" w:hAnsi="宋体" w:cs="宋体"/>
          <w:color w:val="auto"/>
          <w:sz w:val="24"/>
          <w:szCs w:val="24"/>
          <w:highlight w:val="none"/>
        </w:rPr>
        <w:t>7.4.1采购人和成交供应商应当自成交通知书发出之日后，在规定时间内根据竞争性磋商文件和成交供应商的响应文件订立书面合同并按照规定予以备案。成交供应商无正当理由拒签合同的，采购人取消其中标资格，其磋商保证金不予退还；给采购人造成的损失超过磋商保证金数额的，成交供应商还应当对超过部分予以赔偿。</w:t>
      </w:r>
      <w:bookmarkEnd w:id="327"/>
      <w:r>
        <w:rPr>
          <w:rFonts w:hint="eastAsia" w:ascii="宋体" w:hAnsi="宋体" w:cs="宋体"/>
          <w:color w:val="auto"/>
          <w:sz w:val="24"/>
          <w:szCs w:val="24"/>
          <w:highlight w:val="none"/>
        </w:rPr>
        <w:t xml:space="preserve"> </w:t>
      </w:r>
    </w:p>
    <w:p w14:paraId="232D343C">
      <w:pPr>
        <w:wordWrap w:val="0"/>
        <w:adjustRightInd w:val="0"/>
        <w:snapToGrid w:val="0"/>
        <w:spacing w:line="360" w:lineRule="auto"/>
        <w:ind w:firstLine="480" w:firstLineChars="200"/>
        <w:rPr>
          <w:rFonts w:ascii="宋体" w:hAnsi="宋体" w:cs="宋体"/>
          <w:color w:val="auto"/>
          <w:sz w:val="24"/>
          <w:szCs w:val="24"/>
          <w:highlight w:val="none"/>
        </w:rPr>
      </w:pPr>
      <w:bookmarkStart w:id="328" w:name="_Toc363119285"/>
      <w:bookmarkStart w:id="329" w:name="_Toc152042347"/>
      <w:bookmarkStart w:id="330" w:name="_Toc179632589"/>
      <w:bookmarkStart w:id="331" w:name="_Toc144974539"/>
      <w:bookmarkStart w:id="332" w:name="_Toc152045571"/>
      <w:bookmarkStart w:id="333" w:name="_Toc510859899"/>
      <w:bookmarkStart w:id="334" w:name="_Toc511585907"/>
      <w:bookmarkStart w:id="335" w:name="_Toc510859693"/>
      <w:bookmarkStart w:id="336" w:name="_Toc5371"/>
      <w:bookmarkStart w:id="337" w:name="_Toc11948"/>
      <w:bookmarkStart w:id="338" w:name="_Toc29932"/>
      <w:bookmarkStart w:id="339" w:name="_Toc14936"/>
      <w:r>
        <w:rPr>
          <w:rFonts w:hint="eastAsia" w:ascii="宋体" w:hAnsi="宋体" w:cs="宋体"/>
          <w:color w:val="auto"/>
          <w:sz w:val="24"/>
          <w:szCs w:val="24"/>
          <w:highlight w:val="none"/>
        </w:rPr>
        <w:t>8.重新</w:t>
      </w:r>
      <w:bookmarkEnd w:id="328"/>
      <w:bookmarkEnd w:id="329"/>
      <w:bookmarkEnd w:id="330"/>
      <w:bookmarkEnd w:id="331"/>
      <w:bookmarkEnd w:id="332"/>
      <w:bookmarkEnd w:id="333"/>
      <w:bookmarkEnd w:id="334"/>
      <w:bookmarkEnd w:id="335"/>
      <w:bookmarkEnd w:id="336"/>
      <w:bookmarkEnd w:id="337"/>
      <w:bookmarkEnd w:id="338"/>
      <w:bookmarkEnd w:id="339"/>
      <w:r>
        <w:rPr>
          <w:rFonts w:hint="eastAsia" w:ascii="宋体" w:hAnsi="宋体" w:cs="宋体"/>
          <w:color w:val="auto"/>
          <w:sz w:val="24"/>
          <w:szCs w:val="24"/>
          <w:highlight w:val="none"/>
        </w:rPr>
        <w:t>采购：</w:t>
      </w:r>
      <w:bookmarkStart w:id="340" w:name="_Toc511585908"/>
      <w:bookmarkStart w:id="341" w:name="_Toc527"/>
      <w:bookmarkStart w:id="342" w:name="_Toc179632592"/>
      <w:bookmarkStart w:id="343" w:name="_Toc2309"/>
      <w:bookmarkStart w:id="344" w:name="_Toc152045574"/>
      <w:bookmarkStart w:id="345" w:name="_Toc510859900"/>
      <w:bookmarkStart w:id="346" w:name="_Toc4006"/>
      <w:bookmarkStart w:id="347" w:name="_Toc2698"/>
      <w:bookmarkStart w:id="348" w:name="_Toc152042350"/>
      <w:bookmarkStart w:id="349" w:name="_Toc363119286"/>
      <w:bookmarkStart w:id="350" w:name="_Toc510859694"/>
      <w:bookmarkStart w:id="351" w:name="_Toc144974542"/>
      <w:r>
        <w:rPr>
          <w:rFonts w:hint="eastAsia" w:ascii="宋体" w:hAnsi="宋体" w:cs="宋体"/>
          <w:color w:val="auto"/>
          <w:sz w:val="24"/>
          <w:szCs w:val="24"/>
          <w:highlight w:val="none"/>
        </w:rPr>
        <w:t>执行现行相关法律法规。</w:t>
      </w:r>
    </w:p>
    <w:p w14:paraId="599FE0D8">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9.纪律和监督</w:t>
      </w:r>
      <w:bookmarkEnd w:id="340"/>
      <w:bookmarkEnd w:id="341"/>
      <w:bookmarkEnd w:id="342"/>
      <w:bookmarkEnd w:id="343"/>
      <w:bookmarkEnd w:id="344"/>
      <w:bookmarkEnd w:id="345"/>
      <w:bookmarkEnd w:id="346"/>
      <w:bookmarkEnd w:id="347"/>
      <w:bookmarkEnd w:id="348"/>
      <w:bookmarkEnd w:id="349"/>
      <w:bookmarkEnd w:id="350"/>
      <w:bookmarkEnd w:id="351"/>
    </w:p>
    <w:p w14:paraId="6A22ED09">
      <w:pPr>
        <w:wordWrap w:val="0"/>
        <w:adjustRightInd w:val="0"/>
        <w:snapToGrid w:val="0"/>
        <w:spacing w:line="360" w:lineRule="auto"/>
        <w:ind w:firstLine="480" w:firstLineChars="200"/>
        <w:rPr>
          <w:rFonts w:ascii="宋体" w:hAnsi="宋体" w:cs="宋体"/>
          <w:color w:val="auto"/>
          <w:sz w:val="24"/>
          <w:szCs w:val="24"/>
          <w:highlight w:val="none"/>
        </w:rPr>
      </w:pPr>
      <w:bookmarkStart w:id="352" w:name="_Toc152042351"/>
      <w:bookmarkStart w:id="353" w:name="_Toc144974543"/>
      <w:bookmarkStart w:id="354" w:name="_Toc179632593"/>
      <w:bookmarkStart w:id="355" w:name="_Toc10934"/>
      <w:bookmarkStart w:id="356" w:name="_Toc152045575"/>
      <w:r>
        <w:rPr>
          <w:rFonts w:hint="eastAsia" w:ascii="宋体" w:hAnsi="宋体" w:cs="宋体"/>
          <w:color w:val="auto"/>
          <w:sz w:val="24"/>
          <w:szCs w:val="24"/>
          <w:highlight w:val="none"/>
        </w:rPr>
        <w:t>9.1 对采购人的纪律要求</w:t>
      </w:r>
      <w:bookmarkEnd w:id="352"/>
      <w:bookmarkEnd w:id="353"/>
      <w:bookmarkEnd w:id="354"/>
      <w:bookmarkEnd w:id="355"/>
      <w:bookmarkEnd w:id="356"/>
    </w:p>
    <w:p w14:paraId="455821B0">
      <w:pPr>
        <w:wordWrap w:val="0"/>
        <w:adjustRightInd w:val="0"/>
        <w:snapToGrid w:val="0"/>
        <w:spacing w:line="360" w:lineRule="auto"/>
        <w:ind w:firstLine="480" w:firstLineChars="200"/>
        <w:rPr>
          <w:rFonts w:ascii="宋体" w:hAnsi="宋体" w:cs="宋体"/>
          <w:color w:val="auto"/>
          <w:sz w:val="24"/>
          <w:szCs w:val="24"/>
          <w:highlight w:val="none"/>
        </w:rPr>
      </w:pPr>
      <w:bookmarkStart w:id="357" w:name="_Toc17134"/>
      <w:r>
        <w:rPr>
          <w:rFonts w:hint="eastAsia" w:ascii="宋体" w:hAnsi="宋体" w:cs="宋体"/>
          <w:color w:val="auto"/>
          <w:sz w:val="24"/>
          <w:szCs w:val="24"/>
          <w:highlight w:val="none"/>
        </w:rPr>
        <w:t>采购人不得泄漏采购磋商活动中应当保密的情况和资料，不得与供应商串通损害国家利益、社会公共利益或者他人合法权益。</w:t>
      </w:r>
      <w:bookmarkEnd w:id="357"/>
    </w:p>
    <w:p w14:paraId="6450882E">
      <w:pPr>
        <w:wordWrap w:val="0"/>
        <w:adjustRightInd w:val="0"/>
        <w:snapToGrid w:val="0"/>
        <w:spacing w:line="360" w:lineRule="auto"/>
        <w:ind w:firstLine="480" w:firstLineChars="200"/>
        <w:rPr>
          <w:rFonts w:ascii="宋体" w:hAnsi="宋体" w:cs="宋体"/>
          <w:color w:val="auto"/>
          <w:sz w:val="24"/>
          <w:szCs w:val="24"/>
          <w:highlight w:val="none"/>
        </w:rPr>
      </w:pPr>
      <w:bookmarkStart w:id="358" w:name="_Toc144974544"/>
      <w:bookmarkStart w:id="359" w:name="_Toc179632594"/>
      <w:bookmarkStart w:id="360" w:name="_Toc4911"/>
      <w:bookmarkStart w:id="361" w:name="_Toc152045576"/>
      <w:bookmarkStart w:id="362" w:name="_Toc152042352"/>
      <w:r>
        <w:rPr>
          <w:rFonts w:hint="eastAsia" w:ascii="宋体" w:hAnsi="宋体" w:cs="宋体"/>
          <w:color w:val="auto"/>
          <w:sz w:val="24"/>
          <w:szCs w:val="24"/>
          <w:highlight w:val="none"/>
        </w:rPr>
        <w:t>9.2 对供应商的纪律要求</w:t>
      </w:r>
      <w:bookmarkEnd w:id="358"/>
      <w:bookmarkEnd w:id="359"/>
      <w:bookmarkEnd w:id="360"/>
      <w:bookmarkEnd w:id="361"/>
      <w:bookmarkEnd w:id="362"/>
    </w:p>
    <w:p w14:paraId="6BAA4312">
      <w:pPr>
        <w:wordWrap w:val="0"/>
        <w:adjustRightInd w:val="0"/>
        <w:snapToGrid w:val="0"/>
        <w:spacing w:line="360" w:lineRule="auto"/>
        <w:ind w:firstLine="480" w:firstLineChars="200"/>
        <w:rPr>
          <w:rFonts w:ascii="宋体" w:hAnsi="宋体" w:cs="宋体"/>
          <w:color w:val="auto"/>
          <w:sz w:val="24"/>
          <w:szCs w:val="24"/>
          <w:highlight w:val="none"/>
        </w:rPr>
      </w:pPr>
      <w:bookmarkStart w:id="363" w:name="_Toc10594"/>
      <w:r>
        <w:rPr>
          <w:rFonts w:hint="eastAsia" w:ascii="宋体" w:hAnsi="宋体" w:cs="宋体"/>
          <w:color w:val="auto"/>
          <w:sz w:val="24"/>
          <w:szCs w:val="24"/>
          <w:highlight w:val="none"/>
        </w:rPr>
        <w:t>供应商不得相互串通磋商或者与采购人串通磋商，不得向采购人或者磋商小组成员行贿谋取中标，不得以他人名义磋商或者以其他方式弄虚作假骗取中标；供应商不得以任何方式干扰、影响评审工作。</w:t>
      </w:r>
      <w:bookmarkEnd w:id="363"/>
    </w:p>
    <w:p w14:paraId="3F38260A">
      <w:pPr>
        <w:wordWrap w:val="0"/>
        <w:adjustRightInd w:val="0"/>
        <w:snapToGrid w:val="0"/>
        <w:spacing w:line="360" w:lineRule="auto"/>
        <w:ind w:firstLine="480" w:firstLineChars="200"/>
        <w:rPr>
          <w:rFonts w:ascii="宋体" w:hAnsi="宋体" w:cs="宋体"/>
          <w:color w:val="auto"/>
          <w:sz w:val="24"/>
          <w:szCs w:val="24"/>
          <w:highlight w:val="none"/>
        </w:rPr>
      </w:pPr>
      <w:bookmarkStart w:id="364" w:name="_Toc152045577"/>
      <w:bookmarkStart w:id="365" w:name="_Toc179632595"/>
      <w:bookmarkStart w:id="366" w:name="_Toc7382"/>
      <w:bookmarkStart w:id="367" w:name="_Toc152042353"/>
      <w:bookmarkStart w:id="368" w:name="_Toc144974545"/>
      <w:r>
        <w:rPr>
          <w:rFonts w:hint="eastAsia" w:ascii="宋体" w:hAnsi="宋体" w:cs="宋体"/>
          <w:color w:val="auto"/>
          <w:sz w:val="24"/>
          <w:szCs w:val="24"/>
          <w:highlight w:val="none"/>
        </w:rPr>
        <w:t>9.3 对磋商小组成员的纪律要求</w:t>
      </w:r>
      <w:bookmarkEnd w:id="364"/>
      <w:bookmarkEnd w:id="365"/>
      <w:bookmarkEnd w:id="366"/>
      <w:bookmarkEnd w:id="367"/>
      <w:bookmarkEnd w:id="368"/>
    </w:p>
    <w:p w14:paraId="76D99FF9">
      <w:pPr>
        <w:wordWrap w:val="0"/>
        <w:adjustRightInd w:val="0"/>
        <w:snapToGrid w:val="0"/>
        <w:spacing w:line="360" w:lineRule="auto"/>
        <w:ind w:firstLine="480" w:firstLineChars="200"/>
        <w:rPr>
          <w:rFonts w:ascii="宋体" w:hAnsi="宋体" w:cs="宋体"/>
          <w:color w:val="auto"/>
          <w:sz w:val="24"/>
          <w:szCs w:val="24"/>
          <w:highlight w:val="none"/>
        </w:rPr>
      </w:pPr>
      <w:bookmarkStart w:id="369" w:name="_Toc32639"/>
      <w:r>
        <w:rPr>
          <w:rFonts w:hint="eastAsia" w:ascii="宋体" w:hAnsi="宋体" w:cs="宋体"/>
          <w:color w:val="auto"/>
          <w:sz w:val="24"/>
          <w:szCs w:val="24"/>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bookmarkEnd w:id="369"/>
    </w:p>
    <w:p w14:paraId="55224D88">
      <w:pPr>
        <w:wordWrap w:val="0"/>
        <w:adjustRightInd w:val="0"/>
        <w:snapToGrid w:val="0"/>
        <w:spacing w:line="360" w:lineRule="auto"/>
        <w:ind w:firstLine="480" w:firstLineChars="200"/>
        <w:rPr>
          <w:rFonts w:ascii="宋体" w:hAnsi="宋体" w:cs="宋体"/>
          <w:color w:val="auto"/>
          <w:sz w:val="24"/>
          <w:szCs w:val="24"/>
          <w:highlight w:val="none"/>
        </w:rPr>
      </w:pPr>
      <w:bookmarkStart w:id="370" w:name="_Toc17124"/>
      <w:bookmarkStart w:id="371" w:name="_Toc152042354"/>
      <w:bookmarkStart w:id="372" w:name="_Toc152045578"/>
      <w:bookmarkStart w:id="373" w:name="_Toc179632596"/>
      <w:bookmarkStart w:id="374" w:name="_Toc144974546"/>
      <w:r>
        <w:rPr>
          <w:rFonts w:hint="eastAsia" w:ascii="宋体" w:hAnsi="宋体" w:cs="宋体"/>
          <w:color w:val="auto"/>
          <w:sz w:val="24"/>
          <w:szCs w:val="24"/>
          <w:highlight w:val="none"/>
        </w:rPr>
        <w:t>9.4 对与评审活动有关的工作人员的纪律要求</w:t>
      </w:r>
      <w:bookmarkEnd w:id="370"/>
      <w:bookmarkEnd w:id="371"/>
      <w:bookmarkEnd w:id="372"/>
      <w:bookmarkEnd w:id="373"/>
    </w:p>
    <w:p w14:paraId="4D6184E1">
      <w:pPr>
        <w:wordWrap w:val="0"/>
        <w:adjustRightInd w:val="0"/>
        <w:snapToGrid w:val="0"/>
        <w:spacing w:line="360" w:lineRule="auto"/>
        <w:ind w:firstLine="480" w:firstLineChars="200"/>
        <w:rPr>
          <w:rFonts w:ascii="宋体" w:hAnsi="宋体" w:cs="宋体"/>
          <w:color w:val="auto"/>
          <w:sz w:val="24"/>
          <w:szCs w:val="24"/>
          <w:highlight w:val="none"/>
        </w:rPr>
      </w:pPr>
      <w:bookmarkStart w:id="375" w:name="_Toc3914"/>
      <w:bookmarkStart w:id="376" w:name="_Toc152042355"/>
      <w:r>
        <w:rPr>
          <w:rFonts w:hint="eastAsia" w:ascii="宋体" w:hAnsi="宋体" w:cs="宋体"/>
          <w:color w:val="auto"/>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375"/>
      <w:bookmarkEnd w:id="376"/>
    </w:p>
    <w:bookmarkEnd w:id="374"/>
    <w:p w14:paraId="5ADAD70D">
      <w:pPr>
        <w:wordWrap w:val="0"/>
        <w:adjustRightInd w:val="0"/>
        <w:snapToGrid w:val="0"/>
        <w:spacing w:line="360" w:lineRule="auto"/>
        <w:ind w:firstLine="480" w:firstLineChars="200"/>
        <w:rPr>
          <w:rFonts w:ascii="宋体" w:hAnsi="宋体" w:cs="宋体"/>
          <w:color w:val="auto"/>
          <w:sz w:val="24"/>
          <w:szCs w:val="24"/>
          <w:highlight w:val="none"/>
        </w:rPr>
      </w:pPr>
      <w:bookmarkStart w:id="377" w:name="_Toc363119287"/>
      <w:bookmarkStart w:id="378" w:name="_Toc6198"/>
      <w:bookmarkStart w:id="379" w:name="_Toc510859901"/>
      <w:bookmarkStart w:id="380" w:name="_Toc179632598"/>
      <w:bookmarkStart w:id="381" w:name="_Toc14321"/>
      <w:bookmarkStart w:id="382" w:name="_Toc511585909"/>
      <w:bookmarkStart w:id="383" w:name="_Toc510859695"/>
      <w:bookmarkStart w:id="384" w:name="_Toc18818"/>
      <w:bookmarkStart w:id="385" w:name="_Toc27051"/>
      <w:bookmarkStart w:id="386" w:name="_Toc152042357"/>
      <w:bookmarkStart w:id="387" w:name="_Toc144974547"/>
      <w:bookmarkStart w:id="388" w:name="_Toc152045580"/>
      <w:r>
        <w:rPr>
          <w:rFonts w:hint="eastAsia" w:ascii="宋体" w:hAnsi="宋体" w:cs="宋体"/>
          <w:color w:val="auto"/>
          <w:sz w:val="24"/>
          <w:szCs w:val="24"/>
          <w:highlight w:val="none"/>
        </w:rPr>
        <w:t>9.5 质疑与投诉</w:t>
      </w:r>
    </w:p>
    <w:bookmarkEnd w:id="377"/>
    <w:bookmarkEnd w:id="378"/>
    <w:bookmarkEnd w:id="379"/>
    <w:bookmarkEnd w:id="380"/>
    <w:bookmarkEnd w:id="381"/>
    <w:bookmarkEnd w:id="382"/>
    <w:bookmarkEnd w:id="383"/>
    <w:bookmarkEnd w:id="384"/>
    <w:bookmarkEnd w:id="385"/>
    <w:bookmarkEnd w:id="386"/>
    <w:bookmarkEnd w:id="387"/>
    <w:bookmarkEnd w:id="388"/>
    <w:p w14:paraId="479E31FC">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供应商应当严格按照相关法律法规提出质疑和投诉，对竞争性磋商文件提出质疑的，应当在获取竞争性磋商文件或者竞争性磋商文件公告期限届满之日起7个工作日内提出。</w:t>
      </w:r>
    </w:p>
    <w:p w14:paraId="7E1FD24B">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供应商应在法定质疑期内一次性提出针对同一采购程序环节的质疑，提出质疑应当有明确的请求和必要的证明材料。</w:t>
      </w:r>
    </w:p>
    <w:p w14:paraId="5F2174D2">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10.需要补充的其他内容</w:t>
      </w:r>
      <w:bookmarkStart w:id="389" w:name="_Toc18224"/>
    </w:p>
    <w:bookmarkEnd w:id="389"/>
    <w:p w14:paraId="7019354E">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10.1详见供应商须知前附</w:t>
      </w:r>
      <w:bookmarkStart w:id="390" w:name="_Toc10405"/>
      <w:r>
        <w:rPr>
          <w:rFonts w:hint="eastAsia" w:ascii="宋体" w:hAnsi="宋体" w:cs="宋体"/>
          <w:color w:val="auto"/>
          <w:sz w:val="24"/>
          <w:szCs w:val="24"/>
          <w:highlight w:val="none"/>
        </w:rPr>
        <w:t>表</w:t>
      </w:r>
      <w:bookmarkEnd w:id="59"/>
      <w:bookmarkEnd w:id="60"/>
      <w:bookmarkEnd w:id="61"/>
      <w:bookmarkEnd w:id="62"/>
      <w:bookmarkEnd w:id="63"/>
      <w:bookmarkEnd w:id="64"/>
      <w:bookmarkEnd w:id="65"/>
      <w:bookmarkEnd w:id="66"/>
      <w:bookmarkEnd w:id="390"/>
      <w:bookmarkStart w:id="391" w:name="_Toc24998"/>
      <w:bookmarkStart w:id="392" w:name="_Toc529368446"/>
      <w:bookmarkStart w:id="393" w:name="_Toc529809669"/>
    </w:p>
    <w:bookmarkEnd w:id="391"/>
    <w:bookmarkEnd w:id="392"/>
    <w:bookmarkEnd w:id="393"/>
    <w:p w14:paraId="6A3A6014">
      <w:pPr>
        <w:wordWrap w:val="0"/>
        <w:spacing w:line="360" w:lineRule="auto"/>
        <w:rPr>
          <w:rFonts w:ascii="宋体" w:hAnsi="宋体" w:cs="宋体"/>
          <w:color w:val="auto"/>
          <w:sz w:val="24"/>
          <w:szCs w:val="24"/>
          <w:highlight w:val="none"/>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34ED9353">
      <w:pPr>
        <w:pStyle w:val="2"/>
        <w:rPr>
          <w:color w:val="auto"/>
          <w:highlight w:val="none"/>
        </w:rPr>
      </w:pPr>
      <w:bookmarkStart w:id="394" w:name="_Toc18632"/>
      <w:bookmarkStart w:id="395" w:name="_Toc3755"/>
      <w:r>
        <w:rPr>
          <w:rFonts w:hint="eastAsia"/>
          <w:color w:val="auto"/>
          <w:highlight w:val="none"/>
        </w:rPr>
        <w:t xml:space="preserve">第三章  </w:t>
      </w:r>
      <w:bookmarkEnd w:id="394"/>
      <w:r>
        <w:rPr>
          <w:rFonts w:hint="eastAsia"/>
          <w:color w:val="auto"/>
          <w:highlight w:val="none"/>
        </w:rPr>
        <w:t>工程技术标准和要求</w:t>
      </w:r>
      <w:bookmarkEnd w:id="395"/>
    </w:p>
    <w:p w14:paraId="6F1742FF">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14:paraId="5F74E97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本项目为陕西省马栏监狱罪犯伙房屋面防水维修工程，项目位于陕西省咸阳市渭滨区。维修内容：罪犯伙房监区屋面防水维修、罪犯伙房操作大厅屋面防水维修(北半侧)、罪犯伙房屋面设备基础维修、屋面防水层拆除及垃圾外运、医疗防疫站卫生间改造、更换塑钢窗及零星维修等工程</w:t>
      </w:r>
      <w:r>
        <w:rPr>
          <w:rFonts w:hint="eastAsia" w:ascii="宋体" w:hAnsi="宋体" w:cs="宋体"/>
          <w:color w:val="auto"/>
          <w:sz w:val="24"/>
          <w:szCs w:val="24"/>
          <w:highlight w:val="none"/>
        </w:rPr>
        <w:t>。</w:t>
      </w:r>
    </w:p>
    <w:p w14:paraId="4A54FBD3">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二、工程技术标准及要求</w:t>
      </w:r>
    </w:p>
    <w:p w14:paraId="3CB4B3C3">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（一）防水项目标准</w:t>
      </w:r>
    </w:p>
    <w:p w14:paraId="530A8F6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满足国家建筑工程施工及验收规范标准以及材料、设备所涉及的现行国家、省、市或行业的工程建设标准、规范的要求。以上技术规范由承包人自备，如有不足之处或未能达到国家最新标准时，承包人应使施工及选用的材料符合最新版本的国家标准、规范。</w:t>
      </w:r>
    </w:p>
    <w:p w14:paraId="305EEA6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工程的施工过程和成果必须符合国家有关工程建设标准强制性条文和国家或有关部门关于工程施工方面现行的标准、规范、规程、定额、办法、示例，以及陕西省关于工程施工方面的文件、规定，同时满足中华人民共和国住建部发布的《工程建设标准强制性条文》的规定。</w:t>
      </w:r>
    </w:p>
    <w:p w14:paraId="7083027B">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1.1《屋面工程质量验收规范》（GB 50207-2012）</w:t>
      </w:r>
    </w:p>
    <w:p w14:paraId="64946EBD">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1.2《屋面工程技术规范》（GB 50345-2012）</w:t>
      </w:r>
    </w:p>
    <w:p w14:paraId="442E935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1.3《屋面工程质量验收规范》（GB 50207-2012）</w:t>
      </w:r>
    </w:p>
    <w:p w14:paraId="6784894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1.4《建筑与市政工程防水通用规范》（GB 55030-2022）</w:t>
      </w:r>
    </w:p>
    <w:p w14:paraId="44389B8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1.5《建筑工程施工质量验收统一标准》（GB 50300-2013）</w:t>
      </w:r>
    </w:p>
    <w:p w14:paraId="26C9406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1.6《屋面工程质量验收规范》（GB 50207-2012）</w:t>
      </w:r>
    </w:p>
    <w:p w14:paraId="6AC425C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3.本工程其他技术标准及要求执行现行规范和采购人实际需求。</w:t>
      </w:r>
    </w:p>
    <w:p w14:paraId="2595B8FF">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（二）材料要求</w:t>
      </w:r>
    </w:p>
    <w:p w14:paraId="5839C30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1.防水材料采用厚度3mm厚SBS改性沥青防水卷材。</w:t>
      </w:r>
    </w:p>
    <w:p w14:paraId="436F30B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2.产品性能：防水卷材应具有良好的耐候性、耐低温、耐老化、防渗透性能。</w:t>
      </w:r>
    </w:p>
    <w:p w14:paraId="43323DDD">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3.卷材的尺寸应准确，外观应平整，无明显缺陷。</w:t>
      </w:r>
    </w:p>
    <w:p w14:paraId="7B1D61A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4.物理力学性能：包括拉伸强度、断裂伸长率、撕裂强度等，这些性能指标确保了卷材在受力时的稳定性和耐用性。</w:t>
      </w:r>
    </w:p>
    <w:p w14:paraId="50B562F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5.包括抗水力梯度、抗窜水性、耐化学腐蚀性等，以评估卷材在各种环境条件下的长期性能。</w:t>
      </w:r>
    </w:p>
    <w:p w14:paraId="3348D530">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（三）技术要求</w:t>
      </w:r>
    </w:p>
    <w:p w14:paraId="15B8BD5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1.施工前准备工作</w:t>
      </w:r>
    </w:p>
    <w:p w14:paraId="05148FD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1.1.施工成交单位抓紧时间，组建项目经理部，并组织指挥项目部做好如下施工管理准备工作：</w:t>
      </w:r>
    </w:p>
    <w:p w14:paraId="72524A1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1.1.1迅速按响应文件施工组织机构图的要求，组织主要领导和技术人员到位，进行合同交底和技术交底。所有参加人员均须明确岗位职责，分工到人，以确保工程的顺利进行；</w:t>
      </w:r>
    </w:p>
    <w:p w14:paraId="50C05A7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1.1.2在响应文件的基础上进一步做好施工组织设计工作，报建设单位审批；</w:t>
      </w:r>
    </w:p>
    <w:p w14:paraId="5AAA6DBB">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1.1.3熟悉施工现场，确定项目质量计划、施工方案、作业指导计划及进度计划安排，并根据现场实际情况确定人员及材料供应计划；</w:t>
      </w:r>
    </w:p>
    <w:p w14:paraId="4716449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1.1.4按计划组织施工必要工具的到位，对现场施工用设备按规定进行必要的调试和检查，确保施工用设备能正常运行，所有工具、设备必须备足、备全、备齐；</w:t>
      </w:r>
    </w:p>
    <w:p w14:paraId="333866A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1.1.5落实材料供应计划，切实做好材料进场的检验工作，按要求进行抽样送检。</w:t>
      </w:r>
    </w:p>
    <w:p w14:paraId="619BAB6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2.施工用具</w:t>
      </w:r>
    </w:p>
    <w:p w14:paraId="7EB5FEC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施工现场的实际情况要求，辅助材料均应采用符合国家行业标准的材料，如密封膏、冷底子油等。并应配备空气压缩机、喷涂压力罐、液化气喷枪、高压吹风机、抹子、刮板、安全带、小平铲、搅拌器、毛刷、专用火焰枪、壁纸刀、绳子、滚子等必备用具，以方便现场的施工。</w:t>
      </w:r>
    </w:p>
    <w:p w14:paraId="28A2B30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3.施工方法</w:t>
      </w:r>
    </w:p>
    <w:p w14:paraId="598BC7FD">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3.1基层处理：施工前必须确保基层平整、干净、坚固，无松动、起砂、浮浆等现象。必要时应对基层进行修补和平整处理。</w:t>
      </w:r>
    </w:p>
    <w:p w14:paraId="0DB4C2E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3.2材料检查：施工前应对自粘防水卷材进行检查，确认其符合国家标准和技术要求，并具有合格证书。</w:t>
      </w:r>
    </w:p>
    <w:p w14:paraId="6A68760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3.3施工环境：施工温度应符合材料要求，并应避免在潮湿或下雨天气进行施工。</w:t>
      </w:r>
    </w:p>
    <w:p w14:paraId="386F8ED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3.4铺贴顺序：通常建议从下至上、从内到外进行铺贴，节点和细节部位应优先处理，以确保整体防水效果。</w:t>
      </w:r>
    </w:p>
    <w:p w14:paraId="3EFAD16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3.5搭接宽度：防水卷材的搭接宽度应符合产品要求，通常不应小于50mm，并应严格按照制造商的指导进行。</w:t>
      </w:r>
    </w:p>
    <w:p w14:paraId="4F6E2F1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3.6排气和压实：大面积铺贴后，应彻底排除卷材下面的空气，并用压辊或振动器将卷材压实，确保无气泡和良好的粘结。</w:t>
      </w:r>
    </w:p>
    <w:p w14:paraId="5C91686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3.7特殊部位处理：在阴阳角、管口等特殊部位应增设防水附加层，并使用加强材料如玻纤布，以提高该处的防水性能。</w:t>
      </w:r>
    </w:p>
    <w:p w14:paraId="7402E04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3.8质量控制：施工过程中应控制安装平整度，确保收工后的安装平整度符合要求。此外，应检查卷材是否有损坏，并及时修复。</w:t>
      </w:r>
    </w:p>
    <w:p w14:paraId="317D59C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3.9安全措施：施工时应采取相应的安全措施，如在钢筋焊接等可能产生明火的作业周围设置临时保护措施。</w:t>
      </w:r>
    </w:p>
    <w:p w14:paraId="3A80D57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3.10环境保护：施工现场应保持整洁，减少对环境的影响，确保施工过程的环保性。</w:t>
      </w:r>
    </w:p>
    <w:p w14:paraId="5C864F19">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（四）其他相关要求</w:t>
      </w:r>
    </w:p>
    <w:p w14:paraId="590A08E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1.施工安全由成交供应商全权负责；</w:t>
      </w:r>
    </w:p>
    <w:p w14:paraId="5C6E740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施工单位项目负责人是安全生产第一责任人，施工单位应建立健全安全生产责任制度和安全教育培训、安全生产检查和安全生产操作规程等各项规章制度；向施工作业人员提供符合相关标准的劳动安全防护用品（具），为施工人员缴纳意外伤害保险。</w:t>
      </w:r>
    </w:p>
    <w:p w14:paraId="2EA0C88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3.施工单位应根据工程特点和周边各种管线管网、相邻建筑物以及绿化等其他设施等编制工程安全防护措施方案。该方案经施工单位技术负责人签字批准送建设单位审核后方可施工。</w:t>
      </w:r>
    </w:p>
    <w:p w14:paraId="4CBCCC0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4.施工单位在施工现场应建立项目部，并按规定配备专职安全员。现场专职安全员必须持有安全生产考核合格证。</w:t>
      </w:r>
    </w:p>
    <w:p w14:paraId="7E04253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关键部位作业人员必须经专业安全技术培训后方可上岗。必要时施工前施工单位对施工作业人员进行安全技术交底，派出技术人员到现场指导，专职安全员在现场监督安全管理。另外施工单位必须制定安全事故应急救援方案。</w:t>
      </w:r>
    </w:p>
    <w:p w14:paraId="15E7902E">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6.不得野蛮施工，不得对屋面既有设施造成损害。</w:t>
      </w:r>
    </w:p>
    <w:p w14:paraId="1F1F31CB">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7.施工单位对工程的周边环境和施工区域内的环境卫生负责。</w:t>
      </w:r>
    </w:p>
    <w:p w14:paraId="6C4838F7">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（五）项目管理要求</w:t>
      </w:r>
    </w:p>
    <w:p w14:paraId="4AAA474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1.本项目不得分包、转包。</w:t>
      </w:r>
    </w:p>
    <w:p w14:paraId="41CBD60B">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在响应文件中承诺的项目负责人及相应资质的专业技术、安全管理人员未经采购人书面同意，承包人不得调换和撤离，并按工程进度及时到位。采购人有权要求施工单位撤换工作不负责任、管理不力、贻误工期和造成严重安全事故和违法乱纪的专业技术、安全管理人员。如项目负责人及相应资质的专业技术人员未按要求到位，视作违约，采购人有权按合同约定进行罚款直至单方面终止合同。</w:t>
      </w:r>
    </w:p>
    <w:p w14:paraId="083AFD1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3.成交供应商须无条件接受采购人代表的现场检查和管理。</w:t>
      </w:r>
    </w:p>
    <w:p w14:paraId="50B850E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在施工期间做好安全文明施工管理，必须重视安全，按规范操作；施工过程中佩戴安全帽，并保证自身及周边公民人身财产安全；严禁带电操作；确保车辆、人员、施工安全；若发生事故，由承包方负责并承担全部费用，任何责任与采购人无关。</w:t>
      </w:r>
    </w:p>
    <w:p w14:paraId="7782157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5.施工的建筑垃圾应清运至有关部门指定的地点，做到工完场清，不留死角。</w:t>
      </w:r>
    </w:p>
    <w:p w14:paraId="1DF30596">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（六）项目验收要求</w:t>
      </w:r>
    </w:p>
    <w:p w14:paraId="25E92AC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程完工且闭水试验合格后，及时通知采购人验收，并按采购人的要求提交竣工验收申请报告及竣工资料，采购人应及时组织验收，并在验收后10个工作日内作出合格或不合格的验收意见，验收不合格的，供应商应返工，直至采购人验收合格为止，返工的一切费用由供应商承担，且工期不予顺延。如供应商在规定时间内未能组织验收的，需及时通知采购人，双方另行商定验收日期。</w:t>
      </w:r>
    </w:p>
    <w:p w14:paraId="34234347">
      <w:pPr>
        <w:wordWrap w:val="0"/>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（七）工程量清单：另附。</w:t>
      </w:r>
    </w:p>
    <w:p w14:paraId="3D21B3C9">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、商务要求</w:t>
      </w:r>
    </w:p>
    <w:p w14:paraId="69028155">
      <w:pPr>
        <w:wordWrap w:val="0"/>
        <w:spacing w:line="360" w:lineRule="auto"/>
        <w:ind w:firstLine="482" w:firstLineChars="200"/>
        <w:rPr>
          <w:rFonts w:ascii="宋体" w:hAnsi="宋体" w:cs="宋体"/>
          <w:color w:val="auto"/>
          <w:sz w:val="24"/>
          <w:szCs w:val="24"/>
          <w:highlight w:val="none"/>
          <w:u w:val="single"/>
        </w:rPr>
      </w:pPr>
      <w:r>
        <w:rPr>
          <w:rFonts w:hint="eastAsia" w:ascii="宋体" w:hAnsi="宋体" w:cs="宋体"/>
          <w:b/>
          <w:bCs/>
          <w:color w:val="auto"/>
          <w:sz w:val="24"/>
          <w:szCs w:val="24"/>
          <w:highlight w:val="none"/>
        </w:rPr>
        <w:t>（一）工期：</w:t>
      </w:r>
      <w:r>
        <w:rPr>
          <w:rFonts w:hint="eastAsia" w:ascii="宋体" w:hAnsi="宋体" w:cs="宋体"/>
          <w:color w:val="auto"/>
          <w:sz w:val="24"/>
          <w:szCs w:val="24"/>
          <w:highlight w:val="none"/>
          <w:u w:val="single"/>
        </w:rPr>
        <w:t>自接到采购人开工通知之日起</w:t>
      </w:r>
      <w:r>
        <w:rPr>
          <w:rFonts w:hint="eastAsia" w:ascii="宋体" w:hAnsi="宋体" w:cs="宋体"/>
          <w:color w:val="auto"/>
          <w:sz w:val="24"/>
          <w:szCs w:val="24"/>
          <w:highlight w:val="none"/>
          <w:u w:val="single"/>
          <w:lang w:val="en-US" w:eastAsia="zh-CN"/>
        </w:rPr>
        <w:t>45</w:t>
      </w:r>
      <w:r>
        <w:rPr>
          <w:rFonts w:hint="eastAsia" w:ascii="宋体" w:hAnsi="宋体" w:cs="宋体"/>
          <w:color w:val="auto"/>
          <w:sz w:val="24"/>
          <w:szCs w:val="24"/>
          <w:highlight w:val="none"/>
          <w:u w:val="single"/>
        </w:rPr>
        <w:t>日历天内。</w:t>
      </w:r>
    </w:p>
    <w:p w14:paraId="3C7B3699">
      <w:pPr>
        <w:wordWrap w:val="0"/>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（二）质量要求：</w:t>
      </w:r>
      <w:r>
        <w:rPr>
          <w:rFonts w:hint="eastAsia" w:ascii="宋体" w:hAnsi="宋体" w:cs="宋体"/>
          <w:color w:val="auto"/>
          <w:sz w:val="24"/>
          <w:szCs w:val="24"/>
          <w:highlight w:val="none"/>
        </w:rPr>
        <w:t>满足现行《建筑与市政工程施工质量控制通用规范》的要求，质量验收合格。</w:t>
      </w:r>
    </w:p>
    <w:p w14:paraId="0BBEAB82">
      <w:pPr>
        <w:wordWrap w:val="0"/>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（三）质量保修期：</w:t>
      </w:r>
      <w:r>
        <w:rPr>
          <w:rFonts w:hint="eastAsia" w:ascii="宋体" w:hAnsi="宋体" w:cs="宋体"/>
          <w:color w:val="auto"/>
          <w:sz w:val="24"/>
          <w:szCs w:val="24"/>
          <w:highlight w:val="none"/>
        </w:rPr>
        <w:t>自验收合格之日起5年。</w:t>
      </w:r>
    </w:p>
    <w:p w14:paraId="314DB827">
      <w:pPr>
        <w:wordWrap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（四）保修要求：</w:t>
      </w:r>
      <w:r>
        <w:rPr>
          <w:rFonts w:hint="eastAsia" w:ascii="宋体" w:hAnsi="宋体" w:cs="宋体"/>
          <w:color w:val="auto"/>
          <w:sz w:val="24"/>
          <w:szCs w:val="24"/>
          <w:highlight w:val="none"/>
        </w:rPr>
        <w:t>属于保修范围和内容的项目，承包人应在接到维修通知后，1天内派人维修。发生紧急抢修事故（如严重渗漏等），承包人应在接到</w:t>
      </w:r>
      <w:r>
        <w:rPr>
          <w:rFonts w:hint="eastAsia" w:ascii="宋体" w:hAnsi="宋体" w:eastAsia="宋体" w:cs="宋体"/>
          <w:color w:val="auto"/>
          <w:sz w:val="24"/>
          <w:szCs w:val="24"/>
          <w:highlight w:val="none"/>
        </w:rPr>
        <w:t>事故通知后2小时内到达事故现场并于4小时内完成应急维修。</w:t>
      </w:r>
    </w:p>
    <w:p w14:paraId="1192EAC1">
      <w:pPr>
        <w:wordWrap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（五）付款方式：</w:t>
      </w:r>
      <w:bookmarkStart w:id="396" w:name="_Toc193522632"/>
      <w:bookmarkEnd w:id="396"/>
      <w:bookmarkStart w:id="397" w:name="_Toc10829"/>
      <w:bookmarkEnd w:id="397"/>
      <w:bookmarkStart w:id="398" w:name="_Toc4667"/>
      <w:bookmarkEnd w:id="398"/>
      <w:bookmarkStart w:id="399" w:name="_Toc9691"/>
      <w:bookmarkEnd w:id="399"/>
      <w:bookmarkStart w:id="400" w:name="_Toc28001"/>
      <w:bookmarkEnd w:id="400"/>
      <w:bookmarkStart w:id="401" w:name="_Toc4782"/>
      <w:bookmarkEnd w:id="401"/>
      <w:bookmarkStart w:id="402" w:name="_Toc317670701"/>
      <w:bookmarkEnd w:id="402"/>
      <w:bookmarkStart w:id="403" w:name="_Toc10621843"/>
      <w:bookmarkStart w:id="404" w:name="_Toc10563099"/>
      <w:bookmarkStart w:id="405" w:name="_Toc511316289"/>
      <w:bookmarkStart w:id="406" w:name="_Toc10563641"/>
      <w:bookmarkStart w:id="407" w:name="_Toc12377625"/>
      <w:bookmarkStart w:id="408" w:name="_Toc25228"/>
      <w:bookmarkStart w:id="409" w:name="_Toc17733"/>
      <w:r>
        <w:rPr>
          <w:rFonts w:hint="eastAsia" w:ascii="宋体" w:hAnsi="宋体" w:eastAsia="宋体" w:cs="宋体"/>
          <w:color w:val="auto"/>
          <w:sz w:val="24"/>
          <w:szCs w:val="24"/>
          <w:highlight w:val="none"/>
        </w:rPr>
        <w:t>本项目</w:t>
      </w:r>
      <w:r>
        <w:rPr>
          <w:rFonts w:hint="eastAsia" w:ascii="宋体" w:hAnsi="宋体" w:cs="宋体"/>
          <w:color w:val="auto"/>
          <w:sz w:val="24"/>
          <w:szCs w:val="24"/>
          <w:highlight w:val="none"/>
          <w:lang w:val="en-US" w:eastAsia="zh-CN"/>
        </w:rPr>
        <w:t>中标施工单位开工进场后，采购人支付合同价款20%作为</w:t>
      </w:r>
      <w:r>
        <w:rPr>
          <w:rFonts w:hint="eastAsia" w:ascii="宋体" w:hAnsi="宋体" w:eastAsia="宋体" w:cs="宋体"/>
          <w:color w:val="auto"/>
          <w:sz w:val="24"/>
          <w:szCs w:val="24"/>
          <w:highlight w:val="none"/>
        </w:rPr>
        <w:t>工程预付款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项目内容完成50%（甲乙双方会同监理现场确认完成工程量）采购人支付合同价款20%作为</w:t>
      </w:r>
      <w:r>
        <w:rPr>
          <w:rFonts w:hint="eastAsia" w:ascii="宋体" w:hAnsi="宋体" w:eastAsia="宋体" w:cs="宋体"/>
          <w:color w:val="auto"/>
          <w:sz w:val="24"/>
          <w:szCs w:val="24"/>
          <w:highlight w:val="none"/>
        </w:rPr>
        <w:t>工程进度款。验收合格后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成交供应商</w:t>
      </w:r>
      <w:r>
        <w:rPr>
          <w:rFonts w:hint="eastAsia" w:ascii="宋体" w:hAnsi="宋体" w:cs="宋体"/>
          <w:color w:val="auto"/>
          <w:sz w:val="24"/>
          <w:szCs w:val="24"/>
          <w:highlight w:val="none"/>
          <w:lang w:val="en-US" w:eastAsia="zh-CN"/>
        </w:rPr>
        <w:t>支付</w:t>
      </w:r>
      <w:r>
        <w:rPr>
          <w:rFonts w:hint="eastAsia" w:ascii="宋体" w:hAnsi="宋体" w:eastAsia="宋体" w:cs="宋体"/>
          <w:color w:val="auto"/>
          <w:sz w:val="24"/>
          <w:szCs w:val="24"/>
          <w:highlight w:val="none"/>
        </w:rPr>
        <w:t>付合同</w:t>
      </w:r>
      <w:r>
        <w:rPr>
          <w:rFonts w:hint="eastAsia" w:ascii="宋体" w:hAnsi="宋体" w:cs="宋体"/>
          <w:color w:val="auto"/>
          <w:sz w:val="24"/>
          <w:szCs w:val="24"/>
          <w:highlight w:val="none"/>
          <w:lang w:val="en-US" w:eastAsia="zh-CN"/>
        </w:rPr>
        <w:t>价款30%作为</w:t>
      </w:r>
      <w:r>
        <w:rPr>
          <w:rFonts w:hint="eastAsia" w:ascii="宋体" w:hAnsi="宋体" w:eastAsia="宋体" w:cs="宋体"/>
          <w:color w:val="auto"/>
          <w:sz w:val="24"/>
          <w:szCs w:val="24"/>
          <w:highlight w:val="none"/>
        </w:rPr>
        <w:t>工程进度款，</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必须按付价款金额</w:t>
      </w:r>
      <w:r>
        <w:rPr>
          <w:rFonts w:hint="eastAsia" w:ascii="宋体" w:hAnsi="宋体" w:cs="宋体"/>
          <w:color w:val="auto"/>
          <w:sz w:val="24"/>
          <w:szCs w:val="24"/>
          <w:highlight w:val="none"/>
          <w:lang w:val="en-US" w:eastAsia="zh-CN"/>
        </w:rPr>
        <w:t>提供付款申请、</w:t>
      </w:r>
      <w:r>
        <w:rPr>
          <w:rFonts w:hint="eastAsia" w:ascii="宋体" w:hAnsi="宋体" w:eastAsia="宋体" w:cs="宋体"/>
          <w:color w:val="auto"/>
          <w:sz w:val="24"/>
          <w:szCs w:val="24"/>
          <w:highlight w:val="none"/>
        </w:rPr>
        <w:t>开具</w:t>
      </w:r>
      <w:r>
        <w:rPr>
          <w:rFonts w:hint="eastAsia" w:ascii="宋体" w:hAnsi="宋体" w:cs="宋体"/>
          <w:color w:val="auto"/>
          <w:sz w:val="24"/>
          <w:szCs w:val="24"/>
          <w:highlight w:val="none"/>
          <w:lang w:val="en-US" w:eastAsia="zh-CN"/>
        </w:rPr>
        <w:t>收款收据</w:t>
      </w:r>
      <w:r>
        <w:rPr>
          <w:rFonts w:hint="eastAsia" w:ascii="宋体" w:hAnsi="宋体" w:eastAsia="宋体" w:cs="宋体"/>
          <w:color w:val="auto"/>
          <w:sz w:val="24"/>
          <w:szCs w:val="24"/>
          <w:highlight w:val="none"/>
        </w:rPr>
        <w:t>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按照验收确认的实际完成工程量结算项目价款，并经过第三方项目管理公司结算审核，甲乙双方签字确认的审核结果最为项目最终费用。甲方按照审核确认的最终费用支付至97%，成交供应商提供项目全额最终费用正式发票，项目最终费用的3%作为项目质保金，质保期满，未发生质量问题，</w:t>
      </w:r>
      <w:r>
        <w:rPr>
          <w:rFonts w:hint="eastAsia" w:ascii="宋体" w:hAnsi="宋体" w:eastAsia="宋体" w:cs="宋体"/>
          <w:color w:val="auto"/>
          <w:sz w:val="24"/>
          <w:szCs w:val="24"/>
          <w:highlight w:val="none"/>
          <w:lang w:val="en-US" w:eastAsia="zh-CN"/>
        </w:rPr>
        <w:t>采购人</w:t>
      </w:r>
      <w:r>
        <w:rPr>
          <w:rFonts w:hint="eastAsia" w:ascii="宋体" w:hAnsi="宋体" w:cs="宋体"/>
          <w:color w:val="auto"/>
          <w:sz w:val="24"/>
          <w:szCs w:val="24"/>
          <w:highlight w:val="none"/>
          <w:lang w:val="en-US" w:eastAsia="zh-CN"/>
        </w:rPr>
        <w:t>全额</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val="en-US" w:eastAsia="zh-CN"/>
        </w:rPr>
        <w:t>质保金予成交供应商。</w:t>
      </w:r>
    </w:p>
    <w:p w14:paraId="70D5420E">
      <w:pPr>
        <w:pStyle w:val="2"/>
        <w:rPr>
          <w:rFonts w:ascii="宋体" w:hAnsi="宋体" w:eastAsia="宋体" w:cs="宋体"/>
          <w:bCs/>
          <w:color w:val="auto"/>
          <w:highlight w:val="none"/>
        </w:rPr>
        <w:sectPr>
          <w:pgSz w:w="11906" w:h="16838"/>
          <w:pgMar w:top="1440" w:right="1800" w:bottom="1440" w:left="1800" w:header="851" w:footer="992" w:gutter="0"/>
          <w:cols w:space="720" w:num="1"/>
          <w:docGrid w:type="lines" w:linePitch="312" w:charSpace="0"/>
        </w:sectPr>
      </w:pPr>
    </w:p>
    <w:p w14:paraId="50D8286B">
      <w:pPr>
        <w:pStyle w:val="2"/>
        <w:rPr>
          <w:rFonts w:ascii="宋体" w:hAnsi="宋体" w:eastAsia="宋体" w:cs="宋体"/>
          <w:bCs/>
          <w:color w:val="auto"/>
          <w:highlight w:val="none"/>
        </w:rPr>
      </w:pPr>
      <w:bookmarkStart w:id="410" w:name="_Toc12972"/>
      <w:r>
        <w:rPr>
          <w:rFonts w:hint="eastAsia" w:ascii="宋体" w:hAnsi="宋体" w:eastAsia="宋体" w:cs="宋体"/>
          <w:bCs/>
          <w:color w:val="auto"/>
          <w:highlight w:val="none"/>
        </w:rPr>
        <w:t xml:space="preserve">第四章  </w:t>
      </w:r>
      <w:bookmarkEnd w:id="403"/>
      <w:bookmarkEnd w:id="404"/>
      <w:bookmarkEnd w:id="405"/>
      <w:bookmarkEnd w:id="406"/>
      <w:bookmarkEnd w:id="407"/>
      <w:bookmarkEnd w:id="408"/>
      <w:r>
        <w:rPr>
          <w:rFonts w:hint="eastAsia" w:ascii="宋体" w:hAnsi="宋体" w:eastAsia="宋体" w:cs="宋体"/>
          <w:bCs/>
          <w:color w:val="auto"/>
          <w:highlight w:val="none"/>
        </w:rPr>
        <w:t>评审办法</w:t>
      </w:r>
      <w:bookmarkEnd w:id="67"/>
      <w:bookmarkEnd w:id="409"/>
      <w:bookmarkEnd w:id="410"/>
      <w:bookmarkStart w:id="411" w:name="_Toc511316296"/>
      <w:bookmarkStart w:id="412" w:name="_Toc557"/>
      <w:bookmarkStart w:id="413" w:name="_Toc2619"/>
    </w:p>
    <w:p w14:paraId="1C708A20">
      <w:pPr>
        <w:pStyle w:val="3"/>
        <w:rPr>
          <w:color w:val="auto"/>
          <w:highlight w:val="none"/>
        </w:rPr>
      </w:pPr>
      <w:bookmarkStart w:id="414" w:name="_Toc31407"/>
      <w:bookmarkStart w:id="415" w:name="_Toc26061"/>
      <w:bookmarkStart w:id="416" w:name="_Toc2154"/>
      <w:r>
        <w:rPr>
          <w:rFonts w:hint="eastAsia"/>
          <w:color w:val="auto"/>
          <w:highlight w:val="none"/>
        </w:rPr>
        <w:t>一、评审办法前附表</w:t>
      </w:r>
      <w:bookmarkEnd w:id="414"/>
      <w:bookmarkEnd w:id="415"/>
      <w:bookmarkEnd w:id="416"/>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8"/>
        <w:gridCol w:w="863"/>
        <w:gridCol w:w="1202"/>
        <w:gridCol w:w="1285"/>
        <w:gridCol w:w="4335"/>
      </w:tblGrid>
      <w:tr w14:paraId="0101D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tcBorders>
              <w:tl2br w:val="nil"/>
              <w:tr2bl w:val="nil"/>
            </w:tcBorders>
            <w:tcMar>
              <w:top w:w="0" w:type="dxa"/>
              <w:left w:w="108" w:type="dxa"/>
              <w:bottom w:w="0" w:type="dxa"/>
              <w:right w:w="108" w:type="dxa"/>
            </w:tcMar>
            <w:vAlign w:val="center"/>
          </w:tcPr>
          <w:p w14:paraId="05AE1798">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2487" w:type="dxa"/>
            <w:gridSpan w:val="2"/>
            <w:tcBorders>
              <w:tl2br w:val="nil"/>
              <w:tr2bl w:val="nil"/>
            </w:tcBorders>
            <w:tcMar>
              <w:top w:w="0" w:type="dxa"/>
              <w:left w:w="108" w:type="dxa"/>
              <w:bottom w:w="0" w:type="dxa"/>
              <w:right w:w="108" w:type="dxa"/>
            </w:tcMar>
            <w:vAlign w:val="center"/>
          </w:tcPr>
          <w:p w14:paraId="1168C7E2">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评审因素</w:t>
            </w:r>
          </w:p>
        </w:tc>
        <w:tc>
          <w:tcPr>
            <w:tcW w:w="4335" w:type="dxa"/>
            <w:tcBorders>
              <w:tl2br w:val="nil"/>
              <w:tr2bl w:val="nil"/>
            </w:tcBorders>
            <w:tcMar>
              <w:top w:w="0" w:type="dxa"/>
              <w:left w:w="108" w:type="dxa"/>
              <w:bottom w:w="0" w:type="dxa"/>
              <w:right w:w="108" w:type="dxa"/>
            </w:tcMar>
            <w:vAlign w:val="center"/>
          </w:tcPr>
          <w:p w14:paraId="7A8AE435">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评审标准</w:t>
            </w:r>
          </w:p>
        </w:tc>
      </w:tr>
      <w:tr w14:paraId="3EE1F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restart"/>
            <w:tcBorders>
              <w:tl2br w:val="nil"/>
              <w:tr2bl w:val="nil"/>
            </w:tcBorders>
            <w:tcMar>
              <w:top w:w="0" w:type="dxa"/>
              <w:left w:w="108" w:type="dxa"/>
              <w:bottom w:w="0" w:type="dxa"/>
              <w:right w:w="108" w:type="dxa"/>
            </w:tcMar>
            <w:vAlign w:val="center"/>
          </w:tcPr>
          <w:p w14:paraId="33B7190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863" w:type="dxa"/>
            <w:vMerge w:val="restart"/>
            <w:tcBorders>
              <w:tl2br w:val="nil"/>
              <w:tr2bl w:val="nil"/>
            </w:tcBorders>
            <w:tcMar>
              <w:top w:w="0" w:type="dxa"/>
              <w:left w:w="108" w:type="dxa"/>
              <w:bottom w:w="0" w:type="dxa"/>
              <w:right w:w="108" w:type="dxa"/>
            </w:tcMar>
            <w:vAlign w:val="center"/>
          </w:tcPr>
          <w:p w14:paraId="4E07EF5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资格评审标准</w:t>
            </w:r>
          </w:p>
          <w:p w14:paraId="46093AD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（按“供应商须知前附表”第3.5条执行）</w:t>
            </w:r>
          </w:p>
        </w:tc>
        <w:tc>
          <w:tcPr>
            <w:tcW w:w="2487" w:type="dxa"/>
            <w:gridSpan w:val="2"/>
            <w:tcBorders>
              <w:tl2br w:val="nil"/>
              <w:tr2bl w:val="nil"/>
            </w:tcBorders>
            <w:tcMar>
              <w:top w:w="0" w:type="dxa"/>
              <w:left w:w="108" w:type="dxa"/>
              <w:bottom w:w="0" w:type="dxa"/>
              <w:right w:w="108" w:type="dxa"/>
            </w:tcMar>
            <w:vAlign w:val="center"/>
          </w:tcPr>
          <w:p w14:paraId="0CA7551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符合《中华人民共和国政府采购法》第二十二条的规定；</w:t>
            </w:r>
          </w:p>
        </w:tc>
        <w:tc>
          <w:tcPr>
            <w:tcW w:w="4335" w:type="dxa"/>
            <w:tcBorders>
              <w:tl2br w:val="nil"/>
              <w:tr2bl w:val="nil"/>
            </w:tcBorders>
            <w:tcMar>
              <w:top w:w="0" w:type="dxa"/>
              <w:left w:w="108" w:type="dxa"/>
              <w:bottom w:w="0" w:type="dxa"/>
              <w:right w:w="108" w:type="dxa"/>
            </w:tcMar>
            <w:vAlign w:val="center"/>
          </w:tcPr>
          <w:p w14:paraId="4B10E92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符合第二章“供应商须知前附表”第3.5项规定</w:t>
            </w:r>
          </w:p>
        </w:tc>
      </w:tr>
      <w:tr w14:paraId="3E747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30B07CB4">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7ABE5334">
            <w:pPr>
              <w:spacing w:line="360" w:lineRule="auto"/>
              <w:jc w:val="center"/>
              <w:rPr>
                <w:rFonts w:ascii="宋体" w:hAnsi="宋体" w:cs="宋体"/>
                <w:color w:val="auto"/>
                <w:sz w:val="24"/>
                <w:szCs w:val="24"/>
                <w:highlight w:val="none"/>
              </w:rPr>
            </w:pPr>
          </w:p>
        </w:tc>
        <w:tc>
          <w:tcPr>
            <w:tcW w:w="2487" w:type="dxa"/>
            <w:gridSpan w:val="2"/>
            <w:tcBorders>
              <w:tl2br w:val="nil"/>
              <w:tr2bl w:val="nil"/>
            </w:tcBorders>
            <w:tcMar>
              <w:top w:w="0" w:type="dxa"/>
              <w:left w:w="108" w:type="dxa"/>
              <w:bottom w:w="0" w:type="dxa"/>
              <w:right w:w="108" w:type="dxa"/>
            </w:tcMar>
            <w:vAlign w:val="center"/>
          </w:tcPr>
          <w:p w14:paraId="0B32DEC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w:t>
            </w:r>
          </w:p>
        </w:tc>
        <w:tc>
          <w:tcPr>
            <w:tcW w:w="4335" w:type="dxa"/>
            <w:tcBorders>
              <w:tl2br w:val="nil"/>
              <w:tr2bl w:val="nil"/>
            </w:tcBorders>
            <w:tcMar>
              <w:top w:w="0" w:type="dxa"/>
              <w:left w:w="108" w:type="dxa"/>
              <w:bottom w:w="0" w:type="dxa"/>
              <w:right w:w="108" w:type="dxa"/>
            </w:tcMar>
            <w:vAlign w:val="center"/>
          </w:tcPr>
          <w:p w14:paraId="2A226B7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符合第二章“供应商须知前附表”第3.5项规定</w:t>
            </w:r>
          </w:p>
        </w:tc>
      </w:tr>
      <w:tr w14:paraId="50AE1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7B3A4169">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4BA23A4E">
            <w:pPr>
              <w:spacing w:line="360" w:lineRule="auto"/>
              <w:jc w:val="center"/>
              <w:rPr>
                <w:rFonts w:ascii="宋体" w:hAnsi="宋体" w:cs="宋体"/>
                <w:color w:val="auto"/>
                <w:sz w:val="24"/>
                <w:szCs w:val="24"/>
                <w:highlight w:val="none"/>
              </w:rPr>
            </w:pPr>
          </w:p>
        </w:tc>
        <w:tc>
          <w:tcPr>
            <w:tcW w:w="2487" w:type="dxa"/>
            <w:gridSpan w:val="2"/>
            <w:tcBorders>
              <w:tl2br w:val="nil"/>
              <w:tr2bl w:val="nil"/>
            </w:tcBorders>
            <w:tcMar>
              <w:top w:w="0" w:type="dxa"/>
              <w:left w:w="108" w:type="dxa"/>
              <w:bottom w:w="0" w:type="dxa"/>
              <w:right w:w="108" w:type="dxa"/>
            </w:tcMar>
            <w:vAlign w:val="center"/>
          </w:tcPr>
          <w:p w14:paraId="60A8407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信用查询</w:t>
            </w:r>
          </w:p>
        </w:tc>
        <w:tc>
          <w:tcPr>
            <w:tcW w:w="4335" w:type="dxa"/>
            <w:tcBorders>
              <w:tl2br w:val="nil"/>
              <w:tr2bl w:val="nil"/>
            </w:tcBorders>
            <w:tcMar>
              <w:top w:w="0" w:type="dxa"/>
              <w:left w:w="108" w:type="dxa"/>
              <w:bottom w:w="0" w:type="dxa"/>
              <w:right w:w="108" w:type="dxa"/>
            </w:tcMar>
            <w:vAlign w:val="center"/>
          </w:tcPr>
          <w:p w14:paraId="1F652F3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符合第二章“供应商须知前附表”第3.5项规定</w:t>
            </w:r>
          </w:p>
        </w:tc>
      </w:tr>
      <w:tr w14:paraId="77A88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627AC148">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3EBC8FAC">
            <w:pPr>
              <w:spacing w:line="360" w:lineRule="auto"/>
              <w:jc w:val="center"/>
              <w:rPr>
                <w:rFonts w:ascii="宋体" w:hAnsi="宋体" w:cs="宋体"/>
                <w:color w:val="auto"/>
                <w:sz w:val="24"/>
                <w:szCs w:val="24"/>
                <w:highlight w:val="none"/>
              </w:rPr>
            </w:pPr>
          </w:p>
        </w:tc>
        <w:tc>
          <w:tcPr>
            <w:tcW w:w="2487" w:type="dxa"/>
            <w:gridSpan w:val="2"/>
            <w:tcBorders>
              <w:tl2br w:val="nil"/>
              <w:tr2bl w:val="nil"/>
            </w:tcBorders>
            <w:tcMar>
              <w:top w:w="0" w:type="dxa"/>
              <w:left w:w="108" w:type="dxa"/>
              <w:bottom w:w="0" w:type="dxa"/>
              <w:right w:w="108" w:type="dxa"/>
            </w:tcMar>
            <w:vAlign w:val="center"/>
          </w:tcPr>
          <w:p w14:paraId="64020D3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控股关系</w:t>
            </w:r>
          </w:p>
        </w:tc>
        <w:tc>
          <w:tcPr>
            <w:tcW w:w="4335" w:type="dxa"/>
            <w:tcBorders>
              <w:tl2br w:val="nil"/>
              <w:tr2bl w:val="nil"/>
            </w:tcBorders>
            <w:tcMar>
              <w:top w:w="0" w:type="dxa"/>
              <w:left w:w="108" w:type="dxa"/>
              <w:bottom w:w="0" w:type="dxa"/>
              <w:right w:w="108" w:type="dxa"/>
            </w:tcMar>
            <w:vAlign w:val="center"/>
          </w:tcPr>
          <w:p w14:paraId="6461D16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符合第二章“供应商须知前附表”第3.5项规定</w:t>
            </w:r>
          </w:p>
        </w:tc>
      </w:tr>
      <w:tr w14:paraId="4F9E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2044C9BA">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3A3ABB93">
            <w:pPr>
              <w:spacing w:line="360" w:lineRule="auto"/>
              <w:jc w:val="center"/>
              <w:rPr>
                <w:rFonts w:ascii="宋体" w:hAnsi="宋体" w:cs="宋体"/>
                <w:color w:val="auto"/>
                <w:sz w:val="24"/>
                <w:szCs w:val="24"/>
                <w:highlight w:val="none"/>
              </w:rPr>
            </w:pPr>
          </w:p>
        </w:tc>
        <w:tc>
          <w:tcPr>
            <w:tcW w:w="2487" w:type="dxa"/>
            <w:gridSpan w:val="2"/>
            <w:tcBorders>
              <w:tl2br w:val="nil"/>
              <w:tr2bl w:val="nil"/>
            </w:tcBorders>
            <w:tcMar>
              <w:top w:w="0" w:type="dxa"/>
              <w:left w:w="108" w:type="dxa"/>
              <w:bottom w:w="0" w:type="dxa"/>
              <w:right w:w="108" w:type="dxa"/>
            </w:tcMar>
            <w:vAlign w:val="center"/>
          </w:tcPr>
          <w:p w14:paraId="2D6FC33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企业资质及要求</w:t>
            </w:r>
          </w:p>
        </w:tc>
        <w:tc>
          <w:tcPr>
            <w:tcW w:w="4335" w:type="dxa"/>
            <w:tcBorders>
              <w:tl2br w:val="nil"/>
              <w:tr2bl w:val="nil"/>
            </w:tcBorders>
            <w:tcMar>
              <w:top w:w="0" w:type="dxa"/>
              <w:left w:w="108" w:type="dxa"/>
              <w:bottom w:w="0" w:type="dxa"/>
              <w:right w:w="108" w:type="dxa"/>
            </w:tcMar>
            <w:vAlign w:val="center"/>
          </w:tcPr>
          <w:p w14:paraId="3C4E0893">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符合第二章“供应商须知前附表”第3.5项规定</w:t>
            </w:r>
          </w:p>
        </w:tc>
      </w:tr>
      <w:tr w14:paraId="17556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3962810B">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08C4CA45">
            <w:pPr>
              <w:spacing w:line="360" w:lineRule="auto"/>
              <w:jc w:val="center"/>
              <w:rPr>
                <w:rFonts w:ascii="宋体" w:hAnsi="宋体" w:cs="宋体"/>
                <w:color w:val="auto"/>
                <w:sz w:val="24"/>
                <w:szCs w:val="24"/>
                <w:highlight w:val="none"/>
              </w:rPr>
            </w:pPr>
          </w:p>
        </w:tc>
        <w:tc>
          <w:tcPr>
            <w:tcW w:w="2487" w:type="dxa"/>
            <w:gridSpan w:val="2"/>
            <w:tcBorders>
              <w:tl2br w:val="nil"/>
              <w:tr2bl w:val="nil"/>
            </w:tcBorders>
            <w:tcMar>
              <w:top w:w="0" w:type="dxa"/>
              <w:left w:w="108" w:type="dxa"/>
              <w:bottom w:w="0" w:type="dxa"/>
              <w:right w:w="108" w:type="dxa"/>
            </w:tcMar>
            <w:vAlign w:val="center"/>
          </w:tcPr>
          <w:p w14:paraId="446B1E7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拟派项目经理资格及要求</w:t>
            </w:r>
          </w:p>
        </w:tc>
        <w:tc>
          <w:tcPr>
            <w:tcW w:w="4335" w:type="dxa"/>
            <w:tcBorders>
              <w:tl2br w:val="nil"/>
              <w:tr2bl w:val="nil"/>
            </w:tcBorders>
            <w:tcMar>
              <w:top w:w="0" w:type="dxa"/>
              <w:left w:w="108" w:type="dxa"/>
              <w:bottom w:w="0" w:type="dxa"/>
              <w:right w:w="108" w:type="dxa"/>
            </w:tcMar>
            <w:vAlign w:val="center"/>
          </w:tcPr>
          <w:p w14:paraId="2DD0251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符合第二章“供应商须知前附表”第3.5项规定</w:t>
            </w:r>
          </w:p>
        </w:tc>
      </w:tr>
      <w:tr w14:paraId="2DF18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03EBCA68">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738B6901">
            <w:pPr>
              <w:spacing w:line="360" w:lineRule="auto"/>
              <w:jc w:val="center"/>
              <w:rPr>
                <w:rFonts w:ascii="宋体" w:hAnsi="宋体" w:cs="宋体"/>
                <w:color w:val="auto"/>
                <w:sz w:val="24"/>
                <w:szCs w:val="24"/>
                <w:highlight w:val="none"/>
              </w:rPr>
            </w:pPr>
          </w:p>
        </w:tc>
        <w:tc>
          <w:tcPr>
            <w:tcW w:w="2487" w:type="dxa"/>
            <w:gridSpan w:val="2"/>
            <w:tcBorders>
              <w:tl2br w:val="nil"/>
              <w:tr2bl w:val="nil"/>
            </w:tcBorders>
            <w:tcMar>
              <w:top w:w="0" w:type="dxa"/>
              <w:left w:w="108" w:type="dxa"/>
              <w:bottom w:w="0" w:type="dxa"/>
              <w:right w:w="108" w:type="dxa"/>
            </w:tcMar>
            <w:vAlign w:val="center"/>
          </w:tcPr>
          <w:p w14:paraId="5823BBB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供应商及其拟派项目经理须在“陕西省住房和城乡建设厅”官方网站可查询；如供应商为外省进陕企业，还须同时提供“陕西省住房和城乡建设厅”官网企业库外省进陕施工企业信息首页截图；</w:t>
            </w:r>
          </w:p>
        </w:tc>
        <w:tc>
          <w:tcPr>
            <w:tcW w:w="4335" w:type="dxa"/>
            <w:tcBorders>
              <w:tl2br w:val="nil"/>
              <w:tr2bl w:val="nil"/>
            </w:tcBorders>
            <w:tcMar>
              <w:top w:w="0" w:type="dxa"/>
              <w:left w:w="108" w:type="dxa"/>
              <w:bottom w:w="0" w:type="dxa"/>
              <w:right w:w="108" w:type="dxa"/>
            </w:tcMar>
            <w:vAlign w:val="center"/>
          </w:tcPr>
          <w:p w14:paraId="5540722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符合第二章“供应商须知前附表”第3.5项规定</w:t>
            </w:r>
          </w:p>
        </w:tc>
      </w:tr>
      <w:tr w14:paraId="2DC41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3DE62299">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43281A30">
            <w:pPr>
              <w:spacing w:line="360" w:lineRule="auto"/>
              <w:jc w:val="center"/>
              <w:rPr>
                <w:rFonts w:ascii="宋体" w:hAnsi="宋体" w:cs="宋体"/>
                <w:color w:val="auto"/>
                <w:sz w:val="24"/>
                <w:szCs w:val="24"/>
                <w:highlight w:val="none"/>
              </w:rPr>
            </w:pPr>
          </w:p>
        </w:tc>
        <w:tc>
          <w:tcPr>
            <w:tcW w:w="2487" w:type="dxa"/>
            <w:gridSpan w:val="2"/>
            <w:tcBorders>
              <w:tl2br w:val="nil"/>
              <w:tr2bl w:val="nil"/>
            </w:tcBorders>
            <w:tcMar>
              <w:top w:w="0" w:type="dxa"/>
              <w:left w:w="108" w:type="dxa"/>
              <w:bottom w:w="0" w:type="dxa"/>
              <w:right w:w="108" w:type="dxa"/>
            </w:tcMar>
            <w:vAlign w:val="center"/>
          </w:tcPr>
          <w:p w14:paraId="79EFBC5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落实政府采购政策：本项目专门面向中小企业。</w:t>
            </w:r>
          </w:p>
        </w:tc>
        <w:tc>
          <w:tcPr>
            <w:tcW w:w="4335" w:type="dxa"/>
            <w:tcBorders>
              <w:tl2br w:val="nil"/>
              <w:tr2bl w:val="nil"/>
            </w:tcBorders>
            <w:tcMar>
              <w:top w:w="0" w:type="dxa"/>
              <w:left w:w="108" w:type="dxa"/>
              <w:bottom w:w="0" w:type="dxa"/>
              <w:right w:w="108" w:type="dxa"/>
            </w:tcMar>
            <w:vAlign w:val="center"/>
          </w:tcPr>
          <w:p w14:paraId="056F450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符合第二章“供应商须知前附表”第3.5项规定</w:t>
            </w:r>
          </w:p>
        </w:tc>
      </w:tr>
      <w:tr w14:paraId="11F1C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restart"/>
            <w:tcBorders>
              <w:tl2br w:val="nil"/>
              <w:tr2bl w:val="nil"/>
            </w:tcBorders>
            <w:tcMar>
              <w:top w:w="0" w:type="dxa"/>
              <w:left w:w="108" w:type="dxa"/>
              <w:bottom w:w="0" w:type="dxa"/>
              <w:right w:w="108" w:type="dxa"/>
            </w:tcMar>
            <w:vAlign w:val="center"/>
          </w:tcPr>
          <w:p w14:paraId="30A3AB4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863" w:type="dxa"/>
            <w:vMerge w:val="restart"/>
            <w:tcBorders>
              <w:tl2br w:val="nil"/>
              <w:tr2bl w:val="nil"/>
            </w:tcBorders>
            <w:tcMar>
              <w:top w:w="0" w:type="dxa"/>
              <w:left w:w="108" w:type="dxa"/>
              <w:bottom w:w="0" w:type="dxa"/>
              <w:right w:w="108" w:type="dxa"/>
            </w:tcMar>
            <w:vAlign w:val="center"/>
          </w:tcPr>
          <w:p w14:paraId="1AD4271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初步评审标准</w:t>
            </w:r>
          </w:p>
        </w:tc>
        <w:tc>
          <w:tcPr>
            <w:tcW w:w="1202" w:type="dxa"/>
            <w:vMerge w:val="restart"/>
            <w:tcBorders>
              <w:tl2br w:val="nil"/>
              <w:tr2bl w:val="nil"/>
            </w:tcBorders>
            <w:tcMar>
              <w:top w:w="0" w:type="dxa"/>
              <w:left w:w="108" w:type="dxa"/>
              <w:bottom w:w="0" w:type="dxa"/>
              <w:right w:w="108" w:type="dxa"/>
            </w:tcMar>
            <w:vAlign w:val="center"/>
          </w:tcPr>
          <w:p w14:paraId="7B425C2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2.2.1</w:t>
            </w:r>
          </w:p>
          <w:p w14:paraId="1099EF9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形式评审标准</w:t>
            </w:r>
          </w:p>
        </w:tc>
        <w:tc>
          <w:tcPr>
            <w:tcW w:w="1285" w:type="dxa"/>
            <w:tcBorders>
              <w:tl2br w:val="nil"/>
              <w:tr2bl w:val="nil"/>
            </w:tcBorders>
            <w:tcMar>
              <w:top w:w="0" w:type="dxa"/>
              <w:left w:w="108" w:type="dxa"/>
              <w:bottom w:w="0" w:type="dxa"/>
              <w:right w:w="108" w:type="dxa"/>
            </w:tcMar>
            <w:vAlign w:val="center"/>
          </w:tcPr>
          <w:p w14:paraId="5517E5A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供应商</w:t>
            </w:r>
          </w:p>
          <w:p w14:paraId="692AAC5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4335" w:type="dxa"/>
            <w:tcBorders>
              <w:tl2br w:val="nil"/>
              <w:tr2bl w:val="nil"/>
            </w:tcBorders>
            <w:tcMar>
              <w:top w:w="0" w:type="dxa"/>
              <w:left w:w="108" w:type="dxa"/>
              <w:bottom w:w="0" w:type="dxa"/>
              <w:right w:w="108" w:type="dxa"/>
            </w:tcMar>
            <w:vAlign w:val="center"/>
          </w:tcPr>
          <w:p w14:paraId="2B93B5A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与营业执照、资质证书、安全生产许可证一致</w:t>
            </w:r>
          </w:p>
        </w:tc>
      </w:tr>
      <w:tr w14:paraId="0116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2B911FFD">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1B0ADF66">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3CFB3561">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63BA8C3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磋商函签字盖章</w:t>
            </w:r>
          </w:p>
        </w:tc>
        <w:tc>
          <w:tcPr>
            <w:tcW w:w="4335" w:type="dxa"/>
            <w:tcBorders>
              <w:tl2br w:val="nil"/>
              <w:tr2bl w:val="nil"/>
            </w:tcBorders>
            <w:tcMar>
              <w:top w:w="0" w:type="dxa"/>
              <w:left w:w="108" w:type="dxa"/>
              <w:bottom w:w="0" w:type="dxa"/>
              <w:right w:w="108" w:type="dxa"/>
            </w:tcMar>
            <w:vAlign w:val="center"/>
          </w:tcPr>
          <w:p w14:paraId="70926C2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符合第六章“响应文件格式”的要求</w:t>
            </w:r>
          </w:p>
        </w:tc>
      </w:tr>
      <w:tr w14:paraId="7FF1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60CE5FAF">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5B45DCB7">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3040F362">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7198C62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响应文件格式内容</w:t>
            </w:r>
          </w:p>
        </w:tc>
        <w:tc>
          <w:tcPr>
            <w:tcW w:w="4335" w:type="dxa"/>
            <w:tcBorders>
              <w:tl2br w:val="nil"/>
              <w:tr2bl w:val="nil"/>
            </w:tcBorders>
            <w:tcMar>
              <w:top w:w="0" w:type="dxa"/>
              <w:left w:w="108" w:type="dxa"/>
              <w:bottom w:w="0" w:type="dxa"/>
              <w:right w:w="108" w:type="dxa"/>
            </w:tcMar>
            <w:vAlign w:val="center"/>
          </w:tcPr>
          <w:p w14:paraId="25E4F443">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符合第六章“响应文件格式”的要求</w:t>
            </w:r>
          </w:p>
        </w:tc>
      </w:tr>
      <w:tr w14:paraId="5BDB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3AFB4879">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42370B83">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1038E200">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6EAD24C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报价唯一</w:t>
            </w:r>
          </w:p>
        </w:tc>
        <w:tc>
          <w:tcPr>
            <w:tcW w:w="4335" w:type="dxa"/>
            <w:tcBorders>
              <w:tl2br w:val="nil"/>
              <w:tr2bl w:val="nil"/>
            </w:tcBorders>
            <w:tcMar>
              <w:top w:w="0" w:type="dxa"/>
              <w:left w:w="108" w:type="dxa"/>
              <w:bottom w:w="0" w:type="dxa"/>
              <w:right w:w="108" w:type="dxa"/>
            </w:tcMar>
            <w:vAlign w:val="center"/>
          </w:tcPr>
          <w:p w14:paraId="5A30907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每次报价只能有一个有效报价</w:t>
            </w:r>
          </w:p>
        </w:tc>
      </w:tr>
      <w:tr w14:paraId="03EA0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1C70E484">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1B28C0D1">
            <w:pPr>
              <w:spacing w:line="360" w:lineRule="auto"/>
              <w:jc w:val="center"/>
              <w:rPr>
                <w:rFonts w:ascii="宋体" w:hAnsi="宋体" w:cs="宋体"/>
                <w:color w:val="auto"/>
                <w:sz w:val="24"/>
                <w:szCs w:val="24"/>
                <w:highlight w:val="none"/>
              </w:rPr>
            </w:pPr>
          </w:p>
        </w:tc>
        <w:tc>
          <w:tcPr>
            <w:tcW w:w="1202" w:type="dxa"/>
            <w:vMerge w:val="restart"/>
            <w:tcBorders>
              <w:tl2br w:val="nil"/>
              <w:tr2bl w:val="nil"/>
            </w:tcBorders>
            <w:tcMar>
              <w:top w:w="0" w:type="dxa"/>
              <w:left w:w="108" w:type="dxa"/>
              <w:bottom w:w="0" w:type="dxa"/>
              <w:right w:w="108" w:type="dxa"/>
            </w:tcMar>
            <w:vAlign w:val="center"/>
          </w:tcPr>
          <w:p w14:paraId="6D701D4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2.2.2</w:t>
            </w:r>
          </w:p>
          <w:p w14:paraId="1080F8D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响应性评审标准</w:t>
            </w:r>
          </w:p>
        </w:tc>
        <w:tc>
          <w:tcPr>
            <w:tcW w:w="1285" w:type="dxa"/>
            <w:tcBorders>
              <w:tl2br w:val="nil"/>
              <w:tr2bl w:val="nil"/>
            </w:tcBorders>
            <w:tcMar>
              <w:top w:w="0" w:type="dxa"/>
              <w:left w:w="108" w:type="dxa"/>
              <w:bottom w:w="0" w:type="dxa"/>
              <w:right w:w="108" w:type="dxa"/>
            </w:tcMar>
            <w:vAlign w:val="center"/>
          </w:tcPr>
          <w:p w14:paraId="6150E46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工期</w:t>
            </w:r>
          </w:p>
        </w:tc>
        <w:tc>
          <w:tcPr>
            <w:tcW w:w="4335" w:type="dxa"/>
            <w:tcBorders>
              <w:tl2br w:val="nil"/>
              <w:tr2bl w:val="nil"/>
            </w:tcBorders>
            <w:tcMar>
              <w:top w:w="0" w:type="dxa"/>
              <w:left w:w="108" w:type="dxa"/>
              <w:bottom w:w="0" w:type="dxa"/>
              <w:right w:w="108" w:type="dxa"/>
            </w:tcMar>
            <w:vAlign w:val="center"/>
          </w:tcPr>
          <w:p w14:paraId="3BB9206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符合第二章“供应商须知前附表”第1.3.2项规定</w:t>
            </w:r>
          </w:p>
        </w:tc>
      </w:tr>
      <w:tr w14:paraId="2AA72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3B6AF785">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1E126E0C">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45E59BFB">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2699427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工程质量</w:t>
            </w:r>
          </w:p>
        </w:tc>
        <w:tc>
          <w:tcPr>
            <w:tcW w:w="4335" w:type="dxa"/>
            <w:tcBorders>
              <w:tl2br w:val="nil"/>
              <w:tr2bl w:val="nil"/>
            </w:tcBorders>
            <w:tcMar>
              <w:top w:w="0" w:type="dxa"/>
              <w:left w:w="108" w:type="dxa"/>
              <w:bottom w:w="0" w:type="dxa"/>
              <w:right w:w="108" w:type="dxa"/>
            </w:tcMar>
            <w:vAlign w:val="center"/>
          </w:tcPr>
          <w:p w14:paraId="0211B3D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符合第二章“供应商须知前附表”第1.3.3项规定</w:t>
            </w:r>
          </w:p>
        </w:tc>
      </w:tr>
      <w:tr w14:paraId="29861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456B666B">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314903D6">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0AFDA018">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55B0A9B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磋商</w:t>
            </w:r>
          </w:p>
          <w:p w14:paraId="433B010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有效期</w:t>
            </w:r>
          </w:p>
        </w:tc>
        <w:tc>
          <w:tcPr>
            <w:tcW w:w="4335" w:type="dxa"/>
            <w:tcBorders>
              <w:tl2br w:val="nil"/>
              <w:tr2bl w:val="nil"/>
            </w:tcBorders>
            <w:tcMar>
              <w:top w:w="0" w:type="dxa"/>
              <w:left w:w="108" w:type="dxa"/>
              <w:bottom w:w="0" w:type="dxa"/>
              <w:right w:w="108" w:type="dxa"/>
            </w:tcMar>
            <w:vAlign w:val="center"/>
          </w:tcPr>
          <w:p w14:paraId="5DE00F7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符合第二章“供应商须知前附表”第3.3.1项规定</w:t>
            </w:r>
          </w:p>
        </w:tc>
      </w:tr>
      <w:tr w14:paraId="1692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3033CF12">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2121C35E">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7E363498">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3B3454B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响应</w:t>
            </w:r>
          </w:p>
          <w:p w14:paraId="4193C23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保证金</w:t>
            </w:r>
          </w:p>
        </w:tc>
        <w:tc>
          <w:tcPr>
            <w:tcW w:w="4335" w:type="dxa"/>
            <w:tcBorders>
              <w:tl2br w:val="nil"/>
              <w:tr2bl w:val="nil"/>
            </w:tcBorders>
            <w:tcMar>
              <w:top w:w="0" w:type="dxa"/>
              <w:left w:w="108" w:type="dxa"/>
              <w:bottom w:w="0" w:type="dxa"/>
              <w:right w:w="108" w:type="dxa"/>
            </w:tcMar>
            <w:vAlign w:val="center"/>
          </w:tcPr>
          <w:p w14:paraId="3A745C6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符合第二章“供应商须知前附表”第3.4项规定</w:t>
            </w:r>
          </w:p>
        </w:tc>
      </w:tr>
      <w:tr w14:paraId="0EBE7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01338173">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14ECEC24">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480134C8">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4F0601C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实质性条款响应</w:t>
            </w:r>
          </w:p>
        </w:tc>
        <w:tc>
          <w:tcPr>
            <w:tcW w:w="4335" w:type="dxa"/>
            <w:tcBorders>
              <w:tl2br w:val="nil"/>
              <w:tr2bl w:val="nil"/>
            </w:tcBorders>
            <w:tcMar>
              <w:top w:w="0" w:type="dxa"/>
              <w:left w:w="108" w:type="dxa"/>
              <w:bottom w:w="0" w:type="dxa"/>
              <w:right w:w="108" w:type="dxa"/>
            </w:tcMar>
            <w:vAlign w:val="center"/>
          </w:tcPr>
          <w:p w14:paraId="12E44B5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资格要求、符合性审查合格标准、商务要求各项条款及本文件规定的其他不允许偏离的条件，为实质性要求和条件，不满足的磋商为无效磋商。</w:t>
            </w:r>
          </w:p>
        </w:tc>
      </w:tr>
      <w:tr w14:paraId="1C40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007B4010">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107FA34C">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598BA0CB">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07C4B3B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权利义务</w:t>
            </w:r>
          </w:p>
        </w:tc>
        <w:tc>
          <w:tcPr>
            <w:tcW w:w="4335" w:type="dxa"/>
            <w:tcBorders>
              <w:tl2br w:val="nil"/>
              <w:tr2bl w:val="nil"/>
            </w:tcBorders>
            <w:tcMar>
              <w:top w:w="0" w:type="dxa"/>
              <w:left w:w="108" w:type="dxa"/>
              <w:bottom w:w="0" w:type="dxa"/>
              <w:right w:w="108" w:type="dxa"/>
            </w:tcMar>
            <w:vAlign w:val="center"/>
          </w:tcPr>
          <w:p w14:paraId="1DB27F1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磋商函附录中的响应表符合或优于磋商文件的相关规定</w:t>
            </w:r>
          </w:p>
        </w:tc>
      </w:tr>
      <w:tr w14:paraId="70453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4C19C26E">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6ED11F10">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32A8B711">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7553C3A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已标价</w:t>
            </w:r>
          </w:p>
          <w:p w14:paraId="562F26A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工程量</w:t>
            </w:r>
          </w:p>
          <w:p w14:paraId="626CC24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清单</w:t>
            </w:r>
          </w:p>
        </w:tc>
        <w:tc>
          <w:tcPr>
            <w:tcW w:w="4335" w:type="dxa"/>
            <w:tcBorders>
              <w:tl2br w:val="nil"/>
              <w:tr2bl w:val="nil"/>
            </w:tcBorders>
            <w:tcMar>
              <w:top w:w="0" w:type="dxa"/>
              <w:left w:w="108" w:type="dxa"/>
              <w:bottom w:w="0" w:type="dxa"/>
              <w:right w:w="108" w:type="dxa"/>
            </w:tcMar>
            <w:vAlign w:val="center"/>
          </w:tcPr>
          <w:p w14:paraId="70875A6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按照第三章给出的“工程量清单”进行清单组价。</w:t>
            </w:r>
          </w:p>
        </w:tc>
      </w:tr>
      <w:tr w14:paraId="705BF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50169718">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6AF66A0B">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068E52C3">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619362A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有效磋商价格</w:t>
            </w:r>
          </w:p>
        </w:tc>
        <w:tc>
          <w:tcPr>
            <w:tcW w:w="4335" w:type="dxa"/>
            <w:tcBorders>
              <w:tl2br w:val="nil"/>
              <w:tr2bl w:val="nil"/>
            </w:tcBorders>
            <w:tcMar>
              <w:top w:w="0" w:type="dxa"/>
              <w:left w:w="108" w:type="dxa"/>
              <w:bottom w:w="0" w:type="dxa"/>
              <w:right w:w="108" w:type="dxa"/>
            </w:tcMar>
            <w:vAlign w:val="center"/>
          </w:tcPr>
          <w:p w14:paraId="26EE179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小于等于本工程的采购预算及最高限价。</w:t>
            </w:r>
          </w:p>
        </w:tc>
      </w:tr>
      <w:tr w14:paraId="1EB6B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18" w:type="dxa"/>
            <w:vMerge w:val="continue"/>
            <w:tcBorders>
              <w:tl2br w:val="nil"/>
              <w:tr2bl w:val="nil"/>
            </w:tcBorders>
            <w:vAlign w:val="center"/>
          </w:tcPr>
          <w:p w14:paraId="09581D48">
            <w:pPr>
              <w:spacing w:line="360" w:lineRule="auto"/>
              <w:jc w:val="center"/>
              <w:rPr>
                <w:rFonts w:ascii="宋体" w:hAnsi="宋体" w:cs="宋体"/>
                <w:color w:val="auto"/>
                <w:sz w:val="24"/>
                <w:szCs w:val="24"/>
                <w:highlight w:val="none"/>
              </w:rPr>
            </w:pPr>
          </w:p>
        </w:tc>
        <w:tc>
          <w:tcPr>
            <w:tcW w:w="863" w:type="dxa"/>
            <w:vMerge w:val="continue"/>
            <w:tcBorders>
              <w:tl2br w:val="nil"/>
              <w:tr2bl w:val="nil"/>
            </w:tcBorders>
            <w:vAlign w:val="center"/>
          </w:tcPr>
          <w:p w14:paraId="2B19D0FD">
            <w:pPr>
              <w:spacing w:line="360" w:lineRule="auto"/>
              <w:jc w:val="center"/>
              <w:rPr>
                <w:rFonts w:ascii="宋体" w:hAnsi="宋体" w:cs="宋体"/>
                <w:color w:val="auto"/>
                <w:sz w:val="24"/>
                <w:szCs w:val="24"/>
                <w:highlight w:val="none"/>
              </w:rPr>
            </w:pPr>
          </w:p>
        </w:tc>
        <w:tc>
          <w:tcPr>
            <w:tcW w:w="1202" w:type="dxa"/>
            <w:vMerge w:val="continue"/>
            <w:tcBorders>
              <w:tl2br w:val="nil"/>
              <w:tr2bl w:val="nil"/>
            </w:tcBorders>
            <w:vAlign w:val="center"/>
          </w:tcPr>
          <w:p w14:paraId="37D4B5DA">
            <w:pPr>
              <w:spacing w:line="360" w:lineRule="auto"/>
              <w:jc w:val="center"/>
              <w:rPr>
                <w:rFonts w:ascii="宋体" w:hAnsi="宋体" w:cs="宋体"/>
                <w:color w:val="auto"/>
                <w:sz w:val="24"/>
                <w:szCs w:val="24"/>
                <w:highlight w:val="none"/>
              </w:rPr>
            </w:pPr>
          </w:p>
        </w:tc>
        <w:tc>
          <w:tcPr>
            <w:tcW w:w="1285" w:type="dxa"/>
            <w:tcBorders>
              <w:tl2br w:val="nil"/>
              <w:tr2bl w:val="nil"/>
            </w:tcBorders>
            <w:tcMar>
              <w:top w:w="0" w:type="dxa"/>
              <w:left w:w="108" w:type="dxa"/>
              <w:bottom w:w="0" w:type="dxa"/>
              <w:right w:w="108" w:type="dxa"/>
            </w:tcMar>
            <w:vAlign w:val="center"/>
          </w:tcPr>
          <w:p w14:paraId="116E502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供应商应授权合法的人员参加本项目磋商会议全过程</w:t>
            </w:r>
          </w:p>
        </w:tc>
        <w:tc>
          <w:tcPr>
            <w:tcW w:w="4335" w:type="dxa"/>
            <w:tcBorders>
              <w:tl2br w:val="nil"/>
              <w:tr2bl w:val="nil"/>
            </w:tcBorders>
            <w:tcMar>
              <w:top w:w="0" w:type="dxa"/>
              <w:left w:w="108" w:type="dxa"/>
              <w:bottom w:w="0" w:type="dxa"/>
              <w:right w:w="108" w:type="dxa"/>
            </w:tcMar>
            <w:vAlign w:val="center"/>
          </w:tcPr>
          <w:p w14:paraId="6FE2372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供应商应在响应文件中附符合本条要求的证明材料，格式及内容详见本项目磋商文件“第六章 响应文件格式”。</w:t>
            </w:r>
          </w:p>
          <w:p w14:paraId="33C7F779">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14:paraId="6F73683C">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（1）法定代表人参加磋商会议的，应出具法定代表人证明书以及法定代表人合法有效的身份证，且应与营业执照上信息一致。</w:t>
            </w:r>
          </w:p>
          <w:p w14:paraId="3C536E76">
            <w:pPr>
              <w:spacing w:line="360" w:lineRule="auto"/>
              <w:jc w:val="left"/>
              <w:rPr>
                <w:rFonts w:ascii="宋体" w:hAnsi="宋体" w:cs="宋体"/>
                <w:color w:val="auto"/>
                <w:sz w:val="24"/>
                <w:szCs w:val="24"/>
                <w:highlight w:val="none"/>
              </w:rPr>
            </w:pPr>
            <w:r>
              <w:rPr>
                <w:rFonts w:hint="eastAsia" w:ascii="宋体" w:hAnsi="宋体" w:eastAsia="宋体" w:cs="宋体"/>
                <w:b/>
                <w:bCs/>
                <w:color w:val="auto"/>
                <w:sz w:val="24"/>
                <w:szCs w:val="24"/>
                <w:highlight w:val="none"/>
              </w:rPr>
              <w:t>（2）法定代表人授权合法授权代表参加磋商会议的，应出具法定代表人证明书、法定代表人授权书及授权代表合法有效的身份证,同时提供截至响应文件递交截止时间前6个月内任意1个月的社保缴纳证明材料。</w:t>
            </w:r>
          </w:p>
        </w:tc>
      </w:tr>
      <w:tr w14:paraId="675E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tcBorders>
              <w:tl2br w:val="nil"/>
              <w:tr2bl w:val="nil"/>
            </w:tcBorders>
            <w:tcMar>
              <w:top w:w="0" w:type="dxa"/>
              <w:left w:w="108" w:type="dxa"/>
              <w:bottom w:w="0" w:type="dxa"/>
              <w:right w:w="108" w:type="dxa"/>
            </w:tcMar>
            <w:vAlign w:val="center"/>
          </w:tcPr>
          <w:p w14:paraId="68804315">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2487" w:type="dxa"/>
            <w:gridSpan w:val="2"/>
            <w:tcBorders>
              <w:tl2br w:val="nil"/>
              <w:tr2bl w:val="nil"/>
            </w:tcBorders>
            <w:tcMar>
              <w:top w:w="0" w:type="dxa"/>
              <w:left w:w="108" w:type="dxa"/>
              <w:bottom w:w="0" w:type="dxa"/>
              <w:right w:w="108" w:type="dxa"/>
            </w:tcMar>
            <w:vAlign w:val="center"/>
          </w:tcPr>
          <w:p w14:paraId="7C96DBD9">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评审因素</w:t>
            </w:r>
          </w:p>
        </w:tc>
        <w:tc>
          <w:tcPr>
            <w:tcW w:w="4335" w:type="dxa"/>
            <w:tcBorders>
              <w:tl2br w:val="nil"/>
              <w:tr2bl w:val="nil"/>
            </w:tcBorders>
            <w:tcMar>
              <w:top w:w="0" w:type="dxa"/>
              <w:left w:w="108" w:type="dxa"/>
              <w:bottom w:w="0" w:type="dxa"/>
              <w:right w:w="108" w:type="dxa"/>
            </w:tcMar>
            <w:vAlign w:val="center"/>
          </w:tcPr>
          <w:p w14:paraId="7C5FE325">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评审标准</w:t>
            </w:r>
          </w:p>
        </w:tc>
      </w:tr>
      <w:tr w14:paraId="224E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restart"/>
            <w:tcBorders>
              <w:tl2br w:val="nil"/>
              <w:tr2bl w:val="nil"/>
            </w:tcBorders>
            <w:tcMar>
              <w:top w:w="0" w:type="dxa"/>
              <w:left w:w="108" w:type="dxa"/>
              <w:bottom w:w="0" w:type="dxa"/>
              <w:right w:w="108" w:type="dxa"/>
            </w:tcMar>
            <w:vAlign w:val="center"/>
          </w:tcPr>
          <w:p w14:paraId="2FB687F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2.3.1</w:t>
            </w:r>
          </w:p>
        </w:tc>
        <w:tc>
          <w:tcPr>
            <w:tcW w:w="2487" w:type="dxa"/>
            <w:gridSpan w:val="2"/>
            <w:vMerge w:val="restart"/>
            <w:tcBorders>
              <w:tl2br w:val="nil"/>
              <w:tr2bl w:val="nil"/>
            </w:tcBorders>
            <w:tcMar>
              <w:top w:w="0" w:type="dxa"/>
              <w:left w:w="108" w:type="dxa"/>
              <w:bottom w:w="0" w:type="dxa"/>
              <w:right w:w="108" w:type="dxa"/>
            </w:tcMar>
            <w:vAlign w:val="center"/>
          </w:tcPr>
          <w:p w14:paraId="0FE1522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分值构成</w:t>
            </w:r>
          </w:p>
          <w:p w14:paraId="026A8C3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（总分100分）</w:t>
            </w:r>
          </w:p>
        </w:tc>
        <w:tc>
          <w:tcPr>
            <w:tcW w:w="4335" w:type="dxa"/>
            <w:tcBorders>
              <w:tl2br w:val="nil"/>
              <w:tr2bl w:val="nil"/>
            </w:tcBorders>
            <w:tcMar>
              <w:top w:w="0" w:type="dxa"/>
              <w:left w:w="108" w:type="dxa"/>
              <w:bottom w:w="0" w:type="dxa"/>
              <w:right w:w="108" w:type="dxa"/>
            </w:tcMar>
            <w:vAlign w:val="center"/>
          </w:tcPr>
          <w:p w14:paraId="452B02F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资格部分、形式及响应性性评审</w:t>
            </w:r>
          </w:p>
        </w:tc>
      </w:tr>
      <w:tr w14:paraId="0C1E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continue"/>
            <w:tcBorders>
              <w:tl2br w:val="nil"/>
              <w:tr2bl w:val="nil"/>
            </w:tcBorders>
            <w:vAlign w:val="center"/>
          </w:tcPr>
          <w:p w14:paraId="4DEEBC29">
            <w:pPr>
              <w:spacing w:line="360" w:lineRule="auto"/>
              <w:jc w:val="center"/>
              <w:rPr>
                <w:rFonts w:ascii="宋体" w:hAnsi="宋体" w:cs="宋体"/>
                <w:color w:val="auto"/>
                <w:sz w:val="24"/>
                <w:szCs w:val="24"/>
                <w:highlight w:val="none"/>
              </w:rPr>
            </w:pPr>
          </w:p>
        </w:tc>
        <w:tc>
          <w:tcPr>
            <w:tcW w:w="2487" w:type="dxa"/>
            <w:gridSpan w:val="2"/>
            <w:vMerge w:val="continue"/>
            <w:tcBorders>
              <w:tl2br w:val="nil"/>
              <w:tr2bl w:val="nil"/>
            </w:tcBorders>
            <w:vAlign w:val="center"/>
          </w:tcPr>
          <w:p w14:paraId="261554FA">
            <w:pPr>
              <w:spacing w:line="360" w:lineRule="auto"/>
              <w:jc w:val="center"/>
              <w:rPr>
                <w:rFonts w:ascii="宋体" w:hAnsi="宋体" w:cs="宋体"/>
                <w:color w:val="auto"/>
                <w:sz w:val="24"/>
                <w:szCs w:val="24"/>
                <w:highlight w:val="none"/>
              </w:rPr>
            </w:pPr>
          </w:p>
        </w:tc>
        <w:tc>
          <w:tcPr>
            <w:tcW w:w="4335" w:type="dxa"/>
            <w:tcBorders>
              <w:tl2br w:val="nil"/>
              <w:tr2bl w:val="nil"/>
            </w:tcBorders>
            <w:tcMar>
              <w:top w:w="0" w:type="dxa"/>
              <w:left w:w="108" w:type="dxa"/>
              <w:bottom w:w="0" w:type="dxa"/>
              <w:right w:w="108" w:type="dxa"/>
            </w:tcMar>
            <w:vAlign w:val="center"/>
          </w:tcPr>
          <w:p w14:paraId="1F973BC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技术部分：70分</w:t>
            </w:r>
          </w:p>
        </w:tc>
      </w:tr>
      <w:tr w14:paraId="518BE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continue"/>
            <w:tcBorders>
              <w:tl2br w:val="nil"/>
              <w:tr2bl w:val="nil"/>
            </w:tcBorders>
            <w:vAlign w:val="center"/>
          </w:tcPr>
          <w:p w14:paraId="277A11F3">
            <w:pPr>
              <w:spacing w:line="360" w:lineRule="auto"/>
              <w:jc w:val="center"/>
              <w:rPr>
                <w:rFonts w:ascii="宋体" w:hAnsi="宋体" w:cs="宋体"/>
                <w:color w:val="auto"/>
                <w:sz w:val="24"/>
                <w:szCs w:val="24"/>
                <w:highlight w:val="none"/>
              </w:rPr>
            </w:pPr>
          </w:p>
        </w:tc>
        <w:tc>
          <w:tcPr>
            <w:tcW w:w="2487" w:type="dxa"/>
            <w:gridSpan w:val="2"/>
            <w:vMerge w:val="continue"/>
            <w:tcBorders>
              <w:tl2br w:val="nil"/>
              <w:tr2bl w:val="nil"/>
            </w:tcBorders>
            <w:vAlign w:val="center"/>
          </w:tcPr>
          <w:p w14:paraId="24DC6DAD">
            <w:pPr>
              <w:spacing w:line="360" w:lineRule="auto"/>
              <w:jc w:val="center"/>
              <w:rPr>
                <w:rFonts w:ascii="宋体" w:hAnsi="宋体" w:cs="宋体"/>
                <w:color w:val="auto"/>
                <w:sz w:val="24"/>
                <w:szCs w:val="24"/>
                <w:highlight w:val="none"/>
              </w:rPr>
            </w:pPr>
          </w:p>
        </w:tc>
        <w:tc>
          <w:tcPr>
            <w:tcW w:w="4335" w:type="dxa"/>
            <w:tcBorders>
              <w:tl2br w:val="nil"/>
              <w:tr2bl w:val="nil"/>
            </w:tcBorders>
            <w:tcMar>
              <w:top w:w="0" w:type="dxa"/>
              <w:left w:w="108" w:type="dxa"/>
              <w:bottom w:w="0" w:type="dxa"/>
              <w:right w:w="108" w:type="dxa"/>
            </w:tcMar>
            <w:vAlign w:val="center"/>
          </w:tcPr>
          <w:p w14:paraId="5ED2EAB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商务部分：30分</w:t>
            </w:r>
          </w:p>
        </w:tc>
      </w:tr>
      <w:tr w14:paraId="0ED3F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tcBorders>
              <w:tl2br w:val="nil"/>
              <w:tr2bl w:val="nil"/>
            </w:tcBorders>
            <w:tcMar>
              <w:top w:w="0" w:type="dxa"/>
              <w:left w:w="108" w:type="dxa"/>
              <w:bottom w:w="0" w:type="dxa"/>
              <w:right w:w="108" w:type="dxa"/>
            </w:tcMar>
            <w:vAlign w:val="center"/>
          </w:tcPr>
          <w:p w14:paraId="69FC74F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2.3.2</w:t>
            </w:r>
          </w:p>
        </w:tc>
        <w:tc>
          <w:tcPr>
            <w:tcW w:w="2487" w:type="dxa"/>
            <w:gridSpan w:val="2"/>
            <w:tcBorders>
              <w:tl2br w:val="nil"/>
              <w:tr2bl w:val="nil"/>
            </w:tcBorders>
            <w:tcMar>
              <w:top w:w="0" w:type="dxa"/>
              <w:left w:w="108" w:type="dxa"/>
              <w:bottom w:w="0" w:type="dxa"/>
              <w:right w:w="108" w:type="dxa"/>
            </w:tcMar>
            <w:vAlign w:val="center"/>
          </w:tcPr>
          <w:p w14:paraId="2B90D9C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磋商报价</w:t>
            </w:r>
          </w:p>
          <w:p w14:paraId="3062E57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评审标准</w:t>
            </w:r>
          </w:p>
          <w:p w14:paraId="6639FD9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（30分）</w:t>
            </w:r>
          </w:p>
        </w:tc>
        <w:tc>
          <w:tcPr>
            <w:tcW w:w="4335" w:type="dxa"/>
            <w:tcBorders>
              <w:tl2br w:val="nil"/>
              <w:tr2bl w:val="nil"/>
            </w:tcBorders>
            <w:tcMar>
              <w:top w:w="0" w:type="dxa"/>
              <w:left w:w="108" w:type="dxa"/>
              <w:bottom w:w="0" w:type="dxa"/>
              <w:right w:w="108" w:type="dxa"/>
            </w:tcMar>
            <w:vAlign w:val="center"/>
          </w:tcPr>
          <w:p w14:paraId="7242437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经资格审查、形式审查、响应性审查合格的磋商响应文件，其磋商报价为有效报价。</w:t>
            </w:r>
          </w:p>
          <w:p w14:paraId="4A60C0D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评审基准价：即满足磋商文件要求且最后报价最低的响应报价为评审基准价。</w:t>
            </w:r>
          </w:p>
          <w:p w14:paraId="2C01C05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其他供应商的价格分统一按照下列公式计算。磋商报价得分=(评审基准价／最后报价)×30</w:t>
            </w:r>
          </w:p>
        </w:tc>
      </w:tr>
      <w:tr w14:paraId="4E32B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restart"/>
            <w:tcBorders>
              <w:tl2br w:val="nil"/>
              <w:tr2bl w:val="nil"/>
            </w:tcBorders>
            <w:tcMar>
              <w:top w:w="0" w:type="dxa"/>
              <w:left w:w="108" w:type="dxa"/>
              <w:bottom w:w="0" w:type="dxa"/>
              <w:right w:w="108" w:type="dxa"/>
            </w:tcMar>
            <w:vAlign w:val="center"/>
          </w:tcPr>
          <w:p w14:paraId="384718E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2.3.3</w:t>
            </w:r>
          </w:p>
        </w:tc>
        <w:tc>
          <w:tcPr>
            <w:tcW w:w="2487" w:type="dxa"/>
            <w:gridSpan w:val="2"/>
            <w:tcBorders>
              <w:tl2br w:val="nil"/>
              <w:tr2bl w:val="nil"/>
            </w:tcBorders>
            <w:tcMar>
              <w:top w:w="0" w:type="dxa"/>
              <w:left w:w="108" w:type="dxa"/>
              <w:bottom w:w="0" w:type="dxa"/>
              <w:right w:w="108" w:type="dxa"/>
            </w:tcMar>
            <w:vAlign w:val="center"/>
          </w:tcPr>
          <w:p w14:paraId="2F13B30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企业业绩</w:t>
            </w:r>
          </w:p>
          <w:p w14:paraId="0ABC1B4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（10分）</w:t>
            </w:r>
          </w:p>
        </w:tc>
        <w:tc>
          <w:tcPr>
            <w:tcW w:w="4335" w:type="dxa"/>
            <w:tcBorders>
              <w:tl2br w:val="nil"/>
              <w:tr2bl w:val="nil"/>
            </w:tcBorders>
            <w:tcMar>
              <w:top w:w="0" w:type="dxa"/>
              <w:left w:w="108" w:type="dxa"/>
              <w:bottom w:w="0" w:type="dxa"/>
              <w:right w:w="108" w:type="dxa"/>
            </w:tcMar>
            <w:vAlign w:val="center"/>
          </w:tcPr>
          <w:p w14:paraId="372DA9CF">
            <w:pPr>
              <w:spacing w:line="360" w:lineRule="auto"/>
              <w:jc w:val="left"/>
              <w:rPr>
                <w:rFonts w:ascii="宋体" w:hAnsi="宋体" w:cs="宋体"/>
                <w:color w:val="auto"/>
                <w:sz w:val="24"/>
                <w:szCs w:val="24"/>
                <w:highlight w:val="none"/>
                <w:u w:val="none" w:color="auto"/>
              </w:rPr>
            </w:pPr>
            <w:r>
              <w:rPr>
                <w:rFonts w:hint="eastAsia" w:ascii="宋体" w:hAnsi="宋体" w:cs="宋体"/>
                <w:color w:val="auto"/>
                <w:sz w:val="24"/>
                <w:szCs w:val="24"/>
                <w:highlight w:val="none"/>
                <w:u w:val="none" w:color="auto"/>
              </w:rPr>
              <w:t>供应商提供自2023年3月1日至今的类似业绩证明材料，每提供1项得5分，最多得10分。</w:t>
            </w:r>
          </w:p>
          <w:p w14:paraId="5DA7BB76">
            <w:pPr>
              <w:spacing w:line="360" w:lineRule="auto"/>
              <w:jc w:val="left"/>
              <w:rPr>
                <w:rFonts w:ascii="宋体" w:hAnsi="宋体" w:cs="宋体"/>
                <w:color w:val="auto"/>
                <w:sz w:val="24"/>
                <w:szCs w:val="24"/>
                <w:highlight w:val="none"/>
              </w:rPr>
            </w:pPr>
            <w:r>
              <w:rPr>
                <w:rFonts w:hint="eastAsia" w:ascii="宋体" w:hAnsi="宋体" w:cs="宋体"/>
                <w:b/>
                <w:bCs/>
                <w:color w:val="auto"/>
                <w:sz w:val="24"/>
                <w:szCs w:val="24"/>
                <w:highlight w:val="none"/>
              </w:rPr>
              <w:t>评审依据：类似业绩证明材料指防水工程的业绩证明材料，或其他工程施工中包含防水工程施工内容的业绩证明材料，以合同为准。业绩时间以合同签订时间所体现的时间为准。</w:t>
            </w:r>
          </w:p>
        </w:tc>
      </w:tr>
      <w:tr w14:paraId="26F56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continue"/>
            <w:tcBorders>
              <w:tl2br w:val="nil"/>
              <w:tr2bl w:val="nil"/>
            </w:tcBorders>
            <w:vAlign w:val="center"/>
          </w:tcPr>
          <w:p w14:paraId="2787FD31">
            <w:pPr>
              <w:spacing w:line="360" w:lineRule="auto"/>
              <w:jc w:val="center"/>
              <w:rPr>
                <w:rFonts w:ascii="宋体" w:hAnsi="宋体" w:cs="宋体"/>
                <w:color w:val="auto"/>
                <w:sz w:val="24"/>
                <w:szCs w:val="24"/>
                <w:highlight w:val="none"/>
              </w:rPr>
            </w:pPr>
          </w:p>
        </w:tc>
        <w:tc>
          <w:tcPr>
            <w:tcW w:w="2487" w:type="dxa"/>
            <w:gridSpan w:val="2"/>
            <w:vMerge w:val="restart"/>
            <w:tcBorders>
              <w:tl2br w:val="nil"/>
              <w:tr2bl w:val="nil"/>
            </w:tcBorders>
            <w:tcMar>
              <w:top w:w="0" w:type="dxa"/>
              <w:left w:w="108" w:type="dxa"/>
              <w:bottom w:w="0" w:type="dxa"/>
              <w:right w:w="108" w:type="dxa"/>
            </w:tcMar>
            <w:vAlign w:val="center"/>
          </w:tcPr>
          <w:p w14:paraId="2F46D8E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拟派项目经理</w:t>
            </w:r>
          </w:p>
          <w:p w14:paraId="3881CD3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（6分）</w:t>
            </w:r>
          </w:p>
        </w:tc>
        <w:tc>
          <w:tcPr>
            <w:tcW w:w="4335" w:type="dxa"/>
            <w:tcBorders>
              <w:tl2br w:val="nil"/>
              <w:tr2bl w:val="nil"/>
            </w:tcBorders>
            <w:tcMar>
              <w:top w:w="0" w:type="dxa"/>
              <w:left w:w="108" w:type="dxa"/>
              <w:bottom w:w="0" w:type="dxa"/>
              <w:right w:w="108" w:type="dxa"/>
            </w:tcMar>
            <w:vAlign w:val="center"/>
          </w:tcPr>
          <w:p w14:paraId="61DF93A6">
            <w:pPr>
              <w:spacing w:line="360" w:lineRule="auto"/>
              <w:jc w:val="left"/>
              <w:rPr>
                <w:rFonts w:ascii="宋体" w:hAnsi="宋体" w:cs="宋体"/>
                <w:b/>
                <w:bCs/>
                <w:color w:val="auto"/>
                <w:sz w:val="24"/>
                <w:szCs w:val="24"/>
                <w:highlight w:val="none"/>
                <w:u w:val="none" w:color="auto"/>
              </w:rPr>
            </w:pPr>
            <w:r>
              <w:rPr>
                <w:rFonts w:hint="eastAsia" w:ascii="宋体" w:hAnsi="宋体" w:cs="宋体"/>
                <w:b/>
                <w:bCs/>
                <w:color w:val="auto"/>
                <w:sz w:val="24"/>
                <w:szCs w:val="24"/>
                <w:highlight w:val="none"/>
                <w:u w:val="none" w:color="auto"/>
              </w:rPr>
              <w:t>1.拟派项目经理业绩（满分3分）</w:t>
            </w:r>
          </w:p>
          <w:p w14:paraId="2F18C835">
            <w:pPr>
              <w:spacing w:line="360" w:lineRule="auto"/>
              <w:jc w:val="left"/>
              <w:rPr>
                <w:rFonts w:ascii="宋体" w:hAnsi="宋体" w:cs="宋体"/>
                <w:color w:val="auto"/>
                <w:sz w:val="24"/>
                <w:szCs w:val="24"/>
                <w:highlight w:val="none"/>
                <w:u w:val="none" w:color="auto"/>
              </w:rPr>
            </w:pPr>
            <w:r>
              <w:rPr>
                <w:rFonts w:hint="eastAsia" w:ascii="宋体" w:hAnsi="宋体" w:cs="宋体"/>
                <w:color w:val="auto"/>
                <w:sz w:val="24"/>
                <w:szCs w:val="24"/>
                <w:highlight w:val="none"/>
                <w:u w:val="none" w:color="auto"/>
              </w:rPr>
              <w:t>供应商提供拟派项目经理自2023年3月1日以来至今已完成的类似业绩证明材料的（在该项目中担任项目经理一职），提供一个得3分。</w:t>
            </w:r>
          </w:p>
          <w:p w14:paraId="61107D5F">
            <w:pPr>
              <w:spacing w:line="360" w:lineRule="auto"/>
              <w:jc w:val="left"/>
              <w:rPr>
                <w:rFonts w:ascii="宋体" w:hAnsi="宋体" w:cs="宋体"/>
                <w:color w:val="auto"/>
                <w:sz w:val="24"/>
                <w:szCs w:val="24"/>
                <w:highlight w:val="none"/>
              </w:rPr>
            </w:pPr>
            <w:r>
              <w:rPr>
                <w:rFonts w:hint="eastAsia" w:ascii="宋体" w:hAnsi="宋体" w:cs="宋体"/>
                <w:b/>
                <w:bCs/>
                <w:color w:val="auto"/>
                <w:sz w:val="24"/>
                <w:szCs w:val="24"/>
                <w:highlight w:val="none"/>
              </w:rPr>
              <w:t>备注：类似业绩证明材料指防水工程的业绩证明材料，或其他工程施工中包含防水工程施工内容的业绩证明材料，以合同及竣工验收资料为准。业绩时间以合同所体现的时间为准。缺少资料或未按照上述要求提供的，均按照0分计入。所提供合同或竣工验收资料复印件或扫描件中必须体现拟派项目经理在该项目中担任项目经理一职，否则不予赋分。企业业绩和拟派项目经理业绩可重复计分。</w:t>
            </w:r>
          </w:p>
        </w:tc>
      </w:tr>
      <w:tr w14:paraId="7B950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6" w:hRule="atLeast"/>
        </w:trPr>
        <w:tc>
          <w:tcPr>
            <w:tcW w:w="1481" w:type="dxa"/>
            <w:gridSpan w:val="2"/>
            <w:vMerge w:val="continue"/>
            <w:tcBorders>
              <w:tl2br w:val="nil"/>
              <w:tr2bl w:val="nil"/>
            </w:tcBorders>
            <w:vAlign w:val="center"/>
          </w:tcPr>
          <w:p w14:paraId="491055C5">
            <w:pPr>
              <w:spacing w:line="360" w:lineRule="auto"/>
              <w:jc w:val="center"/>
              <w:rPr>
                <w:rFonts w:ascii="宋体" w:hAnsi="宋体" w:cs="宋体"/>
                <w:color w:val="auto"/>
                <w:sz w:val="24"/>
                <w:szCs w:val="24"/>
                <w:highlight w:val="none"/>
              </w:rPr>
            </w:pPr>
          </w:p>
        </w:tc>
        <w:tc>
          <w:tcPr>
            <w:tcW w:w="2487" w:type="dxa"/>
            <w:gridSpan w:val="2"/>
            <w:vMerge w:val="continue"/>
            <w:tcBorders>
              <w:tl2br w:val="nil"/>
              <w:tr2bl w:val="nil"/>
            </w:tcBorders>
            <w:vAlign w:val="center"/>
          </w:tcPr>
          <w:p w14:paraId="12D20C6F">
            <w:pPr>
              <w:spacing w:line="360" w:lineRule="auto"/>
              <w:jc w:val="center"/>
              <w:rPr>
                <w:rFonts w:ascii="宋体" w:hAnsi="宋体" w:cs="宋体"/>
                <w:color w:val="auto"/>
                <w:sz w:val="24"/>
                <w:szCs w:val="24"/>
                <w:highlight w:val="none"/>
              </w:rPr>
            </w:pPr>
          </w:p>
        </w:tc>
        <w:tc>
          <w:tcPr>
            <w:tcW w:w="4335" w:type="dxa"/>
            <w:tcBorders>
              <w:tl2br w:val="nil"/>
              <w:tr2bl w:val="nil"/>
            </w:tcBorders>
            <w:tcMar>
              <w:top w:w="0" w:type="dxa"/>
              <w:left w:w="108" w:type="dxa"/>
              <w:bottom w:w="0" w:type="dxa"/>
              <w:right w:w="108" w:type="dxa"/>
            </w:tcMar>
            <w:vAlign w:val="center"/>
          </w:tcPr>
          <w:p w14:paraId="59C845FE">
            <w:pPr>
              <w:spacing w:line="360" w:lineRule="auto"/>
              <w:jc w:val="left"/>
              <w:rPr>
                <w:rFonts w:ascii="宋体" w:hAnsi="宋体" w:cs="宋体"/>
                <w:b/>
                <w:bCs/>
                <w:i w:val="0"/>
                <w:iCs w:val="0"/>
                <w:color w:val="auto"/>
                <w:sz w:val="24"/>
                <w:szCs w:val="24"/>
                <w:highlight w:val="none"/>
                <w:u w:val="none" w:color="auto"/>
              </w:rPr>
            </w:pPr>
            <w:r>
              <w:rPr>
                <w:rFonts w:hint="eastAsia" w:ascii="宋体" w:hAnsi="宋体" w:cs="宋体"/>
                <w:b/>
                <w:bCs/>
                <w:i w:val="0"/>
                <w:iCs w:val="0"/>
                <w:color w:val="auto"/>
                <w:sz w:val="24"/>
                <w:szCs w:val="24"/>
                <w:highlight w:val="none"/>
                <w:u w:val="none" w:color="auto"/>
              </w:rPr>
              <w:t>2.拟派项目经理学历（满分3分）</w:t>
            </w:r>
          </w:p>
          <w:p w14:paraId="4662A7E2">
            <w:pPr>
              <w:spacing w:line="360" w:lineRule="auto"/>
              <w:jc w:val="left"/>
              <w:rPr>
                <w:rFonts w:ascii="宋体" w:hAnsi="宋体" w:cs="宋体"/>
                <w:i w:val="0"/>
                <w:iCs w:val="0"/>
                <w:color w:val="auto"/>
                <w:sz w:val="24"/>
                <w:szCs w:val="24"/>
                <w:highlight w:val="none"/>
                <w:u w:val="none" w:color="auto"/>
              </w:rPr>
            </w:pPr>
            <w:r>
              <w:rPr>
                <w:rFonts w:hint="eastAsia" w:ascii="宋体" w:hAnsi="宋体" w:cs="宋体"/>
                <w:i w:val="0"/>
                <w:iCs w:val="0"/>
                <w:color w:val="auto"/>
                <w:sz w:val="24"/>
                <w:szCs w:val="24"/>
                <w:highlight w:val="none"/>
                <w:u w:val="none" w:color="auto"/>
              </w:rPr>
              <w:t>具有专科及以上学历的得3分，其它情况不得分。</w:t>
            </w:r>
          </w:p>
          <w:p w14:paraId="750AE88B">
            <w:pPr>
              <w:spacing w:line="360" w:lineRule="auto"/>
              <w:jc w:val="left"/>
              <w:rPr>
                <w:rFonts w:ascii="宋体" w:hAnsi="宋体" w:cs="宋体"/>
                <w:color w:val="auto"/>
                <w:sz w:val="24"/>
                <w:szCs w:val="24"/>
                <w:highlight w:val="none"/>
              </w:rPr>
            </w:pPr>
            <w:r>
              <w:rPr>
                <w:rFonts w:hint="eastAsia" w:ascii="宋体" w:hAnsi="宋体" w:cs="宋体"/>
                <w:b/>
                <w:bCs/>
                <w:color w:val="auto"/>
                <w:sz w:val="24"/>
                <w:szCs w:val="24"/>
                <w:highlight w:val="none"/>
              </w:rPr>
              <w:t>评审依据：以供应商提供的加盖公章的拟派项目经理学历证书的扫描件或复印件为准，提供多个学历或学位证书的，以最高学历为准，未提供的不得分。</w:t>
            </w:r>
          </w:p>
        </w:tc>
      </w:tr>
      <w:tr w14:paraId="73595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continue"/>
            <w:tcBorders>
              <w:tl2br w:val="nil"/>
              <w:tr2bl w:val="nil"/>
            </w:tcBorders>
            <w:vAlign w:val="center"/>
          </w:tcPr>
          <w:p w14:paraId="3D905523">
            <w:pPr>
              <w:spacing w:line="360" w:lineRule="auto"/>
              <w:jc w:val="center"/>
              <w:rPr>
                <w:rFonts w:ascii="宋体" w:hAnsi="宋体" w:cs="宋体"/>
                <w:color w:val="auto"/>
                <w:sz w:val="24"/>
                <w:szCs w:val="24"/>
                <w:highlight w:val="none"/>
              </w:rPr>
            </w:pPr>
          </w:p>
        </w:tc>
        <w:tc>
          <w:tcPr>
            <w:tcW w:w="2487" w:type="dxa"/>
            <w:gridSpan w:val="2"/>
            <w:tcBorders>
              <w:tl2br w:val="nil"/>
              <w:tr2bl w:val="nil"/>
            </w:tcBorders>
            <w:tcMar>
              <w:top w:w="0" w:type="dxa"/>
              <w:left w:w="108" w:type="dxa"/>
              <w:bottom w:w="0" w:type="dxa"/>
              <w:right w:w="108" w:type="dxa"/>
            </w:tcMar>
            <w:vAlign w:val="center"/>
          </w:tcPr>
          <w:p w14:paraId="2BADBC3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拟派项目部人员构成（4分）</w:t>
            </w:r>
          </w:p>
        </w:tc>
        <w:tc>
          <w:tcPr>
            <w:tcW w:w="4335" w:type="dxa"/>
            <w:tcBorders>
              <w:tl2br w:val="nil"/>
              <w:tr2bl w:val="nil"/>
            </w:tcBorders>
            <w:tcMar>
              <w:top w:w="0" w:type="dxa"/>
              <w:left w:w="108" w:type="dxa"/>
              <w:bottom w:w="0" w:type="dxa"/>
              <w:right w:w="108" w:type="dxa"/>
            </w:tcMar>
            <w:vAlign w:val="center"/>
          </w:tcPr>
          <w:p w14:paraId="2D388EC8">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1.拟派项目部人员学历（满分4分）</w:t>
            </w:r>
          </w:p>
          <w:p w14:paraId="5C248095">
            <w:pPr>
              <w:spacing w:line="360" w:lineRule="auto"/>
              <w:jc w:val="left"/>
              <w:rPr>
                <w:rFonts w:ascii="宋体" w:hAnsi="宋体" w:cs="宋体"/>
                <w:color w:val="auto"/>
                <w:sz w:val="24"/>
                <w:szCs w:val="24"/>
                <w:highlight w:val="none"/>
                <w:u w:val="none" w:color="auto"/>
              </w:rPr>
            </w:pPr>
            <w:r>
              <w:rPr>
                <w:rFonts w:hint="eastAsia" w:ascii="宋体" w:hAnsi="宋体" w:cs="宋体"/>
                <w:color w:val="auto"/>
                <w:sz w:val="24"/>
                <w:szCs w:val="24"/>
                <w:highlight w:val="none"/>
                <w:u w:val="none" w:color="auto"/>
              </w:rPr>
              <w:t>供应商所提供的拟派项目部人员（除拟派项目经理、拟派技术负责人）中，每有一人具备专科及以上学历的得2分，满分4分。</w:t>
            </w:r>
          </w:p>
          <w:p w14:paraId="03B835AF">
            <w:pPr>
              <w:spacing w:line="360" w:lineRule="auto"/>
              <w:jc w:val="left"/>
              <w:rPr>
                <w:rFonts w:ascii="宋体" w:hAnsi="宋体" w:cs="宋体"/>
                <w:color w:val="auto"/>
                <w:sz w:val="24"/>
                <w:szCs w:val="24"/>
                <w:highlight w:val="none"/>
              </w:rPr>
            </w:pPr>
            <w:r>
              <w:rPr>
                <w:rFonts w:hint="eastAsia" w:ascii="宋体" w:hAnsi="宋体" w:cs="宋体"/>
                <w:b/>
                <w:bCs/>
                <w:color w:val="auto"/>
                <w:sz w:val="24"/>
                <w:szCs w:val="24"/>
                <w:highlight w:val="none"/>
              </w:rPr>
              <w:t>评审依据：以供应商提供的拟派项目部人员相应的最高学历证书的复印件或扫描件为准，未提供的不得分。</w:t>
            </w:r>
          </w:p>
        </w:tc>
      </w:tr>
      <w:tr w14:paraId="03908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continue"/>
            <w:tcBorders>
              <w:tl2br w:val="nil"/>
              <w:tr2bl w:val="nil"/>
            </w:tcBorders>
            <w:vAlign w:val="center"/>
          </w:tcPr>
          <w:p w14:paraId="169E24A6">
            <w:pPr>
              <w:spacing w:line="360" w:lineRule="auto"/>
              <w:jc w:val="center"/>
              <w:rPr>
                <w:rFonts w:ascii="宋体" w:hAnsi="宋体" w:cs="宋体"/>
                <w:color w:val="auto"/>
                <w:sz w:val="24"/>
                <w:szCs w:val="24"/>
                <w:highlight w:val="none"/>
              </w:rPr>
            </w:pPr>
          </w:p>
        </w:tc>
        <w:tc>
          <w:tcPr>
            <w:tcW w:w="2487" w:type="dxa"/>
            <w:gridSpan w:val="2"/>
            <w:vMerge w:val="restart"/>
            <w:tcBorders>
              <w:tl2br w:val="nil"/>
              <w:tr2bl w:val="nil"/>
            </w:tcBorders>
            <w:tcMar>
              <w:top w:w="0" w:type="dxa"/>
              <w:left w:w="108" w:type="dxa"/>
              <w:bottom w:w="0" w:type="dxa"/>
              <w:right w:w="108" w:type="dxa"/>
            </w:tcMar>
            <w:vAlign w:val="center"/>
          </w:tcPr>
          <w:p w14:paraId="03C4EB0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施工组织设计</w:t>
            </w:r>
          </w:p>
          <w:p w14:paraId="22DDF17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（45分）</w:t>
            </w:r>
          </w:p>
        </w:tc>
        <w:tc>
          <w:tcPr>
            <w:tcW w:w="4335" w:type="dxa"/>
            <w:tcBorders>
              <w:tl2br w:val="nil"/>
              <w:tr2bl w:val="nil"/>
            </w:tcBorders>
            <w:tcMar>
              <w:top w:w="0" w:type="dxa"/>
              <w:left w:w="108" w:type="dxa"/>
              <w:bottom w:w="0" w:type="dxa"/>
              <w:right w:w="108" w:type="dxa"/>
            </w:tcMar>
            <w:vAlign w:val="center"/>
          </w:tcPr>
          <w:p w14:paraId="67288AFF">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供应商提供的施工总体规划部署及施工方案需包含①项目施工总体思路；②施工实施阶段划分；③关键工序技术把控措施，共3项内容，每项满分3分，总分9分。</w:t>
            </w:r>
          </w:p>
          <w:p w14:paraId="4779C773">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其中，每项以具体内容与本项目及所投产品的针对性、可行性、方案完善性作为采分点；每个采分点按照1分、0.9分、</w:t>
            </w:r>
            <w:r>
              <w:rPr>
                <w:rFonts w:hint="eastAsia" w:ascii="宋体" w:hAnsi="宋体" w:cs="宋体"/>
                <w:color w:val="auto"/>
                <w:sz w:val="24"/>
                <w:szCs w:val="24"/>
                <w:highlight w:val="none"/>
                <w:lang w:val="en-US" w:eastAsia="zh-CN"/>
              </w:rPr>
              <w:t>0.8分、</w:t>
            </w:r>
            <w:r>
              <w:rPr>
                <w:rFonts w:hint="eastAsia" w:ascii="宋体" w:hAnsi="宋体" w:cs="宋体"/>
                <w:color w:val="auto"/>
                <w:sz w:val="24"/>
                <w:szCs w:val="24"/>
                <w:highlight w:val="none"/>
              </w:rPr>
              <w:t>0.5分、0.3分、0.1分、0分作为具体赋分分值，完全符合采分点要求的得1分，存在个别瑕疵但是符合采分点要素的得0.9分，基本符合采分点要求但是存在一定不足的得0.5分，存在明显不符合采分点要求的得0.3分，完全不符合采分点要求的得0.1分，未响应相应内容的得0分。</w:t>
            </w:r>
          </w:p>
        </w:tc>
      </w:tr>
      <w:tr w14:paraId="2BD5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continue"/>
            <w:tcBorders>
              <w:tl2br w:val="nil"/>
              <w:tr2bl w:val="nil"/>
            </w:tcBorders>
            <w:vAlign w:val="center"/>
          </w:tcPr>
          <w:p w14:paraId="3911A662">
            <w:pPr>
              <w:spacing w:line="360" w:lineRule="auto"/>
              <w:jc w:val="center"/>
              <w:rPr>
                <w:rFonts w:ascii="宋体" w:hAnsi="宋体" w:cs="宋体"/>
                <w:color w:val="auto"/>
                <w:sz w:val="24"/>
                <w:szCs w:val="24"/>
                <w:highlight w:val="none"/>
              </w:rPr>
            </w:pPr>
          </w:p>
        </w:tc>
        <w:tc>
          <w:tcPr>
            <w:tcW w:w="2487" w:type="dxa"/>
            <w:gridSpan w:val="2"/>
            <w:vMerge w:val="continue"/>
            <w:tcBorders>
              <w:tl2br w:val="nil"/>
              <w:tr2bl w:val="nil"/>
            </w:tcBorders>
            <w:vAlign w:val="center"/>
          </w:tcPr>
          <w:p w14:paraId="566560C9">
            <w:pPr>
              <w:spacing w:line="360" w:lineRule="auto"/>
              <w:jc w:val="center"/>
              <w:rPr>
                <w:rFonts w:ascii="宋体" w:hAnsi="宋体" w:cs="宋体"/>
                <w:color w:val="auto"/>
                <w:sz w:val="24"/>
                <w:szCs w:val="24"/>
                <w:highlight w:val="none"/>
              </w:rPr>
            </w:pPr>
          </w:p>
        </w:tc>
        <w:tc>
          <w:tcPr>
            <w:tcW w:w="4335" w:type="dxa"/>
            <w:tcBorders>
              <w:tl2br w:val="nil"/>
              <w:tr2bl w:val="nil"/>
            </w:tcBorders>
            <w:tcMar>
              <w:top w:w="0" w:type="dxa"/>
              <w:left w:w="108" w:type="dxa"/>
              <w:bottom w:w="0" w:type="dxa"/>
              <w:right w:w="108" w:type="dxa"/>
            </w:tcMar>
            <w:vAlign w:val="center"/>
          </w:tcPr>
          <w:p w14:paraId="598A9384">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供应商提供的质量管控体系方案需包含①质量目标及管控措施；②全流程质量检验、整改机制；③质量通病防治措施，共3项内容，每项满分3分，总分9分。</w:t>
            </w:r>
          </w:p>
          <w:p w14:paraId="492C144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其中，每项以具体内容与本项目及所投产品的针对性、可行性、方案完善性作为采分点；每个采分点按照1分、0.9分、</w:t>
            </w:r>
            <w:r>
              <w:rPr>
                <w:rFonts w:hint="eastAsia" w:ascii="宋体" w:hAnsi="宋体" w:cs="宋体"/>
                <w:color w:val="auto"/>
                <w:sz w:val="24"/>
                <w:szCs w:val="24"/>
                <w:highlight w:val="none"/>
                <w:lang w:val="en-US" w:eastAsia="zh-CN"/>
              </w:rPr>
              <w:t>0.8分、</w:t>
            </w:r>
            <w:r>
              <w:rPr>
                <w:rFonts w:hint="eastAsia" w:ascii="宋体" w:hAnsi="宋体" w:cs="宋体"/>
                <w:color w:val="auto"/>
                <w:sz w:val="24"/>
                <w:szCs w:val="24"/>
                <w:highlight w:val="none"/>
              </w:rPr>
              <w:t>0.5分、0.3分、0.1分、0分作为具体赋分分值，完全符合采分点要求的得1分，存在个别瑕疵但是符合采分点要素的得0.9分，基本符合采分点要求但是存在一定不足的得0.5分，存在明显不符合采分点要求的得0.3分，完全不符合采分点要求的得0.1分，未响应相应内容的得0分。</w:t>
            </w:r>
          </w:p>
        </w:tc>
      </w:tr>
      <w:tr w14:paraId="424FA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continue"/>
            <w:tcBorders>
              <w:tl2br w:val="nil"/>
              <w:tr2bl w:val="nil"/>
            </w:tcBorders>
            <w:vAlign w:val="center"/>
          </w:tcPr>
          <w:p w14:paraId="2B6EB82A">
            <w:pPr>
              <w:spacing w:line="360" w:lineRule="auto"/>
              <w:jc w:val="center"/>
              <w:rPr>
                <w:rFonts w:ascii="宋体" w:hAnsi="宋体" w:cs="宋体"/>
                <w:color w:val="auto"/>
                <w:sz w:val="24"/>
                <w:szCs w:val="24"/>
                <w:highlight w:val="none"/>
              </w:rPr>
            </w:pPr>
          </w:p>
        </w:tc>
        <w:tc>
          <w:tcPr>
            <w:tcW w:w="2487" w:type="dxa"/>
            <w:gridSpan w:val="2"/>
            <w:vMerge w:val="continue"/>
            <w:tcBorders>
              <w:tl2br w:val="nil"/>
              <w:tr2bl w:val="nil"/>
            </w:tcBorders>
            <w:vAlign w:val="center"/>
          </w:tcPr>
          <w:p w14:paraId="351A4EC6">
            <w:pPr>
              <w:spacing w:line="360" w:lineRule="auto"/>
              <w:jc w:val="center"/>
              <w:rPr>
                <w:rFonts w:ascii="宋体" w:hAnsi="宋体" w:cs="宋体"/>
                <w:color w:val="auto"/>
                <w:sz w:val="24"/>
                <w:szCs w:val="24"/>
                <w:highlight w:val="none"/>
              </w:rPr>
            </w:pPr>
          </w:p>
        </w:tc>
        <w:tc>
          <w:tcPr>
            <w:tcW w:w="4335" w:type="dxa"/>
            <w:tcBorders>
              <w:tl2br w:val="nil"/>
              <w:tr2bl w:val="nil"/>
            </w:tcBorders>
            <w:tcMar>
              <w:top w:w="0" w:type="dxa"/>
              <w:left w:w="108" w:type="dxa"/>
              <w:bottom w:w="0" w:type="dxa"/>
              <w:right w:w="108" w:type="dxa"/>
            </w:tcMar>
            <w:vAlign w:val="center"/>
          </w:tcPr>
          <w:p w14:paraId="7B407D11">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供应商提供的进度管控与应急方案需包含①进度管控节点设置、动态调整；②工期延误风险预判及应对措施；③季节性施工适配措施，共3项内容，每项满分3分，总分9分。</w:t>
            </w:r>
          </w:p>
          <w:p w14:paraId="0987A8D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其中，每项以具体内容与本项目及所投产品的针对性、可行性、方案完善性作为采分点；每个采分点按照1分、0.9分、</w:t>
            </w:r>
            <w:r>
              <w:rPr>
                <w:rFonts w:hint="eastAsia" w:ascii="宋体" w:hAnsi="宋体" w:cs="宋体"/>
                <w:color w:val="auto"/>
                <w:sz w:val="24"/>
                <w:szCs w:val="24"/>
                <w:highlight w:val="none"/>
                <w:lang w:val="en-US" w:eastAsia="zh-CN"/>
              </w:rPr>
              <w:t>0.8分、</w:t>
            </w:r>
            <w:r>
              <w:rPr>
                <w:rFonts w:hint="eastAsia" w:ascii="宋体" w:hAnsi="宋体" w:cs="宋体"/>
                <w:color w:val="auto"/>
                <w:sz w:val="24"/>
                <w:szCs w:val="24"/>
                <w:highlight w:val="none"/>
              </w:rPr>
              <w:t>0.5分、0.3分、0.1分、0分作为具体赋分分值，完全符合采分点要求的得1分，存在个别瑕疵但是符合采分点要素的得0.9分，基本符合采分点要求但是存在一定不足的得0.5分，存在明显不符合采分点要求的得0.3分，完全不符合采分点要求的得0.1分，未响应相应内容的得0分。</w:t>
            </w:r>
          </w:p>
        </w:tc>
      </w:tr>
      <w:tr w14:paraId="56717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continue"/>
            <w:tcBorders>
              <w:tl2br w:val="nil"/>
              <w:tr2bl w:val="nil"/>
            </w:tcBorders>
            <w:vAlign w:val="center"/>
          </w:tcPr>
          <w:p w14:paraId="4B7B1511">
            <w:pPr>
              <w:spacing w:line="360" w:lineRule="auto"/>
              <w:jc w:val="center"/>
              <w:rPr>
                <w:rFonts w:ascii="宋体" w:hAnsi="宋体" w:cs="宋体"/>
                <w:color w:val="auto"/>
                <w:sz w:val="24"/>
                <w:szCs w:val="24"/>
                <w:highlight w:val="none"/>
              </w:rPr>
            </w:pPr>
          </w:p>
        </w:tc>
        <w:tc>
          <w:tcPr>
            <w:tcW w:w="2487" w:type="dxa"/>
            <w:gridSpan w:val="2"/>
            <w:vMerge w:val="continue"/>
            <w:tcBorders>
              <w:tl2br w:val="nil"/>
              <w:tr2bl w:val="nil"/>
            </w:tcBorders>
            <w:vAlign w:val="center"/>
          </w:tcPr>
          <w:p w14:paraId="5DB33AD6">
            <w:pPr>
              <w:spacing w:line="360" w:lineRule="auto"/>
              <w:jc w:val="center"/>
              <w:rPr>
                <w:rFonts w:ascii="宋体" w:hAnsi="宋体" w:cs="宋体"/>
                <w:color w:val="auto"/>
                <w:sz w:val="24"/>
                <w:szCs w:val="24"/>
                <w:highlight w:val="none"/>
              </w:rPr>
            </w:pPr>
          </w:p>
        </w:tc>
        <w:tc>
          <w:tcPr>
            <w:tcW w:w="4335" w:type="dxa"/>
            <w:tcBorders>
              <w:tl2br w:val="nil"/>
              <w:tr2bl w:val="nil"/>
            </w:tcBorders>
            <w:tcMar>
              <w:top w:w="0" w:type="dxa"/>
              <w:left w:w="108" w:type="dxa"/>
              <w:bottom w:w="0" w:type="dxa"/>
              <w:right w:w="108" w:type="dxa"/>
            </w:tcMar>
            <w:vAlign w:val="center"/>
          </w:tcPr>
          <w:p w14:paraId="053C3F1F">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供应商提供的安全文明施工方案需包含①安全生产管理制度、责任分工；②安全风险防控、应急处置方案；③文明施工、环保措施（扬尘、噪音管控等），共3项内容，每项满分3分，总分9分。</w:t>
            </w:r>
          </w:p>
          <w:p w14:paraId="4971DA2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其中，每项以具体内容与本项目及所投产品的针对性、可行性、方案完善性作为采分点；每个采分点按照1分、0.9分、</w:t>
            </w:r>
            <w:r>
              <w:rPr>
                <w:rFonts w:hint="eastAsia" w:ascii="宋体" w:hAnsi="宋体" w:cs="宋体"/>
                <w:color w:val="auto"/>
                <w:sz w:val="24"/>
                <w:szCs w:val="24"/>
                <w:highlight w:val="none"/>
                <w:lang w:val="en-US" w:eastAsia="zh-CN"/>
              </w:rPr>
              <w:t>0.8分、</w:t>
            </w:r>
            <w:r>
              <w:rPr>
                <w:rFonts w:hint="eastAsia" w:ascii="宋体" w:hAnsi="宋体" w:cs="宋体"/>
                <w:color w:val="auto"/>
                <w:sz w:val="24"/>
                <w:szCs w:val="24"/>
                <w:highlight w:val="none"/>
              </w:rPr>
              <w:t>0.5分、0.3分、0.1分、0分作为具体赋分分值，完全符合采分点要求的得1分，存在个别瑕疵但是符合采分点要素的得0.9分，基本符合采分点要求但是存在一定不足的得0.5分，存在明显不符合采分点要求的得0.3分，完全不符合采分点要求的得0.1分，未响应相应内容的得0分。</w:t>
            </w:r>
          </w:p>
        </w:tc>
      </w:tr>
      <w:tr w14:paraId="46727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continue"/>
            <w:tcBorders>
              <w:tl2br w:val="nil"/>
              <w:tr2bl w:val="nil"/>
            </w:tcBorders>
            <w:vAlign w:val="center"/>
          </w:tcPr>
          <w:p w14:paraId="5C58BFFD">
            <w:pPr>
              <w:spacing w:line="360" w:lineRule="auto"/>
              <w:jc w:val="center"/>
              <w:rPr>
                <w:rFonts w:ascii="宋体" w:hAnsi="宋体" w:cs="宋体"/>
                <w:color w:val="auto"/>
                <w:sz w:val="24"/>
                <w:szCs w:val="24"/>
                <w:highlight w:val="none"/>
              </w:rPr>
            </w:pPr>
          </w:p>
        </w:tc>
        <w:tc>
          <w:tcPr>
            <w:tcW w:w="2487" w:type="dxa"/>
            <w:gridSpan w:val="2"/>
            <w:vMerge w:val="continue"/>
            <w:tcBorders>
              <w:tl2br w:val="nil"/>
              <w:tr2bl w:val="nil"/>
            </w:tcBorders>
            <w:vAlign w:val="center"/>
          </w:tcPr>
          <w:p w14:paraId="46792FA1">
            <w:pPr>
              <w:spacing w:line="360" w:lineRule="auto"/>
              <w:jc w:val="center"/>
              <w:rPr>
                <w:rFonts w:ascii="宋体" w:hAnsi="宋体" w:cs="宋体"/>
                <w:color w:val="auto"/>
                <w:sz w:val="24"/>
                <w:szCs w:val="24"/>
                <w:highlight w:val="none"/>
              </w:rPr>
            </w:pPr>
          </w:p>
        </w:tc>
        <w:tc>
          <w:tcPr>
            <w:tcW w:w="4335" w:type="dxa"/>
            <w:tcBorders>
              <w:tl2br w:val="nil"/>
              <w:tr2bl w:val="nil"/>
            </w:tcBorders>
            <w:tcMar>
              <w:top w:w="0" w:type="dxa"/>
              <w:left w:w="108" w:type="dxa"/>
              <w:bottom w:w="0" w:type="dxa"/>
              <w:right w:w="108" w:type="dxa"/>
            </w:tcMar>
            <w:vAlign w:val="center"/>
          </w:tcPr>
          <w:p w14:paraId="7CDAAD45">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供应商提供的资源配置保障方案需包含①施工队伍、管理人员及经验；②施工机械设备、材料供应；③人力、设备调度方案，共3项内容，每项满分3分，总分9分。</w:t>
            </w:r>
          </w:p>
          <w:p w14:paraId="2D23C373">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其中，每项以具体内容与本项目及所投产品的针对性、可行性、方案完善性作为采分点；每个采分点按照1分、0.9分、</w:t>
            </w:r>
            <w:r>
              <w:rPr>
                <w:rFonts w:hint="eastAsia" w:ascii="宋体" w:hAnsi="宋体" w:cs="宋体"/>
                <w:color w:val="auto"/>
                <w:sz w:val="24"/>
                <w:szCs w:val="24"/>
                <w:highlight w:val="none"/>
                <w:lang w:val="en-US" w:eastAsia="zh-CN"/>
              </w:rPr>
              <w:t>0.8分、</w:t>
            </w:r>
            <w:r>
              <w:rPr>
                <w:rFonts w:hint="eastAsia" w:ascii="宋体" w:hAnsi="宋体" w:cs="宋体"/>
                <w:color w:val="auto"/>
                <w:sz w:val="24"/>
                <w:szCs w:val="24"/>
                <w:highlight w:val="none"/>
              </w:rPr>
              <w:t>0.5分、0.3分、0.1分、0分作为具体赋分分值，完全符合采分点要求的得1分，存在个别瑕疵但是符合采分点要素的得0.9分，基本符合采分点要求但是存在一定不足的得0.5分，存在明显不符合采分点要求的得0.3分，完全不符合采分点要求的得0.1分，未响应相应内容的得0分。</w:t>
            </w:r>
          </w:p>
        </w:tc>
      </w:tr>
      <w:tr w14:paraId="2E73A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81" w:type="dxa"/>
            <w:gridSpan w:val="2"/>
            <w:vMerge w:val="continue"/>
            <w:tcBorders>
              <w:tl2br w:val="nil"/>
              <w:tr2bl w:val="nil"/>
            </w:tcBorders>
            <w:vAlign w:val="center"/>
          </w:tcPr>
          <w:p w14:paraId="27B26E52">
            <w:pPr>
              <w:spacing w:line="360" w:lineRule="auto"/>
              <w:jc w:val="center"/>
              <w:rPr>
                <w:rFonts w:ascii="宋体" w:hAnsi="宋体" w:cs="宋体"/>
                <w:color w:val="auto"/>
                <w:sz w:val="24"/>
                <w:szCs w:val="24"/>
                <w:highlight w:val="none"/>
              </w:rPr>
            </w:pPr>
          </w:p>
        </w:tc>
        <w:tc>
          <w:tcPr>
            <w:tcW w:w="2487" w:type="dxa"/>
            <w:gridSpan w:val="2"/>
            <w:tcBorders>
              <w:tl2br w:val="nil"/>
              <w:tr2bl w:val="nil"/>
            </w:tcBorders>
            <w:tcMar>
              <w:top w:w="0" w:type="dxa"/>
              <w:left w:w="108" w:type="dxa"/>
              <w:bottom w:w="0" w:type="dxa"/>
              <w:right w:w="108" w:type="dxa"/>
            </w:tcMar>
            <w:vAlign w:val="center"/>
          </w:tcPr>
          <w:p w14:paraId="3FE50D6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主要材料</w:t>
            </w:r>
          </w:p>
          <w:p w14:paraId="2F1729A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（3分）</w:t>
            </w:r>
          </w:p>
        </w:tc>
        <w:tc>
          <w:tcPr>
            <w:tcW w:w="4335" w:type="dxa"/>
            <w:tcBorders>
              <w:tl2br w:val="nil"/>
              <w:tr2bl w:val="nil"/>
            </w:tcBorders>
            <w:tcMar>
              <w:top w:w="0" w:type="dxa"/>
              <w:left w:w="108" w:type="dxa"/>
              <w:bottom w:w="0" w:type="dxa"/>
              <w:right w:w="108" w:type="dxa"/>
            </w:tcMar>
            <w:vAlign w:val="center"/>
          </w:tcPr>
          <w:p w14:paraId="4CEE6A6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供应商需提供针对本项目拟投入施工主要材料（包含但不限于防水卷材、底油等）清单品目，主要材料清单品目完整，品牌明确得3分。</w:t>
            </w:r>
          </w:p>
          <w:p w14:paraId="144D1E5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供应商需提供针对本项目拟投入施工主要材料（包含但不限于防水卷材、底油等）清单品目，主要材料清单品目基本完整，品牌有部分缺失的得2分。</w:t>
            </w:r>
          </w:p>
          <w:p w14:paraId="0D70B54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供应商需提供针对本项目拟投入施工主要材料（包含但不限于防水卷材、底油等）清单品目，主要材料清单品目不完整，品牌缺失严重的得1分。</w:t>
            </w:r>
          </w:p>
          <w:p w14:paraId="587186E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未提供的不得分。</w:t>
            </w:r>
          </w:p>
        </w:tc>
      </w:tr>
      <w:tr w14:paraId="632CA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trPr>
        <w:tc>
          <w:tcPr>
            <w:tcW w:w="1481" w:type="dxa"/>
            <w:gridSpan w:val="2"/>
            <w:vMerge w:val="continue"/>
            <w:tcBorders>
              <w:tl2br w:val="nil"/>
              <w:tr2bl w:val="nil"/>
            </w:tcBorders>
            <w:vAlign w:val="center"/>
          </w:tcPr>
          <w:p w14:paraId="3287F064">
            <w:pPr>
              <w:spacing w:line="360" w:lineRule="auto"/>
              <w:jc w:val="center"/>
              <w:rPr>
                <w:rFonts w:ascii="宋体" w:hAnsi="宋体" w:cs="宋体"/>
                <w:color w:val="auto"/>
                <w:sz w:val="24"/>
                <w:szCs w:val="24"/>
                <w:highlight w:val="none"/>
              </w:rPr>
            </w:pPr>
          </w:p>
        </w:tc>
        <w:tc>
          <w:tcPr>
            <w:tcW w:w="2487" w:type="dxa"/>
            <w:gridSpan w:val="2"/>
            <w:tcBorders>
              <w:tl2br w:val="nil"/>
              <w:tr2bl w:val="nil"/>
            </w:tcBorders>
            <w:tcMar>
              <w:top w:w="0" w:type="dxa"/>
              <w:left w:w="108" w:type="dxa"/>
              <w:bottom w:w="0" w:type="dxa"/>
              <w:right w:w="108" w:type="dxa"/>
            </w:tcMar>
            <w:vAlign w:val="center"/>
          </w:tcPr>
          <w:p w14:paraId="493798A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主要材料进货渠道</w:t>
            </w:r>
          </w:p>
          <w:p w14:paraId="348FF2D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（2分）</w:t>
            </w:r>
          </w:p>
        </w:tc>
        <w:tc>
          <w:tcPr>
            <w:tcW w:w="4335" w:type="dxa"/>
            <w:tcBorders>
              <w:tl2br w:val="nil"/>
              <w:tr2bl w:val="nil"/>
            </w:tcBorders>
            <w:tcMar>
              <w:top w:w="0" w:type="dxa"/>
              <w:left w:w="108" w:type="dxa"/>
              <w:bottom w:w="0" w:type="dxa"/>
              <w:right w:w="108" w:type="dxa"/>
            </w:tcMar>
            <w:vAlign w:val="center"/>
          </w:tcPr>
          <w:p w14:paraId="09283DE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供应商承诺所投材料进货渠道正规，无假货、水货、翻新货且无产权纠纷，且承诺材料进场时能提供相应质量证明文件的得2分。未提供或提供内容不全的不得分。</w:t>
            </w:r>
          </w:p>
          <w:p w14:paraId="5AB3336E">
            <w:pPr>
              <w:spacing w:line="360" w:lineRule="auto"/>
              <w:jc w:val="left"/>
              <w:rPr>
                <w:rFonts w:ascii="宋体" w:hAnsi="宋体" w:cs="宋体"/>
                <w:color w:val="auto"/>
                <w:sz w:val="24"/>
                <w:szCs w:val="24"/>
                <w:highlight w:val="none"/>
              </w:rPr>
            </w:pPr>
            <w:r>
              <w:rPr>
                <w:rFonts w:hint="eastAsia" w:ascii="宋体" w:hAnsi="宋体" w:cs="宋体"/>
                <w:b/>
                <w:bCs/>
                <w:color w:val="auto"/>
                <w:sz w:val="24"/>
                <w:szCs w:val="24"/>
                <w:highlight w:val="none"/>
              </w:rPr>
              <w:t>备注：供应商需提供加盖公章的承诺书，格式自拟。</w:t>
            </w:r>
          </w:p>
        </w:tc>
      </w:tr>
      <w:tr w14:paraId="232D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303" w:type="dxa"/>
            <w:gridSpan w:val="5"/>
            <w:tcBorders>
              <w:tl2br w:val="nil"/>
              <w:tr2bl w:val="nil"/>
            </w:tcBorders>
            <w:tcMar>
              <w:top w:w="0" w:type="dxa"/>
              <w:left w:w="108" w:type="dxa"/>
              <w:bottom w:w="0" w:type="dxa"/>
              <w:right w:w="108" w:type="dxa"/>
            </w:tcMar>
            <w:vAlign w:val="center"/>
          </w:tcPr>
          <w:p w14:paraId="7BE95D93">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备注：若出现综合得分并列时，按最后磋商报价由低到高顺序排列。得分且最后磋商报价均相同的，以响应文件满足磋商文件全部实质性要求，且依次按照企业业绩；拟派项目经理；拟派项目部人员；施工组织设计；主要材料；主要材料进货渠道；顺序进行对比，得分最高的供应商为排名第一的成交候选人。</w:t>
            </w:r>
          </w:p>
        </w:tc>
      </w:tr>
    </w:tbl>
    <w:p w14:paraId="4D293F19">
      <w:pPr>
        <w:pStyle w:val="3"/>
        <w:rPr>
          <w:rFonts w:ascii="宋体" w:hAnsi="宋体" w:cs="宋体"/>
          <w:b w:val="0"/>
          <w:bCs w:val="0"/>
          <w:color w:val="auto"/>
          <w:szCs w:val="24"/>
          <w:highlight w:val="none"/>
        </w:rPr>
      </w:pPr>
      <w:r>
        <w:rPr>
          <w:rStyle w:val="49"/>
          <w:rFonts w:hint="eastAsia" w:ascii="宋体" w:hAnsi="宋体" w:eastAsia="宋体" w:cs="宋体"/>
          <w:b w:val="0"/>
          <w:bCs w:val="0"/>
          <w:color w:val="auto"/>
          <w:highlight w:val="none"/>
        </w:rPr>
        <w:br w:type="page"/>
      </w:r>
      <w:bookmarkStart w:id="417" w:name="_Toc30297"/>
      <w:bookmarkStart w:id="418" w:name="_Toc23710"/>
      <w:bookmarkStart w:id="419" w:name="_Toc1349"/>
      <w:r>
        <w:rPr>
          <w:rFonts w:hint="eastAsia" w:ascii="宋体" w:hAnsi="宋体" w:cs="宋体"/>
          <w:color w:val="auto"/>
          <w:highlight w:val="none"/>
        </w:rPr>
        <w:t>二、评审办法正文</w:t>
      </w:r>
      <w:bookmarkEnd w:id="417"/>
      <w:bookmarkEnd w:id="418"/>
      <w:bookmarkEnd w:id="419"/>
    </w:p>
    <w:p w14:paraId="675BD4D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1.评审办法</w:t>
      </w:r>
    </w:p>
    <w:p w14:paraId="7BE6C8D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本次评审采用综合评分法。磋商小组对满足磋商文件实质性要求的响应文件，按照本章规定的评分标准进行打分，并按得分由高到低顺序推荐成交候选人。</w:t>
      </w:r>
    </w:p>
    <w:p w14:paraId="79F66E18">
      <w:pPr>
        <w:wordWrap w:val="0"/>
        <w:spacing w:line="360" w:lineRule="auto"/>
        <w:ind w:firstLine="480" w:firstLineChars="200"/>
        <w:rPr>
          <w:rFonts w:ascii="宋体" w:hAnsi="宋体" w:cs="宋体"/>
          <w:color w:val="auto"/>
          <w:sz w:val="24"/>
          <w:szCs w:val="24"/>
          <w:highlight w:val="none"/>
        </w:rPr>
      </w:pPr>
      <w:bookmarkStart w:id="420" w:name="_Toc321812023"/>
      <w:bookmarkStart w:id="421" w:name="_Toc324521820"/>
      <w:bookmarkStart w:id="422" w:name="_Toc290389724"/>
      <w:bookmarkStart w:id="423" w:name="_Toc319699570"/>
      <w:bookmarkStart w:id="424" w:name="_Toc184635094"/>
      <w:r>
        <w:rPr>
          <w:rFonts w:hint="eastAsia" w:ascii="宋体" w:hAnsi="宋体" w:cs="宋体"/>
          <w:color w:val="auto"/>
          <w:sz w:val="24"/>
          <w:szCs w:val="24"/>
          <w:highlight w:val="none"/>
        </w:rPr>
        <w:t>2.评审标准</w:t>
      </w:r>
      <w:bookmarkEnd w:id="420"/>
      <w:bookmarkEnd w:id="421"/>
      <w:bookmarkEnd w:id="422"/>
      <w:bookmarkEnd w:id="423"/>
      <w:bookmarkEnd w:id="424"/>
    </w:p>
    <w:p w14:paraId="1FAFA11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 资格评审标准</w:t>
      </w:r>
    </w:p>
    <w:p w14:paraId="435132D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资格评审标准：见磋商须知前附表。</w:t>
      </w:r>
    </w:p>
    <w:p w14:paraId="0D86CA9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 初步评审标准</w:t>
      </w:r>
    </w:p>
    <w:p w14:paraId="7118408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 形式评审标准：见评审办法前附表。</w:t>
      </w:r>
    </w:p>
    <w:p w14:paraId="03D4181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 响应性评审标准：见评审办法前附表。</w:t>
      </w:r>
    </w:p>
    <w:p w14:paraId="3264F03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 分值构成与评分标准</w:t>
      </w:r>
    </w:p>
    <w:p w14:paraId="568DBF0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2.3.1 分值构成</w:t>
      </w:r>
    </w:p>
    <w:p w14:paraId="525166D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（1）技术部分：见评审办法前附表；</w:t>
      </w:r>
    </w:p>
    <w:p w14:paraId="516EADBB">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（2）商务部分：见评审办法前附表。</w:t>
      </w:r>
    </w:p>
    <w:p w14:paraId="7962F4A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2.3.2 商务部分报价评审标准：见评审办法前附表。</w:t>
      </w:r>
    </w:p>
    <w:p w14:paraId="168448B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2.3.3 技术部分评分标准：见评审办法前附表。</w:t>
      </w:r>
    </w:p>
    <w:p w14:paraId="31336CEF">
      <w:pPr>
        <w:wordWrap w:val="0"/>
        <w:spacing w:line="360" w:lineRule="auto"/>
        <w:ind w:firstLine="480" w:firstLineChars="200"/>
        <w:rPr>
          <w:rFonts w:ascii="宋体" w:hAnsi="宋体" w:cs="宋体"/>
          <w:color w:val="auto"/>
          <w:sz w:val="24"/>
          <w:szCs w:val="24"/>
          <w:highlight w:val="none"/>
        </w:rPr>
      </w:pPr>
      <w:bookmarkStart w:id="425" w:name="_Toc321812024"/>
      <w:bookmarkStart w:id="426" w:name="_Toc324521821"/>
      <w:bookmarkStart w:id="427" w:name="_Toc184635095"/>
      <w:bookmarkStart w:id="428" w:name="_Toc290389725"/>
      <w:r>
        <w:rPr>
          <w:rFonts w:hint="eastAsia" w:ascii="宋体" w:hAnsi="宋体" w:cs="宋体"/>
          <w:color w:val="auto"/>
          <w:sz w:val="24"/>
          <w:szCs w:val="24"/>
          <w:highlight w:val="none"/>
        </w:rPr>
        <w:t>3.评审程序</w:t>
      </w:r>
      <w:bookmarkEnd w:id="425"/>
      <w:bookmarkEnd w:id="426"/>
      <w:bookmarkEnd w:id="427"/>
      <w:bookmarkEnd w:id="428"/>
    </w:p>
    <w:p w14:paraId="4E7E8BBB">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 资格评审</w:t>
      </w:r>
    </w:p>
    <w:p w14:paraId="010A313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由采购人或采购人授权的采购代理机构进行审查。</w:t>
      </w:r>
    </w:p>
    <w:p w14:paraId="3F20701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 初步评审</w:t>
      </w:r>
    </w:p>
    <w:p w14:paraId="7551AF1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 磋商小组依据本章第2.2.1项、第2.2.2项规定的评审标准对响应文件进行初步评审。有一项不符合评审标准的，否决其投标。对各响应文件的“初步评审”将在整个评审过程中穿插进行。</w:t>
      </w:r>
    </w:p>
    <w:p w14:paraId="2A0A003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3.2.2报价有算术错误的，磋商小组按以下原则对报价进行修正，修正的价格经供应商书面确认后具有约束力。供应商不接受修正价格的，否决其磋商。</w:t>
      </w:r>
    </w:p>
    <w:p w14:paraId="1228ED4E">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（1）响应文件中磋商一次报价表（报价表）内容与响应文件中相应内容不一致的，以磋商一次报价表（报价表）为准；</w:t>
      </w:r>
    </w:p>
    <w:p w14:paraId="488D34B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（2）大写金额和小写金额不一致的，以大写金额为准；</w:t>
      </w:r>
    </w:p>
    <w:p w14:paraId="71E2862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（3）单价金额小数点或者百分比有明显错位的，以磋商一次报价表的总价为准，并修改单价；</w:t>
      </w:r>
    </w:p>
    <w:p w14:paraId="45FC68B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（4）总价金额与按单价汇总金额不一致的，以单价金额计算结果为准。</w:t>
      </w:r>
    </w:p>
    <w:p w14:paraId="75E4AD4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3.2.3政府采购异常低价审查</w:t>
      </w:r>
    </w:p>
    <w:p w14:paraId="6269587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3.2.3.1政府采购评审中出现下列情形之一的，磋商小组应当启动异常低价投标（响应）审查程序： </w:t>
      </w:r>
    </w:p>
    <w:p w14:paraId="723CFF2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（1）投标（响应）报价低于全部通过符合性审查供应商投标（响应）报价平均值50%的，即投标（响应）报价&lt;全部通过符合性审查供应商投标（响应）报价平均值×50%； </w:t>
      </w:r>
    </w:p>
    <w:p w14:paraId="6EEE142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（2）投标（响应）报价低于通过符合性审查的次低报价供应商投标（响应）报价50%的，即投标（响应）报价&lt;通过符合性审查的次低报价供应商投标（响应）报价×50%；</w:t>
      </w:r>
    </w:p>
    <w:p w14:paraId="68DCE0A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（3）投标（响应）报价低于采购项目最高限价45%的，即投标（响应）报价&lt;采购项目最高限价×45%；</w:t>
      </w:r>
    </w:p>
    <w:p w14:paraId="3B19D38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（4）磋商小组基于专业判断，认为供应商报价过低，有可能影响产品质量或者不能诚信履约的其他情形。</w:t>
      </w:r>
    </w:p>
    <w:p w14:paraId="13B5858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3.2.3.2磋商小组启动异常低价投标（响应）审查后，属于3.1中任意一项情形的，应当要求相关供应商在评审现场合理的时间内对投标（响应）价格作出解释，提供项目具体成本测算等与报价合理性相关的书面说明及必要的证明材料，包括但不限于原材料成本、人工成本、制造费用等。其中，属于3.1中情形（3）的，供应商已随投标（响应）文件一并提交相关书面说明及必要的证明材料的，在评审现场可不再重复提交。</w:t>
      </w:r>
    </w:p>
    <w:p w14:paraId="570242D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3.2.3.3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0B93BE7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5F0BBA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3.2.3.5异常低价投标（响应）审查的启动原因、审查意见和审查结果应当在评审报告中记录，并随供应商提供的相关书面说明及证明材料，以及磋商小组有关互联网浏览、查询历史一并归档。</w:t>
      </w:r>
    </w:p>
    <w:p w14:paraId="3C37F98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3.3评审价的确定</w:t>
      </w:r>
    </w:p>
    <w:p w14:paraId="7C15CDB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3.3.1响应文件经资格评审、初步评审合格的，为有效磋商。对于所有有效响应按照以下规则进行评审价的确定：</w:t>
      </w:r>
    </w:p>
    <w:p w14:paraId="25FAD34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对于符合政策性优惠的，其评标价按照以下规则进行计算调整：</w:t>
      </w:r>
    </w:p>
    <w:p w14:paraId="34F2089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对非专门面向中小企业采购的项目或者采购包，供应商为小型和微型企业、监狱企业、残疾人福利性单位，报价给予5%的扣除，用扣除后的价格参加评审。对专门面向中小企业采购的项目或者采购包，不执行面向中小企业的“价格评审优惠”。</w:t>
      </w:r>
    </w:p>
    <w:p w14:paraId="3177DEA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对专门面向中小企业采购的项目或者采购包，不执行面向中小企业的“价格评审优惠”。</w:t>
      </w:r>
    </w:p>
    <w:p w14:paraId="2EA4A985">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以联合体形式参加政府采购活动，联合体各方均为中小企业的，联合体视同中小企业。其中，联合体各方均为小微企业的，联合体视同小微企业。</w:t>
      </w:r>
    </w:p>
    <w:p w14:paraId="7CE8059E">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3.3.2其他方式按照国家相关现行规定执行。</w:t>
      </w:r>
    </w:p>
    <w:p w14:paraId="5AA3CBB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3.4详细评审</w:t>
      </w:r>
    </w:p>
    <w:p w14:paraId="178A752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3.4.1 磋商小组按本章第2.3.3 款规定的量化因素和分值进行打分，并计算出综合评估得分。</w:t>
      </w:r>
    </w:p>
    <w:p w14:paraId="733E0A5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(1）按本章第2.3.2规定的评审因素和分值对商务部分计算出得分A；</w:t>
      </w:r>
    </w:p>
    <w:p w14:paraId="305EDBE0">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(2）按本章第2.3.3规定的评审因素和分值，各供应商的技术标评审得分为磋商小组各个成员评分结果的算术平均值，并以此计算各供应商的技术标评审得分B；</w:t>
      </w:r>
    </w:p>
    <w:p w14:paraId="2DD51A8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3.4.2 评分分值计算保留小数点后两位，小数点后第三位“四舍五入”。</w:t>
      </w:r>
    </w:p>
    <w:p w14:paraId="2FF4416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3.4.3 供应商得分=技术部分得分+商务部分得分=A十B。</w:t>
      </w:r>
    </w:p>
    <w:p w14:paraId="0EF6808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 磋商小组发现供应商的报价明显低于其他磋商报价，或者在设有标底时明显低于标底，使得其磋商报价可能低于其个别成本的，应当要求该供应商做出书面说明并提供相应的证明材料。供应商不能合理说明或者不能提供相应证明材料的，由磋商小组认定该供应商以低于成本报价竞标，按无效磋商处理。</w:t>
      </w:r>
    </w:p>
    <w:p w14:paraId="0A9E10E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 响应文件的澄清和补正</w:t>
      </w:r>
    </w:p>
    <w:p w14:paraId="0EB12D9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 在评审过程中，磋商小组可以书面形式要求供应商对所提交响应文件中不明确的内容进行书面澄清或说明，或者对细微偏差进行补正，但不得超出响应文件的范围或响应文件的实质性内容。磋商小组不接受供应商主动提出的澄清、说明或补正。</w:t>
      </w:r>
    </w:p>
    <w:p w14:paraId="7B4C3FAD">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3.5.2 澄清、说明和补正不得改变响应文件的实质性内容（算术性错误修正的除外）。供应商的书面澄清、说明和补正属于响应文件的组成部分。</w:t>
      </w:r>
    </w:p>
    <w:p w14:paraId="34D96CCD">
      <w:pPr>
        <w:wordWrap w:val="0"/>
        <w:spacing w:line="360" w:lineRule="auto"/>
        <w:ind w:firstLine="480" w:firstLineChars="200"/>
        <w:rPr>
          <w:rFonts w:ascii="宋体" w:hAnsi="宋体" w:cs="宋体"/>
          <w:color w:val="auto"/>
          <w:sz w:val="24"/>
          <w:szCs w:val="24"/>
          <w:highlight w:val="none"/>
        </w:rPr>
      </w:pPr>
      <w:bookmarkStart w:id="429" w:name="_Toc15037"/>
      <w:r>
        <w:rPr>
          <w:rFonts w:hint="eastAsia" w:ascii="宋体" w:hAnsi="宋体" w:cs="宋体"/>
          <w:color w:val="auto"/>
          <w:sz w:val="24"/>
          <w:szCs w:val="24"/>
          <w:highlight w:val="none"/>
        </w:rPr>
        <w:t>3.5.3</w:t>
      </w:r>
      <w:bookmarkEnd w:id="429"/>
      <w:bookmarkStart w:id="430" w:name="_Toc2476"/>
      <w:r>
        <w:rPr>
          <w:rFonts w:hint="eastAsia" w:ascii="宋体" w:hAnsi="宋体" w:cs="宋体"/>
          <w:color w:val="auto"/>
          <w:sz w:val="24"/>
          <w:szCs w:val="24"/>
          <w:highlight w:val="none"/>
        </w:rPr>
        <w:t xml:space="preserve"> </w:t>
      </w:r>
      <w:bookmarkEnd w:id="430"/>
      <w:bookmarkStart w:id="431" w:name="_Toc11239"/>
      <w:r>
        <w:rPr>
          <w:rFonts w:hint="eastAsia" w:ascii="宋体" w:hAnsi="宋体" w:cs="宋体"/>
          <w:color w:val="auto"/>
          <w:sz w:val="24"/>
          <w:szCs w:val="24"/>
          <w:highlight w:val="none"/>
        </w:rPr>
        <w:t>响应文件的评审、比较和否决</w:t>
      </w:r>
      <w:bookmarkEnd w:id="431"/>
    </w:p>
    <w:p w14:paraId="2C55FA01">
      <w:pPr>
        <w:wordWrap w:val="0"/>
        <w:spacing w:line="360" w:lineRule="auto"/>
        <w:ind w:firstLine="480" w:firstLineChars="200"/>
        <w:rPr>
          <w:rFonts w:ascii="宋体" w:hAnsi="宋体" w:cs="宋体"/>
          <w:color w:val="auto"/>
          <w:sz w:val="24"/>
          <w:szCs w:val="24"/>
          <w:highlight w:val="none"/>
        </w:rPr>
      </w:pPr>
      <w:bookmarkStart w:id="432" w:name="_Toc228"/>
      <w:r>
        <w:rPr>
          <w:rFonts w:hint="eastAsia" w:ascii="宋体" w:hAnsi="宋体" w:cs="宋体"/>
          <w:color w:val="auto"/>
          <w:sz w:val="24"/>
          <w:szCs w:val="24"/>
          <w:highlight w:val="none"/>
        </w:rPr>
        <w:t>（1）磋商小组仅对在实质上响应磋商文件要求的响应文件进行评估和比较。未响应磋商文件和合同条款的响应文件，不得进行评审。</w:t>
      </w:r>
      <w:bookmarkEnd w:id="432"/>
    </w:p>
    <w:p w14:paraId="7721DF51">
      <w:pPr>
        <w:wordWrap w:val="0"/>
        <w:spacing w:line="360" w:lineRule="auto"/>
        <w:ind w:firstLine="480" w:firstLineChars="200"/>
        <w:rPr>
          <w:rFonts w:ascii="宋体" w:hAnsi="宋体" w:cs="宋体"/>
          <w:color w:val="auto"/>
          <w:sz w:val="24"/>
          <w:szCs w:val="24"/>
          <w:highlight w:val="none"/>
        </w:rPr>
      </w:pPr>
      <w:bookmarkStart w:id="433" w:name="_Toc20894"/>
      <w:r>
        <w:rPr>
          <w:rFonts w:hint="eastAsia" w:ascii="宋体" w:hAnsi="宋体" w:cs="宋体"/>
          <w:color w:val="auto"/>
          <w:sz w:val="24"/>
          <w:szCs w:val="24"/>
          <w:highlight w:val="none"/>
        </w:rPr>
        <w:t>（2）</w:t>
      </w:r>
      <w:bookmarkEnd w:id="433"/>
      <w:bookmarkStart w:id="434" w:name="_Toc3668"/>
      <w:r>
        <w:rPr>
          <w:rFonts w:hint="eastAsia" w:ascii="宋体" w:hAnsi="宋体" w:cs="宋体"/>
          <w:color w:val="auto"/>
          <w:sz w:val="24"/>
          <w:szCs w:val="24"/>
          <w:highlight w:val="none"/>
        </w:rPr>
        <w:t>磋商小组依据本次评审标准和方法，对响应文件进行评审，向采购人提出书面评审报告，并根据得分由高到低的顺序，推荐成交候选人。</w:t>
      </w:r>
      <w:bookmarkEnd w:id="434"/>
    </w:p>
    <w:p w14:paraId="1B0C4DAD">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3.6评审结果</w:t>
      </w:r>
    </w:p>
    <w:p w14:paraId="2912C2B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3.6.1 除第二章“供应商须知前附表及供应商须知”授权直接确定成交人外，磋商小组按照得分高到低的顺序推荐成交候选人。</w:t>
      </w:r>
    </w:p>
    <w:p w14:paraId="27D56ADD">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3.6.2 磋商小组完成评审后，应当向采购人提交书面评审报告。</w:t>
      </w:r>
    </w:p>
    <w:p w14:paraId="49B0CE55">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3.7其他</w:t>
      </w:r>
    </w:p>
    <w:p w14:paraId="3DAD8218">
      <w:pPr>
        <w:wordWrap w:val="0"/>
        <w:spacing w:line="360" w:lineRule="auto"/>
        <w:ind w:firstLine="480" w:firstLineChars="200"/>
        <w:rPr>
          <w:rFonts w:ascii="宋体" w:hAnsi="宋体" w:cs="宋体"/>
          <w:color w:val="auto"/>
          <w:sz w:val="24"/>
          <w:szCs w:val="24"/>
          <w:highlight w:val="none"/>
        </w:rPr>
      </w:pPr>
      <w:bookmarkStart w:id="435" w:name="_Toc15880"/>
      <w:r>
        <w:rPr>
          <w:rFonts w:hint="eastAsia" w:ascii="宋体" w:hAnsi="宋体" w:cs="宋体"/>
          <w:color w:val="auto"/>
          <w:sz w:val="24"/>
          <w:szCs w:val="24"/>
          <w:highlight w:val="none"/>
        </w:rPr>
        <w:t>3.7.1特殊情况的处理及评审规则</w:t>
      </w:r>
      <w:bookmarkEnd w:id="435"/>
    </w:p>
    <w:p w14:paraId="5E27FCFB">
      <w:pPr>
        <w:wordWrap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）每个评委必须按照本办法据实记分，凡记分不符合本办法规定要求者，均按无效记分对待。</w:t>
      </w:r>
    </w:p>
    <w:p w14:paraId="206B04E2">
      <w:pPr>
        <w:wordWrap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）评定标过程中，若出现本办法以外的特殊情况时，将暂停评审，有关情况待磋商小组确定后，再行评定。</w:t>
      </w:r>
    </w:p>
    <w:p w14:paraId="0DF46418">
      <w:pPr>
        <w:wordWrap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）未尽事宜按有关规定执行，没有规定的，由磋商小组研究确定。</w:t>
      </w:r>
    </w:p>
    <w:p w14:paraId="582CCD83">
      <w:pPr>
        <w:wordWrap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）本评审办法由采购人、采购代理机构负责解释。</w:t>
      </w:r>
    </w:p>
    <w:p w14:paraId="00307493">
      <w:pPr>
        <w:wordWrap w:val="0"/>
        <w:spacing w:line="360" w:lineRule="auto"/>
        <w:ind w:firstLine="480" w:firstLineChars="200"/>
        <w:rPr>
          <w:rFonts w:ascii="宋体" w:hAnsi="宋体" w:cs="宋体"/>
          <w:color w:val="auto"/>
          <w:sz w:val="24"/>
          <w:szCs w:val="24"/>
          <w:highlight w:val="none"/>
        </w:rPr>
      </w:pPr>
      <w:bookmarkStart w:id="436" w:name="_Toc26891"/>
      <w:r>
        <w:rPr>
          <w:rFonts w:hint="eastAsia" w:ascii="宋体" w:hAnsi="宋体" w:cs="宋体"/>
          <w:color w:val="auto"/>
          <w:sz w:val="24"/>
          <w:szCs w:val="24"/>
          <w:highlight w:val="none"/>
        </w:rPr>
        <w:t>3.7.2否决投标的情形</w:t>
      </w:r>
      <w:bookmarkEnd w:id="436"/>
    </w:p>
    <w:p w14:paraId="02F65158">
      <w:pPr>
        <w:wordWrap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）供应商或其响应文件有下列情形之一的，否决其磋商：</w:t>
      </w:r>
    </w:p>
    <w:p w14:paraId="1B0030C3">
      <w:pPr>
        <w:wordWrap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）磋商小组认定供应商以低于成本报价竞标的，且供应商不能合理说明或者不能提供相应证明材料的；</w:t>
      </w:r>
    </w:p>
    <w:p w14:paraId="28FDD9A6">
      <w:pPr>
        <w:wordWrap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（3）要求提交响应文件电子版但</w:t>
      </w:r>
      <w:r>
        <w:rPr>
          <w:rFonts w:hint="eastAsia" w:ascii="宋体" w:hAnsi="宋体" w:cs="宋体"/>
          <w:color w:val="auto"/>
          <w:sz w:val="24"/>
          <w:szCs w:val="24"/>
          <w:highlight w:val="none"/>
          <w:lang w:val="zh-CN"/>
        </w:rPr>
        <w:t>不能正常参与评审的；</w:t>
      </w:r>
    </w:p>
    <w:p w14:paraId="1CFE4A4C">
      <w:pPr>
        <w:wordWrap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（4）不允许供应商改动工程量清单但</w:t>
      </w:r>
      <w:r>
        <w:rPr>
          <w:rFonts w:hint="eastAsia" w:ascii="宋体" w:hAnsi="宋体" w:cs="宋体"/>
          <w:color w:val="auto"/>
          <w:sz w:val="24"/>
          <w:szCs w:val="24"/>
          <w:highlight w:val="none"/>
          <w:lang w:val="zh-CN"/>
        </w:rPr>
        <w:t>供应商私自改动工程量清单的；</w:t>
      </w:r>
    </w:p>
    <w:p w14:paraId="32D706DA">
      <w:pPr>
        <w:wordWrap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（5）其他经磋商小组确认未能实质性响应磋商文件要求的；</w:t>
      </w:r>
    </w:p>
    <w:p w14:paraId="5B69E544">
      <w:pPr>
        <w:wordWrap w:val="0"/>
        <w:spacing w:line="360" w:lineRule="auto"/>
        <w:ind w:firstLine="480" w:firstLineChars="200"/>
        <w:rPr>
          <w:rFonts w:ascii="宋体" w:hAnsi="宋体" w:cs="宋体"/>
          <w:color w:val="auto"/>
          <w:szCs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sz w:val="24"/>
          <w:szCs w:val="24"/>
          <w:highlight w:val="none"/>
          <w:lang w:val="zh-CN"/>
        </w:rPr>
        <w:t>（6）法律、法规规定的以及本磋商文件规定的其他情形。</w:t>
      </w:r>
      <w:r>
        <w:rPr>
          <w:rFonts w:hint="eastAsia" w:ascii="宋体" w:hAnsi="宋体" w:cs="宋体"/>
          <w:color w:val="auto"/>
          <w:szCs w:val="24"/>
          <w:highlight w:val="none"/>
        </w:rPr>
        <w:br w:type="page"/>
      </w:r>
      <w:bookmarkStart w:id="437" w:name="_Toc11465"/>
      <w:bookmarkStart w:id="438" w:name="_Toc12377628"/>
      <w:bookmarkStart w:id="439" w:name="_Toc10563643"/>
      <w:bookmarkStart w:id="440" w:name="_Toc10563101"/>
      <w:bookmarkStart w:id="441" w:name="_Toc10621849"/>
      <w:bookmarkStart w:id="442" w:name="_Toc10547"/>
    </w:p>
    <w:p w14:paraId="5CE5A8A8">
      <w:pPr>
        <w:pStyle w:val="2"/>
        <w:rPr>
          <w:rFonts w:ascii="黑体" w:hAnsi="黑体" w:cs="黑体"/>
          <w:color w:val="auto"/>
          <w:highlight w:val="none"/>
        </w:rPr>
      </w:pPr>
      <w:bookmarkStart w:id="443" w:name="_Toc450"/>
      <w:r>
        <w:rPr>
          <w:rFonts w:hint="eastAsia" w:ascii="黑体" w:hAnsi="黑体" w:cs="黑体"/>
          <w:color w:val="auto"/>
          <w:highlight w:val="none"/>
        </w:rPr>
        <w:t>第五章  拟签订的合同</w:t>
      </w:r>
      <w:bookmarkEnd w:id="411"/>
      <w:bookmarkEnd w:id="412"/>
      <w:r>
        <w:rPr>
          <w:rFonts w:hint="eastAsia" w:ascii="黑体" w:hAnsi="黑体" w:cs="黑体"/>
          <w:color w:val="auto"/>
          <w:highlight w:val="none"/>
        </w:rPr>
        <w:t>文本</w:t>
      </w:r>
      <w:bookmarkEnd w:id="437"/>
      <w:bookmarkEnd w:id="438"/>
      <w:bookmarkEnd w:id="439"/>
      <w:bookmarkEnd w:id="440"/>
      <w:bookmarkEnd w:id="441"/>
      <w:bookmarkEnd w:id="442"/>
      <w:bookmarkEnd w:id="443"/>
    </w:p>
    <w:bookmarkEnd w:id="413"/>
    <w:p w14:paraId="07135C43">
      <w:pPr>
        <w:rPr>
          <w:color w:val="auto"/>
          <w:highlight w:val="none"/>
        </w:rPr>
      </w:pPr>
    </w:p>
    <w:p w14:paraId="423338F8">
      <w:pPr>
        <w:rPr>
          <w:color w:val="auto"/>
          <w:highlight w:val="none"/>
        </w:rPr>
      </w:pPr>
    </w:p>
    <w:p w14:paraId="5FA5D159">
      <w:pPr>
        <w:rPr>
          <w:color w:val="auto"/>
          <w:highlight w:val="none"/>
        </w:rPr>
      </w:pPr>
    </w:p>
    <w:p w14:paraId="1427802A">
      <w:pPr>
        <w:rPr>
          <w:color w:val="auto"/>
          <w:highlight w:val="none"/>
        </w:rPr>
      </w:pPr>
    </w:p>
    <w:p w14:paraId="2E7D1B2F">
      <w:pPr>
        <w:rPr>
          <w:color w:val="auto"/>
          <w:highlight w:val="none"/>
        </w:rPr>
      </w:pPr>
      <w:r>
        <w:rPr>
          <w:rFonts w:hint="eastAsia"/>
          <w:color w:val="auto"/>
          <w:highlight w:val="none"/>
        </w:rPr>
        <w:t xml:space="preserve"> </w:t>
      </w:r>
    </w:p>
    <w:p w14:paraId="41C79134">
      <w:pPr>
        <w:rPr>
          <w:color w:val="auto"/>
          <w:highlight w:val="none"/>
        </w:rPr>
      </w:pPr>
      <w:r>
        <w:rPr>
          <w:rFonts w:hint="eastAsia"/>
          <w:color w:val="auto"/>
          <w:highlight w:val="none"/>
        </w:rPr>
        <w:t xml:space="preserve"> </w:t>
      </w:r>
    </w:p>
    <w:p w14:paraId="710B4F38">
      <w:pPr>
        <w:jc w:val="center"/>
        <w:rPr>
          <w:rFonts w:hint="eastAsia" w:ascii="宋体" w:hAnsi="宋体" w:cs="宋体"/>
          <w:b/>
          <w:bCs/>
          <w:color w:val="auto"/>
          <w:sz w:val="48"/>
          <w:szCs w:val="44"/>
          <w:highlight w:val="none"/>
        </w:rPr>
      </w:pPr>
      <w:r>
        <w:rPr>
          <w:rFonts w:hint="eastAsia" w:ascii="宋体" w:hAnsi="宋体" w:cs="宋体"/>
          <w:b/>
          <w:bCs/>
          <w:color w:val="auto"/>
          <w:sz w:val="48"/>
          <w:szCs w:val="44"/>
          <w:highlight w:val="none"/>
        </w:rPr>
        <w:t>陕西省马栏监狱</w:t>
      </w:r>
    </w:p>
    <w:p w14:paraId="10EDBAC3">
      <w:pPr>
        <w:jc w:val="center"/>
        <w:rPr>
          <w:rFonts w:ascii="宋体" w:hAnsi="宋体" w:cs="宋体"/>
          <w:b/>
          <w:bCs/>
          <w:color w:val="auto"/>
          <w:sz w:val="48"/>
          <w:szCs w:val="44"/>
          <w:highlight w:val="none"/>
        </w:rPr>
      </w:pPr>
      <w:r>
        <w:rPr>
          <w:rFonts w:hint="eastAsia" w:ascii="宋体" w:hAnsi="宋体" w:cs="宋体"/>
          <w:b/>
          <w:bCs/>
          <w:color w:val="auto"/>
          <w:sz w:val="48"/>
          <w:szCs w:val="44"/>
          <w:highlight w:val="none"/>
        </w:rPr>
        <w:t>罪犯伙房屋面防水维修工程</w:t>
      </w:r>
    </w:p>
    <w:p w14:paraId="133B947B">
      <w:pPr>
        <w:rPr>
          <w:color w:val="auto"/>
          <w:highlight w:val="none"/>
        </w:rPr>
      </w:pPr>
      <w:r>
        <w:rPr>
          <w:rFonts w:hint="eastAsia"/>
          <w:color w:val="auto"/>
          <w:highlight w:val="none"/>
        </w:rPr>
        <w:t xml:space="preserve"> </w:t>
      </w:r>
    </w:p>
    <w:p w14:paraId="4B4D7B79">
      <w:pPr>
        <w:rPr>
          <w:color w:val="auto"/>
          <w:highlight w:val="none"/>
        </w:rPr>
      </w:pPr>
      <w:r>
        <w:rPr>
          <w:rFonts w:hint="eastAsia"/>
          <w:color w:val="auto"/>
          <w:highlight w:val="none"/>
        </w:rPr>
        <w:t xml:space="preserve"> </w:t>
      </w:r>
    </w:p>
    <w:p w14:paraId="620F235D">
      <w:pPr>
        <w:rPr>
          <w:color w:val="auto"/>
          <w:highlight w:val="none"/>
        </w:rPr>
      </w:pPr>
    </w:p>
    <w:p w14:paraId="044E1BAE">
      <w:pPr>
        <w:pStyle w:val="14"/>
        <w:rPr>
          <w:color w:val="auto"/>
          <w:highlight w:val="none"/>
        </w:rPr>
      </w:pPr>
    </w:p>
    <w:p w14:paraId="487EE419">
      <w:pPr>
        <w:rPr>
          <w:color w:val="auto"/>
          <w:highlight w:val="none"/>
        </w:rPr>
      </w:pPr>
    </w:p>
    <w:p w14:paraId="06B41FFF">
      <w:pPr>
        <w:rPr>
          <w:color w:val="auto"/>
          <w:highlight w:val="none"/>
        </w:rPr>
      </w:pPr>
    </w:p>
    <w:p w14:paraId="78BB53C5">
      <w:pPr>
        <w:rPr>
          <w:color w:val="auto"/>
          <w:highlight w:val="none"/>
        </w:rPr>
      </w:pPr>
      <w:r>
        <w:rPr>
          <w:rFonts w:hint="eastAsia"/>
          <w:color w:val="auto"/>
          <w:highlight w:val="none"/>
        </w:rPr>
        <w:t xml:space="preserve"> </w:t>
      </w:r>
    </w:p>
    <w:p w14:paraId="11C04718">
      <w:pPr>
        <w:rPr>
          <w:color w:val="auto"/>
          <w:highlight w:val="none"/>
        </w:rPr>
      </w:pPr>
      <w:r>
        <w:rPr>
          <w:rFonts w:hint="eastAsia"/>
          <w:color w:val="auto"/>
          <w:highlight w:val="none"/>
        </w:rPr>
        <w:t xml:space="preserve"> </w:t>
      </w:r>
    </w:p>
    <w:p w14:paraId="7214B7EB">
      <w:pPr>
        <w:jc w:val="center"/>
        <w:rPr>
          <w:rFonts w:ascii="宋体" w:hAnsi="宋体" w:cs="宋体"/>
          <w:b/>
          <w:bCs/>
          <w:color w:val="auto"/>
          <w:sz w:val="60"/>
          <w:szCs w:val="56"/>
          <w:highlight w:val="none"/>
        </w:rPr>
      </w:pPr>
      <w:r>
        <w:rPr>
          <w:rFonts w:hint="eastAsia" w:ascii="宋体" w:hAnsi="宋体" w:cs="宋体"/>
          <w:b/>
          <w:bCs/>
          <w:color w:val="auto"/>
          <w:sz w:val="60"/>
          <w:szCs w:val="56"/>
          <w:highlight w:val="none"/>
        </w:rPr>
        <w:t>建设工程施工合同</w:t>
      </w:r>
    </w:p>
    <w:p w14:paraId="12658670">
      <w:pPr>
        <w:rPr>
          <w:color w:val="auto"/>
          <w:highlight w:val="none"/>
        </w:rPr>
      </w:pPr>
      <w:r>
        <w:rPr>
          <w:rFonts w:hint="eastAsia" w:ascii="宋体" w:hAnsi="宋体" w:cs="宋体"/>
          <w:color w:val="auto"/>
          <w:highlight w:val="none"/>
        </w:rPr>
        <w:t xml:space="preserve"> </w:t>
      </w:r>
    </w:p>
    <w:p w14:paraId="229C87FB">
      <w:pPr>
        <w:rPr>
          <w:color w:val="auto"/>
          <w:highlight w:val="none"/>
        </w:rPr>
      </w:pPr>
      <w:r>
        <w:rPr>
          <w:rFonts w:hint="eastAsia"/>
          <w:color w:val="auto"/>
          <w:highlight w:val="none"/>
        </w:rPr>
        <w:t xml:space="preserve"> </w:t>
      </w:r>
    </w:p>
    <w:p w14:paraId="2C0636BD">
      <w:pPr>
        <w:rPr>
          <w:color w:val="auto"/>
          <w:highlight w:val="none"/>
        </w:rPr>
      </w:pPr>
      <w:r>
        <w:rPr>
          <w:rFonts w:hint="eastAsia"/>
          <w:color w:val="auto"/>
          <w:highlight w:val="none"/>
        </w:rPr>
        <w:t xml:space="preserve"> </w:t>
      </w:r>
    </w:p>
    <w:p w14:paraId="5F3B2D9E">
      <w:pPr>
        <w:rPr>
          <w:color w:val="auto"/>
          <w:highlight w:val="none"/>
        </w:rPr>
      </w:pPr>
      <w:r>
        <w:rPr>
          <w:rFonts w:hint="eastAsia"/>
          <w:color w:val="auto"/>
          <w:highlight w:val="none"/>
        </w:rPr>
        <w:t xml:space="preserve"> </w:t>
      </w:r>
    </w:p>
    <w:p w14:paraId="5177FC32">
      <w:pPr>
        <w:rPr>
          <w:color w:val="auto"/>
          <w:highlight w:val="none"/>
        </w:rPr>
      </w:pPr>
      <w:r>
        <w:rPr>
          <w:rFonts w:hint="eastAsia"/>
          <w:color w:val="auto"/>
          <w:highlight w:val="none"/>
        </w:rPr>
        <w:t xml:space="preserve"> </w:t>
      </w:r>
    </w:p>
    <w:p w14:paraId="398A6503">
      <w:pPr>
        <w:rPr>
          <w:color w:val="auto"/>
          <w:highlight w:val="none"/>
        </w:rPr>
      </w:pPr>
    </w:p>
    <w:p w14:paraId="5428526F">
      <w:pPr>
        <w:rPr>
          <w:color w:val="auto"/>
          <w:highlight w:val="none"/>
        </w:rPr>
      </w:pPr>
      <w:r>
        <w:rPr>
          <w:rFonts w:hint="eastAsia"/>
          <w:color w:val="auto"/>
          <w:highlight w:val="none"/>
        </w:rPr>
        <w:t xml:space="preserve"> </w:t>
      </w:r>
    </w:p>
    <w:p w14:paraId="225837E1">
      <w:pPr>
        <w:rPr>
          <w:color w:val="auto"/>
          <w:highlight w:val="none"/>
        </w:rPr>
      </w:pPr>
    </w:p>
    <w:p w14:paraId="5A16BD2C">
      <w:pPr>
        <w:pStyle w:val="14"/>
        <w:rPr>
          <w:color w:val="auto"/>
          <w:highlight w:val="none"/>
        </w:rPr>
      </w:pPr>
    </w:p>
    <w:p w14:paraId="3CDCEFD6">
      <w:pPr>
        <w:rPr>
          <w:color w:val="auto"/>
          <w:highlight w:val="none"/>
        </w:rPr>
      </w:pPr>
    </w:p>
    <w:p w14:paraId="0C3B024F">
      <w:pPr>
        <w:rPr>
          <w:color w:val="auto"/>
          <w:highlight w:val="none"/>
        </w:rPr>
      </w:pPr>
    </w:p>
    <w:p w14:paraId="2D156653">
      <w:pPr>
        <w:rPr>
          <w:color w:val="auto"/>
          <w:highlight w:val="none"/>
        </w:rPr>
      </w:pPr>
    </w:p>
    <w:p w14:paraId="31157B18">
      <w:pPr>
        <w:rPr>
          <w:color w:val="auto"/>
          <w:highlight w:val="none"/>
        </w:rPr>
      </w:pPr>
    </w:p>
    <w:p w14:paraId="3F7E2C09">
      <w:pPr>
        <w:spacing w:line="400" w:lineRule="exact"/>
        <w:ind w:firstLine="2570" w:firstLineChars="800"/>
        <w:rPr>
          <w:rFonts w:ascii="宋体" w:hAnsi="宋体" w:cs="宋体"/>
          <w:b/>
          <w:bCs/>
          <w:color w:val="auto"/>
          <w:sz w:val="32"/>
          <w:szCs w:val="28"/>
          <w:highlight w:val="none"/>
        </w:rPr>
      </w:pPr>
      <w:r>
        <w:rPr>
          <w:rFonts w:hint="eastAsia" w:ascii="宋体" w:hAnsi="宋体" w:cs="宋体"/>
          <w:b/>
          <w:bCs/>
          <w:color w:val="auto"/>
          <w:sz w:val="32"/>
          <w:szCs w:val="28"/>
          <w:highlight w:val="none"/>
        </w:rPr>
        <w:t>住房城乡建设部</w:t>
      </w:r>
      <w:r>
        <w:rPr>
          <w:rFonts w:hint="eastAsia" w:ascii="宋体" w:hAnsi="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4966335</wp:posOffset>
                </wp:positionH>
                <wp:positionV relativeFrom="paragraph">
                  <wp:posOffset>7773035</wp:posOffset>
                </wp:positionV>
                <wp:extent cx="723900" cy="457200"/>
                <wp:effectExtent l="4445" t="4445" r="14605" b="14605"/>
                <wp:wrapNone/>
                <wp:docPr id="10" name="文本框 1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37B5C21">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91.05pt;margin-top:612.05pt;height:36pt;width:57pt;z-index:251665408;mso-width-relative:page;mso-height-relative:page;" filled="f" stroked="t" coordsize="21600,21600" o:gfxdata="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S6p09kAAAANAQAADwAAAAAAAAABACAAAAAi&#10;AAAAZHJzL2Rvd25yZXYueG1sUEsBAhQAFAAAAAgAh07iQCGcH38JAgAAHAQAAA4AAAAAAAAAAQAg&#10;AAAAKAEAAGRycy9lMm9Eb2MueG1sUEsFBgAAAAAGAAYAWQEAAKMFAAAAAA==&#10;">
                <v:fill on="f" focussize="0,0"/>
                <v:stroke color="#FFFFFF" joinstyle="miter"/>
                <v:imagedata o:title=""/>
                <o:lock v:ext="edit" aspectratio="f"/>
                <v:textbox>
                  <w:txbxContent>
                    <w:p w14:paraId="637B5C21">
                      <w:pPr>
                        <w:rPr>
                          <w:b/>
                          <w:bCs/>
                          <w:sz w:val="32"/>
                        </w:rPr>
                      </w:pPr>
                      <w:r>
                        <w:rPr>
                          <w:rFonts w:hint="eastAsia"/>
                          <w:b/>
                          <w:bCs/>
                          <w:sz w:val="32"/>
                        </w:rPr>
                        <w:t>制定</w:t>
                      </w:r>
                    </w:p>
                  </w:txbxContent>
                </v:textbox>
              </v:shape>
            </w:pict>
          </mc:Fallback>
        </mc:AlternateContent>
      </w:r>
    </w:p>
    <w:p w14:paraId="1BA6786E">
      <w:pPr>
        <w:spacing w:line="400" w:lineRule="exact"/>
        <w:ind w:firstLine="5783" w:firstLineChars="1800"/>
        <w:rPr>
          <w:rFonts w:ascii="宋体" w:hAnsi="宋体" w:cs="宋体"/>
          <w:b/>
          <w:bCs/>
          <w:color w:val="auto"/>
          <w:sz w:val="32"/>
          <w:szCs w:val="28"/>
          <w:highlight w:val="none"/>
        </w:rPr>
      </w:pPr>
      <w:r>
        <w:rPr>
          <w:rFonts w:hint="eastAsia" w:ascii="宋体" w:hAnsi="宋体" w:cs="宋体"/>
          <w:b/>
          <w:bCs/>
          <w:color w:val="auto"/>
          <w:sz w:val="32"/>
          <w:szCs w:val="28"/>
          <w:highlight w:val="none"/>
        </w:rPr>
        <w:t>制定</w:t>
      </w:r>
    </w:p>
    <w:p w14:paraId="412E7B04">
      <w:pPr>
        <w:spacing w:line="400" w:lineRule="exact"/>
        <w:ind w:firstLine="2100" w:firstLineChars="1000"/>
        <w:rPr>
          <w:rFonts w:ascii="宋体" w:hAnsi="宋体" w:cs="宋体"/>
          <w:b/>
          <w:bCs/>
          <w:color w:val="auto"/>
          <w:sz w:val="32"/>
          <w:szCs w:val="28"/>
          <w:highlight w:val="none"/>
        </w:rPr>
      </w:pPr>
      <w:r>
        <w:rPr>
          <w:rFonts w:hint="eastAsia" w:ascii="宋体"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4966335</wp:posOffset>
                </wp:positionH>
                <wp:positionV relativeFrom="paragraph">
                  <wp:posOffset>7773035</wp:posOffset>
                </wp:positionV>
                <wp:extent cx="723900" cy="457200"/>
                <wp:effectExtent l="4445" t="4445" r="14605" b="14605"/>
                <wp:wrapNone/>
                <wp:docPr id="8" name="文本框 8"/>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2506BA7D">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91.05pt;margin-top:612.05pt;height:36pt;width:57pt;z-index:251664384;mso-width-relative:page;mso-height-relative:page;" filled="f" stroked="t" coordsize="21600,21600" o:gfxdata="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0uqdPZAAAADQEAAA8AAAAAAAAAAQAgAAAA&#10;IgAAAGRycy9kb3ducmV2LnhtbFBLAQIUABQAAAAIAIdO4kDua7UeCgIAABoEAAAOAAAAAAAAAAEA&#10;IAAAACgBAABkcnMvZTJvRG9jLnhtbFBLBQYAAAAABgAGAFkBAACkBQAAAAA=&#10;">
                <v:fill on="f" focussize="0,0"/>
                <v:stroke color="#FFFFFF" joinstyle="miter"/>
                <v:imagedata o:title=""/>
                <o:lock v:ext="edit" aspectratio="f"/>
                <v:textbox>
                  <w:txbxContent>
                    <w:p w14:paraId="2506BA7D">
                      <w:pPr>
                        <w:rPr>
                          <w:b/>
                          <w:bCs/>
                          <w:sz w:val="32"/>
                        </w:rPr>
                      </w:pPr>
                      <w:r>
                        <w:rPr>
                          <w:rFonts w:hint="eastAsia"/>
                          <w:b/>
                          <w:bCs/>
                          <w:sz w:val="32"/>
                        </w:rPr>
                        <w:t>制定</w:t>
                      </w:r>
                    </w:p>
                  </w:txbxContent>
                </v:textbox>
              </v:shape>
            </w:pict>
          </mc:Fallback>
        </mc:AlternateContent>
      </w:r>
      <w:r>
        <w:rPr>
          <w:rFonts w:hint="eastAsia" w:ascii="宋体" w:hAnsi="宋体" w:cs="宋体"/>
          <w:b/>
          <w:bCs/>
          <w:color w:val="auto"/>
          <w:sz w:val="32"/>
          <w:szCs w:val="28"/>
          <w:highlight w:val="none"/>
        </w:rPr>
        <w:t xml:space="preserve">国家工商行政管理总局    </w:t>
      </w:r>
    </w:p>
    <w:p w14:paraId="35E0E9DB">
      <w:pPr>
        <w:pStyle w:val="100"/>
        <w:spacing w:line="360" w:lineRule="auto"/>
        <w:rPr>
          <w:rFonts w:hint="default" w:cs="宋体"/>
          <w:color w:val="auto"/>
          <w:highlight w:val="none"/>
        </w:rPr>
        <w:sectPr>
          <w:pgSz w:w="11906" w:h="16838"/>
          <w:pgMar w:top="1440" w:right="1800" w:bottom="1440" w:left="1800" w:header="851" w:footer="992" w:gutter="0"/>
          <w:cols w:space="720" w:num="1"/>
          <w:docGrid w:type="lines" w:linePitch="312" w:charSpace="0"/>
        </w:sectPr>
      </w:pPr>
      <w:r>
        <w:rPr>
          <w:rFonts w:cs="宋体"/>
          <w:color w:val="auto"/>
          <w:highlight w:val="none"/>
        </w:rPr>
        <w:br w:type="textWrapping"/>
      </w:r>
    </w:p>
    <w:p w14:paraId="0C4396C6">
      <w:pPr>
        <w:adjustRightInd w:val="0"/>
        <w:snapToGrid w:val="0"/>
        <w:spacing w:line="360" w:lineRule="auto"/>
        <w:ind w:firstLine="482" w:firstLineChars="200"/>
        <w:jc w:val="left"/>
        <w:rPr>
          <w:rFonts w:asciiTheme="minorEastAsia" w:hAnsiTheme="minorEastAsia" w:eastAsiaTheme="minorEastAsia" w:cstheme="minorEastAsia"/>
          <w:b/>
          <w:color w:val="auto"/>
          <w:sz w:val="24"/>
          <w:szCs w:val="24"/>
          <w:highlight w:val="none"/>
        </w:rPr>
      </w:pPr>
      <w:bookmarkStart w:id="444" w:name="_Toc17975"/>
      <w:r>
        <w:rPr>
          <w:rFonts w:hint="eastAsia" w:asciiTheme="minorEastAsia" w:hAnsiTheme="minorEastAsia" w:eastAsiaTheme="minorEastAsia" w:cstheme="minorEastAsia"/>
          <w:b/>
          <w:color w:val="auto"/>
          <w:sz w:val="24"/>
          <w:szCs w:val="24"/>
          <w:highlight w:val="none"/>
        </w:rPr>
        <w:t>发包人：</w:t>
      </w:r>
      <w:r>
        <w:rPr>
          <w:rFonts w:hint="eastAsia" w:asciiTheme="minorEastAsia" w:hAnsiTheme="minorEastAsia" w:eastAsiaTheme="minorEastAsia" w:cstheme="minorEastAsia"/>
          <w:b/>
          <w:color w:val="auto"/>
          <w:sz w:val="24"/>
          <w:szCs w:val="24"/>
          <w:highlight w:val="none"/>
          <w:u w:val="single"/>
        </w:rPr>
        <w:t xml:space="preserve">               </w:t>
      </w:r>
    </w:p>
    <w:p w14:paraId="4F2EAFAC">
      <w:pPr>
        <w:adjustRightInd w:val="0"/>
        <w:snapToGrid w:val="0"/>
        <w:spacing w:line="360" w:lineRule="auto"/>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承包人：</w:t>
      </w:r>
      <w:r>
        <w:rPr>
          <w:rFonts w:hint="eastAsia" w:asciiTheme="minorEastAsia" w:hAnsiTheme="minorEastAsia" w:eastAsiaTheme="minorEastAsia" w:cstheme="minorEastAsia"/>
          <w:b/>
          <w:color w:val="auto"/>
          <w:sz w:val="24"/>
          <w:szCs w:val="24"/>
          <w:highlight w:val="none"/>
          <w:u w:val="single"/>
        </w:rPr>
        <w:t xml:space="preserve">               </w:t>
      </w:r>
    </w:p>
    <w:p w14:paraId="5D458374">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根据《中华人民共和国民法典》、《中华人民共和国建筑法》及有关法律规定，遵循平等、自愿、公平和诚实信用的原则，双方经过磋商的采购方式，就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及有关事项协商一致，共同达成如下协议：</w:t>
      </w:r>
    </w:p>
    <w:p w14:paraId="36EBC0AD">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bookmarkStart w:id="445" w:name="_Toc351203481"/>
      <w:r>
        <w:rPr>
          <w:rFonts w:hint="eastAsia" w:asciiTheme="minorEastAsia" w:hAnsiTheme="minorEastAsia" w:eastAsiaTheme="minorEastAsia" w:cstheme="minorEastAsia"/>
          <w:b/>
          <w:bCs/>
          <w:color w:val="auto"/>
          <w:sz w:val="24"/>
          <w:szCs w:val="24"/>
          <w:highlight w:val="none"/>
        </w:rPr>
        <w:t>一、工程概况</w:t>
      </w:r>
      <w:bookmarkEnd w:id="445"/>
      <w:r>
        <w:rPr>
          <w:rFonts w:hint="eastAsia" w:asciiTheme="minorEastAsia" w:hAnsiTheme="minorEastAsia" w:eastAsiaTheme="minorEastAsia" w:cstheme="minorEastAsia"/>
          <w:b/>
          <w:bCs/>
          <w:color w:val="auto"/>
          <w:sz w:val="24"/>
          <w:szCs w:val="24"/>
          <w:highlight w:val="none"/>
        </w:rPr>
        <w:t>及其他说明</w:t>
      </w:r>
    </w:p>
    <w:p w14:paraId="55857B9F">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13AAB51">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2.工程地点：</w:t>
      </w:r>
      <w:r>
        <w:rPr>
          <w:rFonts w:hint="eastAsia" w:asciiTheme="minorEastAsia" w:hAnsiTheme="minorEastAsia" w:eastAsiaTheme="minorEastAsia" w:cstheme="minorEastAsia"/>
          <w:color w:val="auto"/>
          <w:sz w:val="24"/>
          <w:szCs w:val="24"/>
          <w:highlight w:val="none"/>
          <w:u w:val="single"/>
        </w:rPr>
        <w:t xml:space="preserve">    </w:t>
      </w:r>
    </w:p>
    <w:p w14:paraId="4B345B6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3.资金来源：已落实。</w:t>
      </w:r>
    </w:p>
    <w:p w14:paraId="7197C4F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4.本合同为：</w:t>
      </w:r>
      <w:r>
        <w:rPr>
          <w:rFonts w:hint="eastAsia" w:asciiTheme="minorEastAsia" w:hAnsiTheme="minorEastAsia" w:eastAsiaTheme="minorEastAsia" w:cstheme="minorEastAsia"/>
          <w:color w:val="auto"/>
          <w:sz w:val="24"/>
          <w:szCs w:val="24"/>
          <w:highlight w:val="none"/>
          <w:u w:val="single"/>
          <w:lang w:val="en-US" w:eastAsia="zh-CN"/>
        </w:rPr>
        <w:t>固定</w:t>
      </w:r>
      <w:r>
        <w:rPr>
          <w:rFonts w:hint="eastAsia" w:asciiTheme="minorEastAsia" w:hAnsiTheme="minorEastAsia" w:eastAsiaTheme="minorEastAsia" w:cstheme="minorEastAsia"/>
          <w:bCs/>
          <w:color w:val="auto"/>
          <w:kern w:val="0"/>
          <w:sz w:val="24"/>
          <w:szCs w:val="24"/>
          <w:highlight w:val="none"/>
          <w:u w:val="single"/>
          <w:lang w:val="en-US" w:eastAsia="zh-CN"/>
        </w:rPr>
        <w:t>单价合同</w:t>
      </w:r>
      <w:r>
        <w:rPr>
          <w:rFonts w:hint="eastAsia" w:asciiTheme="minorEastAsia" w:hAnsiTheme="minorEastAsia" w:eastAsiaTheme="minorEastAsia" w:cstheme="minorEastAsia"/>
          <w:color w:val="auto"/>
          <w:sz w:val="24"/>
          <w:szCs w:val="24"/>
          <w:highlight w:val="none"/>
          <w:u w:val="single"/>
        </w:rPr>
        <w:t>。</w:t>
      </w:r>
    </w:p>
    <w:p w14:paraId="4EF594B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5.工程内容：本项目工程内容包含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等内容以及合同约定的其他内容，具体内容及要求详见本磋商文件、工程量清单、图纸、答疑文件中所涵盖的全部工程内容。</w:t>
      </w:r>
    </w:p>
    <w:p w14:paraId="744DC670">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6.工程承包范围：本项目的磋商文件、工程量清单、图纸、答疑文件及其他补充说明文件等。</w:t>
      </w:r>
      <w:bookmarkStart w:id="446" w:name="_Toc351203482"/>
    </w:p>
    <w:p w14:paraId="5A4504FE">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二、合同金额及工期</w:t>
      </w:r>
    </w:p>
    <w:p w14:paraId="50B50A0C">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签约合同金额：</w:t>
      </w:r>
      <w:r>
        <w:rPr>
          <w:rFonts w:hint="eastAsia" w:asciiTheme="minorEastAsia" w:hAnsiTheme="minorEastAsia" w:eastAsiaTheme="minorEastAsia" w:cstheme="minorEastAsia"/>
          <w:color w:val="auto"/>
          <w:sz w:val="24"/>
          <w:szCs w:val="24"/>
          <w:highlight w:val="none"/>
          <w:u w:val="single"/>
        </w:rPr>
        <w:t xml:space="preserve">                     </w:t>
      </w:r>
    </w:p>
    <w:p w14:paraId="598AFA04">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w:t>
      </w:r>
      <w:r>
        <w:rPr>
          <w:rFonts w:hint="eastAsia" w:ascii="宋体" w:hAnsi="宋体" w:cs="宋体"/>
          <w:color w:val="auto"/>
          <w:sz w:val="24"/>
          <w:szCs w:val="24"/>
          <w:highlight w:val="none"/>
          <w:u w:val="single"/>
        </w:rPr>
        <w:t>自接到采购人开工通知之日起</w:t>
      </w:r>
      <w:r>
        <w:rPr>
          <w:rFonts w:hint="eastAsia" w:ascii="宋体" w:hAnsi="宋体" w:cs="宋体"/>
          <w:color w:val="auto"/>
          <w:sz w:val="24"/>
          <w:szCs w:val="24"/>
          <w:highlight w:val="none"/>
          <w:u w:val="single"/>
          <w:lang w:val="en-US" w:eastAsia="zh-CN"/>
        </w:rPr>
        <w:t>45</w:t>
      </w:r>
      <w:r>
        <w:rPr>
          <w:rFonts w:hint="eastAsia" w:ascii="宋体" w:hAnsi="宋体" w:cs="宋体"/>
          <w:color w:val="auto"/>
          <w:sz w:val="24"/>
          <w:szCs w:val="24"/>
          <w:highlight w:val="none"/>
          <w:u w:val="single"/>
        </w:rPr>
        <w:t>日历天内</w:t>
      </w:r>
      <w:r>
        <w:rPr>
          <w:rFonts w:hint="eastAsia" w:asciiTheme="minorEastAsia" w:hAnsiTheme="minorEastAsia" w:eastAsiaTheme="minorEastAsia" w:cstheme="minorEastAsia"/>
          <w:color w:val="auto"/>
          <w:sz w:val="24"/>
          <w:szCs w:val="24"/>
          <w:highlight w:val="none"/>
        </w:rPr>
        <w:t xml:space="preserve">               </w:t>
      </w:r>
    </w:p>
    <w:p w14:paraId="0071930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开工日期：</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日，竣工日期：</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21CE3062">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三、项目经理</w:t>
      </w:r>
    </w:p>
    <w:p w14:paraId="5AFA5AB7">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承包人项目经理：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。项目经理无正当理由不得更换，否则发包人有权解除本合同并由承包人承担由此带来的全部损失。</w:t>
      </w:r>
    </w:p>
    <w:p w14:paraId="2C35AD78">
      <w:pPr>
        <w:adjustRightInd w:val="0"/>
        <w:snapToGrid w:val="0"/>
        <w:spacing w:line="360" w:lineRule="auto"/>
        <w:ind w:firstLine="466" w:firstLineChars="200"/>
        <w:jc w:val="left"/>
        <w:rPr>
          <w:rFonts w:asciiTheme="minorEastAsia" w:hAnsiTheme="minorEastAsia" w:eastAsiaTheme="minorEastAsia" w:cstheme="minorEastAsia"/>
          <w:b/>
          <w:bCs/>
          <w:color w:val="auto"/>
          <w:spacing w:val="-4"/>
          <w:sz w:val="24"/>
          <w:szCs w:val="24"/>
          <w:highlight w:val="none"/>
        </w:rPr>
      </w:pPr>
      <w:bookmarkStart w:id="447" w:name="_Toc351203483"/>
      <w:r>
        <w:rPr>
          <w:rFonts w:hint="eastAsia" w:asciiTheme="minorEastAsia" w:hAnsiTheme="minorEastAsia" w:eastAsiaTheme="minorEastAsia" w:cstheme="minorEastAsia"/>
          <w:b/>
          <w:bCs/>
          <w:color w:val="auto"/>
          <w:spacing w:val="-4"/>
          <w:sz w:val="24"/>
          <w:szCs w:val="24"/>
          <w:highlight w:val="none"/>
        </w:rPr>
        <w:t>四、质量</w:t>
      </w:r>
      <w:bookmarkEnd w:id="447"/>
      <w:r>
        <w:rPr>
          <w:rFonts w:hint="eastAsia" w:asciiTheme="minorEastAsia" w:hAnsiTheme="minorEastAsia" w:eastAsiaTheme="minorEastAsia" w:cstheme="minorEastAsia"/>
          <w:b/>
          <w:bCs/>
          <w:color w:val="auto"/>
          <w:spacing w:val="-4"/>
          <w:sz w:val="24"/>
          <w:szCs w:val="24"/>
          <w:highlight w:val="none"/>
        </w:rPr>
        <w:t>要求</w:t>
      </w:r>
    </w:p>
    <w:p w14:paraId="21D197BB">
      <w:pPr>
        <w:adjustRightInd w:val="0"/>
        <w:snapToGrid w:val="0"/>
        <w:spacing w:line="360" w:lineRule="auto"/>
        <w:ind w:firstLine="464" w:firstLineChars="200"/>
        <w:jc w:val="left"/>
        <w:rPr>
          <w:rFonts w:asciiTheme="minorEastAsia" w:hAnsiTheme="minorEastAsia" w:eastAsiaTheme="minorEastAsia" w:cstheme="minorEastAsia"/>
          <w:color w:val="auto"/>
          <w:spacing w:val="-4"/>
          <w:sz w:val="24"/>
          <w:szCs w:val="24"/>
          <w:highlight w:val="none"/>
        </w:rPr>
      </w:pPr>
      <w:bookmarkStart w:id="448" w:name="_Toc351203484"/>
      <w:r>
        <w:rPr>
          <w:rFonts w:hint="eastAsia" w:asciiTheme="minorEastAsia" w:hAnsiTheme="minorEastAsia" w:eastAsiaTheme="minorEastAsia" w:cstheme="minorEastAsia"/>
          <w:color w:val="auto"/>
          <w:spacing w:val="-4"/>
          <w:sz w:val="24"/>
          <w:szCs w:val="24"/>
          <w:highlight w:val="none"/>
        </w:rPr>
        <w:t>1．本工程质量：</w:t>
      </w:r>
      <w:r>
        <w:rPr>
          <w:rFonts w:hint="eastAsia" w:asciiTheme="minorEastAsia" w:hAnsiTheme="minorEastAsia" w:eastAsiaTheme="minorEastAsia" w:cstheme="minorEastAsia"/>
          <w:color w:val="auto"/>
          <w:spacing w:val="-4"/>
          <w:sz w:val="24"/>
          <w:szCs w:val="24"/>
          <w:highlight w:val="none"/>
          <w:u w:val="single"/>
        </w:rPr>
        <w:t xml:space="preserve"> 满足现行《建筑与市政工程施工质量控制通用规范》的要求，质量验收合格。</w:t>
      </w:r>
    </w:p>
    <w:p w14:paraId="2A9DDB69">
      <w:pPr>
        <w:adjustRightInd w:val="0"/>
        <w:snapToGrid w:val="0"/>
        <w:spacing w:line="360" w:lineRule="auto"/>
        <w:ind w:firstLine="464" w:firstLineChars="200"/>
        <w:jc w:val="left"/>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2．承包人必须严格按照磋商文件和建筑工程规范、规程和标准进行施工，并接受发包人代表及监理人员的管理和监督。</w:t>
      </w:r>
    </w:p>
    <w:p w14:paraId="647F63CA">
      <w:pPr>
        <w:adjustRightInd w:val="0"/>
        <w:snapToGrid w:val="0"/>
        <w:spacing w:line="360" w:lineRule="auto"/>
        <w:ind w:firstLine="464" w:firstLineChars="200"/>
        <w:jc w:val="left"/>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3．承包人应严格按照质量验收标准对工程组织施工。工程完工应会同发包人进行验收。竣工资料（一式三份），逾期未提交，每天按总造价万分之三向发包人支付违约金。</w:t>
      </w:r>
    </w:p>
    <w:p w14:paraId="535085ED">
      <w:pPr>
        <w:adjustRightInd w:val="0"/>
        <w:snapToGrid w:val="0"/>
        <w:spacing w:line="360" w:lineRule="auto"/>
        <w:ind w:firstLine="464" w:firstLineChars="200"/>
        <w:jc w:val="left"/>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4．工程竣工后，承包人应按规定对工程进行保修，</w:t>
      </w:r>
      <w:r>
        <w:rPr>
          <w:rFonts w:hint="eastAsia" w:asciiTheme="minorEastAsia" w:hAnsiTheme="minorEastAsia" w:eastAsiaTheme="minorEastAsia" w:cstheme="minorEastAsia"/>
          <w:color w:val="auto"/>
          <w:sz w:val="24"/>
          <w:szCs w:val="24"/>
          <w:highlight w:val="none"/>
          <w:u w:val="single"/>
        </w:rPr>
        <w:t>自工程竣工验收合格之日</w:t>
      </w:r>
      <w:r>
        <w:rPr>
          <w:rFonts w:hint="eastAsia" w:asciiTheme="minorEastAsia" w:hAnsiTheme="minorEastAsia" w:eastAsiaTheme="minorEastAsia" w:cstheme="minorEastAsia"/>
          <w:color w:val="auto"/>
          <w:spacing w:val="-4"/>
          <w:sz w:val="24"/>
          <w:szCs w:val="24"/>
          <w:highlight w:val="none"/>
        </w:rPr>
        <w:t>进入缺陷责任期及质量保修期，缺陷责任期2年，质量保修期</w:t>
      </w:r>
      <w:r>
        <w:rPr>
          <w:rFonts w:hint="eastAsia" w:asciiTheme="minorEastAsia" w:hAnsiTheme="minorEastAsia" w:eastAsiaTheme="minorEastAsia" w:cstheme="minorEastAsia"/>
          <w:color w:val="auto"/>
          <w:spacing w:val="-4"/>
          <w:sz w:val="24"/>
          <w:szCs w:val="24"/>
          <w:highlight w:val="none"/>
          <w:u w:val="single"/>
          <w:lang w:val="en-US" w:eastAsia="zh-CN"/>
        </w:rPr>
        <w:t>5</w:t>
      </w:r>
      <w:r>
        <w:rPr>
          <w:rFonts w:hint="eastAsia" w:asciiTheme="minorEastAsia" w:hAnsiTheme="minorEastAsia" w:eastAsiaTheme="minorEastAsia" w:cstheme="minorEastAsia"/>
          <w:color w:val="auto"/>
          <w:spacing w:val="-4"/>
          <w:sz w:val="24"/>
          <w:szCs w:val="24"/>
          <w:highlight w:val="none"/>
        </w:rPr>
        <w:t>年。</w:t>
      </w:r>
    </w:p>
    <w:bookmarkEnd w:id="448"/>
    <w:p w14:paraId="0EC5D1BC">
      <w:pPr>
        <w:adjustRightInd w:val="0"/>
        <w:snapToGrid w:val="0"/>
        <w:spacing w:line="360" w:lineRule="auto"/>
        <w:ind w:firstLine="466" w:firstLineChars="200"/>
        <w:jc w:val="left"/>
        <w:rPr>
          <w:rFonts w:asciiTheme="minorEastAsia" w:hAnsiTheme="minorEastAsia" w:eastAsiaTheme="minorEastAsia" w:cstheme="minorEastAsia"/>
          <w:b/>
          <w:bCs/>
          <w:color w:val="auto"/>
          <w:spacing w:val="-4"/>
          <w:sz w:val="24"/>
          <w:szCs w:val="24"/>
          <w:highlight w:val="none"/>
        </w:rPr>
      </w:pPr>
      <w:r>
        <w:rPr>
          <w:rFonts w:hint="eastAsia" w:asciiTheme="minorEastAsia" w:hAnsiTheme="minorEastAsia" w:eastAsiaTheme="minorEastAsia" w:cstheme="minorEastAsia"/>
          <w:b/>
          <w:bCs/>
          <w:color w:val="auto"/>
          <w:spacing w:val="-4"/>
          <w:sz w:val="24"/>
          <w:szCs w:val="24"/>
          <w:highlight w:val="none"/>
        </w:rPr>
        <w:t>五、预付款及</w:t>
      </w:r>
      <w:r>
        <w:rPr>
          <w:rFonts w:hint="eastAsia" w:asciiTheme="minorEastAsia" w:hAnsiTheme="minorEastAsia" w:eastAsiaTheme="minorEastAsia" w:cstheme="minorEastAsia"/>
          <w:b/>
          <w:bCs/>
          <w:color w:val="auto"/>
          <w:sz w:val="24"/>
          <w:szCs w:val="24"/>
          <w:highlight w:val="none"/>
        </w:rPr>
        <w:t>工程款的支付</w:t>
      </w:r>
      <w:r>
        <w:rPr>
          <w:rFonts w:hint="eastAsia" w:asciiTheme="minorEastAsia" w:hAnsiTheme="minorEastAsia" w:eastAsiaTheme="minorEastAsia" w:cstheme="minorEastAsia"/>
          <w:b/>
          <w:bCs/>
          <w:color w:val="auto"/>
          <w:spacing w:val="-4"/>
          <w:sz w:val="24"/>
          <w:szCs w:val="24"/>
          <w:highlight w:val="none"/>
        </w:rPr>
        <w:tab/>
      </w:r>
    </w:p>
    <w:p w14:paraId="5F467987">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1.预付款的支付</w:t>
      </w:r>
    </w:p>
    <w:p w14:paraId="6821EDF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预付款支付比例或金额：</w:t>
      </w:r>
      <w:r>
        <w:rPr>
          <w:rFonts w:hint="eastAsia" w:asciiTheme="minorEastAsia" w:hAnsiTheme="minorEastAsia" w:eastAsiaTheme="minorEastAsia" w:cstheme="minorEastAsia"/>
          <w:color w:val="auto"/>
          <w:sz w:val="24"/>
          <w:szCs w:val="24"/>
          <w:highlight w:val="none"/>
          <w:u w:val="single"/>
        </w:rPr>
        <w:t>/。</w:t>
      </w:r>
    </w:p>
    <w:p w14:paraId="13DC8970">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预付款支付期限：</w:t>
      </w:r>
      <w:r>
        <w:rPr>
          <w:rFonts w:hint="eastAsia" w:asciiTheme="minorEastAsia" w:hAnsiTheme="minorEastAsia" w:eastAsiaTheme="minorEastAsia" w:cstheme="minorEastAsia"/>
          <w:color w:val="auto"/>
          <w:sz w:val="24"/>
          <w:szCs w:val="24"/>
          <w:highlight w:val="none"/>
          <w:u w:val="single"/>
        </w:rPr>
        <w:t>/。</w:t>
      </w:r>
    </w:p>
    <w:p w14:paraId="59E0F9E0">
      <w:pPr>
        <w:adjustRightInd w:val="0"/>
        <w:snapToGrid w:val="0"/>
        <w:spacing w:line="360" w:lineRule="auto"/>
        <w:ind w:firstLine="480" w:firstLineChars="200"/>
        <w:jc w:val="left"/>
        <w:rPr>
          <w:rFonts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预付款扣回的方式：</w:t>
      </w:r>
      <w:r>
        <w:rPr>
          <w:rFonts w:hint="eastAsia" w:asciiTheme="minorEastAsia" w:hAnsiTheme="minorEastAsia" w:eastAsiaTheme="minorEastAsia" w:cstheme="minorEastAsia"/>
          <w:color w:val="auto"/>
          <w:sz w:val="24"/>
          <w:szCs w:val="24"/>
          <w:highlight w:val="none"/>
          <w:u w:val="single"/>
        </w:rPr>
        <w:t>/。</w:t>
      </w:r>
    </w:p>
    <w:p w14:paraId="3C9A330C">
      <w:pPr>
        <w:adjustRightInd w:val="0"/>
        <w:snapToGrid w:val="0"/>
        <w:spacing w:line="360" w:lineRule="auto"/>
        <w:ind w:firstLine="480" w:firstLineChars="200"/>
        <w:jc w:val="left"/>
        <w:rPr>
          <w:rFonts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2.工程款的支付：本项目</w:t>
      </w:r>
      <w:r>
        <w:rPr>
          <w:rFonts w:hint="eastAsia" w:asciiTheme="minorEastAsia" w:hAnsiTheme="minorEastAsia" w:eastAsiaTheme="minorEastAsia" w:cstheme="minorEastAsia"/>
          <w:bCs/>
          <w:color w:val="auto"/>
          <w:sz w:val="24"/>
          <w:szCs w:val="24"/>
          <w:highlight w:val="none"/>
          <w:lang w:val="en-US" w:eastAsia="zh-CN"/>
        </w:rPr>
        <w:t>中标施工单位开工进场后，采购人支付合同价款20%作为</w:t>
      </w:r>
      <w:r>
        <w:rPr>
          <w:rFonts w:hint="eastAsia" w:asciiTheme="minorEastAsia" w:hAnsiTheme="minorEastAsia" w:eastAsiaTheme="minorEastAsia" w:cstheme="minorEastAsia"/>
          <w:bCs/>
          <w:color w:val="auto"/>
          <w:sz w:val="24"/>
          <w:szCs w:val="24"/>
          <w:highlight w:val="none"/>
        </w:rPr>
        <w:t>工程预付款</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项目内容完成50%（甲乙双方会同监理现场确认完成工程量）采购人支付合同价款20%作为</w:t>
      </w:r>
      <w:r>
        <w:rPr>
          <w:rFonts w:hint="eastAsia" w:asciiTheme="minorEastAsia" w:hAnsiTheme="minorEastAsia" w:eastAsiaTheme="minorEastAsia" w:cstheme="minorEastAsia"/>
          <w:bCs/>
          <w:color w:val="auto"/>
          <w:sz w:val="24"/>
          <w:szCs w:val="24"/>
          <w:highlight w:val="none"/>
        </w:rPr>
        <w:t>工程进度款。验收合格后</w:t>
      </w:r>
      <w:r>
        <w:rPr>
          <w:rFonts w:hint="eastAsia" w:asciiTheme="minorEastAsia" w:hAnsiTheme="minorEastAsia" w:eastAsiaTheme="minorEastAsia" w:cstheme="minorEastAsia"/>
          <w:bCs/>
          <w:color w:val="auto"/>
          <w:sz w:val="24"/>
          <w:szCs w:val="24"/>
          <w:highlight w:val="none"/>
          <w:lang w:val="en-US" w:eastAsia="zh-CN"/>
        </w:rPr>
        <w:t>采购人</w:t>
      </w:r>
      <w:r>
        <w:rPr>
          <w:rFonts w:hint="eastAsia" w:asciiTheme="minorEastAsia" w:hAnsiTheme="minorEastAsia" w:eastAsiaTheme="minorEastAsia" w:cstheme="minorEastAsia"/>
          <w:bCs/>
          <w:color w:val="auto"/>
          <w:sz w:val="24"/>
          <w:szCs w:val="24"/>
          <w:highlight w:val="none"/>
        </w:rPr>
        <w:t>向</w:t>
      </w:r>
      <w:r>
        <w:rPr>
          <w:rFonts w:hint="eastAsia" w:asciiTheme="minorEastAsia" w:hAnsiTheme="minorEastAsia" w:eastAsiaTheme="minorEastAsia" w:cstheme="minorEastAsia"/>
          <w:bCs/>
          <w:color w:val="auto"/>
          <w:sz w:val="24"/>
          <w:szCs w:val="24"/>
          <w:highlight w:val="none"/>
          <w:lang w:val="en-US" w:eastAsia="zh-CN"/>
        </w:rPr>
        <w:t>成交供应商支付</w:t>
      </w:r>
      <w:r>
        <w:rPr>
          <w:rFonts w:hint="eastAsia" w:asciiTheme="minorEastAsia" w:hAnsiTheme="minorEastAsia" w:eastAsiaTheme="minorEastAsia" w:cstheme="minorEastAsia"/>
          <w:bCs/>
          <w:color w:val="auto"/>
          <w:sz w:val="24"/>
          <w:szCs w:val="24"/>
          <w:highlight w:val="none"/>
        </w:rPr>
        <w:t>付合同</w:t>
      </w:r>
      <w:r>
        <w:rPr>
          <w:rFonts w:hint="eastAsia" w:asciiTheme="minorEastAsia" w:hAnsiTheme="minorEastAsia" w:eastAsiaTheme="minorEastAsia" w:cstheme="minorEastAsia"/>
          <w:bCs/>
          <w:color w:val="auto"/>
          <w:sz w:val="24"/>
          <w:szCs w:val="24"/>
          <w:highlight w:val="none"/>
          <w:lang w:val="en-US" w:eastAsia="zh-CN"/>
        </w:rPr>
        <w:t>价款30%作为</w:t>
      </w:r>
      <w:r>
        <w:rPr>
          <w:rFonts w:hint="eastAsia" w:asciiTheme="minorEastAsia" w:hAnsiTheme="minorEastAsia" w:eastAsiaTheme="minorEastAsia" w:cstheme="minorEastAsia"/>
          <w:bCs/>
          <w:color w:val="auto"/>
          <w:sz w:val="24"/>
          <w:szCs w:val="24"/>
          <w:highlight w:val="none"/>
        </w:rPr>
        <w:t>工程进度款，</w:t>
      </w:r>
      <w:r>
        <w:rPr>
          <w:rFonts w:hint="eastAsia" w:asciiTheme="minorEastAsia" w:hAnsiTheme="minorEastAsia" w:eastAsiaTheme="minorEastAsia" w:cstheme="minorEastAsia"/>
          <w:bCs/>
          <w:color w:val="auto"/>
          <w:sz w:val="24"/>
          <w:szCs w:val="24"/>
          <w:highlight w:val="none"/>
          <w:lang w:val="en-US" w:eastAsia="zh-CN"/>
        </w:rPr>
        <w:t>供应商</w:t>
      </w:r>
      <w:r>
        <w:rPr>
          <w:rFonts w:hint="eastAsia" w:asciiTheme="minorEastAsia" w:hAnsiTheme="minorEastAsia" w:eastAsiaTheme="minorEastAsia" w:cstheme="minorEastAsia"/>
          <w:bCs/>
          <w:color w:val="auto"/>
          <w:sz w:val="24"/>
          <w:szCs w:val="24"/>
          <w:highlight w:val="none"/>
        </w:rPr>
        <w:t>必须按付价款金额</w:t>
      </w:r>
      <w:r>
        <w:rPr>
          <w:rFonts w:hint="eastAsia" w:asciiTheme="minorEastAsia" w:hAnsiTheme="minorEastAsia" w:eastAsiaTheme="minorEastAsia" w:cstheme="minorEastAsia"/>
          <w:bCs/>
          <w:color w:val="auto"/>
          <w:sz w:val="24"/>
          <w:szCs w:val="24"/>
          <w:highlight w:val="none"/>
          <w:lang w:val="en-US" w:eastAsia="zh-CN"/>
        </w:rPr>
        <w:t>提供付款申请、</w:t>
      </w:r>
      <w:r>
        <w:rPr>
          <w:rFonts w:hint="eastAsia" w:asciiTheme="minorEastAsia" w:hAnsiTheme="minorEastAsia" w:eastAsiaTheme="minorEastAsia" w:cstheme="minorEastAsia"/>
          <w:bCs/>
          <w:color w:val="auto"/>
          <w:sz w:val="24"/>
          <w:szCs w:val="24"/>
          <w:highlight w:val="none"/>
        </w:rPr>
        <w:t>开具</w:t>
      </w:r>
      <w:r>
        <w:rPr>
          <w:rFonts w:hint="eastAsia" w:asciiTheme="minorEastAsia" w:hAnsiTheme="minorEastAsia" w:eastAsiaTheme="minorEastAsia" w:cstheme="minorEastAsia"/>
          <w:bCs/>
          <w:color w:val="auto"/>
          <w:sz w:val="24"/>
          <w:szCs w:val="24"/>
          <w:highlight w:val="none"/>
          <w:lang w:val="en-US" w:eastAsia="zh-CN"/>
        </w:rPr>
        <w:t>收款收据</w:t>
      </w:r>
      <w:r>
        <w:rPr>
          <w:rFonts w:hint="eastAsia" w:asciiTheme="minorEastAsia" w:hAnsiTheme="minorEastAsia" w:eastAsiaTheme="minorEastAsia" w:cstheme="minorEastAsia"/>
          <w:bCs/>
          <w:color w:val="auto"/>
          <w:sz w:val="24"/>
          <w:szCs w:val="24"/>
          <w:highlight w:val="none"/>
        </w:rPr>
        <w:t>予</w:t>
      </w:r>
      <w:r>
        <w:rPr>
          <w:rFonts w:hint="eastAsia" w:asciiTheme="minorEastAsia" w:hAnsiTheme="minorEastAsia" w:eastAsiaTheme="minorEastAsia" w:cstheme="minorEastAsia"/>
          <w:bCs/>
          <w:color w:val="auto"/>
          <w:sz w:val="24"/>
          <w:szCs w:val="24"/>
          <w:highlight w:val="none"/>
          <w:lang w:val="en-US" w:eastAsia="zh-CN"/>
        </w:rPr>
        <w:t>采购人</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按照验收确认的实际完成工程量结算项目价款，并经过第三方项目管理公司结算审核，甲乙双方签字确认的审核结果最为项目最终费用。甲方按照审核确认的最终费用支付至97%，成交供应商提供项目全额最终费用正式发票，项目最终费用的3%作为项目质保金，质保期满，未发生质量问题，采购人全额</w:t>
      </w:r>
      <w:r>
        <w:rPr>
          <w:rFonts w:hint="eastAsia" w:asciiTheme="minorEastAsia" w:hAnsiTheme="minorEastAsia" w:eastAsiaTheme="minorEastAsia" w:cstheme="minorEastAsia"/>
          <w:bCs/>
          <w:color w:val="auto"/>
          <w:sz w:val="24"/>
          <w:szCs w:val="24"/>
          <w:highlight w:val="none"/>
        </w:rPr>
        <w:t>支付</w:t>
      </w:r>
      <w:r>
        <w:rPr>
          <w:rFonts w:hint="eastAsia" w:asciiTheme="minorEastAsia" w:hAnsiTheme="minorEastAsia" w:eastAsiaTheme="minorEastAsia" w:cstheme="minorEastAsia"/>
          <w:bCs/>
          <w:color w:val="auto"/>
          <w:sz w:val="24"/>
          <w:szCs w:val="24"/>
          <w:highlight w:val="none"/>
          <w:lang w:val="en-US" w:eastAsia="zh-CN"/>
        </w:rPr>
        <w:t>质保金予成交供应商。</w:t>
      </w:r>
    </w:p>
    <w:p w14:paraId="6FEE8C91">
      <w:pPr>
        <w:adjustRightInd w:val="0"/>
        <w:snapToGrid w:val="0"/>
        <w:spacing w:line="360" w:lineRule="auto"/>
        <w:ind w:firstLine="466" w:firstLineChars="200"/>
        <w:jc w:val="left"/>
        <w:rPr>
          <w:rFonts w:asciiTheme="minorEastAsia" w:hAnsiTheme="minorEastAsia" w:eastAsiaTheme="minorEastAsia" w:cstheme="minorEastAsia"/>
          <w:b/>
          <w:bCs/>
          <w:color w:val="auto"/>
          <w:spacing w:val="-4"/>
          <w:sz w:val="24"/>
          <w:szCs w:val="24"/>
          <w:highlight w:val="none"/>
        </w:rPr>
      </w:pPr>
      <w:r>
        <w:rPr>
          <w:rFonts w:hint="eastAsia" w:asciiTheme="minorEastAsia" w:hAnsiTheme="minorEastAsia" w:eastAsiaTheme="minorEastAsia" w:cstheme="minorEastAsia"/>
          <w:b/>
          <w:bCs/>
          <w:color w:val="auto"/>
          <w:spacing w:val="-4"/>
          <w:sz w:val="24"/>
          <w:szCs w:val="24"/>
          <w:highlight w:val="none"/>
        </w:rPr>
        <w:t>六、履约保证金：</w:t>
      </w:r>
    </w:p>
    <w:p w14:paraId="20EA22D0">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承包人是否提供履约担保：</w:t>
      </w:r>
      <w:r>
        <w:rPr>
          <w:rFonts w:hint="eastAsia" w:asciiTheme="minorEastAsia" w:hAnsiTheme="minorEastAsia" w:eastAsiaTheme="minorEastAsia" w:cstheme="minorEastAsia"/>
          <w:color w:val="auto"/>
          <w:sz w:val="24"/>
          <w:szCs w:val="24"/>
          <w:highlight w:val="none"/>
          <w:u w:val="single"/>
        </w:rPr>
        <w:t>/。</w:t>
      </w:r>
    </w:p>
    <w:p w14:paraId="3200D633">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七、承包人义务</w:t>
      </w:r>
    </w:p>
    <w:p w14:paraId="313AEC0D">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承包人提交的竣工资料的内容：</w:t>
      </w:r>
      <w:r>
        <w:rPr>
          <w:rFonts w:hint="eastAsia" w:asciiTheme="minorEastAsia" w:hAnsiTheme="minorEastAsia" w:eastAsiaTheme="minorEastAsia" w:cstheme="minorEastAsia"/>
          <w:color w:val="auto"/>
          <w:sz w:val="24"/>
          <w:szCs w:val="24"/>
          <w:highlight w:val="none"/>
          <w:u w:val="single"/>
        </w:rPr>
        <w:t>满足现行法律法规规定、发包人及建设行政主管部门要求的竣工资料的要求</w:t>
      </w:r>
      <w:r>
        <w:rPr>
          <w:rFonts w:hint="eastAsia" w:asciiTheme="minorEastAsia" w:hAnsiTheme="minorEastAsia" w:eastAsiaTheme="minorEastAsia" w:cstheme="minorEastAsia"/>
          <w:color w:val="auto"/>
          <w:sz w:val="24"/>
          <w:szCs w:val="24"/>
          <w:highlight w:val="none"/>
        </w:rPr>
        <w:t>。</w:t>
      </w:r>
    </w:p>
    <w:p w14:paraId="10967FE7">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承包人需要提交的竣工资料套数：</w:t>
      </w:r>
      <w:r>
        <w:rPr>
          <w:rFonts w:hint="eastAsia" w:asciiTheme="minorEastAsia" w:hAnsiTheme="minorEastAsia" w:eastAsiaTheme="minorEastAsia" w:cstheme="minorEastAsia"/>
          <w:snapToGrid w:val="0"/>
          <w:color w:val="auto"/>
          <w:kern w:val="0"/>
          <w:sz w:val="24"/>
          <w:szCs w:val="24"/>
          <w:highlight w:val="none"/>
          <w:u w:val="single"/>
        </w:rPr>
        <w:t>执行发包人及建设行政主管部门实际要求</w:t>
      </w:r>
      <w:r>
        <w:rPr>
          <w:rFonts w:hint="eastAsia" w:asciiTheme="minorEastAsia" w:hAnsiTheme="minorEastAsia" w:eastAsiaTheme="minorEastAsia" w:cstheme="minorEastAsia"/>
          <w:color w:val="auto"/>
          <w:sz w:val="24"/>
          <w:szCs w:val="24"/>
          <w:highlight w:val="none"/>
        </w:rPr>
        <w:t>。</w:t>
      </w:r>
    </w:p>
    <w:p w14:paraId="600C4A83">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承包人提交的竣工资料的费用承担：</w:t>
      </w:r>
      <w:r>
        <w:rPr>
          <w:rFonts w:hint="eastAsia" w:asciiTheme="minorEastAsia" w:hAnsiTheme="minorEastAsia" w:eastAsiaTheme="minorEastAsia" w:cstheme="minorEastAsia"/>
          <w:color w:val="auto"/>
          <w:sz w:val="24"/>
          <w:szCs w:val="24"/>
          <w:highlight w:val="none"/>
          <w:u w:val="single"/>
        </w:rPr>
        <w:t>已包含在合同价款中</w:t>
      </w:r>
      <w:r>
        <w:rPr>
          <w:rFonts w:hint="eastAsia" w:asciiTheme="minorEastAsia" w:hAnsiTheme="minorEastAsia" w:eastAsiaTheme="minorEastAsia" w:cstheme="minorEastAsia"/>
          <w:color w:val="auto"/>
          <w:sz w:val="24"/>
          <w:szCs w:val="24"/>
          <w:highlight w:val="none"/>
        </w:rPr>
        <w:t>。</w:t>
      </w:r>
    </w:p>
    <w:p w14:paraId="75C83316">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承包人提交的竣工资料移交时间：</w:t>
      </w:r>
      <w:r>
        <w:rPr>
          <w:rFonts w:hint="eastAsia" w:asciiTheme="minorEastAsia" w:hAnsiTheme="minorEastAsia" w:eastAsiaTheme="minorEastAsia" w:cstheme="minorEastAsia"/>
          <w:color w:val="auto"/>
          <w:sz w:val="24"/>
          <w:szCs w:val="24"/>
          <w:highlight w:val="none"/>
          <w:u w:val="single"/>
        </w:rPr>
        <w:t>竣工验收后一个月内，递交符合发包人及当地城建档案部门要求的合格竣工图及竣工资料文件。</w:t>
      </w:r>
    </w:p>
    <w:p w14:paraId="5B59B5DD">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承包人提交的竣工资料形式要求：</w:t>
      </w:r>
      <w:r>
        <w:rPr>
          <w:rFonts w:hint="eastAsia" w:asciiTheme="minorEastAsia" w:hAnsiTheme="minorEastAsia" w:eastAsiaTheme="minorEastAsia" w:cstheme="minorEastAsia"/>
          <w:color w:val="auto"/>
          <w:sz w:val="24"/>
          <w:szCs w:val="24"/>
          <w:highlight w:val="none"/>
          <w:u w:val="single"/>
        </w:rPr>
        <w:t>符合发包人及当地城建档案部门要求的合格竣工图及工程竣工资料</w:t>
      </w:r>
      <w:r>
        <w:rPr>
          <w:rFonts w:hint="eastAsia" w:asciiTheme="minorEastAsia" w:hAnsiTheme="minorEastAsia" w:eastAsiaTheme="minorEastAsia" w:cstheme="minorEastAsia"/>
          <w:color w:val="auto"/>
          <w:sz w:val="24"/>
          <w:szCs w:val="24"/>
          <w:highlight w:val="none"/>
        </w:rPr>
        <w:t>。</w:t>
      </w:r>
    </w:p>
    <w:p w14:paraId="23E6AC8F">
      <w:pPr>
        <w:adjustRightInd w:val="0"/>
        <w:snapToGrid w:val="0"/>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承包人应履行的其他义务：</w:t>
      </w:r>
    </w:p>
    <w:p w14:paraId="7BECA808">
      <w:pPr>
        <w:pStyle w:val="61"/>
        <w:tabs>
          <w:tab w:val="left" w:pos="955"/>
        </w:tabs>
        <w:adjustRightInd w:val="0"/>
        <w:snapToGrid w:val="0"/>
        <w:spacing w:line="36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①承包人必须根据省、市及所在地相关部门颁发的文明施工规定和国家有关安全施工的各种规范要求，精心组织施工，贯彻“谁施工，谁负责” 的原则。由于承包人违反操作规程施工所造成的一切损失，均由承包人承担，发包人有权在进度付款中扣除相关费用，并不予返还。</w:t>
      </w:r>
    </w:p>
    <w:p w14:paraId="36B5398A">
      <w:pPr>
        <w:pStyle w:val="61"/>
        <w:tabs>
          <w:tab w:val="left" w:pos="955"/>
        </w:tabs>
        <w:adjustRightInd w:val="0"/>
        <w:snapToGrid w:val="0"/>
        <w:spacing w:line="36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②承包人负责根据工程需要，提供场地的安全保卫及交通巡查等必要的照明、危险物的警示、围栏设施等；负责施工现场的防火、防盗及施工安全保卫工作，并承担由此产生的费用。承包人应严格按照现行有效的《施工现场临时用电安全技术规范》和《建设工程施工现场供用电安全规范 》组织施工，相关费用已包含在合同协议所确定的合同价款中。因承包人未能按照上述规范组织施工，发包人有权根据现场实际情况在工程付款中扣除相关费用，并不予返还。</w:t>
      </w:r>
    </w:p>
    <w:p w14:paraId="4ACE8DBB">
      <w:pPr>
        <w:pStyle w:val="61"/>
        <w:tabs>
          <w:tab w:val="left" w:pos="955"/>
        </w:tabs>
        <w:adjustRightInd w:val="0"/>
        <w:snapToGrid w:val="0"/>
        <w:spacing w:line="36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③</w:t>
      </w:r>
      <w:r>
        <w:rPr>
          <w:rFonts w:hint="eastAsia" w:asciiTheme="minorEastAsia" w:hAnsiTheme="minorEastAsia" w:eastAsiaTheme="minorEastAsia" w:cstheme="minorEastAsia"/>
          <w:color w:val="auto"/>
          <w:sz w:val="24"/>
          <w:szCs w:val="24"/>
          <w:highlight w:val="none"/>
          <w:u w:val="single"/>
        </w:rPr>
        <w:t>为发包人代表提供办公条件，其费用已含在合同价款内，发包人不再单独支付此部分费用。</w:t>
      </w:r>
    </w:p>
    <w:p w14:paraId="7695BE90">
      <w:pPr>
        <w:pStyle w:val="102"/>
        <w:tabs>
          <w:tab w:val="left" w:pos="955"/>
        </w:tabs>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④遵守政府有关主管部门对施工场地安全防护、文明施工、环境保护以及场地交通的管理规定，按规定办理有关手续，费用已包含在合同价款当中。在施工过程中严格落实粉尘、废水等污染防治措施及生态保护、水土保持措施。否则，由此发生的费用及由于承包人责任造成的罚款由承包人负责。</w:t>
      </w:r>
    </w:p>
    <w:p w14:paraId="0C0DAF02">
      <w:pPr>
        <w:pStyle w:val="61"/>
        <w:tabs>
          <w:tab w:val="left" w:pos="955"/>
        </w:tabs>
        <w:adjustRightInd w:val="0"/>
        <w:snapToGrid w:val="0"/>
        <w:spacing w:line="36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⑤承包人按照有关法律、规范、规程的规定进行成品保护，所需的费用都已包含在合同价款当中。</w:t>
      </w:r>
    </w:p>
    <w:p w14:paraId="73D6748B">
      <w:pPr>
        <w:pStyle w:val="61"/>
        <w:tabs>
          <w:tab w:val="left" w:pos="955"/>
        </w:tabs>
        <w:adjustRightInd w:val="0"/>
        <w:snapToGrid w:val="0"/>
        <w:spacing w:line="36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⑥在工程移交发包人之前，对承包人已完工程的保护工作及费用均由承包人负责，发生损坏由承包人自费修复；</w:t>
      </w:r>
    </w:p>
    <w:p w14:paraId="2775CCD8">
      <w:pPr>
        <w:pStyle w:val="61"/>
        <w:tabs>
          <w:tab w:val="left" w:pos="955"/>
        </w:tabs>
        <w:adjustRightInd w:val="0"/>
        <w:snapToGrid w:val="0"/>
        <w:spacing w:line="36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⑦承包人对发包人指定分包的单位在成品保护方面具有管理权，施工时若因保护不力而产生的责任由承包人承担。</w:t>
      </w:r>
    </w:p>
    <w:p w14:paraId="4663ECFD">
      <w:pPr>
        <w:pStyle w:val="61"/>
        <w:tabs>
          <w:tab w:val="left" w:pos="955"/>
        </w:tabs>
        <w:adjustRightInd w:val="0"/>
        <w:snapToGrid w:val="0"/>
        <w:spacing w:line="36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⑧承包人进现场后，负责做好施工过程中的安全、保卫、防火、人员安全文明教育等工作，遵守发包人的各项规章制度，若在施工期间发生影响施工所在地环境、安全事件，根据情况追究承包人的法律责任。若在施工过程中，对现有设施造成损坏的，应负责免费维修并处以相应罚款。</w:t>
      </w:r>
    </w:p>
    <w:p w14:paraId="779EE507">
      <w:pPr>
        <w:pStyle w:val="61"/>
        <w:tabs>
          <w:tab w:val="left" w:pos="1141"/>
        </w:tabs>
        <w:adjustRightInd w:val="0"/>
        <w:snapToGrid w:val="0"/>
        <w:spacing w:line="36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⑨承包人须无条件配合发包人办理本项目的报建、报验等手续。</w:t>
      </w:r>
    </w:p>
    <w:p w14:paraId="05CD82A5">
      <w:pPr>
        <w:pStyle w:val="61"/>
        <w:tabs>
          <w:tab w:val="left" w:pos="1141"/>
        </w:tabs>
        <w:adjustRightInd w:val="0"/>
        <w:snapToGrid w:val="0"/>
        <w:spacing w:line="36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⑩在施工期间，承包人应负责自行解决在工程施工过程出现的一切干扰问题，协调与当地的居民关系，接受并配合有关建设、市政、市容、环保、消防、供电等部门的管理，积极主动做好相关工作，确保工期和工程的正常运行，并承担因此而产生的一切费用。</w:t>
      </w:r>
    </w:p>
    <w:p w14:paraId="7D5B2D81">
      <w:pPr>
        <w:pStyle w:val="61"/>
        <w:tabs>
          <w:tab w:val="left" w:pos="1141"/>
        </w:tabs>
        <w:adjustRightInd w:val="0"/>
        <w:snapToGrid w:val="0"/>
        <w:spacing w:line="36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⑪承包人需为本项目发包人的分包商提供生产及生活条件，如材料堆放场地、生活用水用电、施工用水用电接口、脚手架、垂直运输工具或通道、室外道路、门卫管理、现场保卫工作等，费用自行协商。</w:t>
      </w:r>
    </w:p>
    <w:p w14:paraId="05CDAFAD">
      <w:pPr>
        <w:pStyle w:val="61"/>
        <w:tabs>
          <w:tab w:val="left" w:pos="1141"/>
        </w:tabs>
        <w:adjustRightInd w:val="0"/>
        <w:snapToGrid w:val="0"/>
        <w:spacing w:line="36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⑫图纸交底前及施工过程中，承包人须配齐专业人员仔细阅读图纸，对各专业图纸进行核对，对图纸存在的错碰漏(包括任何工程定位的抵触及是否有足够的维修空间等)及时向发包人提出，经书面答复后方可施工。</w:t>
      </w:r>
    </w:p>
    <w:p w14:paraId="0B963160">
      <w:pPr>
        <w:pStyle w:val="61"/>
        <w:tabs>
          <w:tab w:val="left" w:pos="1141"/>
        </w:tabs>
        <w:adjustRightInd w:val="0"/>
        <w:snapToGrid w:val="0"/>
        <w:spacing w:line="36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⑬承包人负责整个工程竣工资料的汇编（含发包人指定分包工程）。</w:t>
      </w:r>
    </w:p>
    <w:p w14:paraId="50322992">
      <w:pPr>
        <w:pStyle w:val="102"/>
        <w:tabs>
          <w:tab w:val="left" w:pos="1141"/>
        </w:tabs>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⑭承包人必须无条件确保农民工工资得到及时发放，无拖欠农民工工资现象，并采取发包人认为切实可行的措施确保无劳资纠纷事件发生。进行劳务作业的承包人与本合同中的承包人签订劳务分包合同后，若劳务作业的实际施工人向发包人申诉主张权利的，承包人应在接到发包人书面通知的三日内解决该纠纷，否则发包人有权在审定的范围内或者人民法院判定的范围内向实际施工人支付欠付的劳务费。发包人代支的劳务费除了从当期工程款内直接扣除外, 承包人须按照发包人所垫付的劳务费4倍向发包人支付违约金，违约金在下期进度款和结算中扣除。若发生农民工堵门、堵路、干扰发包人人员正常工作秩序等现象以及发包人无违约情况但因承包人原因被列为被告，承包人同意支付 10000 元/次违约金。</w:t>
      </w:r>
    </w:p>
    <w:p w14:paraId="6A7B7BE2">
      <w:pPr>
        <w:pStyle w:val="102"/>
        <w:tabs>
          <w:tab w:val="left" w:pos="1141"/>
        </w:tabs>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⑮由承包人采购供应的材料与设备在采购前，须提前向发包人申报购买计划，注明购买产品的规格、型号、数量、品牌与厂家等，必要时还应提供样品（涉及到花色、外观的必须提供至少3种样品），经发包人和监理人认可后方可购买，否则按不合格品处理，并拒绝支付该项费用。承包人在采购时，应按照合同约定及设计和有关标准要求(如：材料、设备的推荐品牌)采购，材料进场必须三证（出厂证明、质量检验证、产品合格证）齐全。承包人在建筑物资与设备到货24小时以前通知发包人及监理验收。</w:t>
      </w:r>
    </w:p>
    <w:p w14:paraId="5B9E48AE">
      <w:pPr>
        <w:pStyle w:val="102"/>
        <w:tabs>
          <w:tab w:val="left" w:pos="1141"/>
        </w:tabs>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a.承包人采购供应的材料与设备，如与合同约定及设计和有关标准要求不符时，承包人应按发包人要求的时间运出施工场地，重新采购符合要求的产品，并承担由此发生的费用，由此延误的工期不予顺延。</w:t>
      </w:r>
    </w:p>
    <w:p w14:paraId="7BA87CD9">
      <w:pPr>
        <w:pStyle w:val="102"/>
        <w:tabs>
          <w:tab w:val="left" w:pos="1141"/>
        </w:tabs>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b.承包人采购供应的材料与设备在使用前，承包人应按发包人的要求进行检验或试验，不合格的不得使用，检验或试验费用由承包人承担。</w:t>
      </w:r>
    </w:p>
    <w:p w14:paraId="5960F26A">
      <w:pPr>
        <w:pStyle w:val="102"/>
        <w:tabs>
          <w:tab w:val="left" w:pos="1141"/>
        </w:tabs>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c.发包人发现承包人采购并使用不符和合同约定及设计和有关标准要求的材料与设备时，承包人应予以拆除并重新采购，费用由承包人承担，同时按照材料与设备款项的5%处以罚款，由此延误的工期不予顺延。</w:t>
      </w:r>
    </w:p>
    <w:p w14:paraId="3F397603">
      <w:pPr>
        <w:pStyle w:val="102"/>
        <w:tabs>
          <w:tab w:val="left" w:pos="1141"/>
        </w:tabs>
        <w:adjustRightInd w:val="0"/>
        <w:snapToGrid w:val="0"/>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八、工期延误</w:t>
      </w:r>
    </w:p>
    <w:p w14:paraId="45A69CCF">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因发包人原因导致工期延误：发包人顺延工期，费用不予增加。</w:t>
      </w:r>
    </w:p>
    <w:p w14:paraId="3EC4FBF1">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bookmarkStart w:id="449" w:name="_Toc297123518"/>
      <w:bookmarkStart w:id="450" w:name="_Toc297216177"/>
      <w:bookmarkStart w:id="451" w:name="_Toc300934970"/>
      <w:bookmarkStart w:id="452" w:name="_Toc304295548"/>
      <w:bookmarkStart w:id="453" w:name="_Toc303539127"/>
      <w:r>
        <w:rPr>
          <w:rFonts w:hint="eastAsia" w:asciiTheme="minorEastAsia" w:hAnsiTheme="minorEastAsia" w:eastAsiaTheme="minorEastAsia" w:cstheme="minorEastAsia"/>
          <w:color w:val="auto"/>
          <w:sz w:val="24"/>
          <w:szCs w:val="24"/>
          <w:highlight w:val="none"/>
          <w:u w:val="single"/>
        </w:rPr>
        <w:t>因</w:t>
      </w:r>
      <w:bookmarkStart w:id="454" w:name="_Toc312678013"/>
      <w:bookmarkStart w:id="455" w:name="_Toc312677487"/>
      <w:bookmarkStart w:id="456" w:name="_Toc318581170"/>
      <w:r>
        <w:rPr>
          <w:rFonts w:hint="eastAsia" w:asciiTheme="minorEastAsia" w:hAnsiTheme="minorEastAsia" w:eastAsiaTheme="minorEastAsia" w:cstheme="minorEastAsia"/>
          <w:color w:val="auto"/>
          <w:sz w:val="24"/>
          <w:szCs w:val="24"/>
          <w:highlight w:val="none"/>
          <w:u w:val="single"/>
        </w:rPr>
        <w:t>承包人原因造成工期延误，逾期竣工违约金的计算方法为：承包人按发包要求的工期按时完成，每拖后一天同意支付2000元违约金，逐日累计；若因承包人原因影响发包人使用，另行赔偿由此给发包人造成的损失。</w:t>
      </w:r>
    </w:p>
    <w:p w14:paraId="0256810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施工过程中工期延误2个月以上的，承包人仍未采取有效措施，或当承包人在总工期超过一个月内未完成本项目承包范围内施工内容，发包人有权利对分项工程进行单独分包，由发包人直接与具有相应资质的分包单位另行签订合同并结算，该部分工程量从承包范围中直接扣除，并向承包人追究相应的经济损失。</w:t>
      </w:r>
    </w:p>
    <w:bookmarkEnd w:id="449"/>
    <w:bookmarkEnd w:id="450"/>
    <w:bookmarkEnd w:id="451"/>
    <w:bookmarkEnd w:id="452"/>
    <w:bookmarkEnd w:id="453"/>
    <w:bookmarkEnd w:id="454"/>
    <w:bookmarkEnd w:id="455"/>
    <w:bookmarkEnd w:id="456"/>
    <w:p w14:paraId="7EF9FA09">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因承包人原因造成工期延误，逾</w:t>
      </w:r>
      <w:bookmarkStart w:id="457" w:name="_Toc312678014"/>
      <w:bookmarkStart w:id="458" w:name="_Toc318581171"/>
      <w:r>
        <w:rPr>
          <w:rFonts w:hint="eastAsia" w:asciiTheme="minorEastAsia" w:hAnsiTheme="minorEastAsia" w:eastAsiaTheme="minorEastAsia" w:cstheme="minorEastAsia"/>
          <w:color w:val="auto"/>
          <w:sz w:val="24"/>
          <w:szCs w:val="24"/>
          <w:highlight w:val="none"/>
          <w:u w:val="single"/>
        </w:rPr>
        <w:t>期竣工违约金的上限：合同价款的1%。</w:t>
      </w:r>
    </w:p>
    <w:bookmarkEnd w:id="457"/>
    <w:bookmarkEnd w:id="458"/>
    <w:p w14:paraId="75D763A9">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九、变更的范围及有关约定</w:t>
      </w:r>
    </w:p>
    <w:p w14:paraId="225E1F77">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工程量清单错误的修正：</w:t>
      </w:r>
    </w:p>
    <w:p w14:paraId="40E81F8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由于承包人在投标过程中漏报、少报的工程量视为已经在报价时综合考虑，不予调整相应工程量及费用。</w:t>
      </w:r>
    </w:p>
    <w:p w14:paraId="57CCA551">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由于发包人原因导致工程量增加或减少超过发标时工程量清单中相应清单工程量的15%时，对价格进行如下调整：当工程量增加时，超过原工程量15%的部分，综合单价按照最后报价0.9倍和本项目最高投标限价中相应清单的单价×投标折扣×0.9两个单价中较低的计算；当工程量减少时，实际履行部分的综合单价不予调整。</w:t>
      </w:r>
    </w:p>
    <w:p w14:paraId="70939F1A">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发包人原因、发包人责任或法律法规政策性调整导致，且经发包人书面认可的变更事项作为变更处理。</w:t>
      </w:r>
    </w:p>
    <w:p w14:paraId="389C3ED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承包人在施工中提出的合理化建议涉及到对设计图纸或施工组织设计的更改及对材料、设备的换用，须经监理工程师审核后，报发包人批准后以设计变更单的形式通知承包人实施，否则不作为工程设计变更对待。</w:t>
      </w:r>
    </w:p>
    <w:p w14:paraId="1E707B2D">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由于承包人在投标过程中漏报、少报的工程量视为已经在报价时综合考虑，不予调整相应工程量及费用。</w:t>
      </w:r>
    </w:p>
    <w:p w14:paraId="0F095B39">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关于变更估价的约定:</w:t>
      </w:r>
      <w:r>
        <w:rPr>
          <w:rFonts w:hint="eastAsia" w:asciiTheme="minorEastAsia" w:hAnsiTheme="minorEastAsia" w:eastAsiaTheme="minorEastAsia" w:cstheme="minorEastAsia"/>
          <w:color w:val="auto"/>
          <w:sz w:val="24"/>
          <w:szCs w:val="24"/>
          <w:highlight w:val="none"/>
          <w:u w:val="single"/>
        </w:rPr>
        <w:t>变更内容在本项目已标价工程量清单中有相同或类似清单的，按照相同的或参照类似的清单确定综合单价，其中涉及工程量变化的，由于发包人原因导致工程量增加或减少超过发标时工程量清单中相应清单工程量的15%时，对价格进行如下调整：当工程量增加时，超过原工程量15%的部分，综合单价按照原单价0.9倍和本项目最高投标限价中相应清单的单价×投标折扣×0.9两个单价中较低的计算；当工程量减少时，实际履行部分的综合单价不予调整。</w:t>
      </w:r>
    </w:p>
    <w:p w14:paraId="2B6EDFA4">
      <w:pPr>
        <w:pStyle w:val="61"/>
        <w:tabs>
          <w:tab w:val="left" w:pos="1200"/>
        </w:tabs>
        <w:adjustRightInd w:val="0"/>
        <w:snapToGrid w:val="0"/>
        <w:spacing w:line="36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变更内容在本项目已标价工程量清单中无相同或类似清单的，按照本项目最高限价的编制原则并考虑投标折扣后确定。其中材料价格按照变更当期的《陕西工程造价信息（材料信息价）》结合市场价确定。</w:t>
      </w:r>
    </w:p>
    <w:p w14:paraId="6246753A">
      <w:pPr>
        <w:pStyle w:val="61"/>
        <w:tabs>
          <w:tab w:val="left" w:pos="1200"/>
        </w:tabs>
        <w:adjustRightInd w:val="0"/>
        <w:snapToGrid w:val="0"/>
        <w:spacing w:line="36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变更导致的措施项目费调整金额按照本项目最高限价的编制原则并考虑投标折扣后确定。</w:t>
      </w:r>
    </w:p>
    <w:p w14:paraId="3B880708">
      <w:pPr>
        <w:pStyle w:val="61"/>
        <w:tabs>
          <w:tab w:val="left" w:pos="1200"/>
        </w:tabs>
        <w:adjustRightInd w:val="0"/>
        <w:snapToGrid w:val="0"/>
        <w:spacing w:line="36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投标折扣=[承包人投标总价-计取规费税金后的（暂列金额+暂估价）]÷[发包人公布的最高投标限价-计取规费税金后的（暂列金额+暂估价）]。</w:t>
      </w:r>
    </w:p>
    <w:p w14:paraId="7F1E486E">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十、市场价格波动引起的调整</w:t>
      </w:r>
    </w:p>
    <w:p w14:paraId="3C41F6D3">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市场价格波动不调整合同价格</w:t>
      </w:r>
    </w:p>
    <w:p w14:paraId="4B627216">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十一、综合单价的风险范围及相关内容。</w:t>
      </w:r>
    </w:p>
    <w:p w14:paraId="6878E54B">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综合单价包含的风险范围：</w:t>
      </w:r>
      <w:r>
        <w:rPr>
          <w:rFonts w:hint="eastAsia" w:asciiTheme="minorEastAsia" w:hAnsiTheme="minorEastAsia" w:eastAsiaTheme="minorEastAsia" w:cstheme="minorEastAsia"/>
          <w:color w:val="auto"/>
          <w:sz w:val="24"/>
          <w:szCs w:val="24"/>
          <w:highlight w:val="none"/>
          <w:u w:val="single"/>
        </w:rPr>
        <w:t>除不可抗力以外的的自然灾害;非发包人原因造成的停水、停电的费用;非发包人原因造成停窝工相关费用；发包人在投标前及合同明示或暗示的风险及承包人的相应责任和义务等；本合同材料设备价格波动</w:t>
      </w:r>
      <w:r>
        <w:rPr>
          <w:rFonts w:hint="eastAsia" w:asciiTheme="minorEastAsia" w:hAnsiTheme="minorEastAsia" w:eastAsiaTheme="minorEastAsia" w:cstheme="minorEastAsia"/>
          <w:color w:val="auto"/>
          <w:sz w:val="24"/>
          <w:szCs w:val="24"/>
          <w:highlight w:val="none"/>
        </w:rPr>
        <w:t>。</w:t>
      </w:r>
    </w:p>
    <w:p w14:paraId="5953ECC7">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风险费用的计算方法：</w:t>
      </w:r>
      <w:r>
        <w:rPr>
          <w:rFonts w:hint="eastAsia" w:asciiTheme="minorEastAsia" w:hAnsiTheme="minorEastAsia" w:eastAsiaTheme="minorEastAsia" w:cstheme="minorEastAsia"/>
          <w:color w:val="auto"/>
          <w:sz w:val="24"/>
          <w:szCs w:val="24"/>
          <w:highlight w:val="none"/>
          <w:u w:val="single"/>
        </w:rPr>
        <w:t>风险费用已包含在合同价中，合同中确定的各项单价在工程实施期间不因价格变化而调整，即单价高低变化的风险由承包人承担。</w:t>
      </w:r>
    </w:p>
    <w:p w14:paraId="7D9CD72E">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十二、安全文明施工与环境保护</w:t>
      </w:r>
    </w:p>
    <w:p w14:paraId="6ED368EA">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40288A9D">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关于治安保卫的特别约定：</w:t>
      </w:r>
      <w:r>
        <w:rPr>
          <w:rFonts w:hint="eastAsia" w:asciiTheme="minorEastAsia" w:hAnsiTheme="minorEastAsia" w:eastAsiaTheme="minorEastAsia" w:cstheme="minorEastAsia"/>
          <w:color w:val="auto"/>
          <w:sz w:val="24"/>
          <w:szCs w:val="24"/>
          <w:highlight w:val="none"/>
          <w:u w:val="single"/>
        </w:rPr>
        <w:t>由承包人编制，开工前提供</w:t>
      </w:r>
      <w:r>
        <w:rPr>
          <w:rFonts w:hint="eastAsia" w:asciiTheme="minorEastAsia" w:hAnsiTheme="minorEastAsia" w:eastAsiaTheme="minorEastAsia" w:cstheme="minorEastAsia"/>
          <w:color w:val="auto"/>
          <w:sz w:val="24"/>
          <w:szCs w:val="24"/>
          <w:highlight w:val="none"/>
        </w:rPr>
        <w:t>。</w:t>
      </w:r>
    </w:p>
    <w:p w14:paraId="37E8835B">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关于编制施工场地治安管理计划的约定：</w:t>
      </w:r>
      <w:r>
        <w:rPr>
          <w:rFonts w:hint="eastAsia" w:asciiTheme="minorEastAsia" w:hAnsiTheme="minorEastAsia" w:eastAsiaTheme="minorEastAsia" w:cstheme="minorEastAsia"/>
          <w:color w:val="auto"/>
          <w:sz w:val="24"/>
          <w:szCs w:val="24"/>
          <w:highlight w:val="none"/>
          <w:u w:val="single"/>
        </w:rPr>
        <w:t>由承包人编制，开工前提供</w:t>
      </w:r>
      <w:r>
        <w:rPr>
          <w:rFonts w:hint="eastAsia" w:asciiTheme="minorEastAsia" w:hAnsiTheme="minorEastAsia" w:eastAsiaTheme="minorEastAsia" w:cstheme="minorEastAsia"/>
          <w:color w:val="auto"/>
          <w:sz w:val="24"/>
          <w:szCs w:val="24"/>
          <w:highlight w:val="none"/>
        </w:rPr>
        <w:t>。</w:t>
      </w:r>
    </w:p>
    <w:p w14:paraId="0C2A6C4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合同当事人对文明施工的要求：</w:t>
      </w:r>
      <w:r>
        <w:rPr>
          <w:rFonts w:hint="eastAsia" w:asciiTheme="minorEastAsia" w:hAnsiTheme="minorEastAsia" w:eastAsiaTheme="minorEastAsia" w:cstheme="minorEastAsia"/>
          <w:color w:val="auto"/>
          <w:sz w:val="24"/>
          <w:szCs w:val="24"/>
          <w:highlight w:val="none"/>
          <w:u w:val="single"/>
        </w:rPr>
        <w:t>满足陕西省对文明工地的要求</w:t>
      </w:r>
      <w:r>
        <w:rPr>
          <w:rFonts w:hint="eastAsia" w:asciiTheme="minorEastAsia" w:hAnsiTheme="minorEastAsia" w:eastAsiaTheme="minorEastAsia" w:cstheme="minorEastAsia"/>
          <w:color w:val="auto"/>
          <w:sz w:val="24"/>
          <w:szCs w:val="24"/>
          <w:highlight w:val="none"/>
        </w:rPr>
        <w:t>。</w:t>
      </w:r>
    </w:p>
    <w:p w14:paraId="423DFC7B">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十三、工程验收</w:t>
      </w:r>
    </w:p>
    <w:p w14:paraId="00145FC9">
      <w:pPr>
        <w:adjustRightInd w:val="0"/>
        <w:snapToGrid w:val="0"/>
        <w:spacing w:line="360" w:lineRule="auto"/>
        <w:ind w:firstLine="480" w:firstLineChars="200"/>
        <w:jc w:val="left"/>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1.工程竣</w:t>
      </w:r>
      <w:r>
        <w:rPr>
          <w:rFonts w:hint="eastAsia" w:asciiTheme="minorEastAsia" w:hAnsiTheme="minorEastAsia" w:eastAsiaTheme="minorEastAsia" w:cstheme="minorEastAsia"/>
          <w:color w:val="auto"/>
          <w:spacing w:val="-6"/>
          <w:sz w:val="24"/>
          <w:szCs w:val="24"/>
          <w:highlight w:val="none"/>
        </w:rPr>
        <w:t>工验收。以国家颁发的《关于基本建设项目竣工验收暂行规定》、《工程施工及验收规范》等文件及施工技术文件为依据组织总体验收。</w:t>
      </w:r>
    </w:p>
    <w:p w14:paraId="4BAE795E">
      <w:pPr>
        <w:adjustRightInd w:val="0"/>
        <w:snapToGrid w:val="0"/>
        <w:spacing w:line="360" w:lineRule="auto"/>
        <w:ind w:firstLine="456"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2.施工材料到达现场后由发包人、承包人、监理共同验收，验收合格后方能使用。</w:t>
      </w:r>
    </w:p>
    <w:p w14:paraId="5951DEA3">
      <w:pPr>
        <w:adjustRightInd w:val="0"/>
        <w:snapToGrid w:val="0"/>
        <w:spacing w:line="360" w:lineRule="auto"/>
        <w:ind w:firstLine="456" w:firstLineChars="200"/>
        <w:jc w:val="left"/>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3.项目验收：由甲方组织相关职能部门验收。</w:t>
      </w:r>
    </w:p>
    <w:p w14:paraId="05B60D53">
      <w:pPr>
        <w:adjustRightInd w:val="0"/>
        <w:snapToGrid w:val="0"/>
        <w:spacing w:line="360" w:lineRule="auto"/>
        <w:ind w:firstLine="458" w:firstLineChars="200"/>
        <w:jc w:val="left"/>
        <w:rPr>
          <w:rFonts w:asciiTheme="minorEastAsia" w:hAnsiTheme="minorEastAsia" w:eastAsiaTheme="minorEastAsia" w:cstheme="minorEastAsia"/>
          <w:b/>
          <w:bCs/>
          <w:color w:val="auto"/>
          <w:spacing w:val="-6"/>
          <w:sz w:val="24"/>
          <w:szCs w:val="24"/>
          <w:highlight w:val="none"/>
        </w:rPr>
      </w:pPr>
      <w:bookmarkStart w:id="459" w:name="_Toc351203647"/>
      <w:bookmarkStart w:id="460" w:name="_Toc267251483"/>
      <w:bookmarkStart w:id="461" w:name="_Toc267251484"/>
      <w:bookmarkStart w:id="462" w:name="_Toc267251482"/>
      <w:bookmarkStart w:id="463" w:name="_Toc267251485"/>
      <w:bookmarkStart w:id="464" w:name="_Toc267251486"/>
      <w:bookmarkStart w:id="465" w:name="_Toc267251490"/>
      <w:bookmarkStart w:id="466" w:name="_Toc267251488"/>
      <w:bookmarkStart w:id="467" w:name="_Toc267251489"/>
      <w:r>
        <w:rPr>
          <w:rFonts w:hint="eastAsia" w:asciiTheme="minorEastAsia" w:hAnsiTheme="minorEastAsia" w:eastAsiaTheme="minorEastAsia" w:cstheme="minorEastAsia"/>
          <w:b/>
          <w:bCs/>
          <w:color w:val="auto"/>
          <w:spacing w:val="-6"/>
          <w:sz w:val="24"/>
          <w:szCs w:val="24"/>
          <w:highlight w:val="none"/>
        </w:rPr>
        <w:t>十四、缺陷责任期与保修</w:t>
      </w:r>
      <w:bookmarkEnd w:id="459"/>
    </w:p>
    <w:p w14:paraId="4309BB73">
      <w:pPr>
        <w:adjustRightInd w:val="0"/>
        <w:snapToGrid w:val="0"/>
        <w:spacing w:line="360" w:lineRule="auto"/>
        <w:ind w:firstLine="456" w:firstLineChars="200"/>
        <w:jc w:val="left"/>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1.缺陷责任期</w:t>
      </w:r>
      <w:bookmarkEnd w:id="460"/>
    </w:p>
    <w:p w14:paraId="3B980406">
      <w:pPr>
        <w:adjustRightInd w:val="0"/>
        <w:snapToGrid w:val="0"/>
        <w:spacing w:line="360" w:lineRule="auto"/>
        <w:ind w:firstLine="456" w:firstLineChars="200"/>
        <w:jc w:val="left"/>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缺陷责任期的具体期限：本项目缺陷责任期为24个月；</w:t>
      </w:r>
    </w:p>
    <w:bookmarkEnd w:id="461"/>
    <w:bookmarkEnd w:id="462"/>
    <w:bookmarkEnd w:id="463"/>
    <w:p w14:paraId="1728C671">
      <w:pPr>
        <w:adjustRightInd w:val="0"/>
        <w:snapToGrid w:val="0"/>
        <w:spacing w:line="360" w:lineRule="auto"/>
        <w:ind w:firstLine="456" w:firstLineChars="200"/>
        <w:jc w:val="left"/>
        <w:rPr>
          <w:rFonts w:asciiTheme="minorEastAsia" w:hAnsiTheme="minorEastAsia" w:eastAsiaTheme="minorEastAsia" w:cstheme="minorEastAsia"/>
          <w:color w:val="auto"/>
          <w:spacing w:val="-6"/>
          <w:sz w:val="24"/>
          <w:szCs w:val="24"/>
          <w:highlight w:val="none"/>
          <w:u w:val="single"/>
        </w:rPr>
      </w:pPr>
      <w:r>
        <w:rPr>
          <w:rFonts w:hint="eastAsia" w:asciiTheme="minorEastAsia" w:hAnsiTheme="minorEastAsia" w:eastAsiaTheme="minorEastAsia" w:cstheme="minorEastAsia"/>
          <w:color w:val="auto"/>
          <w:spacing w:val="-6"/>
          <w:sz w:val="24"/>
          <w:szCs w:val="24"/>
          <w:highlight w:val="none"/>
        </w:rPr>
        <w:t>2.质量保修金：</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w:t>
      </w:r>
    </w:p>
    <w:p w14:paraId="37F5B9EA">
      <w:pPr>
        <w:adjustRightInd w:val="0"/>
        <w:snapToGrid w:val="0"/>
        <w:spacing w:line="360" w:lineRule="auto"/>
        <w:ind w:firstLine="456" w:firstLineChars="200"/>
        <w:jc w:val="left"/>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3.保修责任</w:t>
      </w:r>
    </w:p>
    <w:p w14:paraId="71056774">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工程质量保修期为：自工程竣工验收合格之日进入工程质量保修期，质量保修期2年，防水工程5年。</w:t>
      </w:r>
    </w:p>
    <w:p w14:paraId="2BA8C4D6">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4.修复通知</w:t>
      </w:r>
    </w:p>
    <w:p w14:paraId="605DD4E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承包人收到保修通知并到达工程现场的合理时间：</w:t>
      </w:r>
      <w:r>
        <w:rPr>
          <w:rFonts w:hint="eastAsia" w:asciiTheme="minorEastAsia" w:hAnsiTheme="minorEastAsia" w:eastAsiaTheme="minorEastAsia" w:cstheme="minorEastAsia"/>
          <w:color w:val="auto"/>
          <w:sz w:val="24"/>
          <w:szCs w:val="24"/>
          <w:highlight w:val="none"/>
          <w:u w:val="single"/>
        </w:rPr>
        <w:t>响应时间为正常工作日二小时内答复，十二小时内到现场处理。节假日及法定休息日六小时内答复，二十四小时内到现场处理。</w:t>
      </w:r>
      <w:bookmarkEnd w:id="464"/>
      <w:bookmarkEnd w:id="465"/>
      <w:bookmarkEnd w:id="466"/>
      <w:bookmarkEnd w:id="467"/>
    </w:p>
    <w:p w14:paraId="4E814759">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十五、其他约定</w:t>
      </w:r>
    </w:p>
    <w:p w14:paraId="4879ACD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1.试验设备</w:t>
      </w:r>
    </w:p>
    <w:p w14:paraId="35F1E3A9">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施工现场需要配置的试验场所：</w:t>
      </w:r>
      <w:r>
        <w:rPr>
          <w:rFonts w:hint="eastAsia" w:asciiTheme="minorEastAsia" w:hAnsiTheme="minorEastAsia" w:eastAsiaTheme="minorEastAsia" w:cstheme="minorEastAsia"/>
          <w:color w:val="auto"/>
          <w:spacing w:val="9"/>
          <w:sz w:val="24"/>
          <w:szCs w:val="24"/>
          <w:highlight w:val="none"/>
          <w:u w:val="single"/>
        </w:rPr>
        <w:t>符合施工和验收规范要求，</w:t>
      </w:r>
      <w:r>
        <w:rPr>
          <w:rFonts w:hint="eastAsia" w:asciiTheme="minorEastAsia" w:hAnsiTheme="minorEastAsia" w:eastAsiaTheme="minorEastAsia" w:cstheme="minorEastAsia"/>
          <w:color w:val="auto"/>
          <w:sz w:val="24"/>
          <w:szCs w:val="24"/>
          <w:highlight w:val="none"/>
          <w:u w:val="single"/>
        </w:rPr>
        <w:t>原材料、试块、半成品及成品的各项检测已包括在合同价款中</w:t>
      </w:r>
      <w:r>
        <w:rPr>
          <w:rFonts w:hint="eastAsia" w:asciiTheme="minorEastAsia" w:hAnsiTheme="minorEastAsia" w:eastAsiaTheme="minorEastAsia" w:cstheme="minorEastAsia"/>
          <w:color w:val="auto"/>
          <w:sz w:val="24"/>
          <w:szCs w:val="24"/>
          <w:highlight w:val="none"/>
        </w:rPr>
        <w:t>。</w:t>
      </w:r>
    </w:p>
    <w:p w14:paraId="5E4618F6">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2.适用于合同的其他规范性文件：</w:t>
      </w:r>
      <w:r>
        <w:rPr>
          <w:rFonts w:hint="eastAsia" w:asciiTheme="minorEastAsia" w:hAnsiTheme="minorEastAsia" w:eastAsiaTheme="minorEastAsia" w:cstheme="minorEastAsia"/>
          <w:color w:val="auto"/>
          <w:sz w:val="24"/>
          <w:szCs w:val="24"/>
          <w:highlight w:val="none"/>
          <w:u w:val="single"/>
        </w:rPr>
        <w:t>《中华人民共和国建筑法》《中华人民共和国民法典》《中华人民共和国安全生产法》《建筑工程质量管理条例》《建筑工程强制性标准条文》《建筑工程质量保修办法》，陕西省、西安市关于安全生产文明施工的法规、条例和规范性文件等。</w:t>
      </w:r>
    </w:p>
    <w:p w14:paraId="6275F7C1">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3.标准和规范</w:t>
      </w:r>
    </w:p>
    <w:p w14:paraId="17F110C7">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适用于工程的标准规范包括： </w:t>
      </w:r>
      <w:r>
        <w:rPr>
          <w:rFonts w:hint="eastAsia" w:asciiTheme="minorEastAsia" w:hAnsiTheme="minorEastAsia" w:eastAsiaTheme="minorEastAsia" w:cstheme="minorEastAsia"/>
          <w:color w:val="auto"/>
          <w:sz w:val="24"/>
          <w:szCs w:val="24"/>
          <w:highlight w:val="none"/>
          <w:u w:val="single"/>
        </w:rPr>
        <w:t>执行《中华人民共和国建筑法》、《建设工程质量管理条例》、《建筑地基基础工程施工质量验收标准》等有关法律法规及规范标准以及材料、设备所涉及的现行国家、省、市或行业的工程建设标准、规范的要求；以上技术规范由承包人自备，如有不足之处或未能达到国家最新标准时，承包人应使施工及选用的材料符合最新版本的国家标准、规范。</w:t>
      </w:r>
    </w:p>
    <w:p w14:paraId="4567D094">
      <w:pPr>
        <w:adjustRightInd w:val="0"/>
        <w:snapToGrid w:val="0"/>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4.图纸</w:t>
      </w:r>
    </w:p>
    <w:p w14:paraId="5F8A6E15">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以发包人实际提供图纸的内容为准，如承包人再进行复制图纸应经过发包人同意并留存记录，妥善保管，按受控文件要求进行管理，不得外传、外借。涉及的费用由承包人自行承担。</w:t>
      </w:r>
    </w:p>
    <w:p w14:paraId="591DB34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5.交通运输</w:t>
      </w:r>
    </w:p>
    <w:p w14:paraId="3F45EA0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bookmarkStart w:id="468" w:name="_Toc303539100"/>
      <w:bookmarkStart w:id="469" w:name="_Toc318581155"/>
      <w:bookmarkStart w:id="470" w:name="_Toc300934943"/>
      <w:bookmarkStart w:id="471" w:name="_Toc304295521"/>
      <w:bookmarkStart w:id="472" w:name="_Toc312677986"/>
      <w:r>
        <w:rPr>
          <w:rFonts w:hint="eastAsia" w:asciiTheme="minorEastAsia" w:hAnsiTheme="minorEastAsia" w:eastAsiaTheme="minorEastAsia" w:cstheme="minorEastAsia"/>
          <w:color w:val="auto"/>
          <w:sz w:val="24"/>
          <w:szCs w:val="24"/>
          <w:highlight w:val="none"/>
        </w:rPr>
        <w:t>关于出入现场的权利的约定：</w:t>
      </w:r>
      <w:r>
        <w:rPr>
          <w:rFonts w:hint="eastAsia" w:asciiTheme="minorEastAsia" w:hAnsiTheme="minorEastAsia" w:eastAsiaTheme="minorEastAsia" w:cstheme="minorEastAsia"/>
          <w:color w:val="auto"/>
          <w:sz w:val="24"/>
          <w:szCs w:val="24"/>
          <w:highlight w:val="none"/>
          <w:u w:val="single"/>
        </w:rPr>
        <w:t>承包人负责现场管理，发包人遵守承包人现场管理的规定</w:t>
      </w:r>
      <w:r>
        <w:rPr>
          <w:rFonts w:hint="eastAsia" w:asciiTheme="minorEastAsia" w:hAnsiTheme="minorEastAsia" w:eastAsiaTheme="minorEastAsia" w:cstheme="minorEastAsia"/>
          <w:color w:val="auto"/>
          <w:sz w:val="24"/>
          <w:szCs w:val="24"/>
          <w:highlight w:val="none"/>
        </w:rPr>
        <w:t>。</w:t>
      </w:r>
      <w:bookmarkEnd w:id="468"/>
      <w:bookmarkEnd w:id="469"/>
      <w:bookmarkEnd w:id="470"/>
      <w:bookmarkEnd w:id="471"/>
      <w:bookmarkEnd w:id="472"/>
      <w:bookmarkStart w:id="473" w:name="_Toc318581156"/>
      <w:bookmarkStart w:id="474" w:name="_Toc303539101"/>
      <w:bookmarkStart w:id="475" w:name="_Toc304295522"/>
      <w:bookmarkStart w:id="476" w:name="_Toc300934944"/>
      <w:bookmarkStart w:id="477" w:name="_Toc312677987"/>
    </w:p>
    <w:p w14:paraId="32C9DA4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关于场外交通和场内交通的边界的约定：</w:t>
      </w:r>
      <w:r>
        <w:rPr>
          <w:rFonts w:hint="eastAsia" w:asciiTheme="minorEastAsia" w:hAnsiTheme="minorEastAsia" w:eastAsiaTheme="minorEastAsia" w:cstheme="minorEastAsia"/>
          <w:color w:val="auto"/>
          <w:sz w:val="24"/>
          <w:szCs w:val="24"/>
          <w:highlight w:val="none"/>
          <w:u w:val="single"/>
        </w:rPr>
        <w:t>根据现场情况，双方另行约定</w:t>
      </w:r>
      <w:r>
        <w:rPr>
          <w:rFonts w:hint="eastAsia" w:asciiTheme="minorEastAsia" w:hAnsiTheme="minorEastAsia" w:eastAsiaTheme="minorEastAsia" w:cstheme="minorEastAsia"/>
          <w:color w:val="auto"/>
          <w:sz w:val="24"/>
          <w:szCs w:val="24"/>
          <w:highlight w:val="none"/>
        </w:rPr>
        <w:t>。</w:t>
      </w:r>
    </w:p>
    <w:p w14:paraId="0588ED77">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sz w:val="24"/>
          <w:szCs w:val="24"/>
          <w:highlight w:val="none"/>
          <w:u w:val="single"/>
        </w:rPr>
        <w:t>以场地现状为准，发包人不提供除现状外的其他道路</w:t>
      </w:r>
      <w:r>
        <w:rPr>
          <w:rFonts w:hint="eastAsia" w:asciiTheme="minorEastAsia" w:hAnsiTheme="minorEastAsia" w:eastAsiaTheme="minorEastAsia" w:cstheme="minorEastAsia"/>
          <w:color w:val="auto"/>
          <w:sz w:val="24"/>
          <w:szCs w:val="24"/>
          <w:highlight w:val="none"/>
        </w:rPr>
        <w:t>。</w:t>
      </w:r>
      <w:bookmarkEnd w:id="473"/>
      <w:bookmarkEnd w:id="474"/>
      <w:bookmarkEnd w:id="475"/>
      <w:bookmarkEnd w:id="476"/>
      <w:bookmarkEnd w:id="477"/>
      <w:r>
        <w:rPr>
          <w:rFonts w:hint="eastAsia" w:asciiTheme="minorEastAsia" w:hAnsiTheme="minorEastAsia" w:eastAsiaTheme="minorEastAsia" w:cstheme="minorEastAsia"/>
          <w:color w:val="auto"/>
          <w:sz w:val="24"/>
          <w:szCs w:val="24"/>
          <w:highlight w:val="none"/>
        </w:rPr>
        <w:t xml:space="preserve">  </w:t>
      </w:r>
      <w:bookmarkStart w:id="478" w:name="_Toc318581157"/>
    </w:p>
    <w:p w14:paraId="407855BF">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超大件和超重件的运输：运输超大件或超重件所需的道路和桥梁临时加固改造费用和其他有关费用由承包人承担。</w:t>
      </w:r>
    </w:p>
    <w:bookmarkEnd w:id="478"/>
    <w:p w14:paraId="22580B8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6.知识产权</w:t>
      </w:r>
    </w:p>
    <w:p w14:paraId="547EFBA1">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关于发包人提供给承包人的资料、发包人为实施工程自行编制或委托编制的技术规范以及反映发包人关于合同要求或其他类似性质的文件的著作权的归属：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sz w:val="24"/>
          <w:szCs w:val="24"/>
          <w:highlight w:val="none"/>
          <w:u w:val="single"/>
        </w:rPr>
        <w:t>归属于发包人</w:t>
      </w:r>
      <w:r>
        <w:rPr>
          <w:rFonts w:hint="eastAsia" w:asciiTheme="minorEastAsia" w:hAnsiTheme="minorEastAsia" w:eastAsiaTheme="minorEastAsia" w:cstheme="minorEastAsia"/>
          <w:color w:val="auto"/>
          <w:sz w:val="24"/>
          <w:szCs w:val="24"/>
          <w:highlight w:val="none"/>
        </w:rPr>
        <w:t>。</w:t>
      </w:r>
    </w:p>
    <w:p w14:paraId="5C7EA64A">
      <w:pPr>
        <w:wordWrap w:val="0"/>
        <w:topLinePunct/>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关于发包人提供的上述文件的使用限制的要求：</w:t>
      </w:r>
      <w:r>
        <w:rPr>
          <w:rFonts w:hint="eastAsia" w:asciiTheme="minorEastAsia" w:hAnsiTheme="minorEastAsia" w:eastAsiaTheme="minorEastAsia" w:cstheme="minorEastAsia"/>
          <w:color w:val="auto"/>
          <w:sz w:val="24"/>
          <w:szCs w:val="24"/>
          <w:highlight w:val="none"/>
          <w:u w:val="single"/>
        </w:rPr>
        <w:t xml:space="preserve"> 承包人对上述文件复制应经发包人同意并记录，按受控文件要求进行管理，不得外传、外借</w:t>
      </w:r>
      <w:r>
        <w:rPr>
          <w:rFonts w:hint="eastAsia" w:asciiTheme="minorEastAsia" w:hAnsiTheme="minorEastAsia" w:eastAsiaTheme="minorEastAsia" w:cstheme="minorEastAsia"/>
          <w:color w:val="auto"/>
          <w:sz w:val="24"/>
          <w:szCs w:val="24"/>
          <w:highlight w:val="none"/>
        </w:rPr>
        <w:t>。</w:t>
      </w:r>
    </w:p>
    <w:p w14:paraId="47468F8C">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关于承包人为实施工程所编制文件的著作权的归属：</w:t>
      </w:r>
      <w:r>
        <w:rPr>
          <w:rFonts w:hint="eastAsia" w:asciiTheme="minorEastAsia" w:hAnsiTheme="minorEastAsia" w:eastAsiaTheme="minorEastAsia" w:cstheme="minorEastAsia"/>
          <w:color w:val="auto"/>
          <w:sz w:val="24"/>
          <w:szCs w:val="24"/>
          <w:highlight w:val="none"/>
          <w:u w:val="single"/>
        </w:rPr>
        <w:t>除署名权以外的著作权属于发包人</w:t>
      </w:r>
      <w:r>
        <w:rPr>
          <w:rFonts w:hint="eastAsia" w:asciiTheme="minorEastAsia" w:hAnsiTheme="minorEastAsia" w:eastAsiaTheme="minorEastAsia" w:cstheme="minorEastAsia"/>
          <w:color w:val="auto"/>
          <w:sz w:val="24"/>
          <w:szCs w:val="24"/>
          <w:highlight w:val="none"/>
        </w:rPr>
        <w:t>。</w:t>
      </w:r>
    </w:p>
    <w:p w14:paraId="62137B2C">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关于承包人提供的上述文件的使用限制的要求：</w:t>
      </w:r>
      <w:r>
        <w:rPr>
          <w:rFonts w:hint="eastAsia" w:asciiTheme="minorEastAsia" w:hAnsiTheme="minorEastAsia" w:eastAsiaTheme="minorEastAsia" w:cstheme="minorEastAsia"/>
          <w:color w:val="auto"/>
          <w:sz w:val="24"/>
          <w:szCs w:val="24"/>
          <w:highlight w:val="none"/>
          <w:u w:val="single"/>
        </w:rPr>
        <w:t>承包人对上述文件复制应经发包人同意并记录，按受控文件要求进行管理，不得外传、外借</w:t>
      </w:r>
      <w:r>
        <w:rPr>
          <w:rFonts w:hint="eastAsia" w:asciiTheme="minorEastAsia" w:hAnsiTheme="minorEastAsia" w:eastAsiaTheme="minorEastAsia" w:cstheme="minorEastAsia"/>
          <w:color w:val="auto"/>
          <w:sz w:val="24"/>
          <w:szCs w:val="24"/>
          <w:highlight w:val="none"/>
        </w:rPr>
        <w:t>。</w:t>
      </w:r>
    </w:p>
    <w:p w14:paraId="363B1713">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承包人在施工过程中所采用的专利、专有技术、技术秘密的使用费的承担方式：</w:t>
      </w:r>
      <w:r>
        <w:rPr>
          <w:rFonts w:hint="eastAsia" w:asciiTheme="minorEastAsia" w:hAnsiTheme="minorEastAsia" w:eastAsiaTheme="minorEastAsia" w:cstheme="minorEastAsia"/>
          <w:color w:val="auto"/>
          <w:sz w:val="24"/>
          <w:szCs w:val="24"/>
          <w:highlight w:val="none"/>
          <w:u w:val="single"/>
        </w:rPr>
        <w:t xml:space="preserve"> 已包含在磋商报价中，发包人不再另行支付费用</w:t>
      </w:r>
      <w:r>
        <w:rPr>
          <w:rFonts w:hint="eastAsia" w:asciiTheme="minorEastAsia" w:hAnsiTheme="minorEastAsia" w:eastAsiaTheme="minorEastAsia" w:cstheme="minorEastAsia"/>
          <w:color w:val="auto"/>
          <w:sz w:val="24"/>
          <w:szCs w:val="24"/>
          <w:highlight w:val="none"/>
        </w:rPr>
        <w:t>。</w:t>
      </w:r>
    </w:p>
    <w:p w14:paraId="75E19921">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7.分包：除发包人指定分包的内容外一律不允许分包。</w:t>
      </w:r>
    </w:p>
    <w:p w14:paraId="778E33E0">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8.工程照管与成品、半成品保护均由承包人负责并不另外记取任何费用。</w:t>
      </w:r>
      <w:bookmarkEnd w:id="446"/>
      <w:bookmarkStart w:id="479" w:name="_Toc351203485"/>
    </w:p>
    <w:p w14:paraId="0B2086BC">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十六、</w:t>
      </w:r>
      <w:bookmarkEnd w:id="479"/>
      <w:bookmarkStart w:id="480" w:name="_Toc351203486"/>
      <w:r>
        <w:rPr>
          <w:rFonts w:hint="eastAsia" w:asciiTheme="minorEastAsia" w:hAnsiTheme="minorEastAsia" w:eastAsiaTheme="minorEastAsia" w:cstheme="minorEastAsia"/>
          <w:b/>
          <w:bCs/>
          <w:color w:val="auto"/>
          <w:sz w:val="24"/>
          <w:szCs w:val="24"/>
          <w:highlight w:val="none"/>
        </w:rPr>
        <w:t>违约责任</w:t>
      </w:r>
    </w:p>
    <w:p w14:paraId="3D16E3C7">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1.发包人违约</w:t>
      </w:r>
    </w:p>
    <w:p w14:paraId="3258B0CB">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（1）因发包人原因未能在计划开工日期前7天内下达开工通知的违约责任：工期顺延。</w:t>
      </w:r>
    </w:p>
    <w:p w14:paraId="55A526C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（2）因发包人原因未能按合同约定支付合同价款的违约责任双方另行协商。</w:t>
      </w:r>
    </w:p>
    <w:p w14:paraId="5B5297E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（3）因发包人违反合同约定造成暂停施工的违约责任：若影响工期的，工期予以顺延。</w:t>
      </w:r>
    </w:p>
    <w:p w14:paraId="76237E5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（4）发包人无正当理由没有在约定期限内发出复工指示，导致承包人无法复工的违约责任：若影响工期的，工期予以顺延。</w:t>
      </w:r>
    </w:p>
    <w:p w14:paraId="59753FB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（5）其他：双方协商解决。</w:t>
      </w:r>
    </w:p>
    <w:p w14:paraId="7F3F28BA">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2.承包人违约</w:t>
      </w:r>
    </w:p>
    <w:p w14:paraId="4AEC178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不得更换经发包人认定的项目经理。承包人擅自更换项目经理，应按1万元/人·次的标准向发包人支付违约金。如需要更换项目经理及其它专业工程师，应至少提前15天以书面形式通知发包人，并征得发包人同意；后任继续行使合同文件约定的前任的职权，履行前任的义务。</w:t>
      </w:r>
    </w:p>
    <w:p w14:paraId="60D4EA56">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项目经理和经理无特殊情况每月坚守工地时间不得少于22天，项目经理在工程施工期间，要暂时离开工地现场2天以上，应事先征得工程师的同意。项目经理每次请假时间不超过7天，一年累计离场时间不得超过30天。随意离开工地，承包人向发包人支付2000元/天的违约金。项目经理和经理需要离开工地时必须提前一天书面向发包人请假，获批准后方可离开工地，否则按缺勤处理。</w:t>
      </w:r>
    </w:p>
    <w:p w14:paraId="74B63ED3">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经理不胜任本职工作，发包人和工程师可提前7天以书面形式通知承包人更换合格的项目经理，如更换后的项目经理仍旧不能胜任本职工作，发包人有解除合同的权利。项目经理及其他专业工程师不称职，发包人和工程师也可提前5天以书面形式通知承包人更换合格的人员。上述人员更换，承包人应在3日内更换完毕。</w:t>
      </w:r>
    </w:p>
    <w:p w14:paraId="5E0EAC6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主要机械设备未能按工程计划（或监理工程师要求的设备）及时到场或到场设备不能正常运转以及擅自调走已进场的机械设备，应按200元/天·台（套）标准向发包人支付违约金；迟到或调离超过10天时，发包人可自行组织采购，费用直接在向承包人支付工程款时予以扣除，同时对到场时限的延迟仍旧计算违约金</w:t>
      </w:r>
    </w:p>
    <w:p w14:paraId="30D90D37">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（5）同时出现以下问题：</w:t>
      </w:r>
    </w:p>
    <w:p w14:paraId="33B815DB">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a.出现重大质量问题，经发包人、监理单位提出，没有采取有效措施进行补救。</w:t>
      </w:r>
    </w:p>
    <w:p w14:paraId="0189932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b.被建设行政主管部门因为质量问题通报两次者。</w:t>
      </w:r>
    </w:p>
    <w:p w14:paraId="291C5DF4">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c.出现重大安全隐患，经监理提出，在限期内没有得到整改。</w:t>
      </w:r>
    </w:p>
    <w:p w14:paraId="0870CD9D">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d.被建设行政主管部门因为安全问题通报两次者。</w:t>
      </w:r>
    </w:p>
    <w:p w14:paraId="7B48FD3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e.或发生其它使合同无法履行的行为。发包人可单方解除合同。</w:t>
      </w:r>
    </w:p>
    <w:p w14:paraId="113FED5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因以上原因终止施工合同，承包人应支付合同价款3%的违约金，另由于终止合同对发包人造成的损失由承包人承担。</w:t>
      </w:r>
    </w:p>
    <w:p w14:paraId="1840D539">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十七、不可抗力</w:t>
      </w:r>
    </w:p>
    <w:p w14:paraId="1CBFBBB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常年份的风、雨、雪、雾天气不属于不可抗力；一个有经验的承包商应当能够估计到的自然气候、环境（制约）变化的影响原则上也不做为不可抗力事件对待；高考、中考、运动会以及政府部门发出的有碍于施工的临时性指令均不做为不可抗力事件对待。由于发生30年以上一遇的降雨引起的洪水灾害、雪灾造成对工程的影响，经国家有关部门鉴定后可按不可抗力对待；发生破坏性地震的属于不可抗力事件。</w:t>
      </w:r>
    </w:p>
    <w:p w14:paraId="7F5C0EED">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十八、保险</w:t>
      </w:r>
    </w:p>
    <w:p w14:paraId="1D9CF58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关于工程保险、承包人员相关保险、设备设施保险等已包含在合同价款中，保险费用由承包人承担，未购买的承包人承担全部责任。</w:t>
      </w:r>
    </w:p>
    <w:p w14:paraId="677AFDF7">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十九、其他</w:t>
      </w:r>
    </w:p>
    <w:p w14:paraId="3825956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合同要求许可的范围内，在施工、完成工程及保修过程中，承包人所必需的一切操作均不应对公众的便利及公用道路，以及通往属于发包人和他人财产的人行道的进入、使用或占有，产生不必要及不适当的干扰；</w:t>
      </w:r>
    </w:p>
    <w:p w14:paraId="73EC4020">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2.承包人的施工管理区及施工现场应设有临时的污水处理设施和施工排水设施，生活、施工垃圾等处置应妥当；</w:t>
      </w:r>
    </w:p>
    <w:p w14:paraId="2A69FFD9">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竣工验收合格后，承包人应立即从签发了移交证书的那部分工地上将所有有关承包人的设备、多余材料、垃圾及各种临时工程清除、移走，恢复损坏的原有公共设施，并使这一部分工程及工地保持清洁，使发包人满意。在质量保修期结束之前，未完成质量保修期内的义务，将其需要的材料、承包人的和设备、临时设施保留在发包人指定的位置；</w:t>
      </w:r>
    </w:p>
    <w:p w14:paraId="38B47EC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应全权负责其劳务及资源的雇佣、工资的支付、房屋、膳食及运输的安排。承包人在任何时候应采取一切合理的预防措施，以防止其职员发生任何违法的、妨碍治安的行为，并维护治安和保护工程附近的个人或财产免遭上述行为的破坏；</w:t>
      </w:r>
    </w:p>
    <w:p w14:paraId="4BCAE72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应按安全施工管理有关规定，配备安全管理机构，配备合格的安全管理人员，负责处理全体工作人员和劳务人员的安全保护和防止事故等问题。在施工中发生的任何机械及人身伤害事故均由承包方承担赔偿责任；</w:t>
      </w:r>
    </w:p>
    <w:p w14:paraId="4083A64F">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应以迅速而有序的方式将所采购的材料运至工地现场，并按工程规范要求做相应的试验、试样和检测工作，当这些工作不符合现行有关规定（包括不及时开展相关工作）时，发包人有权直接指定由相关资质的检测单位进行试验、试样、检测工作，由此发生的所有费用由承包人承担；</w:t>
      </w:r>
    </w:p>
    <w:p w14:paraId="795BE2B9">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7.承包人应负责各分包人在施工过程的之前、之中、之后协调工作，包括工序、场地、材料堆放、人员食宿、水、电供应等，所发生的费用由承包人自行解决；</w:t>
      </w:r>
    </w:p>
    <w:p w14:paraId="4EBE3D42">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8.承包人必须服从发包人对总平面管理和现场平面管理的要求，现场设施搭建必须按发包人批准的搭建方案实施，严禁擅自乱建或扩大面积；</w:t>
      </w:r>
    </w:p>
    <w:p w14:paraId="499E7EE3">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9.承包人负责处理与主体施工单位的协调问题。</w:t>
      </w:r>
    </w:p>
    <w:p w14:paraId="54DE79B1">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10.承包人负责处理当地农民对施工的干扰（非采购人原因），自行处理与当地农民的关系。</w:t>
      </w:r>
    </w:p>
    <w:p w14:paraId="65DC4F2D">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11.承包人自行解决临时用房。</w:t>
      </w:r>
    </w:p>
    <w:bookmarkEnd w:id="480"/>
    <w:p w14:paraId="5CC9439A">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bookmarkStart w:id="481" w:name="_Toc351203487"/>
      <w:r>
        <w:rPr>
          <w:rFonts w:hint="eastAsia" w:asciiTheme="minorEastAsia" w:hAnsiTheme="minorEastAsia" w:eastAsiaTheme="minorEastAsia" w:cstheme="minorEastAsia"/>
          <w:b/>
          <w:bCs/>
          <w:color w:val="auto"/>
          <w:sz w:val="24"/>
          <w:szCs w:val="24"/>
          <w:highlight w:val="none"/>
        </w:rPr>
        <w:t>二十、合同文件构成</w:t>
      </w:r>
    </w:p>
    <w:p w14:paraId="091541EA">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组成本合同的文件包括：</w:t>
      </w:r>
    </w:p>
    <w:p w14:paraId="2295730F">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响应文件、工程报价单或预算书及其附件、磋商文件、答疑纪要及工程量清单、标准、规范及有关技术文件。</w:t>
      </w:r>
    </w:p>
    <w:p w14:paraId="7DE572B4">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双方为履行本合同的有关洽商、变更等书面协议、文件，视为本合同的组成部分。</w:t>
      </w:r>
    </w:p>
    <w:p w14:paraId="7AB75CC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F234EA7">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二十一、承包人承诺</w:t>
      </w:r>
      <w:bookmarkEnd w:id="481"/>
    </w:p>
    <w:p w14:paraId="42D82F0B">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承包人承诺按照法律规定及合同约定组织完成工程施工，确保工程质量和安全，不进行转包及违法分包，并在缺陷责任期及质量保修期内承担相应的工程维修责任。    </w:t>
      </w:r>
      <w:bookmarkStart w:id="482" w:name="_Toc351203489"/>
    </w:p>
    <w:p w14:paraId="1207F28F">
      <w:pPr>
        <w:adjustRightInd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二十二、签订时间</w:t>
      </w:r>
      <w:bookmarkEnd w:id="482"/>
      <w:r>
        <w:rPr>
          <w:rFonts w:hint="eastAsia" w:asciiTheme="minorEastAsia" w:hAnsiTheme="minorEastAsia" w:eastAsiaTheme="minorEastAsia" w:cstheme="minorEastAsia"/>
          <w:b/>
          <w:bCs/>
          <w:color w:val="auto"/>
          <w:sz w:val="24"/>
          <w:szCs w:val="24"/>
          <w:highlight w:val="none"/>
        </w:rPr>
        <w:t>及地点</w:t>
      </w:r>
    </w:p>
    <w:p w14:paraId="39A22424">
      <w:pPr>
        <w:widowControl/>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本合同于202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日签订。  </w:t>
      </w:r>
      <w:bookmarkStart w:id="483" w:name="_Toc351203490"/>
    </w:p>
    <w:bookmarkEnd w:id="483"/>
    <w:p w14:paraId="533AE3BC">
      <w:pPr>
        <w:widowControl/>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本合同签订地点：在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签订。  </w:t>
      </w:r>
      <w:bookmarkStart w:id="484" w:name="_Toc351203492"/>
    </w:p>
    <w:p w14:paraId="54FE73F1">
      <w:pPr>
        <w:adjustRightInd w:val="0"/>
        <w:snapToGrid w:val="0"/>
        <w:spacing w:line="360" w:lineRule="auto"/>
        <w:ind w:firstLine="482" w:firstLineChars="200"/>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二十三、</w:t>
      </w:r>
      <w:bookmarkEnd w:id="484"/>
      <w:r>
        <w:rPr>
          <w:rFonts w:hint="eastAsia" w:asciiTheme="minorEastAsia" w:hAnsiTheme="minorEastAsia" w:eastAsiaTheme="minorEastAsia" w:cstheme="minorEastAsia"/>
          <w:b/>
          <w:color w:val="auto"/>
          <w:sz w:val="24"/>
          <w:szCs w:val="24"/>
          <w:highlight w:val="none"/>
        </w:rPr>
        <w:t>附则</w:t>
      </w:r>
    </w:p>
    <w:p w14:paraId="59645296">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本合同一式</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份，甲乙双方各执</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份，本合同双方签字盖章后生效。</w:t>
      </w:r>
    </w:p>
    <w:p w14:paraId="4A8CE911">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发包人：  (公章)                     承包人：  (公章)                            </w:t>
      </w:r>
    </w:p>
    <w:p w14:paraId="17E4FFB1">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                         法定代表人或</w:t>
      </w:r>
    </w:p>
    <w:p w14:paraId="31BE2980">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其委托代理人：（签字）               其委托代理人：（签字） </w:t>
      </w:r>
    </w:p>
    <w:p w14:paraId="045ECAC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组织机构代码：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组织机构代码：</w:t>
      </w:r>
      <w:r>
        <w:rPr>
          <w:rFonts w:hint="eastAsia" w:asciiTheme="minorEastAsia" w:hAnsiTheme="minorEastAsia" w:eastAsiaTheme="minorEastAsia" w:cstheme="minorEastAsia"/>
          <w:color w:val="auto"/>
          <w:sz w:val="24"/>
          <w:szCs w:val="24"/>
          <w:highlight w:val="none"/>
          <w:u w:val="single"/>
        </w:rPr>
        <w:t xml:space="preserve">                </w:t>
      </w:r>
    </w:p>
    <w:p w14:paraId="7A19BBB0">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地址：</w:t>
      </w:r>
      <w:r>
        <w:rPr>
          <w:rFonts w:hint="eastAsia" w:asciiTheme="minorEastAsia" w:hAnsiTheme="minorEastAsia" w:eastAsiaTheme="minorEastAsia" w:cstheme="minorEastAsia"/>
          <w:color w:val="auto"/>
          <w:sz w:val="24"/>
          <w:szCs w:val="24"/>
          <w:highlight w:val="none"/>
          <w:u w:val="single"/>
        </w:rPr>
        <w:t xml:space="preserve">                           </w:t>
      </w:r>
    </w:p>
    <w:p w14:paraId="4327086B">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法定代表人：</w:t>
      </w:r>
      <w:r>
        <w:rPr>
          <w:rFonts w:hint="eastAsia" w:asciiTheme="minorEastAsia" w:hAnsiTheme="minorEastAsia" w:eastAsiaTheme="minorEastAsia" w:cstheme="minorEastAsia"/>
          <w:color w:val="auto"/>
          <w:sz w:val="24"/>
          <w:szCs w:val="24"/>
          <w:highlight w:val="none"/>
          <w:u w:val="single"/>
        </w:rPr>
        <w:t xml:space="preserve">                     </w:t>
      </w:r>
    </w:p>
    <w:p w14:paraId="7BAAC0C8">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委托代理人：</w:t>
      </w:r>
      <w:r>
        <w:rPr>
          <w:rFonts w:hint="eastAsia" w:asciiTheme="minorEastAsia" w:hAnsiTheme="minorEastAsia" w:eastAsiaTheme="minorEastAsia" w:cstheme="minorEastAsia"/>
          <w:color w:val="auto"/>
          <w:sz w:val="24"/>
          <w:szCs w:val="24"/>
          <w:highlight w:val="none"/>
          <w:u w:val="single"/>
        </w:rPr>
        <w:t xml:space="preserve">                     </w:t>
      </w:r>
    </w:p>
    <w:p w14:paraId="47928E07">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电话：</w:t>
      </w:r>
      <w:r>
        <w:rPr>
          <w:rFonts w:hint="eastAsia" w:asciiTheme="minorEastAsia" w:hAnsiTheme="minorEastAsia" w:eastAsiaTheme="minorEastAsia" w:cstheme="minorEastAsia"/>
          <w:color w:val="auto"/>
          <w:sz w:val="24"/>
          <w:szCs w:val="24"/>
          <w:highlight w:val="none"/>
          <w:u w:val="single"/>
        </w:rPr>
        <w:t xml:space="preserve">                         </w:t>
      </w:r>
    </w:p>
    <w:p w14:paraId="537D6B4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rPr>
        <w:t xml:space="preserve">                     </w:t>
      </w:r>
    </w:p>
    <w:p w14:paraId="636342C5">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帐号：</w:t>
      </w:r>
      <w:r>
        <w:rPr>
          <w:rFonts w:hint="eastAsia" w:asciiTheme="minorEastAsia" w:hAnsiTheme="minorEastAsia" w:eastAsiaTheme="minorEastAsia" w:cstheme="minorEastAsia"/>
          <w:color w:val="auto"/>
          <w:sz w:val="24"/>
          <w:szCs w:val="24"/>
          <w:highlight w:val="none"/>
          <w:u w:val="single"/>
        </w:rPr>
        <w:t xml:space="preserve">                     </w:t>
      </w:r>
    </w:p>
    <w:p w14:paraId="6F4218E9">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p>
    <w:p w14:paraId="3E68ABAE">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附件1：承包人承揽工程项目一览表</w:t>
      </w:r>
    </w:p>
    <w:p w14:paraId="5402EB79">
      <w:pPr>
        <w:adjustRightInd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附件2：工程质量保修书</w:t>
      </w:r>
    </w:p>
    <w:p w14:paraId="14B6FC3E">
      <w:pPr>
        <w:rPr>
          <w:bCs/>
          <w:color w:val="auto"/>
          <w:highlight w:val="none"/>
        </w:rPr>
      </w:pPr>
    </w:p>
    <w:p w14:paraId="18970A10">
      <w:pPr>
        <w:rPr>
          <w:bCs/>
          <w:color w:val="auto"/>
          <w:highlight w:val="none"/>
        </w:rPr>
      </w:pPr>
      <w:r>
        <w:rPr>
          <w:rFonts w:hint="eastAsia"/>
          <w:bCs/>
          <w:color w:val="auto"/>
          <w:highlight w:val="none"/>
        </w:rPr>
        <w:br w:type="page"/>
      </w:r>
    </w:p>
    <w:p w14:paraId="54653AFB">
      <w:pPr>
        <w:pStyle w:val="2"/>
        <w:rPr>
          <w:color w:val="auto"/>
          <w:highlight w:val="none"/>
        </w:rPr>
      </w:pPr>
      <w:bookmarkStart w:id="485" w:name="_Toc14297"/>
      <w:r>
        <w:rPr>
          <w:rFonts w:hint="eastAsia"/>
          <w:color w:val="auto"/>
          <w:highlight w:val="none"/>
        </w:rPr>
        <w:t>第六章  响应文件格式</w:t>
      </w:r>
      <w:bookmarkEnd w:id="444"/>
      <w:bookmarkEnd w:id="485"/>
    </w:p>
    <w:p w14:paraId="6BA3CEDD">
      <w:pPr>
        <w:rPr>
          <w:color w:val="auto"/>
          <w:highlight w:val="none"/>
        </w:rPr>
      </w:pPr>
    </w:p>
    <w:p w14:paraId="045BA3A8">
      <w:pPr>
        <w:jc w:val="center"/>
        <w:rPr>
          <w:rFonts w:ascii="宋体" w:hAnsi="宋体" w:cs="宋体"/>
          <w:color w:val="auto"/>
          <w:sz w:val="32"/>
          <w:szCs w:val="32"/>
          <w:highlight w:val="none"/>
        </w:rPr>
      </w:pPr>
      <w:bookmarkStart w:id="486" w:name="_Toc30469"/>
      <w:bookmarkStart w:id="487" w:name="_Toc21347"/>
      <w:r>
        <w:rPr>
          <w:rFonts w:hint="eastAsia" w:ascii="宋体" w:hAnsi="宋体" w:cs="宋体"/>
          <w:b/>
          <w:bCs/>
          <w:color w:val="auto"/>
          <w:sz w:val="32"/>
          <w:szCs w:val="32"/>
          <w:highlight w:val="none"/>
        </w:rPr>
        <w:t>响应文件编制说明</w:t>
      </w:r>
      <w:bookmarkEnd w:id="486"/>
      <w:bookmarkEnd w:id="487"/>
    </w:p>
    <w:p w14:paraId="7B0CE6EC">
      <w:pPr>
        <w:rPr>
          <w:color w:val="auto"/>
          <w:highlight w:val="none"/>
        </w:rPr>
      </w:pPr>
    </w:p>
    <w:p w14:paraId="438303D3">
      <w:pPr>
        <w:wordWrap w:val="0"/>
        <w:spacing w:line="360" w:lineRule="auto"/>
        <w:ind w:left="105" w:leftChars="50" w:firstLine="494" w:firstLineChars="205"/>
        <w:rPr>
          <w:rFonts w:ascii="宋体" w:hAnsi="宋体" w:cs="宋体"/>
          <w:b/>
          <w:bCs/>
          <w:color w:val="auto"/>
          <w:sz w:val="24"/>
          <w:szCs w:val="24"/>
          <w:highlight w:val="none"/>
        </w:rPr>
      </w:pPr>
      <w:r>
        <w:rPr>
          <w:rFonts w:hint="eastAsia" w:ascii="宋体" w:hAnsi="宋体" w:cs="宋体"/>
          <w:b/>
          <w:bCs/>
          <w:color w:val="auto"/>
          <w:sz w:val="24"/>
          <w:szCs w:val="24"/>
          <w:highlight w:val="none"/>
        </w:rPr>
        <w:t>1.编制响应文件前，请详细阅读竞争性磋商文件的全部内容，理解文件中的每一项要求。</w:t>
      </w:r>
    </w:p>
    <w:p w14:paraId="4E4A3D97">
      <w:pPr>
        <w:wordWrap w:val="0"/>
        <w:spacing w:line="360" w:lineRule="auto"/>
        <w:ind w:left="105" w:leftChars="50" w:firstLine="494" w:firstLineChars="205"/>
        <w:rPr>
          <w:rFonts w:ascii="宋体" w:hAnsi="宋体" w:cs="宋体"/>
          <w:b/>
          <w:bCs/>
          <w:color w:val="auto"/>
          <w:sz w:val="24"/>
          <w:szCs w:val="24"/>
          <w:highlight w:val="none"/>
        </w:rPr>
      </w:pPr>
      <w:r>
        <w:rPr>
          <w:rFonts w:hint="eastAsia" w:ascii="宋体" w:hAnsi="宋体" w:cs="宋体"/>
          <w:b/>
          <w:bCs/>
          <w:color w:val="auto"/>
          <w:sz w:val="24"/>
          <w:szCs w:val="24"/>
          <w:highlight w:val="none"/>
        </w:rPr>
        <w:t>2.在编制响应文件时，应当按照样本竞争性磋商文件提供的格式内容逐一做出明确的响应，磋商响应文件中须包含资格审查部分、技术部分及商务部分内容，同时竞争性磋商文件提供的格式内容在编制响应文件时不得更改，内容可以扩充。供应商认为有必要，对还可以做其它补充，其目录自行编制，如因供应商自身原因未编制或编制目录中未附其相应内容，其相关不利风险由其自行承担。</w:t>
      </w:r>
    </w:p>
    <w:p w14:paraId="6BE1333D">
      <w:pPr>
        <w:wordWrap/>
        <w:spacing w:line="360" w:lineRule="auto"/>
        <w:ind w:firstLine="494" w:firstLineChars="205"/>
        <w:jc w:val="left"/>
        <w:rPr>
          <w:rFonts w:ascii="宋体" w:hAnsi="宋体" w:cs="宋体"/>
          <w:color w:val="auto"/>
          <w:spacing w:val="26"/>
          <w:sz w:val="24"/>
          <w:szCs w:val="24"/>
          <w:highlight w:val="none"/>
        </w:rPr>
      </w:pPr>
      <w:r>
        <w:rPr>
          <w:rFonts w:hint="eastAsia" w:ascii="宋体" w:hAnsi="宋体" w:cs="宋体"/>
          <w:b/>
          <w:bCs/>
          <w:color w:val="auto"/>
          <w:sz w:val="24"/>
          <w:szCs w:val="24"/>
          <w:highlight w:val="none"/>
        </w:rPr>
        <w:t>备注：各供应商应将资格审查部分、技术部分及商务部分编制在一份文件中并胶装成册。</w:t>
      </w:r>
      <w:r>
        <w:rPr>
          <w:rFonts w:hint="eastAsia" w:ascii="宋体" w:hAnsi="宋体" w:cs="宋体"/>
          <w:color w:val="auto"/>
          <w:sz w:val="24"/>
          <w:szCs w:val="24"/>
          <w:highlight w:val="none"/>
        </w:rPr>
        <w:br w:type="page"/>
      </w:r>
      <w:r>
        <w:rPr>
          <w:rFonts w:hint="eastAsia" w:ascii="宋体" w:hAnsi="宋体" w:cs="宋体"/>
          <w:b/>
          <w:bCs/>
          <w:color w:val="auto"/>
          <w:spacing w:val="26"/>
          <w:sz w:val="36"/>
          <w:szCs w:val="36"/>
          <w:highlight w:val="none"/>
        </w:rPr>
        <w:t>【正/副本】</w:t>
      </w:r>
    </w:p>
    <w:p w14:paraId="622E0C8E">
      <w:pPr>
        <w:rPr>
          <w:color w:val="auto"/>
          <w:highlight w:val="none"/>
        </w:rPr>
      </w:pPr>
    </w:p>
    <w:p w14:paraId="3F84B147">
      <w:pPr>
        <w:rPr>
          <w:color w:val="auto"/>
          <w:highlight w:val="none"/>
        </w:rPr>
      </w:pPr>
    </w:p>
    <w:p w14:paraId="6E07FD59">
      <w:pPr>
        <w:jc w:val="center"/>
        <w:rPr>
          <w:rFonts w:hint="eastAsia" w:asciiTheme="minorEastAsia" w:hAnsiTheme="minorEastAsia" w:eastAsiaTheme="minorEastAsia" w:cstheme="minorEastAsia"/>
          <w:b/>
          <w:bCs/>
          <w:color w:val="auto"/>
          <w:sz w:val="48"/>
          <w:szCs w:val="56"/>
          <w:highlight w:val="none"/>
        </w:rPr>
      </w:pPr>
      <w:bookmarkStart w:id="488" w:name="_Toc324947077"/>
      <w:bookmarkStart w:id="489" w:name="_Toc321812077"/>
      <w:r>
        <w:rPr>
          <w:rFonts w:hint="eastAsia" w:asciiTheme="minorEastAsia" w:hAnsiTheme="minorEastAsia" w:eastAsiaTheme="minorEastAsia" w:cstheme="minorEastAsia"/>
          <w:b/>
          <w:bCs/>
          <w:color w:val="auto"/>
          <w:sz w:val="48"/>
          <w:szCs w:val="56"/>
          <w:highlight w:val="none"/>
        </w:rPr>
        <w:t>陕西省马栏监狱</w:t>
      </w:r>
    </w:p>
    <w:p w14:paraId="7E9CF5EF">
      <w:pPr>
        <w:jc w:val="center"/>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48"/>
          <w:szCs w:val="56"/>
          <w:highlight w:val="none"/>
        </w:rPr>
        <w:t>罪犯伙房屋面防水维修工程</w:t>
      </w:r>
    </w:p>
    <w:p w14:paraId="5CEB27FF">
      <w:pPr>
        <w:rPr>
          <w:color w:val="auto"/>
          <w:highlight w:val="none"/>
        </w:rPr>
      </w:pPr>
    </w:p>
    <w:p w14:paraId="5C86A5AB">
      <w:pPr>
        <w:rPr>
          <w:color w:val="auto"/>
          <w:highlight w:val="none"/>
        </w:rPr>
      </w:pPr>
    </w:p>
    <w:p w14:paraId="5326B7CC">
      <w:pPr>
        <w:rPr>
          <w:color w:val="auto"/>
          <w:highlight w:val="none"/>
        </w:rPr>
      </w:pPr>
    </w:p>
    <w:p w14:paraId="6C5FD4D0">
      <w:pPr>
        <w:rPr>
          <w:color w:val="auto"/>
          <w:highlight w:val="none"/>
        </w:rPr>
      </w:pPr>
    </w:p>
    <w:p w14:paraId="57EB7FAB">
      <w:pPr>
        <w:rPr>
          <w:color w:val="auto"/>
          <w:highlight w:val="none"/>
        </w:rPr>
      </w:pPr>
    </w:p>
    <w:p w14:paraId="71348039">
      <w:pPr>
        <w:pStyle w:val="14"/>
        <w:rPr>
          <w:color w:val="auto"/>
          <w:highlight w:val="none"/>
        </w:rPr>
      </w:pPr>
    </w:p>
    <w:p w14:paraId="386DADD2">
      <w:pPr>
        <w:rPr>
          <w:color w:val="auto"/>
          <w:highlight w:val="none"/>
        </w:rPr>
      </w:pPr>
    </w:p>
    <w:p w14:paraId="53FA5CF5">
      <w:pPr>
        <w:rPr>
          <w:color w:val="auto"/>
          <w:highlight w:val="none"/>
        </w:rPr>
      </w:pPr>
    </w:p>
    <w:p w14:paraId="2AB32744">
      <w:pPr>
        <w:spacing w:line="600" w:lineRule="auto"/>
        <w:jc w:val="center"/>
        <w:rPr>
          <w:rFonts w:ascii="宋体" w:hAnsi="宋体" w:cs="宋体"/>
          <w:b/>
          <w:bCs/>
          <w:color w:val="auto"/>
          <w:spacing w:val="26"/>
          <w:sz w:val="104"/>
          <w:szCs w:val="104"/>
          <w:highlight w:val="none"/>
        </w:rPr>
      </w:pPr>
      <w:r>
        <w:rPr>
          <w:rFonts w:hint="eastAsia" w:ascii="宋体" w:hAnsi="宋体" w:cs="宋体"/>
          <w:b/>
          <w:bCs/>
          <w:color w:val="auto"/>
          <w:spacing w:val="26"/>
          <w:sz w:val="72"/>
          <w:szCs w:val="72"/>
          <w:highlight w:val="none"/>
        </w:rPr>
        <w:t>响应文件</w:t>
      </w:r>
    </w:p>
    <w:p w14:paraId="297161CF">
      <w:pPr>
        <w:rPr>
          <w:rFonts w:ascii="宋体" w:hAnsi="宋体" w:cs="宋体"/>
          <w:color w:val="auto"/>
          <w:highlight w:val="none"/>
        </w:rPr>
      </w:pPr>
    </w:p>
    <w:p w14:paraId="1388C01E">
      <w:pPr>
        <w:rPr>
          <w:rFonts w:ascii="宋体" w:hAnsi="宋体" w:cs="宋体"/>
          <w:color w:val="auto"/>
          <w:highlight w:val="none"/>
        </w:rPr>
      </w:pPr>
    </w:p>
    <w:p w14:paraId="75986D81">
      <w:pPr>
        <w:rPr>
          <w:rFonts w:ascii="宋体" w:hAnsi="宋体" w:cs="宋体"/>
          <w:color w:val="auto"/>
          <w:highlight w:val="none"/>
        </w:rPr>
      </w:pPr>
    </w:p>
    <w:p w14:paraId="056E97E0">
      <w:pPr>
        <w:rPr>
          <w:rFonts w:ascii="宋体" w:hAnsi="宋体" w:cs="宋体"/>
          <w:color w:val="auto"/>
          <w:highlight w:val="none"/>
        </w:rPr>
      </w:pPr>
    </w:p>
    <w:p w14:paraId="3833D37C">
      <w:pPr>
        <w:pStyle w:val="14"/>
        <w:rPr>
          <w:rFonts w:ascii="宋体" w:hAnsi="宋体" w:cs="宋体"/>
          <w:color w:val="auto"/>
          <w:highlight w:val="none"/>
        </w:rPr>
      </w:pPr>
    </w:p>
    <w:p w14:paraId="3EB48726">
      <w:pPr>
        <w:rPr>
          <w:rFonts w:ascii="宋体" w:hAnsi="宋体" w:cs="宋体"/>
          <w:color w:val="auto"/>
          <w:highlight w:val="none"/>
        </w:rPr>
      </w:pPr>
    </w:p>
    <w:p w14:paraId="566CA9DD">
      <w:pPr>
        <w:pStyle w:val="14"/>
        <w:rPr>
          <w:color w:val="auto"/>
          <w:highlight w:val="none"/>
        </w:rPr>
      </w:pPr>
    </w:p>
    <w:p w14:paraId="3F6FD190">
      <w:pPr>
        <w:pStyle w:val="14"/>
        <w:rPr>
          <w:rFonts w:ascii="宋体" w:hAnsi="宋体" w:cs="宋体"/>
          <w:color w:val="auto"/>
          <w:highlight w:val="none"/>
        </w:rPr>
      </w:pPr>
    </w:p>
    <w:p w14:paraId="5C91829A">
      <w:pPr>
        <w:rPr>
          <w:color w:val="auto"/>
          <w:highlight w:val="none"/>
        </w:rPr>
      </w:pPr>
    </w:p>
    <w:p w14:paraId="5AEC5448">
      <w:pPr>
        <w:rPr>
          <w:rFonts w:ascii="宋体" w:hAnsi="宋体" w:cs="宋体"/>
          <w:color w:val="auto"/>
          <w:highlight w:val="none"/>
        </w:rPr>
      </w:pPr>
    </w:p>
    <w:p w14:paraId="48F2D3A2">
      <w:pPr>
        <w:spacing w:line="480" w:lineRule="auto"/>
        <w:ind w:firstLine="333" w:firstLineChars="100"/>
        <w:rPr>
          <w:rFonts w:ascii="宋体" w:hAnsi="宋体" w:cs="宋体"/>
          <w:b/>
          <w:bCs/>
          <w:color w:val="auto"/>
          <w:spacing w:val="26"/>
          <w:sz w:val="28"/>
          <w:szCs w:val="28"/>
          <w:highlight w:val="none"/>
          <w:u w:val="single"/>
          <w:lang w:val="zh-CN"/>
        </w:rPr>
      </w:pPr>
      <w:r>
        <w:rPr>
          <w:rFonts w:hint="eastAsia" w:ascii="宋体" w:hAnsi="宋体" w:cs="宋体"/>
          <w:b/>
          <w:bCs/>
          <w:color w:val="auto"/>
          <w:spacing w:val="26"/>
          <w:sz w:val="28"/>
          <w:szCs w:val="28"/>
          <w:highlight w:val="none"/>
          <w:lang w:val="zh-CN"/>
        </w:rPr>
        <w:t>项目编号：</w:t>
      </w:r>
      <w:r>
        <w:rPr>
          <w:rFonts w:hint="eastAsia" w:ascii="宋体" w:hAnsi="宋体" w:cs="宋体"/>
          <w:b/>
          <w:bCs/>
          <w:color w:val="auto"/>
          <w:spacing w:val="26"/>
          <w:sz w:val="28"/>
          <w:szCs w:val="28"/>
          <w:highlight w:val="none"/>
          <w:u w:val="single"/>
          <w:lang w:val="zh-CN"/>
        </w:rPr>
        <w:t xml:space="preserve">                  </w:t>
      </w:r>
      <w:r>
        <w:rPr>
          <w:rFonts w:hint="eastAsia" w:ascii="宋体" w:hAnsi="宋体" w:cs="宋体"/>
          <w:b/>
          <w:bCs/>
          <w:color w:val="auto"/>
          <w:spacing w:val="26"/>
          <w:sz w:val="28"/>
          <w:szCs w:val="28"/>
          <w:highlight w:val="none"/>
          <w:u w:val="single"/>
        </w:rPr>
        <w:t xml:space="preserve">           </w:t>
      </w:r>
      <w:r>
        <w:rPr>
          <w:rFonts w:hint="eastAsia" w:ascii="宋体" w:hAnsi="宋体" w:cs="宋体"/>
          <w:b/>
          <w:bCs/>
          <w:color w:val="auto"/>
          <w:spacing w:val="26"/>
          <w:sz w:val="28"/>
          <w:szCs w:val="28"/>
          <w:highlight w:val="none"/>
          <w:u w:val="single"/>
          <w:lang w:val="zh-CN"/>
        </w:rPr>
        <w:t xml:space="preserve">  </w:t>
      </w:r>
    </w:p>
    <w:p w14:paraId="00284A26">
      <w:pPr>
        <w:spacing w:line="480" w:lineRule="auto"/>
        <w:ind w:firstLine="333" w:firstLineChars="100"/>
        <w:rPr>
          <w:rFonts w:ascii="宋体" w:hAnsi="宋体" w:cs="宋体"/>
          <w:b/>
          <w:bCs/>
          <w:color w:val="auto"/>
          <w:spacing w:val="26"/>
          <w:sz w:val="28"/>
          <w:szCs w:val="28"/>
          <w:highlight w:val="none"/>
          <w:lang w:val="zh-CN"/>
        </w:rPr>
      </w:pPr>
      <w:r>
        <w:rPr>
          <w:rFonts w:hint="eastAsia" w:ascii="宋体" w:hAnsi="宋体" w:cs="宋体"/>
          <w:b/>
          <w:bCs/>
          <w:color w:val="auto"/>
          <w:spacing w:val="26"/>
          <w:sz w:val="28"/>
          <w:szCs w:val="28"/>
          <w:highlight w:val="none"/>
          <w:lang w:val="zh-CN"/>
        </w:rPr>
        <w:t>供应商（全称）：</w:t>
      </w:r>
      <w:r>
        <w:rPr>
          <w:rFonts w:hint="eastAsia" w:ascii="宋体" w:hAnsi="宋体" w:cs="宋体"/>
          <w:b/>
          <w:bCs/>
          <w:color w:val="auto"/>
          <w:spacing w:val="26"/>
          <w:sz w:val="28"/>
          <w:szCs w:val="28"/>
          <w:highlight w:val="none"/>
          <w:u w:val="single"/>
          <w:lang w:val="zh-CN"/>
        </w:rPr>
        <w:t xml:space="preserve">             </w:t>
      </w:r>
      <w:r>
        <w:rPr>
          <w:rFonts w:hint="eastAsia" w:ascii="宋体" w:hAnsi="宋体" w:cs="宋体"/>
          <w:b/>
          <w:bCs/>
          <w:color w:val="auto"/>
          <w:spacing w:val="26"/>
          <w:sz w:val="28"/>
          <w:szCs w:val="28"/>
          <w:highlight w:val="none"/>
          <w:u w:val="single"/>
        </w:rPr>
        <w:t xml:space="preserve">  </w:t>
      </w:r>
      <w:r>
        <w:rPr>
          <w:rFonts w:hint="eastAsia" w:ascii="宋体" w:hAnsi="宋体" w:cs="宋体"/>
          <w:b/>
          <w:bCs/>
          <w:color w:val="auto"/>
          <w:spacing w:val="26"/>
          <w:sz w:val="28"/>
          <w:szCs w:val="28"/>
          <w:highlight w:val="none"/>
          <w:u w:val="single"/>
          <w:lang w:val="zh-CN"/>
        </w:rPr>
        <w:t xml:space="preserve"> </w:t>
      </w:r>
      <w:r>
        <w:rPr>
          <w:rFonts w:hint="eastAsia" w:ascii="宋体" w:hAnsi="宋体" w:cs="宋体"/>
          <w:b/>
          <w:bCs/>
          <w:color w:val="auto"/>
          <w:spacing w:val="26"/>
          <w:sz w:val="28"/>
          <w:szCs w:val="28"/>
          <w:highlight w:val="none"/>
          <w:u w:val="single"/>
        </w:rPr>
        <w:t xml:space="preserve">   </w:t>
      </w:r>
      <w:r>
        <w:rPr>
          <w:rFonts w:hint="eastAsia" w:ascii="宋体" w:hAnsi="宋体" w:cs="宋体"/>
          <w:b/>
          <w:bCs/>
          <w:color w:val="auto"/>
          <w:spacing w:val="26"/>
          <w:sz w:val="28"/>
          <w:szCs w:val="28"/>
          <w:highlight w:val="none"/>
          <w:u w:val="single"/>
          <w:lang w:val="zh-CN"/>
        </w:rPr>
        <w:t xml:space="preserve"> </w:t>
      </w:r>
      <w:r>
        <w:rPr>
          <w:rFonts w:hint="eastAsia" w:ascii="宋体" w:hAnsi="宋体" w:cs="宋体"/>
          <w:b/>
          <w:bCs/>
          <w:color w:val="auto"/>
          <w:spacing w:val="26"/>
          <w:sz w:val="28"/>
          <w:szCs w:val="28"/>
          <w:highlight w:val="none"/>
          <w:lang w:val="zh-CN"/>
        </w:rPr>
        <w:t>（盖章）</w:t>
      </w:r>
    </w:p>
    <w:p w14:paraId="2E609D07">
      <w:pPr>
        <w:spacing w:line="480" w:lineRule="auto"/>
        <w:ind w:firstLine="303" w:firstLineChars="100"/>
        <w:rPr>
          <w:rFonts w:ascii="宋体" w:hAnsi="宋体" w:cs="宋体"/>
          <w:b/>
          <w:bCs/>
          <w:color w:val="auto"/>
          <w:spacing w:val="26"/>
          <w:sz w:val="28"/>
          <w:szCs w:val="28"/>
          <w:highlight w:val="none"/>
          <w:lang w:val="zh-CN"/>
        </w:rPr>
      </w:pPr>
      <w:r>
        <w:rPr>
          <w:rFonts w:hint="eastAsia" w:ascii="宋体" w:hAnsi="宋体" w:cs="宋体"/>
          <w:b/>
          <w:bCs/>
          <w:color w:val="auto"/>
          <w:spacing w:val="11"/>
          <w:sz w:val="28"/>
          <w:szCs w:val="28"/>
          <w:highlight w:val="none"/>
          <w:lang w:val="zh-CN"/>
        </w:rPr>
        <w:t>法定代表人或</w:t>
      </w:r>
      <w:r>
        <w:rPr>
          <w:rFonts w:hint="eastAsia" w:ascii="宋体" w:hAnsi="宋体" w:cs="宋体"/>
          <w:b/>
          <w:bCs/>
          <w:color w:val="auto"/>
          <w:spacing w:val="11"/>
          <w:sz w:val="28"/>
          <w:szCs w:val="28"/>
          <w:highlight w:val="none"/>
        </w:rPr>
        <w:t>其法人</w:t>
      </w:r>
      <w:r>
        <w:rPr>
          <w:rFonts w:hint="eastAsia" w:ascii="宋体" w:hAnsi="宋体" w:cs="宋体"/>
          <w:b/>
          <w:bCs/>
          <w:color w:val="auto"/>
          <w:spacing w:val="11"/>
          <w:sz w:val="28"/>
          <w:szCs w:val="28"/>
          <w:highlight w:val="none"/>
          <w:lang w:val="zh-CN"/>
        </w:rPr>
        <w:t>授权委托人</w:t>
      </w:r>
      <w:r>
        <w:rPr>
          <w:rFonts w:hint="eastAsia" w:ascii="宋体" w:hAnsi="宋体" w:cs="宋体"/>
          <w:b/>
          <w:bCs/>
          <w:color w:val="auto"/>
          <w:spacing w:val="26"/>
          <w:sz w:val="28"/>
          <w:szCs w:val="28"/>
          <w:highlight w:val="none"/>
          <w:lang w:val="zh-CN"/>
        </w:rPr>
        <w:t>：</w:t>
      </w:r>
      <w:r>
        <w:rPr>
          <w:rFonts w:hint="eastAsia" w:ascii="宋体" w:hAnsi="宋体" w:cs="宋体"/>
          <w:b/>
          <w:bCs/>
          <w:color w:val="auto"/>
          <w:spacing w:val="26"/>
          <w:sz w:val="28"/>
          <w:szCs w:val="28"/>
          <w:highlight w:val="none"/>
          <w:u w:val="single"/>
          <w:lang w:val="zh-CN"/>
        </w:rPr>
        <w:t xml:space="preserve">     </w:t>
      </w:r>
      <w:r>
        <w:rPr>
          <w:rFonts w:hint="eastAsia" w:ascii="宋体" w:hAnsi="宋体" w:cs="宋体"/>
          <w:b/>
          <w:bCs/>
          <w:color w:val="auto"/>
          <w:spacing w:val="26"/>
          <w:sz w:val="28"/>
          <w:szCs w:val="28"/>
          <w:highlight w:val="none"/>
          <w:lang w:val="zh-CN"/>
        </w:rPr>
        <w:t>（签字或盖章）</w:t>
      </w:r>
    </w:p>
    <w:p w14:paraId="040626C4">
      <w:pPr>
        <w:spacing w:line="480" w:lineRule="auto"/>
        <w:ind w:firstLine="333" w:firstLineChars="100"/>
        <w:rPr>
          <w:rFonts w:ascii="宋体" w:hAnsi="宋体" w:cs="宋体"/>
          <w:b/>
          <w:bCs/>
          <w:color w:val="auto"/>
          <w:spacing w:val="26"/>
          <w:sz w:val="28"/>
          <w:szCs w:val="28"/>
          <w:highlight w:val="none"/>
          <w:u w:val="single"/>
        </w:rPr>
      </w:pPr>
      <w:r>
        <w:rPr>
          <w:rFonts w:hint="eastAsia" w:ascii="宋体" w:hAnsi="宋体" w:cs="宋体"/>
          <w:b/>
          <w:bCs/>
          <w:color w:val="auto"/>
          <w:spacing w:val="26"/>
          <w:sz w:val="28"/>
          <w:szCs w:val="28"/>
          <w:highlight w:val="none"/>
        </w:rPr>
        <w:t>地址：</w:t>
      </w:r>
      <w:r>
        <w:rPr>
          <w:rFonts w:hint="eastAsia" w:ascii="宋体" w:hAnsi="宋体" w:cs="宋体"/>
          <w:b/>
          <w:bCs/>
          <w:color w:val="auto"/>
          <w:spacing w:val="26"/>
          <w:sz w:val="28"/>
          <w:szCs w:val="28"/>
          <w:highlight w:val="none"/>
          <w:u w:val="single"/>
        </w:rPr>
        <w:t xml:space="preserve">                                  </w:t>
      </w:r>
    </w:p>
    <w:p w14:paraId="69C3430C">
      <w:pPr>
        <w:spacing w:line="480" w:lineRule="auto"/>
        <w:ind w:firstLine="333" w:firstLineChars="100"/>
        <w:rPr>
          <w:rFonts w:ascii="宋体" w:hAnsi="宋体" w:cs="宋体"/>
          <w:b/>
          <w:bCs/>
          <w:color w:val="auto"/>
          <w:spacing w:val="26"/>
          <w:sz w:val="28"/>
          <w:szCs w:val="28"/>
          <w:highlight w:val="none"/>
          <w:lang w:val="zh-CN"/>
        </w:rPr>
      </w:pPr>
      <w:r>
        <w:rPr>
          <w:rFonts w:hint="eastAsia" w:ascii="宋体" w:hAnsi="宋体" w:cs="宋体"/>
          <w:b/>
          <w:bCs/>
          <w:color w:val="auto"/>
          <w:spacing w:val="26"/>
          <w:sz w:val="28"/>
          <w:szCs w:val="28"/>
          <w:highlight w:val="none"/>
          <w:lang w:val="zh-CN"/>
        </w:rPr>
        <w:t>联系人：</w:t>
      </w:r>
      <w:r>
        <w:rPr>
          <w:rFonts w:hint="eastAsia" w:ascii="宋体" w:hAnsi="宋体" w:cs="宋体"/>
          <w:b/>
          <w:bCs/>
          <w:color w:val="auto"/>
          <w:spacing w:val="26"/>
          <w:sz w:val="28"/>
          <w:szCs w:val="28"/>
          <w:highlight w:val="none"/>
          <w:u w:val="single"/>
          <w:lang w:val="zh-CN"/>
        </w:rPr>
        <w:t xml:space="preserve">      </w:t>
      </w:r>
      <w:r>
        <w:rPr>
          <w:rFonts w:hint="eastAsia" w:ascii="宋体" w:hAnsi="宋体" w:cs="宋体"/>
          <w:b/>
          <w:bCs/>
          <w:color w:val="auto"/>
          <w:spacing w:val="26"/>
          <w:sz w:val="28"/>
          <w:szCs w:val="28"/>
          <w:highlight w:val="none"/>
          <w:u w:val="single"/>
        </w:rPr>
        <w:t xml:space="preserve">   </w:t>
      </w:r>
      <w:r>
        <w:rPr>
          <w:rFonts w:hint="eastAsia" w:ascii="宋体" w:hAnsi="宋体" w:cs="宋体"/>
          <w:b/>
          <w:bCs/>
          <w:color w:val="auto"/>
          <w:spacing w:val="26"/>
          <w:sz w:val="28"/>
          <w:szCs w:val="28"/>
          <w:highlight w:val="none"/>
          <w:u w:val="single"/>
          <w:lang w:val="zh-CN"/>
        </w:rPr>
        <w:t xml:space="preserve"> </w:t>
      </w:r>
      <w:r>
        <w:rPr>
          <w:rFonts w:hint="eastAsia" w:ascii="宋体" w:hAnsi="宋体" w:cs="宋体"/>
          <w:b/>
          <w:bCs/>
          <w:color w:val="auto"/>
          <w:spacing w:val="26"/>
          <w:sz w:val="28"/>
          <w:szCs w:val="28"/>
          <w:highlight w:val="none"/>
        </w:rPr>
        <w:t xml:space="preserve">  </w:t>
      </w:r>
      <w:r>
        <w:rPr>
          <w:rFonts w:hint="eastAsia" w:ascii="宋体" w:hAnsi="宋体" w:cs="宋体"/>
          <w:b/>
          <w:bCs/>
          <w:color w:val="auto"/>
          <w:spacing w:val="26"/>
          <w:sz w:val="28"/>
          <w:szCs w:val="28"/>
          <w:highlight w:val="none"/>
          <w:lang w:val="zh-CN"/>
        </w:rPr>
        <w:t>联系电话</w:t>
      </w:r>
      <w:r>
        <w:rPr>
          <w:rFonts w:hint="eastAsia" w:ascii="宋体" w:hAnsi="宋体" w:cs="宋体"/>
          <w:b/>
          <w:bCs/>
          <w:color w:val="auto"/>
          <w:spacing w:val="26"/>
          <w:sz w:val="28"/>
          <w:szCs w:val="28"/>
          <w:highlight w:val="none"/>
        </w:rPr>
        <w:t>：</w:t>
      </w:r>
      <w:r>
        <w:rPr>
          <w:rFonts w:hint="eastAsia" w:ascii="宋体" w:hAnsi="宋体" w:cs="宋体"/>
          <w:b/>
          <w:bCs/>
          <w:color w:val="auto"/>
          <w:spacing w:val="26"/>
          <w:sz w:val="28"/>
          <w:szCs w:val="28"/>
          <w:highlight w:val="none"/>
          <w:u w:val="single"/>
        </w:rPr>
        <w:t xml:space="preserve">         </w:t>
      </w:r>
      <w:r>
        <w:rPr>
          <w:rFonts w:hint="eastAsia" w:ascii="宋体" w:hAnsi="宋体" w:cs="宋体"/>
          <w:b/>
          <w:bCs/>
          <w:color w:val="auto"/>
          <w:spacing w:val="26"/>
          <w:sz w:val="28"/>
          <w:szCs w:val="28"/>
          <w:highlight w:val="none"/>
          <w:u w:val="single"/>
          <w:lang w:val="zh-CN"/>
        </w:rPr>
        <w:t xml:space="preserve">  </w:t>
      </w:r>
      <w:r>
        <w:rPr>
          <w:rFonts w:hint="eastAsia" w:ascii="宋体" w:hAnsi="宋体" w:cs="宋体"/>
          <w:b/>
          <w:bCs/>
          <w:color w:val="auto"/>
          <w:spacing w:val="26"/>
          <w:sz w:val="28"/>
          <w:szCs w:val="28"/>
          <w:highlight w:val="none"/>
          <w:u w:val="single"/>
        </w:rPr>
        <w:t xml:space="preserve"> </w:t>
      </w:r>
    </w:p>
    <w:p w14:paraId="53367B67">
      <w:pPr>
        <w:spacing w:line="480" w:lineRule="auto"/>
        <w:ind w:firstLine="2332" w:firstLineChars="700"/>
        <w:rPr>
          <w:rFonts w:ascii="宋体" w:hAnsi="宋体" w:cs="宋体"/>
          <w:b/>
          <w:bCs/>
          <w:color w:val="auto"/>
          <w:sz w:val="36"/>
          <w:szCs w:val="36"/>
          <w:highlight w:val="none"/>
        </w:rPr>
        <w:sectPr>
          <w:footerReference r:id="rId13" w:type="first"/>
          <w:headerReference r:id="rId11" w:type="default"/>
          <w:footerReference r:id="rId12" w:type="default"/>
          <w:pgSz w:w="11906" w:h="16838"/>
          <w:pgMar w:top="1440" w:right="1800" w:bottom="1440" w:left="1800" w:header="851" w:footer="992" w:gutter="0"/>
          <w:cols w:space="720" w:num="1"/>
          <w:titlePg/>
          <w:docGrid w:type="lines" w:linePitch="312" w:charSpace="0"/>
        </w:sectPr>
      </w:pPr>
      <w:r>
        <w:rPr>
          <w:rFonts w:hint="eastAsia" w:ascii="宋体" w:hAnsi="宋体" w:cs="宋体"/>
          <w:b/>
          <w:bCs/>
          <w:color w:val="auto"/>
          <w:spacing w:val="26"/>
          <w:sz w:val="28"/>
          <w:szCs w:val="28"/>
          <w:highlight w:val="none"/>
          <w:u w:val="single"/>
        </w:rPr>
        <w:t xml:space="preserve">     </w:t>
      </w:r>
      <w:r>
        <w:rPr>
          <w:rFonts w:hint="eastAsia" w:ascii="宋体" w:hAnsi="宋体" w:cs="宋体"/>
          <w:b/>
          <w:bCs/>
          <w:color w:val="auto"/>
          <w:spacing w:val="26"/>
          <w:sz w:val="28"/>
          <w:szCs w:val="28"/>
          <w:highlight w:val="none"/>
          <w:lang w:val="zh-CN"/>
        </w:rPr>
        <w:t>年</w:t>
      </w:r>
      <w:r>
        <w:rPr>
          <w:rFonts w:hint="eastAsia" w:ascii="宋体" w:hAnsi="宋体" w:cs="宋体"/>
          <w:b/>
          <w:bCs/>
          <w:color w:val="auto"/>
          <w:spacing w:val="26"/>
          <w:sz w:val="28"/>
          <w:szCs w:val="28"/>
          <w:highlight w:val="none"/>
          <w:u w:val="single"/>
        </w:rPr>
        <w:t xml:space="preserve">     </w:t>
      </w:r>
      <w:r>
        <w:rPr>
          <w:rFonts w:hint="eastAsia" w:ascii="宋体" w:hAnsi="宋体" w:cs="宋体"/>
          <w:b/>
          <w:bCs/>
          <w:color w:val="auto"/>
          <w:spacing w:val="26"/>
          <w:sz w:val="28"/>
          <w:szCs w:val="28"/>
          <w:highlight w:val="none"/>
          <w:lang w:val="zh-CN"/>
        </w:rPr>
        <w:t>月</w:t>
      </w:r>
      <w:r>
        <w:rPr>
          <w:rFonts w:hint="eastAsia" w:ascii="宋体" w:hAnsi="宋体" w:cs="宋体"/>
          <w:b/>
          <w:bCs/>
          <w:color w:val="auto"/>
          <w:spacing w:val="26"/>
          <w:sz w:val="28"/>
          <w:szCs w:val="28"/>
          <w:highlight w:val="none"/>
          <w:u w:val="single"/>
        </w:rPr>
        <w:t xml:space="preserve">     </w:t>
      </w:r>
      <w:r>
        <w:rPr>
          <w:rFonts w:hint="eastAsia" w:ascii="宋体" w:hAnsi="宋体" w:cs="宋体"/>
          <w:b/>
          <w:bCs/>
          <w:color w:val="auto"/>
          <w:spacing w:val="26"/>
          <w:sz w:val="28"/>
          <w:szCs w:val="28"/>
          <w:highlight w:val="none"/>
          <w:lang w:val="zh-CN"/>
        </w:rPr>
        <w:t>日</w:t>
      </w:r>
    </w:p>
    <w:bookmarkEnd w:id="488"/>
    <w:bookmarkEnd w:id="489"/>
    <w:p w14:paraId="6695A650">
      <w:pPr>
        <w:jc w:val="center"/>
        <w:rPr>
          <w:rFonts w:ascii="宋体" w:hAnsi="宋体" w:cs="宋体"/>
          <w:b/>
          <w:bCs/>
          <w:color w:val="auto"/>
          <w:sz w:val="36"/>
          <w:szCs w:val="32"/>
          <w:highlight w:val="none"/>
        </w:rPr>
      </w:pPr>
      <w:r>
        <w:rPr>
          <w:rFonts w:hint="eastAsia" w:ascii="宋体" w:hAnsi="宋体" w:cs="宋体"/>
          <w:b/>
          <w:bCs/>
          <w:color w:val="auto"/>
          <w:sz w:val="36"/>
          <w:szCs w:val="32"/>
          <w:highlight w:val="none"/>
        </w:rPr>
        <w:t>目  录</w:t>
      </w:r>
    </w:p>
    <w:p w14:paraId="4E6C4EA3">
      <w:pPr>
        <w:rPr>
          <w:color w:val="auto"/>
          <w:highlight w:val="none"/>
        </w:rPr>
      </w:pPr>
    </w:p>
    <w:p w14:paraId="3A394F5E">
      <w:pPr>
        <w:jc w:val="center"/>
        <w:rPr>
          <w:b/>
          <w:bCs/>
          <w:color w:val="auto"/>
          <w:sz w:val="28"/>
          <w:szCs w:val="24"/>
          <w:highlight w:val="none"/>
        </w:rPr>
      </w:pPr>
      <w:r>
        <w:rPr>
          <w:rFonts w:hint="eastAsia" w:ascii="宋体" w:hAnsi="宋体" w:cs="宋体"/>
          <w:b/>
          <w:bCs/>
          <w:color w:val="auto"/>
          <w:sz w:val="28"/>
          <w:szCs w:val="24"/>
          <w:highlight w:val="none"/>
        </w:rPr>
        <w:t>【供应商根据本项目竞争性磋商文件格式要求自行编制目录】</w:t>
      </w:r>
    </w:p>
    <w:p w14:paraId="660C76E1">
      <w:pPr>
        <w:pStyle w:val="3"/>
        <w:spacing w:line="500" w:lineRule="exact"/>
        <w:rPr>
          <w:rFonts w:ascii="宋体" w:hAnsi="宋体" w:cs="宋体"/>
          <w:b w:val="0"/>
          <w:bCs w:val="0"/>
          <w:color w:val="auto"/>
          <w:szCs w:val="24"/>
          <w:highlight w:val="none"/>
        </w:rPr>
        <w:sectPr>
          <w:headerReference r:id="rId14" w:type="default"/>
          <w:footerReference r:id="rId15" w:type="default"/>
          <w:pgSz w:w="11906" w:h="16838"/>
          <w:pgMar w:top="1440" w:right="1800" w:bottom="1440" w:left="1800" w:header="1191" w:footer="1134" w:gutter="0"/>
          <w:cols w:space="720" w:num="1"/>
          <w:docGrid w:type="lines" w:linePitch="312" w:charSpace="0"/>
        </w:sectPr>
      </w:pPr>
      <w:bookmarkStart w:id="490" w:name="_Toc324947078"/>
      <w:bookmarkStart w:id="491" w:name="_Toc27937"/>
      <w:bookmarkStart w:id="492" w:name="_Toc8967"/>
      <w:bookmarkStart w:id="493" w:name="_Toc31996"/>
      <w:bookmarkStart w:id="494" w:name="_Toc9295"/>
      <w:bookmarkStart w:id="495" w:name="_Toc321812078"/>
      <w:bookmarkStart w:id="496" w:name="_Toc29477"/>
      <w:bookmarkStart w:id="497" w:name="_Toc6222"/>
      <w:bookmarkStart w:id="498" w:name="_Toc16878"/>
      <w:bookmarkStart w:id="499" w:name="_Toc11123"/>
      <w:bookmarkStart w:id="500" w:name="_Toc26791"/>
    </w:p>
    <w:bookmarkEnd w:id="490"/>
    <w:bookmarkEnd w:id="491"/>
    <w:bookmarkEnd w:id="492"/>
    <w:bookmarkEnd w:id="493"/>
    <w:bookmarkEnd w:id="494"/>
    <w:bookmarkEnd w:id="495"/>
    <w:bookmarkEnd w:id="496"/>
    <w:bookmarkEnd w:id="497"/>
    <w:bookmarkEnd w:id="498"/>
    <w:bookmarkEnd w:id="499"/>
    <w:bookmarkEnd w:id="500"/>
    <w:p w14:paraId="4BC23CFB">
      <w:pPr>
        <w:pStyle w:val="3"/>
        <w:spacing w:line="500" w:lineRule="exact"/>
        <w:rPr>
          <w:rFonts w:ascii="宋体" w:hAnsi="宋体" w:cs="宋体"/>
          <w:color w:val="auto"/>
          <w:szCs w:val="24"/>
          <w:highlight w:val="none"/>
        </w:rPr>
      </w:pPr>
      <w:bookmarkStart w:id="501" w:name="_Toc29600"/>
      <w:bookmarkStart w:id="502" w:name="_Toc26609"/>
      <w:bookmarkStart w:id="503" w:name="_Toc13020"/>
      <w:bookmarkStart w:id="504" w:name="_Toc11664"/>
      <w:bookmarkStart w:id="505" w:name="_Toc7110"/>
      <w:bookmarkStart w:id="506" w:name="_Toc26058"/>
      <w:bookmarkStart w:id="507" w:name="_Toc321812068"/>
      <w:bookmarkStart w:id="508" w:name="_Toc17638"/>
      <w:bookmarkStart w:id="509" w:name="_Toc12455"/>
      <w:bookmarkStart w:id="510" w:name="_Toc17618"/>
      <w:bookmarkStart w:id="511" w:name="_Toc23435"/>
      <w:bookmarkStart w:id="512" w:name="_Toc31108"/>
      <w:bookmarkStart w:id="513" w:name="_Toc4441"/>
      <w:bookmarkStart w:id="514" w:name="_Toc324521862"/>
      <w:r>
        <w:rPr>
          <w:rFonts w:hint="eastAsia"/>
          <w:color w:val="auto"/>
          <w:sz w:val="28"/>
          <w:szCs w:val="28"/>
          <w:highlight w:val="none"/>
        </w:rPr>
        <w:t>一、磋商函及磋商函附录</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2FF27EA">
      <w:pPr>
        <w:pStyle w:val="4"/>
        <w:jc w:val="center"/>
        <w:rPr>
          <w:color w:val="auto"/>
          <w:highlight w:val="none"/>
        </w:rPr>
      </w:pPr>
      <w:bookmarkStart w:id="515" w:name="_Toc13945"/>
      <w:bookmarkStart w:id="516" w:name="_Toc31570"/>
      <w:bookmarkStart w:id="517" w:name="_Toc2014"/>
      <w:bookmarkStart w:id="518" w:name="_Toc29386"/>
      <w:bookmarkStart w:id="519" w:name="_Toc29385"/>
      <w:bookmarkStart w:id="520" w:name="_Toc15231"/>
      <w:bookmarkStart w:id="521" w:name="_Toc1956"/>
      <w:bookmarkStart w:id="522" w:name="_Toc20930"/>
      <w:bookmarkStart w:id="523" w:name="_Toc18254"/>
      <w:bookmarkStart w:id="524" w:name="_Toc4358"/>
      <w:bookmarkStart w:id="525" w:name="_Toc7024"/>
      <w:r>
        <w:rPr>
          <w:rFonts w:hint="eastAsia"/>
          <w:color w:val="auto"/>
          <w:highlight w:val="none"/>
        </w:rPr>
        <w:t>（一）磋商函</w:t>
      </w:r>
      <w:bookmarkEnd w:id="515"/>
      <w:bookmarkEnd w:id="516"/>
      <w:bookmarkEnd w:id="517"/>
      <w:bookmarkEnd w:id="518"/>
      <w:bookmarkEnd w:id="519"/>
      <w:bookmarkEnd w:id="520"/>
      <w:bookmarkEnd w:id="521"/>
      <w:bookmarkEnd w:id="522"/>
      <w:bookmarkEnd w:id="523"/>
      <w:bookmarkEnd w:id="524"/>
      <w:bookmarkEnd w:id="525"/>
    </w:p>
    <w:p w14:paraId="276EEF8B">
      <w:pPr>
        <w:wordWrap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（采购人名称）    </w:t>
      </w:r>
      <w:r>
        <w:rPr>
          <w:rFonts w:hint="eastAsia" w:ascii="宋体" w:hAnsi="宋体" w:cs="宋体"/>
          <w:color w:val="auto"/>
          <w:sz w:val="24"/>
          <w:szCs w:val="24"/>
          <w:highlight w:val="none"/>
        </w:rPr>
        <w:t>：</w:t>
      </w:r>
    </w:p>
    <w:p w14:paraId="2E1CDFF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1.根据你方发售的</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竞争性磋商文件，经研究上述竞争性磋商文件的投标须知、合同条款、工程建设标准、工程量清单和答疑文件及其它相关文件后，我方愿以大写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元的磋商报价承包上述工程的施工、竣工，并承担任何质量缺陷保修责任。</w:t>
      </w:r>
    </w:p>
    <w:p w14:paraId="7FFD786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2.我方已详细审核全部竞争性磋商文件，包括答疑纪要及有关附件。</w:t>
      </w:r>
    </w:p>
    <w:p w14:paraId="2DE379B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3.我方保证上述磋商报价不低于我单位工程施工的成本价。</w:t>
      </w:r>
    </w:p>
    <w:p w14:paraId="577AAEB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4.若我方中标，我方保证按工期自接到采购人开工通知之日起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日历天内完成本工程，质保期为自验收合格之日起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p>
    <w:p w14:paraId="78F8C73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5.若我方中标，我方保证工程质量等级达到</w:t>
      </w:r>
      <w:r>
        <w:rPr>
          <w:rFonts w:hint="eastAsia" w:ascii="宋体" w:hAnsi="宋体" w:cs="宋体"/>
          <w:color w:val="auto"/>
          <w:sz w:val="24"/>
          <w:szCs w:val="24"/>
          <w:highlight w:val="none"/>
          <w:u w:val="single"/>
        </w:rPr>
        <w:t>满足现行《建筑与市政工程施工质量控制通用规范》的要求，质量验收合格</w:t>
      </w:r>
      <w:r>
        <w:rPr>
          <w:rFonts w:hint="eastAsia" w:ascii="宋体" w:hAnsi="宋体" w:cs="宋体"/>
          <w:color w:val="auto"/>
          <w:sz w:val="24"/>
          <w:szCs w:val="24"/>
          <w:highlight w:val="none"/>
        </w:rPr>
        <w:t>。本工程项目经理为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AB3C68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6.若我方中标，我方保证达到安全文明施工达到文明工地标准。</w:t>
      </w:r>
    </w:p>
    <w:p w14:paraId="55B7E0A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7.若我方中标，我方保证进场提供的主要材料设备的技术指标与响应文件响应、承诺的技术指标一致，若进场提供的主要材料设备技术指标不符合响应文件响应、承诺的，及时更换至符合要求为止。</w:t>
      </w:r>
    </w:p>
    <w:p w14:paraId="53658ACE">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8.我方同意所提交的响应文件在竞争性磋商文件的投标须知中规定的磋商有效期内有效，在此期间内如果中标，我方将受此约束。</w:t>
      </w:r>
    </w:p>
    <w:p w14:paraId="7F29FAE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9.在合同协议书正式签署生效之前，你方的竞争性磋商文件、答疑纪要、成交人通知书和本响应文件将构成我们约束双方之间共同遵守的文件，对双方具有约束力。</w:t>
      </w:r>
    </w:p>
    <w:p w14:paraId="576BEA8D">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10.我方理解你方不负担我们的任何投标费用，我方不要求你方对未中标原因作任何解释，也不退回响应文件。</w:t>
      </w:r>
    </w:p>
    <w:p w14:paraId="327827CE">
      <w:pPr>
        <w:wordWrap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11.我方完全接受并响应竞争性磋商文件、答疑文件、评审办法、采购预算及限价等关于本项目相关文件的要求，严格遵守项目采购过程的时间安排、程序安排等细节，对此无任何异议。</w:t>
      </w:r>
    </w:p>
    <w:p w14:paraId="0F39D58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注：磋商报价应与工程量清单的报价汇总表数字一致。精确到分。</w:t>
      </w:r>
    </w:p>
    <w:p w14:paraId="0A590E77">
      <w:pPr>
        <w:wordWrap w:val="0"/>
        <w:spacing w:line="360" w:lineRule="auto"/>
        <w:ind w:firstLine="1920" w:firstLineChars="800"/>
        <w:rPr>
          <w:rFonts w:ascii="宋体" w:hAnsi="宋体" w:cs="宋体"/>
          <w:color w:val="auto"/>
          <w:sz w:val="24"/>
          <w:szCs w:val="24"/>
          <w:highlight w:val="none"/>
        </w:rPr>
      </w:pPr>
      <w:r>
        <w:rPr>
          <w:rFonts w:hint="eastAsia" w:ascii="宋体" w:hAnsi="宋体" w:cs="宋体"/>
          <w:color w:val="auto"/>
          <w:sz w:val="24"/>
          <w:szCs w:val="24"/>
          <w:highlight w:val="none"/>
        </w:rPr>
        <w:t>供 应 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3D64C79D">
      <w:pPr>
        <w:wordWrap w:val="0"/>
        <w:spacing w:line="360" w:lineRule="auto"/>
        <w:ind w:firstLine="1920" w:firstLineChars="800"/>
        <w:rPr>
          <w:rFonts w:ascii="宋体" w:hAnsi="宋体" w:cs="宋体"/>
          <w:color w:val="auto"/>
          <w:sz w:val="24"/>
          <w:szCs w:val="24"/>
          <w:highlight w:val="none"/>
          <w:u w:val="single"/>
        </w:rPr>
      </w:pPr>
      <w:r>
        <w:rPr>
          <w:rFonts w:hint="eastAsia" w:ascii="宋体" w:hAnsi="宋体" w:cs="宋体"/>
          <w:color w:val="auto"/>
          <w:sz w:val="24"/>
          <w:szCs w:val="24"/>
          <w:highlight w:val="none"/>
        </w:rPr>
        <w:t>单位地址：</w:t>
      </w:r>
      <w:r>
        <w:rPr>
          <w:rFonts w:hint="eastAsia" w:ascii="宋体" w:hAnsi="宋体" w:cs="宋体"/>
          <w:color w:val="auto"/>
          <w:sz w:val="24"/>
          <w:szCs w:val="24"/>
          <w:highlight w:val="none"/>
          <w:u w:val="single"/>
        </w:rPr>
        <w:t xml:space="preserve">                                  </w:t>
      </w:r>
    </w:p>
    <w:p w14:paraId="648204D1">
      <w:pPr>
        <w:wordWrap w:val="0"/>
        <w:spacing w:line="360" w:lineRule="auto"/>
        <w:ind w:firstLine="1920" w:firstLineChars="800"/>
        <w:rPr>
          <w:rFonts w:ascii="宋体" w:hAnsi="宋体" w:cs="宋体"/>
          <w:color w:val="auto"/>
          <w:sz w:val="24"/>
          <w:szCs w:val="24"/>
          <w:highlight w:val="none"/>
        </w:rPr>
      </w:pPr>
      <w:r>
        <w:rPr>
          <w:rFonts w:hint="eastAsia" w:ascii="宋体" w:hAnsi="宋体" w:cs="宋体"/>
          <w:color w:val="auto"/>
          <w:sz w:val="24"/>
          <w:szCs w:val="24"/>
          <w:highlight w:val="none"/>
        </w:rPr>
        <w:t>法定代表人或委托代理人：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76E8ECD6">
      <w:pPr>
        <w:wordWrap w:val="0"/>
        <w:spacing w:line="360" w:lineRule="auto"/>
        <w:ind w:firstLine="1920" w:firstLineChars="800"/>
        <w:rPr>
          <w:rFonts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p>
    <w:p w14:paraId="4CD2C280">
      <w:pPr>
        <w:wordWrap w:val="0"/>
        <w:spacing w:line="360" w:lineRule="auto"/>
        <w:ind w:firstLine="1920" w:firstLineChars="800"/>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2B382F60">
      <w:pPr>
        <w:wordWrap w:val="0"/>
        <w:spacing w:line="360" w:lineRule="auto"/>
        <w:ind w:firstLine="1920" w:firstLineChars="800"/>
        <w:rPr>
          <w:rFonts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p>
    <w:p w14:paraId="57DFE201">
      <w:pPr>
        <w:wordWrap w:val="0"/>
        <w:ind w:firstLine="1920" w:firstLineChars="800"/>
        <w:jc w:val="center"/>
        <w:rPr>
          <w:rFonts w:ascii="宋体" w:hAnsi="宋体" w:cs="宋体"/>
          <w:color w:val="auto"/>
          <w:sz w:val="24"/>
          <w:szCs w:val="24"/>
          <w:highlight w:val="none"/>
        </w:rPr>
        <w:sectPr>
          <w:pgSz w:w="11906" w:h="16838"/>
          <w:pgMar w:top="1440" w:right="1800" w:bottom="1440" w:left="1800" w:header="1191" w:footer="1134" w:gutter="0"/>
          <w:cols w:space="720" w:num="1"/>
          <w:docGrid w:type="lines" w:linePitch="312" w:charSpace="0"/>
        </w:sect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bookmarkStart w:id="526" w:name="_Toc19362"/>
      <w:bookmarkStart w:id="527" w:name="_Toc3893"/>
      <w:bookmarkStart w:id="528" w:name="_Toc23440"/>
      <w:bookmarkStart w:id="529" w:name="_Toc19357"/>
      <w:bookmarkStart w:id="530" w:name="_Toc7506"/>
      <w:bookmarkStart w:id="531" w:name="_Toc19571"/>
      <w:bookmarkStart w:id="532" w:name="_Toc5521"/>
      <w:bookmarkStart w:id="533" w:name="_Toc7820"/>
      <w:bookmarkStart w:id="534" w:name="_Toc11283"/>
      <w:bookmarkStart w:id="535" w:name="_Toc25029"/>
    </w:p>
    <w:p w14:paraId="4A01E44F">
      <w:pPr>
        <w:pStyle w:val="4"/>
        <w:jc w:val="center"/>
        <w:rPr>
          <w:color w:val="auto"/>
          <w:highlight w:val="none"/>
        </w:rPr>
      </w:pPr>
      <w:bookmarkStart w:id="536" w:name="_Toc9648"/>
      <w:r>
        <w:rPr>
          <w:rFonts w:hint="eastAsia"/>
          <w:color w:val="auto"/>
          <w:highlight w:val="none"/>
        </w:rPr>
        <w:t>（二）磋商函附录</w:t>
      </w:r>
      <w:bookmarkEnd w:id="536"/>
    </w:p>
    <w:p w14:paraId="2F2816FE">
      <w:pPr>
        <w:spacing w:line="360" w:lineRule="auto"/>
        <w:jc w:val="left"/>
        <w:rPr>
          <w:rFonts w:ascii="宋体" w:hAnsi="宋体" w:cs="宋体"/>
          <w:color w:val="auto"/>
          <w:sz w:val="24"/>
          <w:szCs w:val="24"/>
          <w:highlight w:val="none"/>
        </w:rPr>
      </w:pPr>
      <w:bookmarkStart w:id="537" w:name="_Toc29763"/>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u w:val="single"/>
        </w:rPr>
        <w:t xml:space="preserve">              </w:t>
      </w:r>
      <w:bookmarkEnd w:id="537"/>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项目编号：</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tbl>
      <w:tblPr>
        <w:tblStyle w:val="39"/>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14:paraId="025D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00" w:type="dxa"/>
            <w:vAlign w:val="center"/>
          </w:tcPr>
          <w:p w14:paraId="63937067">
            <w:pPr>
              <w:spacing w:line="360" w:lineRule="auto"/>
              <w:jc w:val="center"/>
              <w:rPr>
                <w:rFonts w:ascii="宋体" w:hAnsi="宋体" w:cs="宋体"/>
                <w:color w:val="auto"/>
                <w:sz w:val="24"/>
                <w:szCs w:val="24"/>
                <w:highlight w:val="none"/>
              </w:rPr>
            </w:pPr>
            <w:r>
              <w:rPr>
                <w:rFonts w:hint="eastAsia" w:ascii="宋体" w:hAnsi="宋体" w:cs="宋体"/>
                <w:b/>
                <w:bCs/>
                <w:color w:val="auto"/>
                <w:sz w:val="24"/>
                <w:szCs w:val="24"/>
                <w:highlight w:val="none"/>
              </w:rPr>
              <w:t>竞争性磋商文件中规定的实质性要求和条件响应情况</w:t>
            </w:r>
          </w:p>
        </w:tc>
      </w:tr>
      <w:tr w14:paraId="4E0D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3" w:hRule="atLeast"/>
          <w:jc w:val="center"/>
        </w:trPr>
        <w:tc>
          <w:tcPr>
            <w:tcW w:w="8300" w:type="dxa"/>
            <w:vAlign w:val="center"/>
          </w:tcPr>
          <w:p w14:paraId="3F4988E5">
            <w:pPr>
              <w:spacing w:line="360" w:lineRule="auto"/>
              <w:rPr>
                <w:rFonts w:ascii="宋体" w:hAnsi="宋体" w:cs="宋体"/>
                <w:color w:val="auto"/>
                <w:sz w:val="24"/>
                <w:szCs w:val="24"/>
                <w:highlight w:val="none"/>
              </w:rPr>
            </w:pPr>
          </w:p>
        </w:tc>
      </w:tr>
      <w:tr w14:paraId="154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8300" w:type="dxa"/>
            <w:vAlign w:val="center"/>
          </w:tcPr>
          <w:p w14:paraId="2FFD1AD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备注：供应商应承诺是否响应竞争性磋商文件中规定的实质性要求和条件，并在此基础上，可做出其他有利于采购人的承诺。如供应商不承诺完全响应竞争性磋商文件中规定的实质性要求和条件，应对不响应部分的内容予以具体说明。如供应商不填写实质性要求和条件的响应情况，则视为供应商承诺完全响应竞争性磋商文件中规定的实质性要求和条件。</w:t>
            </w:r>
          </w:p>
        </w:tc>
      </w:tr>
    </w:tbl>
    <w:p w14:paraId="1D861BD2">
      <w:pPr>
        <w:rPr>
          <w:color w:val="auto"/>
          <w:highlight w:val="none"/>
        </w:rPr>
      </w:pPr>
      <w:bookmarkStart w:id="538" w:name="_Toc20082"/>
    </w:p>
    <w:p w14:paraId="7B24C786">
      <w:pPr>
        <w:rPr>
          <w:color w:val="auto"/>
          <w:highlight w:val="none"/>
        </w:rPr>
      </w:pPr>
    </w:p>
    <w:p w14:paraId="5B9A236E">
      <w:pPr>
        <w:pStyle w:val="14"/>
        <w:rPr>
          <w:color w:val="auto"/>
          <w:highlight w:val="none"/>
        </w:rPr>
      </w:pPr>
    </w:p>
    <w:p w14:paraId="1126D1DE">
      <w:pPr>
        <w:adjustRightInd w:val="0"/>
        <w:snapToGrid w:val="0"/>
        <w:spacing w:line="432"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70A6BEA6">
      <w:pPr>
        <w:adjustRightInd w:val="0"/>
        <w:snapToGrid w:val="0"/>
        <w:spacing w:line="432"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22944ECE">
      <w:pPr>
        <w:adjustRightInd w:val="0"/>
        <w:snapToGrid w:val="0"/>
        <w:spacing w:line="432" w:lineRule="auto"/>
        <w:ind w:right="420"/>
        <w:jc w:val="righ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1CE2860">
      <w:pPr>
        <w:rPr>
          <w:rStyle w:val="48"/>
          <w:rFonts w:ascii="宋体" w:hAnsi="宋体" w:cs="宋体"/>
          <w:b w:val="0"/>
          <w:color w:val="auto"/>
          <w:sz w:val="24"/>
          <w:szCs w:val="24"/>
          <w:highlight w:val="none"/>
        </w:rPr>
      </w:pPr>
      <w:r>
        <w:rPr>
          <w:rStyle w:val="48"/>
          <w:rFonts w:hint="eastAsia" w:ascii="宋体" w:hAnsi="宋体" w:cs="宋体"/>
          <w:b w:val="0"/>
          <w:color w:val="auto"/>
          <w:sz w:val="24"/>
          <w:szCs w:val="24"/>
          <w:highlight w:val="none"/>
        </w:rPr>
        <w:br w:type="page"/>
      </w:r>
    </w:p>
    <w:p w14:paraId="459CF4B0">
      <w:pPr>
        <w:pStyle w:val="3"/>
        <w:rPr>
          <w:color w:val="auto"/>
          <w:highlight w:val="none"/>
        </w:rPr>
      </w:pPr>
      <w:bookmarkStart w:id="539" w:name="_Toc21687"/>
      <w:bookmarkStart w:id="540" w:name="_Toc10136"/>
      <w:r>
        <w:rPr>
          <w:rFonts w:hint="eastAsia"/>
          <w:color w:val="auto"/>
          <w:highlight w:val="none"/>
        </w:rPr>
        <w:t>二、首次报价一览表</w:t>
      </w:r>
      <w:bookmarkEnd w:id="539"/>
      <w:bookmarkEnd w:id="540"/>
    </w:p>
    <w:p w14:paraId="1AFC5C84">
      <w:pPr>
        <w:pStyle w:val="4"/>
        <w:jc w:val="center"/>
        <w:rPr>
          <w:color w:val="auto"/>
          <w:highlight w:val="none"/>
        </w:rPr>
      </w:pPr>
      <w:r>
        <w:rPr>
          <w:rFonts w:hint="eastAsia"/>
          <w:color w:val="auto"/>
          <w:highlight w:val="none"/>
        </w:rPr>
        <w:t>（一）首次报价一览表</w:t>
      </w:r>
    </w:p>
    <w:tbl>
      <w:tblPr>
        <w:tblStyle w:val="39"/>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5981"/>
      </w:tblGrid>
      <w:tr w14:paraId="7FD4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18" w:type="dxa"/>
            <w:vAlign w:val="center"/>
          </w:tcPr>
          <w:p w14:paraId="530C9F2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5981" w:type="dxa"/>
            <w:vAlign w:val="center"/>
          </w:tcPr>
          <w:p w14:paraId="6C815F4E">
            <w:pPr>
              <w:spacing w:line="360" w:lineRule="auto"/>
              <w:jc w:val="left"/>
              <w:rPr>
                <w:rFonts w:ascii="宋体" w:hAnsi="宋体" w:cs="宋体"/>
                <w:color w:val="auto"/>
                <w:sz w:val="24"/>
                <w:szCs w:val="24"/>
                <w:highlight w:val="none"/>
              </w:rPr>
            </w:pPr>
          </w:p>
        </w:tc>
      </w:tr>
      <w:tr w14:paraId="0C75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18" w:type="dxa"/>
            <w:vAlign w:val="center"/>
          </w:tcPr>
          <w:p w14:paraId="6F00092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5981" w:type="dxa"/>
            <w:vAlign w:val="center"/>
          </w:tcPr>
          <w:p w14:paraId="003A2866">
            <w:pPr>
              <w:spacing w:line="360" w:lineRule="auto"/>
              <w:jc w:val="left"/>
              <w:rPr>
                <w:rFonts w:ascii="宋体" w:hAnsi="宋体" w:cs="宋体"/>
                <w:color w:val="auto"/>
                <w:sz w:val="24"/>
                <w:szCs w:val="24"/>
                <w:highlight w:val="none"/>
              </w:rPr>
            </w:pPr>
          </w:p>
        </w:tc>
      </w:tr>
      <w:tr w14:paraId="366F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18" w:type="dxa"/>
            <w:vAlign w:val="center"/>
          </w:tcPr>
          <w:p w14:paraId="768A4D6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磋商总报价</w:t>
            </w:r>
          </w:p>
          <w:p w14:paraId="329D3B5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（元）</w:t>
            </w:r>
          </w:p>
        </w:tc>
        <w:tc>
          <w:tcPr>
            <w:tcW w:w="5981" w:type="dxa"/>
            <w:vAlign w:val="center"/>
          </w:tcPr>
          <w:p w14:paraId="2F97AB0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71338E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tc>
      </w:tr>
      <w:tr w14:paraId="4551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18" w:type="dxa"/>
            <w:vAlign w:val="center"/>
          </w:tcPr>
          <w:p w14:paraId="3004BF0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工期（日历天）</w:t>
            </w:r>
          </w:p>
        </w:tc>
        <w:tc>
          <w:tcPr>
            <w:tcW w:w="5981" w:type="dxa"/>
            <w:vAlign w:val="center"/>
          </w:tcPr>
          <w:p w14:paraId="2BEC5CB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自接到采购人开工通知之日起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日历天内</w:t>
            </w:r>
          </w:p>
        </w:tc>
      </w:tr>
      <w:tr w14:paraId="7685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18" w:type="dxa"/>
            <w:vAlign w:val="center"/>
          </w:tcPr>
          <w:p w14:paraId="2D06B96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5981" w:type="dxa"/>
            <w:vAlign w:val="center"/>
          </w:tcPr>
          <w:p w14:paraId="21C11F2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满足现行《建筑与市政工程施工质量控制通用规范》的要求，质量验收合格。</w:t>
            </w:r>
          </w:p>
        </w:tc>
      </w:tr>
      <w:tr w14:paraId="2298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18" w:type="dxa"/>
            <w:vAlign w:val="center"/>
          </w:tcPr>
          <w:p w14:paraId="3FE3DA0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质量保修期</w:t>
            </w:r>
          </w:p>
        </w:tc>
        <w:tc>
          <w:tcPr>
            <w:tcW w:w="5981" w:type="dxa"/>
            <w:vAlign w:val="center"/>
          </w:tcPr>
          <w:p w14:paraId="700DC18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自验收合格之日起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p>
        </w:tc>
      </w:tr>
      <w:tr w14:paraId="4C40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18" w:type="dxa"/>
            <w:vAlign w:val="center"/>
          </w:tcPr>
          <w:p w14:paraId="0904B5C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付款方式是否响应 (是/否)</w:t>
            </w:r>
          </w:p>
        </w:tc>
        <w:tc>
          <w:tcPr>
            <w:tcW w:w="5981" w:type="dxa"/>
            <w:vAlign w:val="center"/>
          </w:tcPr>
          <w:p w14:paraId="59B7A2BB">
            <w:pPr>
              <w:spacing w:line="360" w:lineRule="auto"/>
              <w:jc w:val="left"/>
              <w:rPr>
                <w:rFonts w:ascii="宋体" w:hAnsi="宋体" w:cs="宋体"/>
                <w:color w:val="auto"/>
                <w:sz w:val="24"/>
                <w:szCs w:val="24"/>
                <w:highlight w:val="none"/>
              </w:rPr>
            </w:pPr>
          </w:p>
        </w:tc>
      </w:tr>
      <w:tr w14:paraId="5CD5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18" w:type="dxa"/>
            <w:vAlign w:val="center"/>
          </w:tcPr>
          <w:p w14:paraId="39D7C22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拟派项目经理</w:t>
            </w:r>
          </w:p>
        </w:tc>
        <w:tc>
          <w:tcPr>
            <w:tcW w:w="5981" w:type="dxa"/>
            <w:vAlign w:val="center"/>
          </w:tcPr>
          <w:p w14:paraId="24420E0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姓名：</w:t>
            </w:r>
            <w:r>
              <w:rPr>
                <w:rFonts w:hint="eastAsia" w:ascii="宋体" w:hAnsi="宋体" w:cs="仿宋"/>
                <w:color w:val="auto"/>
                <w:spacing w:val="-5"/>
                <w:position w:val="2"/>
                <w:sz w:val="24"/>
                <w:szCs w:val="24"/>
                <w:highlight w:val="none"/>
                <w:u w:val="single"/>
              </w:rPr>
              <w:t xml:space="preserve">                           </w:t>
            </w:r>
            <w:r>
              <w:rPr>
                <w:rFonts w:hint="eastAsia" w:ascii="宋体" w:hAnsi="宋体" w:cs="仿宋"/>
                <w:color w:val="auto"/>
                <w:spacing w:val="-5"/>
                <w:position w:val="2"/>
                <w:sz w:val="24"/>
                <w:szCs w:val="24"/>
                <w:highlight w:val="none"/>
              </w:rPr>
              <w:t xml:space="preserve"> </w:t>
            </w:r>
          </w:p>
          <w:p w14:paraId="2D26887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建造师注册证书号：</w:t>
            </w:r>
            <w:r>
              <w:rPr>
                <w:rFonts w:hint="eastAsia" w:ascii="宋体" w:hAnsi="宋体" w:cs="仿宋"/>
                <w:color w:val="auto"/>
                <w:spacing w:val="-5"/>
                <w:position w:val="2"/>
                <w:sz w:val="24"/>
                <w:szCs w:val="24"/>
                <w:highlight w:val="none"/>
                <w:u w:val="single"/>
              </w:rPr>
              <w:t xml:space="preserve">              </w:t>
            </w:r>
          </w:p>
        </w:tc>
      </w:tr>
    </w:tbl>
    <w:p w14:paraId="238725D5">
      <w:pPr>
        <w:rPr>
          <w:color w:val="auto"/>
          <w:highlight w:val="none"/>
        </w:rPr>
      </w:pPr>
    </w:p>
    <w:p w14:paraId="73E7AFD0">
      <w:pPr>
        <w:rPr>
          <w:color w:val="auto"/>
          <w:highlight w:val="none"/>
        </w:rPr>
      </w:pPr>
    </w:p>
    <w:p w14:paraId="602AD8A6">
      <w:pPr>
        <w:pStyle w:val="14"/>
        <w:rPr>
          <w:color w:val="auto"/>
          <w:highlight w:val="none"/>
        </w:rPr>
      </w:pPr>
    </w:p>
    <w:p w14:paraId="10C1633C">
      <w:pPr>
        <w:adjustRightInd w:val="0"/>
        <w:snapToGrid w:val="0"/>
        <w:spacing w:line="432"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3F12745C">
      <w:pPr>
        <w:adjustRightInd w:val="0"/>
        <w:snapToGrid w:val="0"/>
        <w:spacing w:line="432"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4062AB73">
      <w:pPr>
        <w:adjustRightInd w:val="0"/>
        <w:snapToGrid w:val="0"/>
        <w:spacing w:line="432" w:lineRule="auto"/>
        <w:ind w:right="420"/>
        <w:jc w:val="right"/>
        <w:rPr>
          <w:rFonts w:ascii="宋体" w:hAnsi="宋体" w:cs="宋体"/>
          <w:color w:val="auto"/>
          <w:sz w:val="24"/>
          <w:szCs w:val="24"/>
          <w:highlight w:val="none"/>
        </w:rPr>
        <w:sectPr>
          <w:pgSz w:w="11906" w:h="16838"/>
          <w:pgMar w:top="1440" w:right="1800" w:bottom="1440" w:left="1800" w:header="1191" w:footer="1134" w:gutter="0"/>
          <w:cols w:space="720" w:num="1"/>
          <w:docGrid w:type="lines" w:linePitch="312" w:charSpace="0"/>
        </w:sect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E0B7C84">
      <w:pPr>
        <w:pStyle w:val="4"/>
        <w:jc w:val="center"/>
        <w:rPr>
          <w:color w:val="auto"/>
          <w:highlight w:val="none"/>
        </w:rPr>
      </w:pPr>
      <w:r>
        <w:rPr>
          <w:rFonts w:hint="eastAsia"/>
          <w:color w:val="auto"/>
          <w:highlight w:val="none"/>
        </w:rPr>
        <w:t>（二）已标价的工程量清单</w:t>
      </w:r>
    </w:p>
    <w:p w14:paraId="6A82F407">
      <w:pPr>
        <w:pStyle w:val="14"/>
        <w:numPr>
          <w:ilvl w:val="0"/>
          <w:numId w:val="4"/>
        </w:numPr>
        <w:rPr>
          <w:color w:val="auto"/>
          <w:highlight w:val="none"/>
        </w:rPr>
        <w:sectPr>
          <w:pgSz w:w="11906" w:h="16838"/>
          <w:pgMar w:top="1440" w:right="1800" w:bottom="1440" w:left="1800" w:header="1191" w:footer="1134" w:gutter="0"/>
          <w:cols w:space="720" w:num="1"/>
          <w:docGrid w:type="lines" w:linePitch="312" w:charSpace="0"/>
        </w:sectPr>
      </w:pPr>
    </w:p>
    <w:p w14:paraId="65C35A63">
      <w:pPr>
        <w:pStyle w:val="3"/>
        <w:spacing w:line="240" w:lineRule="auto"/>
        <w:rPr>
          <w:color w:val="auto"/>
          <w:highlight w:val="none"/>
        </w:rPr>
      </w:pPr>
      <w:bookmarkStart w:id="541" w:name="_Toc28483"/>
      <w:bookmarkStart w:id="542" w:name="_Toc23519"/>
      <w:r>
        <w:rPr>
          <w:rFonts w:hint="eastAsia"/>
          <w:color w:val="auto"/>
          <w:highlight w:val="none"/>
        </w:rPr>
        <w:t>三、法定代表人身份证明</w:t>
      </w:r>
      <w:bookmarkEnd w:id="538"/>
      <w:r>
        <w:rPr>
          <w:rFonts w:hint="eastAsia"/>
          <w:color w:val="auto"/>
          <w:highlight w:val="none"/>
        </w:rPr>
        <w:t>及授权委托书</w:t>
      </w:r>
      <w:bookmarkEnd w:id="541"/>
      <w:bookmarkEnd w:id="542"/>
    </w:p>
    <w:p w14:paraId="0EEFFC1A">
      <w:pPr>
        <w:pStyle w:val="4"/>
        <w:jc w:val="center"/>
        <w:rPr>
          <w:color w:val="auto"/>
          <w:highlight w:val="none"/>
        </w:rPr>
      </w:pPr>
      <w:r>
        <w:rPr>
          <w:rFonts w:hint="eastAsia"/>
          <w:color w:val="auto"/>
          <w:highlight w:val="none"/>
        </w:rPr>
        <w:t>（一）法定代表人身份证明书</w:t>
      </w:r>
    </w:p>
    <w:tbl>
      <w:tblPr>
        <w:tblStyle w:val="39"/>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306"/>
        <w:gridCol w:w="2306"/>
        <w:gridCol w:w="1744"/>
        <w:gridCol w:w="1695"/>
      </w:tblGrid>
      <w:tr w14:paraId="3101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87" w:type="dxa"/>
            <w:gridSpan w:val="5"/>
            <w:noWrap/>
            <w:vAlign w:val="center"/>
          </w:tcPr>
          <w:p w14:paraId="32606FC7">
            <w:pPr>
              <w:tabs>
                <w:tab w:val="right" w:leader="dot" w:pos="9022"/>
              </w:tabs>
              <w:autoSpaceDE w:val="0"/>
              <w:autoSpaceDN w:val="0"/>
              <w:adjustRightInd w:val="0"/>
              <w:jc w:val="left"/>
              <w:rPr>
                <w:rFonts w:ascii="宋体" w:hAnsi="宋体" w:cs="宋体"/>
                <w:bCs/>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rPr>
              <w:t>（采购人名称）</w:t>
            </w:r>
          </w:p>
        </w:tc>
      </w:tr>
      <w:tr w14:paraId="55B0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noWrap/>
            <w:vAlign w:val="center"/>
          </w:tcPr>
          <w:p w14:paraId="702F7600">
            <w:pPr>
              <w:tabs>
                <w:tab w:val="right" w:leader="dot" w:pos="9022"/>
              </w:tabs>
              <w:autoSpaceDE w:val="0"/>
              <w:autoSpaceDN w:val="0"/>
              <w:adjustRightIn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企业法人</w:t>
            </w:r>
          </w:p>
        </w:tc>
        <w:tc>
          <w:tcPr>
            <w:tcW w:w="2306" w:type="dxa"/>
            <w:noWrap/>
            <w:vAlign w:val="center"/>
          </w:tcPr>
          <w:p w14:paraId="043B1B9E">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企业名称</w:t>
            </w:r>
          </w:p>
        </w:tc>
        <w:tc>
          <w:tcPr>
            <w:tcW w:w="5745" w:type="dxa"/>
            <w:gridSpan w:val="3"/>
            <w:noWrap/>
            <w:vAlign w:val="center"/>
          </w:tcPr>
          <w:p w14:paraId="43B13E89">
            <w:pPr>
              <w:tabs>
                <w:tab w:val="right" w:leader="dot" w:pos="9022"/>
              </w:tabs>
              <w:autoSpaceDE w:val="0"/>
              <w:autoSpaceDN w:val="0"/>
              <w:adjustRightInd w:val="0"/>
              <w:jc w:val="center"/>
              <w:rPr>
                <w:rFonts w:ascii="宋体" w:hAnsi="宋体" w:cs="宋体"/>
                <w:bCs/>
                <w:color w:val="auto"/>
                <w:sz w:val="24"/>
                <w:szCs w:val="24"/>
                <w:highlight w:val="none"/>
              </w:rPr>
            </w:pPr>
          </w:p>
        </w:tc>
      </w:tr>
      <w:tr w14:paraId="6BD9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noWrap/>
            <w:vAlign w:val="center"/>
          </w:tcPr>
          <w:p w14:paraId="6AF504FA">
            <w:pPr>
              <w:tabs>
                <w:tab w:val="right" w:leader="dot" w:pos="9022"/>
              </w:tabs>
              <w:autoSpaceDE w:val="0"/>
              <w:autoSpaceDN w:val="0"/>
              <w:adjustRightInd w:val="0"/>
              <w:spacing w:line="360" w:lineRule="auto"/>
              <w:ind w:firstLine="240" w:firstLineChars="100"/>
              <w:jc w:val="center"/>
              <w:rPr>
                <w:rFonts w:ascii="宋体" w:hAnsi="宋体" w:cs="宋体"/>
                <w:bCs/>
                <w:color w:val="auto"/>
                <w:sz w:val="24"/>
                <w:szCs w:val="24"/>
                <w:highlight w:val="none"/>
              </w:rPr>
            </w:pPr>
          </w:p>
        </w:tc>
        <w:tc>
          <w:tcPr>
            <w:tcW w:w="2306" w:type="dxa"/>
            <w:noWrap/>
            <w:vAlign w:val="center"/>
          </w:tcPr>
          <w:p w14:paraId="39C76A15">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法定地址</w:t>
            </w:r>
          </w:p>
        </w:tc>
        <w:tc>
          <w:tcPr>
            <w:tcW w:w="5745" w:type="dxa"/>
            <w:gridSpan w:val="3"/>
            <w:noWrap/>
            <w:vAlign w:val="center"/>
          </w:tcPr>
          <w:p w14:paraId="551F0B2C">
            <w:pPr>
              <w:tabs>
                <w:tab w:val="right" w:leader="dot" w:pos="9022"/>
              </w:tabs>
              <w:autoSpaceDE w:val="0"/>
              <w:autoSpaceDN w:val="0"/>
              <w:adjustRightInd w:val="0"/>
              <w:jc w:val="center"/>
              <w:rPr>
                <w:rFonts w:ascii="宋体" w:hAnsi="宋体" w:cs="宋体"/>
                <w:bCs/>
                <w:color w:val="auto"/>
                <w:sz w:val="24"/>
                <w:szCs w:val="24"/>
                <w:highlight w:val="none"/>
              </w:rPr>
            </w:pPr>
          </w:p>
        </w:tc>
      </w:tr>
      <w:tr w14:paraId="261F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noWrap/>
            <w:vAlign w:val="center"/>
          </w:tcPr>
          <w:p w14:paraId="28DAEE10">
            <w:pPr>
              <w:tabs>
                <w:tab w:val="right" w:leader="dot" w:pos="9022"/>
              </w:tabs>
              <w:autoSpaceDE w:val="0"/>
              <w:autoSpaceDN w:val="0"/>
              <w:adjustRightInd w:val="0"/>
              <w:spacing w:line="360" w:lineRule="auto"/>
              <w:ind w:firstLine="240" w:firstLineChars="100"/>
              <w:jc w:val="center"/>
              <w:rPr>
                <w:rFonts w:ascii="宋体" w:hAnsi="宋体" w:cs="宋体"/>
                <w:bCs/>
                <w:color w:val="auto"/>
                <w:sz w:val="24"/>
                <w:szCs w:val="24"/>
                <w:highlight w:val="none"/>
              </w:rPr>
            </w:pPr>
          </w:p>
        </w:tc>
        <w:tc>
          <w:tcPr>
            <w:tcW w:w="2306" w:type="dxa"/>
            <w:noWrap/>
            <w:vAlign w:val="center"/>
          </w:tcPr>
          <w:p w14:paraId="71988FE9">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统一社会信用代码</w:t>
            </w:r>
          </w:p>
        </w:tc>
        <w:tc>
          <w:tcPr>
            <w:tcW w:w="5745" w:type="dxa"/>
            <w:gridSpan w:val="3"/>
            <w:noWrap/>
            <w:vAlign w:val="center"/>
          </w:tcPr>
          <w:p w14:paraId="6F1D816A">
            <w:pPr>
              <w:tabs>
                <w:tab w:val="right" w:leader="dot" w:pos="9022"/>
              </w:tabs>
              <w:autoSpaceDE w:val="0"/>
              <w:autoSpaceDN w:val="0"/>
              <w:adjustRightInd w:val="0"/>
              <w:jc w:val="center"/>
              <w:rPr>
                <w:rFonts w:ascii="宋体" w:hAnsi="宋体" w:cs="宋体"/>
                <w:bCs/>
                <w:color w:val="auto"/>
                <w:sz w:val="24"/>
                <w:szCs w:val="24"/>
                <w:highlight w:val="none"/>
              </w:rPr>
            </w:pPr>
          </w:p>
        </w:tc>
      </w:tr>
      <w:tr w14:paraId="7E73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noWrap/>
            <w:vAlign w:val="center"/>
          </w:tcPr>
          <w:p w14:paraId="1E83097F">
            <w:pPr>
              <w:tabs>
                <w:tab w:val="right" w:leader="dot" w:pos="9022"/>
              </w:tabs>
              <w:autoSpaceDE w:val="0"/>
              <w:autoSpaceDN w:val="0"/>
              <w:adjustRightInd w:val="0"/>
              <w:spacing w:line="360" w:lineRule="auto"/>
              <w:ind w:firstLine="240" w:firstLineChars="100"/>
              <w:jc w:val="center"/>
              <w:rPr>
                <w:rFonts w:ascii="宋体" w:hAnsi="宋体" w:cs="宋体"/>
                <w:bCs/>
                <w:color w:val="auto"/>
                <w:sz w:val="24"/>
                <w:szCs w:val="24"/>
                <w:highlight w:val="none"/>
              </w:rPr>
            </w:pPr>
          </w:p>
        </w:tc>
        <w:tc>
          <w:tcPr>
            <w:tcW w:w="2306" w:type="dxa"/>
            <w:noWrap/>
            <w:vAlign w:val="center"/>
          </w:tcPr>
          <w:p w14:paraId="48B72704">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纳税人识别号</w:t>
            </w:r>
          </w:p>
        </w:tc>
        <w:tc>
          <w:tcPr>
            <w:tcW w:w="5745" w:type="dxa"/>
            <w:gridSpan w:val="3"/>
            <w:noWrap/>
            <w:vAlign w:val="center"/>
          </w:tcPr>
          <w:p w14:paraId="392AE6B9">
            <w:pPr>
              <w:tabs>
                <w:tab w:val="right" w:leader="dot" w:pos="9022"/>
              </w:tabs>
              <w:autoSpaceDE w:val="0"/>
              <w:autoSpaceDN w:val="0"/>
              <w:adjustRightInd w:val="0"/>
              <w:ind w:firstLine="2400" w:firstLineChars="1000"/>
              <w:jc w:val="center"/>
              <w:rPr>
                <w:rFonts w:ascii="宋体" w:hAnsi="宋体" w:cs="宋体"/>
                <w:bCs/>
                <w:color w:val="auto"/>
                <w:sz w:val="24"/>
                <w:szCs w:val="24"/>
                <w:highlight w:val="none"/>
              </w:rPr>
            </w:pPr>
          </w:p>
        </w:tc>
      </w:tr>
      <w:tr w14:paraId="5F20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noWrap/>
            <w:vAlign w:val="center"/>
          </w:tcPr>
          <w:p w14:paraId="1FAA858E">
            <w:pPr>
              <w:tabs>
                <w:tab w:val="right" w:leader="dot" w:pos="9022"/>
              </w:tabs>
              <w:autoSpaceDE w:val="0"/>
              <w:autoSpaceDN w:val="0"/>
              <w:adjustRightInd w:val="0"/>
              <w:spacing w:line="360" w:lineRule="auto"/>
              <w:ind w:firstLine="240" w:firstLineChars="100"/>
              <w:jc w:val="center"/>
              <w:rPr>
                <w:rFonts w:ascii="宋体" w:hAnsi="宋体" w:cs="宋体"/>
                <w:bCs/>
                <w:color w:val="auto"/>
                <w:sz w:val="24"/>
                <w:szCs w:val="24"/>
                <w:highlight w:val="none"/>
              </w:rPr>
            </w:pPr>
          </w:p>
        </w:tc>
        <w:tc>
          <w:tcPr>
            <w:tcW w:w="2306" w:type="dxa"/>
            <w:noWrap/>
            <w:vAlign w:val="center"/>
          </w:tcPr>
          <w:p w14:paraId="2FD414B6">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企业类型</w:t>
            </w:r>
          </w:p>
        </w:tc>
        <w:tc>
          <w:tcPr>
            <w:tcW w:w="5745" w:type="dxa"/>
            <w:gridSpan w:val="3"/>
            <w:noWrap/>
            <w:vAlign w:val="center"/>
          </w:tcPr>
          <w:p w14:paraId="2CE0DD6F">
            <w:pPr>
              <w:tabs>
                <w:tab w:val="right" w:leader="dot" w:pos="9022"/>
              </w:tabs>
              <w:autoSpaceDE w:val="0"/>
              <w:autoSpaceDN w:val="0"/>
              <w:adjustRightInd w:val="0"/>
              <w:jc w:val="center"/>
              <w:rPr>
                <w:rFonts w:ascii="宋体" w:hAnsi="宋体" w:cs="宋体"/>
                <w:bCs/>
                <w:color w:val="auto"/>
                <w:sz w:val="24"/>
                <w:szCs w:val="24"/>
                <w:highlight w:val="none"/>
              </w:rPr>
            </w:pPr>
          </w:p>
        </w:tc>
      </w:tr>
      <w:tr w14:paraId="1595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noWrap/>
            <w:vAlign w:val="center"/>
          </w:tcPr>
          <w:p w14:paraId="4743C9E1">
            <w:pPr>
              <w:tabs>
                <w:tab w:val="right" w:leader="dot" w:pos="9022"/>
              </w:tabs>
              <w:autoSpaceDE w:val="0"/>
              <w:autoSpaceDN w:val="0"/>
              <w:adjustRightInd w:val="0"/>
              <w:spacing w:line="360" w:lineRule="auto"/>
              <w:ind w:firstLine="240" w:firstLineChars="100"/>
              <w:jc w:val="center"/>
              <w:rPr>
                <w:rFonts w:ascii="宋体" w:hAnsi="宋体" w:cs="宋体"/>
                <w:bCs/>
                <w:color w:val="auto"/>
                <w:sz w:val="24"/>
                <w:szCs w:val="24"/>
                <w:highlight w:val="none"/>
              </w:rPr>
            </w:pPr>
          </w:p>
        </w:tc>
        <w:tc>
          <w:tcPr>
            <w:tcW w:w="2306" w:type="dxa"/>
            <w:noWrap/>
            <w:vAlign w:val="center"/>
          </w:tcPr>
          <w:p w14:paraId="1589555B">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成立日期</w:t>
            </w:r>
          </w:p>
        </w:tc>
        <w:tc>
          <w:tcPr>
            <w:tcW w:w="5745" w:type="dxa"/>
            <w:gridSpan w:val="3"/>
            <w:noWrap/>
            <w:vAlign w:val="center"/>
          </w:tcPr>
          <w:p w14:paraId="3373191F">
            <w:pPr>
              <w:tabs>
                <w:tab w:val="right" w:leader="dot" w:pos="9022"/>
              </w:tabs>
              <w:autoSpaceDE w:val="0"/>
              <w:autoSpaceDN w:val="0"/>
              <w:adjustRightInd w:val="0"/>
              <w:jc w:val="center"/>
              <w:rPr>
                <w:rFonts w:ascii="宋体" w:hAnsi="宋体" w:cs="宋体"/>
                <w:bCs/>
                <w:color w:val="auto"/>
                <w:sz w:val="24"/>
                <w:szCs w:val="24"/>
                <w:highlight w:val="none"/>
              </w:rPr>
            </w:pPr>
          </w:p>
        </w:tc>
      </w:tr>
      <w:tr w14:paraId="65C3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noWrap/>
            <w:vAlign w:val="center"/>
          </w:tcPr>
          <w:p w14:paraId="3435913B">
            <w:pPr>
              <w:tabs>
                <w:tab w:val="right" w:leader="dot" w:pos="9022"/>
              </w:tabs>
              <w:autoSpaceDE w:val="0"/>
              <w:autoSpaceDN w:val="0"/>
              <w:adjustRightIn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法定代表人</w:t>
            </w:r>
          </w:p>
        </w:tc>
        <w:tc>
          <w:tcPr>
            <w:tcW w:w="2306" w:type="dxa"/>
            <w:noWrap/>
            <w:vAlign w:val="center"/>
          </w:tcPr>
          <w:p w14:paraId="445E0907">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姓名</w:t>
            </w:r>
          </w:p>
        </w:tc>
        <w:tc>
          <w:tcPr>
            <w:tcW w:w="2306" w:type="dxa"/>
            <w:noWrap/>
            <w:vAlign w:val="center"/>
          </w:tcPr>
          <w:p w14:paraId="2DDC840C">
            <w:pPr>
              <w:tabs>
                <w:tab w:val="right" w:leader="dot" w:pos="9022"/>
              </w:tabs>
              <w:autoSpaceDE w:val="0"/>
              <w:autoSpaceDN w:val="0"/>
              <w:adjustRightInd w:val="0"/>
              <w:jc w:val="center"/>
              <w:rPr>
                <w:rFonts w:ascii="宋体" w:hAnsi="宋体" w:cs="宋体"/>
                <w:bCs/>
                <w:color w:val="auto"/>
                <w:sz w:val="24"/>
                <w:szCs w:val="24"/>
                <w:highlight w:val="none"/>
              </w:rPr>
            </w:pPr>
          </w:p>
        </w:tc>
        <w:tc>
          <w:tcPr>
            <w:tcW w:w="1744" w:type="dxa"/>
            <w:noWrap/>
            <w:vAlign w:val="center"/>
          </w:tcPr>
          <w:p w14:paraId="154DE14F">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性别</w:t>
            </w:r>
          </w:p>
        </w:tc>
        <w:tc>
          <w:tcPr>
            <w:tcW w:w="1695" w:type="dxa"/>
            <w:noWrap/>
            <w:vAlign w:val="center"/>
          </w:tcPr>
          <w:p w14:paraId="5C561302">
            <w:pPr>
              <w:tabs>
                <w:tab w:val="right" w:leader="dot" w:pos="9022"/>
              </w:tabs>
              <w:autoSpaceDE w:val="0"/>
              <w:autoSpaceDN w:val="0"/>
              <w:adjustRightInd w:val="0"/>
              <w:jc w:val="center"/>
              <w:rPr>
                <w:rFonts w:ascii="宋体" w:hAnsi="宋体" w:cs="宋体"/>
                <w:bCs/>
                <w:color w:val="auto"/>
                <w:sz w:val="24"/>
                <w:szCs w:val="24"/>
                <w:highlight w:val="none"/>
              </w:rPr>
            </w:pPr>
          </w:p>
        </w:tc>
      </w:tr>
      <w:tr w14:paraId="3638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noWrap/>
            <w:vAlign w:val="center"/>
          </w:tcPr>
          <w:p w14:paraId="51E285D1">
            <w:pPr>
              <w:tabs>
                <w:tab w:val="right" w:leader="dot" w:pos="9022"/>
              </w:tabs>
              <w:autoSpaceDE w:val="0"/>
              <w:autoSpaceDN w:val="0"/>
              <w:adjustRightInd w:val="0"/>
              <w:spacing w:line="360" w:lineRule="auto"/>
              <w:jc w:val="center"/>
              <w:rPr>
                <w:rFonts w:ascii="宋体" w:hAnsi="宋体" w:cs="宋体"/>
                <w:bCs/>
                <w:color w:val="auto"/>
                <w:sz w:val="24"/>
                <w:szCs w:val="24"/>
                <w:highlight w:val="none"/>
              </w:rPr>
            </w:pPr>
          </w:p>
        </w:tc>
        <w:tc>
          <w:tcPr>
            <w:tcW w:w="2306" w:type="dxa"/>
            <w:noWrap/>
            <w:vAlign w:val="center"/>
          </w:tcPr>
          <w:p w14:paraId="640B0EFE">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职务</w:t>
            </w:r>
          </w:p>
        </w:tc>
        <w:tc>
          <w:tcPr>
            <w:tcW w:w="2306" w:type="dxa"/>
            <w:noWrap/>
            <w:vAlign w:val="center"/>
          </w:tcPr>
          <w:p w14:paraId="752000AA">
            <w:pPr>
              <w:tabs>
                <w:tab w:val="right" w:leader="dot" w:pos="9022"/>
              </w:tabs>
              <w:autoSpaceDE w:val="0"/>
              <w:autoSpaceDN w:val="0"/>
              <w:adjustRightInd w:val="0"/>
              <w:jc w:val="center"/>
              <w:rPr>
                <w:rFonts w:ascii="宋体" w:hAnsi="宋体" w:cs="宋体"/>
                <w:bCs/>
                <w:color w:val="auto"/>
                <w:sz w:val="24"/>
                <w:szCs w:val="24"/>
                <w:highlight w:val="none"/>
              </w:rPr>
            </w:pPr>
          </w:p>
        </w:tc>
        <w:tc>
          <w:tcPr>
            <w:tcW w:w="1744" w:type="dxa"/>
            <w:noWrap/>
            <w:vAlign w:val="center"/>
          </w:tcPr>
          <w:p w14:paraId="2E70ABA5">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年龄</w:t>
            </w:r>
          </w:p>
        </w:tc>
        <w:tc>
          <w:tcPr>
            <w:tcW w:w="1695" w:type="dxa"/>
            <w:noWrap/>
            <w:vAlign w:val="center"/>
          </w:tcPr>
          <w:p w14:paraId="6E2DD7A1">
            <w:pPr>
              <w:tabs>
                <w:tab w:val="right" w:leader="dot" w:pos="9022"/>
              </w:tabs>
              <w:autoSpaceDE w:val="0"/>
              <w:autoSpaceDN w:val="0"/>
              <w:adjustRightInd w:val="0"/>
              <w:jc w:val="center"/>
              <w:rPr>
                <w:rFonts w:ascii="宋体" w:hAnsi="宋体" w:cs="宋体"/>
                <w:bCs/>
                <w:color w:val="auto"/>
                <w:sz w:val="24"/>
                <w:szCs w:val="24"/>
                <w:highlight w:val="none"/>
              </w:rPr>
            </w:pPr>
          </w:p>
        </w:tc>
      </w:tr>
      <w:tr w14:paraId="5717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noWrap/>
            <w:vAlign w:val="center"/>
          </w:tcPr>
          <w:p w14:paraId="4B4C3B7C">
            <w:pPr>
              <w:tabs>
                <w:tab w:val="right" w:leader="dot" w:pos="9022"/>
              </w:tabs>
              <w:autoSpaceDE w:val="0"/>
              <w:autoSpaceDN w:val="0"/>
              <w:adjustRightInd w:val="0"/>
              <w:spacing w:line="360" w:lineRule="auto"/>
              <w:jc w:val="center"/>
              <w:rPr>
                <w:rFonts w:ascii="宋体" w:hAnsi="宋体" w:cs="宋体"/>
                <w:bCs/>
                <w:color w:val="auto"/>
                <w:sz w:val="24"/>
                <w:szCs w:val="24"/>
                <w:highlight w:val="none"/>
              </w:rPr>
            </w:pPr>
          </w:p>
        </w:tc>
        <w:tc>
          <w:tcPr>
            <w:tcW w:w="2306" w:type="dxa"/>
            <w:noWrap/>
            <w:vAlign w:val="center"/>
          </w:tcPr>
          <w:p w14:paraId="61801018">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身份证号</w:t>
            </w:r>
          </w:p>
        </w:tc>
        <w:tc>
          <w:tcPr>
            <w:tcW w:w="2306" w:type="dxa"/>
            <w:noWrap/>
            <w:vAlign w:val="center"/>
          </w:tcPr>
          <w:p w14:paraId="2B25AD62">
            <w:pPr>
              <w:tabs>
                <w:tab w:val="right" w:leader="dot" w:pos="9022"/>
              </w:tabs>
              <w:autoSpaceDE w:val="0"/>
              <w:autoSpaceDN w:val="0"/>
              <w:adjustRightInd w:val="0"/>
              <w:jc w:val="center"/>
              <w:rPr>
                <w:rFonts w:ascii="宋体" w:hAnsi="宋体" w:cs="宋体"/>
                <w:bCs/>
                <w:color w:val="auto"/>
                <w:sz w:val="24"/>
                <w:szCs w:val="24"/>
                <w:highlight w:val="none"/>
              </w:rPr>
            </w:pPr>
          </w:p>
        </w:tc>
        <w:tc>
          <w:tcPr>
            <w:tcW w:w="1744" w:type="dxa"/>
            <w:noWrap/>
            <w:vAlign w:val="center"/>
          </w:tcPr>
          <w:p w14:paraId="0E217C69">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联系电话</w:t>
            </w:r>
          </w:p>
        </w:tc>
        <w:tc>
          <w:tcPr>
            <w:tcW w:w="1695" w:type="dxa"/>
            <w:noWrap/>
            <w:vAlign w:val="center"/>
          </w:tcPr>
          <w:p w14:paraId="496D1CFC">
            <w:pPr>
              <w:tabs>
                <w:tab w:val="right" w:leader="dot" w:pos="9022"/>
              </w:tabs>
              <w:autoSpaceDE w:val="0"/>
              <w:autoSpaceDN w:val="0"/>
              <w:adjustRightInd w:val="0"/>
              <w:jc w:val="center"/>
              <w:rPr>
                <w:rFonts w:ascii="宋体" w:hAnsi="宋体" w:cs="宋体"/>
                <w:bCs/>
                <w:color w:val="auto"/>
                <w:sz w:val="24"/>
                <w:szCs w:val="24"/>
                <w:highlight w:val="none"/>
              </w:rPr>
            </w:pPr>
          </w:p>
        </w:tc>
      </w:tr>
      <w:tr w14:paraId="3082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36" w:type="dxa"/>
            <w:vMerge w:val="restart"/>
            <w:noWrap/>
            <w:vAlign w:val="center"/>
          </w:tcPr>
          <w:p w14:paraId="0A52E431">
            <w:pPr>
              <w:tabs>
                <w:tab w:val="right" w:leader="dot" w:pos="9022"/>
              </w:tabs>
              <w:autoSpaceDE w:val="0"/>
              <w:autoSpaceDN w:val="0"/>
              <w:adjustRightIn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法定代表人身份证复印件</w:t>
            </w:r>
          </w:p>
        </w:tc>
        <w:tc>
          <w:tcPr>
            <w:tcW w:w="4612" w:type="dxa"/>
            <w:gridSpan w:val="2"/>
            <w:vMerge w:val="restart"/>
            <w:noWrap/>
            <w:vAlign w:val="center"/>
          </w:tcPr>
          <w:p w14:paraId="3765B8A7">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color w:val="auto"/>
                <w:spacing w:val="-4"/>
                <w:sz w:val="24"/>
                <w:szCs w:val="24"/>
                <w:highlight w:val="none"/>
              </w:rPr>
              <w:t>身份证（人像面、国徽面）</w:t>
            </w:r>
          </w:p>
        </w:tc>
        <w:tc>
          <w:tcPr>
            <w:tcW w:w="3439" w:type="dxa"/>
            <w:gridSpan w:val="2"/>
            <w:noWrap/>
            <w:vAlign w:val="center"/>
          </w:tcPr>
          <w:p w14:paraId="237D9F50">
            <w:pPr>
              <w:tabs>
                <w:tab w:val="right" w:leader="dot" w:pos="9022"/>
              </w:tabs>
              <w:autoSpaceDE w:val="0"/>
              <w:autoSpaceDN w:val="0"/>
              <w:adjustRightInd w:val="0"/>
              <w:jc w:val="center"/>
              <w:rPr>
                <w:rFonts w:ascii="宋体" w:hAnsi="宋体" w:cs="宋体"/>
                <w:bCs/>
                <w:color w:val="auto"/>
                <w:sz w:val="24"/>
                <w:szCs w:val="24"/>
                <w:highlight w:val="none"/>
                <w:u w:val="single"/>
              </w:rPr>
            </w:pPr>
            <w:r>
              <w:rPr>
                <w:rFonts w:hint="eastAsia" w:ascii="宋体" w:hAnsi="宋体" w:cs="宋体"/>
                <w:bCs/>
                <w:color w:val="auto"/>
                <w:sz w:val="24"/>
                <w:szCs w:val="24"/>
                <w:highlight w:val="none"/>
              </w:rPr>
              <w:t>法定代表人签字或盖章：</w:t>
            </w:r>
          </w:p>
        </w:tc>
      </w:tr>
      <w:tr w14:paraId="696F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836" w:type="dxa"/>
            <w:vMerge w:val="continue"/>
            <w:noWrap/>
            <w:vAlign w:val="center"/>
          </w:tcPr>
          <w:p w14:paraId="452570D4">
            <w:pPr>
              <w:tabs>
                <w:tab w:val="right" w:leader="dot" w:pos="9022"/>
              </w:tabs>
              <w:autoSpaceDE w:val="0"/>
              <w:autoSpaceDN w:val="0"/>
              <w:adjustRightInd w:val="0"/>
              <w:jc w:val="center"/>
              <w:rPr>
                <w:rFonts w:ascii="宋体" w:hAnsi="宋体" w:cs="宋体"/>
                <w:bCs/>
                <w:color w:val="auto"/>
                <w:sz w:val="24"/>
                <w:szCs w:val="24"/>
                <w:highlight w:val="none"/>
              </w:rPr>
            </w:pPr>
          </w:p>
        </w:tc>
        <w:tc>
          <w:tcPr>
            <w:tcW w:w="4612" w:type="dxa"/>
            <w:gridSpan w:val="2"/>
            <w:vMerge w:val="continue"/>
            <w:noWrap/>
            <w:vAlign w:val="center"/>
          </w:tcPr>
          <w:p w14:paraId="76F085B9">
            <w:pPr>
              <w:tabs>
                <w:tab w:val="right" w:leader="dot" w:pos="9022"/>
              </w:tabs>
              <w:autoSpaceDE w:val="0"/>
              <w:autoSpaceDN w:val="0"/>
              <w:adjustRightInd w:val="0"/>
              <w:jc w:val="center"/>
              <w:rPr>
                <w:rFonts w:ascii="宋体" w:hAnsi="宋体" w:cs="宋体"/>
                <w:bCs/>
                <w:color w:val="auto"/>
                <w:sz w:val="24"/>
                <w:szCs w:val="24"/>
                <w:highlight w:val="none"/>
              </w:rPr>
            </w:pPr>
          </w:p>
        </w:tc>
        <w:tc>
          <w:tcPr>
            <w:tcW w:w="3439" w:type="dxa"/>
            <w:gridSpan w:val="2"/>
            <w:noWrap/>
            <w:vAlign w:val="center"/>
          </w:tcPr>
          <w:p w14:paraId="106DC5B5">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（供应商加盖公章处）</w:t>
            </w:r>
          </w:p>
          <w:p w14:paraId="7918865B">
            <w:pPr>
              <w:tabs>
                <w:tab w:val="right" w:leader="dot" w:pos="9022"/>
              </w:tabs>
              <w:autoSpaceDE w:val="0"/>
              <w:autoSpaceDN w:val="0"/>
              <w:adjustRightInd w:val="0"/>
              <w:jc w:val="center"/>
              <w:rPr>
                <w:rFonts w:ascii="宋体" w:hAnsi="宋体" w:cs="宋体"/>
                <w:bCs/>
                <w:color w:val="auto"/>
                <w:sz w:val="24"/>
                <w:szCs w:val="24"/>
                <w:highlight w:val="none"/>
              </w:rPr>
            </w:pPr>
          </w:p>
          <w:p w14:paraId="66EF599D">
            <w:pPr>
              <w:tabs>
                <w:tab w:val="right" w:leader="dot" w:pos="9022"/>
              </w:tabs>
              <w:autoSpaceDE w:val="0"/>
              <w:autoSpaceDN w:val="0"/>
              <w:adjustRightInd w:val="0"/>
              <w:jc w:val="center"/>
              <w:rPr>
                <w:rFonts w:ascii="宋体" w:hAnsi="宋体" w:cs="宋体"/>
                <w:bCs/>
                <w:color w:val="auto"/>
                <w:sz w:val="24"/>
                <w:szCs w:val="24"/>
                <w:highlight w:val="none"/>
              </w:rPr>
            </w:pPr>
          </w:p>
          <w:p w14:paraId="2FE08582">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
                <w:bCs/>
                <w:color w:val="auto"/>
                <w:sz w:val="30"/>
                <w:szCs w:val="30"/>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
                <w:bCs/>
                <w:color w:val="auto"/>
                <w:sz w:val="30"/>
                <w:szCs w:val="30"/>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
                <w:bCs/>
                <w:color w:val="auto"/>
                <w:sz w:val="30"/>
                <w:szCs w:val="30"/>
                <w:highlight w:val="none"/>
                <w:u w:val="single"/>
              </w:rPr>
              <w:t xml:space="preserve">   </w:t>
            </w:r>
            <w:r>
              <w:rPr>
                <w:rFonts w:hint="eastAsia" w:ascii="宋体" w:hAnsi="宋体" w:cs="宋体"/>
                <w:bCs/>
                <w:color w:val="auto"/>
                <w:sz w:val="24"/>
                <w:szCs w:val="24"/>
                <w:highlight w:val="none"/>
              </w:rPr>
              <w:t>日</w:t>
            </w:r>
          </w:p>
        </w:tc>
      </w:tr>
    </w:tbl>
    <w:p w14:paraId="6596E7FF">
      <w:pPr>
        <w:pStyle w:val="4"/>
        <w:jc w:val="center"/>
        <w:rPr>
          <w:color w:val="auto"/>
          <w:highlight w:val="none"/>
        </w:rPr>
      </w:pPr>
      <w:bookmarkStart w:id="543" w:name="_Toc324947079"/>
      <w:bookmarkStart w:id="544" w:name="_Toc321812079"/>
      <w:r>
        <w:rPr>
          <w:rFonts w:hint="eastAsia"/>
          <w:color w:val="auto"/>
          <w:highlight w:val="none"/>
        </w:rPr>
        <w:t>（二）授权委托书</w:t>
      </w:r>
      <w:bookmarkEnd w:id="543"/>
      <w:bookmarkEnd w:id="544"/>
    </w:p>
    <w:tbl>
      <w:tblPr>
        <w:tblStyle w:val="39"/>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651"/>
        <w:gridCol w:w="2906"/>
        <w:gridCol w:w="333"/>
        <w:gridCol w:w="1467"/>
        <w:gridCol w:w="1691"/>
      </w:tblGrid>
      <w:tr w14:paraId="0BDD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40" w:type="dxa"/>
            <w:gridSpan w:val="6"/>
            <w:noWrap/>
            <w:vAlign w:val="center"/>
          </w:tcPr>
          <w:p w14:paraId="02691FDC">
            <w:pPr>
              <w:tabs>
                <w:tab w:val="right" w:leader="dot" w:pos="9022"/>
              </w:tabs>
              <w:autoSpaceDE w:val="0"/>
              <w:autoSpaceDN w:val="0"/>
              <w:adjustRightInd w:val="0"/>
              <w:jc w:val="left"/>
              <w:rPr>
                <w:rFonts w:ascii="宋体" w:hAnsi="宋体" w:cs="宋体"/>
                <w:bCs/>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rPr>
              <w:t>（采购人名称）</w:t>
            </w:r>
          </w:p>
        </w:tc>
      </w:tr>
      <w:tr w14:paraId="6CD1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vMerge w:val="restart"/>
            <w:noWrap/>
            <w:vAlign w:val="center"/>
          </w:tcPr>
          <w:p w14:paraId="1693CA2F">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被授权人</w:t>
            </w:r>
          </w:p>
        </w:tc>
        <w:tc>
          <w:tcPr>
            <w:tcW w:w="1651" w:type="dxa"/>
            <w:noWrap/>
            <w:vAlign w:val="center"/>
          </w:tcPr>
          <w:p w14:paraId="6F903BE3">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姓名</w:t>
            </w:r>
          </w:p>
        </w:tc>
        <w:tc>
          <w:tcPr>
            <w:tcW w:w="3239" w:type="dxa"/>
            <w:gridSpan w:val="2"/>
            <w:noWrap/>
            <w:vAlign w:val="center"/>
          </w:tcPr>
          <w:p w14:paraId="4F379DD4">
            <w:pPr>
              <w:tabs>
                <w:tab w:val="right" w:leader="dot" w:pos="9022"/>
              </w:tabs>
              <w:autoSpaceDE w:val="0"/>
              <w:autoSpaceDN w:val="0"/>
              <w:adjustRightInd w:val="0"/>
              <w:jc w:val="center"/>
              <w:rPr>
                <w:rFonts w:ascii="宋体" w:hAnsi="宋体" w:cs="宋体"/>
                <w:bCs/>
                <w:color w:val="auto"/>
                <w:sz w:val="24"/>
                <w:szCs w:val="24"/>
                <w:highlight w:val="none"/>
              </w:rPr>
            </w:pPr>
          </w:p>
        </w:tc>
        <w:tc>
          <w:tcPr>
            <w:tcW w:w="1467" w:type="dxa"/>
            <w:noWrap/>
            <w:vAlign w:val="center"/>
          </w:tcPr>
          <w:p w14:paraId="2C282FFD">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性别</w:t>
            </w:r>
          </w:p>
        </w:tc>
        <w:tc>
          <w:tcPr>
            <w:tcW w:w="1691" w:type="dxa"/>
            <w:noWrap/>
            <w:vAlign w:val="center"/>
          </w:tcPr>
          <w:p w14:paraId="2FB60848">
            <w:pPr>
              <w:tabs>
                <w:tab w:val="right" w:leader="dot" w:pos="9022"/>
              </w:tabs>
              <w:autoSpaceDE w:val="0"/>
              <w:autoSpaceDN w:val="0"/>
              <w:adjustRightInd w:val="0"/>
              <w:jc w:val="center"/>
              <w:rPr>
                <w:rFonts w:ascii="宋体" w:hAnsi="宋体" w:cs="宋体"/>
                <w:bCs/>
                <w:color w:val="auto"/>
                <w:sz w:val="24"/>
                <w:szCs w:val="24"/>
                <w:highlight w:val="none"/>
              </w:rPr>
            </w:pPr>
          </w:p>
        </w:tc>
      </w:tr>
      <w:tr w14:paraId="0419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vMerge w:val="continue"/>
            <w:noWrap/>
            <w:vAlign w:val="center"/>
          </w:tcPr>
          <w:p w14:paraId="2432E769">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p>
        </w:tc>
        <w:tc>
          <w:tcPr>
            <w:tcW w:w="1651" w:type="dxa"/>
            <w:noWrap/>
            <w:vAlign w:val="center"/>
          </w:tcPr>
          <w:p w14:paraId="65595FA7">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职务</w:t>
            </w:r>
          </w:p>
        </w:tc>
        <w:tc>
          <w:tcPr>
            <w:tcW w:w="3239" w:type="dxa"/>
            <w:gridSpan w:val="2"/>
            <w:noWrap/>
            <w:vAlign w:val="center"/>
          </w:tcPr>
          <w:p w14:paraId="38D934D1">
            <w:pPr>
              <w:tabs>
                <w:tab w:val="right" w:leader="dot" w:pos="9022"/>
              </w:tabs>
              <w:autoSpaceDE w:val="0"/>
              <w:autoSpaceDN w:val="0"/>
              <w:adjustRightInd w:val="0"/>
              <w:jc w:val="center"/>
              <w:rPr>
                <w:rFonts w:ascii="宋体" w:hAnsi="宋体" w:cs="宋体"/>
                <w:bCs/>
                <w:color w:val="auto"/>
                <w:sz w:val="24"/>
                <w:szCs w:val="24"/>
                <w:highlight w:val="none"/>
              </w:rPr>
            </w:pPr>
          </w:p>
        </w:tc>
        <w:tc>
          <w:tcPr>
            <w:tcW w:w="1467" w:type="dxa"/>
            <w:noWrap/>
            <w:vAlign w:val="center"/>
          </w:tcPr>
          <w:p w14:paraId="65574E91">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年龄</w:t>
            </w:r>
          </w:p>
        </w:tc>
        <w:tc>
          <w:tcPr>
            <w:tcW w:w="1691" w:type="dxa"/>
            <w:noWrap/>
            <w:vAlign w:val="center"/>
          </w:tcPr>
          <w:p w14:paraId="383DB136">
            <w:pPr>
              <w:tabs>
                <w:tab w:val="right" w:leader="dot" w:pos="9022"/>
              </w:tabs>
              <w:autoSpaceDE w:val="0"/>
              <w:autoSpaceDN w:val="0"/>
              <w:adjustRightInd w:val="0"/>
              <w:jc w:val="center"/>
              <w:rPr>
                <w:rFonts w:ascii="宋体" w:hAnsi="宋体" w:cs="宋体"/>
                <w:bCs/>
                <w:color w:val="auto"/>
                <w:sz w:val="24"/>
                <w:szCs w:val="24"/>
                <w:highlight w:val="none"/>
              </w:rPr>
            </w:pPr>
          </w:p>
        </w:tc>
      </w:tr>
      <w:tr w14:paraId="33E2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vMerge w:val="continue"/>
            <w:noWrap/>
            <w:vAlign w:val="center"/>
          </w:tcPr>
          <w:p w14:paraId="2C599967">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p>
        </w:tc>
        <w:tc>
          <w:tcPr>
            <w:tcW w:w="1651" w:type="dxa"/>
            <w:noWrap/>
            <w:vAlign w:val="center"/>
          </w:tcPr>
          <w:p w14:paraId="25113718">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身份证号</w:t>
            </w:r>
          </w:p>
        </w:tc>
        <w:tc>
          <w:tcPr>
            <w:tcW w:w="3239" w:type="dxa"/>
            <w:gridSpan w:val="2"/>
            <w:noWrap/>
            <w:vAlign w:val="center"/>
          </w:tcPr>
          <w:p w14:paraId="024BE0F5">
            <w:pPr>
              <w:tabs>
                <w:tab w:val="right" w:leader="dot" w:pos="9022"/>
              </w:tabs>
              <w:autoSpaceDE w:val="0"/>
              <w:autoSpaceDN w:val="0"/>
              <w:adjustRightInd w:val="0"/>
              <w:jc w:val="center"/>
              <w:rPr>
                <w:rFonts w:ascii="宋体" w:hAnsi="宋体" w:cs="宋体"/>
                <w:bCs/>
                <w:color w:val="auto"/>
                <w:sz w:val="24"/>
                <w:szCs w:val="24"/>
                <w:highlight w:val="none"/>
              </w:rPr>
            </w:pPr>
          </w:p>
        </w:tc>
        <w:tc>
          <w:tcPr>
            <w:tcW w:w="1467" w:type="dxa"/>
            <w:noWrap/>
            <w:vAlign w:val="center"/>
          </w:tcPr>
          <w:p w14:paraId="46E8B6C6">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联系电话</w:t>
            </w:r>
          </w:p>
        </w:tc>
        <w:tc>
          <w:tcPr>
            <w:tcW w:w="1691" w:type="dxa"/>
            <w:noWrap/>
            <w:vAlign w:val="center"/>
          </w:tcPr>
          <w:p w14:paraId="25D5C4DA">
            <w:pPr>
              <w:tabs>
                <w:tab w:val="right" w:leader="dot" w:pos="9022"/>
              </w:tabs>
              <w:autoSpaceDE w:val="0"/>
              <w:autoSpaceDN w:val="0"/>
              <w:adjustRightInd w:val="0"/>
              <w:jc w:val="center"/>
              <w:rPr>
                <w:rFonts w:ascii="宋体" w:hAnsi="宋体" w:cs="宋体"/>
                <w:bCs/>
                <w:color w:val="auto"/>
                <w:sz w:val="24"/>
                <w:szCs w:val="24"/>
                <w:highlight w:val="none"/>
              </w:rPr>
            </w:pPr>
          </w:p>
        </w:tc>
      </w:tr>
      <w:tr w14:paraId="7EE5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vMerge w:val="continue"/>
            <w:noWrap/>
            <w:vAlign w:val="center"/>
          </w:tcPr>
          <w:p w14:paraId="2E1E7189">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p>
        </w:tc>
        <w:tc>
          <w:tcPr>
            <w:tcW w:w="1651" w:type="dxa"/>
            <w:noWrap/>
            <w:vAlign w:val="center"/>
          </w:tcPr>
          <w:p w14:paraId="50E8397E">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通讯地址</w:t>
            </w:r>
          </w:p>
        </w:tc>
        <w:tc>
          <w:tcPr>
            <w:tcW w:w="6397" w:type="dxa"/>
            <w:gridSpan w:val="4"/>
            <w:noWrap/>
            <w:vAlign w:val="center"/>
          </w:tcPr>
          <w:p w14:paraId="683EDF55">
            <w:pPr>
              <w:tabs>
                <w:tab w:val="right" w:leader="dot" w:pos="9022"/>
              </w:tabs>
              <w:autoSpaceDE w:val="0"/>
              <w:autoSpaceDN w:val="0"/>
              <w:adjustRightInd w:val="0"/>
              <w:jc w:val="center"/>
              <w:rPr>
                <w:rFonts w:ascii="宋体" w:hAnsi="宋体" w:cs="宋体"/>
                <w:bCs/>
                <w:color w:val="auto"/>
                <w:sz w:val="24"/>
                <w:szCs w:val="24"/>
                <w:highlight w:val="none"/>
              </w:rPr>
            </w:pPr>
          </w:p>
        </w:tc>
      </w:tr>
      <w:tr w14:paraId="548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vMerge w:val="restart"/>
            <w:noWrap/>
            <w:vAlign w:val="center"/>
          </w:tcPr>
          <w:p w14:paraId="6873908A">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被</w:t>
            </w:r>
          </w:p>
          <w:p w14:paraId="5922B3D0">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授</w:t>
            </w:r>
          </w:p>
          <w:p w14:paraId="47DF3082">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权</w:t>
            </w:r>
          </w:p>
          <w:p w14:paraId="4B95CD26">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项</w:t>
            </w:r>
          </w:p>
          <w:p w14:paraId="3226D5EC">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目</w:t>
            </w:r>
          </w:p>
          <w:p w14:paraId="743DA58E">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与</w:t>
            </w:r>
          </w:p>
          <w:p w14:paraId="7D26E608">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内</w:t>
            </w:r>
          </w:p>
          <w:p w14:paraId="6F474CF0">
            <w:pPr>
              <w:tabs>
                <w:tab w:val="right" w:leader="dot" w:pos="9022"/>
              </w:tabs>
              <w:autoSpaceDE w:val="0"/>
              <w:autoSpaceDN w:val="0"/>
              <w:adjustRightInd w:val="0"/>
              <w:spacing w:line="288"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容</w:t>
            </w:r>
          </w:p>
        </w:tc>
        <w:tc>
          <w:tcPr>
            <w:tcW w:w="1651" w:type="dxa"/>
            <w:noWrap/>
            <w:vAlign w:val="center"/>
          </w:tcPr>
          <w:p w14:paraId="71B8CA4A">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项目名称</w:t>
            </w:r>
          </w:p>
        </w:tc>
        <w:tc>
          <w:tcPr>
            <w:tcW w:w="6397" w:type="dxa"/>
            <w:gridSpan w:val="4"/>
            <w:noWrap/>
            <w:vAlign w:val="center"/>
          </w:tcPr>
          <w:p w14:paraId="30B9F793">
            <w:pPr>
              <w:tabs>
                <w:tab w:val="right" w:leader="dot" w:pos="9022"/>
              </w:tabs>
              <w:autoSpaceDE w:val="0"/>
              <w:autoSpaceDN w:val="0"/>
              <w:adjustRightInd w:val="0"/>
              <w:jc w:val="center"/>
              <w:rPr>
                <w:rFonts w:ascii="宋体" w:hAnsi="宋体" w:cs="宋体"/>
                <w:bCs/>
                <w:color w:val="auto"/>
                <w:sz w:val="24"/>
                <w:szCs w:val="24"/>
                <w:highlight w:val="none"/>
              </w:rPr>
            </w:pPr>
          </w:p>
        </w:tc>
      </w:tr>
      <w:tr w14:paraId="3E7D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vMerge w:val="continue"/>
            <w:noWrap/>
            <w:vAlign w:val="center"/>
          </w:tcPr>
          <w:p w14:paraId="328BE7AC">
            <w:pPr>
              <w:tabs>
                <w:tab w:val="right" w:leader="dot" w:pos="9022"/>
              </w:tabs>
              <w:autoSpaceDE w:val="0"/>
              <w:autoSpaceDN w:val="0"/>
              <w:adjustRightInd w:val="0"/>
              <w:jc w:val="center"/>
              <w:rPr>
                <w:rFonts w:ascii="宋体" w:hAnsi="宋体" w:cs="宋体"/>
                <w:bCs/>
                <w:color w:val="auto"/>
                <w:sz w:val="24"/>
                <w:szCs w:val="24"/>
                <w:highlight w:val="none"/>
              </w:rPr>
            </w:pPr>
          </w:p>
        </w:tc>
        <w:tc>
          <w:tcPr>
            <w:tcW w:w="1651" w:type="dxa"/>
            <w:noWrap/>
            <w:vAlign w:val="center"/>
          </w:tcPr>
          <w:p w14:paraId="40DEFBA0">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项目编号</w:t>
            </w:r>
          </w:p>
        </w:tc>
        <w:tc>
          <w:tcPr>
            <w:tcW w:w="6397" w:type="dxa"/>
            <w:gridSpan w:val="4"/>
            <w:noWrap/>
            <w:vAlign w:val="center"/>
          </w:tcPr>
          <w:p w14:paraId="2827F7FE">
            <w:pPr>
              <w:tabs>
                <w:tab w:val="right" w:leader="dot" w:pos="9022"/>
              </w:tabs>
              <w:autoSpaceDE w:val="0"/>
              <w:autoSpaceDN w:val="0"/>
              <w:adjustRightInd w:val="0"/>
              <w:ind w:firstLine="1200" w:firstLineChars="500"/>
              <w:jc w:val="center"/>
              <w:rPr>
                <w:rFonts w:ascii="宋体" w:hAnsi="宋体" w:cs="宋体"/>
                <w:bCs/>
                <w:color w:val="auto"/>
                <w:sz w:val="24"/>
                <w:szCs w:val="24"/>
                <w:highlight w:val="none"/>
              </w:rPr>
            </w:pPr>
          </w:p>
        </w:tc>
      </w:tr>
      <w:tr w14:paraId="0D0D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92" w:type="dxa"/>
            <w:vMerge w:val="continue"/>
            <w:noWrap/>
            <w:vAlign w:val="center"/>
          </w:tcPr>
          <w:p w14:paraId="2106F43E">
            <w:pPr>
              <w:tabs>
                <w:tab w:val="right" w:leader="dot" w:pos="9022"/>
              </w:tabs>
              <w:autoSpaceDE w:val="0"/>
              <w:autoSpaceDN w:val="0"/>
              <w:adjustRightInd w:val="0"/>
              <w:jc w:val="center"/>
              <w:rPr>
                <w:rFonts w:ascii="宋体" w:hAnsi="宋体" w:cs="宋体"/>
                <w:bCs/>
                <w:color w:val="auto"/>
                <w:sz w:val="24"/>
                <w:szCs w:val="24"/>
                <w:highlight w:val="none"/>
              </w:rPr>
            </w:pPr>
          </w:p>
        </w:tc>
        <w:tc>
          <w:tcPr>
            <w:tcW w:w="1651" w:type="dxa"/>
            <w:noWrap/>
            <w:vAlign w:val="center"/>
          </w:tcPr>
          <w:p w14:paraId="399603BE">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授权范围</w:t>
            </w:r>
          </w:p>
        </w:tc>
        <w:tc>
          <w:tcPr>
            <w:tcW w:w="6397" w:type="dxa"/>
            <w:gridSpan w:val="4"/>
            <w:noWrap/>
          </w:tcPr>
          <w:p w14:paraId="418F0FBB">
            <w:pPr>
              <w:tabs>
                <w:tab w:val="right" w:leader="dot" w:pos="9022"/>
              </w:tabs>
              <w:autoSpaceDE w:val="0"/>
              <w:autoSpaceDN w:val="0"/>
              <w:spacing w:line="360" w:lineRule="auto"/>
              <w:jc w:val="left"/>
              <w:rPr>
                <w:rFonts w:ascii="宋体" w:hAnsi="宋体" w:cs="宋体"/>
                <w:bCs/>
                <w:color w:val="auto"/>
                <w:sz w:val="24"/>
                <w:szCs w:val="24"/>
                <w:highlight w:val="none"/>
              </w:rPr>
            </w:pPr>
            <w:r>
              <w:rPr>
                <w:rFonts w:hint="eastAsia" w:ascii="宋体" w:hAnsi="宋体" w:cs="宋体"/>
                <w:color w:val="auto"/>
                <w:sz w:val="24"/>
                <w:szCs w:val="24"/>
                <w:highlight w:val="none"/>
              </w:rPr>
              <w:t>全权办理本次采购项目的磋商、联系、洽谈、签约、执行等具体事务，签署全部有关文件、文书、协议及合同。</w:t>
            </w:r>
          </w:p>
        </w:tc>
      </w:tr>
      <w:tr w14:paraId="59BB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vMerge w:val="continue"/>
            <w:noWrap/>
            <w:vAlign w:val="center"/>
          </w:tcPr>
          <w:p w14:paraId="6934D20D">
            <w:pPr>
              <w:tabs>
                <w:tab w:val="right" w:leader="dot" w:pos="9022"/>
              </w:tabs>
              <w:autoSpaceDE w:val="0"/>
              <w:autoSpaceDN w:val="0"/>
              <w:adjustRightInd w:val="0"/>
              <w:jc w:val="center"/>
              <w:rPr>
                <w:rFonts w:ascii="宋体" w:hAnsi="宋体" w:cs="宋体"/>
                <w:bCs/>
                <w:color w:val="auto"/>
                <w:sz w:val="24"/>
                <w:szCs w:val="24"/>
                <w:highlight w:val="none"/>
              </w:rPr>
            </w:pPr>
          </w:p>
        </w:tc>
        <w:tc>
          <w:tcPr>
            <w:tcW w:w="1651" w:type="dxa"/>
            <w:noWrap/>
            <w:vAlign w:val="center"/>
          </w:tcPr>
          <w:p w14:paraId="09FFC460">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法律责任</w:t>
            </w:r>
          </w:p>
        </w:tc>
        <w:tc>
          <w:tcPr>
            <w:tcW w:w="6397" w:type="dxa"/>
            <w:gridSpan w:val="4"/>
            <w:noWrap/>
          </w:tcPr>
          <w:p w14:paraId="6989C8E8">
            <w:pPr>
              <w:tabs>
                <w:tab w:val="right" w:leader="dot" w:pos="9022"/>
              </w:tabs>
              <w:autoSpaceDE w:val="0"/>
              <w:autoSpaceDN w:val="0"/>
              <w:spacing w:line="360" w:lineRule="auto"/>
              <w:jc w:val="left"/>
              <w:rPr>
                <w:rFonts w:ascii="宋体" w:hAnsi="宋体" w:cs="宋体"/>
                <w:bCs/>
                <w:color w:val="auto"/>
                <w:sz w:val="24"/>
                <w:szCs w:val="24"/>
                <w:highlight w:val="none"/>
              </w:rPr>
            </w:pPr>
            <w:r>
              <w:rPr>
                <w:rFonts w:hint="eastAsia" w:ascii="宋体" w:hAnsi="宋体" w:cs="宋体"/>
                <w:color w:val="auto"/>
                <w:sz w:val="24"/>
                <w:szCs w:val="24"/>
                <w:highlight w:val="none"/>
              </w:rPr>
              <w:t>本公司对被授权人在本项目中所实施的代理行为承担全部法律责任。</w:t>
            </w:r>
          </w:p>
        </w:tc>
      </w:tr>
      <w:tr w14:paraId="50C5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92" w:type="dxa"/>
            <w:vMerge w:val="continue"/>
            <w:noWrap/>
            <w:vAlign w:val="center"/>
          </w:tcPr>
          <w:p w14:paraId="2A960073">
            <w:pPr>
              <w:tabs>
                <w:tab w:val="right" w:leader="dot" w:pos="9022"/>
              </w:tabs>
              <w:autoSpaceDE w:val="0"/>
              <w:autoSpaceDN w:val="0"/>
              <w:adjustRightInd w:val="0"/>
              <w:jc w:val="center"/>
              <w:rPr>
                <w:rFonts w:ascii="宋体" w:hAnsi="宋体" w:cs="宋体"/>
                <w:bCs/>
                <w:color w:val="auto"/>
                <w:sz w:val="24"/>
                <w:szCs w:val="24"/>
                <w:highlight w:val="none"/>
              </w:rPr>
            </w:pPr>
          </w:p>
        </w:tc>
        <w:tc>
          <w:tcPr>
            <w:tcW w:w="1651" w:type="dxa"/>
            <w:noWrap/>
            <w:vAlign w:val="center"/>
          </w:tcPr>
          <w:p w14:paraId="2ED61E33">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授权期限</w:t>
            </w:r>
          </w:p>
        </w:tc>
        <w:tc>
          <w:tcPr>
            <w:tcW w:w="6397" w:type="dxa"/>
            <w:gridSpan w:val="4"/>
            <w:noWrap/>
            <w:vAlign w:val="center"/>
          </w:tcPr>
          <w:p w14:paraId="27F27C1E">
            <w:pPr>
              <w:tabs>
                <w:tab w:val="right" w:leader="dot" w:pos="9022"/>
              </w:tabs>
              <w:autoSpaceDE w:val="0"/>
              <w:autoSpaceDN w:val="0"/>
              <w:spacing w:line="360" w:lineRule="auto"/>
              <w:jc w:val="left"/>
              <w:rPr>
                <w:rFonts w:ascii="宋体" w:hAnsi="宋体" w:cs="宋体"/>
                <w:bCs/>
                <w:color w:val="auto"/>
                <w:sz w:val="24"/>
                <w:szCs w:val="24"/>
                <w:highlight w:val="none"/>
              </w:rPr>
            </w:pPr>
            <w:r>
              <w:rPr>
                <w:rFonts w:hint="eastAsia" w:ascii="宋体" w:hAnsi="宋体" w:cs="宋体"/>
                <w:color w:val="auto"/>
                <w:sz w:val="24"/>
                <w:szCs w:val="24"/>
                <w:highlight w:val="none"/>
              </w:rPr>
              <w:t>本授权书自磋商会议之日计算有效期为90天。</w:t>
            </w:r>
          </w:p>
        </w:tc>
      </w:tr>
      <w:tr w14:paraId="18E3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49" w:type="dxa"/>
            <w:gridSpan w:val="3"/>
            <w:noWrap/>
            <w:vAlign w:val="center"/>
          </w:tcPr>
          <w:p w14:paraId="61C364C5">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被授权人身份证复印件或扫描件</w:t>
            </w:r>
          </w:p>
        </w:tc>
        <w:tc>
          <w:tcPr>
            <w:tcW w:w="3491" w:type="dxa"/>
            <w:gridSpan w:val="3"/>
            <w:vMerge w:val="restart"/>
            <w:noWrap/>
            <w:vAlign w:val="center"/>
          </w:tcPr>
          <w:p w14:paraId="6C98C676">
            <w:pPr>
              <w:pStyle w:val="14"/>
              <w:rPr>
                <w:rFonts w:ascii="宋体" w:hAnsi="宋体" w:cs="宋体"/>
                <w:color w:val="auto"/>
                <w:sz w:val="24"/>
                <w:highlight w:val="none"/>
              </w:rPr>
            </w:pPr>
            <w:r>
              <w:rPr>
                <w:rFonts w:hint="eastAsia" w:ascii="宋体" w:hAnsi="宋体" w:cs="宋体"/>
                <w:bCs/>
                <w:color w:val="auto"/>
                <w:sz w:val="24"/>
                <w:highlight w:val="none"/>
              </w:rPr>
              <w:t>法定代表人签字或盖章：</w:t>
            </w:r>
          </w:p>
          <w:p w14:paraId="2DC73F78">
            <w:pPr>
              <w:tabs>
                <w:tab w:val="right" w:leader="dot" w:pos="9022"/>
              </w:tabs>
              <w:autoSpaceDE w:val="0"/>
              <w:autoSpaceDN w:val="0"/>
              <w:adjustRightInd w:val="0"/>
              <w:jc w:val="center"/>
              <w:rPr>
                <w:rFonts w:ascii="宋体" w:hAnsi="宋体" w:cs="宋体"/>
                <w:bCs/>
                <w:color w:val="auto"/>
                <w:sz w:val="24"/>
                <w:szCs w:val="24"/>
                <w:highlight w:val="none"/>
              </w:rPr>
            </w:pPr>
          </w:p>
          <w:p w14:paraId="1247E6FE">
            <w:pPr>
              <w:tabs>
                <w:tab w:val="right" w:leader="dot" w:pos="9022"/>
              </w:tabs>
              <w:autoSpaceDE w:val="0"/>
              <w:autoSpaceDN w:val="0"/>
              <w:adjustRightInd w:val="0"/>
              <w:rPr>
                <w:rFonts w:ascii="宋体" w:hAnsi="宋体" w:cs="宋体"/>
                <w:bCs/>
                <w:color w:val="auto"/>
                <w:sz w:val="24"/>
                <w:szCs w:val="24"/>
                <w:highlight w:val="none"/>
              </w:rPr>
            </w:pPr>
            <w:r>
              <w:rPr>
                <w:rFonts w:hint="eastAsia" w:ascii="宋体" w:hAnsi="宋体" w:cs="宋体"/>
                <w:bCs/>
                <w:color w:val="auto"/>
                <w:sz w:val="24"/>
                <w:szCs w:val="24"/>
                <w:highlight w:val="none"/>
              </w:rPr>
              <w:t>被授权人签字或盖章：</w:t>
            </w:r>
          </w:p>
        </w:tc>
      </w:tr>
      <w:tr w14:paraId="2BF1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5349" w:type="dxa"/>
            <w:gridSpan w:val="3"/>
            <w:vMerge w:val="restart"/>
            <w:noWrap/>
            <w:vAlign w:val="center"/>
          </w:tcPr>
          <w:p w14:paraId="091F12DB">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color w:val="auto"/>
                <w:spacing w:val="-4"/>
                <w:sz w:val="24"/>
                <w:szCs w:val="24"/>
                <w:highlight w:val="none"/>
              </w:rPr>
              <w:t>身份证（人像面、国徽面）</w:t>
            </w:r>
          </w:p>
        </w:tc>
        <w:tc>
          <w:tcPr>
            <w:tcW w:w="3491" w:type="dxa"/>
            <w:gridSpan w:val="3"/>
            <w:vMerge w:val="continue"/>
            <w:noWrap/>
            <w:vAlign w:val="center"/>
          </w:tcPr>
          <w:p w14:paraId="72AE8CB5">
            <w:pPr>
              <w:tabs>
                <w:tab w:val="right" w:leader="dot" w:pos="9022"/>
              </w:tabs>
              <w:autoSpaceDE w:val="0"/>
              <w:autoSpaceDN w:val="0"/>
              <w:adjustRightInd w:val="0"/>
              <w:ind w:firstLine="480" w:firstLineChars="200"/>
              <w:jc w:val="center"/>
              <w:rPr>
                <w:rFonts w:ascii="宋体" w:hAnsi="宋体" w:cs="宋体"/>
                <w:bCs/>
                <w:color w:val="auto"/>
                <w:sz w:val="24"/>
                <w:szCs w:val="24"/>
                <w:highlight w:val="none"/>
              </w:rPr>
            </w:pPr>
          </w:p>
        </w:tc>
      </w:tr>
      <w:tr w14:paraId="16C1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jc w:val="center"/>
        </w:trPr>
        <w:tc>
          <w:tcPr>
            <w:tcW w:w="5349" w:type="dxa"/>
            <w:gridSpan w:val="3"/>
            <w:vMerge w:val="continue"/>
            <w:noWrap/>
            <w:vAlign w:val="center"/>
          </w:tcPr>
          <w:p w14:paraId="796004A1">
            <w:pPr>
              <w:tabs>
                <w:tab w:val="right" w:leader="dot" w:pos="9022"/>
              </w:tabs>
              <w:autoSpaceDE w:val="0"/>
              <w:autoSpaceDN w:val="0"/>
              <w:adjustRightInd w:val="0"/>
              <w:jc w:val="center"/>
              <w:rPr>
                <w:rFonts w:ascii="宋体" w:hAnsi="宋体" w:cs="宋体"/>
                <w:bCs/>
                <w:color w:val="auto"/>
                <w:sz w:val="24"/>
                <w:szCs w:val="24"/>
                <w:highlight w:val="none"/>
              </w:rPr>
            </w:pPr>
          </w:p>
        </w:tc>
        <w:tc>
          <w:tcPr>
            <w:tcW w:w="3491" w:type="dxa"/>
            <w:gridSpan w:val="3"/>
            <w:noWrap/>
            <w:vAlign w:val="center"/>
          </w:tcPr>
          <w:p w14:paraId="32D231D5">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（供应商加盖公章处）</w:t>
            </w:r>
          </w:p>
          <w:p w14:paraId="53E18C4C">
            <w:pPr>
              <w:tabs>
                <w:tab w:val="right" w:leader="dot" w:pos="9022"/>
              </w:tabs>
              <w:autoSpaceDE w:val="0"/>
              <w:autoSpaceDN w:val="0"/>
              <w:adjustRightInd w:val="0"/>
              <w:jc w:val="center"/>
              <w:rPr>
                <w:rFonts w:ascii="宋体" w:hAnsi="宋体" w:cs="宋体"/>
                <w:bCs/>
                <w:color w:val="auto"/>
                <w:sz w:val="24"/>
                <w:szCs w:val="24"/>
                <w:highlight w:val="none"/>
              </w:rPr>
            </w:pPr>
          </w:p>
          <w:p w14:paraId="53665E6B">
            <w:pPr>
              <w:tabs>
                <w:tab w:val="right" w:leader="dot" w:pos="9022"/>
              </w:tabs>
              <w:autoSpaceDE w:val="0"/>
              <w:autoSpaceDN w:val="0"/>
              <w:adjustRightInd w:val="0"/>
              <w:jc w:val="center"/>
              <w:rPr>
                <w:rFonts w:ascii="宋体" w:hAnsi="宋体" w:cs="宋体"/>
                <w:bCs/>
                <w:color w:val="auto"/>
                <w:sz w:val="24"/>
                <w:szCs w:val="24"/>
                <w:highlight w:val="none"/>
              </w:rPr>
            </w:pPr>
          </w:p>
          <w:p w14:paraId="480F6AB3">
            <w:pPr>
              <w:tabs>
                <w:tab w:val="right" w:leader="dot" w:pos="9022"/>
              </w:tabs>
              <w:autoSpaceDE w:val="0"/>
              <w:autoSpaceDN w:val="0"/>
              <w:adjustRightInd w:val="0"/>
              <w:jc w:val="center"/>
              <w:rPr>
                <w:rFonts w:ascii="宋体" w:hAnsi="宋体" w:cs="宋体"/>
                <w:bCs/>
                <w:color w:val="auto"/>
                <w:sz w:val="24"/>
                <w:szCs w:val="24"/>
                <w:highlight w:val="none"/>
              </w:rPr>
            </w:pPr>
          </w:p>
          <w:p w14:paraId="3E019A90">
            <w:pPr>
              <w:tabs>
                <w:tab w:val="right" w:leader="dot" w:pos="9022"/>
              </w:tabs>
              <w:autoSpaceDE w:val="0"/>
              <w:autoSpaceDN w:val="0"/>
              <w:adjustRightInd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年</w:t>
            </w:r>
            <w:r>
              <w:rPr>
                <w:rFonts w:hint="eastAsia" w:ascii="宋体" w:hAnsi="宋体" w:cs="宋体"/>
                <w:b/>
                <w:bCs/>
                <w:color w:val="auto"/>
                <w:sz w:val="30"/>
                <w:szCs w:val="30"/>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
                <w:bCs/>
                <w:color w:val="auto"/>
                <w:sz w:val="30"/>
                <w:szCs w:val="30"/>
                <w:highlight w:val="none"/>
                <w:u w:val="single"/>
              </w:rPr>
              <w:t xml:space="preserve">  </w:t>
            </w:r>
            <w:r>
              <w:rPr>
                <w:rFonts w:hint="eastAsia" w:ascii="宋体" w:hAnsi="宋体" w:cs="宋体"/>
                <w:bCs/>
                <w:color w:val="auto"/>
                <w:sz w:val="24"/>
                <w:szCs w:val="24"/>
                <w:highlight w:val="none"/>
              </w:rPr>
              <w:t>日</w:t>
            </w:r>
          </w:p>
        </w:tc>
      </w:tr>
    </w:tbl>
    <w:p w14:paraId="40C3AB6A">
      <w:pPr>
        <w:spacing w:line="360" w:lineRule="auto"/>
        <w:rPr>
          <w:rFonts w:ascii="宋体" w:hAnsi="宋体" w:cs="宋体"/>
          <w:b/>
          <w:bCs/>
          <w:color w:val="auto"/>
          <w:sz w:val="24"/>
          <w:szCs w:val="24"/>
          <w:highlight w:val="none"/>
        </w:rPr>
        <w:sectPr>
          <w:pgSz w:w="11906" w:h="16838"/>
          <w:pgMar w:top="1440" w:right="1800" w:bottom="1440" w:left="1800" w:header="1191" w:footer="1134" w:gutter="0"/>
          <w:cols w:space="720" w:num="1"/>
          <w:docGrid w:type="lines" w:linePitch="312" w:charSpace="0"/>
        </w:sectPr>
      </w:pPr>
      <w:bookmarkStart w:id="545" w:name="_Toc11964"/>
      <w:bookmarkStart w:id="546" w:name="_Toc5720"/>
      <w:bookmarkStart w:id="547" w:name="_Toc19096"/>
    </w:p>
    <w:p w14:paraId="63A2FCF9">
      <w:pPr>
        <w:pStyle w:val="4"/>
        <w:jc w:val="center"/>
        <w:rPr>
          <w:color w:val="auto"/>
          <w:highlight w:val="none"/>
          <w:u w:val="none" w:color="auto"/>
        </w:rPr>
      </w:pPr>
      <w:r>
        <w:rPr>
          <w:rFonts w:hint="eastAsia"/>
          <w:color w:val="auto"/>
          <w:highlight w:val="none"/>
          <w:u w:val="none" w:color="auto"/>
        </w:rPr>
        <w:t>（三）被授权代表证明材料</w:t>
      </w:r>
    </w:p>
    <w:p w14:paraId="41BD0468">
      <w:pPr>
        <w:spacing w:line="360" w:lineRule="auto"/>
        <w:rPr>
          <w:rFonts w:ascii="宋体" w:hAnsi="宋体" w:cs="宋体"/>
          <w:b/>
          <w:bCs/>
          <w:color w:val="auto"/>
          <w:sz w:val="24"/>
          <w:szCs w:val="24"/>
          <w:highlight w:val="none"/>
          <w:u w:val="thick" w:color="FF0000"/>
        </w:rPr>
      </w:pPr>
    </w:p>
    <w:p w14:paraId="076B692D">
      <w:pPr>
        <w:spacing w:line="360" w:lineRule="auto"/>
        <w:rPr>
          <w:rFonts w:ascii="宋体" w:hAnsi="宋体" w:cs="宋体"/>
          <w:b/>
          <w:bCs/>
          <w:color w:val="auto"/>
          <w:sz w:val="24"/>
          <w:szCs w:val="24"/>
          <w:highlight w:val="none"/>
          <w:u w:val="thick" w:color="FF0000"/>
        </w:rPr>
      </w:pPr>
    </w:p>
    <w:p w14:paraId="7737B889">
      <w:pPr>
        <w:bidi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p w14:paraId="7AC0F518">
      <w:pPr>
        <w:bidi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（1）法定代表人参加磋商会议的，应出具法定代表人证明书以及法定代表人合法有效的身份证，且应与营业执照上信息一致。</w:t>
      </w:r>
    </w:p>
    <w:p w14:paraId="4752B755">
      <w:pPr>
        <w:bidi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（2）法定代表人授权合法授权代表参加磋商会议的，应出具法定代表人证明书、法定代表人授权书及授权代表合法有效的身份证,同时提供截至响应文件递交截止时间前6个月内任意1个月的社保缴纳证明材料。</w:t>
      </w:r>
    </w:p>
    <w:p w14:paraId="5347A050">
      <w:pPr>
        <w:bidi w:val="0"/>
        <w:spacing w:line="360" w:lineRule="auto"/>
        <w:ind w:firstLine="482" w:firstLineChars="200"/>
        <w:rPr>
          <w:rFonts w:hint="eastAsia" w:ascii="宋体" w:hAnsi="宋体" w:eastAsia="宋体" w:cs="宋体"/>
          <w:b w:val="0"/>
          <w:bCs w:val="0"/>
          <w:color w:val="auto"/>
          <w:szCs w:val="24"/>
          <w:highlight w:val="none"/>
          <w:lang w:val="en-US" w:eastAsia="zh-CN"/>
        </w:rPr>
      </w:pPr>
      <w:r>
        <w:rPr>
          <w:rFonts w:hint="eastAsia" w:ascii="宋体" w:hAnsi="宋体" w:eastAsia="宋体" w:cs="宋体"/>
          <w:b/>
          <w:bCs/>
          <w:color w:val="auto"/>
          <w:sz w:val="24"/>
          <w:szCs w:val="24"/>
          <w:highlight w:val="none"/>
          <w:lang w:val="en-US" w:eastAsia="zh-CN"/>
        </w:rPr>
        <w:t>（3）如供应商未按照要求提供社保缴纳证明材料，供应商自行承担响应性评审不合格的不利风险。</w:t>
      </w:r>
    </w:p>
    <w:p w14:paraId="186C9CA2">
      <w:pPr>
        <w:jc w:val="center"/>
        <w:rPr>
          <w:rStyle w:val="48"/>
          <w:rFonts w:ascii="宋体" w:hAnsi="宋体" w:cs="宋体"/>
          <w:b w:val="0"/>
          <w:color w:val="auto"/>
          <w:sz w:val="24"/>
          <w:szCs w:val="24"/>
          <w:highlight w:val="none"/>
        </w:rPr>
        <w:sectPr>
          <w:pgSz w:w="11906" w:h="16838"/>
          <w:pgMar w:top="1440" w:right="1800" w:bottom="1440" w:left="1800" w:header="1191" w:footer="1134" w:gutter="0"/>
          <w:cols w:space="720" w:num="1"/>
          <w:docGrid w:type="lines" w:linePitch="312" w:charSpace="0"/>
        </w:sectPr>
      </w:pPr>
    </w:p>
    <w:p w14:paraId="7C62B96E">
      <w:pPr>
        <w:pStyle w:val="3"/>
        <w:rPr>
          <w:color w:val="auto"/>
          <w:highlight w:val="none"/>
        </w:rPr>
      </w:pPr>
      <w:bookmarkStart w:id="548" w:name="_Toc31796"/>
      <w:r>
        <w:rPr>
          <w:rFonts w:hint="eastAsia"/>
          <w:color w:val="auto"/>
          <w:highlight w:val="none"/>
        </w:rPr>
        <w:t>四、供应商基本情况表</w:t>
      </w:r>
      <w:bookmarkEnd w:id="545"/>
      <w:bookmarkEnd w:id="546"/>
      <w:bookmarkEnd w:id="547"/>
      <w:bookmarkEnd w:id="548"/>
    </w:p>
    <w:tbl>
      <w:tblPr>
        <w:tblStyle w:val="39"/>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938"/>
        <w:gridCol w:w="1372"/>
        <w:gridCol w:w="845"/>
        <w:gridCol w:w="1024"/>
        <w:gridCol w:w="886"/>
        <w:gridCol w:w="1140"/>
      </w:tblGrid>
      <w:tr w14:paraId="4D2E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1AF5E01B">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205" w:type="dxa"/>
            <w:gridSpan w:val="6"/>
            <w:vAlign w:val="center"/>
          </w:tcPr>
          <w:p w14:paraId="21EBDE26">
            <w:pPr>
              <w:jc w:val="center"/>
              <w:rPr>
                <w:rFonts w:ascii="宋体" w:hAnsi="宋体" w:cs="宋体"/>
                <w:color w:val="auto"/>
                <w:sz w:val="24"/>
                <w:szCs w:val="24"/>
                <w:highlight w:val="none"/>
              </w:rPr>
            </w:pPr>
          </w:p>
        </w:tc>
      </w:tr>
      <w:tr w14:paraId="2DAE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54281F09">
            <w:pPr>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6205" w:type="dxa"/>
            <w:gridSpan w:val="6"/>
            <w:vAlign w:val="center"/>
          </w:tcPr>
          <w:p w14:paraId="457FBB56">
            <w:pPr>
              <w:jc w:val="center"/>
              <w:rPr>
                <w:rFonts w:ascii="宋体" w:hAnsi="宋体" w:cs="宋体"/>
                <w:color w:val="auto"/>
                <w:sz w:val="24"/>
                <w:szCs w:val="24"/>
                <w:highlight w:val="none"/>
              </w:rPr>
            </w:pPr>
          </w:p>
        </w:tc>
      </w:tr>
      <w:tr w14:paraId="25FB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38669934">
            <w:pPr>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938" w:type="dxa"/>
            <w:vAlign w:val="center"/>
          </w:tcPr>
          <w:p w14:paraId="0B89D1BA">
            <w:pPr>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3241" w:type="dxa"/>
            <w:gridSpan w:val="3"/>
            <w:vAlign w:val="center"/>
          </w:tcPr>
          <w:p w14:paraId="7CF1A51A">
            <w:pPr>
              <w:jc w:val="center"/>
              <w:rPr>
                <w:rFonts w:ascii="宋体" w:hAnsi="宋体" w:cs="宋体"/>
                <w:color w:val="auto"/>
                <w:sz w:val="24"/>
                <w:szCs w:val="24"/>
                <w:highlight w:val="none"/>
              </w:rPr>
            </w:pPr>
          </w:p>
        </w:tc>
        <w:tc>
          <w:tcPr>
            <w:tcW w:w="886" w:type="dxa"/>
            <w:vAlign w:val="center"/>
          </w:tcPr>
          <w:p w14:paraId="72B12076">
            <w:pPr>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140" w:type="dxa"/>
            <w:vAlign w:val="center"/>
          </w:tcPr>
          <w:p w14:paraId="35AD2F1A">
            <w:pPr>
              <w:jc w:val="center"/>
              <w:rPr>
                <w:rFonts w:ascii="宋体" w:hAnsi="宋体" w:cs="宋体"/>
                <w:color w:val="auto"/>
                <w:sz w:val="24"/>
                <w:szCs w:val="24"/>
                <w:highlight w:val="none"/>
              </w:rPr>
            </w:pPr>
          </w:p>
        </w:tc>
      </w:tr>
      <w:tr w14:paraId="0EFB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32A03AA5">
            <w:pPr>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938" w:type="dxa"/>
            <w:vAlign w:val="center"/>
          </w:tcPr>
          <w:p w14:paraId="792A8142">
            <w:pPr>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372" w:type="dxa"/>
            <w:vAlign w:val="center"/>
          </w:tcPr>
          <w:p w14:paraId="5BDF495E">
            <w:pPr>
              <w:jc w:val="center"/>
              <w:rPr>
                <w:rFonts w:ascii="宋体" w:hAnsi="宋体" w:cs="宋体"/>
                <w:color w:val="auto"/>
                <w:sz w:val="24"/>
                <w:szCs w:val="24"/>
                <w:highlight w:val="none"/>
              </w:rPr>
            </w:pPr>
          </w:p>
        </w:tc>
        <w:tc>
          <w:tcPr>
            <w:tcW w:w="845" w:type="dxa"/>
            <w:vAlign w:val="center"/>
          </w:tcPr>
          <w:p w14:paraId="097EC4B3">
            <w:pPr>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024" w:type="dxa"/>
            <w:vAlign w:val="center"/>
          </w:tcPr>
          <w:p w14:paraId="7611EEFF">
            <w:pPr>
              <w:jc w:val="center"/>
              <w:rPr>
                <w:rFonts w:ascii="宋体" w:hAnsi="宋体" w:cs="宋体"/>
                <w:color w:val="auto"/>
                <w:sz w:val="24"/>
                <w:szCs w:val="24"/>
                <w:highlight w:val="none"/>
              </w:rPr>
            </w:pPr>
          </w:p>
        </w:tc>
        <w:tc>
          <w:tcPr>
            <w:tcW w:w="886" w:type="dxa"/>
            <w:vAlign w:val="center"/>
          </w:tcPr>
          <w:p w14:paraId="2DE3CCE5">
            <w:pPr>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140" w:type="dxa"/>
            <w:vAlign w:val="center"/>
          </w:tcPr>
          <w:p w14:paraId="7421A4BA">
            <w:pPr>
              <w:jc w:val="center"/>
              <w:rPr>
                <w:rFonts w:ascii="宋体" w:hAnsi="宋体" w:cs="宋体"/>
                <w:color w:val="auto"/>
                <w:sz w:val="24"/>
                <w:szCs w:val="24"/>
                <w:highlight w:val="none"/>
              </w:rPr>
            </w:pPr>
          </w:p>
        </w:tc>
      </w:tr>
      <w:tr w14:paraId="4C3F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166BD59F">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938" w:type="dxa"/>
            <w:vAlign w:val="center"/>
          </w:tcPr>
          <w:p w14:paraId="687F118B">
            <w:pPr>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372" w:type="dxa"/>
            <w:vAlign w:val="center"/>
          </w:tcPr>
          <w:p w14:paraId="49FC3BB9">
            <w:pPr>
              <w:jc w:val="center"/>
              <w:rPr>
                <w:rFonts w:ascii="宋体" w:hAnsi="宋体" w:cs="宋体"/>
                <w:color w:val="auto"/>
                <w:sz w:val="24"/>
                <w:szCs w:val="24"/>
                <w:highlight w:val="none"/>
              </w:rPr>
            </w:pPr>
          </w:p>
        </w:tc>
        <w:tc>
          <w:tcPr>
            <w:tcW w:w="845" w:type="dxa"/>
            <w:vAlign w:val="center"/>
          </w:tcPr>
          <w:p w14:paraId="1B5BD226">
            <w:pPr>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024" w:type="dxa"/>
            <w:vAlign w:val="center"/>
          </w:tcPr>
          <w:p w14:paraId="7C6F2DAD">
            <w:pPr>
              <w:jc w:val="center"/>
              <w:rPr>
                <w:rFonts w:ascii="宋体" w:hAnsi="宋体" w:cs="宋体"/>
                <w:color w:val="auto"/>
                <w:sz w:val="24"/>
                <w:szCs w:val="24"/>
                <w:highlight w:val="none"/>
              </w:rPr>
            </w:pPr>
          </w:p>
        </w:tc>
        <w:tc>
          <w:tcPr>
            <w:tcW w:w="886" w:type="dxa"/>
            <w:vAlign w:val="center"/>
          </w:tcPr>
          <w:p w14:paraId="637F21DF">
            <w:pPr>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140" w:type="dxa"/>
            <w:vAlign w:val="center"/>
          </w:tcPr>
          <w:p w14:paraId="2755DBF8">
            <w:pPr>
              <w:jc w:val="center"/>
              <w:rPr>
                <w:rFonts w:ascii="宋体" w:hAnsi="宋体" w:cs="宋体"/>
                <w:color w:val="auto"/>
                <w:sz w:val="24"/>
                <w:szCs w:val="24"/>
                <w:highlight w:val="none"/>
              </w:rPr>
            </w:pPr>
          </w:p>
        </w:tc>
      </w:tr>
      <w:tr w14:paraId="5EEC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12EEA8CB">
            <w:pPr>
              <w:jc w:val="cente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6205" w:type="dxa"/>
            <w:gridSpan w:val="6"/>
            <w:vAlign w:val="center"/>
          </w:tcPr>
          <w:p w14:paraId="74E91110">
            <w:pPr>
              <w:jc w:val="center"/>
              <w:rPr>
                <w:rFonts w:ascii="宋体" w:hAnsi="宋体" w:cs="宋体"/>
                <w:color w:val="auto"/>
                <w:sz w:val="24"/>
                <w:szCs w:val="24"/>
                <w:highlight w:val="none"/>
              </w:rPr>
            </w:pPr>
          </w:p>
        </w:tc>
      </w:tr>
      <w:tr w14:paraId="6942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6F87B93A">
            <w:pPr>
              <w:jc w:val="center"/>
              <w:rPr>
                <w:rFonts w:ascii="宋体" w:hAnsi="宋体" w:cs="宋体"/>
                <w:color w:val="auto"/>
                <w:sz w:val="24"/>
                <w:szCs w:val="24"/>
                <w:highlight w:val="none"/>
              </w:rPr>
            </w:pPr>
            <w:r>
              <w:rPr>
                <w:rFonts w:hint="eastAsia" w:ascii="宋体" w:hAnsi="宋体" w:cs="宋体"/>
                <w:color w:val="auto"/>
                <w:sz w:val="24"/>
                <w:szCs w:val="24"/>
                <w:highlight w:val="none"/>
              </w:rPr>
              <w:t>企业资质等级</w:t>
            </w:r>
          </w:p>
        </w:tc>
        <w:tc>
          <w:tcPr>
            <w:tcW w:w="6205" w:type="dxa"/>
            <w:gridSpan w:val="6"/>
            <w:vAlign w:val="center"/>
          </w:tcPr>
          <w:p w14:paraId="0D1BC264">
            <w:pPr>
              <w:jc w:val="center"/>
              <w:rPr>
                <w:rFonts w:ascii="宋体" w:hAnsi="宋体" w:cs="宋体"/>
                <w:color w:val="auto"/>
                <w:sz w:val="24"/>
                <w:szCs w:val="24"/>
                <w:highlight w:val="none"/>
              </w:rPr>
            </w:pPr>
          </w:p>
        </w:tc>
      </w:tr>
      <w:tr w14:paraId="3850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2A384597">
            <w:pPr>
              <w:jc w:val="center"/>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205" w:type="dxa"/>
            <w:gridSpan w:val="6"/>
            <w:vAlign w:val="center"/>
          </w:tcPr>
          <w:p w14:paraId="7C6EBFDD">
            <w:pPr>
              <w:jc w:val="center"/>
              <w:rPr>
                <w:rFonts w:ascii="宋体" w:hAnsi="宋体" w:cs="宋体"/>
                <w:color w:val="auto"/>
                <w:sz w:val="24"/>
                <w:szCs w:val="24"/>
                <w:highlight w:val="none"/>
              </w:rPr>
            </w:pPr>
          </w:p>
        </w:tc>
      </w:tr>
      <w:tr w14:paraId="15C7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47211338">
            <w:pPr>
              <w:jc w:val="center"/>
              <w:rPr>
                <w:rFonts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6205" w:type="dxa"/>
            <w:gridSpan w:val="6"/>
            <w:vAlign w:val="center"/>
          </w:tcPr>
          <w:p w14:paraId="17CC3679">
            <w:pPr>
              <w:jc w:val="center"/>
              <w:rPr>
                <w:rFonts w:ascii="宋体" w:hAnsi="宋体" w:cs="宋体"/>
                <w:color w:val="auto"/>
                <w:sz w:val="24"/>
                <w:szCs w:val="24"/>
                <w:highlight w:val="none"/>
              </w:rPr>
            </w:pPr>
          </w:p>
        </w:tc>
      </w:tr>
      <w:tr w14:paraId="79B7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47591D97">
            <w:pPr>
              <w:jc w:val="center"/>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6205" w:type="dxa"/>
            <w:gridSpan w:val="6"/>
            <w:vAlign w:val="center"/>
          </w:tcPr>
          <w:p w14:paraId="731E6B6D">
            <w:pPr>
              <w:jc w:val="center"/>
              <w:rPr>
                <w:rFonts w:ascii="宋体" w:hAnsi="宋体" w:cs="宋体"/>
                <w:color w:val="auto"/>
                <w:sz w:val="24"/>
                <w:szCs w:val="24"/>
                <w:highlight w:val="none"/>
              </w:rPr>
            </w:pPr>
          </w:p>
        </w:tc>
      </w:tr>
      <w:tr w14:paraId="6984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7A2EF045">
            <w:pPr>
              <w:jc w:val="center"/>
              <w:rPr>
                <w:rFonts w:ascii="宋体" w:hAnsi="宋体" w:cs="宋体"/>
                <w:color w:val="auto"/>
                <w:sz w:val="24"/>
                <w:szCs w:val="24"/>
                <w:highlight w:val="none"/>
              </w:rPr>
            </w:pPr>
            <w:r>
              <w:rPr>
                <w:rFonts w:hint="eastAsia" w:ascii="宋体" w:hAnsi="宋体" w:cs="宋体"/>
                <w:color w:val="auto"/>
                <w:sz w:val="24"/>
                <w:szCs w:val="24"/>
                <w:highlight w:val="none"/>
              </w:rPr>
              <w:t>账号</w:t>
            </w:r>
          </w:p>
        </w:tc>
        <w:tc>
          <w:tcPr>
            <w:tcW w:w="6205" w:type="dxa"/>
            <w:gridSpan w:val="6"/>
            <w:vAlign w:val="center"/>
          </w:tcPr>
          <w:p w14:paraId="4389F608">
            <w:pPr>
              <w:jc w:val="center"/>
              <w:rPr>
                <w:rFonts w:ascii="宋体" w:hAnsi="宋体" w:cs="宋体"/>
                <w:color w:val="auto"/>
                <w:sz w:val="24"/>
                <w:szCs w:val="24"/>
                <w:highlight w:val="none"/>
              </w:rPr>
            </w:pPr>
          </w:p>
        </w:tc>
      </w:tr>
      <w:tr w14:paraId="2B8A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194" w:type="dxa"/>
            <w:vAlign w:val="center"/>
          </w:tcPr>
          <w:p w14:paraId="4447E050">
            <w:pPr>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205" w:type="dxa"/>
            <w:gridSpan w:val="6"/>
            <w:vAlign w:val="center"/>
          </w:tcPr>
          <w:p w14:paraId="2B0879C4">
            <w:pPr>
              <w:jc w:val="center"/>
              <w:rPr>
                <w:rFonts w:ascii="宋体" w:hAnsi="宋体" w:cs="宋体"/>
                <w:color w:val="auto"/>
                <w:sz w:val="24"/>
                <w:szCs w:val="24"/>
                <w:highlight w:val="none"/>
              </w:rPr>
            </w:pPr>
          </w:p>
        </w:tc>
      </w:tr>
      <w:tr w14:paraId="2342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4" w:type="dxa"/>
            <w:vAlign w:val="center"/>
          </w:tcPr>
          <w:p w14:paraId="114C92E5">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205" w:type="dxa"/>
            <w:gridSpan w:val="6"/>
            <w:vAlign w:val="center"/>
          </w:tcPr>
          <w:p w14:paraId="6DD264E6">
            <w:pPr>
              <w:jc w:val="center"/>
              <w:rPr>
                <w:rFonts w:ascii="宋体" w:hAnsi="宋体" w:cs="宋体"/>
                <w:color w:val="auto"/>
                <w:sz w:val="24"/>
                <w:szCs w:val="24"/>
                <w:highlight w:val="none"/>
              </w:rPr>
            </w:pPr>
          </w:p>
        </w:tc>
      </w:tr>
    </w:tbl>
    <w:p w14:paraId="446682A7">
      <w:pPr>
        <w:spacing w:line="360" w:lineRule="auto"/>
        <w:rPr>
          <w:b/>
          <w:bCs/>
          <w:color w:val="auto"/>
          <w:sz w:val="24"/>
          <w:szCs w:val="22"/>
          <w:highlight w:val="none"/>
        </w:rPr>
        <w:sectPr>
          <w:pgSz w:w="11906" w:h="16838"/>
          <w:pgMar w:top="1440" w:right="1800" w:bottom="1440" w:left="1800" w:header="1191" w:footer="1134" w:gutter="0"/>
          <w:cols w:space="720" w:num="1"/>
          <w:docGrid w:type="lines" w:linePitch="312" w:charSpace="0"/>
        </w:sectPr>
      </w:pPr>
      <w:r>
        <w:rPr>
          <w:rFonts w:hint="eastAsia"/>
          <w:b/>
          <w:bCs/>
          <w:color w:val="auto"/>
          <w:sz w:val="24"/>
          <w:szCs w:val="22"/>
          <w:highlight w:val="none"/>
        </w:rPr>
        <w:t>备注：本表后应附供应商营业执照、资质证书、安全生产许可证等相关资料复印件。</w:t>
      </w:r>
      <w:bookmarkStart w:id="549" w:name="_Toc23455"/>
      <w:bookmarkStart w:id="550" w:name="_Toc23503"/>
      <w:bookmarkStart w:id="551" w:name="_Toc12353"/>
    </w:p>
    <w:p w14:paraId="17477C43">
      <w:pPr>
        <w:pStyle w:val="4"/>
        <w:jc w:val="center"/>
        <w:rPr>
          <w:color w:val="auto"/>
          <w:highlight w:val="none"/>
        </w:rPr>
      </w:pPr>
      <w:r>
        <w:rPr>
          <w:rFonts w:hint="eastAsia"/>
          <w:color w:val="auto"/>
          <w:highlight w:val="none"/>
        </w:rPr>
        <w:t>（一）营业执照</w:t>
      </w:r>
    </w:p>
    <w:p w14:paraId="6B77380F">
      <w:pPr>
        <w:numPr>
          <w:ilvl w:val="0"/>
          <w:numId w:val="5"/>
        </w:numPr>
        <w:spacing w:line="360" w:lineRule="auto"/>
        <w:jc w:val="center"/>
        <w:rPr>
          <w:rFonts w:ascii="宋体" w:hAnsi="宋体" w:cs="宋体"/>
          <w:b/>
          <w:bCs/>
          <w:color w:val="auto"/>
          <w:sz w:val="28"/>
          <w:szCs w:val="28"/>
          <w:highlight w:val="none"/>
        </w:rPr>
        <w:sectPr>
          <w:pgSz w:w="11906" w:h="16838"/>
          <w:pgMar w:top="1440" w:right="1800" w:bottom="1440" w:left="1800" w:header="1191" w:footer="1134" w:gutter="0"/>
          <w:cols w:space="720" w:num="1"/>
          <w:docGrid w:type="lines" w:linePitch="312" w:charSpace="0"/>
        </w:sectPr>
      </w:pPr>
    </w:p>
    <w:p w14:paraId="0C588A98">
      <w:pPr>
        <w:pStyle w:val="4"/>
        <w:jc w:val="center"/>
        <w:rPr>
          <w:color w:val="auto"/>
          <w:highlight w:val="none"/>
        </w:rPr>
        <w:sectPr>
          <w:headerReference r:id="rId16" w:type="default"/>
          <w:footerReference r:id="rId17" w:type="default"/>
          <w:pgSz w:w="11906" w:h="16838"/>
          <w:pgMar w:top="1440" w:right="1800" w:bottom="1440" w:left="1800" w:header="1191" w:footer="1134" w:gutter="0"/>
          <w:cols w:space="720" w:num="1"/>
          <w:docGrid w:type="lines" w:linePitch="312" w:charSpace="0"/>
        </w:sectPr>
      </w:pPr>
      <w:r>
        <w:rPr>
          <w:rFonts w:hint="eastAsia"/>
          <w:color w:val="auto"/>
          <w:highlight w:val="none"/>
        </w:rPr>
        <w:t>（二）企业资质证书</w:t>
      </w:r>
    </w:p>
    <w:p w14:paraId="1A8B94AB">
      <w:pPr>
        <w:pStyle w:val="4"/>
        <w:jc w:val="center"/>
        <w:rPr>
          <w:color w:val="auto"/>
          <w:highlight w:val="none"/>
        </w:rPr>
        <w:sectPr>
          <w:pgSz w:w="11906" w:h="16838"/>
          <w:pgMar w:top="1440" w:right="1800" w:bottom="1440" w:left="1800" w:header="1191" w:footer="1134" w:gutter="0"/>
          <w:cols w:space="720" w:num="1"/>
          <w:docGrid w:type="lines" w:linePitch="312" w:charSpace="0"/>
        </w:sectPr>
      </w:pPr>
      <w:r>
        <w:rPr>
          <w:rFonts w:hint="eastAsia"/>
          <w:color w:val="auto"/>
          <w:highlight w:val="none"/>
        </w:rPr>
        <w:t>（三）安全生产许可证</w:t>
      </w:r>
    </w:p>
    <w:p w14:paraId="5917BDA7">
      <w:pPr>
        <w:pStyle w:val="4"/>
        <w:jc w:val="center"/>
        <w:rPr>
          <w:rFonts w:ascii="宋体" w:hAnsi="宋体" w:cs="宋体"/>
          <w:color w:val="auto"/>
          <w:highlight w:val="none"/>
        </w:rPr>
        <w:sectPr>
          <w:pgSz w:w="11906" w:h="16838"/>
          <w:pgMar w:top="1440" w:right="1800" w:bottom="1440" w:left="1800" w:header="1191" w:footer="1134" w:gutter="0"/>
          <w:cols w:space="720" w:num="1"/>
          <w:docGrid w:type="lines" w:linePitch="312" w:charSpace="0"/>
        </w:sectPr>
      </w:pPr>
      <w:r>
        <w:rPr>
          <w:rFonts w:hint="eastAsia" w:ascii="宋体" w:hAnsi="宋体" w:cs="宋体"/>
          <w:color w:val="auto"/>
          <w:highlight w:val="none"/>
        </w:rPr>
        <w:t>（四）供应商在“陕西省住房和城乡建设厅”官方网站查询截图</w:t>
      </w:r>
    </w:p>
    <w:p w14:paraId="11DD0272">
      <w:pPr>
        <w:pStyle w:val="4"/>
        <w:jc w:val="center"/>
        <w:rPr>
          <w:color w:val="auto"/>
          <w:highlight w:val="none"/>
        </w:rPr>
      </w:pPr>
      <w:r>
        <w:rPr>
          <w:rFonts w:hint="eastAsia"/>
          <w:color w:val="auto"/>
          <w:highlight w:val="none"/>
        </w:rPr>
        <w:t>（五）近年发生的诉讼和仲裁情况</w:t>
      </w:r>
    </w:p>
    <w:bookmarkEnd w:id="549"/>
    <w:bookmarkEnd w:id="550"/>
    <w:bookmarkEnd w:id="551"/>
    <w:p w14:paraId="178A19B2">
      <w:pPr>
        <w:rPr>
          <w:color w:val="auto"/>
          <w:highlight w:val="none"/>
        </w:rPr>
      </w:pPr>
    </w:p>
    <w:p w14:paraId="0AE9A01E">
      <w:pPr>
        <w:spacing w:line="360" w:lineRule="auto"/>
        <w:ind w:firstLine="482" w:firstLineChars="200"/>
        <w:rPr>
          <w:b/>
          <w:bCs/>
          <w:color w:val="auto"/>
          <w:sz w:val="24"/>
          <w:szCs w:val="24"/>
          <w:highlight w:val="none"/>
        </w:rPr>
        <w:sectPr>
          <w:pgSz w:w="11906" w:h="16838"/>
          <w:pgMar w:top="1440" w:right="1800" w:bottom="1440" w:left="1800" w:header="1191" w:footer="1134" w:gutter="0"/>
          <w:cols w:space="720" w:num="1"/>
          <w:docGrid w:type="lines" w:linePitch="312" w:charSpace="0"/>
        </w:sectPr>
      </w:pPr>
      <w:r>
        <w:rPr>
          <w:rFonts w:hint="eastAsia"/>
          <w:b/>
          <w:bCs/>
          <w:color w:val="auto"/>
          <w:sz w:val="24"/>
          <w:szCs w:val="24"/>
          <w:highlight w:val="none"/>
        </w:rPr>
        <w:t>说明：近年发生的诉讼和仲裁情况仅限于供应商败诉的，且与履行施工承包合同有关的案件，不包括调解结案以及未裁决的仲裁或未终审判决的诉讼。</w:t>
      </w:r>
    </w:p>
    <w:p w14:paraId="37172F1E">
      <w:pPr>
        <w:pStyle w:val="4"/>
        <w:jc w:val="center"/>
        <w:rPr>
          <w:color w:val="auto"/>
          <w:highlight w:val="none"/>
        </w:rPr>
      </w:pPr>
      <w:bookmarkStart w:id="552" w:name="_Toc5030"/>
      <w:bookmarkStart w:id="553" w:name="_Toc31306"/>
      <w:bookmarkStart w:id="554" w:name="_Toc15050"/>
      <w:r>
        <w:rPr>
          <w:rFonts w:hint="eastAsia"/>
          <w:color w:val="auto"/>
          <w:highlight w:val="none"/>
        </w:rPr>
        <w:t>（六）供应商近年企业信誉情况</w:t>
      </w:r>
    </w:p>
    <w:bookmarkEnd w:id="552"/>
    <w:bookmarkEnd w:id="553"/>
    <w:bookmarkEnd w:id="554"/>
    <w:p w14:paraId="4430C119">
      <w:pPr>
        <w:adjustRightInd w:val="0"/>
        <w:snapToGrid w:val="0"/>
        <w:spacing w:line="360" w:lineRule="auto"/>
        <w:rPr>
          <w:rFonts w:ascii="宋体" w:hAnsi="宋体" w:cs="宋体"/>
          <w:color w:val="auto"/>
          <w:sz w:val="24"/>
          <w:szCs w:val="24"/>
          <w:highlight w:val="none"/>
        </w:rPr>
      </w:pPr>
    </w:p>
    <w:p w14:paraId="17A71D85">
      <w:pPr>
        <w:wordWrap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1.近年企业不良行为记录情况</w:t>
      </w:r>
    </w:p>
    <w:p w14:paraId="5A99CD6F">
      <w:pPr>
        <w:wordWrap w:val="0"/>
        <w:spacing w:line="360" w:lineRule="auto"/>
        <w:rPr>
          <w:rFonts w:ascii="宋体" w:hAnsi="宋体" w:cs="宋体"/>
          <w:color w:val="auto"/>
          <w:sz w:val="24"/>
          <w:szCs w:val="24"/>
          <w:highlight w:val="none"/>
        </w:rPr>
      </w:pPr>
    </w:p>
    <w:p w14:paraId="5A2584A7">
      <w:pPr>
        <w:wordWrap w:val="0"/>
        <w:spacing w:line="360" w:lineRule="auto"/>
        <w:rPr>
          <w:rFonts w:ascii="宋体" w:hAnsi="宋体" w:cs="宋体"/>
          <w:color w:val="auto"/>
          <w:sz w:val="24"/>
          <w:szCs w:val="24"/>
          <w:highlight w:val="none"/>
        </w:rPr>
      </w:pPr>
    </w:p>
    <w:p w14:paraId="7B21F9D5">
      <w:pPr>
        <w:wordWrap w:val="0"/>
        <w:spacing w:line="360" w:lineRule="auto"/>
        <w:rPr>
          <w:rFonts w:ascii="宋体" w:hAnsi="宋体" w:cs="宋体"/>
          <w:color w:val="auto"/>
          <w:sz w:val="24"/>
          <w:szCs w:val="24"/>
          <w:highlight w:val="none"/>
        </w:rPr>
      </w:pPr>
    </w:p>
    <w:p w14:paraId="1923A54C">
      <w:pPr>
        <w:wordWrap w:val="0"/>
        <w:spacing w:line="360" w:lineRule="auto"/>
        <w:rPr>
          <w:rFonts w:ascii="宋体" w:hAnsi="宋体" w:cs="宋体"/>
          <w:color w:val="auto"/>
          <w:sz w:val="24"/>
          <w:szCs w:val="24"/>
          <w:highlight w:val="none"/>
        </w:rPr>
      </w:pPr>
    </w:p>
    <w:p w14:paraId="259EDA3E">
      <w:pPr>
        <w:wordWrap w:val="0"/>
        <w:spacing w:line="360" w:lineRule="auto"/>
        <w:rPr>
          <w:rFonts w:ascii="宋体" w:hAnsi="宋体" w:cs="宋体"/>
          <w:color w:val="auto"/>
          <w:sz w:val="24"/>
          <w:szCs w:val="24"/>
          <w:highlight w:val="none"/>
        </w:rPr>
      </w:pPr>
    </w:p>
    <w:p w14:paraId="202B288A">
      <w:pPr>
        <w:wordWrap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2.在施工程以及近年已竣工工程合同履行情况</w:t>
      </w:r>
    </w:p>
    <w:p w14:paraId="4CB4B345">
      <w:pPr>
        <w:wordWrap w:val="0"/>
        <w:spacing w:line="360" w:lineRule="auto"/>
        <w:rPr>
          <w:rFonts w:ascii="宋体" w:hAnsi="宋体" w:cs="宋体"/>
          <w:color w:val="auto"/>
          <w:sz w:val="24"/>
          <w:szCs w:val="24"/>
          <w:highlight w:val="none"/>
        </w:rPr>
      </w:pPr>
    </w:p>
    <w:p w14:paraId="521FC750">
      <w:pPr>
        <w:wordWrap w:val="0"/>
        <w:spacing w:line="360" w:lineRule="auto"/>
        <w:rPr>
          <w:rFonts w:ascii="宋体" w:hAnsi="宋体" w:cs="宋体"/>
          <w:color w:val="auto"/>
          <w:sz w:val="24"/>
          <w:szCs w:val="24"/>
          <w:highlight w:val="none"/>
        </w:rPr>
      </w:pPr>
    </w:p>
    <w:p w14:paraId="6D79257F">
      <w:pPr>
        <w:wordWrap w:val="0"/>
        <w:spacing w:line="360" w:lineRule="auto"/>
        <w:rPr>
          <w:rFonts w:ascii="宋体" w:hAnsi="宋体" w:cs="宋体"/>
          <w:color w:val="auto"/>
          <w:sz w:val="24"/>
          <w:szCs w:val="24"/>
          <w:highlight w:val="none"/>
        </w:rPr>
      </w:pPr>
    </w:p>
    <w:p w14:paraId="1918DD60">
      <w:pPr>
        <w:wordWrap w:val="0"/>
        <w:spacing w:line="360" w:lineRule="auto"/>
        <w:rPr>
          <w:rFonts w:ascii="宋体" w:hAnsi="宋体" w:cs="宋体"/>
          <w:color w:val="auto"/>
          <w:sz w:val="24"/>
          <w:szCs w:val="24"/>
          <w:highlight w:val="none"/>
        </w:rPr>
      </w:pPr>
    </w:p>
    <w:p w14:paraId="5968C315">
      <w:pPr>
        <w:wordWrap w:val="0"/>
        <w:spacing w:line="360" w:lineRule="auto"/>
        <w:rPr>
          <w:rFonts w:ascii="宋体" w:hAnsi="宋体" w:cs="宋体"/>
          <w:color w:val="auto"/>
          <w:sz w:val="24"/>
          <w:szCs w:val="24"/>
          <w:highlight w:val="none"/>
        </w:rPr>
      </w:pPr>
    </w:p>
    <w:p w14:paraId="19FD5114">
      <w:pPr>
        <w:wordWrap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3.其他</w:t>
      </w:r>
    </w:p>
    <w:p w14:paraId="584E1306">
      <w:pPr>
        <w:wordWrap w:val="0"/>
        <w:spacing w:line="360" w:lineRule="auto"/>
        <w:rPr>
          <w:rFonts w:ascii="宋体" w:hAnsi="宋体" w:cs="宋体"/>
          <w:color w:val="auto"/>
          <w:sz w:val="24"/>
          <w:szCs w:val="24"/>
          <w:highlight w:val="none"/>
        </w:rPr>
      </w:pPr>
    </w:p>
    <w:p w14:paraId="0A4A635E">
      <w:pPr>
        <w:wordWrap w:val="0"/>
        <w:spacing w:line="360" w:lineRule="auto"/>
        <w:rPr>
          <w:rFonts w:ascii="宋体" w:hAnsi="宋体" w:cs="宋体"/>
          <w:color w:val="auto"/>
          <w:sz w:val="24"/>
          <w:szCs w:val="24"/>
          <w:highlight w:val="none"/>
        </w:rPr>
      </w:pPr>
    </w:p>
    <w:p w14:paraId="204EC32C">
      <w:pPr>
        <w:wordWrap w:val="0"/>
        <w:spacing w:line="360" w:lineRule="auto"/>
        <w:rPr>
          <w:rFonts w:ascii="宋体" w:hAnsi="宋体" w:cs="宋体"/>
          <w:color w:val="auto"/>
          <w:sz w:val="24"/>
          <w:szCs w:val="24"/>
          <w:highlight w:val="none"/>
        </w:rPr>
      </w:pPr>
    </w:p>
    <w:p w14:paraId="2F7542BE">
      <w:pPr>
        <w:wordWrap w:val="0"/>
        <w:spacing w:line="360" w:lineRule="auto"/>
        <w:rPr>
          <w:rFonts w:ascii="宋体" w:hAnsi="宋体" w:cs="宋体"/>
          <w:color w:val="auto"/>
          <w:sz w:val="24"/>
          <w:szCs w:val="24"/>
          <w:highlight w:val="none"/>
        </w:rPr>
      </w:pPr>
    </w:p>
    <w:p w14:paraId="3F25E5AB">
      <w:pPr>
        <w:wordWrap w:val="0"/>
        <w:spacing w:line="360" w:lineRule="auto"/>
        <w:rPr>
          <w:rFonts w:ascii="宋体" w:hAnsi="宋体" w:cs="宋体"/>
          <w:color w:val="auto"/>
          <w:sz w:val="24"/>
          <w:szCs w:val="24"/>
          <w:highlight w:val="none"/>
        </w:rPr>
      </w:pPr>
    </w:p>
    <w:p w14:paraId="1BBBB432">
      <w:pPr>
        <w:wordWrap w:val="0"/>
        <w:spacing w:line="360" w:lineRule="auto"/>
        <w:rPr>
          <w:rFonts w:ascii="宋体" w:hAnsi="宋体" w:cs="宋体"/>
          <w:b/>
          <w:bCs/>
          <w:color w:val="auto"/>
          <w:sz w:val="24"/>
          <w:szCs w:val="24"/>
          <w:highlight w:val="none"/>
        </w:rPr>
      </w:pPr>
    </w:p>
    <w:p w14:paraId="1EA28933">
      <w:pPr>
        <w:wordWrap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14:paraId="0F4C4343">
      <w:pPr>
        <w:wordWrap w:val="0"/>
        <w:spacing w:line="360" w:lineRule="auto"/>
        <w:ind w:firstLine="482" w:firstLineChars="200"/>
        <w:rPr>
          <w:rFonts w:ascii="宋体" w:hAnsi="宋体" w:cs="宋体"/>
          <w:b/>
          <w:bCs/>
          <w:color w:val="auto"/>
          <w:sz w:val="24"/>
          <w:szCs w:val="24"/>
          <w:highlight w:val="none"/>
        </w:rPr>
        <w:sectPr>
          <w:pgSz w:w="11906" w:h="16838"/>
          <w:pgMar w:top="1440" w:right="1800" w:bottom="1440" w:left="1800" w:header="1191" w:footer="1134" w:gutter="0"/>
          <w:cols w:space="720" w:num="1"/>
          <w:docGrid w:type="lines" w:linePitch="312" w:charSpace="0"/>
        </w:sectPr>
      </w:pPr>
      <w:r>
        <w:rPr>
          <w:rFonts w:hint="eastAsia" w:ascii="宋体" w:hAnsi="宋体" w:cs="宋体"/>
          <w:b/>
          <w:bCs/>
          <w:color w:val="auto"/>
          <w:sz w:val="24"/>
          <w:szCs w:val="24"/>
          <w:highlight w:val="none"/>
        </w:rPr>
        <w:t>不良行为记录是指：因违反有关工程建设的法律、法规、规章或强制性标准和执业行为规范，受到县级以上建设行政主管部门的行政处罚，且处罚中规定该供应商不得进入建设项目所在地建筑市场投标或施工、并且本项目磋商时间仍在处罚执行期的情况。其他不良行为不作为资格审查合格与否的依据。</w:t>
      </w:r>
    </w:p>
    <w:p w14:paraId="36CC05F5">
      <w:pPr>
        <w:pStyle w:val="3"/>
        <w:spacing w:line="240" w:lineRule="auto"/>
        <w:rPr>
          <w:color w:val="auto"/>
          <w:highlight w:val="none"/>
        </w:rPr>
      </w:pPr>
      <w:bookmarkStart w:id="555" w:name="_Toc28014"/>
      <w:bookmarkStart w:id="556" w:name="_Toc10988"/>
      <w:r>
        <w:rPr>
          <w:rFonts w:hint="eastAsia"/>
          <w:color w:val="auto"/>
          <w:highlight w:val="none"/>
        </w:rPr>
        <w:t>五、项目经理</w:t>
      </w:r>
      <w:bookmarkEnd w:id="555"/>
      <w:bookmarkEnd w:id="556"/>
    </w:p>
    <w:p w14:paraId="3DD6706E">
      <w:pPr>
        <w:pStyle w:val="4"/>
        <w:jc w:val="center"/>
        <w:rPr>
          <w:color w:val="auto"/>
          <w:highlight w:val="none"/>
        </w:rPr>
      </w:pPr>
      <w:r>
        <w:rPr>
          <w:rFonts w:hint="eastAsia"/>
          <w:color w:val="auto"/>
          <w:highlight w:val="none"/>
        </w:rPr>
        <w:t>（一）项目经理简历表</w:t>
      </w:r>
    </w:p>
    <w:p w14:paraId="5C0B918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项目经理应附注册证书、安全生产考核合格证书、身份证、职称证、学历证及未担任其他在施建设工程项目项目经理的承诺书。</w:t>
      </w:r>
    </w:p>
    <w:tbl>
      <w:tblPr>
        <w:tblStyle w:val="39"/>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141"/>
        <w:gridCol w:w="1537"/>
        <w:gridCol w:w="1492"/>
        <w:gridCol w:w="1157"/>
        <w:gridCol w:w="1618"/>
      </w:tblGrid>
      <w:tr w14:paraId="70FD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2" w:type="dxa"/>
            <w:vAlign w:val="center"/>
          </w:tcPr>
          <w:p w14:paraId="066009A8">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141" w:type="dxa"/>
            <w:vAlign w:val="center"/>
          </w:tcPr>
          <w:p w14:paraId="4854D998">
            <w:pPr>
              <w:adjustRightInd w:val="0"/>
              <w:snapToGrid w:val="0"/>
              <w:jc w:val="center"/>
              <w:rPr>
                <w:rFonts w:ascii="宋体" w:hAnsi="宋体" w:cs="宋体"/>
                <w:color w:val="auto"/>
                <w:sz w:val="24"/>
                <w:szCs w:val="24"/>
                <w:highlight w:val="none"/>
              </w:rPr>
            </w:pPr>
          </w:p>
        </w:tc>
        <w:tc>
          <w:tcPr>
            <w:tcW w:w="1537" w:type="dxa"/>
            <w:vAlign w:val="center"/>
          </w:tcPr>
          <w:p w14:paraId="4840EC85">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492" w:type="dxa"/>
            <w:vAlign w:val="center"/>
          </w:tcPr>
          <w:p w14:paraId="1411B534">
            <w:pPr>
              <w:adjustRightInd w:val="0"/>
              <w:snapToGrid w:val="0"/>
              <w:jc w:val="center"/>
              <w:rPr>
                <w:rFonts w:ascii="宋体" w:hAnsi="宋体" w:cs="宋体"/>
                <w:color w:val="auto"/>
                <w:sz w:val="24"/>
                <w:szCs w:val="24"/>
                <w:highlight w:val="none"/>
              </w:rPr>
            </w:pPr>
          </w:p>
        </w:tc>
        <w:tc>
          <w:tcPr>
            <w:tcW w:w="1157" w:type="dxa"/>
            <w:vAlign w:val="center"/>
          </w:tcPr>
          <w:p w14:paraId="7FE37967">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学  历</w:t>
            </w:r>
          </w:p>
        </w:tc>
        <w:tc>
          <w:tcPr>
            <w:tcW w:w="1618" w:type="dxa"/>
            <w:vAlign w:val="center"/>
          </w:tcPr>
          <w:p w14:paraId="016DB6A3">
            <w:pPr>
              <w:adjustRightInd w:val="0"/>
              <w:snapToGrid w:val="0"/>
              <w:jc w:val="center"/>
              <w:rPr>
                <w:rFonts w:ascii="宋体" w:hAnsi="宋体" w:cs="宋体"/>
                <w:color w:val="auto"/>
                <w:sz w:val="24"/>
                <w:szCs w:val="24"/>
                <w:highlight w:val="none"/>
              </w:rPr>
            </w:pPr>
          </w:p>
        </w:tc>
      </w:tr>
      <w:tr w14:paraId="24A2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2" w:type="dxa"/>
            <w:vAlign w:val="center"/>
          </w:tcPr>
          <w:p w14:paraId="7961FACB">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141" w:type="dxa"/>
            <w:vAlign w:val="center"/>
          </w:tcPr>
          <w:p w14:paraId="24203CC5">
            <w:pPr>
              <w:adjustRightInd w:val="0"/>
              <w:snapToGrid w:val="0"/>
              <w:jc w:val="center"/>
              <w:rPr>
                <w:rFonts w:ascii="宋体" w:hAnsi="宋体" w:cs="宋体"/>
                <w:color w:val="auto"/>
                <w:sz w:val="24"/>
                <w:szCs w:val="24"/>
                <w:highlight w:val="none"/>
              </w:rPr>
            </w:pPr>
          </w:p>
        </w:tc>
        <w:tc>
          <w:tcPr>
            <w:tcW w:w="1537" w:type="dxa"/>
            <w:vAlign w:val="center"/>
          </w:tcPr>
          <w:p w14:paraId="54436B83">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注册证号</w:t>
            </w:r>
          </w:p>
        </w:tc>
        <w:tc>
          <w:tcPr>
            <w:tcW w:w="4267" w:type="dxa"/>
            <w:gridSpan w:val="3"/>
            <w:vAlign w:val="center"/>
          </w:tcPr>
          <w:p w14:paraId="36B4DD7A">
            <w:pPr>
              <w:adjustRightInd w:val="0"/>
              <w:snapToGrid w:val="0"/>
              <w:jc w:val="center"/>
              <w:rPr>
                <w:rFonts w:ascii="宋体" w:hAnsi="宋体" w:cs="宋体"/>
                <w:color w:val="auto"/>
                <w:sz w:val="24"/>
                <w:szCs w:val="24"/>
                <w:highlight w:val="none"/>
              </w:rPr>
            </w:pPr>
          </w:p>
        </w:tc>
      </w:tr>
      <w:tr w14:paraId="08B2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10" w:type="dxa"/>
            <w:gridSpan w:val="3"/>
            <w:vAlign w:val="center"/>
          </w:tcPr>
          <w:p w14:paraId="3C5CD61C">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注册建造师执业资格等级及专业</w:t>
            </w:r>
          </w:p>
        </w:tc>
        <w:tc>
          <w:tcPr>
            <w:tcW w:w="4267" w:type="dxa"/>
            <w:gridSpan w:val="3"/>
            <w:vAlign w:val="center"/>
          </w:tcPr>
          <w:p w14:paraId="0B1FC5B6">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专业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级注册建造师</w:t>
            </w:r>
          </w:p>
        </w:tc>
      </w:tr>
      <w:tr w14:paraId="34FF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10" w:type="dxa"/>
            <w:gridSpan w:val="3"/>
            <w:vAlign w:val="center"/>
          </w:tcPr>
          <w:p w14:paraId="1AEC3C99">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安全生产考核合格证书</w:t>
            </w:r>
          </w:p>
        </w:tc>
        <w:tc>
          <w:tcPr>
            <w:tcW w:w="4267" w:type="dxa"/>
            <w:gridSpan w:val="3"/>
            <w:vAlign w:val="center"/>
          </w:tcPr>
          <w:p w14:paraId="491FAC53">
            <w:pPr>
              <w:adjustRightInd w:val="0"/>
              <w:snapToGrid w:val="0"/>
              <w:jc w:val="center"/>
              <w:rPr>
                <w:rFonts w:ascii="宋体" w:hAnsi="宋体" w:cs="宋体"/>
                <w:color w:val="auto"/>
                <w:sz w:val="24"/>
                <w:szCs w:val="24"/>
                <w:highlight w:val="none"/>
              </w:rPr>
            </w:pPr>
          </w:p>
        </w:tc>
      </w:tr>
      <w:tr w14:paraId="6316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2" w:type="dxa"/>
            <w:vAlign w:val="center"/>
          </w:tcPr>
          <w:p w14:paraId="08EBAA09">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6945" w:type="dxa"/>
            <w:gridSpan w:val="5"/>
            <w:vAlign w:val="center"/>
          </w:tcPr>
          <w:p w14:paraId="284346D5">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年毕业于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学校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专业</w:t>
            </w:r>
          </w:p>
        </w:tc>
      </w:tr>
      <w:tr w14:paraId="661E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77" w:type="dxa"/>
            <w:gridSpan w:val="6"/>
            <w:vAlign w:val="center"/>
          </w:tcPr>
          <w:p w14:paraId="508729E4">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11E5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2" w:type="dxa"/>
            <w:vAlign w:val="center"/>
          </w:tcPr>
          <w:p w14:paraId="12766648">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2678" w:type="dxa"/>
            <w:gridSpan w:val="2"/>
            <w:vAlign w:val="center"/>
          </w:tcPr>
          <w:p w14:paraId="54FAF9D2">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参加过的类似项目名称</w:t>
            </w:r>
          </w:p>
        </w:tc>
        <w:tc>
          <w:tcPr>
            <w:tcW w:w="2649" w:type="dxa"/>
            <w:gridSpan w:val="2"/>
            <w:vAlign w:val="center"/>
          </w:tcPr>
          <w:p w14:paraId="1AEBDC39">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工程概况说明</w:t>
            </w:r>
          </w:p>
        </w:tc>
        <w:tc>
          <w:tcPr>
            <w:tcW w:w="1618" w:type="dxa"/>
            <w:vAlign w:val="center"/>
          </w:tcPr>
          <w:p w14:paraId="096E8552">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50DC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2" w:type="dxa"/>
            <w:vAlign w:val="center"/>
          </w:tcPr>
          <w:p w14:paraId="2B627378">
            <w:pPr>
              <w:adjustRightInd w:val="0"/>
              <w:snapToGrid w:val="0"/>
              <w:jc w:val="center"/>
              <w:rPr>
                <w:rFonts w:ascii="宋体" w:hAnsi="宋体" w:cs="宋体"/>
                <w:color w:val="auto"/>
                <w:sz w:val="24"/>
                <w:szCs w:val="24"/>
                <w:highlight w:val="none"/>
              </w:rPr>
            </w:pPr>
          </w:p>
        </w:tc>
        <w:tc>
          <w:tcPr>
            <w:tcW w:w="2678" w:type="dxa"/>
            <w:gridSpan w:val="2"/>
            <w:vAlign w:val="center"/>
          </w:tcPr>
          <w:p w14:paraId="0633BFFD">
            <w:pPr>
              <w:adjustRightInd w:val="0"/>
              <w:snapToGrid w:val="0"/>
              <w:jc w:val="center"/>
              <w:rPr>
                <w:rFonts w:ascii="宋体" w:hAnsi="宋体" w:cs="宋体"/>
                <w:color w:val="auto"/>
                <w:sz w:val="24"/>
                <w:szCs w:val="24"/>
                <w:highlight w:val="none"/>
              </w:rPr>
            </w:pPr>
          </w:p>
        </w:tc>
        <w:tc>
          <w:tcPr>
            <w:tcW w:w="2649" w:type="dxa"/>
            <w:gridSpan w:val="2"/>
            <w:vAlign w:val="center"/>
          </w:tcPr>
          <w:p w14:paraId="0B667DDD">
            <w:pPr>
              <w:adjustRightInd w:val="0"/>
              <w:snapToGrid w:val="0"/>
              <w:jc w:val="center"/>
              <w:rPr>
                <w:rFonts w:ascii="宋体" w:hAnsi="宋体" w:cs="宋体"/>
                <w:color w:val="auto"/>
                <w:sz w:val="24"/>
                <w:szCs w:val="24"/>
                <w:highlight w:val="none"/>
              </w:rPr>
            </w:pPr>
          </w:p>
        </w:tc>
        <w:tc>
          <w:tcPr>
            <w:tcW w:w="1618" w:type="dxa"/>
            <w:vAlign w:val="center"/>
          </w:tcPr>
          <w:p w14:paraId="05459707">
            <w:pPr>
              <w:adjustRightInd w:val="0"/>
              <w:snapToGrid w:val="0"/>
              <w:jc w:val="center"/>
              <w:rPr>
                <w:rFonts w:ascii="宋体" w:hAnsi="宋体" w:cs="宋体"/>
                <w:color w:val="auto"/>
                <w:sz w:val="24"/>
                <w:szCs w:val="24"/>
                <w:highlight w:val="none"/>
              </w:rPr>
            </w:pPr>
          </w:p>
        </w:tc>
      </w:tr>
      <w:tr w14:paraId="1B00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2" w:type="dxa"/>
            <w:vAlign w:val="center"/>
          </w:tcPr>
          <w:p w14:paraId="613D7E9F">
            <w:pPr>
              <w:adjustRightInd w:val="0"/>
              <w:snapToGrid w:val="0"/>
              <w:jc w:val="center"/>
              <w:rPr>
                <w:rFonts w:ascii="宋体" w:hAnsi="宋体" w:cs="宋体"/>
                <w:color w:val="auto"/>
                <w:sz w:val="24"/>
                <w:szCs w:val="24"/>
                <w:highlight w:val="none"/>
              </w:rPr>
            </w:pPr>
          </w:p>
        </w:tc>
        <w:tc>
          <w:tcPr>
            <w:tcW w:w="2678" w:type="dxa"/>
            <w:gridSpan w:val="2"/>
            <w:vAlign w:val="center"/>
          </w:tcPr>
          <w:p w14:paraId="2B101314">
            <w:pPr>
              <w:adjustRightInd w:val="0"/>
              <w:snapToGrid w:val="0"/>
              <w:jc w:val="center"/>
              <w:rPr>
                <w:rFonts w:ascii="宋体" w:hAnsi="宋体" w:cs="宋体"/>
                <w:color w:val="auto"/>
                <w:sz w:val="24"/>
                <w:szCs w:val="24"/>
                <w:highlight w:val="none"/>
              </w:rPr>
            </w:pPr>
          </w:p>
        </w:tc>
        <w:tc>
          <w:tcPr>
            <w:tcW w:w="2649" w:type="dxa"/>
            <w:gridSpan w:val="2"/>
            <w:vAlign w:val="center"/>
          </w:tcPr>
          <w:p w14:paraId="6AD14982">
            <w:pPr>
              <w:adjustRightInd w:val="0"/>
              <w:snapToGrid w:val="0"/>
              <w:jc w:val="center"/>
              <w:rPr>
                <w:rFonts w:ascii="宋体" w:hAnsi="宋体" w:cs="宋体"/>
                <w:color w:val="auto"/>
                <w:sz w:val="24"/>
                <w:szCs w:val="24"/>
                <w:highlight w:val="none"/>
              </w:rPr>
            </w:pPr>
          </w:p>
        </w:tc>
        <w:tc>
          <w:tcPr>
            <w:tcW w:w="1618" w:type="dxa"/>
            <w:vAlign w:val="center"/>
          </w:tcPr>
          <w:p w14:paraId="4D272D02">
            <w:pPr>
              <w:adjustRightInd w:val="0"/>
              <w:snapToGrid w:val="0"/>
              <w:jc w:val="center"/>
              <w:rPr>
                <w:rFonts w:ascii="宋体" w:hAnsi="宋体" w:cs="宋体"/>
                <w:color w:val="auto"/>
                <w:sz w:val="24"/>
                <w:szCs w:val="24"/>
                <w:highlight w:val="none"/>
              </w:rPr>
            </w:pPr>
          </w:p>
        </w:tc>
      </w:tr>
      <w:tr w14:paraId="5DA6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2" w:type="dxa"/>
            <w:vAlign w:val="center"/>
          </w:tcPr>
          <w:p w14:paraId="40502850">
            <w:pPr>
              <w:adjustRightInd w:val="0"/>
              <w:snapToGrid w:val="0"/>
              <w:jc w:val="center"/>
              <w:rPr>
                <w:rFonts w:ascii="宋体" w:hAnsi="宋体" w:cs="宋体"/>
                <w:color w:val="auto"/>
                <w:sz w:val="24"/>
                <w:szCs w:val="24"/>
                <w:highlight w:val="none"/>
              </w:rPr>
            </w:pPr>
          </w:p>
        </w:tc>
        <w:tc>
          <w:tcPr>
            <w:tcW w:w="2678" w:type="dxa"/>
            <w:gridSpan w:val="2"/>
            <w:vAlign w:val="center"/>
          </w:tcPr>
          <w:p w14:paraId="4F51464B">
            <w:pPr>
              <w:adjustRightInd w:val="0"/>
              <w:snapToGrid w:val="0"/>
              <w:jc w:val="center"/>
              <w:rPr>
                <w:rFonts w:ascii="宋体" w:hAnsi="宋体" w:cs="宋体"/>
                <w:color w:val="auto"/>
                <w:sz w:val="24"/>
                <w:szCs w:val="24"/>
                <w:highlight w:val="none"/>
              </w:rPr>
            </w:pPr>
          </w:p>
        </w:tc>
        <w:tc>
          <w:tcPr>
            <w:tcW w:w="2649" w:type="dxa"/>
            <w:gridSpan w:val="2"/>
            <w:vAlign w:val="center"/>
          </w:tcPr>
          <w:p w14:paraId="2086735A">
            <w:pPr>
              <w:adjustRightInd w:val="0"/>
              <w:snapToGrid w:val="0"/>
              <w:jc w:val="center"/>
              <w:rPr>
                <w:rFonts w:ascii="宋体" w:hAnsi="宋体" w:cs="宋体"/>
                <w:color w:val="auto"/>
                <w:sz w:val="24"/>
                <w:szCs w:val="24"/>
                <w:highlight w:val="none"/>
              </w:rPr>
            </w:pPr>
          </w:p>
        </w:tc>
        <w:tc>
          <w:tcPr>
            <w:tcW w:w="1618" w:type="dxa"/>
            <w:vAlign w:val="center"/>
          </w:tcPr>
          <w:p w14:paraId="137314E0">
            <w:pPr>
              <w:adjustRightInd w:val="0"/>
              <w:snapToGrid w:val="0"/>
              <w:jc w:val="center"/>
              <w:rPr>
                <w:rFonts w:ascii="宋体" w:hAnsi="宋体" w:cs="宋体"/>
                <w:color w:val="auto"/>
                <w:sz w:val="24"/>
                <w:szCs w:val="24"/>
                <w:highlight w:val="none"/>
              </w:rPr>
            </w:pPr>
          </w:p>
        </w:tc>
      </w:tr>
      <w:tr w14:paraId="7086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2" w:type="dxa"/>
            <w:vAlign w:val="center"/>
          </w:tcPr>
          <w:p w14:paraId="6B2A6B89">
            <w:pPr>
              <w:adjustRightInd w:val="0"/>
              <w:snapToGrid w:val="0"/>
              <w:jc w:val="center"/>
              <w:rPr>
                <w:rFonts w:ascii="宋体" w:hAnsi="宋体" w:cs="宋体"/>
                <w:color w:val="auto"/>
                <w:sz w:val="24"/>
                <w:szCs w:val="24"/>
                <w:highlight w:val="none"/>
              </w:rPr>
            </w:pPr>
          </w:p>
        </w:tc>
        <w:tc>
          <w:tcPr>
            <w:tcW w:w="2678" w:type="dxa"/>
            <w:gridSpan w:val="2"/>
            <w:vAlign w:val="center"/>
          </w:tcPr>
          <w:p w14:paraId="204C61D3">
            <w:pPr>
              <w:adjustRightInd w:val="0"/>
              <w:snapToGrid w:val="0"/>
              <w:jc w:val="center"/>
              <w:rPr>
                <w:rFonts w:ascii="宋体" w:hAnsi="宋体" w:cs="宋体"/>
                <w:color w:val="auto"/>
                <w:sz w:val="24"/>
                <w:szCs w:val="24"/>
                <w:highlight w:val="none"/>
              </w:rPr>
            </w:pPr>
          </w:p>
        </w:tc>
        <w:tc>
          <w:tcPr>
            <w:tcW w:w="2649" w:type="dxa"/>
            <w:gridSpan w:val="2"/>
            <w:vAlign w:val="center"/>
          </w:tcPr>
          <w:p w14:paraId="30C1B508">
            <w:pPr>
              <w:adjustRightInd w:val="0"/>
              <w:snapToGrid w:val="0"/>
              <w:jc w:val="center"/>
              <w:rPr>
                <w:rFonts w:ascii="宋体" w:hAnsi="宋体" w:cs="宋体"/>
                <w:color w:val="auto"/>
                <w:sz w:val="24"/>
                <w:szCs w:val="24"/>
                <w:highlight w:val="none"/>
              </w:rPr>
            </w:pPr>
          </w:p>
        </w:tc>
        <w:tc>
          <w:tcPr>
            <w:tcW w:w="1618" w:type="dxa"/>
            <w:vAlign w:val="center"/>
          </w:tcPr>
          <w:p w14:paraId="1A26ADEA">
            <w:pPr>
              <w:adjustRightInd w:val="0"/>
              <w:snapToGrid w:val="0"/>
              <w:jc w:val="center"/>
              <w:rPr>
                <w:rFonts w:ascii="宋体" w:hAnsi="宋体" w:cs="宋体"/>
                <w:color w:val="auto"/>
                <w:sz w:val="24"/>
                <w:szCs w:val="24"/>
                <w:highlight w:val="none"/>
              </w:rPr>
            </w:pPr>
          </w:p>
        </w:tc>
      </w:tr>
      <w:tr w14:paraId="510A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2" w:type="dxa"/>
            <w:vAlign w:val="center"/>
          </w:tcPr>
          <w:p w14:paraId="6EEB5FC6">
            <w:pPr>
              <w:adjustRightInd w:val="0"/>
              <w:snapToGrid w:val="0"/>
              <w:jc w:val="center"/>
              <w:rPr>
                <w:rFonts w:ascii="宋体" w:hAnsi="宋体" w:cs="宋体"/>
                <w:color w:val="auto"/>
                <w:sz w:val="24"/>
                <w:szCs w:val="24"/>
                <w:highlight w:val="none"/>
              </w:rPr>
            </w:pPr>
          </w:p>
        </w:tc>
        <w:tc>
          <w:tcPr>
            <w:tcW w:w="2678" w:type="dxa"/>
            <w:gridSpan w:val="2"/>
            <w:vAlign w:val="center"/>
          </w:tcPr>
          <w:p w14:paraId="2BE573C8">
            <w:pPr>
              <w:adjustRightInd w:val="0"/>
              <w:snapToGrid w:val="0"/>
              <w:jc w:val="center"/>
              <w:rPr>
                <w:rFonts w:ascii="宋体" w:hAnsi="宋体" w:cs="宋体"/>
                <w:color w:val="auto"/>
                <w:sz w:val="24"/>
                <w:szCs w:val="24"/>
                <w:highlight w:val="none"/>
              </w:rPr>
            </w:pPr>
          </w:p>
        </w:tc>
        <w:tc>
          <w:tcPr>
            <w:tcW w:w="2649" w:type="dxa"/>
            <w:gridSpan w:val="2"/>
            <w:vAlign w:val="center"/>
          </w:tcPr>
          <w:p w14:paraId="14006FC2">
            <w:pPr>
              <w:adjustRightInd w:val="0"/>
              <w:snapToGrid w:val="0"/>
              <w:jc w:val="center"/>
              <w:rPr>
                <w:rFonts w:ascii="宋体" w:hAnsi="宋体" w:cs="宋体"/>
                <w:color w:val="auto"/>
                <w:sz w:val="24"/>
                <w:szCs w:val="24"/>
                <w:highlight w:val="none"/>
              </w:rPr>
            </w:pPr>
          </w:p>
        </w:tc>
        <w:tc>
          <w:tcPr>
            <w:tcW w:w="1618" w:type="dxa"/>
            <w:vAlign w:val="center"/>
          </w:tcPr>
          <w:p w14:paraId="2AA213C4">
            <w:pPr>
              <w:adjustRightInd w:val="0"/>
              <w:snapToGrid w:val="0"/>
              <w:jc w:val="center"/>
              <w:rPr>
                <w:rFonts w:ascii="宋体" w:hAnsi="宋体" w:cs="宋体"/>
                <w:color w:val="auto"/>
                <w:sz w:val="24"/>
                <w:szCs w:val="24"/>
                <w:highlight w:val="none"/>
              </w:rPr>
            </w:pPr>
          </w:p>
        </w:tc>
      </w:tr>
      <w:tr w14:paraId="5132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2" w:type="dxa"/>
            <w:vAlign w:val="center"/>
          </w:tcPr>
          <w:p w14:paraId="3C5FC50B">
            <w:pPr>
              <w:adjustRightInd w:val="0"/>
              <w:snapToGrid w:val="0"/>
              <w:jc w:val="center"/>
              <w:rPr>
                <w:rFonts w:ascii="宋体" w:hAnsi="宋体" w:cs="宋体"/>
                <w:color w:val="auto"/>
                <w:sz w:val="24"/>
                <w:szCs w:val="24"/>
                <w:highlight w:val="none"/>
              </w:rPr>
            </w:pPr>
          </w:p>
        </w:tc>
        <w:tc>
          <w:tcPr>
            <w:tcW w:w="2678" w:type="dxa"/>
            <w:gridSpan w:val="2"/>
            <w:vAlign w:val="center"/>
          </w:tcPr>
          <w:p w14:paraId="45503B3E">
            <w:pPr>
              <w:adjustRightInd w:val="0"/>
              <w:snapToGrid w:val="0"/>
              <w:jc w:val="center"/>
              <w:rPr>
                <w:rFonts w:ascii="宋体" w:hAnsi="宋体" w:cs="宋体"/>
                <w:color w:val="auto"/>
                <w:sz w:val="24"/>
                <w:szCs w:val="24"/>
                <w:highlight w:val="none"/>
              </w:rPr>
            </w:pPr>
          </w:p>
        </w:tc>
        <w:tc>
          <w:tcPr>
            <w:tcW w:w="2649" w:type="dxa"/>
            <w:gridSpan w:val="2"/>
            <w:vAlign w:val="center"/>
          </w:tcPr>
          <w:p w14:paraId="47867A2B">
            <w:pPr>
              <w:adjustRightInd w:val="0"/>
              <w:snapToGrid w:val="0"/>
              <w:jc w:val="center"/>
              <w:rPr>
                <w:rFonts w:ascii="宋体" w:hAnsi="宋体" w:cs="宋体"/>
                <w:color w:val="auto"/>
                <w:sz w:val="24"/>
                <w:szCs w:val="24"/>
                <w:highlight w:val="none"/>
              </w:rPr>
            </w:pPr>
          </w:p>
        </w:tc>
        <w:tc>
          <w:tcPr>
            <w:tcW w:w="1618" w:type="dxa"/>
            <w:vAlign w:val="center"/>
          </w:tcPr>
          <w:p w14:paraId="23A025E3">
            <w:pPr>
              <w:adjustRightInd w:val="0"/>
              <w:snapToGrid w:val="0"/>
              <w:jc w:val="center"/>
              <w:rPr>
                <w:rFonts w:ascii="宋体" w:hAnsi="宋体" w:cs="宋体"/>
                <w:color w:val="auto"/>
                <w:sz w:val="24"/>
                <w:szCs w:val="24"/>
                <w:highlight w:val="none"/>
              </w:rPr>
            </w:pPr>
          </w:p>
        </w:tc>
      </w:tr>
    </w:tbl>
    <w:p w14:paraId="28CCC1B2">
      <w:pPr>
        <w:spacing w:line="360" w:lineRule="auto"/>
        <w:rPr>
          <w:rFonts w:ascii="宋体" w:hAnsi="宋体" w:cs="宋体"/>
          <w:color w:val="auto"/>
          <w:sz w:val="24"/>
          <w:szCs w:val="24"/>
          <w:highlight w:val="none"/>
        </w:rPr>
      </w:pPr>
    </w:p>
    <w:p w14:paraId="013B6965">
      <w:pPr>
        <w:rPr>
          <w:rFonts w:ascii="宋体" w:hAnsi="宋体" w:cs="宋体"/>
          <w:color w:val="auto"/>
          <w:sz w:val="24"/>
          <w:szCs w:val="24"/>
          <w:highlight w:val="none"/>
        </w:rPr>
        <w:sectPr>
          <w:pgSz w:w="11906" w:h="16838"/>
          <w:pgMar w:top="1440" w:right="1800" w:bottom="1440" w:left="1800" w:header="1191" w:footer="1134" w:gutter="0"/>
          <w:cols w:space="720" w:num="1"/>
          <w:docGrid w:type="lines" w:linePitch="312" w:charSpace="0"/>
        </w:sectPr>
      </w:pPr>
      <w:r>
        <w:rPr>
          <w:rFonts w:hint="eastAsia" w:ascii="宋体" w:hAnsi="宋体" w:cs="宋体"/>
          <w:color w:val="auto"/>
          <w:sz w:val="24"/>
          <w:szCs w:val="24"/>
          <w:highlight w:val="none"/>
        </w:rPr>
        <w:br w:type="page"/>
      </w:r>
    </w:p>
    <w:p w14:paraId="02EED3A3">
      <w:pPr>
        <w:pStyle w:val="4"/>
        <w:jc w:val="center"/>
        <w:rPr>
          <w:color w:val="auto"/>
          <w:highlight w:val="none"/>
        </w:rPr>
      </w:pPr>
      <w:r>
        <w:rPr>
          <w:rFonts w:hint="eastAsia"/>
          <w:color w:val="auto"/>
          <w:highlight w:val="none"/>
        </w:rPr>
        <w:t>（二）项目经理证书证件</w:t>
      </w:r>
    </w:p>
    <w:p w14:paraId="4AAC651B">
      <w:pPr>
        <w:rPr>
          <w:rFonts w:ascii="宋体" w:hAnsi="宋体" w:cs="宋体"/>
          <w:color w:val="auto"/>
          <w:sz w:val="24"/>
          <w:szCs w:val="24"/>
          <w:highlight w:val="none"/>
        </w:rPr>
        <w:sectPr>
          <w:pgSz w:w="11906" w:h="16838"/>
          <w:pgMar w:top="1440" w:right="1800" w:bottom="1440" w:left="1800" w:header="1191" w:footer="1134" w:gutter="0"/>
          <w:cols w:space="720" w:num="1"/>
          <w:docGrid w:type="lines" w:linePitch="312" w:charSpace="0"/>
        </w:sectPr>
      </w:pPr>
    </w:p>
    <w:p w14:paraId="0E0276B7">
      <w:pPr>
        <w:pStyle w:val="4"/>
        <w:jc w:val="center"/>
        <w:rPr>
          <w:color w:val="auto"/>
          <w:highlight w:val="none"/>
        </w:rPr>
      </w:pPr>
      <w:bookmarkStart w:id="557" w:name="_Toc20183"/>
      <w:bookmarkStart w:id="558" w:name="_Toc1783"/>
      <w:r>
        <w:rPr>
          <w:rFonts w:hint="eastAsia"/>
          <w:color w:val="auto"/>
          <w:highlight w:val="none"/>
        </w:rPr>
        <w:t>（三）拟派项目经理无在建的承诺函</w:t>
      </w:r>
      <w:bookmarkEnd w:id="557"/>
      <w:bookmarkEnd w:id="558"/>
    </w:p>
    <w:p w14:paraId="60DD68F3">
      <w:pPr>
        <w:wordWrap w:val="0"/>
        <w:spacing w:line="360" w:lineRule="auto"/>
        <w:rPr>
          <w:rFonts w:ascii="宋体" w:hAnsi="宋体" w:cs="宋体"/>
          <w:color w:val="auto"/>
          <w:sz w:val="24"/>
          <w:szCs w:val="24"/>
          <w:highlight w:val="none"/>
        </w:rPr>
      </w:pPr>
    </w:p>
    <w:p w14:paraId="3F959403">
      <w:pPr>
        <w:wordWrap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（采购人名称）     </w:t>
      </w:r>
      <w:r>
        <w:rPr>
          <w:rFonts w:hint="eastAsia" w:ascii="宋体" w:hAnsi="宋体" w:cs="宋体"/>
          <w:color w:val="auto"/>
          <w:sz w:val="24"/>
          <w:szCs w:val="24"/>
          <w:highlight w:val="none"/>
        </w:rPr>
        <w:t>：</w:t>
      </w:r>
    </w:p>
    <w:p w14:paraId="386FD7CC">
      <w:pPr>
        <w:wordWrap w:val="0"/>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我方在此郑重承诺，我方拟派往</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的项目经理</w:t>
      </w:r>
      <w:r>
        <w:rPr>
          <w:rFonts w:hint="eastAsia" w:ascii="宋体" w:hAnsi="宋体" w:cs="宋体"/>
          <w:color w:val="auto"/>
          <w:sz w:val="24"/>
          <w:szCs w:val="24"/>
          <w:highlight w:val="none"/>
          <w:u w:val="single"/>
        </w:rPr>
        <w:t xml:space="preserve">      （拟派项目经理姓名）    </w:t>
      </w:r>
      <w:r>
        <w:rPr>
          <w:rFonts w:hint="eastAsia" w:ascii="宋体" w:hAnsi="宋体" w:cs="宋体"/>
          <w:color w:val="auto"/>
          <w:sz w:val="24"/>
          <w:szCs w:val="24"/>
          <w:highlight w:val="none"/>
        </w:rPr>
        <w:t>现阶段没有担任任何在施建设工程项目的项目经理。</w:t>
      </w:r>
    </w:p>
    <w:p w14:paraId="0039C4F0">
      <w:pPr>
        <w:wordWrap w:val="0"/>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我方保证本次磋商所有内容和资料均真实、有效、准确，并愿意承担因我方就此弄虚作假所引起的一切法律后果。</w:t>
      </w:r>
    </w:p>
    <w:p w14:paraId="33F9D21F">
      <w:pPr>
        <w:wordWrap w:val="0"/>
        <w:spacing w:line="480" w:lineRule="auto"/>
        <w:rPr>
          <w:rFonts w:ascii="宋体" w:hAnsi="宋体" w:cs="宋体"/>
          <w:color w:val="auto"/>
          <w:sz w:val="24"/>
          <w:szCs w:val="24"/>
          <w:highlight w:val="none"/>
        </w:rPr>
      </w:pPr>
    </w:p>
    <w:p w14:paraId="716BE5F6">
      <w:pPr>
        <w:wordWrap w:val="0"/>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6DBF310A">
      <w:pPr>
        <w:adjustRightInd w:val="0"/>
        <w:snapToGrid w:val="0"/>
        <w:spacing w:line="480" w:lineRule="auto"/>
        <w:ind w:right="480"/>
        <w:jc w:val="right"/>
        <w:rPr>
          <w:rFonts w:ascii="宋体" w:hAnsi="宋体" w:cs="宋体"/>
          <w:color w:val="auto"/>
          <w:sz w:val="24"/>
          <w:szCs w:val="24"/>
          <w:highlight w:val="none"/>
        </w:rPr>
      </w:pPr>
    </w:p>
    <w:p w14:paraId="52E8F07C">
      <w:pPr>
        <w:adjustRightInd w:val="0"/>
        <w:snapToGrid w:val="0"/>
        <w:spacing w:line="480" w:lineRule="auto"/>
        <w:ind w:right="480"/>
        <w:jc w:val="right"/>
        <w:rPr>
          <w:rFonts w:ascii="宋体" w:hAnsi="宋体" w:cs="宋体"/>
          <w:color w:val="auto"/>
          <w:sz w:val="24"/>
          <w:szCs w:val="24"/>
          <w:highlight w:val="none"/>
        </w:rPr>
      </w:pPr>
    </w:p>
    <w:p w14:paraId="08EB529A">
      <w:pPr>
        <w:adjustRightInd w:val="0"/>
        <w:snapToGrid w:val="0"/>
        <w:spacing w:line="480"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31CD1478">
      <w:pPr>
        <w:adjustRightInd w:val="0"/>
        <w:snapToGrid w:val="0"/>
        <w:spacing w:line="480"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3CC2155">
      <w:pPr>
        <w:adjustRightInd w:val="0"/>
        <w:snapToGrid w:val="0"/>
        <w:spacing w:line="480" w:lineRule="auto"/>
        <w:ind w:right="420"/>
        <w:jc w:val="right"/>
        <w:rPr>
          <w:rFonts w:ascii="宋体" w:hAnsi="宋体" w:cs="宋体"/>
          <w:color w:val="auto"/>
          <w:sz w:val="24"/>
          <w:szCs w:val="24"/>
          <w:highlight w:val="none"/>
        </w:rPr>
        <w:sectPr>
          <w:pgSz w:w="11906" w:h="16838"/>
          <w:pgMar w:top="1440" w:right="1800" w:bottom="1440" w:left="1800" w:header="1191" w:footer="1134" w:gutter="0"/>
          <w:cols w:space="720" w:num="1"/>
          <w:docGrid w:type="lines" w:linePitch="312" w:charSpace="0"/>
        </w:sect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33409B1">
      <w:pPr>
        <w:pStyle w:val="4"/>
        <w:spacing w:line="480" w:lineRule="auto"/>
        <w:jc w:val="center"/>
        <w:rPr>
          <w:color w:val="auto"/>
          <w:highlight w:val="none"/>
        </w:rPr>
        <w:sectPr>
          <w:pgSz w:w="11906" w:h="16838"/>
          <w:pgMar w:top="1440" w:right="1800" w:bottom="1440" w:left="1800" w:header="1191" w:footer="1134" w:gutter="0"/>
          <w:cols w:space="720" w:num="1"/>
          <w:docGrid w:type="lines" w:linePitch="312" w:charSpace="0"/>
        </w:sectPr>
      </w:pPr>
      <w:r>
        <w:rPr>
          <w:rFonts w:hint="eastAsia"/>
          <w:color w:val="auto"/>
          <w:highlight w:val="none"/>
        </w:rPr>
        <w:t>（四）项目经理在“陕西省住房和城乡建设厅”官方网站查询截图</w:t>
      </w:r>
    </w:p>
    <w:p w14:paraId="0B1648E2">
      <w:pPr>
        <w:pStyle w:val="3"/>
        <w:rPr>
          <w:color w:val="auto"/>
          <w:highlight w:val="none"/>
        </w:rPr>
      </w:pPr>
      <w:bookmarkStart w:id="559" w:name="_Toc23053"/>
      <w:bookmarkStart w:id="560" w:name="_Toc9437"/>
      <w:bookmarkStart w:id="561" w:name="_Toc2677"/>
      <w:bookmarkStart w:id="562" w:name="_Toc4926"/>
      <w:bookmarkStart w:id="563" w:name="_Toc23276"/>
      <w:bookmarkStart w:id="564" w:name="_Toc32738"/>
      <w:bookmarkStart w:id="565" w:name="_Toc3277"/>
      <w:bookmarkStart w:id="566" w:name="_Toc24659"/>
      <w:bookmarkStart w:id="567" w:name="_Toc14913"/>
      <w:bookmarkStart w:id="568" w:name="_Toc32442"/>
      <w:r>
        <w:rPr>
          <w:rFonts w:hint="eastAsia"/>
          <w:color w:val="auto"/>
          <w:highlight w:val="none"/>
        </w:rPr>
        <w:t>六、供应商关联关系说明</w:t>
      </w:r>
      <w:bookmarkEnd w:id="559"/>
    </w:p>
    <w:p w14:paraId="3F7A7485">
      <w:pPr>
        <w:rPr>
          <w:color w:val="auto"/>
          <w:highlight w:val="none"/>
        </w:rPr>
      </w:pPr>
    </w:p>
    <w:p w14:paraId="6F4008A1">
      <w:pPr>
        <w:wordWrap w:val="0"/>
        <w:spacing w:line="360" w:lineRule="auto"/>
        <w:jc w:val="center"/>
        <w:rPr>
          <w:rFonts w:ascii="宋体" w:hAnsi="宋体" w:cs="宋体"/>
          <w:b/>
          <w:bCs/>
          <w:color w:val="auto"/>
          <w:sz w:val="28"/>
          <w:szCs w:val="28"/>
          <w:highlight w:val="none"/>
        </w:rPr>
      </w:pPr>
      <w:bookmarkStart w:id="569" w:name="_Toc29883"/>
      <w:bookmarkStart w:id="570" w:name="_Toc4565"/>
      <w:bookmarkStart w:id="571" w:name="_Toc27466"/>
      <w:bookmarkStart w:id="572" w:name="_Toc11461"/>
      <w:bookmarkStart w:id="573" w:name="_Toc15482"/>
      <w:bookmarkStart w:id="574" w:name="_Toc27877"/>
      <w:bookmarkStart w:id="575" w:name="_Toc32566"/>
      <w:bookmarkStart w:id="576" w:name="_Toc2091"/>
      <w:bookmarkStart w:id="577" w:name="_Toc26634"/>
      <w:bookmarkStart w:id="578" w:name="_Toc12664"/>
      <w:bookmarkStart w:id="579" w:name="_Toc324947082"/>
      <w:r>
        <w:rPr>
          <w:rFonts w:hint="eastAsia" w:ascii="宋体" w:hAnsi="宋体" w:cs="宋体"/>
          <w:b/>
          <w:bCs/>
          <w:color w:val="auto"/>
          <w:sz w:val="28"/>
          <w:szCs w:val="28"/>
          <w:highlight w:val="none"/>
        </w:rPr>
        <w:t>供应商关联关系说明</w:t>
      </w:r>
    </w:p>
    <w:p w14:paraId="53704EE7">
      <w:pPr>
        <w:rPr>
          <w:color w:val="auto"/>
          <w:sz w:val="28"/>
          <w:szCs w:val="24"/>
          <w:highlight w:val="none"/>
        </w:rPr>
      </w:pPr>
    </w:p>
    <w:bookmarkEnd w:id="569"/>
    <w:bookmarkEnd w:id="570"/>
    <w:bookmarkEnd w:id="571"/>
    <w:bookmarkEnd w:id="572"/>
    <w:bookmarkEnd w:id="573"/>
    <w:bookmarkEnd w:id="574"/>
    <w:bookmarkEnd w:id="575"/>
    <w:bookmarkEnd w:id="576"/>
    <w:bookmarkEnd w:id="577"/>
    <w:bookmarkEnd w:id="578"/>
    <w:bookmarkEnd w:id="579"/>
    <w:p w14:paraId="6E2D055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我单位承诺：未隐瞒相关关联关系或法律法规禁止的情形。</w:t>
      </w:r>
    </w:p>
    <w:p w14:paraId="3FD8A63B">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1.供应商单位负责人在其他单位任职情况：</w:t>
      </w:r>
      <w:r>
        <w:rPr>
          <w:rFonts w:hint="eastAsia" w:ascii="宋体" w:hAnsi="宋体" w:cs="宋体"/>
          <w:color w:val="auto"/>
          <w:sz w:val="24"/>
          <w:szCs w:val="24"/>
          <w:highlight w:val="none"/>
          <w:u w:val="single"/>
        </w:rPr>
        <w:t xml:space="preserve">            </w:t>
      </w:r>
    </w:p>
    <w:p w14:paraId="6A229014">
      <w:pPr>
        <w:wordWrap w:val="0"/>
        <w:spacing w:line="360" w:lineRule="auto"/>
        <w:rPr>
          <w:rFonts w:ascii="宋体" w:hAnsi="宋体" w:cs="宋体"/>
          <w:color w:val="auto"/>
          <w:sz w:val="24"/>
          <w:szCs w:val="24"/>
          <w:highlight w:val="none"/>
        </w:rPr>
      </w:pPr>
    </w:p>
    <w:p w14:paraId="2862430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2.供应商控股关系说明</w:t>
      </w:r>
    </w:p>
    <w:p w14:paraId="1A47B91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（1）供应商控股谁：</w:t>
      </w:r>
      <w:r>
        <w:rPr>
          <w:rFonts w:hint="eastAsia" w:ascii="宋体" w:hAnsi="宋体" w:cs="宋体"/>
          <w:color w:val="auto"/>
          <w:sz w:val="24"/>
          <w:szCs w:val="24"/>
          <w:highlight w:val="none"/>
          <w:u w:val="single"/>
        </w:rPr>
        <w:t xml:space="preserve">                   </w:t>
      </w:r>
    </w:p>
    <w:p w14:paraId="02BF8B5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（2）供应商被谁控股：</w:t>
      </w:r>
      <w:r>
        <w:rPr>
          <w:rFonts w:hint="eastAsia" w:ascii="宋体" w:hAnsi="宋体" w:cs="宋体"/>
          <w:color w:val="auto"/>
          <w:sz w:val="24"/>
          <w:szCs w:val="24"/>
          <w:highlight w:val="none"/>
          <w:u w:val="single"/>
        </w:rPr>
        <w:t xml:space="preserve">                 </w:t>
      </w:r>
    </w:p>
    <w:p w14:paraId="74C413DE">
      <w:pPr>
        <w:wordWrap w:val="0"/>
        <w:spacing w:line="360" w:lineRule="auto"/>
        <w:ind w:firstLine="480" w:firstLineChars="200"/>
        <w:rPr>
          <w:rFonts w:ascii="宋体" w:hAnsi="宋体" w:cs="宋体"/>
          <w:color w:val="auto"/>
          <w:sz w:val="24"/>
          <w:szCs w:val="24"/>
          <w:highlight w:val="none"/>
        </w:rPr>
      </w:pPr>
    </w:p>
    <w:p w14:paraId="2F4E926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3.供应商管理关系说明</w:t>
      </w:r>
    </w:p>
    <w:p w14:paraId="383262D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（1）供应商管理谁：</w:t>
      </w:r>
      <w:r>
        <w:rPr>
          <w:rFonts w:hint="eastAsia" w:ascii="宋体" w:hAnsi="宋体" w:cs="宋体"/>
          <w:color w:val="auto"/>
          <w:sz w:val="24"/>
          <w:szCs w:val="24"/>
          <w:highlight w:val="none"/>
          <w:u w:val="single"/>
        </w:rPr>
        <w:t xml:space="preserve">                   </w:t>
      </w:r>
    </w:p>
    <w:p w14:paraId="0573849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管理职责（行政、人事等）：</w:t>
      </w:r>
      <w:r>
        <w:rPr>
          <w:rFonts w:hint="eastAsia" w:ascii="宋体" w:hAnsi="宋体" w:cs="宋体"/>
          <w:color w:val="auto"/>
          <w:sz w:val="24"/>
          <w:szCs w:val="24"/>
          <w:highlight w:val="none"/>
          <w:u w:val="single"/>
        </w:rPr>
        <w:t xml:space="preserve">            </w:t>
      </w:r>
    </w:p>
    <w:p w14:paraId="420B1095">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（2）供应商被谁管理：</w:t>
      </w:r>
      <w:r>
        <w:rPr>
          <w:rFonts w:hint="eastAsia" w:ascii="宋体" w:hAnsi="宋体" w:cs="宋体"/>
          <w:color w:val="auto"/>
          <w:sz w:val="24"/>
          <w:szCs w:val="24"/>
          <w:highlight w:val="none"/>
          <w:u w:val="single"/>
        </w:rPr>
        <w:t xml:space="preserve">                 </w:t>
      </w:r>
    </w:p>
    <w:p w14:paraId="1BE69F1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管理职责（行政、人事等）：</w:t>
      </w:r>
      <w:r>
        <w:rPr>
          <w:rFonts w:hint="eastAsia" w:ascii="宋体" w:hAnsi="宋体" w:cs="宋体"/>
          <w:color w:val="auto"/>
          <w:sz w:val="24"/>
          <w:szCs w:val="24"/>
          <w:highlight w:val="none"/>
          <w:u w:val="single"/>
        </w:rPr>
        <w:t xml:space="preserve">            </w:t>
      </w:r>
    </w:p>
    <w:p w14:paraId="7614B1C0">
      <w:pPr>
        <w:rPr>
          <w:color w:val="auto"/>
          <w:highlight w:val="none"/>
        </w:rPr>
      </w:pPr>
    </w:p>
    <w:p w14:paraId="3920B23F">
      <w:pPr>
        <w:rPr>
          <w:color w:val="auto"/>
          <w:highlight w:val="none"/>
        </w:rPr>
      </w:pPr>
    </w:p>
    <w:p w14:paraId="27DFA68D">
      <w:pPr>
        <w:rPr>
          <w:color w:val="auto"/>
          <w:highlight w:val="none"/>
        </w:rPr>
      </w:pPr>
    </w:p>
    <w:p w14:paraId="7B30D617">
      <w:pPr>
        <w:rPr>
          <w:color w:val="auto"/>
          <w:highlight w:val="none"/>
        </w:rPr>
      </w:pPr>
    </w:p>
    <w:p w14:paraId="630ED70B">
      <w:pPr>
        <w:rPr>
          <w:color w:val="auto"/>
          <w:highlight w:val="none"/>
        </w:rPr>
      </w:pPr>
    </w:p>
    <w:p w14:paraId="7F122299">
      <w:pPr>
        <w:adjustRightInd w:val="0"/>
        <w:snapToGrid w:val="0"/>
        <w:spacing w:line="432"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514F04E9">
      <w:pPr>
        <w:adjustRightInd w:val="0"/>
        <w:snapToGrid w:val="0"/>
        <w:spacing w:line="432"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1275B5DE">
      <w:pPr>
        <w:adjustRightInd w:val="0"/>
        <w:snapToGrid w:val="0"/>
        <w:spacing w:line="432" w:lineRule="auto"/>
        <w:ind w:right="420"/>
        <w:jc w:val="right"/>
        <w:rPr>
          <w:rFonts w:ascii="宋体" w:hAnsi="宋体" w:cs="宋体"/>
          <w:color w:val="auto"/>
          <w:sz w:val="24"/>
          <w:szCs w:val="24"/>
          <w:highlight w:val="none"/>
        </w:rPr>
        <w:sectPr>
          <w:pgSz w:w="11906" w:h="16838"/>
          <w:pgMar w:top="1440" w:right="1800" w:bottom="1440" w:left="1800" w:header="1191" w:footer="1134" w:gutter="0"/>
          <w:cols w:space="720" w:num="1"/>
          <w:docGrid w:type="lines" w:linePitch="312" w:charSpace="0"/>
        </w:sect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CE28A7C">
      <w:pPr>
        <w:pStyle w:val="3"/>
        <w:rPr>
          <w:color w:val="auto"/>
          <w:highlight w:val="none"/>
        </w:rPr>
      </w:pPr>
      <w:bookmarkStart w:id="580" w:name="_Toc7038"/>
      <w:r>
        <w:rPr>
          <w:rFonts w:hint="eastAsia"/>
          <w:color w:val="auto"/>
          <w:highlight w:val="none"/>
        </w:rPr>
        <w:t>七、落实政府采购政策资料</w:t>
      </w:r>
      <w:bookmarkEnd w:id="580"/>
    </w:p>
    <w:bookmarkEnd w:id="560"/>
    <w:bookmarkEnd w:id="561"/>
    <w:bookmarkEnd w:id="562"/>
    <w:bookmarkEnd w:id="563"/>
    <w:bookmarkEnd w:id="564"/>
    <w:bookmarkEnd w:id="565"/>
    <w:bookmarkEnd w:id="566"/>
    <w:bookmarkEnd w:id="567"/>
    <w:bookmarkEnd w:id="568"/>
    <w:p w14:paraId="4379BE09">
      <w:pPr>
        <w:wordWrap w:val="0"/>
        <w:spacing w:line="360" w:lineRule="auto"/>
        <w:rPr>
          <w:rFonts w:ascii="宋体" w:hAnsi="宋体" w:cs="宋体"/>
          <w:b/>
          <w:bCs/>
          <w:color w:val="auto"/>
          <w:sz w:val="24"/>
          <w:szCs w:val="24"/>
          <w:highlight w:val="none"/>
        </w:rPr>
      </w:pPr>
      <w:bookmarkStart w:id="581" w:name="_Toc324521854"/>
      <w:bookmarkStart w:id="582" w:name="_Toc321812058"/>
      <w:bookmarkStart w:id="583" w:name="_Toc510881999"/>
      <w:bookmarkStart w:id="584" w:name="_Toc510882479"/>
      <w:r>
        <w:rPr>
          <w:rFonts w:hint="eastAsia" w:ascii="宋体" w:hAnsi="宋体" w:cs="宋体"/>
          <w:b/>
          <w:bCs/>
          <w:color w:val="auto"/>
          <w:sz w:val="24"/>
          <w:szCs w:val="24"/>
          <w:highlight w:val="none"/>
        </w:rPr>
        <w:t>附件1：符合《中华人民共和国政府采购法》第二十二条的规定的承诺函</w:t>
      </w:r>
    </w:p>
    <w:p w14:paraId="4C2E905A">
      <w:pPr>
        <w:wordWrap w:val="0"/>
        <w:spacing w:line="60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承诺函</w:t>
      </w:r>
    </w:p>
    <w:p w14:paraId="42270CA4">
      <w:pPr>
        <w:wordWrap w:val="0"/>
        <w:adjustRightInd w:val="0"/>
        <w:snapToGrid w:val="0"/>
        <w:spacing w:line="384"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（采购人名称）    </w:t>
      </w:r>
    </w:p>
    <w:p w14:paraId="457B2490">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1.我公司承诺完全符合《中华人民共和国政府采购法》第二十二条的规定：</w:t>
      </w:r>
    </w:p>
    <w:p w14:paraId="72F9C73A">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4B0C7F5A">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5B180D0F">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3B82357A">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04F64E96">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3B76CB5A">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75C1FED1">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2.我公司在人员、设备、资金等方面具备相应施工能力且无不良记录；</w:t>
      </w:r>
    </w:p>
    <w:p w14:paraId="241FC878">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公司未被“信用中国”网站列入“重大税收违法失信主体名单”“安全生产严重失信主体名单（法人）”，未被“中国执行信息公开网”列入“失信被执行人”，未被“中国政府采购网”网站列入“政府采购严重违法失信行为记录名单”，未被“国家企业信用信息公示系统”网站“列入严重违法失信名单（黑名单）信息”；我公司拟派项目经理未被列入“信用中国”网站的“重点领域严重失信主体名单”中的“安全生产严重失信主体名单（自然人）”，未被“中国执行信息公开网”列入失信被执行人；</w:t>
      </w:r>
    </w:p>
    <w:p w14:paraId="5A795B3E">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bCs/>
          <w:color w:val="auto"/>
          <w:sz w:val="24"/>
          <w:highlight w:val="none"/>
          <w:lang w:val="zh-CN"/>
        </w:rPr>
        <w:t>我公司承诺在收到中标通知书前，均不存在上述情形，否则相关不利风险由我公司自行承担。如有隐瞒或未能提供真实信息的，将承担一切不利后果。</w:t>
      </w:r>
    </w:p>
    <w:p w14:paraId="32A39683">
      <w:pPr>
        <w:wordWrap w:val="0"/>
        <w:adjustRightInd w:val="0"/>
        <w:snapToGrid w:val="0"/>
        <w:spacing w:line="38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以上承诺，如有隐瞒或未能提供真实信息的，我公司将承担一切不利后果。</w:t>
      </w:r>
    </w:p>
    <w:p w14:paraId="440EB54A">
      <w:pPr>
        <w:rPr>
          <w:rFonts w:ascii="宋体" w:hAnsi="宋体" w:cs="宋体"/>
          <w:color w:val="auto"/>
          <w:highlight w:val="none"/>
        </w:rPr>
      </w:pPr>
    </w:p>
    <w:p w14:paraId="4540BF44">
      <w:pPr>
        <w:rPr>
          <w:rFonts w:ascii="宋体" w:hAnsi="宋体" w:cs="宋体"/>
          <w:color w:val="auto"/>
          <w:highlight w:val="none"/>
        </w:rPr>
      </w:pPr>
    </w:p>
    <w:p w14:paraId="253D6E2F">
      <w:pPr>
        <w:adjustRightInd w:val="0"/>
        <w:snapToGrid w:val="0"/>
        <w:spacing w:line="432"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01CF77A8">
      <w:pPr>
        <w:adjustRightInd w:val="0"/>
        <w:snapToGrid w:val="0"/>
        <w:spacing w:line="432"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172E902C">
      <w:pPr>
        <w:adjustRightInd w:val="0"/>
        <w:snapToGrid w:val="0"/>
        <w:spacing w:line="432" w:lineRule="auto"/>
        <w:ind w:right="420"/>
        <w:jc w:val="right"/>
        <w:rPr>
          <w:rFonts w:ascii="宋体" w:hAnsi="宋体" w:cs="宋体"/>
          <w:color w:val="auto"/>
          <w:sz w:val="24"/>
          <w:szCs w:val="24"/>
          <w:highlight w:val="none"/>
        </w:rPr>
        <w:sectPr>
          <w:pgSz w:w="11906" w:h="16838"/>
          <w:pgMar w:top="1440" w:right="1800" w:bottom="1440" w:left="1800" w:header="1191" w:footer="1134" w:gutter="0"/>
          <w:cols w:space="720" w:num="1"/>
          <w:docGrid w:type="lines" w:linePitch="312" w:charSpace="0"/>
        </w:sect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bookmarkEnd w:id="581"/>
    <w:bookmarkEnd w:id="582"/>
    <w:bookmarkEnd w:id="583"/>
    <w:bookmarkEnd w:id="584"/>
    <w:p w14:paraId="054A6451">
      <w:pPr>
        <w:wordWrap w:val="0"/>
        <w:spacing w:line="360" w:lineRule="auto"/>
        <w:rPr>
          <w:rFonts w:ascii="宋体" w:hAnsi="宋体" w:cs="宋体"/>
          <w:b/>
          <w:bCs/>
          <w:color w:val="auto"/>
          <w:sz w:val="24"/>
          <w:szCs w:val="24"/>
          <w:highlight w:val="none"/>
        </w:rPr>
      </w:pPr>
      <w:bookmarkStart w:id="585" w:name="_Toc29870"/>
      <w:bookmarkStart w:id="586" w:name="_Toc32139"/>
      <w:bookmarkStart w:id="587" w:name="_Toc321812060"/>
      <w:bookmarkStart w:id="588" w:name="_Toc324521856"/>
      <w:r>
        <w:rPr>
          <w:rFonts w:hint="eastAsia" w:ascii="宋体" w:hAnsi="宋体" w:cs="宋体"/>
          <w:b/>
          <w:bCs/>
          <w:color w:val="auto"/>
          <w:sz w:val="24"/>
          <w:szCs w:val="24"/>
          <w:highlight w:val="none"/>
        </w:rPr>
        <w:t>附件2：</w:t>
      </w:r>
      <w:bookmarkStart w:id="589" w:name="_Toc23026"/>
      <w:bookmarkStart w:id="590" w:name="_Toc6887"/>
      <w:bookmarkStart w:id="591" w:name="_Toc13893"/>
      <w:bookmarkStart w:id="592" w:name="_Toc7906"/>
      <w:bookmarkStart w:id="593" w:name="_Toc8285"/>
      <w:bookmarkStart w:id="594" w:name="_Toc4454"/>
      <w:bookmarkStart w:id="595" w:name="_Toc24344"/>
      <w:bookmarkStart w:id="596" w:name="_Toc20144"/>
      <w:bookmarkStart w:id="597" w:name="_Toc19346"/>
      <w:r>
        <w:rPr>
          <w:rFonts w:hint="eastAsia" w:ascii="宋体" w:hAnsi="宋体" w:cs="宋体"/>
          <w:b/>
          <w:bCs/>
          <w:color w:val="auto"/>
          <w:sz w:val="24"/>
          <w:szCs w:val="24"/>
          <w:highlight w:val="none"/>
        </w:rPr>
        <w:t>中小企业声明函</w:t>
      </w:r>
      <w:bookmarkEnd w:id="585"/>
      <w:bookmarkEnd w:id="589"/>
      <w:bookmarkEnd w:id="590"/>
      <w:bookmarkEnd w:id="591"/>
      <w:bookmarkEnd w:id="592"/>
      <w:bookmarkEnd w:id="593"/>
      <w:bookmarkEnd w:id="594"/>
      <w:bookmarkEnd w:id="595"/>
      <w:bookmarkEnd w:id="596"/>
      <w:bookmarkEnd w:id="597"/>
      <w:r>
        <w:rPr>
          <w:rFonts w:hint="eastAsia" w:ascii="宋体" w:hAnsi="宋体" w:cs="宋体"/>
          <w:b/>
          <w:bCs/>
          <w:color w:val="auto"/>
          <w:sz w:val="24"/>
          <w:szCs w:val="24"/>
          <w:highlight w:val="none"/>
        </w:rPr>
        <w:t xml:space="preserve"> </w:t>
      </w:r>
    </w:p>
    <w:p w14:paraId="313AB4B5">
      <w:pPr>
        <w:rPr>
          <w:color w:val="auto"/>
          <w:sz w:val="20"/>
          <w:szCs w:val="18"/>
          <w:highlight w:val="none"/>
        </w:rPr>
      </w:pPr>
    </w:p>
    <w:p w14:paraId="69B54973">
      <w:pPr>
        <w:wordWrap w:val="0"/>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中小企业声明函</w:t>
      </w:r>
    </w:p>
    <w:p w14:paraId="7549C82E">
      <w:pPr>
        <w:rPr>
          <w:color w:val="auto"/>
          <w:highlight w:val="none"/>
        </w:rPr>
      </w:pPr>
    </w:p>
    <w:p w14:paraId="3D38714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 xml:space="preserve">       （单位名称）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AEB720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（竞争性磋商文件中明确的所属行业）</w:t>
      </w:r>
      <w:r>
        <w:rPr>
          <w:rFonts w:hint="eastAsia" w:ascii="宋体" w:hAnsi="宋体" w:cs="宋体"/>
          <w:color w:val="auto"/>
          <w:sz w:val="24"/>
          <w:szCs w:val="24"/>
          <w:highlight w:val="none"/>
        </w:rPr>
        <w:t>；承建（承接）企业为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33A2404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（竞争性磋商文件中明确的所属行业）</w:t>
      </w:r>
      <w:r>
        <w:rPr>
          <w:rFonts w:hint="eastAsia" w:ascii="宋体" w:hAnsi="宋体" w:cs="宋体"/>
          <w:color w:val="auto"/>
          <w:sz w:val="24"/>
          <w:szCs w:val="24"/>
          <w:highlight w:val="none"/>
        </w:rPr>
        <w:t>；承建（承接）企业为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1F5C758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p>
    <w:p w14:paraId="4B0FFFC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6473853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6CFB86C6">
      <w:pPr>
        <w:wordWrap w:val="0"/>
        <w:spacing w:line="360" w:lineRule="auto"/>
        <w:rPr>
          <w:rFonts w:ascii="宋体" w:hAnsi="宋体" w:cs="宋体"/>
          <w:color w:val="auto"/>
          <w:sz w:val="24"/>
          <w:szCs w:val="24"/>
          <w:highlight w:val="none"/>
        </w:rPr>
      </w:pPr>
    </w:p>
    <w:p w14:paraId="22B63EC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企业名称（盖章）：</w:t>
      </w:r>
      <w:r>
        <w:rPr>
          <w:rFonts w:hint="eastAsia" w:ascii="宋体" w:hAnsi="宋体" w:cs="宋体"/>
          <w:color w:val="auto"/>
          <w:sz w:val="24"/>
          <w:szCs w:val="24"/>
          <w:highlight w:val="none"/>
          <w:u w:val="single"/>
        </w:rPr>
        <w:t xml:space="preserve">                    </w:t>
      </w:r>
    </w:p>
    <w:p w14:paraId="7DB4909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7631141F">
      <w:pPr>
        <w:wordWrap w:val="0"/>
        <w:spacing w:line="360" w:lineRule="auto"/>
        <w:rPr>
          <w:rFonts w:ascii="宋体" w:hAnsi="宋体" w:cs="宋体"/>
          <w:color w:val="auto"/>
          <w:sz w:val="24"/>
          <w:szCs w:val="24"/>
          <w:highlight w:val="none"/>
        </w:rPr>
      </w:pPr>
    </w:p>
    <w:p w14:paraId="1526F043">
      <w:pPr>
        <w:wordWrap w:val="0"/>
        <w:spacing w:line="360" w:lineRule="auto"/>
        <w:ind w:firstLine="482" w:firstLineChars="200"/>
        <w:rPr>
          <w:rFonts w:ascii="宋体" w:hAnsi="宋体" w:cs="宋体"/>
          <w:color w:val="auto"/>
          <w:highlight w:val="none"/>
        </w:rPr>
      </w:pPr>
      <w:r>
        <w:rPr>
          <w:rFonts w:hint="eastAsia" w:ascii="宋体" w:hAnsi="宋体" w:cs="宋体"/>
          <w:b/>
          <w:bCs/>
          <w:color w:val="auto"/>
          <w:sz w:val="24"/>
          <w:szCs w:val="24"/>
          <w:highlight w:val="none"/>
        </w:rPr>
        <w:t>注：</w:t>
      </w:r>
      <w:r>
        <w:rPr>
          <w:rFonts w:hint="eastAsia" w:ascii="宋体" w:hAnsi="宋体" w:cs="宋体"/>
          <w:color w:val="auto"/>
          <w:sz w:val="24"/>
          <w:szCs w:val="24"/>
          <w:highlight w:val="none"/>
        </w:rPr>
        <w:t>1从业人员、营业收入、资产总额填报上一年度数据，无上一年度数据的新成立企业可不填报。</w:t>
      </w:r>
    </w:p>
    <w:p w14:paraId="6E0D84B9">
      <w:pPr>
        <w:wordWrap w:val="0"/>
        <w:spacing w:line="360" w:lineRule="auto"/>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4"/>
          <w:szCs w:val="22"/>
          <w:highlight w:val="none"/>
        </w:rPr>
        <w:t>附件3：《监狱企业声明函》（如有可提供）</w:t>
      </w:r>
    </w:p>
    <w:p w14:paraId="2CF3F82B">
      <w:pPr>
        <w:wordWrap w:val="0"/>
        <w:spacing w:line="360" w:lineRule="auto"/>
        <w:rPr>
          <w:rFonts w:ascii="宋体" w:hAnsi="宋体" w:cs="宋体"/>
          <w:color w:val="auto"/>
          <w:sz w:val="24"/>
          <w:szCs w:val="24"/>
          <w:highlight w:val="none"/>
        </w:rPr>
      </w:pPr>
    </w:p>
    <w:p w14:paraId="7EE6EB4D">
      <w:pPr>
        <w:wordWrap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《监狱企业声明函》</w:t>
      </w:r>
    </w:p>
    <w:p w14:paraId="27340C1E">
      <w:pPr>
        <w:wordWrap w:val="0"/>
        <w:spacing w:line="360" w:lineRule="auto"/>
        <w:rPr>
          <w:rFonts w:ascii="宋体" w:hAnsi="宋体" w:cs="宋体"/>
          <w:color w:val="auto"/>
          <w:sz w:val="24"/>
          <w:szCs w:val="24"/>
          <w:highlight w:val="none"/>
        </w:rPr>
      </w:pPr>
    </w:p>
    <w:p w14:paraId="3A84EB3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本公司郑重声明，根据《财政部司法部关于政府采购支持监狱企业发展有关问题的通知》（财库〔2014〕68号）的规定，本公司为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（请填写：监狱）企业。</w:t>
      </w:r>
    </w:p>
    <w:p w14:paraId="1A720D4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本单位为符合条件的监狱企业，且本单位参加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项目采购活动由本单位承担工程（提供本单位制造的货物/提供服务）。</w:t>
      </w:r>
    </w:p>
    <w:p w14:paraId="693F6FBE">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本公司对上述声明的真实性负责，若有虚假，将依法承担相应责任。</w:t>
      </w:r>
    </w:p>
    <w:p w14:paraId="6FDB52F6">
      <w:pPr>
        <w:rPr>
          <w:color w:val="auto"/>
          <w:highlight w:val="none"/>
        </w:rPr>
      </w:pPr>
    </w:p>
    <w:p w14:paraId="60426442">
      <w:pPr>
        <w:rPr>
          <w:color w:val="auto"/>
          <w:highlight w:val="none"/>
        </w:rPr>
      </w:pPr>
    </w:p>
    <w:p w14:paraId="4095DA02">
      <w:pPr>
        <w:wordWrap w:val="0"/>
        <w:spacing w:line="360" w:lineRule="auto"/>
        <w:ind w:firstLine="2400" w:firstLineChars="1000"/>
        <w:rPr>
          <w:rFonts w:ascii="宋体" w:hAnsi="宋体" w:cs="宋体"/>
          <w:color w:val="auto"/>
          <w:sz w:val="24"/>
          <w:szCs w:val="24"/>
          <w:highlight w:val="none"/>
        </w:rPr>
      </w:pPr>
      <w:r>
        <w:rPr>
          <w:rFonts w:hint="eastAsia" w:ascii="宋体" w:hAnsi="宋体" w:cs="宋体"/>
          <w:color w:val="auto"/>
          <w:sz w:val="24"/>
          <w:szCs w:val="24"/>
          <w:highlight w:val="none"/>
        </w:rPr>
        <w:t>供应商：           （盖章）</w:t>
      </w:r>
    </w:p>
    <w:p w14:paraId="14C5D459">
      <w:pPr>
        <w:wordWrap w:val="0"/>
        <w:spacing w:line="360" w:lineRule="auto"/>
        <w:ind w:firstLine="2400" w:firstLineChars="1000"/>
        <w:rPr>
          <w:rFonts w:ascii="宋体" w:hAnsi="宋体" w:cs="宋体"/>
          <w:color w:val="auto"/>
          <w:sz w:val="24"/>
          <w:szCs w:val="24"/>
          <w:highlight w:val="none"/>
        </w:rPr>
      </w:pPr>
      <w:r>
        <w:rPr>
          <w:rFonts w:hint="eastAsia" w:ascii="宋体" w:hAnsi="宋体" w:cs="宋体"/>
          <w:color w:val="auto"/>
          <w:sz w:val="24"/>
          <w:szCs w:val="24"/>
          <w:highlight w:val="none"/>
        </w:rPr>
        <w:t>法定代表人或其法人授权委托人：     （签字或盖章）</w:t>
      </w:r>
    </w:p>
    <w:p w14:paraId="1DD0D041">
      <w:pPr>
        <w:wordWrap w:val="0"/>
        <w:spacing w:line="360" w:lineRule="auto"/>
        <w:ind w:firstLine="2400" w:firstLineChars="100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736AE5D">
      <w:pPr>
        <w:wordWrap w:val="0"/>
        <w:spacing w:line="360" w:lineRule="auto"/>
        <w:rPr>
          <w:rFonts w:ascii="宋体" w:hAnsi="宋体" w:cs="宋体"/>
          <w:color w:val="auto"/>
          <w:highlight w:val="none"/>
        </w:rPr>
      </w:pPr>
    </w:p>
    <w:p w14:paraId="43E352D2">
      <w:pPr>
        <w:wordWrap w:val="0"/>
        <w:spacing w:line="360" w:lineRule="auto"/>
        <w:rPr>
          <w:rFonts w:ascii="宋体" w:hAnsi="宋体" w:cs="宋体"/>
          <w:color w:val="auto"/>
          <w:highlight w:val="none"/>
        </w:rPr>
      </w:pPr>
    </w:p>
    <w:p w14:paraId="0FFF645C">
      <w:pPr>
        <w:wordWrap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注：</w:t>
      </w:r>
    </w:p>
    <w:p w14:paraId="1AD92E0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1.非监狱企业无需在响应文件中提供。如为监狱企业应在响应文件的封面右上角明确注明相关信息以便方便认可。</w:t>
      </w:r>
    </w:p>
    <w:p w14:paraId="7F63A72B">
      <w:pPr>
        <w:wordWrap w:val="0"/>
        <w:spacing w:line="360"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2.供应商提供《监狱企业声明函》的需保证其真实性，如经查实存在虚假证明的情况，由供应商承担相应责任。</w:t>
      </w:r>
    </w:p>
    <w:p w14:paraId="2AAEB4BE">
      <w:pPr>
        <w:wordWrap w:val="0"/>
        <w:spacing w:line="360" w:lineRule="auto"/>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b/>
          <w:bCs/>
          <w:color w:val="auto"/>
          <w:sz w:val="24"/>
          <w:szCs w:val="24"/>
          <w:highlight w:val="none"/>
        </w:rPr>
        <w:t>附件4：《残疾人福利性单位声明函》（如有可提供）</w:t>
      </w:r>
    </w:p>
    <w:p w14:paraId="4ED6C81F">
      <w:pPr>
        <w:rPr>
          <w:color w:val="auto"/>
          <w:highlight w:val="none"/>
        </w:rPr>
      </w:pPr>
    </w:p>
    <w:p w14:paraId="12561FAF">
      <w:pPr>
        <w:wordWrap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《残疾人福利性单位声明函》</w:t>
      </w:r>
    </w:p>
    <w:p w14:paraId="0C64F02B">
      <w:pPr>
        <w:rPr>
          <w:color w:val="auto"/>
          <w:highlight w:val="none"/>
        </w:rPr>
      </w:pPr>
    </w:p>
    <w:p w14:paraId="3B1F382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B3DB65E">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167D7979">
      <w:pPr>
        <w:rPr>
          <w:color w:val="auto"/>
          <w:highlight w:val="none"/>
        </w:rPr>
      </w:pPr>
    </w:p>
    <w:p w14:paraId="55244F17">
      <w:pPr>
        <w:rPr>
          <w:color w:val="auto"/>
          <w:highlight w:val="none"/>
        </w:rPr>
      </w:pPr>
    </w:p>
    <w:p w14:paraId="1DF5F8DA">
      <w:pPr>
        <w:wordWrap w:val="0"/>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供应商：                    （盖单位章）</w:t>
      </w:r>
    </w:p>
    <w:p w14:paraId="28BAECCC">
      <w:pPr>
        <w:wordWrap w:val="0"/>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              （签字或盖章）</w:t>
      </w:r>
    </w:p>
    <w:p w14:paraId="650B0653">
      <w:pPr>
        <w:wordWrap w:val="0"/>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EB58909">
      <w:pPr>
        <w:rPr>
          <w:rFonts w:ascii="宋体" w:hAnsi="宋体" w:cs="宋体"/>
          <w:color w:val="auto"/>
          <w:highlight w:val="none"/>
        </w:rPr>
      </w:pPr>
    </w:p>
    <w:p w14:paraId="32CF7E7C">
      <w:pPr>
        <w:rPr>
          <w:rFonts w:ascii="宋体" w:hAnsi="宋体" w:cs="宋体"/>
          <w:color w:val="auto"/>
          <w:highlight w:val="none"/>
        </w:rPr>
      </w:pPr>
    </w:p>
    <w:p w14:paraId="6F9F5B36">
      <w:pPr>
        <w:wordWrap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注：</w:t>
      </w:r>
    </w:p>
    <w:p w14:paraId="4793590D">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1.非残疾人福利性单位无需在响应文件中提供。如为残疾人福利性单位应在响应文件的封面右上角明确注明相关信息以便方便认可。</w:t>
      </w:r>
    </w:p>
    <w:p w14:paraId="4F3FA0A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2.供应商企业所提供的《残疾人福利性单位声明函》，由其自行承担相应的法律责任。</w:t>
      </w:r>
    </w:p>
    <w:p w14:paraId="0E715C40">
      <w:pPr>
        <w:wordWrap w:val="0"/>
        <w:spacing w:line="480" w:lineRule="auto"/>
        <w:rPr>
          <w:rFonts w:ascii="宋体" w:hAnsi="宋体" w:cs="宋体"/>
          <w:b/>
          <w:bCs/>
          <w:color w:val="auto"/>
          <w:sz w:val="24"/>
          <w:szCs w:val="22"/>
          <w:highlight w:val="none"/>
        </w:rPr>
      </w:pPr>
      <w:r>
        <w:rPr>
          <w:rFonts w:hint="eastAsia" w:ascii="宋体" w:hAnsi="宋体" w:cs="宋体"/>
          <w:color w:val="auto"/>
          <w:highlight w:val="none"/>
        </w:rPr>
        <w:br w:type="page"/>
      </w:r>
      <w:r>
        <w:rPr>
          <w:rFonts w:hint="eastAsia" w:ascii="宋体" w:hAnsi="宋体" w:cs="宋体"/>
          <w:b/>
          <w:bCs/>
          <w:color w:val="auto"/>
          <w:sz w:val="24"/>
          <w:szCs w:val="22"/>
          <w:highlight w:val="none"/>
        </w:rPr>
        <w:t>附件5：节能环保、环境标志产品明细表（如有可提供）</w:t>
      </w:r>
    </w:p>
    <w:p w14:paraId="3BC748A4">
      <w:pPr>
        <w:wordWrap w:val="0"/>
        <w:spacing w:line="480" w:lineRule="auto"/>
        <w:jc w:val="center"/>
        <w:rPr>
          <w:rFonts w:ascii="宋体" w:hAnsi="宋体" w:cs="宋体"/>
          <w:b/>
          <w:bCs/>
          <w:color w:val="auto"/>
          <w:sz w:val="28"/>
          <w:szCs w:val="24"/>
          <w:highlight w:val="none"/>
        </w:rPr>
      </w:pPr>
      <w:r>
        <w:rPr>
          <w:rFonts w:hint="eastAsia" w:ascii="宋体" w:hAnsi="宋体" w:cs="宋体"/>
          <w:b/>
          <w:bCs/>
          <w:color w:val="auto"/>
          <w:sz w:val="28"/>
          <w:szCs w:val="24"/>
          <w:highlight w:val="none"/>
        </w:rPr>
        <w:t>节能环保、环境标志产品明细表</w:t>
      </w:r>
    </w:p>
    <w:tbl>
      <w:tblPr>
        <w:tblStyle w:val="39"/>
        <w:tblW w:w="8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82"/>
        <w:gridCol w:w="990"/>
        <w:gridCol w:w="1016"/>
        <w:gridCol w:w="873"/>
        <w:gridCol w:w="1069"/>
        <w:gridCol w:w="717"/>
        <w:gridCol w:w="757"/>
        <w:gridCol w:w="756"/>
        <w:gridCol w:w="630"/>
      </w:tblGrid>
      <w:tr w14:paraId="2C1A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0" w:type="dxa"/>
            <w:vAlign w:val="center"/>
          </w:tcPr>
          <w:p w14:paraId="088936B9">
            <w:pPr>
              <w:wordWrap w:val="0"/>
              <w:jc w:val="center"/>
              <w:rPr>
                <w:rFonts w:ascii="宋体" w:hAnsi="宋体" w:cs="宋体"/>
                <w:b/>
                <w:bCs/>
                <w:color w:val="auto"/>
                <w:highlight w:val="none"/>
              </w:rPr>
            </w:pPr>
            <w:r>
              <w:rPr>
                <w:rFonts w:hint="eastAsia" w:ascii="宋体" w:hAnsi="宋体" w:cs="宋体"/>
                <w:b/>
                <w:bCs/>
                <w:color w:val="auto"/>
                <w:highlight w:val="none"/>
              </w:rPr>
              <w:t>序号</w:t>
            </w:r>
          </w:p>
        </w:tc>
        <w:tc>
          <w:tcPr>
            <w:tcW w:w="882" w:type="dxa"/>
            <w:vAlign w:val="center"/>
          </w:tcPr>
          <w:p w14:paraId="65C15547">
            <w:pPr>
              <w:wordWrap w:val="0"/>
              <w:jc w:val="center"/>
              <w:rPr>
                <w:rFonts w:ascii="宋体" w:hAnsi="宋体" w:cs="宋体"/>
                <w:b/>
                <w:bCs/>
                <w:color w:val="auto"/>
                <w:highlight w:val="none"/>
              </w:rPr>
            </w:pPr>
            <w:r>
              <w:rPr>
                <w:rFonts w:hint="eastAsia" w:ascii="宋体" w:hAnsi="宋体" w:cs="宋体"/>
                <w:b/>
                <w:bCs/>
                <w:color w:val="auto"/>
                <w:highlight w:val="none"/>
              </w:rPr>
              <w:t>产品</w:t>
            </w:r>
          </w:p>
          <w:p w14:paraId="11CB8180">
            <w:pPr>
              <w:wordWrap w:val="0"/>
              <w:jc w:val="center"/>
              <w:rPr>
                <w:rFonts w:ascii="宋体" w:hAnsi="宋体" w:cs="宋体"/>
                <w:b/>
                <w:bCs/>
                <w:color w:val="auto"/>
                <w:highlight w:val="none"/>
              </w:rPr>
            </w:pPr>
            <w:r>
              <w:rPr>
                <w:rFonts w:hint="eastAsia" w:ascii="宋体" w:hAnsi="宋体" w:cs="宋体"/>
                <w:b/>
                <w:bCs/>
                <w:color w:val="auto"/>
                <w:highlight w:val="none"/>
              </w:rPr>
              <w:t>名称</w:t>
            </w:r>
          </w:p>
        </w:tc>
        <w:tc>
          <w:tcPr>
            <w:tcW w:w="990" w:type="dxa"/>
            <w:vAlign w:val="center"/>
          </w:tcPr>
          <w:p w14:paraId="63BA38E2">
            <w:pPr>
              <w:wordWrap w:val="0"/>
              <w:jc w:val="center"/>
              <w:rPr>
                <w:rFonts w:ascii="宋体" w:hAnsi="宋体" w:cs="宋体"/>
                <w:b/>
                <w:bCs/>
                <w:color w:val="auto"/>
                <w:highlight w:val="none"/>
              </w:rPr>
            </w:pPr>
            <w:r>
              <w:rPr>
                <w:rFonts w:hint="eastAsia" w:ascii="宋体" w:hAnsi="宋体" w:cs="宋体"/>
                <w:b/>
                <w:bCs/>
                <w:color w:val="auto"/>
                <w:highlight w:val="none"/>
              </w:rPr>
              <w:t>制造厂家</w:t>
            </w:r>
          </w:p>
        </w:tc>
        <w:tc>
          <w:tcPr>
            <w:tcW w:w="1016" w:type="dxa"/>
            <w:vAlign w:val="center"/>
          </w:tcPr>
          <w:p w14:paraId="2C8559A2">
            <w:pPr>
              <w:wordWrap w:val="0"/>
              <w:jc w:val="center"/>
              <w:rPr>
                <w:rFonts w:ascii="宋体" w:hAnsi="宋体" w:cs="宋体"/>
                <w:b/>
                <w:bCs/>
                <w:color w:val="auto"/>
                <w:highlight w:val="none"/>
              </w:rPr>
            </w:pPr>
            <w:r>
              <w:rPr>
                <w:rFonts w:hint="eastAsia" w:ascii="宋体" w:hAnsi="宋体" w:cs="宋体"/>
                <w:b/>
                <w:bCs/>
                <w:color w:val="auto"/>
                <w:highlight w:val="none"/>
              </w:rPr>
              <w:t>规格</w:t>
            </w:r>
          </w:p>
          <w:p w14:paraId="7B69333C">
            <w:pPr>
              <w:wordWrap w:val="0"/>
              <w:jc w:val="center"/>
              <w:rPr>
                <w:rFonts w:ascii="宋体" w:hAnsi="宋体" w:cs="宋体"/>
                <w:b/>
                <w:bCs/>
                <w:color w:val="auto"/>
                <w:highlight w:val="none"/>
              </w:rPr>
            </w:pPr>
            <w:r>
              <w:rPr>
                <w:rFonts w:hint="eastAsia" w:ascii="宋体" w:hAnsi="宋体" w:cs="宋体"/>
                <w:b/>
                <w:bCs/>
                <w:color w:val="auto"/>
                <w:highlight w:val="none"/>
              </w:rPr>
              <w:t>型号</w:t>
            </w:r>
          </w:p>
        </w:tc>
        <w:tc>
          <w:tcPr>
            <w:tcW w:w="873" w:type="dxa"/>
            <w:vAlign w:val="center"/>
          </w:tcPr>
          <w:p w14:paraId="2908727C">
            <w:pPr>
              <w:wordWrap w:val="0"/>
              <w:jc w:val="center"/>
              <w:rPr>
                <w:rFonts w:ascii="宋体" w:hAnsi="宋体" w:cs="宋体"/>
                <w:b/>
                <w:bCs/>
                <w:color w:val="auto"/>
                <w:highlight w:val="none"/>
              </w:rPr>
            </w:pPr>
            <w:r>
              <w:rPr>
                <w:rFonts w:hint="eastAsia" w:ascii="宋体" w:hAnsi="宋体" w:cs="宋体"/>
                <w:b/>
                <w:bCs/>
                <w:color w:val="auto"/>
                <w:highlight w:val="none"/>
              </w:rPr>
              <w:t>类别</w:t>
            </w:r>
          </w:p>
        </w:tc>
        <w:tc>
          <w:tcPr>
            <w:tcW w:w="1069" w:type="dxa"/>
            <w:vAlign w:val="center"/>
          </w:tcPr>
          <w:p w14:paraId="0B62F86F">
            <w:pPr>
              <w:wordWrap w:val="0"/>
              <w:jc w:val="center"/>
              <w:rPr>
                <w:rFonts w:ascii="宋体" w:hAnsi="宋体" w:cs="宋体"/>
                <w:b/>
                <w:bCs/>
                <w:color w:val="auto"/>
                <w:highlight w:val="none"/>
              </w:rPr>
            </w:pPr>
            <w:r>
              <w:rPr>
                <w:rFonts w:hint="eastAsia" w:ascii="宋体" w:hAnsi="宋体" w:cs="宋体"/>
                <w:b/>
                <w:bCs/>
                <w:color w:val="auto"/>
                <w:highlight w:val="none"/>
              </w:rPr>
              <w:t>认证证书编号</w:t>
            </w:r>
          </w:p>
        </w:tc>
        <w:tc>
          <w:tcPr>
            <w:tcW w:w="717" w:type="dxa"/>
            <w:vAlign w:val="center"/>
          </w:tcPr>
          <w:p w14:paraId="1513862D">
            <w:pPr>
              <w:wordWrap w:val="0"/>
              <w:jc w:val="center"/>
              <w:rPr>
                <w:rFonts w:ascii="宋体" w:hAnsi="宋体" w:cs="宋体"/>
                <w:b/>
                <w:bCs/>
                <w:color w:val="auto"/>
                <w:highlight w:val="none"/>
              </w:rPr>
            </w:pPr>
            <w:r>
              <w:rPr>
                <w:rFonts w:hint="eastAsia" w:ascii="宋体" w:hAnsi="宋体" w:cs="宋体"/>
                <w:b/>
                <w:bCs/>
                <w:color w:val="auto"/>
                <w:highlight w:val="none"/>
              </w:rPr>
              <w:t>数量</w:t>
            </w:r>
          </w:p>
        </w:tc>
        <w:tc>
          <w:tcPr>
            <w:tcW w:w="757" w:type="dxa"/>
            <w:vAlign w:val="center"/>
          </w:tcPr>
          <w:p w14:paraId="11625C0B">
            <w:pPr>
              <w:wordWrap w:val="0"/>
              <w:jc w:val="center"/>
              <w:rPr>
                <w:rFonts w:ascii="宋体" w:hAnsi="宋体" w:cs="宋体"/>
                <w:b/>
                <w:bCs/>
                <w:color w:val="auto"/>
                <w:highlight w:val="none"/>
              </w:rPr>
            </w:pPr>
            <w:r>
              <w:rPr>
                <w:rFonts w:hint="eastAsia" w:ascii="宋体" w:hAnsi="宋体" w:cs="宋体"/>
                <w:b/>
                <w:bCs/>
                <w:color w:val="auto"/>
                <w:highlight w:val="none"/>
              </w:rPr>
              <w:t>单价</w:t>
            </w:r>
          </w:p>
        </w:tc>
        <w:tc>
          <w:tcPr>
            <w:tcW w:w="756" w:type="dxa"/>
            <w:vAlign w:val="center"/>
          </w:tcPr>
          <w:p w14:paraId="000A1B48">
            <w:pPr>
              <w:wordWrap w:val="0"/>
              <w:jc w:val="center"/>
              <w:rPr>
                <w:rFonts w:ascii="宋体" w:hAnsi="宋体" w:cs="宋体"/>
                <w:b/>
                <w:bCs/>
                <w:color w:val="auto"/>
                <w:highlight w:val="none"/>
              </w:rPr>
            </w:pPr>
            <w:r>
              <w:rPr>
                <w:rFonts w:hint="eastAsia" w:ascii="宋体" w:hAnsi="宋体" w:cs="宋体"/>
                <w:b/>
                <w:bCs/>
                <w:color w:val="auto"/>
                <w:highlight w:val="none"/>
              </w:rPr>
              <w:t>总价</w:t>
            </w:r>
          </w:p>
        </w:tc>
        <w:tc>
          <w:tcPr>
            <w:tcW w:w="630" w:type="dxa"/>
            <w:vAlign w:val="center"/>
          </w:tcPr>
          <w:p w14:paraId="3BE301CB">
            <w:pPr>
              <w:wordWrap w:val="0"/>
              <w:jc w:val="center"/>
              <w:rPr>
                <w:rFonts w:ascii="宋体" w:hAnsi="宋体" w:cs="宋体"/>
                <w:b/>
                <w:bCs/>
                <w:color w:val="auto"/>
                <w:highlight w:val="none"/>
              </w:rPr>
            </w:pPr>
            <w:r>
              <w:rPr>
                <w:rFonts w:hint="eastAsia" w:ascii="宋体" w:hAnsi="宋体" w:cs="宋体"/>
                <w:b/>
                <w:bCs/>
                <w:color w:val="auto"/>
                <w:highlight w:val="none"/>
              </w:rPr>
              <w:t>备注</w:t>
            </w:r>
          </w:p>
        </w:tc>
      </w:tr>
      <w:tr w14:paraId="6F2D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0" w:type="dxa"/>
            <w:vAlign w:val="center"/>
          </w:tcPr>
          <w:p w14:paraId="1ACB8C98">
            <w:pPr>
              <w:wordWrap w:val="0"/>
              <w:jc w:val="center"/>
              <w:rPr>
                <w:rFonts w:ascii="宋体" w:hAnsi="宋体" w:cs="宋体"/>
                <w:color w:val="auto"/>
                <w:highlight w:val="none"/>
              </w:rPr>
            </w:pPr>
          </w:p>
        </w:tc>
        <w:tc>
          <w:tcPr>
            <w:tcW w:w="882" w:type="dxa"/>
            <w:vAlign w:val="center"/>
          </w:tcPr>
          <w:p w14:paraId="2CA5D86E">
            <w:pPr>
              <w:wordWrap w:val="0"/>
              <w:jc w:val="center"/>
              <w:rPr>
                <w:rFonts w:ascii="宋体" w:hAnsi="宋体" w:cs="宋体"/>
                <w:color w:val="auto"/>
                <w:highlight w:val="none"/>
              </w:rPr>
            </w:pPr>
          </w:p>
        </w:tc>
        <w:tc>
          <w:tcPr>
            <w:tcW w:w="990" w:type="dxa"/>
            <w:vAlign w:val="center"/>
          </w:tcPr>
          <w:p w14:paraId="3758C491">
            <w:pPr>
              <w:wordWrap w:val="0"/>
              <w:jc w:val="center"/>
              <w:rPr>
                <w:rFonts w:ascii="宋体" w:hAnsi="宋体" w:cs="宋体"/>
                <w:color w:val="auto"/>
                <w:highlight w:val="none"/>
              </w:rPr>
            </w:pPr>
          </w:p>
        </w:tc>
        <w:tc>
          <w:tcPr>
            <w:tcW w:w="1016" w:type="dxa"/>
            <w:vAlign w:val="center"/>
          </w:tcPr>
          <w:p w14:paraId="5BF21E8A">
            <w:pPr>
              <w:wordWrap w:val="0"/>
              <w:jc w:val="center"/>
              <w:rPr>
                <w:rFonts w:ascii="宋体" w:hAnsi="宋体" w:cs="宋体"/>
                <w:color w:val="auto"/>
                <w:highlight w:val="none"/>
              </w:rPr>
            </w:pPr>
          </w:p>
        </w:tc>
        <w:tc>
          <w:tcPr>
            <w:tcW w:w="873" w:type="dxa"/>
            <w:vAlign w:val="center"/>
          </w:tcPr>
          <w:p w14:paraId="09B777B8">
            <w:pPr>
              <w:wordWrap w:val="0"/>
              <w:jc w:val="center"/>
              <w:rPr>
                <w:rFonts w:ascii="宋体" w:hAnsi="宋体" w:cs="宋体"/>
                <w:color w:val="auto"/>
                <w:highlight w:val="none"/>
              </w:rPr>
            </w:pPr>
          </w:p>
        </w:tc>
        <w:tc>
          <w:tcPr>
            <w:tcW w:w="1069" w:type="dxa"/>
            <w:vAlign w:val="center"/>
          </w:tcPr>
          <w:p w14:paraId="0F50284C">
            <w:pPr>
              <w:wordWrap w:val="0"/>
              <w:jc w:val="center"/>
              <w:rPr>
                <w:rFonts w:ascii="宋体" w:hAnsi="宋体" w:cs="宋体"/>
                <w:color w:val="auto"/>
                <w:highlight w:val="none"/>
              </w:rPr>
            </w:pPr>
          </w:p>
        </w:tc>
        <w:tc>
          <w:tcPr>
            <w:tcW w:w="717" w:type="dxa"/>
            <w:vAlign w:val="center"/>
          </w:tcPr>
          <w:p w14:paraId="7FE23414">
            <w:pPr>
              <w:wordWrap w:val="0"/>
              <w:jc w:val="center"/>
              <w:rPr>
                <w:rFonts w:ascii="宋体" w:hAnsi="宋体" w:cs="宋体"/>
                <w:color w:val="auto"/>
                <w:highlight w:val="none"/>
              </w:rPr>
            </w:pPr>
          </w:p>
        </w:tc>
        <w:tc>
          <w:tcPr>
            <w:tcW w:w="757" w:type="dxa"/>
            <w:vAlign w:val="center"/>
          </w:tcPr>
          <w:p w14:paraId="22DA6C5E">
            <w:pPr>
              <w:wordWrap w:val="0"/>
              <w:jc w:val="center"/>
              <w:rPr>
                <w:rFonts w:ascii="宋体" w:hAnsi="宋体" w:cs="宋体"/>
                <w:color w:val="auto"/>
                <w:highlight w:val="none"/>
              </w:rPr>
            </w:pPr>
          </w:p>
        </w:tc>
        <w:tc>
          <w:tcPr>
            <w:tcW w:w="756" w:type="dxa"/>
            <w:vAlign w:val="center"/>
          </w:tcPr>
          <w:p w14:paraId="3BF66BC7">
            <w:pPr>
              <w:wordWrap w:val="0"/>
              <w:jc w:val="center"/>
              <w:rPr>
                <w:rFonts w:ascii="宋体" w:hAnsi="宋体" w:cs="宋体"/>
                <w:color w:val="auto"/>
                <w:highlight w:val="none"/>
              </w:rPr>
            </w:pPr>
          </w:p>
        </w:tc>
        <w:tc>
          <w:tcPr>
            <w:tcW w:w="630" w:type="dxa"/>
            <w:vAlign w:val="center"/>
          </w:tcPr>
          <w:p w14:paraId="6D0DC878">
            <w:pPr>
              <w:wordWrap w:val="0"/>
              <w:jc w:val="center"/>
              <w:rPr>
                <w:rFonts w:ascii="宋体" w:hAnsi="宋体" w:cs="宋体"/>
                <w:color w:val="auto"/>
                <w:highlight w:val="none"/>
              </w:rPr>
            </w:pPr>
          </w:p>
        </w:tc>
      </w:tr>
      <w:tr w14:paraId="25FF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0" w:type="dxa"/>
            <w:vAlign w:val="center"/>
          </w:tcPr>
          <w:p w14:paraId="154F78A8">
            <w:pPr>
              <w:wordWrap w:val="0"/>
              <w:jc w:val="center"/>
              <w:rPr>
                <w:rFonts w:ascii="宋体" w:hAnsi="宋体" w:cs="宋体"/>
                <w:color w:val="auto"/>
                <w:highlight w:val="none"/>
              </w:rPr>
            </w:pPr>
          </w:p>
        </w:tc>
        <w:tc>
          <w:tcPr>
            <w:tcW w:w="882" w:type="dxa"/>
            <w:vAlign w:val="center"/>
          </w:tcPr>
          <w:p w14:paraId="09C48621">
            <w:pPr>
              <w:wordWrap w:val="0"/>
              <w:jc w:val="center"/>
              <w:rPr>
                <w:rFonts w:ascii="宋体" w:hAnsi="宋体" w:cs="宋体"/>
                <w:color w:val="auto"/>
                <w:highlight w:val="none"/>
              </w:rPr>
            </w:pPr>
          </w:p>
        </w:tc>
        <w:tc>
          <w:tcPr>
            <w:tcW w:w="990" w:type="dxa"/>
            <w:vAlign w:val="center"/>
          </w:tcPr>
          <w:p w14:paraId="314C2E18">
            <w:pPr>
              <w:wordWrap w:val="0"/>
              <w:jc w:val="center"/>
              <w:rPr>
                <w:rFonts w:ascii="宋体" w:hAnsi="宋体" w:cs="宋体"/>
                <w:color w:val="auto"/>
                <w:highlight w:val="none"/>
              </w:rPr>
            </w:pPr>
          </w:p>
        </w:tc>
        <w:tc>
          <w:tcPr>
            <w:tcW w:w="1016" w:type="dxa"/>
            <w:vAlign w:val="center"/>
          </w:tcPr>
          <w:p w14:paraId="76E9765A">
            <w:pPr>
              <w:wordWrap w:val="0"/>
              <w:jc w:val="center"/>
              <w:rPr>
                <w:rFonts w:ascii="宋体" w:hAnsi="宋体" w:cs="宋体"/>
                <w:color w:val="auto"/>
                <w:highlight w:val="none"/>
              </w:rPr>
            </w:pPr>
          </w:p>
        </w:tc>
        <w:tc>
          <w:tcPr>
            <w:tcW w:w="873" w:type="dxa"/>
            <w:vAlign w:val="center"/>
          </w:tcPr>
          <w:p w14:paraId="6C3B98EE">
            <w:pPr>
              <w:wordWrap w:val="0"/>
              <w:jc w:val="center"/>
              <w:rPr>
                <w:rFonts w:ascii="宋体" w:hAnsi="宋体" w:cs="宋体"/>
                <w:color w:val="auto"/>
                <w:highlight w:val="none"/>
              </w:rPr>
            </w:pPr>
          </w:p>
        </w:tc>
        <w:tc>
          <w:tcPr>
            <w:tcW w:w="1069" w:type="dxa"/>
            <w:vAlign w:val="center"/>
          </w:tcPr>
          <w:p w14:paraId="3CD74F03">
            <w:pPr>
              <w:wordWrap w:val="0"/>
              <w:jc w:val="center"/>
              <w:rPr>
                <w:rFonts w:ascii="宋体" w:hAnsi="宋体" w:cs="宋体"/>
                <w:color w:val="auto"/>
                <w:highlight w:val="none"/>
              </w:rPr>
            </w:pPr>
          </w:p>
        </w:tc>
        <w:tc>
          <w:tcPr>
            <w:tcW w:w="717" w:type="dxa"/>
            <w:vAlign w:val="center"/>
          </w:tcPr>
          <w:p w14:paraId="10F7628A">
            <w:pPr>
              <w:wordWrap w:val="0"/>
              <w:jc w:val="center"/>
              <w:rPr>
                <w:rFonts w:ascii="宋体" w:hAnsi="宋体" w:cs="宋体"/>
                <w:color w:val="auto"/>
                <w:highlight w:val="none"/>
              </w:rPr>
            </w:pPr>
          </w:p>
        </w:tc>
        <w:tc>
          <w:tcPr>
            <w:tcW w:w="757" w:type="dxa"/>
            <w:vAlign w:val="center"/>
          </w:tcPr>
          <w:p w14:paraId="4252A707">
            <w:pPr>
              <w:wordWrap w:val="0"/>
              <w:jc w:val="center"/>
              <w:rPr>
                <w:rFonts w:ascii="宋体" w:hAnsi="宋体" w:cs="宋体"/>
                <w:color w:val="auto"/>
                <w:highlight w:val="none"/>
              </w:rPr>
            </w:pPr>
          </w:p>
        </w:tc>
        <w:tc>
          <w:tcPr>
            <w:tcW w:w="756" w:type="dxa"/>
            <w:vAlign w:val="center"/>
          </w:tcPr>
          <w:p w14:paraId="7E1A2A84">
            <w:pPr>
              <w:wordWrap w:val="0"/>
              <w:jc w:val="center"/>
              <w:rPr>
                <w:rFonts w:ascii="宋体" w:hAnsi="宋体" w:cs="宋体"/>
                <w:color w:val="auto"/>
                <w:highlight w:val="none"/>
              </w:rPr>
            </w:pPr>
          </w:p>
        </w:tc>
        <w:tc>
          <w:tcPr>
            <w:tcW w:w="630" w:type="dxa"/>
            <w:vAlign w:val="center"/>
          </w:tcPr>
          <w:p w14:paraId="53C2D101">
            <w:pPr>
              <w:wordWrap w:val="0"/>
              <w:jc w:val="center"/>
              <w:rPr>
                <w:rFonts w:ascii="宋体" w:hAnsi="宋体" w:cs="宋体"/>
                <w:color w:val="auto"/>
                <w:highlight w:val="none"/>
              </w:rPr>
            </w:pPr>
          </w:p>
        </w:tc>
      </w:tr>
      <w:tr w14:paraId="7FB0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0" w:type="dxa"/>
            <w:vAlign w:val="center"/>
          </w:tcPr>
          <w:p w14:paraId="4D22FFA4">
            <w:pPr>
              <w:wordWrap w:val="0"/>
              <w:jc w:val="center"/>
              <w:rPr>
                <w:rFonts w:ascii="宋体" w:hAnsi="宋体" w:cs="宋体"/>
                <w:color w:val="auto"/>
                <w:highlight w:val="none"/>
              </w:rPr>
            </w:pPr>
          </w:p>
        </w:tc>
        <w:tc>
          <w:tcPr>
            <w:tcW w:w="882" w:type="dxa"/>
            <w:vAlign w:val="center"/>
          </w:tcPr>
          <w:p w14:paraId="453033E0">
            <w:pPr>
              <w:wordWrap w:val="0"/>
              <w:jc w:val="center"/>
              <w:rPr>
                <w:rFonts w:ascii="宋体" w:hAnsi="宋体" w:cs="宋体"/>
                <w:color w:val="auto"/>
                <w:highlight w:val="none"/>
              </w:rPr>
            </w:pPr>
          </w:p>
        </w:tc>
        <w:tc>
          <w:tcPr>
            <w:tcW w:w="990" w:type="dxa"/>
            <w:vAlign w:val="center"/>
          </w:tcPr>
          <w:p w14:paraId="45B0CC2F">
            <w:pPr>
              <w:wordWrap w:val="0"/>
              <w:jc w:val="center"/>
              <w:rPr>
                <w:rFonts w:ascii="宋体" w:hAnsi="宋体" w:cs="宋体"/>
                <w:color w:val="auto"/>
                <w:highlight w:val="none"/>
              </w:rPr>
            </w:pPr>
          </w:p>
        </w:tc>
        <w:tc>
          <w:tcPr>
            <w:tcW w:w="1016" w:type="dxa"/>
            <w:vAlign w:val="center"/>
          </w:tcPr>
          <w:p w14:paraId="30E177A0">
            <w:pPr>
              <w:wordWrap w:val="0"/>
              <w:jc w:val="center"/>
              <w:rPr>
                <w:rFonts w:ascii="宋体" w:hAnsi="宋体" w:cs="宋体"/>
                <w:color w:val="auto"/>
                <w:highlight w:val="none"/>
              </w:rPr>
            </w:pPr>
          </w:p>
        </w:tc>
        <w:tc>
          <w:tcPr>
            <w:tcW w:w="873" w:type="dxa"/>
            <w:vAlign w:val="center"/>
          </w:tcPr>
          <w:p w14:paraId="17C28164">
            <w:pPr>
              <w:wordWrap w:val="0"/>
              <w:jc w:val="center"/>
              <w:rPr>
                <w:rFonts w:ascii="宋体" w:hAnsi="宋体" w:cs="宋体"/>
                <w:color w:val="auto"/>
                <w:highlight w:val="none"/>
              </w:rPr>
            </w:pPr>
          </w:p>
        </w:tc>
        <w:tc>
          <w:tcPr>
            <w:tcW w:w="1069" w:type="dxa"/>
            <w:vAlign w:val="center"/>
          </w:tcPr>
          <w:p w14:paraId="121A1D89">
            <w:pPr>
              <w:wordWrap w:val="0"/>
              <w:jc w:val="center"/>
              <w:rPr>
                <w:rFonts w:ascii="宋体" w:hAnsi="宋体" w:cs="宋体"/>
                <w:color w:val="auto"/>
                <w:highlight w:val="none"/>
              </w:rPr>
            </w:pPr>
          </w:p>
        </w:tc>
        <w:tc>
          <w:tcPr>
            <w:tcW w:w="717" w:type="dxa"/>
            <w:vAlign w:val="center"/>
          </w:tcPr>
          <w:p w14:paraId="05455770">
            <w:pPr>
              <w:wordWrap w:val="0"/>
              <w:jc w:val="center"/>
              <w:rPr>
                <w:rFonts w:ascii="宋体" w:hAnsi="宋体" w:cs="宋体"/>
                <w:color w:val="auto"/>
                <w:highlight w:val="none"/>
              </w:rPr>
            </w:pPr>
          </w:p>
        </w:tc>
        <w:tc>
          <w:tcPr>
            <w:tcW w:w="757" w:type="dxa"/>
            <w:vAlign w:val="center"/>
          </w:tcPr>
          <w:p w14:paraId="57560124">
            <w:pPr>
              <w:wordWrap w:val="0"/>
              <w:jc w:val="center"/>
              <w:rPr>
                <w:rFonts w:ascii="宋体" w:hAnsi="宋体" w:cs="宋体"/>
                <w:color w:val="auto"/>
                <w:highlight w:val="none"/>
              </w:rPr>
            </w:pPr>
          </w:p>
        </w:tc>
        <w:tc>
          <w:tcPr>
            <w:tcW w:w="756" w:type="dxa"/>
            <w:vAlign w:val="center"/>
          </w:tcPr>
          <w:p w14:paraId="24BFBFEB">
            <w:pPr>
              <w:wordWrap w:val="0"/>
              <w:jc w:val="center"/>
              <w:rPr>
                <w:rFonts w:ascii="宋体" w:hAnsi="宋体" w:cs="宋体"/>
                <w:color w:val="auto"/>
                <w:highlight w:val="none"/>
              </w:rPr>
            </w:pPr>
          </w:p>
        </w:tc>
        <w:tc>
          <w:tcPr>
            <w:tcW w:w="630" w:type="dxa"/>
            <w:vAlign w:val="center"/>
          </w:tcPr>
          <w:p w14:paraId="59EBA9EF">
            <w:pPr>
              <w:wordWrap w:val="0"/>
              <w:jc w:val="center"/>
              <w:rPr>
                <w:rFonts w:ascii="宋体" w:hAnsi="宋体" w:cs="宋体"/>
                <w:color w:val="auto"/>
                <w:highlight w:val="none"/>
              </w:rPr>
            </w:pPr>
          </w:p>
        </w:tc>
      </w:tr>
      <w:tr w14:paraId="67CA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0" w:type="dxa"/>
            <w:vAlign w:val="center"/>
          </w:tcPr>
          <w:p w14:paraId="35AA2EFF">
            <w:pPr>
              <w:wordWrap w:val="0"/>
              <w:jc w:val="center"/>
              <w:rPr>
                <w:rFonts w:ascii="宋体" w:hAnsi="宋体" w:cs="宋体"/>
                <w:color w:val="auto"/>
                <w:highlight w:val="none"/>
              </w:rPr>
            </w:pPr>
          </w:p>
        </w:tc>
        <w:tc>
          <w:tcPr>
            <w:tcW w:w="882" w:type="dxa"/>
            <w:vAlign w:val="center"/>
          </w:tcPr>
          <w:p w14:paraId="69E4411D">
            <w:pPr>
              <w:wordWrap w:val="0"/>
              <w:jc w:val="center"/>
              <w:rPr>
                <w:rFonts w:ascii="宋体" w:hAnsi="宋体" w:cs="宋体"/>
                <w:color w:val="auto"/>
                <w:highlight w:val="none"/>
              </w:rPr>
            </w:pPr>
          </w:p>
        </w:tc>
        <w:tc>
          <w:tcPr>
            <w:tcW w:w="990" w:type="dxa"/>
            <w:vAlign w:val="center"/>
          </w:tcPr>
          <w:p w14:paraId="5E490BFE">
            <w:pPr>
              <w:wordWrap w:val="0"/>
              <w:jc w:val="center"/>
              <w:rPr>
                <w:rFonts w:ascii="宋体" w:hAnsi="宋体" w:cs="宋体"/>
                <w:color w:val="auto"/>
                <w:highlight w:val="none"/>
              </w:rPr>
            </w:pPr>
          </w:p>
        </w:tc>
        <w:tc>
          <w:tcPr>
            <w:tcW w:w="1016" w:type="dxa"/>
            <w:vAlign w:val="center"/>
          </w:tcPr>
          <w:p w14:paraId="27E8F53B">
            <w:pPr>
              <w:wordWrap w:val="0"/>
              <w:jc w:val="center"/>
              <w:rPr>
                <w:rFonts w:ascii="宋体" w:hAnsi="宋体" w:cs="宋体"/>
                <w:color w:val="auto"/>
                <w:highlight w:val="none"/>
              </w:rPr>
            </w:pPr>
          </w:p>
        </w:tc>
        <w:tc>
          <w:tcPr>
            <w:tcW w:w="873" w:type="dxa"/>
            <w:vAlign w:val="center"/>
          </w:tcPr>
          <w:p w14:paraId="05601083">
            <w:pPr>
              <w:wordWrap w:val="0"/>
              <w:jc w:val="center"/>
              <w:rPr>
                <w:rFonts w:ascii="宋体" w:hAnsi="宋体" w:cs="宋体"/>
                <w:color w:val="auto"/>
                <w:highlight w:val="none"/>
              </w:rPr>
            </w:pPr>
          </w:p>
        </w:tc>
        <w:tc>
          <w:tcPr>
            <w:tcW w:w="1069" w:type="dxa"/>
            <w:vAlign w:val="center"/>
          </w:tcPr>
          <w:p w14:paraId="45EF0B68">
            <w:pPr>
              <w:wordWrap w:val="0"/>
              <w:jc w:val="center"/>
              <w:rPr>
                <w:rFonts w:ascii="宋体" w:hAnsi="宋体" w:cs="宋体"/>
                <w:color w:val="auto"/>
                <w:highlight w:val="none"/>
              </w:rPr>
            </w:pPr>
          </w:p>
        </w:tc>
        <w:tc>
          <w:tcPr>
            <w:tcW w:w="717" w:type="dxa"/>
            <w:vAlign w:val="center"/>
          </w:tcPr>
          <w:p w14:paraId="1405BBCE">
            <w:pPr>
              <w:wordWrap w:val="0"/>
              <w:jc w:val="center"/>
              <w:rPr>
                <w:rFonts w:ascii="宋体" w:hAnsi="宋体" w:cs="宋体"/>
                <w:color w:val="auto"/>
                <w:highlight w:val="none"/>
              </w:rPr>
            </w:pPr>
          </w:p>
        </w:tc>
        <w:tc>
          <w:tcPr>
            <w:tcW w:w="757" w:type="dxa"/>
            <w:vAlign w:val="center"/>
          </w:tcPr>
          <w:p w14:paraId="7F514925">
            <w:pPr>
              <w:wordWrap w:val="0"/>
              <w:jc w:val="center"/>
              <w:rPr>
                <w:rFonts w:ascii="宋体" w:hAnsi="宋体" w:cs="宋体"/>
                <w:color w:val="auto"/>
                <w:highlight w:val="none"/>
              </w:rPr>
            </w:pPr>
          </w:p>
        </w:tc>
        <w:tc>
          <w:tcPr>
            <w:tcW w:w="756" w:type="dxa"/>
            <w:vAlign w:val="center"/>
          </w:tcPr>
          <w:p w14:paraId="68D7C499">
            <w:pPr>
              <w:wordWrap w:val="0"/>
              <w:jc w:val="center"/>
              <w:rPr>
                <w:rFonts w:ascii="宋体" w:hAnsi="宋体" w:cs="宋体"/>
                <w:color w:val="auto"/>
                <w:highlight w:val="none"/>
              </w:rPr>
            </w:pPr>
          </w:p>
        </w:tc>
        <w:tc>
          <w:tcPr>
            <w:tcW w:w="630" w:type="dxa"/>
            <w:vAlign w:val="center"/>
          </w:tcPr>
          <w:p w14:paraId="26E59417">
            <w:pPr>
              <w:wordWrap w:val="0"/>
              <w:jc w:val="center"/>
              <w:rPr>
                <w:rFonts w:ascii="宋体" w:hAnsi="宋体" w:cs="宋体"/>
                <w:color w:val="auto"/>
                <w:highlight w:val="none"/>
              </w:rPr>
            </w:pPr>
          </w:p>
        </w:tc>
      </w:tr>
      <w:tr w14:paraId="3916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0" w:type="dxa"/>
            <w:vAlign w:val="center"/>
          </w:tcPr>
          <w:p w14:paraId="4615046C">
            <w:pPr>
              <w:wordWrap w:val="0"/>
              <w:jc w:val="center"/>
              <w:rPr>
                <w:rFonts w:ascii="宋体" w:hAnsi="宋体" w:cs="宋体"/>
                <w:color w:val="auto"/>
                <w:highlight w:val="none"/>
              </w:rPr>
            </w:pPr>
          </w:p>
        </w:tc>
        <w:tc>
          <w:tcPr>
            <w:tcW w:w="882" w:type="dxa"/>
            <w:vAlign w:val="center"/>
          </w:tcPr>
          <w:p w14:paraId="5D95E18E">
            <w:pPr>
              <w:wordWrap w:val="0"/>
              <w:jc w:val="center"/>
              <w:rPr>
                <w:rFonts w:ascii="宋体" w:hAnsi="宋体" w:cs="宋体"/>
                <w:color w:val="auto"/>
                <w:highlight w:val="none"/>
              </w:rPr>
            </w:pPr>
          </w:p>
        </w:tc>
        <w:tc>
          <w:tcPr>
            <w:tcW w:w="990" w:type="dxa"/>
            <w:vAlign w:val="center"/>
          </w:tcPr>
          <w:p w14:paraId="2B5E1C2A">
            <w:pPr>
              <w:wordWrap w:val="0"/>
              <w:jc w:val="center"/>
              <w:rPr>
                <w:rFonts w:ascii="宋体" w:hAnsi="宋体" w:cs="宋体"/>
                <w:color w:val="auto"/>
                <w:highlight w:val="none"/>
              </w:rPr>
            </w:pPr>
          </w:p>
        </w:tc>
        <w:tc>
          <w:tcPr>
            <w:tcW w:w="1016" w:type="dxa"/>
            <w:vAlign w:val="center"/>
          </w:tcPr>
          <w:p w14:paraId="17F6BEC3">
            <w:pPr>
              <w:wordWrap w:val="0"/>
              <w:jc w:val="center"/>
              <w:rPr>
                <w:rFonts w:ascii="宋体" w:hAnsi="宋体" w:cs="宋体"/>
                <w:color w:val="auto"/>
                <w:highlight w:val="none"/>
              </w:rPr>
            </w:pPr>
          </w:p>
        </w:tc>
        <w:tc>
          <w:tcPr>
            <w:tcW w:w="873" w:type="dxa"/>
            <w:vAlign w:val="center"/>
          </w:tcPr>
          <w:p w14:paraId="44B7A6EF">
            <w:pPr>
              <w:wordWrap w:val="0"/>
              <w:jc w:val="center"/>
              <w:rPr>
                <w:rFonts w:ascii="宋体" w:hAnsi="宋体" w:cs="宋体"/>
                <w:color w:val="auto"/>
                <w:highlight w:val="none"/>
              </w:rPr>
            </w:pPr>
          </w:p>
        </w:tc>
        <w:tc>
          <w:tcPr>
            <w:tcW w:w="1069" w:type="dxa"/>
            <w:vAlign w:val="center"/>
          </w:tcPr>
          <w:p w14:paraId="754960FF">
            <w:pPr>
              <w:wordWrap w:val="0"/>
              <w:jc w:val="center"/>
              <w:rPr>
                <w:rFonts w:ascii="宋体" w:hAnsi="宋体" w:cs="宋体"/>
                <w:color w:val="auto"/>
                <w:highlight w:val="none"/>
              </w:rPr>
            </w:pPr>
          </w:p>
        </w:tc>
        <w:tc>
          <w:tcPr>
            <w:tcW w:w="717" w:type="dxa"/>
            <w:vAlign w:val="center"/>
          </w:tcPr>
          <w:p w14:paraId="19E7DA2B">
            <w:pPr>
              <w:wordWrap w:val="0"/>
              <w:jc w:val="center"/>
              <w:rPr>
                <w:rFonts w:ascii="宋体" w:hAnsi="宋体" w:cs="宋体"/>
                <w:color w:val="auto"/>
                <w:highlight w:val="none"/>
              </w:rPr>
            </w:pPr>
          </w:p>
        </w:tc>
        <w:tc>
          <w:tcPr>
            <w:tcW w:w="757" w:type="dxa"/>
            <w:vAlign w:val="center"/>
          </w:tcPr>
          <w:p w14:paraId="4A8483F5">
            <w:pPr>
              <w:wordWrap w:val="0"/>
              <w:jc w:val="center"/>
              <w:rPr>
                <w:rFonts w:ascii="宋体" w:hAnsi="宋体" w:cs="宋体"/>
                <w:color w:val="auto"/>
                <w:highlight w:val="none"/>
              </w:rPr>
            </w:pPr>
          </w:p>
        </w:tc>
        <w:tc>
          <w:tcPr>
            <w:tcW w:w="756" w:type="dxa"/>
            <w:vAlign w:val="center"/>
          </w:tcPr>
          <w:p w14:paraId="51ECCDFB">
            <w:pPr>
              <w:wordWrap w:val="0"/>
              <w:jc w:val="center"/>
              <w:rPr>
                <w:rFonts w:ascii="宋体" w:hAnsi="宋体" w:cs="宋体"/>
                <w:color w:val="auto"/>
                <w:highlight w:val="none"/>
              </w:rPr>
            </w:pPr>
          </w:p>
        </w:tc>
        <w:tc>
          <w:tcPr>
            <w:tcW w:w="630" w:type="dxa"/>
            <w:vAlign w:val="center"/>
          </w:tcPr>
          <w:p w14:paraId="3284CAFF">
            <w:pPr>
              <w:wordWrap w:val="0"/>
              <w:jc w:val="center"/>
              <w:rPr>
                <w:rFonts w:ascii="宋体" w:hAnsi="宋体" w:cs="宋体"/>
                <w:color w:val="auto"/>
                <w:highlight w:val="none"/>
              </w:rPr>
            </w:pPr>
          </w:p>
        </w:tc>
      </w:tr>
      <w:tr w14:paraId="1A89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0" w:type="dxa"/>
            <w:vAlign w:val="center"/>
          </w:tcPr>
          <w:p w14:paraId="27D43542">
            <w:pPr>
              <w:wordWrap w:val="0"/>
              <w:jc w:val="center"/>
              <w:rPr>
                <w:rFonts w:ascii="宋体" w:hAnsi="宋体" w:cs="宋体"/>
                <w:color w:val="auto"/>
                <w:highlight w:val="none"/>
              </w:rPr>
            </w:pPr>
          </w:p>
        </w:tc>
        <w:tc>
          <w:tcPr>
            <w:tcW w:w="882" w:type="dxa"/>
            <w:vAlign w:val="center"/>
          </w:tcPr>
          <w:p w14:paraId="2EBEA0BD">
            <w:pPr>
              <w:wordWrap w:val="0"/>
              <w:jc w:val="center"/>
              <w:rPr>
                <w:rFonts w:ascii="宋体" w:hAnsi="宋体" w:cs="宋体"/>
                <w:color w:val="auto"/>
                <w:highlight w:val="none"/>
              </w:rPr>
            </w:pPr>
          </w:p>
        </w:tc>
        <w:tc>
          <w:tcPr>
            <w:tcW w:w="990" w:type="dxa"/>
            <w:vAlign w:val="center"/>
          </w:tcPr>
          <w:p w14:paraId="4B03F9A4">
            <w:pPr>
              <w:wordWrap w:val="0"/>
              <w:jc w:val="center"/>
              <w:rPr>
                <w:rFonts w:ascii="宋体" w:hAnsi="宋体" w:cs="宋体"/>
                <w:color w:val="auto"/>
                <w:highlight w:val="none"/>
              </w:rPr>
            </w:pPr>
          </w:p>
        </w:tc>
        <w:tc>
          <w:tcPr>
            <w:tcW w:w="1016" w:type="dxa"/>
            <w:vAlign w:val="center"/>
          </w:tcPr>
          <w:p w14:paraId="79375CF6">
            <w:pPr>
              <w:wordWrap w:val="0"/>
              <w:jc w:val="center"/>
              <w:rPr>
                <w:rFonts w:ascii="宋体" w:hAnsi="宋体" w:cs="宋体"/>
                <w:color w:val="auto"/>
                <w:highlight w:val="none"/>
              </w:rPr>
            </w:pPr>
          </w:p>
        </w:tc>
        <w:tc>
          <w:tcPr>
            <w:tcW w:w="873" w:type="dxa"/>
            <w:vAlign w:val="center"/>
          </w:tcPr>
          <w:p w14:paraId="5053FCC4">
            <w:pPr>
              <w:wordWrap w:val="0"/>
              <w:jc w:val="center"/>
              <w:rPr>
                <w:rFonts w:ascii="宋体" w:hAnsi="宋体" w:cs="宋体"/>
                <w:color w:val="auto"/>
                <w:highlight w:val="none"/>
              </w:rPr>
            </w:pPr>
          </w:p>
        </w:tc>
        <w:tc>
          <w:tcPr>
            <w:tcW w:w="1069" w:type="dxa"/>
            <w:vAlign w:val="center"/>
          </w:tcPr>
          <w:p w14:paraId="47C9F9AE">
            <w:pPr>
              <w:wordWrap w:val="0"/>
              <w:jc w:val="center"/>
              <w:rPr>
                <w:rFonts w:ascii="宋体" w:hAnsi="宋体" w:cs="宋体"/>
                <w:color w:val="auto"/>
                <w:highlight w:val="none"/>
              </w:rPr>
            </w:pPr>
          </w:p>
        </w:tc>
        <w:tc>
          <w:tcPr>
            <w:tcW w:w="717" w:type="dxa"/>
            <w:vAlign w:val="center"/>
          </w:tcPr>
          <w:p w14:paraId="615F456B">
            <w:pPr>
              <w:wordWrap w:val="0"/>
              <w:jc w:val="center"/>
              <w:rPr>
                <w:rFonts w:ascii="宋体" w:hAnsi="宋体" w:cs="宋体"/>
                <w:color w:val="auto"/>
                <w:highlight w:val="none"/>
              </w:rPr>
            </w:pPr>
          </w:p>
        </w:tc>
        <w:tc>
          <w:tcPr>
            <w:tcW w:w="757" w:type="dxa"/>
            <w:vAlign w:val="center"/>
          </w:tcPr>
          <w:p w14:paraId="7836BD5C">
            <w:pPr>
              <w:wordWrap w:val="0"/>
              <w:jc w:val="center"/>
              <w:rPr>
                <w:rFonts w:ascii="宋体" w:hAnsi="宋体" w:cs="宋体"/>
                <w:color w:val="auto"/>
                <w:highlight w:val="none"/>
              </w:rPr>
            </w:pPr>
          </w:p>
        </w:tc>
        <w:tc>
          <w:tcPr>
            <w:tcW w:w="756" w:type="dxa"/>
            <w:vAlign w:val="center"/>
          </w:tcPr>
          <w:p w14:paraId="00161E59">
            <w:pPr>
              <w:wordWrap w:val="0"/>
              <w:jc w:val="center"/>
              <w:rPr>
                <w:rFonts w:ascii="宋体" w:hAnsi="宋体" w:cs="宋体"/>
                <w:color w:val="auto"/>
                <w:highlight w:val="none"/>
              </w:rPr>
            </w:pPr>
          </w:p>
        </w:tc>
        <w:tc>
          <w:tcPr>
            <w:tcW w:w="630" w:type="dxa"/>
            <w:vAlign w:val="center"/>
          </w:tcPr>
          <w:p w14:paraId="7A95A63C">
            <w:pPr>
              <w:wordWrap w:val="0"/>
              <w:jc w:val="center"/>
              <w:rPr>
                <w:rFonts w:ascii="宋体" w:hAnsi="宋体" w:cs="宋体"/>
                <w:color w:val="auto"/>
                <w:highlight w:val="none"/>
              </w:rPr>
            </w:pPr>
          </w:p>
        </w:tc>
      </w:tr>
      <w:tr w14:paraId="326E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91" w:type="dxa"/>
            <w:gridSpan w:val="5"/>
            <w:vAlign w:val="center"/>
          </w:tcPr>
          <w:p w14:paraId="1A1A2D94">
            <w:pPr>
              <w:wordWrap w:val="0"/>
              <w:jc w:val="center"/>
              <w:rPr>
                <w:rFonts w:ascii="宋体" w:hAnsi="宋体" w:cs="宋体"/>
                <w:color w:val="auto"/>
                <w:highlight w:val="none"/>
              </w:rPr>
            </w:pPr>
            <w:r>
              <w:rPr>
                <w:rFonts w:hint="eastAsia" w:ascii="宋体" w:hAnsi="宋体" w:cs="宋体"/>
                <w:color w:val="auto"/>
                <w:highlight w:val="none"/>
              </w:rPr>
              <w:t>合计（人民币）</w:t>
            </w:r>
          </w:p>
        </w:tc>
        <w:tc>
          <w:tcPr>
            <w:tcW w:w="3929" w:type="dxa"/>
            <w:gridSpan w:val="5"/>
            <w:vAlign w:val="center"/>
          </w:tcPr>
          <w:p w14:paraId="26C523CF">
            <w:pPr>
              <w:wordWrap w:val="0"/>
              <w:jc w:val="center"/>
              <w:rPr>
                <w:rFonts w:ascii="宋体" w:hAnsi="宋体" w:cs="宋体"/>
                <w:color w:val="auto"/>
                <w:highlight w:val="none"/>
              </w:rPr>
            </w:pPr>
          </w:p>
        </w:tc>
      </w:tr>
    </w:tbl>
    <w:p w14:paraId="2C18E2E6">
      <w:pPr>
        <w:wordWrap w:val="0"/>
        <w:spacing w:line="360" w:lineRule="auto"/>
        <w:rPr>
          <w:rFonts w:ascii="宋体" w:hAnsi="宋体" w:cs="宋体"/>
          <w:color w:val="auto"/>
          <w:highlight w:val="none"/>
        </w:rPr>
      </w:pPr>
    </w:p>
    <w:p w14:paraId="7D75804C">
      <w:pPr>
        <w:wordWrap w:val="0"/>
        <w:spacing w:line="360" w:lineRule="auto"/>
        <w:rPr>
          <w:rFonts w:ascii="宋体" w:hAnsi="宋体" w:cs="宋体"/>
          <w:color w:val="auto"/>
          <w:highlight w:val="none"/>
        </w:rPr>
      </w:pPr>
    </w:p>
    <w:p w14:paraId="653E9138">
      <w:pPr>
        <w:wordWrap w:val="0"/>
        <w:spacing w:line="480" w:lineRule="auto"/>
        <w:ind w:firstLine="3150" w:firstLineChars="1500"/>
        <w:rPr>
          <w:rFonts w:ascii="宋体" w:hAnsi="宋体" w:cs="宋体"/>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5FB9FFA4">
      <w:pPr>
        <w:wordWrap w:val="0"/>
        <w:spacing w:line="480" w:lineRule="auto"/>
        <w:ind w:firstLine="3150" w:firstLineChars="1500"/>
        <w:rPr>
          <w:rFonts w:ascii="宋体" w:hAnsi="宋体" w:cs="宋体"/>
          <w:color w:val="auto"/>
          <w:highlight w:val="none"/>
        </w:rPr>
      </w:pPr>
      <w:r>
        <w:rPr>
          <w:rFonts w:hint="eastAsia" w:ascii="宋体" w:hAnsi="宋体" w:cs="宋体"/>
          <w:color w:val="auto"/>
          <w:highlight w:val="none"/>
        </w:rPr>
        <w:t>法定代表人或委托代理人：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30DA2048">
      <w:pPr>
        <w:wordWrap w:val="0"/>
        <w:spacing w:line="480" w:lineRule="auto"/>
        <w:jc w:val="right"/>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C9FA746">
      <w:pPr>
        <w:wordWrap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注：</w:t>
      </w:r>
    </w:p>
    <w:p w14:paraId="1F41E71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磋商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14:paraId="133B2E23">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2.类别填写：节能环保产品或环境标志产品。</w:t>
      </w:r>
    </w:p>
    <w:p w14:paraId="260D96E2">
      <w:pPr>
        <w:wordWrap w:val="0"/>
        <w:spacing w:line="360" w:lineRule="auto"/>
        <w:rPr>
          <w:rFonts w:ascii="宋体" w:hAnsi="宋体" w:cs="宋体"/>
          <w:b/>
          <w:bCs/>
          <w:color w:val="auto"/>
          <w:sz w:val="24"/>
          <w:szCs w:val="24"/>
          <w:highlight w:val="none"/>
        </w:rPr>
      </w:pPr>
      <w:r>
        <w:rPr>
          <w:rFonts w:hint="eastAsia" w:ascii="宋体" w:hAnsi="宋体" w:cs="宋体"/>
          <w:color w:val="auto"/>
          <w:highlight w:val="none"/>
        </w:rPr>
        <w:br w:type="page"/>
      </w:r>
      <w:r>
        <w:rPr>
          <w:rFonts w:hint="eastAsia" w:ascii="宋体" w:hAnsi="宋体" w:cs="宋体"/>
          <w:b/>
          <w:bCs/>
          <w:color w:val="auto"/>
          <w:sz w:val="24"/>
          <w:szCs w:val="24"/>
          <w:highlight w:val="none"/>
        </w:rPr>
        <w:t>附件6：《拒绝政府采购领域商业贿赂承诺书》</w:t>
      </w:r>
    </w:p>
    <w:p w14:paraId="038A8C22">
      <w:pPr>
        <w:rPr>
          <w:color w:val="auto"/>
          <w:highlight w:val="none"/>
        </w:rPr>
      </w:pPr>
    </w:p>
    <w:p w14:paraId="74D2B1E5">
      <w:pPr>
        <w:wordWrap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《拒绝政府采购领域商业贿赂承诺书》</w:t>
      </w:r>
    </w:p>
    <w:p w14:paraId="438DE45C">
      <w:pPr>
        <w:rPr>
          <w:color w:val="auto"/>
          <w:highlight w:val="none"/>
        </w:rPr>
      </w:pPr>
    </w:p>
    <w:p w14:paraId="72A9AF36">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为响应党中央、国务院关于治理采购领域商业贿赂行为的号召，我公司再次承诺：</w:t>
      </w:r>
    </w:p>
    <w:p w14:paraId="068604B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1.在参与采购活动中遵纪守法、诚信经营、公平竞标。</w:t>
      </w:r>
    </w:p>
    <w:p w14:paraId="3C5B639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2.不向采购人、采购代理机构和采购评审专家进行任何形式的商业贿赂以谋取成交人交易机会。</w:t>
      </w:r>
    </w:p>
    <w:p w14:paraId="38D03ABE">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3.不向采购代理机构和采购人提供虚假资质文件或采用虚假应标方式参与采购市场竞争并谋取中标、成交人。</w:t>
      </w:r>
    </w:p>
    <w:p w14:paraId="28CD953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4.不采取“围标、陪标”等商业欺诈手段获取采购订单。</w:t>
      </w:r>
    </w:p>
    <w:p w14:paraId="7B94DA0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5.不采取不正当手段诋毁、排挤其他磋商响应供应商。</w:t>
      </w:r>
    </w:p>
    <w:p w14:paraId="68EAECBA">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6.不在提供商品和服务时“偷梁换柱、以次充好”损害采购人的合法权益。</w:t>
      </w:r>
    </w:p>
    <w:p w14:paraId="16D8CDC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7.不与采购人、采购代理机构、采购评审专家或其他磋商响应供应商恶意串通，进行质疑和投诉，维护采购市场秩序。</w:t>
      </w:r>
    </w:p>
    <w:p w14:paraId="2FE3C982">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8.尊重和接受采购监督管理部门的监督和采购代理机构采购采购要求，承担因违约行为给采购人造成的损失。</w:t>
      </w:r>
    </w:p>
    <w:p w14:paraId="264B91A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9.不发生其他有悖于政府采购公开、公平、公正和诚信原则的行为。</w:t>
      </w:r>
    </w:p>
    <w:p w14:paraId="7821FB81">
      <w:pPr>
        <w:rPr>
          <w:color w:val="auto"/>
          <w:highlight w:val="none"/>
        </w:rPr>
      </w:pPr>
    </w:p>
    <w:p w14:paraId="55FBC168">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承诺单位：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796FCF2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全权代表：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14:paraId="4FD1F15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51B97E3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p>
    <w:p w14:paraId="1AF8A0AC">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1B24D59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9A0E94B">
      <w:pPr>
        <w:wordWrap w:val="0"/>
        <w:spacing w:line="360" w:lineRule="auto"/>
        <w:rPr>
          <w:rFonts w:ascii="宋体" w:hAnsi="宋体" w:cs="宋体"/>
          <w:color w:val="auto"/>
          <w:highlight w:val="none"/>
        </w:rPr>
        <w:sectPr>
          <w:pgSz w:w="11906" w:h="16838"/>
          <w:pgMar w:top="1440" w:right="1800" w:bottom="1440" w:left="1800" w:header="1191" w:footer="1134" w:gutter="0"/>
          <w:cols w:space="720" w:num="1"/>
          <w:docGrid w:type="lines" w:linePitch="312" w:charSpace="0"/>
        </w:sectPr>
      </w:pPr>
    </w:p>
    <w:p w14:paraId="03F82589">
      <w:pPr>
        <w:pStyle w:val="3"/>
        <w:rPr>
          <w:color w:val="auto"/>
          <w:highlight w:val="none"/>
        </w:rPr>
      </w:pPr>
      <w:bookmarkStart w:id="598" w:name="_Toc27353"/>
      <w:bookmarkStart w:id="599" w:name="_Toc10391"/>
      <w:r>
        <w:rPr>
          <w:rFonts w:hint="eastAsia"/>
          <w:color w:val="auto"/>
          <w:highlight w:val="none"/>
        </w:rPr>
        <w:t>八、企业业绩</w:t>
      </w:r>
      <w:bookmarkEnd w:id="586"/>
      <w:bookmarkEnd w:id="598"/>
      <w:bookmarkEnd w:id="599"/>
    </w:p>
    <w:p w14:paraId="76C9C980">
      <w:pPr>
        <w:rPr>
          <w:color w:val="auto"/>
          <w:highlight w:val="none"/>
        </w:rPr>
      </w:pPr>
    </w:p>
    <w:tbl>
      <w:tblPr>
        <w:tblStyle w:val="3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5655"/>
      </w:tblGrid>
      <w:tr w14:paraId="3CBC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407072FE">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5655" w:type="dxa"/>
            <w:vAlign w:val="center"/>
          </w:tcPr>
          <w:p w14:paraId="1A314EA4">
            <w:pPr>
              <w:adjustRightInd w:val="0"/>
              <w:snapToGrid w:val="0"/>
              <w:jc w:val="center"/>
              <w:rPr>
                <w:rFonts w:ascii="宋体" w:hAnsi="宋体" w:cs="宋体"/>
                <w:color w:val="auto"/>
                <w:sz w:val="24"/>
                <w:szCs w:val="24"/>
                <w:highlight w:val="none"/>
              </w:rPr>
            </w:pPr>
          </w:p>
        </w:tc>
      </w:tr>
      <w:tr w14:paraId="6E6E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78634EA9">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项目所在地</w:t>
            </w:r>
          </w:p>
        </w:tc>
        <w:tc>
          <w:tcPr>
            <w:tcW w:w="5655" w:type="dxa"/>
            <w:vAlign w:val="center"/>
          </w:tcPr>
          <w:p w14:paraId="692BC8B9">
            <w:pPr>
              <w:adjustRightInd w:val="0"/>
              <w:snapToGrid w:val="0"/>
              <w:jc w:val="center"/>
              <w:rPr>
                <w:rFonts w:ascii="宋体" w:hAnsi="宋体" w:cs="宋体"/>
                <w:color w:val="auto"/>
                <w:sz w:val="24"/>
                <w:szCs w:val="24"/>
                <w:highlight w:val="none"/>
              </w:rPr>
            </w:pPr>
          </w:p>
        </w:tc>
      </w:tr>
      <w:tr w14:paraId="6D9A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0B2EAEC3">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发包人名称</w:t>
            </w:r>
          </w:p>
        </w:tc>
        <w:tc>
          <w:tcPr>
            <w:tcW w:w="5655" w:type="dxa"/>
            <w:vAlign w:val="center"/>
          </w:tcPr>
          <w:p w14:paraId="1426009A">
            <w:pPr>
              <w:adjustRightInd w:val="0"/>
              <w:snapToGrid w:val="0"/>
              <w:jc w:val="center"/>
              <w:rPr>
                <w:rFonts w:ascii="宋体" w:hAnsi="宋体" w:cs="宋体"/>
                <w:color w:val="auto"/>
                <w:sz w:val="24"/>
                <w:szCs w:val="24"/>
                <w:highlight w:val="none"/>
              </w:rPr>
            </w:pPr>
          </w:p>
        </w:tc>
      </w:tr>
      <w:tr w14:paraId="68FD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60EA5000">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发包人地址</w:t>
            </w:r>
          </w:p>
        </w:tc>
        <w:tc>
          <w:tcPr>
            <w:tcW w:w="5655" w:type="dxa"/>
            <w:vAlign w:val="center"/>
          </w:tcPr>
          <w:p w14:paraId="02AB56FB">
            <w:pPr>
              <w:adjustRightInd w:val="0"/>
              <w:snapToGrid w:val="0"/>
              <w:jc w:val="center"/>
              <w:rPr>
                <w:rFonts w:ascii="宋体" w:hAnsi="宋体" w:cs="宋体"/>
                <w:color w:val="auto"/>
                <w:sz w:val="24"/>
                <w:szCs w:val="24"/>
                <w:highlight w:val="none"/>
              </w:rPr>
            </w:pPr>
          </w:p>
        </w:tc>
      </w:tr>
      <w:tr w14:paraId="0F75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6E6CBBF8">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发包人联系人及电话</w:t>
            </w:r>
          </w:p>
        </w:tc>
        <w:tc>
          <w:tcPr>
            <w:tcW w:w="5655" w:type="dxa"/>
            <w:vAlign w:val="center"/>
          </w:tcPr>
          <w:p w14:paraId="3D2A1484">
            <w:pPr>
              <w:adjustRightInd w:val="0"/>
              <w:snapToGrid w:val="0"/>
              <w:jc w:val="center"/>
              <w:rPr>
                <w:rFonts w:ascii="宋体" w:hAnsi="宋体" w:cs="宋体"/>
                <w:color w:val="auto"/>
                <w:sz w:val="24"/>
                <w:szCs w:val="24"/>
                <w:highlight w:val="none"/>
              </w:rPr>
            </w:pPr>
          </w:p>
        </w:tc>
      </w:tr>
      <w:tr w14:paraId="389E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238BCCE7">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合同价格</w:t>
            </w:r>
          </w:p>
        </w:tc>
        <w:tc>
          <w:tcPr>
            <w:tcW w:w="5655" w:type="dxa"/>
            <w:vAlign w:val="center"/>
          </w:tcPr>
          <w:p w14:paraId="14A51E24">
            <w:pPr>
              <w:adjustRightInd w:val="0"/>
              <w:snapToGrid w:val="0"/>
              <w:jc w:val="center"/>
              <w:rPr>
                <w:rFonts w:ascii="宋体" w:hAnsi="宋体" w:cs="宋体"/>
                <w:color w:val="auto"/>
                <w:sz w:val="24"/>
                <w:szCs w:val="24"/>
                <w:highlight w:val="none"/>
              </w:rPr>
            </w:pPr>
          </w:p>
        </w:tc>
      </w:tr>
      <w:tr w14:paraId="4053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4CA9906A">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开工日期</w:t>
            </w:r>
          </w:p>
        </w:tc>
        <w:tc>
          <w:tcPr>
            <w:tcW w:w="5655" w:type="dxa"/>
            <w:vAlign w:val="center"/>
          </w:tcPr>
          <w:p w14:paraId="25FD094B">
            <w:pPr>
              <w:adjustRightInd w:val="0"/>
              <w:snapToGrid w:val="0"/>
              <w:jc w:val="center"/>
              <w:rPr>
                <w:rFonts w:ascii="宋体" w:hAnsi="宋体" w:cs="宋体"/>
                <w:color w:val="auto"/>
                <w:sz w:val="24"/>
                <w:szCs w:val="24"/>
                <w:highlight w:val="none"/>
              </w:rPr>
            </w:pPr>
          </w:p>
        </w:tc>
      </w:tr>
      <w:tr w14:paraId="159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4E848031">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竣工日期</w:t>
            </w:r>
          </w:p>
        </w:tc>
        <w:tc>
          <w:tcPr>
            <w:tcW w:w="5655" w:type="dxa"/>
            <w:vAlign w:val="center"/>
          </w:tcPr>
          <w:p w14:paraId="57B1249D">
            <w:pPr>
              <w:adjustRightInd w:val="0"/>
              <w:snapToGrid w:val="0"/>
              <w:jc w:val="center"/>
              <w:rPr>
                <w:rFonts w:ascii="宋体" w:hAnsi="宋体" w:cs="宋体"/>
                <w:color w:val="auto"/>
                <w:sz w:val="24"/>
                <w:szCs w:val="24"/>
                <w:highlight w:val="none"/>
              </w:rPr>
            </w:pPr>
          </w:p>
        </w:tc>
      </w:tr>
      <w:tr w14:paraId="0A46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3514C2A1">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承担的工作</w:t>
            </w:r>
          </w:p>
        </w:tc>
        <w:tc>
          <w:tcPr>
            <w:tcW w:w="5655" w:type="dxa"/>
            <w:vAlign w:val="center"/>
          </w:tcPr>
          <w:p w14:paraId="454AA31E">
            <w:pPr>
              <w:adjustRightInd w:val="0"/>
              <w:snapToGrid w:val="0"/>
              <w:jc w:val="center"/>
              <w:rPr>
                <w:rFonts w:ascii="宋体" w:hAnsi="宋体" w:cs="宋体"/>
                <w:color w:val="auto"/>
                <w:sz w:val="24"/>
                <w:szCs w:val="24"/>
                <w:highlight w:val="none"/>
              </w:rPr>
            </w:pPr>
          </w:p>
        </w:tc>
      </w:tr>
      <w:tr w14:paraId="0DE2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75EFA894">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工程质量</w:t>
            </w:r>
          </w:p>
        </w:tc>
        <w:tc>
          <w:tcPr>
            <w:tcW w:w="5655" w:type="dxa"/>
            <w:vAlign w:val="center"/>
          </w:tcPr>
          <w:p w14:paraId="7922CC2A">
            <w:pPr>
              <w:adjustRightInd w:val="0"/>
              <w:snapToGrid w:val="0"/>
              <w:jc w:val="center"/>
              <w:rPr>
                <w:rFonts w:ascii="宋体" w:hAnsi="宋体" w:cs="宋体"/>
                <w:color w:val="auto"/>
                <w:sz w:val="24"/>
                <w:szCs w:val="24"/>
                <w:highlight w:val="none"/>
              </w:rPr>
            </w:pPr>
          </w:p>
        </w:tc>
      </w:tr>
      <w:tr w14:paraId="4403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34ACC7BF">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5655" w:type="dxa"/>
            <w:vAlign w:val="center"/>
          </w:tcPr>
          <w:p w14:paraId="791A8FA7">
            <w:pPr>
              <w:adjustRightInd w:val="0"/>
              <w:snapToGrid w:val="0"/>
              <w:jc w:val="center"/>
              <w:rPr>
                <w:rFonts w:ascii="宋体" w:hAnsi="宋体" w:cs="宋体"/>
                <w:color w:val="auto"/>
                <w:sz w:val="24"/>
                <w:szCs w:val="24"/>
                <w:highlight w:val="none"/>
              </w:rPr>
            </w:pPr>
          </w:p>
        </w:tc>
      </w:tr>
      <w:tr w14:paraId="2260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461D9DEB">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5655" w:type="dxa"/>
            <w:vAlign w:val="center"/>
          </w:tcPr>
          <w:p w14:paraId="79253C46">
            <w:pPr>
              <w:adjustRightInd w:val="0"/>
              <w:snapToGrid w:val="0"/>
              <w:jc w:val="center"/>
              <w:rPr>
                <w:rFonts w:ascii="宋体" w:hAnsi="宋体" w:cs="宋体"/>
                <w:color w:val="auto"/>
                <w:sz w:val="24"/>
                <w:szCs w:val="24"/>
                <w:highlight w:val="none"/>
              </w:rPr>
            </w:pPr>
          </w:p>
        </w:tc>
      </w:tr>
      <w:tr w14:paraId="017E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73EBD608">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总监理工程师及电话</w:t>
            </w:r>
          </w:p>
        </w:tc>
        <w:tc>
          <w:tcPr>
            <w:tcW w:w="5655" w:type="dxa"/>
            <w:vAlign w:val="center"/>
          </w:tcPr>
          <w:p w14:paraId="460ADF0E">
            <w:pPr>
              <w:adjustRightInd w:val="0"/>
              <w:snapToGrid w:val="0"/>
              <w:jc w:val="center"/>
              <w:rPr>
                <w:rFonts w:ascii="宋体" w:hAnsi="宋体" w:cs="宋体"/>
                <w:color w:val="auto"/>
                <w:sz w:val="24"/>
                <w:szCs w:val="24"/>
                <w:highlight w:val="none"/>
              </w:rPr>
            </w:pPr>
          </w:p>
        </w:tc>
      </w:tr>
      <w:tr w14:paraId="38C8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704" w:type="dxa"/>
            <w:vAlign w:val="center"/>
          </w:tcPr>
          <w:p w14:paraId="76F7C546">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项目描述</w:t>
            </w:r>
          </w:p>
        </w:tc>
        <w:tc>
          <w:tcPr>
            <w:tcW w:w="5655" w:type="dxa"/>
            <w:vAlign w:val="center"/>
          </w:tcPr>
          <w:p w14:paraId="607103EF">
            <w:pPr>
              <w:adjustRightInd w:val="0"/>
              <w:snapToGrid w:val="0"/>
              <w:jc w:val="center"/>
              <w:rPr>
                <w:rFonts w:ascii="宋体" w:hAnsi="宋体" w:cs="宋体"/>
                <w:color w:val="auto"/>
                <w:sz w:val="24"/>
                <w:szCs w:val="24"/>
                <w:highlight w:val="none"/>
              </w:rPr>
            </w:pPr>
          </w:p>
        </w:tc>
      </w:tr>
      <w:tr w14:paraId="630E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vAlign w:val="center"/>
          </w:tcPr>
          <w:p w14:paraId="63C39FCD">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5655" w:type="dxa"/>
            <w:vAlign w:val="center"/>
          </w:tcPr>
          <w:p w14:paraId="2A19D1D3">
            <w:pPr>
              <w:adjustRightInd w:val="0"/>
              <w:snapToGrid w:val="0"/>
              <w:jc w:val="center"/>
              <w:rPr>
                <w:rFonts w:ascii="宋体" w:hAnsi="宋体" w:cs="宋体"/>
                <w:color w:val="auto"/>
                <w:sz w:val="24"/>
                <w:szCs w:val="24"/>
                <w:highlight w:val="none"/>
              </w:rPr>
            </w:pPr>
          </w:p>
        </w:tc>
      </w:tr>
    </w:tbl>
    <w:p w14:paraId="46350168">
      <w:pPr>
        <w:spacing w:line="480" w:lineRule="auto"/>
        <w:rPr>
          <w:rFonts w:ascii="宋体" w:hAnsi="宋体" w:cs="宋体"/>
          <w:color w:val="auto"/>
          <w:sz w:val="24"/>
          <w:szCs w:val="24"/>
          <w:highlight w:val="none"/>
        </w:rPr>
      </w:pPr>
      <w:bookmarkStart w:id="600" w:name="_Toc5594"/>
      <w:bookmarkStart w:id="601" w:name="_Toc27299"/>
      <w:bookmarkStart w:id="602" w:name="_Toc4921"/>
      <w:r>
        <w:rPr>
          <w:rStyle w:val="48"/>
          <w:rFonts w:hint="eastAsia" w:ascii="宋体" w:hAnsi="宋体" w:cs="宋体"/>
          <w:bCs/>
          <w:color w:val="auto"/>
          <w:sz w:val="24"/>
          <w:szCs w:val="24"/>
          <w:highlight w:val="none"/>
        </w:rPr>
        <w:t>注：此表后附符合本文件要求的证明材料，每提供一个业绩填写一份。</w:t>
      </w:r>
      <w:bookmarkEnd w:id="600"/>
      <w:bookmarkEnd w:id="601"/>
      <w:bookmarkEnd w:id="602"/>
      <w:r>
        <w:rPr>
          <w:rFonts w:hint="eastAsia" w:ascii="宋体" w:hAnsi="宋体" w:cs="宋体"/>
          <w:color w:val="auto"/>
          <w:sz w:val="24"/>
          <w:szCs w:val="24"/>
          <w:highlight w:val="none"/>
        </w:rPr>
        <w:br w:type="page"/>
      </w:r>
      <w:bookmarkStart w:id="603" w:name="_Toc5795"/>
      <w:bookmarkStart w:id="604" w:name="_Toc20675"/>
      <w:bookmarkStart w:id="605" w:name="_Toc11012"/>
    </w:p>
    <w:p w14:paraId="48021ECC">
      <w:pPr>
        <w:pStyle w:val="3"/>
        <w:rPr>
          <w:color w:val="auto"/>
          <w:highlight w:val="none"/>
        </w:rPr>
      </w:pPr>
      <w:bookmarkStart w:id="606" w:name="_Toc15052"/>
      <w:bookmarkStart w:id="607" w:name="_Toc8290"/>
      <w:bookmarkStart w:id="608" w:name="_Toc3709"/>
      <w:bookmarkStart w:id="609" w:name="_Toc2712"/>
      <w:bookmarkStart w:id="610" w:name="_Toc8949"/>
      <w:bookmarkStart w:id="611" w:name="_Toc5852"/>
      <w:bookmarkStart w:id="612" w:name="_Toc10955"/>
      <w:bookmarkStart w:id="613" w:name="_Toc27241"/>
      <w:bookmarkStart w:id="614" w:name="_Toc19198"/>
      <w:r>
        <w:rPr>
          <w:rFonts w:hint="eastAsia"/>
          <w:color w:val="auto"/>
          <w:highlight w:val="none"/>
        </w:rPr>
        <w:t>九、</w:t>
      </w:r>
      <w:bookmarkEnd w:id="606"/>
      <w:bookmarkEnd w:id="607"/>
      <w:bookmarkEnd w:id="608"/>
      <w:bookmarkEnd w:id="609"/>
      <w:bookmarkEnd w:id="610"/>
      <w:bookmarkEnd w:id="611"/>
      <w:bookmarkEnd w:id="612"/>
      <w:bookmarkEnd w:id="613"/>
      <w:bookmarkStart w:id="615" w:name="_Toc25352"/>
      <w:bookmarkStart w:id="616" w:name="_Toc8269"/>
      <w:bookmarkStart w:id="617" w:name="_Toc16776"/>
      <w:bookmarkStart w:id="618" w:name="_Toc1536"/>
      <w:bookmarkStart w:id="619" w:name="_Toc15626"/>
      <w:bookmarkStart w:id="620" w:name="_Toc4366"/>
      <w:bookmarkStart w:id="621" w:name="_Toc31994"/>
      <w:bookmarkStart w:id="622" w:name="_Toc3804"/>
      <w:r>
        <w:rPr>
          <w:rFonts w:hint="eastAsia"/>
          <w:color w:val="auto"/>
          <w:highlight w:val="none"/>
        </w:rPr>
        <w:t>拟派项目部人员构成</w:t>
      </w:r>
      <w:bookmarkEnd w:id="614"/>
      <w:bookmarkEnd w:id="615"/>
      <w:bookmarkEnd w:id="616"/>
      <w:bookmarkEnd w:id="617"/>
      <w:bookmarkEnd w:id="618"/>
      <w:bookmarkEnd w:id="619"/>
      <w:bookmarkEnd w:id="620"/>
      <w:bookmarkEnd w:id="621"/>
      <w:bookmarkEnd w:id="622"/>
    </w:p>
    <w:p w14:paraId="6BA29A5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主要项目管理人员包括不限于施工员、安全员、造价员、质量员等及本文件要求的其他技术人员。具体要求详见第四章 评审办法。此表后附符合本文件要求的证明材料，拟派项目部成员每人均应附如下简历表。</w:t>
      </w:r>
    </w:p>
    <w:tbl>
      <w:tblPr>
        <w:tblStyle w:val="3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246"/>
        <w:gridCol w:w="4230"/>
      </w:tblGrid>
      <w:tr w14:paraId="3DD6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60" w:type="dxa"/>
            <w:gridSpan w:val="3"/>
            <w:vAlign w:val="center"/>
          </w:tcPr>
          <w:p w14:paraId="7394A2AD">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岗位名称：</w:t>
            </w:r>
          </w:p>
        </w:tc>
      </w:tr>
      <w:tr w14:paraId="06D9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30" w:type="dxa"/>
            <w:gridSpan w:val="2"/>
            <w:vAlign w:val="center"/>
          </w:tcPr>
          <w:p w14:paraId="368D6D18">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4230" w:type="dxa"/>
            <w:vAlign w:val="center"/>
          </w:tcPr>
          <w:p w14:paraId="6E2015A1">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年    龄：</w:t>
            </w:r>
          </w:p>
        </w:tc>
      </w:tr>
      <w:tr w14:paraId="4364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30" w:type="dxa"/>
            <w:gridSpan w:val="2"/>
            <w:vAlign w:val="center"/>
          </w:tcPr>
          <w:p w14:paraId="2CD0DFC4">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性    别：</w:t>
            </w:r>
          </w:p>
        </w:tc>
        <w:tc>
          <w:tcPr>
            <w:tcW w:w="4230" w:type="dxa"/>
            <w:vAlign w:val="center"/>
          </w:tcPr>
          <w:p w14:paraId="4837EA98">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r>
      <w:tr w14:paraId="6117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30" w:type="dxa"/>
            <w:gridSpan w:val="2"/>
            <w:vAlign w:val="center"/>
          </w:tcPr>
          <w:p w14:paraId="508AE44F">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学历和专业：</w:t>
            </w:r>
          </w:p>
        </w:tc>
        <w:tc>
          <w:tcPr>
            <w:tcW w:w="4230" w:type="dxa"/>
            <w:vAlign w:val="center"/>
          </w:tcPr>
          <w:p w14:paraId="2BA3C69B">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毕业时间：</w:t>
            </w:r>
          </w:p>
        </w:tc>
      </w:tr>
      <w:tr w14:paraId="47FC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30" w:type="dxa"/>
            <w:gridSpan w:val="2"/>
            <w:vAlign w:val="center"/>
          </w:tcPr>
          <w:p w14:paraId="1911AF05">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拥有的执业资格：</w:t>
            </w:r>
          </w:p>
        </w:tc>
        <w:tc>
          <w:tcPr>
            <w:tcW w:w="4230" w:type="dxa"/>
            <w:vAlign w:val="center"/>
          </w:tcPr>
          <w:p w14:paraId="15B8862D">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专业职称：</w:t>
            </w:r>
          </w:p>
        </w:tc>
      </w:tr>
      <w:tr w14:paraId="0E76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30" w:type="dxa"/>
            <w:gridSpan w:val="2"/>
            <w:vAlign w:val="center"/>
          </w:tcPr>
          <w:p w14:paraId="4F8BA0A4">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执业资格证书编号：</w:t>
            </w:r>
          </w:p>
        </w:tc>
        <w:tc>
          <w:tcPr>
            <w:tcW w:w="4230" w:type="dxa"/>
            <w:vAlign w:val="center"/>
          </w:tcPr>
          <w:p w14:paraId="51B758ED">
            <w:pPr>
              <w:adjustRightInd w:val="0"/>
              <w:snapToGrid w:val="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r>
      <w:tr w14:paraId="0442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8" w:hRule="atLeast"/>
          <w:jc w:val="center"/>
        </w:trPr>
        <w:tc>
          <w:tcPr>
            <w:tcW w:w="984" w:type="dxa"/>
            <w:vAlign w:val="center"/>
          </w:tcPr>
          <w:p w14:paraId="06846A77">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主</w:t>
            </w:r>
          </w:p>
          <w:p w14:paraId="688CEBA2">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要</w:t>
            </w:r>
          </w:p>
          <w:p w14:paraId="1FC50F03">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工</w:t>
            </w:r>
          </w:p>
          <w:p w14:paraId="2138F360">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作</w:t>
            </w:r>
          </w:p>
          <w:p w14:paraId="42457A62">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业</w:t>
            </w:r>
          </w:p>
          <w:p w14:paraId="71BBA529">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绩</w:t>
            </w:r>
          </w:p>
          <w:p w14:paraId="1385381C">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及</w:t>
            </w:r>
          </w:p>
          <w:p w14:paraId="6AD00FA2">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担</w:t>
            </w:r>
          </w:p>
          <w:p w14:paraId="7AF4301D">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任</w:t>
            </w:r>
          </w:p>
          <w:p w14:paraId="5141D99F">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的</w:t>
            </w:r>
          </w:p>
          <w:p w14:paraId="528B90A3">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主</w:t>
            </w:r>
          </w:p>
          <w:p w14:paraId="65EAA26A">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要</w:t>
            </w:r>
          </w:p>
          <w:p w14:paraId="30A57780">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工</w:t>
            </w:r>
          </w:p>
          <w:p w14:paraId="2F50512C">
            <w:pPr>
              <w:adjustRightInd w:val="0"/>
              <w:snapToGrid w:val="0"/>
              <w:spacing w:line="312"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作</w:t>
            </w:r>
          </w:p>
        </w:tc>
        <w:tc>
          <w:tcPr>
            <w:tcW w:w="7476" w:type="dxa"/>
            <w:gridSpan w:val="2"/>
            <w:vAlign w:val="center"/>
          </w:tcPr>
          <w:p w14:paraId="53EBB6DD">
            <w:pPr>
              <w:adjustRightInd w:val="0"/>
              <w:snapToGrid w:val="0"/>
              <w:spacing w:line="312" w:lineRule="auto"/>
              <w:ind w:firstLine="240" w:firstLineChars="100"/>
              <w:jc w:val="left"/>
              <w:rPr>
                <w:rFonts w:ascii="宋体" w:hAnsi="宋体" w:cs="宋体"/>
                <w:color w:val="auto"/>
                <w:sz w:val="24"/>
                <w:szCs w:val="24"/>
                <w:highlight w:val="none"/>
              </w:rPr>
            </w:pPr>
          </w:p>
        </w:tc>
      </w:tr>
    </w:tbl>
    <w:p w14:paraId="70110B03">
      <w:pPr>
        <w:jc w:val="center"/>
        <w:rPr>
          <w:rStyle w:val="48"/>
          <w:rFonts w:ascii="宋体" w:hAnsi="宋体" w:cs="宋体"/>
          <w:b w:val="0"/>
          <w:color w:val="auto"/>
          <w:sz w:val="24"/>
          <w:szCs w:val="24"/>
          <w:highlight w:val="none"/>
        </w:rPr>
        <w:sectPr>
          <w:footerReference r:id="rId21" w:type="first"/>
          <w:headerReference r:id="rId18" w:type="default"/>
          <w:footerReference r:id="rId19" w:type="default"/>
          <w:footerReference r:id="rId20" w:type="even"/>
          <w:pgSz w:w="11906" w:h="16838"/>
          <w:pgMar w:top="1440" w:right="1800" w:bottom="1440" w:left="1800" w:header="851" w:footer="992" w:gutter="0"/>
          <w:cols w:space="720" w:num="1"/>
          <w:titlePg/>
          <w:docGrid w:type="lines" w:linePitch="312" w:charSpace="0"/>
        </w:sectPr>
      </w:pPr>
      <w:bookmarkStart w:id="623" w:name="_Toc1733"/>
      <w:bookmarkStart w:id="624" w:name="_Toc30622"/>
      <w:bookmarkStart w:id="625" w:name="_Toc10548"/>
      <w:bookmarkStart w:id="626" w:name="_Toc6377"/>
      <w:bookmarkStart w:id="627" w:name="_Toc13618"/>
      <w:bookmarkStart w:id="628" w:name="_Toc22744"/>
    </w:p>
    <w:p w14:paraId="7BE02B01">
      <w:pPr>
        <w:pStyle w:val="3"/>
        <w:rPr>
          <w:color w:val="auto"/>
          <w:highlight w:val="none"/>
        </w:rPr>
      </w:pPr>
      <w:bookmarkStart w:id="629" w:name="_Toc29792"/>
      <w:r>
        <w:rPr>
          <w:rFonts w:hint="eastAsia"/>
          <w:color w:val="auto"/>
          <w:highlight w:val="none"/>
        </w:rPr>
        <w:t>十、</w:t>
      </w:r>
      <w:bookmarkEnd w:id="623"/>
      <w:bookmarkEnd w:id="624"/>
      <w:r>
        <w:rPr>
          <w:rFonts w:hint="eastAsia"/>
          <w:color w:val="auto"/>
          <w:highlight w:val="none"/>
        </w:rPr>
        <w:t>施工组织设计</w:t>
      </w:r>
      <w:bookmarkEnd w:id="629"/>
    </w:p>
    <w:p w14:paraId="2ED00B0F">
      <w:pPr>
        <w:jc w:val="center"/>
        <w:rPr>
          <w:rStyle w:val="48"/>
          <w:rFonts w:ascii="宋体" w:hAnsi="宋体" w:cs="宋体"/>
          <w:b w:val="0"/>
          <w:color w:val="auto"/>
          <w:sz w:val="24"/>
          <w:szCs w:val="24"/>
          <w:highlight w:val="none"/>
        </w:rPr>
      </w:pPr>
    </w:p>
    <w:p w14:paraId="41DF59F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1.供应商应根据竞争性磋商文件，采用文字并结合图表形式，参考以下要点编制本工程的技术方案。</w:t>
      </w:r>
    </w:p>
    <w:p w14:paraId="315321BE">
      <w:pPr>
        <w:spacing w:line="360" w:lineRule="auto"/>
        <w:ind w:firstLine="480" w:firstLineChars="200"/>
        <w:rPr>
          <w:rFonts w:ascii="宋体" w:hAnsi="宋体" w:cs="宋体"/>
          <w:color w:val="auto"/>
          <w:sz w:val="24"/>
          <w:szCs w:val="24"/>
          <w:highlight w:val="none"/>
        </w:rPr>
      </w:pPr>
    </w:p>
    <w:p w14:paraId="5F5CAB1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2.施工组织设计除采用文字表述外可附下列图表，图表及格式要求附后。</w:t>
      </w:r>
    </w:p>
    <w:p w14:paraId="146B274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附表一：拟投入本工程的主要施工设备表</w:t>
      </w:r>
    </w:p>
    <w:p w14:paraId="46E07C2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附表二：拟配备本工程的试验和检测仪器设备表</w:t>
      </w:r>
    </w:p>
    <w:p w14:paraId="37D7A5D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附表三：劳动力计划表</w:t>
      </w:r>
    </w:p>
    <w:p w14:paraId="2B73B4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附表四：计划开、竣工日期和施工进度网络图</w:t>
      </w:r>
    </w:p>
    <w:p w14:paraId="13E9F69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附表五：临时用地表</w:t>
      </w:r>
      <w:r>
        <w:rPr>
          <w:rFonts w:hint="eastAsia" w:ascii="宋体" w:hAnsi="宋体" w:cs="宋体"/>
          <w:color w:val="auto"/>
          <w:szCs w:val="24"/>
          <w:highlight w:val="none"/>
        </w:rPr>
        <w:br w:type="page"/>
      </w:r>
      <w:r>
        <w:rPr>
          <w:rFonts w:hint="eastAsia" w:ascii="宋体" w:hAnsi="宋体" w:cs="宋体"/>
          <w:b/>
          <w:bCs/>
          <w:color w:val="auto"/>
          <w:sz w:val="24"/>
          <w:szCs w:val="24"/>
          <w:highlight w:val="none"/>
        </w:rPr>
        <w:t>附表一：</w:t>
      </w:r>
    </w:p>
    <w:p w14:paraId="357483AD">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拟投入本工程的主要施工设备表</w:t>
      </w:r>
    </w:p>
    <w:tbl>
      <w:tblPr>
        <w:tblStyle w:val="39"/>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721"/>
        <w:gridCol w:w="725"/>
        <w:gridCol w:w="785"/>
        <w:gridCol w:w="881"/>
        <w:gridCol w:w="854"/>
        <w:gridCol w:w="1050"/>
        <w:gridCol w:w="796"/>
        <w:gridCol w:w="1138"/>
        <w:gridCol w:w="684"/>
      </w:tblGrid>
      <w:tr w14:paraId="2AA9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0" w:type="dxa"/>
            <w:vAlign w:val="center"/>
          </w:tcPr>
          <w:p w14:paraId="3C20902B">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721" w:type="dxa"/>
            <w:vAlign w:val="center"/>
          </w:tcPr>
          <w:p w14:paraId="0A802ED1">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设备</w:t>
            </w:r>
          </w:p>
          <w:p w14:paraId="7B632203">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725" w:type="dxa"/>
            <w:vAlign w:val="center"/>
          </w:tcPr>
          <w:p w14:paraId="0C8AE96C">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型号</w:t>
            </w:r>
          </w:p>
          <w:p w14:paraId="62C06AF3">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规格</w:t>
            </w:r>
          </w:p>
        </w:tc>
        <w:tc>
          <w:tcPr>
            <w:tcW w:w="785" w:type="dxa"/>
            <w:vAlign w:val="center"/>
          </w:tcPr>
          <w:p w14:paraId="70DC746D">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881" w:type="dxa"/>
            <w:vAlign w:val="center"/>
          </w:tcPr>
          <w:p w14:paraId="22728F5B">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国别</w:t>
            </w:r>
          </w:p>
          <w:p w14:paraId="566817D8">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产地</w:t>
            </w:r>
          </w:p>
        </w:tc>
        <w:tc>
          <w:tcPr>
            <w:tcW w:w="854" w:type="dxa"/>
            <w:vAlign w:val="center"/>
          </w:tcPr>
          <w:p w14:paraId="60FFFB10">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制造</w:t>
            </w:r>
          </w:p>
          <w:p w14:paraId="0B06918F">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年份</w:t>
            </w:r>
          </w:p>
        </w:tc>
        <w:tc>
          <w:tcPr>
            <w:tcW w:w="1050" w:type="dxa"/>
            <w:vAlign w:val="center"/>
          </w:tcPr>
          <w:p w14:paraId="2906A467">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额定功率（KW）</w:t>
            </w:r>
          </w:p>
        </w:tc>
        <w:tc>
          <w:tcPr>
            <w:tcW w:w="796" w:type="dxa"/>
            <w:vAlign w:val="center"/>
          </w:tcPr>
          <w:p w14:paraId="719FC80F">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生产</w:t>
            </w:r>
          </w:p>
          <w:p w14:paraId="6C3E7011">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能力</w:t>
            </w:r>
          </w:p>
        </w:tc>
        <w:tc>
          <w:tcPr>
            <w:tcW w:w="1138" w:type="dxa"/>
            <w:vAlign w:val="center"/>
          </w:tcPr>
          <w:p w14:paraId="7480A6D5">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用于施工部位</w:t>
            </w:r>
          </w:p>
        </w:tc>
        <w:tc>
          <w:tcPr>
            <w:tcW w:w="684" w:type="dxa"/>
            <w:vAlign w:val="center"/>
          </w:tcPr>
          <w:p w14:paraId="1A8C2E08">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7E78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4B73B84A">
            <w:pPr>
              <w:jc w:val="center"/>
              <w:rPr>
                <w:rFonts w:ascii="宋体" w:hAnsi="宋体" w:cs="宋体"/>
                <w:color w:val="auto"/>
                <w:sz w:val="24"/>
                <w:szCs w:val="24"/>
                <w:highlight w:val="none"/>
              </w:rPr>
            </w:pPr>
          </w:p>
        </w:tc>
        <w:tc>
          <w:tcPr>
            <w:tcW w:w="721" w:type="dxa"/>
            <w:vAlign w:val="center"/>
          </w:tcPr>
          <w:p w14:paraId="03804C05">
            <w:pPr>
              <w:jc w:val="center"/>
              <w:rPr>
                <w:rFonts w:ascii="宋体" w:hAnsi="宋体" w:cs="宋体"/>
                <w:color w:val="auto"/>
                <w:sz w:val="24"/>
                <w:szCs w:val="24"/>
                <w:highlight w:val="none"/>
              </w:rPr>
            </w:pPr>
          </w:p>
        </w:tc>
        <w:tc>
          <w:tcPr>
            <w:tcW w:w="725" w:type="dxa"/>
            <w:vAlign w:val="center"/>
          </w:tcPr>
          <w:p w14:paraId="04630327">
            <w:pPr>
              <w:jc w:val="center"/>
              <w:rPr>
                <w:rFonts w:ascii="宋体" w:hAnsi="宋体" w:cs="宋体"/>
                <w:color w:val="auto"/>
                <w:sz w:val="24"/>
                <w:szCs w:val="24"/>
                <w:highlight w:val="none"/>
              </w:rPr>
            </w:pPr>
          </w:p>
        </w:tc>
        <w:tc>
          <w:tcPr>
            <w:tcW w:w="785" w:type="dxa"/>
            <w:vAlign w:val="center"/>
          </w:tcPr>
          <w:p w14:paraId="5E86A855">
            <w:pPr>
              <w:jc w:val="center"/>
              <w:rPr>
                <w:rFonts w:ascii="宋体" w:hAnsi="宋体" w:cs="宋体"/>
                <w:color w:val="auto"/>
                <w:sz w:val="24"/>
                <w:szCs w:val="24"/>
                <w:highlight w:val="none"/>
              </w:rPr>
            </w:pPr>
          </w:p>
        </w:tc>
        <w:tc>
          <w:tcPr>
            <w:tcW w:w="881" w:type="dxa"/>
            <w:vAlign w:val="center"/>
          </w:tcPr>
          <w:p w14:paraId="786C0E0E">
            <w:pPr>
              <w:jc w:val="center"/>
              <w:rPr>
                <w:rFonts w:ascii="宋体" w:hAnsi="宋体" w:cs="宋体"/>
                <w:color w:val="auto"/>
                <w:sz w:val="24"/>
                <w:szCs w:val="24"/>
                <w:highlight w:val="none"/>
              </w:rPr>
            </w:pPr>
          </w:p>
        </w:tc>
        <w:tc>
          <w:tcPr>
            <w:tcW w:w="854" w:type="dxa"/>
            <w:vAlign w:val="center"/>
          </w:tcPr>
          <w:p w14:paraId="433DF230">
            <w:pPr>
              <w:jc w:val="center"/>
              <w:rPr>
                <w:rFonts w:ascii="宋体" w:hAnsi="宋体" w:cs="宋体"/>
                <w:color w:val="auto"/>
                <w:sz w:val="24"/>
                <w:szCs w:val="24"/>
                <w:highlight w:val="none"/>
              </w:rPr>
            </w:pPr>
          </w:p>
        </w:tc>
        <w:tc>
          <w:tcPr>
            <w:tcW w:w="1050" w:type="dxa"/>
            <w:vAlign w:val="center"/>
          </w:tcPr>
          <w:p w14:paraId="7A44914D">
            <w:pPr>
              <w:jc w:val="center"/>
              <w:rPr>
                <w:rFonts w:ascii="宋体" w:hAnsi="宋体" w:cs="宋体"/>
                <w:color w:val="auto"/>
                <w:sz w:val="24"/>
                <w:szCs w:val="24"/>
                <w:highlight w:val="none"/>
              </w:rPr>
            </w:pPr>
          </w:p>
        </w:tc>
        <w:tc>
          <w:tcPr>
            <w:tcW w:w="796" w:type="dxa"/>
            <w:vAlign w:val="center"/>
          </w:tcPr>
          <w:p w14:paraId="71E61C13">
            <w:pPr>
              <w:jc w:val="center"/>
              <w:rPr>
                <w:rFonts w:ascii="宋体" w:hAnsi="宋体" w:cs="宋体"/>
                <w:color w:val="auto"/>
                <w:sz w:val="24"/>
                <w:szCs w:val="24"/>
                <w:highlight w:val="none"/>
              </w:rPr>
            </w:pPr>
          </w:p>
        </w:tc>
        <w:tc>
          <w:tcPr>
            <w:tcW w:w="1138" w:type="dxa"/>
            <w:vAlign w:val="center"/>
          </w:tcPr>
          <w:p w14:paraId="5AAC7769">
            <w:pPr>
              <w:jc w:val="center"/>
              <w:rPr>
                <w:rFonts w:ascii="宋体" w:hAnsi="宋体" w:cs="宋体"/>
                <w:color w:val="auto"/>
                <w:sz w:val="24"/>
                <w:szCs w:val="24"/>
                <w:highlight w:val="none"/>
              </w:rPr>
            </w:pPr>
          </w:p>
        </w:tc>
        <w:tc>
          <w:tcPr>
            <w:tcW w:w="684" w:type="dxa"/>
            <w:vAlign w:val="center"/>
          </w:tcPr>
          <w:p w14:paraId="0DC8C906">
            <w:pPr>
              <w:jc w:val="center"/>
              <w:rPr>
                <w:rFonts w:ascii="宋体" w:hAnsi="宋体" w:cs="宋体"/>
                <w:color w:val="auto"/>
                <w:sz w:val="24"/>
                <w:szCs w:val="24"/>
                <w:highlight w:val="none"/>
              </w:rPr>
            </w:pPr>
          </w:p>
        </w:tc>
      </w:tr>
      <w:tr w14:paraId="3A73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0219E819">
            <w:pPr>
              <w:jc w:val="center"/>
              <w:rPr>
                <w:rFonts w:ascii="宋体" w:hAnsi="宋体" w:cs="宋体"/>
                <w:color w:val="auto"/>
                <w:sz w:val="24"/>
                <w:szCs w:val="24"/>
                <w:highlight w:val="none"/>
              </w:rPr>
            </w:pPr>
          </w:p>
        </w:tc>
        <w:tc>
          <w:tcPr>
            <w:tcW w:w="721" w:type="dxa"/>
            <w:vAlign w:val="center"/>
          </w:tcPr>
          <w:p w14:paraId="7BD8E1DF">
            <w:pPr>
              <w:jc w:val="center"/>
              <w:rPr>
                <w:rFonts w:ascii="宋体" w:hAnsi="宋体" w:cs="宋体"/>
                <w:color w:val="auto"/>
                <w:sz w:val="24"/>
                <w:szCs w:val="24"/>
                <w:highlight w:val="none"/>
              </w:rPr>
            </w:pPr>
          </w:p>
        </w:tc>
        <w:tc>
          <w:tcPr>
            <w:tcW w:w="725" w:type="dxa"/>
            <w:vAlign w:val="center"/>
          </w:tcPr>
          <w:p w14:paraId="179A1E60">
            <w:pPr>
              <w:jc w:val="center"/>
              <w:rPr>
                <w:rFonts w:ascii="宋体" w:hAnsi="宋体" w:cs="宋体"/>
                <w:color w:val="auto"/>
                <w:sz w:val="24"/>
                <w:szCs w:val="24"/>
                <w:highlight w:val="none"/>
              </w:rPr>
            </w:pPr>
          </w:p>
        </w:tc>
        <w:tc>
          <w:tcPr>
            <w:tcW w:w="785" w:type="dxa"/>
            <w:vAlign w:val="center"/>
          </w:tcPr>
          <w:p w14:paraId="7E60A5C0">
            <w:pPr>
              <w:jc w:val="center"/>
              <w:rPr>
                <w:rFonts w:ascii="宋体" w:hAnsi="宋体" w:cs="宋体"/>
                <w:color w:val="auto"/>
                <w:sz w:val="24"/>
                <w:szCs w:val="24"/>
                <w:highlight w:val="none"/>
              </w:rPr>
            </w:pPr>
          </w:p>
        </w:tc>
        <w:tc>
          <w:tcPr>
            <w:tcW w:w="881" w:type="dxa"/>
            <w:vAlign w:val="center"/>
          </w:tcPr>
          <w:p w14:paraId="54B6AF15">
            <w:pPr>
              <w:jc w:val="center"/>
              <w:rPr>
                <w:rFonts w:ascii="宋体" w:hAnsi="宋体" w:cs="宋体"/>
                <w:color w:val="auto"/>
                <w:sz w:val="24"/>
                <w:szCs w:val="24"/>
                <w:highlight w:val="none"/>
              </w:rPr>
            </w:pPr>
          </w:p>
        </w:tc>
        <w:tc>
          <w:tcPr>
            <w:tcW w:w="854" w:type="dxa"/>
            <w:vAlign w:val="center"/>
          </w:tcPr>
          <w:p w14:paraId="31DF68AC">
            <w:pPr>
              <w:jc w:val="center"/>
              <w:rPr>
                <w:rFonts w:ascii="宋体" w:hAnsi="宋体" w:cs="宋体"/>
                <w:color w:val="auto"/>
                <w:sz w:val="24"/>
                <w:szCs w:val="24"/>
                <w:highlight w:val="none"/>
              </w:rPr>
            </w:pPr>
          </w:p>
        </w:tc>
        <w:tc>
          <w:tcPr>
            <w:tcW w:w="1050" w:type="dxa"/>
            <w:vAlign w:val="center"/>
          </w:tcPr>
          <w:p w14:paraId="0CAD3C6E">
            <w:pPr>
              <w:jc w:val="center"/>
              <w:rPr>
                <w:rFonts w:ascii="宋体" w:hAnsi="宋体" w:cs="宋体"/>
                <w:color w:val="auto"/>
                <w:sz w:val="24"/>
                <w:szCs w:val="24"/>
                <w:highlight w:val="none"/>
              </w:rPr>
            </w:pPr>
          </w:p>
        </w:tc>
        <w:tc>
          <w:tcPr>
            <w:tcW w:w="796" w:type="dxa"/>
            <w:vAlign w:val="center"/>
          </w:tcPr>
          <w:p w14:paraId="3A65B944">
            <w:pPr>
              <w:jc w:val="center"/>
              <w:rPr>
                <w:rFonts w:ascii="宋体" w:hAnsi="宋体" w:cs="宋体"/>
                <w:color w:val="auto"/>
                <w:sz w:val="24"/>
                <w:szCs w:val="24"/>
                <w:highlight w:val="none"/>
              </w:rPr>
            </w:pPr>
          </w:p>
        </w:tc>
        <w:tc>
          <w:tcPr>
            <w:tcW w:w="1138" w:type="dxa"/>
            <w:vAlign w:val="center"/>
          </w:tcPr>
          <w:p w14:paraId="27FF51BF">
            <w:pPr>
              <w:jc w:val="center"/>
              <w:rPr>
                <w:rFonts w:ascii="宋体" w:hAnsi="宋体" w:cs="宋体"/>
                <w:color w:val="auto"/>
                <w:sz w:val="24"/>
                <w:szCs w:val="24"/>
                <w:highlight w:val="none"/>
              </w:rPr>
            </w:pPr>
          </w:p>
        </w:tc>
        <w:tc>
          <w:tcPr>
            <w:tcW w:w="684" w:type="dxa"/>
            <w:vAlign w:val="center"/>
          </w:tcPr>
          <w:p w14:paraId="5EA73B7A">
            <w:pPr>
              <w:jc w:val="center"/>
              <w:rPr>
                <w:rFonts w:ascii="宋体" w:hAnsi="宋体" w:cs="宋体"/>
                <w:color w:val="auto"/>
                <w:sz w:val="24"/>
                <w:szCs w:val="24"/>
                <w:highlight w:val="none"/>
              </w:rPr>
            </w:pPr>
          </w:p>
        </w:tc>
      </w:tr>
      <w:tr w14:paraId="6C77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42ED73B6">
            <w:pPr>
              <w:jc w:val="center"/>
              <w:rPr>
                <w:rFonts w:ascii="宋体" w:hAnsi="宋体" w:cs="宋体"/>
                <w:color w:val="auto"/>
                <w:sz w:val="24"/>
                <w:szCs w:val="24"/>
                <w:highlight w:val="none"/>
              </w:rPr>
            </w:pPr>
          </w:p>
        </w:tc>
        <w:tc>
          <w:tcPr>
            <w:tcW w:w="721" w:type="dxa"/>
            <w:vAlign w:val="center"/>
          </w:tcPr>
          <w:p w14:paraId="54EA4E26">
            <w:pPr>
              <w:jc w:val="center"/>
              <w:rPr>
                <w:rFonts w:ascii="宋体" w:hAnsi="宋体" w:cs="宋体"/>
                <w:color w:val="auto"/>
                <w:sz w:val="24"/>
                <w:szCs w:val="24"/>
                <w:highlight w:val="none"/>
              </w:rPr>
            </w:pPr>
          </w:p>
        </w:tc>
        <w:tc>
          <w:tcPr>
            <w:tcW w:w="725" w:type="dxa"/>
            <w:vAlign w:val="center"/>
          </w:tcPr>
          <w:p w14:paraId="0FA6A2E1">
            <w:pPr>
              <w:jc w:val="center"/>
              <w:rPr>
                <w:rFonts w:ascii="宋体" w:hAnsi="宋体" w:cs="宋体"/>
                <w:color w:val="auto"/>
                <w:sz w:val="24"/>
                <w:szCs w:val="24"/>
                <w:highlight w:val="none"/>
              </w:rPr>
            </w:pPr>
          </w:p>
        </w:tc>
        <w:tc>
          <w:tcPr>
            <w:tcW w:w="785" w:type="dxa"/>
            <w:vAlign w:val="center"/>
          </w:tcPr>
          <w:p w14:paraId="001180FC">
            <w:pPr>
              <w:jc w:val="center"/>
              <w:rPr>
                <w:rFonts w:ascii="宋体" w:hAnsi="宋体" w:cs="宋体"/>
                <w:color w:val="auto"/>
                <w:sz w:val="24"/>
                <w:szCs w:val="24"/>
                <w:highlight w:val="none"/>
              </w:rPr>
            </w:pPr>
          </w:p>
        </w:tc>
        <w:tc>
          <w:tcPr>
            <w:tcW w:w="881" w:type="dxa"/>
            <w:vAlign w:val="center"/>
          </w:tcPr>
          <w:p w14:paraId="574CEE30">
            <w:pPr>
              <w:jc w:val="center"/>
              <w:rPr>
                <w:rFonts w:ascii="宋体" w:hAnsi="宋体" w:cs="宋体"/>
                <w:color w:val="auto"/>
                <w:sz w:val="24"/>
                <w:szCs w:val="24"/>
                <w:highlight w:val="none"/>
              </w:rPr>
            </w:pPr>
          </w:p>
        </w:tc>
        <w:tc>
          <w:tcPr>
            <w:tcW w:w="854" w:type="dxa"/>
            <w:vAlign w:val="center"/>
          </w:tcPr>
          <w:p w14:paraId="2A8A7BEB">
            <w:pPr>
              <w:jc w:val="center"/>
              <w:rPr>
                <w:rFonts w:ascii="宋体" w:hAnsi="宋体" w:cs="宋体"/>
                <w:color w:val="auto"/>
                <w:sz w:val="24"/>
                <w:szCs w:val="24"/>
                <w:highlight w:val="none"/>
              </w:rPr>
            </w:pPr>
          </w:p>
        </w:tc>
        <w:tc>
          <w:tcPr>
            <w:tcW w:w="1050" w:type="dxa"/>
            <w:vAlign w:val="center"/>
          </w:tcPr>
          <w:p w14:paraId="0A88F561">
            <w:pPr>
              <w:jc w:val="center"/>
              <w:rPr>
                <w:rFonts w:ascii="宋体" w:hAnsi="宋体" w:cs="宋体"/>
                <w:color w:val="auto"/>
                <w:sz w:val="24"/>
                <w:szCs w:val="24"/>
                <w:highlight w:val="none"/>
              </w:rPr>
            </w:pPr>
          </w:p>
        </w:tc>
        <w:tc>
          <w:tcPr>
            <w:tcW w:w="796" w:type="dxa"/>
            <w:vAlign w:val="center"/>
          </w:tcPr>
          <w:p w14:paraId="23B6F429">
            <w:pPr>
              <w:jc w:val="center"/>
              <w:rPr>
                <w:rFonts w:ascii="宋体" w:hAnsi="宋体" w:cs="宋体"/>
                <w:color w:val="auto"/>
                <w:sz w:val="24"/>
                <w:szCs w:val="24"/>
                <w:highlight w:val="none"/>
              </w:rPr>
            </w:pPr>
          </w:p>
        </w:tc>
        <w:tc>
          <w:tcPr>
            <w:tcW w:w="1138" w:type="dxa"/>
            <w:vAlign w:val="center"/>
          </w:tcPr>
          <w:p w14:paraId="269AE065">
            <w:pPr>
              <w:jc w:val="center"/>
              <w:rPr>
                <w:rFonts w:ascii="宋体" w:hAnsi="宋体" w:cs="宋体"/>
                <w:color w:val="auto"/>
                <w:sz w:val="24"/>
                <w:szCs w:val="24"/>
                <w:highlight w:val="none"/>
              </w:rPr>
            </w:pPr>
          </w:p>
        </w:tc>
        <w:tc>
          <w:tcPr>
            <w:tcW w:w="684" w:type="dxa"/>
            <w:vAlign w:val="center"/>
          </w:tcPr>
          <w:p w14:paraId="3251D115">
            <w:pPr>
              <w:jc w:val="center"/>
              <w:rPr>
                <w:rFonts w:ascii="宋体" w:hAnsi="宋体" w:cs="宋体"/>
                <w:color w:val="auto"/>
                <w:sz w:val="24"/>
                <w:szCs w:val="24"/>
                <w:highlight w:val="none"/>
              </w:rPr>
            </w:pPr>
          </w:p>
        </w:tc>
      </w:tr>
      <w:tr w14:paraId="2D76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06EECB74">
            <w:pPr>
              <w:jc w:val="center"/>
              <w:rPr>
                <w:rFonts w:ascii="宋体" w:hAnsi="宋体" w:cs="宋体"/>
                <w:color w:val="auto"/>
                <w:sz w:val="24"/>
                <w:szCs w:val="24"/>
                <w:highlight w:val="none"/>
              </w:rPr>
            </w:pPr>
          </w:p>
        </w:tc>
        <w:tc>
          <w:tcPr>
            <w:tcW w:w="721" w:type="dxa"/>
            <w:vAlign w:val="center"/>
          </w:tcPr>
          <w:p w14:paraId="303D2CCA">
            <w:pPr>
              <w:jc w:val="center"/>
              <w:rPr>
                <w:rFonts w:ascii="宋体" w:hAnsi="宋体" w:cs="宋体"/>
                <w:color w:val="auto"/>
                <w:sz w:val="24"/>
                <w:szCs w:val="24"/>
                <w:highlight w:val="none"/>
              </w:rPr>
            </w:pPr>
          </w:p>
        </w:tc>
        <w:tc>
          <w:tcPr>
            <w:tcW w:w="725" w:type="dxa"/>
            <w:vAlign w:val="center"/>
          </w:tcPr>
          <w:p w14:paraId="6F33F1B5">
            <w:pPr>
              <w:jc w:val="center"/>
              <w:rPr>
                <w:rFonts w:ascii="宋体" w:hAnsi="宋体" w:cs="宋体"/>
                <w:color w:val="auto"/>
                <w:sz w:val="24"/>
                <w:szCs w:val="24"/>
                <w:highlight w:val="none"/>
              </w:rPr>
            </w:pPr>
          </w:p>
        </w:tc>
        <w:tc>
          <w:tcPr>
            <w:tcW w:w="785" w:type="dxa"/>
            <w:vAlign w:val="center"/>
          </w:tcPr>
          <w:p w14:paraId="277AB41A">
            <w:pPr>
              <w:jc w:val="center"/>
              <w:rPr>
                <w:rFonts w:ascii="宋体" w:hAnsi="宋体" w:cs="宋体"/>
                <w:color w:val="auto"/>
                <w:sz w:val="24"/>
                <w:szCs w:val="24"/>
                <w:highlight w:val="none"/>
              </w:rPr>
            </w:pPr>
          </w:p>
        </w:tc>
        <w:tc>
          <w:tcPr>
            <w:tcW w:w="881" w:type="dxa"/>
            <w:vAlign w:val="center"/>
          </w:tcPr>
          <w:p w14:paraId="3D4A0729">
            <w:pPr>
              <w:jc w:val="center"/>
              <w:rPr>
                <w:rFonts w:ascii="宋体" w:hAnsi="宋体" w:cs="宋体"/>
                <w:color w:val="auto"/>
                <w:sz w:val="24"/>
                <w:szCs w:val="24"/>
                <w:highlight w:val="none"/>
              </w:rPr>
            </w:pPr>
          </w:p>
        </w:tc>
        <w:tc>
          <w:tcPr>
            <w:tcW w:w="854" w:type="dxa"/>
            <w:vAlign w:val="center"/>
          </w:tcPr>
          <w:p w14:paraId="21ECB4C6">
            <w:pPr>
              <w:jc w:val="center"/>
              <w:rPr>
                <w:rFonts w:ascii="宋体" w:hAnsi="宋体" w:cs="宋体"/>
                <w:color w:val="auto"/>
                <w:sz w:val="24"/>
                <w:szCs w:val="24"/>
                <w:highlight w:val="none"/>
              </w:rPr>
            </w:pPr>
          </w:p>
        </w:tc>
        <w:tc>
          <w:tcPr>
            <w:tcW w:w="1050" w:type="dxa"/>
            <w:vAlign w:val="center"/>
          </w:tcPr>
          <w:p w14:paraId="49C6BE3E">
            <w:pPr>
              <w:jc w:val="center"/>
              <w:rPr>
                <w:rFonts w:ascii="宋体" w:hAnsi="宋体" w:cs="宋体"/>
                <w:color w:val="auto"/>
                <w:sz w:val="24"/>
                <w:szCs w:val="24"/>
                <w:highlight w:val="none"/>
              </w:rPr>
            </w:pPr>
          </w:p>
        </w:tc>
        <w:tc>
          <w:tcPr>
            <w:tcW w:w="796" w:type="dxa"/>
            <w:vAlign w:val="center"/>
          </w:tcPr>
          <w:p w14:paraId="7DC27013">
            <w:pPr>
              <w:jc w:val="center"/>
              <w:rPr>
                <w:rFonts w:ascii="宋体" w:hAnsi="宋体" w:cs="宋体"/>
                <w:color w:val="auto"/>
                <w:sz w:val="24"/>
                <w:szCs w:val="24"/>
                <w:highlight w:val="none"/>
              </w:rPr>
            </w:pPr>
          </w:p>
        </w:tc>
        <w:tc>
          <w:tcPr>
            <w:tcW w:w="1138" w:type="dxa"/>
            <w:vAlign w:val="center"/>
          </w:tcPr>
          <w:p w14:paraId="263B586E">
            <w:pPr>
              <w:jc w:val="center"/>
              <w:rPr>
                <w:rFonts w:ascii="宋体" w:hAnsi="宋体" w:cs="宋体"/>
                <w:color w:val="auto"/>
                <w:sz w:val="24"/>
                <w:szCs w:val="24"/>
                <w:highlight w:val="none"/>
              </w:rPr>
            </w:pPr>
          </w:p>
        </w:tc>
        <w:tc>
          <w:tcPr>
            <w:tcW w:w="684" w:type="dxa"/>
            <w:vAlign w:val="center"/>
          </w:tcPr>
          <w:p w14:paraId="784E504F">
            <w:pPr>
              <w:jc w:val="center"/>
              <w:rPr>
                <w:rFonts w:ascii="宋体" w:hAnsi="宋体" w:cs="宋体"/>
                <w:color w:val="auto"/>
                <w:sz w:val="24"/>
                <w:szCs w:val="24"/>
                <w:highlight w:val="none"/>
              </w:rPr>
            </w:pPr>
          </w:p>
        </w:tc>
      </w:tr>
      <w:tr w14:paraId="4036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1D8C8621">
            <w:pPr>
              <w:jc w:val="center"/>
              <w:rPr>
                <w:rFonts w:ascii="宋体" w:hAnsi="宋体" w:cs="宋体"/>
                <w:color w:val="auto"/>
                <w:sz w:val="24"/>
                <w:szCs w:val="24"/>
                <w:highlight w:val="none"/>
              </w:rPr>
            </w:pPr>
          </w:p>
        </w:tc>
        <w:tc>
          <w:tcPr>
            <w:tcW w:w="721" w:type="dxa"/>
            <w:vAlign w:val="center"/>
          </w:tcPr>
          <w:p w14:paraId="42663B07">
            <w:pPr>
              <w:jc w:val="center"/>
              <w:rPr>
                <w:rFonts w:ascii="宋体" w:hAnsi="宋体" w:cs="宋体"/>
                <w:color w:val="auto"/>
                <w:sz w:val="24"/>
                <w:szCs w:val="24"/>
                <w:highlight w:val="none"/>
              </w:rPr>
            </w:pPr>
          </w:p>
        </w:tc>
        <w:tc>
          <w:tcPr>
            <w:tcW w:w="725" w:type="dxa"/>
            <w:vAlign w:val="center"/>
          </w:tcPr>
          <w:p w14:paraId="03F35941">
            <w:pPr>
              <w:jc w:val="center"/>
              <w:rPr>
                <w:rFonts w:ascii="宋体" w:hAnsi="宋体" w:cs="宋体"/>
                <w:color w:val="auto"/>
                <w:sz w:val="24"/>
                <w:szCs w:val="24"/>
                <w:highlight w:val="none"/>
              </w:rPr>
            </w:pPr>
          </w:p>
        </w:tc>
        <w:tc>
          <w:tcPr>
            <w:tcW w:w="785" w:type="dxa"/>
            <w:vAlign w:val="center"/>
          </w:tcPr>
          <w:p w14:paraId="0C85EF02">
            <w:pPr>
              <w:jc w:val="center"/>
              <w:rPr>
                <w:rFonts w:ascii="宋体" w:hAnsi="宋体" w:cs="宋体"/>
                <w:color w:val="auto"/>
                <w:sz w:val="24"/>
                <w:szCs w:val="24"/>
                <w:highlight w:val="none"/>
              </w:rPr>
            </w:pPr>
          </w:p>
        </w:tc>
        <w:tc>
          <w:tcPr>
            <w:tcW w:w="881" w:type="dxa"/>
            <w:vAlign w:val="center"/>
          </w:tcPr>
          <w:p w14:paraId="6B35BA9C">
            <w:pPr>
              <w:jc w:val="center"/>
              <w:rPr>
                <w:rFonts w:ascii="宋体" w:hAnsi="宋体" w:cs="宋体"/>
                <w:color w:val="auto"/>
                <w:sz w:val="24"/>
                <w:szCs w:val="24"/>
                <w:highlight w:val="none"/>
              </w:rPr>
            </w:pPr>
          </w:p>
        </w:tc>
        <w:tc>
          <w:tcPr>
            <w:tcW w:w="854" w:type="dxa"/>
            <w:vAlign w:val="center"/>
          </w:tcPr>
          <w:p w14:paraId="5AAEC96E">
            <w:pPr>
              <w:jc w:val="center"/>
              <w:rPr>
                <w:rFonts w:ascii="宋体" w:hAnsi="宋体" w:cs="宋体"/>
                <w:color w:val="auto"/>
                <w:sz w:val="24"/>
                <w:szCs w:val="24"/>
                <w:highlight w:val="none"/>
              </w:rPr>
            </w:pPr>
          </w:p>
        </w:tc>
        <w:tc>
          <w:tcPr>
            <w:tcW w:w="1050" w:type="dxa"/>
            <w:vAlign w:val="center"/>
          </w:tcPr>
          <w:p w14:paraId="060B71E2">
            <w:pPr>
              <w:jc w:val="center"/>
              <w:rPr>
                <w:rFonts w:ascii="宋体" w:hAnsi="宋体" w:cs="宋体"/>
                <w:color w:val="auto"/>
                <w:sz w:val="24"/>
                <w:szCs w:val="24"/>
                <w:highlight w:val="none"/>
              </w:rPr>
            </w:pPr>
          </w:p>
        </w:tc>
        <w:tc>
          <w:tcPr>
            <w:tcW w:w="796" w:type="dxa"/>
            <w:vAlign w:val="center"/>
          </w:tcPr>
          <w:p w14:paraId="30E85CF5">
            <w:pPr>
              <w:jc w:val="center"/>
              <w:rPr>
                <w:rFonts w:ascii="宋体" w:hAnsi="宋体" w:cs="宋体"/>
                <w:color w:val="auto"/>
                <w:sz w:val="24"/>
                <w:szCs w:val="24"/>
                <w:highlight w:val="none"/>
              </w:rPr>
            </w:pPr>
          </w:p>
        </w:tc>
        <w:tc>
          <w:tcPr>
            <w:tcW w:w="1138" w:type="dxa"/>
            <w:vAlign w:val="center"/>
          </w:tcPr>
          <w:p w14:paraId="5C4F9C1C">
            <w:pPr>
              <w:jc w:val="center"/>
              <w:rPr>
                <w:rFonts w:ascii="宋体" w:hAnsi="宋体" w:cs="宋体"/>
                <w:color w:val="auto"/>
                <w:sz w:val="24"/>
                <w:szCs w:val="24"/>
                <w:highlight w:val="none"/>
              </w:rPr>
            </w:pPr>
          </w:p>
        </w:tc>
        <w:tc>
          <w:tcPr>
            <w:tcW w:w="684" w:type="dxa"/>
            <w:vAlign w:val="center"/>
          </w:tcPr>
          <w:p w14:paraId="603609B3">
            <w:pPr>
              <w:jc w:val="center"/>
              <w:rPr>
                <w:rFonts w:ascii="宋体" w:hAnsi="宋体" w:cs="宋体"/>
                <w:color w:val="auto"/>
                <w:sz w:val="24"/>
                <w:szCs w:val="24"/>
                <w:highlight w:val="none"/>
              </w:rPr>
            </w:pPr>
          </w:p>
        </w:tc>
      </w:tr>
      <w:tr w14:paraId="76A8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5FE9442B">
            <w:pPr>
              <w:jc w:val="center"/>
              <w:rPr>
                <w:rFonts w:ascii="宋体" w:hAnsi="宋体" w:cs="宋体"/>
                <w:color w:val="auto"/>
                <w:sz w:val="24"/>
                <w:szCs w:val="24"/>
                <w:highlight w:val="none"/>
              </w:rPr>
            </w:pPr>
          </w:p>
        </w:tc>
        <w:tc>
          <w:tcPr>
            <w:tcW w:w="721" w:type="dxa"/>
            <w:vAlign w:val="center"/>
          </w:tcPr>
          <w:p w14:paraId="2F435D34">
            <w:pPr>
              <w:jc w:val="center"/>
              <w:rPr>
                <w:rFonts w:ascii="宋体" w:hAnsi="宋体" w:cs="宋体"/>
                <w:color w:val="auto"/>
                <w:sz w:val="24"/>
                <w:szCs w:val="24"/>
                <w:highlight w:val="none"/>
              </w:rPr>
            </w:pPr>
          </w:p>
        </w:tc>
        <w:tc>
          <w:tcPr>
            <w:tcW w:w="725" w:type="dxa"/>
            <w:vAlign w:val="center"/>
          </w:tcPr>
          <w:p w14:paraId="157A66B9">
            <w:pPr>
              <w:jc w:val="center"/>
              <w:rPr>
                <w:rFonts w:ascii="宋体" w:hAnsi="宋体" w:cs="宋体"/>
                <w:color w:val="auto"/>
                <w:sz w:val="24"/>
                <w:szCs w:val="24"/>
                <w:highlight w:val="none"/>
              </w:rPr>
            </w:pPr>
          </w:p>
        </w:tc>
        <w:tc>
          <w:tcPr>
            <w:tcW w:w="785" w:type="dxa"/>
            <w:vAlign w:val="center"/>
          </w:tcPr>
          <w:p w14:paraId="508F81DC">
            <w:pPr>
              <w:jc w:val="center"/>
              <w:rPr>
                <w:rFonts w:ascii="宋体" w:hAnsi="宋体" w:cs="宋体"/>
                <w:color w:val="auto"/>
                <w:sz w:val="24"/>
                <w:szCs w:val="24"/>
                <w:highlight w:val="none"/>
              </w:rPr>
            </w:pPr>
          </w:p>
        </w:tc>
        <w:tc>
          <w:tcPr>
            <w:tcW w:w="881" w:type="dxa"/>
            <w:vAlign w:val="center"/>
          </w:tcPr>
          <w:p w14:paraId="03660CE2">
            <w:pPr>
              <w:jc w:val="center"/>
              <w:rPr>
                <w:rFonts w:ascii="宋体" w:hAnsi="宋体" w:cs="宋体"/>
                <w:color w:val="auto"/>
                <w:sz w:val="24"/>
                <w:szCs w:val="24"/>
                <w:highlight w:val="none"/>
              </w:rPr>
            </w:pPr>
          </w:p>
        </w:tc>
        <w:tc>
          <w:tcPr>
            <w:tcW w:w="854" w:type="dxa"/>
            <w:vAlign w:val="center"/>
          </w:tcPr>
          <w:p w14:paraId="210F9B3D">
            <w:pPr>
              <w:jc w:val="center"/>
              <w:rPr>
                <w:rFonts w:ascii="宋体" w:hAnsi="宋体" w:cs="宋体"/>
                <w:color w:val="auto"/>
                <w:sz w:val="24"/>
                <w:szCs w:val="24"/>
                <w:highlight w:val="none"/>
              </w:rPr>
            </w:pPr>
          </w:p>
        </w:tc>
        <w:tc>
          <w:tcPr>
            <w:tcW w:w="1050" w:type="dxa"/>
            <w:vAlign w:val="center"/>
          </w:tcPr>
          <w:p w14:paraId="3B8BBE4F">
            <w:pPr>
              <w:jc w:val="center"/>
              <w:rPr>
                <w:rFonts w:ascii="宋体" w:hAnsi="宋体" w:cs="宋体"/>
                <w:color w:val="auto"/>
                <w:sz w:val="24"/>
                <w:szCs w:val="24"/>
                <w:highlight w:val="none"/>
              </w:rPr>
            </w:pPr>
          </w:p>
        </w:tc>
        <w:tc>
          <w:tcPr>
            <w:tcW w:w="796" w:type="dxa"/>
            <w:vAlign w:val="center"/>
          </w:tcPr>
          <w:p w14:paraId="65CB3AC1">
            <w:pPr>
              <w:jc w:val="center"/>
              <w:rPr>
                <w:rFonts w:ascii="宋体" w:hAnsi="宋体" w:cs="宋体"/>
                <w:color w:val="auto"/>
                <w:sz w:val="24"/>
                <w:szCs w:val="24"/>
                <w:highlight w:val="none"/>
              </w:rPr>
            </w:pPr>
          </w:p>
        </w:tc>
        <w:tc>
          <w:tcPr>
            <w:tcW w:w="1138" w:type="dxa"/>
            <w:vAlign w:val="center"/>
          </w:tcPr>
          <w:p w14:paraId="24F39920">
            <w:pPr>
              <w:jc w:val="center"/>
              <w:rPr>
                <w:rFonts w:ascii="宋体" w:hAnsi="宋体" w:cs="宋体"/>
                <w:color w:val="auto"/>
                <w:sz w:val="24"/>
                <w:szCs w:val="24"/>
                <w:highlight w:val="none"/>
              </w:rPr>
            </w:pPr>
          </w:p>
        </w:tc>
        <w:tc>
          <w:tcPr>
            <w:tcW w:w="684" w:type="dxa"/>
            <w:vAlign w:val="center"/>
          </w:tcPr>
          <w:p w14:paraId="32A172F6">
            <w:pPr>
              <w:jc w:val="center"/>
              <w:rPr>
                <w:rFonts w:ascii="宋体" w:hAnsi="宋体" w:cs="宋体"/>
                <w:color w:val="auto"/>
                <w:sz w:val="24"/>
                <w:szCs w:val="24"/>
                <w:highlight w:val="none"/>
              </w:rPr>
            </w:pPr>
          </w:p>
        </w:tc>
      </w:tr>
      <w:tr w14:paraId="6E2E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1BCA7601">
            <w:pPr>
              <w:jc w:val="center"/>
              <w:rPr>
                <w:rFonts w:ascii="宋体" w:hAnsi="宋体" w:cs="宋体"/>
                <w:color w:val="auto"/>
                <w:sz w:val="24"/>
                <w:szCs w:val="24"/>
                <w:highlight w:val="none"/>
              </w:rPr>
            </w:pPr>
          </w:p>
        </w:tc>
        <w:tc>
          <w:tcPr>
            <w:tcW w:w="721" w:type="dxa"/>
            <w:vAlign w:val="center"/>
          </w:tcPr>
          <w:p w14:paraId="241F84AB">
            <w:pPr>
              <w:jc w:val="center"/>
              <w:rPr>
                <w:rFonts w:ascii="宋体" w:hAnsi="宋体" w:cs="宋体"/>
                <w:color w:val="auto"/>
                <w:sz w:val="24"/>
                <w:szCs w:val="24"/>
                <w:highlight w:val="none"/>
              </w:rPr>
            </w:pPr>
          </w:p>
        </w:tc>
        <w:tc>
          <w:tcPr>
            <w:tcW w:w="725" w:type="dxa"/>
            <w:vAlign w:val="center"/>
          </w:tcPr>
          <w:p w14:paraId="564577AD">
            <w:pPr>
              <w:jc w:val="center"/>
              <w:rPr>
                <w:rFonts w:ascii="宋体" w:hAnsi="宋体" w:cs="宋体"/>
                <w:color w:val="auto"/>
                <w:sz w:val="24"/>
                <w:szCs w:val="24"/>
                <w:highlight w:val="none"/>
              </w:rPr>
            </w:pPr>
          </w:p>
        </w:tc>
        <w:tc>
          <w:tcPr>
            <w:tcW w:w="785" w:type="dxa"/>
            <w:vAlign w:val="center"/>
          </w:tcPr>
          <w:p w14:paraId="0B3AF367">
            <w:pPr>
              <w:jc w:val="center"/>
              <w:rPr>
                <w:rFonts w:ascii="宋体" w:hAnsi="宋体" w:cs="宋体"/>
                <w:color w:val="auto"/>
                <w:sz w:val="24"/>
                <w:szCs w:val="24"/>
                <w:highlight w:val="none"/>
              </w:rPr>
            </w:pPr>
          </w:p>
        </w:tc>
        <w:tc>
          <w:tcPr>
            <w:tcW w:w="881" w:type="dxa"/>
            <w:vAlign w:val="center"/>
          </w:tcPr>
          <w:p w14:paraId="7F2C7F9E">
            <w:pPr>
              <w:jc w:val="center"/>
              <w:rPr>
                <w:rFonts w:ascii="宋体" w:hAnsi="宋体" w:cs="宋体"/>
                <w:color w:val="auto"/>
                <w:sz w:val="24"/>
                <w:szCs w:val="24"/>
                <w:highlight w:val="none"/>
              </w:rPr>
            </w:pPr>
          </w:p>
        </w:tc>
        <w:tc>
          <w:tcPr>
            <w:tcW w:w="854" w:type="dxa"/>
            <w:vAlign w:val="center"/>
          </w:tcPr>
          <w:p w14:paraId="046D2F9D">
            <w:pPr>
              <w:jc w:val="center"/>
              <w:rPr>
                <w:rFonts w:ascii="宋体" w:hAnsi="宋体" w:cs="宋体"/>
                <w:color w:val="auto"/>
                <w:sz w:val="24"/>
                <w:szCs w:val="24"/>
                <w:highlight w:val="none"/>
              </w:rPr>
            </w:pPr>
          </w:p>
        </w:tc>
        <w:tc>
          <w:tcPr>
            <w:tcW w:w="1050" w:type="dxa"/>
            <w:vAlign w:val="center"/>
          </w:tcPr>
          <w:p w14:paraId="64D2F7B1">
            <w:pPr>
              <w:jc w:val="center"/>
              <w:rPr>
                <w:rFonts w:ascii="宋体" w:hAnsi="宋体" w:cs="宋体"/>
                <w:color w:val="auto"/>
                <w:sz w:val="24"/>
                <w:szCs w:val="24"/>
                <w:highlight w:val="none"/>
              </w:rPr>
            </w:pPr>
          </w:p>
        </w:tc>
        <w:tc>
          <w:tcPr>
            <w:tcW w:w="796" w:type="dxa"/>
            <w:vAlign w:val="center"/>
          </w:tcPr>
          <w:p w14:paraId="52F8937C">
            <w:pPr>
              <w:jc w:val="center"/>
              <w:rPr>
                <w:rFonts w:ascii="宋体" w:hAnsi="宋体" w:cs="宋体"/>
                <w:color w:val="auto"/>
                <w:sz w:val="24"/>
                <w:szCs w:val="24"/>
                <w:highlight w:val="none"/>
              </w:rPr>
            </w:pPr>
          </w:p>
        </w:tc>
        <w:tc>
          <w:tcPr>
            <w:tcW w:w="1138" w:type="dxa"/>
            <w:vAlign w:val="center"/>
          </w:tcPr>
          <w:p w14:paraId="2F010CDA">
            <w:pPr>
              <w:jc w:val="center"/>
              <w:rPr>
                <w:rFonts w:ascii="宋体" w:hAnsi="宋体" w:cs="宋体"/>
                <w:color w:val="auto"/>
                <w:sz w:val="24"/>
                <w:szCs w:val="24"/>
                <w:highlight w:val="none"/>
              </w:rPr>
            </w:pPr>
          </w:p>
        </w:tc>
        <w:tc>
          <w:tcPr>
            <w:tcW w:w="684" w:type="dxa"/>
            <w:vAlign w:val="center"/>
          </w:tcPr>
          <w:p w14:paraId="6EF1BEE0">
            <w:pPr>
              <w:jc w:val="center"/>
              <w:rPr>
                <w:rFonts w:ascii="宋体" w:hAnsi="宋体" w:cs="宋体"/>
                <w:color w:val="auto"/>
                <w:sz w:val="24"/>
                <w:szCs w:val="24"/>
                <w:highlight w:val="none"/>
              </w:rPr>
            </w:pPr>
          </w:p>
        </w:tc>
      </w:tr>
      <w:tr w14:paraId="5F5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2D9ECABD">
            <w:pPr>
              <w:jc w:val="center"/>
              <w:rPr>
                <w:rFonts w:ascii="宋体" w:hAnsi="宋体" w:cs="宋体"/>
                <w:color w:val="auto"/>
                <w:sz w:val="24"/>
                <w:szCs w:val="24"/>
                <w:highlight w:val="none"/>
              </w:rPr>
            </w:pPr>
          </w:p>
        </w:tc>
        <w:tc>
          <w:tcPr>
            <w:tcW w:w="721" w:type="dxa"/>
            <w:vAlign w:val="center"/>
          </w:tcPr>
          <w:p w14:paraId="2137889D">
            <w:pPr>
              <w:jc w:val="center"/>
              <w:rPr>
                <w:rFonts w:ascii="宋体" w:hAnsi="宋体" w:cs="宋体"/>
                <w:color w:val="auto"/>
                <w:sz w:val="24"/>
                <w:szCs w:val="24"/>
                <w:highlight w:val="none"/>
              </w:rPr>
            </w:pPr>
          </w:p>
        </w:tc>
        <w:tc>
          <w:tcPr>
            <w:tcW w:w="725" w:type="dxa"/>
            <w:vAlign w:val="center"/>
          </w:tcPr>
          <w:p w14:paraId="1EE032AF">
            <w:pPr>
              <w:jc w:val="center"/>
              <w:rPr>
                <w:rFonts w:ascii="宋体" w:hAnsi="宋体" w:cs="宋体"/>
                <w:color w:val="auto"/>
                <w:sz w:val="24"/>
                <w:szCs w:val="24"/>
                <w:highlight w:val="none"/>
              </w:rPr>
            </w:pPr>
          </w:p>
        </w:tc>
        <w:tc>
          <w:tcPr>
            <w:tcW w:w="785" w:type="dxa"/>
            <w:vAlign w:val="center"/>
          </w:tcPr>
          <w:p w14:paraId="318F7970">
            <w:pPr>
              <w:jc w:val="center"/>
              <w:rPr>
                <w:rFonts w:ascii="宋体" w:hAnsi="宋体" w:cs="宋体"/>
                <w:color w:val="auto"/>
                <w:sz w:val="24"/>
                <w:szCs w:val="24"/>
                <w:highlight w:val="none"/>
              </w:rPr>
            </w:pPr>
          </w:p>
        </w:tc>
        <w:tc>
          <w:tcPr>
            <w:tcW w:w="881" w:type="dxa"/>
            <w:vAlign w:val="center"/>
          </w:tcPr>
          <w:p w14:paraId="42E3F092">
            <w:pPr>
              <w:jc w:val="center"/>
              <w:rPr>
                <w:rFonts w:ascii="宋体" w:hAnsi="宋体" w:cs="宋体"/>
                <w:color w:val="auto"/>
                <w:sz w:val="24"/>
                <w:szCs w:val="24"/>
                <w:highlight w:val="none"/>
              </w:rPr>
            </w:pPr>
          </w:p>
        </w:tc>
        <w:tc>
          <w:tcPr>
            <w:tcW w:w="854" w:type="dxa"/>
            <w:vAlign w:val="center"/>
          </w:tcPr>
          <w:p w14:paraId="213E665F">
            <w:pPr>
              <w:jc w:val="center"/>
              <w:rPr>
                <w:rFonts w:ascii="宋体" w:hAnsi="宋体" w:cs="宋体"/>
                <w:color w:val="auto"/>
                <w:sz w:val="24"/>
                <w:szCs w:val="24"/>
                <w:highlight w:val="none"/>
              </w:rPr>
            </w:pPr>
          </w:p>
        </w:tc>
        <w:tc>
          <w:tcPr>
            <w:tcW w:w="1050" w:type="dxa"/>
            <w:vAlign w:val="center"/>
          </w:tcPr>
          <w:p w14:paraId="1E141082">
            <w:pPr>
              <w:jc w:val="center"/>
              <w:rPr>
                <w:rFonts w:ascii="宋体" w:hAnsi="宋体" w:cs="宋体"/>
                <w:color w:val="auto"/>
                <w:sz w:val="24"/>
                <w:szCs w:val="24"/>
                <w:highlight w:val="none"/>
              </w:rPr>
            </w:pPr>
          </w:p>
        </w:tc>
        <w:tc>
          <w:tcPr>
            <w:tcW w:w="796" w:type="dxa"/>
            <w:vAlign w:val="center"/>
          </w:tcPr>
          <w:p w14:paraId="5848CCA5">
            <w:pPr>
              <w:jc w:val="center"/>
              <w:rPr>
                <w:rFonts w:ascii="宋体" w:hAnsi="宋体" w:cs="宋体"/>
                <w:color w:val="auto"/>
                <w:sz w:val="24"/>
                <w:szCs w:val="24"/>
                <w:highlight w:val="none"/>
              </w:rPr>
            </w:pPr>
          </w:p>
        </w:tc>
        <w:tc>
          <w:tcPr>
            <w:tcW w:w="1138" w:type="dxa"/>
            <w:vAlign w:val="center"/>
          </w:tcPr>
          <w:p w14:paraId="194601C2">
            <w:pPr>
              <w:jc w:val="center"/>
              <w:rPr>
                <w:rFonts w:ascii="宋体" w:hAnsi="宋体" w:cs="宋体"/>
                <w:color w:val="auto"/>
                <w:sz w:val="24"/>
                <w:szCs w:val="24"/>
                <w:highlight w:val="none"/>
              </w:rPr>
            </w:pPr>
          </w:p>
        </w:tc>
        <w:tc>
          <w:tcPr>
            <w:tcW w:w="684" w:type="dxa"/>
            <w:vAlign w:val="center"/>
          </w:tcPr>
          <w:p w14:paraId="41B64CC8">
            <w:pPr>
              <w:jc w:val="center"/>
              <w:rPr>
                <w:rFonts w:ascii="宋体" w:hAnsi="宋体" w:cs="宋体"/>
                <w:color w:val="auto"/>
                <w:sz w:val="24"/>
                <w:szCs w:val="24"/>
                <w:highlight w:val="none"/>
              </w:rPr>
            </w:pPr>
          </w:p>
        </w:tc>
      </w:tr>
      <w:tr w14:paraId="4F8A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01E599E6">
            <w:pPr>
              <w:jc w:val="center"/>
              <w:rPr>
                <w:rFonts w:ascii="宋体" w:hAnsi="宋体" w:cs="宋体"/>
                <w:color w:val="auto"/>
                <w:sz w:val="24"/>
                <w:szCs w:val="24"/>
                <w:highlight w:val="none"/>
              </w:rPr>
            </w:pPr>
          </w:p>
        </w:tc>
        <w:tc>
          <w:tcPr>
            <w:tcW w:w="721" w:type="dxa"/>
            <w:vAlign w:val="center"/>
          </w:tcPr>
          <w:p w14:paraId="7CC2261B">
            <w:pPr>
              <w:jc w:val="center"/>
              <w:rPr>
                <w:rFonts w:ascii="宋体" w:hAnsi="宋体" w:cs="宋体"/>
                <w:color w:val="auto"/>
                <w:sz w:val="24"/>
                <w:szCs w:val="24"/>
                <w:highlight w:val="none"/>
              </w:rPr>
            </w:pPr>
          </w:p>
        </w:tc>
        <w:tc>
          <w:tcPr>
            <w:tcW w:w="725" w:type="dxa"/>
            <w:vAlign w:val="center"/>
          </w:tcPr>
          <w:p w14:paraId="5815AF44">
            <w:pPr>
              <w:jc w:val="center"/>
              <w:rPr>
                <w:rFonts w:ascii="宋体" w:hAnsi="宋体" w:cs="宋体"/>
                <w:color w:val="auto"/>
                <w:sz w:val="24"/>
                <w:szCs w:val="24"/>
                <w:highlight w:val="none"/>
              </w:rPr>
            </w:pPr>
          </w:p>
        </w:tc>
        <w:tc>
          <w:tcPr>
            <w:tcW w:w="785" w:type="dxa"/>
            <w:vAlign w:val="center"/>
          </w:tcPr>
          <w:p w14:paraId="62D84FE7">
            <w:pPr>
              <w:jc w:val="center"/>
              <w:rPr>
                <w:rFonts w:ascii="宋体" w:hAnsi="宋体" w:cs="宋体"/>
                <w:color w:val="auto"/>
                <w:sz w:val="24"/>
                <w:szCs w:val="24"/>
                <w:highlight w:val="none"/>
              </w:rPr>
            </w:pPr>
          </w:p>
        </w:tc>
        <w:tc>
          <w:tcPr>
            <w:tcW w:w="881" w:type="dxa"/>
            <w:vAlign w:val="center"/>
          </w:tcPr>
          <w:p w14:paraId="517A80B1">
            <w:pPr>
              <w:jc w:val="center"/>
              <w:rPr>
                <w:rFonts w:ascii="宋体" w:hAnsi="宋体" w:cs="宋体"/>
                <w:color w:val="auto"/>
                <w:sz w:val="24"/>
                <w:szCs w:val="24"/>
                <w:highlight w:val="none"/>
              </w:rPr>
            </w:pPr>
          </w:p>
        </w:tc>
        <w:tc>
          <w:tcPr>
            <w:tcW w:w="854" w:type="dxa"/>
            <w:vAlign w:val="center"/>
          </w:tcPr>
          <w:p w14:paraId="5F253697">
            <w:pPr>
              <w:jc w:val="center"/>
              <w:rPr>
                <w:rFonts w:ascii="宋体" w:hAnsi="宋体" w:cs="宋体"/>
                <w:color w:val="auto"/>
                <w:sz w:val="24"/>
                <w:szCs w:val="24"/>
                <w:highlight w:val="none"/>
              </w:rPr>
            </w:pPr>
          </w:p>
        </w:tc>
        <w:tc>
          <w:tcPr>
            <w:tcW w:w="1050" w:type="dxa"/>
            <w:vAlign w:val="center"/>
          </w:tcPr>
          <w:p w14:paraId="35F61EFD">
            <w:pPr>
              <w:jc w:val="center"/>
              <w:rPr>
                <w:rFonts w:ascii="宋体" w:hAnsi="宋体" w:cs="宋体"/>
                <w:color w:val="auto"/>
                <w:sz w:val="24"/>
                <w:szCs w:val="24"/>
                <w:highlight w:val="none"/>
              </w:rPr>
            </w:pPr>
          </w:p>
        </w:tc>
        <w:tc>
          <w:tcPr>
            <w:tcW w:w="796" w:type="dxa"/>
            <w:vAlign w:val="center"/>
          </w:tcPr>
          <w:p w14:paraId="6B4518C9">
            <w:pPr>
              <w:jc w:val="center"/>
              <w:rPr>
                <w:rFonts w:ascii="宋体" w:hAnsi="宋体" w:cs="宋体"/>
                <w:color w:val="auto"/>
                <w:sz w:val="24"/>
                <w:szCs w:val="24"/>
                <w:highlight w:val="none"/>
              </w:rPr>
            </w:pPr>
          </w:p>
        </w:tc>
        <w:tc>
          <w:tcPr>
            <w:tcW w:w="1138" w:type="dxa"/>
            <w:vAlign w:val="center"/>
          </w:tcPr>
          <w:p w14:paraId="6BE1517D">
            <w:pPr>
              <w:jc w:val="center"/>
              <w:rPr>
                <w:rFonts w:ascii="宋体" w:hAnsi="宋体" w:cs="宋体"/>
                <w:color w:val="auto"/>
                <w:sz w:val="24"/>
                <w:szCs w:val="24"/>
                <w:highlight w:val="none"/>
              </w:rPr>
            </w:pPr>
          </w:p>
        </w:tc>
        <w:tc>
          <w:tcPr>
            <w:tcW w:w="684" w:type="dxa"/>
            <w:vAlign w:val="center"/>
          </w:tcPr>
          <w:p w14:paraId="656FC366">
            <w:pPr>
              <w:jc w:val="center"/>
              <w:rPr>
                <w:rFonts w:ascii="宋体" w:hAnsi="宋体" w:cs="宋体"/>
                <w:color w:val="auto"/>
                <w:sz w:val="24"/>
                <w:szCs w:val="24"/>
                <w:highlight w:val="none"/>
              </w:rPr>
            </w:pPr>
          </w:p>
        </w:tc>
      </w:tr>
      <w:tr w14:paraId="3020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2746E7F7">
            <w:pPr>
              <w:jc w:val="center"/>
              <w:rPr>
                <w:rFonts w:ascii="宋体" w:hAnsi="宋体" w:cs="宋体"/>
                <w:color w:val="auto"/>
                <w:sz w:val="24"/>
                <w:szCs w:val="24"/>
                <w:highlight w:val="none"/>
              </w:rPr>
            </w:pPr>
          </w:p>
        </w:tc>
        <w:tc>
          <w:tcPr>
            <w:tcW w:w="721" w:type="dxa"/>
            <w:vAlign w:val="center"/>
          </w:tcPr>
          <w:p w14:paraId="54EA4C32">
            <w:pPr>
              <w:jc w:val="center"/>
              <w:rPr>
                <w:rFonts w:ascii="宋体" w:hAnsi="宋体" w:cs="宋体"/>
                <w:color w:val="auto"/>
                <w:sz w:val="24"/>
                <w:szCs w:val="24"/>
                <w:highlight w:val="none"/>
              </w:rPr>
            </w:pPr>
          </w:p>
        </w:tc>
        <w:tc>
          <w:tcPr>
            <w:tcW w:w="725" w:type="dxa"/>
            <w:vAlign w:val="center"/>
          </w:tcPr>
          <w:p w14:paraId="7BF7C548">
            <w:pPr>
              <w:jc w:val="center"/>
              <w:rPr>
                <w:rFonts w:ascii="宋体" w:hAnsi="宋体" w:cs="宋体"/>
                <w:color w:val="auto"/>
                <w:sz w:val="24"/>
                <w:szCs w:val="24"/>
                <w:highlight w:val="none"/>
              </w:rPr>
            </w:pPr>
          </w:p>
        </w:tc>
        <w:tc>
          <w:tcPr>
            <w:tcW w:w="785" w:type="dxa"/>
            <w:vAlign w:val="center"/>
          </w:tcPr>
          <w:p w14:paraId="396D8635">
            <w:pPr>
              <w:jc w:val="center"/>
              <w:rPr>
                <w:rFonts w:ascii="宋体" w:hAnsi="宋体" w:cs="宋体"/>
                <w:color w:val="auto"/>
                <w:sz w:val="24"/>
                <w:szCs w:val="24"/>
                <w:highlight w:val="none"/>
              </w:rPr>
            </w:pPr>
          </w:p>
        </w:tc>
        <w:tc>
          <w:tcPr>
            <w:tcW w:w="881" w:type="dxa"/>
            <w:vAlign w:val="center"/>
          </w:tcPr>
          <w:p w14:paraId="19E8C2F9">
            <w:pPr>
              <w:jc w:val="center"/>
              <w:rPr>
                <w:rFonts w:ascii="宋体" w:hAnsi="宋体" w:cs="宋体"/>
                <w:color w:val="auto"/>
                <w:sz w:val="24"/>
                <w:szCs w:val="24"/>
                <w:highlight w:val="none"/>
              </w:rPr>
            </w:pPr>
          </w:p>
        </w:tc>
        <w:tc>
          <w:tcPr>
            <w:tcW w:w="854" w:type="dxa"/>
            <w:vAlign w:val="center"/>
          </w:tcPr>
          <w:p w14:paraId="218F7FFD">
            <w:pPr>
              <w:jc w:val="center"/>
              <w:rPr>
                <w:rFonts w:ascii="宋体" w:hAnsi="宋体" w:cs="宋体"/>
                <w:color w:val="auto"/>
                <w:sz w:val="24"/>
                <w:szCs w:val="24"/>
                <w:highlight w:val="none"/>
              </w:rPr>
            </w:pPr>
          </w:p>
        </w:tc>
        <w:tc>
          <w:tcPr>
            <w:tcW w:w="1050" w:type="dxa"/>
            <w:vAlign w:val="center"/>
          </w:tcPr>
          <w:p w14:paraId="43A4F4D4">
            <w:pPr>
              <w:jc w:val="center"/>
              <w:rPr>
                <w:rFonts w:ascii="宋体" w:hAnsi="宋体" w:cs="宋体"/>
                <w:color w:val="auto"/>
                <w:sz w:val="24"/>
                <w:szCs w:val="24"/>
                <w:highlight w:val="none"/>
              </w:rPr>
            </w:pPr>
          </w:p>
        </w:tc>
        <w:tc>
          <w:tcPr>
            <w:tcW w:w="796" w:type="dxa"/>
            <w:vAlign w:val="center"/>
          </w:tcPr>
          <w:p w14:paraId="60BCF21A">
            <w:pPr>
              <w:jc w:val="center"/>
              <w:rPr>
                <w:rFonts w:ascii="宋体" w:hAnsi="宋体" w:cs="宋体"/>
                <w:color w:val="auto"/>
                <w:sz w:val="24"/>
                <w:szCs w:val="24"/>
                <w:highlight w:val="none"/>
              </w:rPr>
            </w:pPr>
          </w:p>
        </w:tc>
        <w:tc>
          <w:tcPr>
            <w:tcW w:w="1138" w:type="dxa"/>
            <w:vAlign w:val="center"/>
          </w:tcPr>
          <w:p w14:paraId="0B5B7CD4">
            <w:pPr>
              <w:jc w:val="center"/>
              <w:rPr>
                <w:rFonts w:ascii="宋体" w:hAnsi="宋体" w:cs="宋体"/>
                <w:color w:val="auto"/>
                <w:sz w:val="24"/>
                <w:szCs w:val="24"/>
                <w:highlight w:val="none"/>
              </w:rPr>
            </w:pPr>
          </w:p>
        </w:tc>
        <w:tc>
          <w:tcPr>
            <w:tcW w:w="684" w:type="dxa"/>
            <w:vAlign w:val="center"/>
          </w:tcPr>
          <w:p w14:paraId="0ACB60CB">
            <w:pPr>
              <w:jc w:val="center"/>
              <w:rPr>
                <w:rFonts w:ascii="宋体" w:hAnsi="宋体" w:cs="宋体"/>
                <w:color w:val="auto"/>
                <w:sz w:val="24"/>
                <w:szCs w:val="24"/>
                <w:highlight w:val="none"/>
              </w:rPr>
            </w:pPr>
          </w:p>
        </w:tc>
      </w:tr>
      <w:tr w14:paraId="67B7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24510209">
            <w:pPr>
              <w:jc w:val="center"/>
              <w:rPr>
                <w:rFonts w:ascii="宋体" w:hAnsi="宋体" w:cs="宋体"/>
                <w:color w:val="auto"/>
                <w:sz w:val="24"/>
                <w:szCs w:val="24"/>
                <w:highlight w:val="none"/>
              </w:rPr>
            </w:pPr>
          </w:p>
        </w:tc>
        <w:tc>
          <w:tcPr>
            <w:tcW w:w="721" w:type="dxa"/>
            <w:vAlign w:val="center"/>
          </w:tcPr>
          <w:p w14:paraId="59C18802">
            <w:pPr>
              <w:jc w:val="center"/>
              <w:rPr>
                <w:rFonts w:ascii="宋体" w:hAnsi="宋体" w:cs="宋体"/>
                <w:color w:val="auto"/>
                <w:sz w:val="24"/>
                <w:szCs w:val="24"/>
                <w:highlight w:val="none"/>
              </w:rPr>
            </w:pPr>
          </w:p>
        </w:tc>
        <w:tc>
          <w:tcPr>
            <w:tcW w:w="725" w:type="dxa"/>
            <w:vAlign w:val="center"/>
          </w:tcPr>
          <w:p w14:paraId="68FA8039">
            <w:pPr>
              <w:jc w:val="center"/>
              <w:rPr>
                <w:rFonts w:ascii="宋体" w:hAnsi="宋体" w:cs="宋体"/>
                <w:color w:val="auto"/>
                <w:sz w:val="24"/>
                <w:szCs w:val="24"/>
                <w:highlight w:val="none"/>
              </w:rPr>
            </w:pPr>
          </w:p>
        </w:tc>
        <w:tc>
          <w:tcPr>
            <w:tcW w:w="785" w:type="dxa"/>
            <w:vAlign w:val="center"/>
          </w:tcPr>
          <w:p w14:paraId="049B86F8">
            <w:pPr>
              <w:jc w:val="center"/>
              <w:rPr>
                <w:rFonts w:ascii="宋体" w:hAnsi="宋体" w:cs="宋体"/>
                <w:color w:val="auto"/>
                <w:sz w:val="24"/>
                <w:szCs w:val="24"/>
                <w:highlight w:val="none"/>
              </w:rPr>
            </w:pPr>
          </w:p>
        </w:tc>
        <w:tc>
          <w:tcPr>
            <w:tcW w:w="881" w:type="dxa"/>
            <w:vAlign w:val="center"/>
          </w:tcPr>
          <w:p w14:paraId="742A7881">
            <w:pPr>
              <w:jc w:val="center"/>
              <w:rPr>
                <w:rFonts w:ascii="宋体" w:hAnsi="宋体" w:cs="宋体"/>
                <w:color w:val="auto"/>
                <w:sz w:val="24"/>
                <w:szCs w:val="24"/>
                <w:highlight w:val="none"/>
              </w:rPr>
            </w:pPr>
          </w:p>
        </w:tc>
        <w:tc>
          <w:tcPr>
            <w:tcW w:w="854" w:type="dxa"/>
            <w:vAlign w:val="center"/>
          </w:tcPr>
          <w:p w14:paraId="3453EF80">
            <w:pPr>
              <w:jc w:val="center"/>
              <w:rPr>
                <w:rFonts w:ascii="宋体" w:hAnsi="宋体" w:cs="宋体"/>
                <w:color w:val="auto"/>
                <w:sz w:val="24"/>
                <w:szCs w:val="24"/>
                <w:highlight w:val="none"/>
              </w:rPr>
            </w:pPr>
          </w:p>
        </w:tc>
        <w:tc>
          <w:tcPr>
            <w:tcW w:w="1050" w:type="dxa"/>
            <w:vAlign w:val="center"/>
          </w:tcPr>
          <w:p w14:paraId="432F2395">
            <w:pPr>
              <w:jc w:val="center"/>
              <w:rPr>
                <w:rFonts w:ascii="宋体" w:hAnsi="宋体" w:cs="宋体"/>
                <w:color w:val="auto"/>
                <w:sz w:val="24"/>
                <w:szCs w:val="24"/>
                <w:highlight w:val="none"/>
              </w:rPr>
            </w:pPr>
          </w:p>
        </w:tc>
        <w:tc>
          <w:tcPr>
            <w:tcW w:w="796" w:type="dxa"/>
            <w:vAlign w:val="center"/>
          </w:tcPr>
          <w:p w14:paraId="62CDD25C">
            <w:pPr>
              <w:jc w:val="center"/>
              <w:rPr>
                <w:rFonts w:ascii="宋体" w:hAnsi="宋体" w:cs="宋体"/>
                <w:color w:val="auto"/>
                <w:sz w:val="24"/>
                <w:szCs w:val="24"/>
                <w:highlight w:val="none"/>
              </w:rPr>
            </w:pPr>
          </w:p>
        </w:tc>
        <w:tc>
          <w:tcPr>
            <w:tcW w:w="1138" w:type="dxa"/>
            <w:vAlign w:val="center"/>
          </w:tcPr>
          <w:p w14:paraId="1D3A9109">
            <w:pPr>
              <w:jc w:val="center"/>
              <w:rPr>
                <w:rFonts w:ascii="宋体" w:hAnsi="宋体" w:cs="宋体"/>
                <w:color w:val="auto"/>
                <w:sz w:val="24"/>
                <w:szCs w:val="24"/>
                <w:highlight w:val="none"/>
              </w:rPr>
            </w:pPr>
          </w:p>
        </w:tc>
        <w:tc>
          <w:tcPr>
            <w:tcW w:w="684" w:type="dxa"/>
            <w:vAlign w:val="center"/>
          </w:tcPr>
          <w:p w14:paraId="251C39E1">
            <w:pPr>
              <w:jc w:val="center"/>
              <w:rPr>
                <w:rFonts w:ascii="宋体" w:hAnsi="宋体" w:cs="宋体"/>
                <w:color w:val="auto"/>
                <w:sz w:val="24"/>
                <w:szCs w:val="24"/>
                <w:highlight w:val="none"/>
              </w:rPr>
            </w:pPr>
          </w:p>
        </w:tc>
      </w:tr>
      <w:tr w14:paraId="20CC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5690902C">
            <w:pPr>
              <w:jc w:val="center"/>
              <w:rPr>
                <w:rFonts w:ascii="宋体" w:hAnsi="宋体" w:cs="宋体"/>
                <w:color w:val="auto"/>
                <w:sz w:val="24"/>
                <w:szCs w:val="24"/>
                <w:highlight w:val="none"/>
              </w:rPr>
            </w:pPr>
          </w:p>
        </w:tc>
        <w:tc>
          <w:tcPr>
            <w:tcW w:w="721" w:type="dxa"/>
            <w:vAlign w:val="center"/>
          </w:tcPr>
          <w:p w14:paraId="1AA8E226">
            <w:pPr>
              <w:jc w:val="center"/>
              <w:rPr>
                <w:rFonts w:ascii="宋体" w:hAnsi="宋体" w:cs="宋体"/>
                <w:color w:val="auto"/>
                <w:sz w:val="24"/>
                <w:szCs w:val="24"/>
                <w:highlight w:val="none"/>
              </w:rPr>
            </w:pPr>
          </w:p>
        </w:tc>
        <w:tc>
          <w:tcPr>
            <w:tcW w:w="725" w:type="dxa"/>
            <w:vAlign w:val="center"/>
          </w:tcPr>
          <w:p w14:paraId="29824D98">
            <w:pPr>
              <w:jc w:val="center"/>
              <w:rPr>
                <w:rFonts w:ascii="宋体" w:hAnsi="宋体" w:cs="宋体"/>
                <w:color w:val="auto"/>
                <w:sz w:val="24"/>
                <w:szCs w:val="24"/>
                <w:highlight w:val="none"/>
              </w:rPr>
            </w:pPr>
          </w:p>
        </w:tc>
        <w:tc>
          <w:tcPr>
            <w:tcW w:w="785" w:type="dxa"/>
            <w:vAlign w:val="center"/>
          </w:tcPr>
          <w:p w14:paraId="1B2A384E">
            <w:pPr>
              <w:jc w:val="center"/>
              <w:rPr>
                <w:rFonts w:ascii="宋体" w:hAnsi="宋体" w:cs="宋体"/>
                <w:color w:val="auto"/>
                <w:sz w:val="24"/>
                <w:szCs w:val="24"/>
                <w:highlight w:val="none"/>
              </w:rPr>
            </w:pPr>
          </w:p>
        </w:tc>
        <w:tc>
          <w:tcPr>
            <w:tcW w:w="881" w:type="dxa"/>
            <w:vAlign w:val="center"/>
          </w:tcPr>
          <w:p w14:paraId="188DBE00">
            <w:pPr>
              <w:jc w:val="center"/>
              <w:rPr>
                <w:rFonts w:ascii="宋体" w:hAnsi="宋体" w:cs="宋体"/>
                <w:color w:val="auto"/>
                <w:sz w:val="24"/>
                <w:szCs w:val="24"/>
                <w:highlight w:val="none"/>
              </w:rPr>
            </w:pPr>
          </w:p>
        </w:tc>
        <w:tc>
          <w:tcPr>
            <w:tcW w:w="854" w:type="dxa"/>
            <w:vAlign w:val="center"/>
          </w:tcPr>
          <w:p w14:paraId="203AE4DA">
            <w:pPr>
              <w:jc w:val="center"/>
              <w:rPr>
                <w:rFonts w:ascii="宋体" w:hAnsi="宋体" w:cs="宋体"/>
                <w:color w:val="auto"/>
                <w:sz w:val="24"/>
                <w:szCs w:val="24"/>
                <w:highlight w:val="none"/>
              </w:rPr>
            </w:pPr>
          </w:p>
        </w:tc>
        <w:tc>
          <w:tcPr>
            <w:tcW w:w="1050" w:type="dxa"/>
            <w:vAlign w:val="center"/>
          </w:tcPr>
          <w:p w14:paraId="501D474F">
            <w:pPr>
              <w:jc w:val="center"/>
              <w:rPr>
                <w:rFonts w:ascii="宋体" w:hAnsi="宋体" w:cs="宋体"/>
                <w:color w:val="auto"/>
                <w:sz w:val="24"/>
                <w:szCs w:val="24"/>
                <w:highlight w:val="none"/>
              </w:rPr>
            </w:pPr>
          </w:p>
        </w:tc>
        <w:tc>
          <w:tcPr>
            <w:tcW w:w="796" w:type="dxa"/>
            <w:vAlign w:val="center"/>
          </w:tcPr>
          <w:p w14:paraId="1DBC9013">
            <w:pPr>
              <w:jc w:val="center"/>
              <w:rPr>
                <w:rFonts w:ascii="宋体" w:hAnsi="宋体" w:cs="宋体"/>
                <w:color w:val="auto"/>
                <w:sz w:val="24"/>
                <w:szCs w:val="24"/>
                <w:highlight w:val="none"/>
              </w:rPr>
            </w:pPr>
          </w:p>
        </w:tc>
        <w:tc>
          <w:tcPr>
            <w:tcW w:w="1138" w:type="dxa"/>
            <w:vAlign w:val="center"/>
          </w:tcPr>
          <w:p w14:paraId="3B1AF2DC">
            <w:pPr>
              <w:jc w:val="center"/>
              <w:rPr>
                <w:rFonts w:ascii="宋体" w:hAnsi="宋体" w:cs="宋体"/>
                <w:color w:val="auto"/>
                <w:sz w:val="24"/>
                <w:szCs w:val="24"/>
                <w:highlight w:val="none"/>
              </w:rPr>
            </w:pPr>
          </w:p>
        </w:tc>
        <w:tc>
          <w:tcPr>
            <w:tcW w:w="684" w:type="dxa"/>
            <w:vAlign w:val="center"/>
          </w:tcPr>
          <w:p w14:paraId="43796850">
            <w:pPr>
              <w:jc w:val="center"/>
              <w:rPr>
                <w:rFonts w:ascii="宋体" w:hAnsi="宋体" w:cs="宋体"/>
                <w:color w:val="auto"/>
                <w:sz w:val="24"/>
                <w:szCs w:val="24"/>
                <w:highlight w:val="none"/>
              </w:rPr>
            </w:pPr>
          </w:p>
        </w:tc>
      </w:tr>
      <w:tr w14:paraId="19A4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27A3B1CD">
            <w:pPr>
              <w:jc w:val="center"/>
              <w:rPr>
                <w:rFonts w:ascii="宋体" w:hAnsi="宋体" w:cs="宋体"/>
                <w:color w:val="auto"/>
                <w:sz w:val="24"/>
                <w:szCs w:val="24"/>
                <w:highlight w:val="none"/>
              </w:rPr>
            </w:pPr>
          </w:p>
        </w:tc>
        <w:tc>
          <w:tcPr>
            <w:tcW w:w="721" w:type="dxa"/>
            <w:vAlign w:val="center"/>
          </w:tcPr>
          <w:p w14:paraId="60C6051C">
            <w:pPr>
              <w:jc w:val="center"/>
              <w:rPr>
                <w:rFonts w:ascii="宋体" w:hAnsi="宋体" w:cs="宋体"/>
                <w:color w:val="auto"/>
                <w:sz w:val="24"/>
                <w:szCs w:val="24"/>
                <w:highlight w:val="none"/>
              </w:rPr>
            </w:pPr>
          </w:p>
        </w:tc>
        <w:tc>
          <w:tcPr>
            <w:tcW w:w="725" w:type="dxa"/>
            <w:vAlign w:val="center"/>
          </w:tcPr>
          <w:p w14:paraId="3E962549">
            <w:pPr>
              <w:jc w:val="center"/>
              <w:rPr>
                <w:rFonts w:ascii="宋体" w:hAnsi="宋体" w:cs="宋体"/>
                <w:color w:val="auto"/>
                <w:sz w:val="24"/>
                <w:szCs w:val="24"/>
                <w:highlight w:val="none"/>
              </w:rPr>
            </w:pPr>
          </w:p>
        </w:tc>
        <w:tc>
          <w:tcPr>
            <w:tcW w:w="785" w:type="dxa"/>
            <w:vAlign w:val="center"/>
          </w:tcPr>
          <w:p w14:paraId="228DDA9E">
            <w:pPr>
              <w:jc w:val="center"/>
              <w:rPr>
                <w:rFonts w:ascii="宋体" w:hAnsi="宋体" w:cs="宋体"/>
                <w:color w:val="auto"/>
                <w:sz w:val="24"/>
                <w:szCs w:val="24"/>
                <w:highlight w:val="none"/>
              </w:rPr>
            </w:pPr>
          </w:p>
        </w:tc>
        <w:tc>
          <w:tcPr>
            <w:tcW w:w="881" w:type="dxa"/>
            <w:vAlign w:val="center"/>
          </w:tcPr>
          <w:p w14:paraId="43F05EA2">
            <w:pPr>
              <w:jc w:val="center"/>
              <w:rPr>
                <w:rFonts w:ascii="宋体" w:hAnsi="宋体" w:cs="宋体"/>
                <w:color w:val="auto"/>
                <w:sz w:val="24"/>
                <w:szCs w:val="24"/>
                <w:highlight w:val="none"/>
              </w:rPr>
            </w:pPr>
          </w:p>
        </w:tc>
        <w:tc>
          <w:tcPr>
            <w:tcW w:w="854" w:type="dxa"/>
            <w:vAlign w:val="center"/>
          </w:tcPr>
          <w:p w14:paraId="70E2592B">
            <w:pPr>
              <w:jc w:val="center"/>
              <w:rPr>
                <w:rFonts w:ascii="宋体" w:hAnsi="宋体" w:cs="宋体"/>
                <w:color w:val="auto"/>
                <w:sz w:val="24"/>
                <w:szCs w:val="24"/>
                <w:highlight w:val="none"/>
              </w:rPr>
            </w:pPr>
          </w:p>
        </w:tc>
        <w:tc>
          <w:tcPr>
            <w:tcW w:w="1050" w:type="dxa"/>
            <w:vAlign w:val="center"/>
          </w:tcPr>
          <w:p w14:paraId="0816B2C6">
            <w:pPr>
              <w:jc w:val="center"/>
              <w:rPr>
                <w:rFonts w:ascii="宋体" w:hAnsi="宋体" w:cs="宋体"/>
                <w:color w:val="auto"/>
                <w:sz w:val="24"/>
                <w:szCs w:val="24"/>
                <w:highlight w:val="none"/>
              </w:rPr>
            </w:pPr>
          </w:p>
        </w:tc>
        <w:tc>
          <w:tcPr>
            <w:tcW w:w="796" w:type="dxa"/>
            <w:vAlign w:val="center"/>
          </w:tcPr>
          <w:p w14:paraId="2F807487">
            <w:pPr>
              <w:jc w:val="center"/>
              <w:rPr>
                <w:rFonts w:ascii="宋体" w:hAnsi="宋体" w:cs="宋体"/>
                <w:color w:val="auto"/>
                <w:sz w:val="24"/>
                <w:szCs w:val="24"/>
                <w:highlight w:val="none"/>
              </w:rPr>
            </w:pPr>
          </w:p>
        </w:tc>
        <w:tc>
          <w:tcPr>
            <w:tcW w:w="1138" w:type="dxa"/>
            <w:vAlign w:val="center"/>
          </w:tcPr>
          <w:p w14:paraId="14E60981">
            <w:pPr>
              <w:jc w:val="center"/>
              <w:rPr>
                <w:rFonts w:ascii="宋体" w:hAnsi="宋体" w:cs="宋体"/>
                <w:color w:val="auto"/>
                <w:sz w:val="24"/>
                <w:szCs w:val="24"/>
                <w:highlight w:val="none"/>
              </w:rPr>
            </w:pPr>
          </w:p>
        </w:tc>
        <w:tc>
          <w:tcPr>
            <w:tcW w:w="684" w:type="dxa"/>
            <w:vAlign w:val="center"/>
          </w:tcPr>
          <w:p w14:paraId="72169C45">
            <w:pPr>
              <w:jc w:val="center"/>
              <w:rPr>
                <w:rFonts w:ascii="宋体" w:hAnsi="宋体" w:cs="宋体"/>
                <w:color w:val="auto"/>
                <w:sz w:val="24"/>
                <w:szCs w:val="24"/>
                <w:highlight w:val="none"/>
              </w:rPr>
            </w:pPr>
          </w:p>
        </w:tc>
      </w:tr>
      <w:tr w14:paraId="07EE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5DEC0DC1">
            <w:pPr>
              <w:jc w:val="center"/>
              <w:rPr>
                <w:rFonts w:ascii="宋体" w:hAnsi="宋体" w:cs="宋体"/>
                <w:color w:val="auto"/>
                <w:sz w:val="24"/>
                <w:szCs w:val="24"/>
                <w:highlight w:val="none"/>
              </w:rPr>
            </w:pPr>
          </w:p>
        </w:tc>
        <w:tc>
          <w:tcPr>
            <w:tcW w:w="721" w:type="dxa"/>
            <w:vAlign w:val="center"/>
          </w:tcPr>
          <w:p w14:paraId="1C815224">
            <w:pPr>
              <w:jc w:val="center"/>
              <w:rPr>
                <w:rFonts w:ascii="宋体" w:hAnsi="宋体" w:cs="宋体"/>
                <w:color w:val="auto"/>
                <w:sz w:val="24"/>
                <w:szCs w:val="24"/>
                <w:highlight w:val="none"/>
              </w:rPr>
            </w:pPr>
          </w:p>
        </w:tc>
        <w:tc>
          <w:tcPr>
            <w:tcW w:w="725" w:type="dxa"/>
            <w:vAlign w:val="center"/>
          </w:tcPr>
          <w:p w14:paraId="51FF9911">
            <w:pPr>
              <w:jc w:val="center"/>
              <w:rPr>
                <w:rFonts w:ascii="宋体" w:hAnsi="宋体" w:cs="宋体"/>
                <w:color w:val="auto"/>
                <w:sz w:val="24"/>
                <w:szCs w:val="24"/>
                <w:highlight w:val="none"/>
              </w:rPr>
            </w:pPr>
          </w:p>
        </w:tc>
        <w:tc>
          <w:tcPr>
            <w:tcW w:w="785" w:type="dxa"/>
            <w:vAlign w:val="center"/>
          </w:tcPr>
          <w:p w14:paraId="2AE49592">
            <w:pPr>
              <w:jc w:val="center"/>
              <w:rPr>
                <w:rFonts w:ascii="宋体" w:hAnsi="宋体" w:cs="宋体"/>
                <w:color w:val="auto"/>
                <w:sz w:val="24"/>
                <w:szCs w:val="24"/>
                <w:highlight w:val="none"/>
              </w:rPr>
            </w:pPr>
          </w:p>
        </w:tc>
        <w:tc>
          <w:tcPr>
            <w:tcW w:w="881" w:type="dxa"/>
            <w:vAlign w:val="center"/>
          </w:tcPr>
          <w:p w14:paraId="2D9D1B38">
            <w:pPr>
              <w:jc w:val="center"/>
              <w:rPr>
                <w:rFonts w:ascii="宋体" w:hAnsi="宋体" w:cs="宋体"/>
                <w:color w:val="auto"/>
                <w:sz w:val="24"/>
                <w:szCs w:val="24"/>
                <w:highlight w:val="none"/>
              </w:rPr>
            </w:pPr>
          </w:p>
        </w:tc>
        <w:tc>
          <w:tcPr>
            <w:tcW w:w="854" w:type="dxa"/>
            <w:vAlign w:val="center"/>
          </w:tcPr>
          <w:p w14:paraId="54109C35">
            <w:pPr>
              <w:jc w:val="center"/>
              <w:rPr>
                <w:rFonts w:ascii="宋体" w:hAnsi="宋体" w:cs="宋体"/>
                <w:color w:val="auto"/>
                <w:sz w:val="24"/>
                <w:szCs w:val="24"/>
                <w:highlight w:val="none"/>
              </w:rPr>
            </w:pPr>
          </w:p>
        </w:tc>
        <w:tc>
          <w:tcPr>
            <w:tcW w:w="1050" w:type="dxa"/>
            <w:vAlign w:val="center"/>
          </w:tcPr>
          <w:p w14:paraId="578636AE">
            <w:pPr>
              <w:jc w:val="center"/>
              <w:rPr>
                <w:rFonts w:ascii="宋体" w:hAnsi="宋体" w:cs="宋体"/>
                <w:color w:val="auto"/>
                <w:sz w:val="24"/>
                <w:szCs w:val="24"/>
                <w:highlight w:val="none"/>
              </w:rPr>
            </w:pPr>
          </w:p>
        </w:tc>
        <w:tc>
          <w:tcPr>
            <w:tcW w:w="796" w:type="dxa"/>
            <w:vAlign w:val="center"/>
          </w:tcPr>
          <w:p w14:paraId="003D5552">
            <w:pPr>
              <w:jc w:val="center"/>
              <w:rPr>
                <w:rFonts w:ascii="宋体" w:hAnsi="宋体" w:cs="宋体"/>
                <w:color w:val="auto"/>
                <w:sz w:val="24"/>
                <w:szCs w:val="24"/>
                <w:highlight w:val="none"/>
              </w:rPr>
            </w:pPr>
          </w:p>
        </w:tc>
        <w:tc>
          <w:tcPr>
            <w:tcW w:w="1138" w:type="dxa"/>
            <w:vAlign w:val="center"/>
          </w:tcPr>
          <w:p w14:paraId="1F7F1E98">
            <w:pPr>
              <w:jc w:val="center"/>
              <w:rPr>
                <w:rFonts w:ascii="宋体" w:hAnsi="宋体" w:cs="宋体"/>
                <w:color w:val="auto"/>
                <w:sz w:val="24"/>
                <w:szCs w:val="24"/>
                <w:highlight w:val="none"/>
              </w:rPr>
            </w:pPr>
          </w:p>
        </w:tc>
        <w:tc>
          <w:tcPr>
            <w:tcW w:w="684" w:type="dxa"/>
            <w:vAlign w:val="center"/>
          </w:tcPr>
          <w:p w14:paraId="4682BA86">
            <w:pPr>
              <w:jc w:val="center"/>
              <w:rPr>
                <w:rFonts w:ascii="宋体" w:hAnsi="宋体" w:cs="宋体"/>
                <w:color w:val="auto"/>
                <w:sz w:val="24"/>
                <w:szCs w:val="24"/>
                <w:highlight w:val="none"/>
              </w:rPr>
            </w:pPr>
          </w:p>
        </w:tc>
      </w:tr>
      <w:tr w14:paraId="7A21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2937B58A">
            <w:pPr>
              <w:jc w:val="center"/>
              <w:rPr>
                <w:rFonts w:ascii="宋体" w:hAnsi="宋体" w:cs="宋体"/>
                <w:color w:val="auto"/>
                <w:sz w:val="24"/>
                <w:szCs w:val="24"/>
                <w:highlight w:val="none"/>
              </w:rPr>
            </w:pPr>
          </w:p>
        </w:tc>
        <w:tc>
          <w:tcPr>
            <w:tcW w:w="721" w:type="dxa"/>
            <w:vAlign w:val="center"/>
          </w:tcPr>
          <w:p w14:paraId="5AB04737">
            <w:pPr>
              <w:jc w:val="center"/>
              <w:rPr>
                <w:rFonts w:ascii="宋体" w:hAnsi="宋体" w:cs="宋体"/>
                <w:color w:val="auto"/>
                <w:sz w:val="24"/>
                <w:szCs w:val="24"/>
                <w:highlight w:val="none"/>
              </w:rPr>
            </w:pPr>
          </w:p>
        </w:tc>
        <w:tc>
          <w:tcPr>
            <w:tcW w:w="725" w:type="dxa"/>
            <w:vAlign w:val="center"/>
          </w:tcPr>
          <w:p w14:paraId="73AF0648">
            <w:pPr>
              <w:jc w:val="center"/>
              <w:rPr>
                <w:rFonts w:ascii="宋体" w:hAnsi="宋体" w:cs="宋体"/>
                <w:color w:val="auto"/>
                <w:sz w:val="24"/>
                <w:szCs w:val="24"/>
                <w:highlight w:val="none"/>
              </w:rPr>
            </w:pPr>
          </w:p>
        </w:tc>
        <w:tc>
          <w:tcPr>
            <w:tcW w:w="785" w:type="dxa"/>
            <w:vAlign w:val="center"/>
          </w:tcPr>
          <w:p w14:paraId="29C7F1AE">
            <w:pPr>
              <w:jc w:val="center"/>
              <w:rPr>
                <w:rFonts w:ascii="宋体" w:hAnsi="宋体" w:cs="宋体"/>
                <w:color w:val="auto"/>
                <w:sz w:val="24"/>
                <w:szCs w:val="24"/>
                <w:highlight w:val="none"/>
              </w:rPr>
            </w:pPr>
          </w:p>
        </w:tc>
        <w:tc>
          <w:tcPr>
            <w:tcW w:w="881" w:type="dxa"/>
            <w:vAlign w:val="center"/>
          </w:tcPr>
          <w:p w14:paraId="2A6C0B20">
            <w:pPr>
              <w:jc w:val="center"/>
              <w:rPr>
                <w:rFonts w:ascii="宋体" w:hAnsi="宋体" w:cs="宋体"/>
                <w:color w:val="auto"/>
                <w:sz w:val="24"/>
                <w:szCs w:val="24"/>
                <w:highlight w:val="none"/>
              </w:rPr>
            </w:pPr>
          </w:p>
        </w:tc>
        <w:tc>
          <w:tcPr>
            <w:tcW w:w="854" w:type="dxa"/>
            <w:vAlign w:val="center"/>
          </w:tcPr>
          <w:p w14:paraId="1B478AAD">
            <w:pPr>
              <w:jc w:val="center"/>
              <w:rPr>
                <w:rFonts w:ascii="宋体" w:hAnsi="宋体" w:cs="宋体"/>
                <w:color w:val="auto"/>
                <w:sz w:val="24"/>
                <w:szCs w:val="24"/>
                <w:highlight w:val="none"/>
              </w:rPr>
            </w:pPr>
          </w:p>
        </w:tc>
        <w:tc>
          <w:tcPr>
            <w:tcW w:w="1050" w:type="dxa"/>
            <w:vAlign w:val="center"/>
          </w:tcPr>
          <w:p w14:paraId="7CA7F7E3">
            <w:pPr>
              <w:jc w:val="center"/>
              <w:rPr>
                <w:rFonts w:ascii="宋体" w:hAnsi="宋体" w:cs="宋体"/>
                <w:color w:val="auto"/>
                <w:sz w:val="24"/>
                <w:szCs w:val="24"/>
                <w:highlight w:val="none"/>
              </w:rPr>
            </w:pPr>
          </w:p>
        </w:tc>
        <w:tc>
          <w:tcPr>
            <w:tcW w:w="796" w:type="dxa"/>
            <w:vAlign w:val="center"/>
          </w:tcPr>
          <w:p w14:paraId="004F8635">
            <w:pPr>
              <w:jc w:val="center"/>
              <w:rPr>
                <w:rFonts w:ascii="宋体" w:hAnsi="宋体" w:cs="宋体"/>
                <w:color w:val="auto"/>
                <w:sz w:val="24"/>
                <w:szCs w:val="24"/>
                <w:highlight w:val="none"/>
              </w:rPr>
            </w:pPr>
          </w:p>
        </w:tc>
        <w:tc>
          <w:tcPr>
            <w:tcW w:w="1138" w:type="dxa"/>
            <w:vAlign w:val="center"/>
          </w:tcPr>
          <w:p w14:paraId="0246ECC1">
            <w:pPr>
              <w:jc w:val="center"/>
              <w:rPr>
                <w:rFonts w:ascii="宋体" w:hAnsi="宋体" w:cs="宋体"/>
                <w:color w:val="auto"/>
                <w:sz w:val="24"/>
                <w:szCs w:val="24"/>
                <w:highlight w:val="none"/>
              </w:rPr>
            </w:pPr>
          </w:p>
        </w:tc>
        <w:tc>
          <w:tcPr>
            <w:tcW w:w="684" w:type="dxa"/>
            <w:vAlign w:val="center"/>
          </w:tcPr>
          <w:p w14:paraId="6B0B5444">
            <w:pPr>
              <w:jc w:val="center"/>
              <w:rPr>
                <w:rFonts w:ascii="宋体" w:hAnsi="宋体" w:cs="宋体"/>
                <w:color w:val="auto"/>
                <w:sz w:val="24"/>
                <w:szCs w:val="24"/>
                <w:highlight w:val="none"/>
              </w:rPr>
            </w:pPr>
          </w:p>
        </w:tc>
      </w:tr>
      <w:tr w14:paraId="1F9A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4886D47C">
            <w:pPr>
              <w:jc w:val="center"/>
              <w:rPr>
                <w:rFonts w:ascii="宋体" w:hAnsi="宋体" w:cs="宋体"/>
                <w:color w:val="auto"/>
                <w:sz w:val="24"/>
                <w:szCs w:val="24"/>
                <w:highlight w:val="none"/>
              </w:rPr>
            </w:pPr>
          </w:p>
        </w:tc>
        <w:tc>
          <w:tcPr>
            <w:tcW w:w="721" w:type="dxa"/>
            <w:vAlign w:val="center"/>
          </w:tcPr>
          <w:p w14:paraId="0D6096BD">
            <w:pPr>
              <w:jc w:val="center"/>
              <w:rPr>
                <w:rFonts w:ascii="宋体" w:hAnsi="宋体" w:cs="宋体"/>
                <w:color w:val="auto"/>
                <w:sz w:val="24"/>
                <w:szCs w:val="24"/>
                <w:highlight w:val="none"/>
              </w:rPr>
            </w:pPr>
          </w:p>
        </w:tc>
        <w:tc>
          <w:tcPr>
            <w:tcW w:w="725" w:type="dxa"/>
            <w:vAlign w:val="center"/>
          </w:tcPr>
          <w:p w14:paraId="769989A7">
            <w:pPr>
              <w:jc w:val="center"/>
              <w:rPr>
                <w:rFonts w:ascii="宋体" w:hAnsi="宋体" w:cs="宋体"/>
                <w:color w:val="auto"/>
                <w:sz w:val="24"/>
                <w:szCs w:val="24"/>
                <w:highlight w:val="none"/>
              </w:rPr>
            </w:pPr>
          </w:p>
        </w:tc>
        <w:tc>
          <w:tcPr>
            <w:tcW w:w="785" w:type="dxa"/>
            <w:vAlign w:val="center"/>
          </w:tcPr>
          <w:p w14:paraId="57711E31">
            <w:pPr>
              <w:jc w:val="center"/>
              <w:rPr>
                <w:rFonts w:ascii="宋体" w:hAnsi="宋体" w:cs="宋体"/>
                <w:color w:val="auto"/>
                <w:sz w:val="24"/>
                <w:szCs w:val="24"/>
                <w:highlight w:val="none"/>
              </w:rPr>
            </w:pPr>
          </w:p>
        </w:tc>
        <w:tc>
          <w:tcPr>
            <w:tcW w:w="881" w:type="dxa"/>
            <w:vAlign w:val="center"/>
          </w:tcPr>
          <w:p w14:paraId="709695C0">
            <w:pPr>
              <w:jc w:val="center"/>
              <w:rPr>
                <w:rFonts w:ascii="宋体" w:hAnsi="宋体" w:cs="宋体"/>
                <w:color w:val="auto"/>
                <w:sz w:val="24"/>
                <w:szCs w:val="24"/>
                <w:highlight w:val="none"/>
              </w:rPr>
            </w:pPr>
          </w:p>
        </w:tc>
        <w:tc>
          <w:tcPr>
            <w:tcW w:w="854" w:type="dxa"/>
            <w:vAlign w:val="center"/>
          </w:tcPr>
          <w:p w14:paraId="02F873D0">
            <w:pPr>
              <w:jc w:val="center"/>
              <w:rPr>
                <w:rFonts w:ascii="宋体" w:hAnsi="宋体" w:cs="宋体"/>
                <w:color w:val="auto"/>
                <w:sz w:val="24"/>
                <w:szCs w:val="24"/>
                <w:highlight w:val="none"/>
              </w:rPr>
            </w:pPr>
          </w:p>
        </w:tc>
        <w:tc>
          <w:tcPr>
            <w:tcW w:w="1050" w:type="dxa"/>
            <w:vAlign w:val="center"/>
          </w:tcPr>
          <w:p w14:paraId="4C20A36F">
            <w:pPr>
              <w:jc w:val="center"/>
              <w:rPr>
                <w:rFonts w:ascii="宋体" w:hAnsi="宋体" w:cs="宋体"/>
                <w:color w:val="auto"/>
                <w:sz w:val="24"/>
                <w:szCs w:val="24"/>
                <w:highlight w:val="none"/>
              </w:rPr>
            </w:pPr>
          </w:p>
        </w:tc>
        <w:tc>
          <w:tcPr>
            <w:tcW w:w="796" w:type="dxa"/>
            <w:vAlign w:val="center"/>
          </w:tcPr>
          <w:p w14:paraId="6BF19D4F">
            <w:pPr>
              <w:jc w:val="center"/>
              <w:rPr>
                <w:rFonts w:ascii="宋体" w:hAnsi="宋体" w:cs="宋体"/>
                <w:color w:val="auto"/>
                <w:sz w:val="24"/>
                <w:szCs w:val="24"/>
                <w:highlight w:val="none"/>
              </w:rPr>
            </w:pPr>
          </w:p>
        </w:tc>
        <w:tc>
          <w:tcPr>
            <w:tcW w:w="1138" w:type="dxa"/>
            <w:vAlign w:val="center"/>
          </w:tcPr>
          <w:p w14:paraId="6E6440FE">
            <w:pPr>
              <w:jc w:val="center"/>
              <w:rPr>
                <w:rFonts w:ascii="宋体" w:hAnsi="宋体" w:cs="宋体"/>
                <w:color w:val="auto"/>
                <w:sz w:val="24"/>
                <w:szCs w:val="24"/>
                <w:highlight w:val="none"/>
              </w:rPr>
            </w:pPr>
          </w:p>
        </w:tc>
        <w:tc>
          <w:tcPr>
            <w:tcW w:w="684" w:type="dxa"/>
            <w:vAlign w:val="center"/>
          </w:tcPr>
          <w:p w14:paraId="4301182E">
            <w:pPr>
              <w:jc w:val="center"/>
              <w:rPr>
                <w:rFonts w:ascii="宋体" w:hAnsi="宋体" w:cs="宋体"/>
                <w:color w:val="auto"/>
                <w:sz w:val="24"/>
                <w:szCs w:val="24"/>
                <w:highlight w:val="none"/>
              </w:rPr>
            </w:pPr>
          </w:p>
        </w:tc>
      </w:tr>
      <w:tr w14:paraId="05C9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vAlign w:val="center"/>
          </w:tcPr>
          <w:p w14:paraId="498045BD">
            <w:pPr>
              <w:jc w:val="center"/>
              <w:rPr>
                <w:rFonts w:ascii="宋体" w:hAnsi="宋体" w:cs="宋体"/>
                <w:color w:val="auto"/>
                <w:sz w:val="24"/>
                <w:szCs w:val="24"/>
                <w:highlight w:val="none"/>
              </w:rPr>
            </w:pPr>
          </w:p>
        </w:tc>
        <w:tc>
          <w:tcPr>
            <w:tcW w:w="721" w:type="dxa"/>
            <w:vAlign w:val="center"/>
          </w:tcPr>
          <w:p w14:paraId="1B04E2AC">
            <w:pPr>
              <w:jc w:val="center"/>
              <w:rPr>
                <w:rFonts w:ascii="宋体" w:hAnsi="宋体" w:cs="宋体"/>
                <w:color w:val="auto"/>
                <w:sz w:val="24"/>
                <w:szCs w:val="24"/>
                <w:highlight w:val="none"/>
              </w:rPr>
            </w:pPr>
          </w:p>
        </w:tc>
        <w:tc>
          <w:tcPr>
            <w:tcW w:w="725" w:type="dxa"/>
            <w:vAlign w:val="center"/>
          </w:tcPr>
          <w:p w14:paraId="045EB7CB">
            <w:pPr>
              <w:jc w:val="center"/>
              <w:rPr>
                <w:rFonts w:ascii="宋体" w:hAnsi="宋体" w:cs="宋体"/>
                <w:color w:val="auto"/>
                <w:sz w:val="24"/>
                <w:szCs w:val="24"/>
                <w:highlight w:val="none"/>
              </w:rPr>
            </w:pPr>
          </w:p>
        </w:tc>
        <w:tc>
          <w:tcPr>
            <w:tcW w:w="785" w:type="dxa"/>
            <w:vAlign w:val="center"/>
          </w:tcPr>
          <w:p w14:paraId="40057F00">
            <w:pPr>
              <w:jc w:val="center"/>
              <w:rPr>
                <w:rFonts w:ascii="宋体" w:hAnsi="宋体" w:cs="宋体"/>
                <w:color w:val="auto"/>
                <w:sz w:val="24"/>
                <w:szCs w:val="24"/>
                <w:highlight w:val="none"/>
              </w:rPr>
            </w:pPr>
          </w:p>
        </w:tc>
        <w:tc>
          <w:tcPr>
            <w:tcW w:w="881" w:type="dxa"/>
            <w:vAlign w:val="center"/>
          </w:tcPr>
          <w:p w14:paraId="5FE2E97F">
            <w:pPr>
              <w:jc w:val="center"/>
              <w:rPr>
                <w:rFonts w:ascii="宋体" w:hAnsi="宋体" w:cs="宋体"/>
                <w:color w:val="auto"/>
                <w:sz w:val="24"/>
                <w:szCs w:val="24"/>
                <w:highlight w:val="none"/>
              </w:rPr>
            </w:pPr>
          </w:p>
        </w:tc>
        <w:tc>
          <w:tcPr>
            <w:tcW w:w="854" w:type="dxa"/>
            <w:vAlign w:val="center"/>
          </w:tcPr>
          <w:p w14:paraId="31F3DAFF">
            <w:pPr>
              <w:jc w:val="center"/>
              <w:rPr>
                <w:rFonts w:ascii="宋体" w:hAnsi="宋体" w:cs="宋体"/>
                <w:color w:val="auto"/>
                <w:sz w:val="24"/>
                <w:szCs w:val="24"/>
                <w:highlight w:val="none"/>
              </w:rPr>
            </w:pPr>
          </w:p>
        </w:tc>
        <w:tc>
          <w:tcPr>
            <w:tcW w:w="1050" w:type="dxa"/>
            <w:vAlign w:val="center"/>
          </w:tcPr>
          <w:p w14:paraId="7F2A4616">
            <w:pPr>
              <w:jc w:val="center"/>
              <w:rPr>
                <w:rFonts w:ascii="宋体" w:hAnsi="宋体" w:cs="宋体"/>
                <w:color w:val="auto"/>
                <w:sz w:val="24"/>
                <w:szCs w:val="24"/>
                <w:highlight w:val="none"/>
              </w:rPr>
            </w:pPr>
          </w:p>
        </w:tc>
        <w:tc>
          <w:tcPr>
            <w:tcW w:w="796" w:type="dxa"/>
            <w:vAlign w:val="center"/>
          </w:tcPr>
          <w:p w14:paraId="567B4331">
            <w:pPr>
              <w:jc w:val="center"/>
              <w:rPr>
                <w:rFonts w:ascii="宋体" w:hAnsi="宋体" w:cs="宋体"/>
                <w:color w:val="auto"/>
                <w:sz w:val="24"/>
                <w:szCs w:val="24"/>
                <w:highlight w:val="none"/>
              </w:rPr>
            </w:pPr>
          </w:p>
        </w:tc>
        <w:tc>
          <w:tcPr>
            <w:tcW w:w="1138" w:type="dxa"/>
            <w:vAlign w:val="center"/>
          </w:tcPr>
          <w:p w14:paraId="48FA003B">
            <w:pPr>
              <w:jc w:val="center"/>
              <w:rPr>
                <w:rFonts w:ascii="宋体" w:hAnsi="宋体" w:cs="宋体"/>
                <w:color w:val="auto"/>
                <w:sz w:val="24"/>
                <w:szCs w:val="24"/>
                <w:highlight w:val="none"/>
              </w:rPr>
            </w:pPr>
          </w:p>
        </w:tc>
        <w:tc>
          <w:tcPr>
            <w:tcW w:w="684" w:type="dxa"/>
            <w:vAlign w:val="center"/>
          </w:tcPr>
          <w:p w14:paraId="3623AA31">
            <w:pPr>
              <w:jc w:val="center"/>
              <w:rPr>
                <w:rFonts w:ascii="宋体" w:hAnsi="宋体" w:cs="宋体"/>
                <w:color w:val="auto"/>
                <w:sz w:val="24"/>
                <w:szCs w:val="24"/>
                <w:highlight w:val="none"/>
              </w:rPr>
            </w:pPr>
          </w:p>
        </w:tc>
      </w:tr>
    </w:tbl>
    <w:p w14:paraId="40EC651C">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附表二：</w:t>
      </w:r>
    </w:p>
    <w:p w14:paraId="037CC64F">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拟配备本工程的试验和检测仪器设备表</w:t>
      </w:r>
    </w:p>
    <w:tbl>
      <w:tblPr>
        <w:tblStyle w:val="39"/>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64"/>
        <w:gridCol w:w="1120"/>
        <w:gridCol w:w="1031"/>
        <w:gridCol w:w="876"/>
        <w:gridCol w:w="973"/>
        <w:gridCol w:w="1001"/>
        <w:gridCol w:w="954"/>
        <w:gridCol w:w="757"/>
      </w:tblGrid>
      <w:tr w14:paraId="2391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7787841D">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064" w:type="dxa"/>
            <w:vAlign w:val="center"/>
          </w:tcPr>
          <w:p w14:paraId="125B42E0">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仪器设备名称</w:t>
            </w:r>
          </w:p>
        </w:tc>
        <w:tc>
          <w:tcPr>
            <w:tcW w:w="1120" w:type="dxa"/>
            <w:vAlign w:val="center"/>
          </w:tcPr>
          <w:p w14:paraId="74D7A21D">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型号</w:t>
            </w:r>
          </w:p>
          <w:p w14:paraId="06E0F465">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规格</w:t>
            </w:r>
          </w:p>
        </w:tc>
        <w:tc>
          <w:tcPr>
            <w:tcW w:w="1031" w:type="dxa"/>
            <w:vAlign w:val="center"/>
          </w:tcPr>
          <w:p w14:paraId="23CD0F1B">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876" w:type="dxa"/>
            <w:vAlign w:val="center"/>
          </w:tcPr>
          <w:p w14:paraId="0CF92E33">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国别</w:t>
            </w:r>
          </w:p>
          <w:p w14:paraId="171DBB4C">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产地</w:t>
            </w:r>
          </w:p>
        </w:tc>
        <w:tc>
          <w:tcPr>
            <w:tcW w:w="973" w:type="dxa"/>
            <w:vAlign w:val="center"/>
          </w:tcPr>
          <w:p w14:paraId="75CB0CAD">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制造</w:t>
            </w:r>
          </w:p>
          <w:p w14:paraId="358062D4">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年份</w:t>
            </w:r>
          </w:p>
        </w:tc>
        <w:tc>
          <w:tcPr>
            <w:tcW w:w="1001" w:type="dxa"/>
            <w:vAlign w:val="center"/>
          </w:tcPr>
          <w:p w14:paraId="3921EF59">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已使用</w:t>
            </w:r>
          </w:p>
          <w:p w14:paraId="7B6B492D">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台时数</w:t>
            </w:r>
          </w:p>
        </w:tc>
        <w:tc>
          <w:tcPr>
            <w:tcW w:w="954" w:type="dxa"/>
            <w:vAlign w:val="center"/>
          </w:tcPr>
          <w:p w14:paraId="31174C9D">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用途</w:t>
            </w:r>
          </w:p>
        </w:tc>
        <w:tc>
          <w:tcPr>
            <w:tcW w:w="757" w:type="dxa"/>
            <w:vAlign w:val="center"/>
          </w:tcPr>
          <w:p w14:paraId="08391D96">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6112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0AAAD58B">
            <w:pPr>
              <w:jc w:val="center"/>
              <w:rPr>
                <w:rFonts w:ascii="宋体" w:hAnsi="宋体" w:cs="宋体"/>
                <w:color w:val="auto"/>
                <w:sz w:val="24"/>
                <w:szCs w:val="24"/>
                <w:highlight w:val="none"/>
              </w:rPr>
            </w:pPr>
          </w:p>
        </w:tc>
        <w:tc>
          <w:tcPr>
            <w:tcW w:w="1064" w:type="dxa"/>
            <w:vAlign w:val="center"/>
          </w:tcPr>
          <w:p w14:paraId="0FB0726B">
            <w:pPr>
              <w:jc w:val="center"/>
              <w:rPr>
                <w:rFonts w:ascii="宋体" w:hAnsi="宋体" w:cs="宋体"/>
                <w:color w:val="auto"/>
                <w:sz w:val="24"/>
                <w:szCs w:val="24"/>
                <w:highlight w:val="none"/>
              </w:rPr>
            </w:pPr>
          </w:p>
        </w:tc>
        <w:tc>
          <w:tcPr>
            <w:tcW w:w="1120" w:type="dxa"/>
            <w:vAlign w:val="center"/>
          </w:tcPr>
          <w:p w14:paraId="4295AB92">
            <w:pPr>
              <w:jc w:val="center"/>
              <w:rPr>
                <w:rFonts w:ascii="宋体" w:hAnsi="宋体" w:cs="宋体"/>
                <w:color w:val="auto"/>
                <w:sz w:val="24"/>
                <w:szCs w:val="24"/>
                <w:highlight w:val="none"/>
              </w:rPr>
            </w:pPr>
          </w:p>
        </w:tc>
        <w:tc>
          <w:tcPr>
            <w:tcW w:w="1031" w:type="dxa"/>
            <w:vAlign w:val="center"/>
          </w:tcPr>
          <w:p w14:paraId="6ED7F540">
            <w:pPr>
              <w:jc w:val="center"/>
              <w:rPr>
                <w:rFonts w:ascii="宋体" w:hAnsi="宋体" w:cs="宋体"/>
                <w:color w:val="auto"/>
                <w:sz w:val="24"/>
                <w:szCs w:val="24"/>
                <w:highlight w:val="none"/>
              </w:rPr>
            </w:pPr>
          </w:p>
        </w:tc>
        <w:tc>
          <w:tcPr>
            <w:tcW w:w="876" w:type="dxa"/>
            <w:vAlign w:val="center"/>
          </w:tcPr>
          <w:p w14:paraId="2CC6C711">
            <w:pPr>
              <w:jc w:val="center"/>
              <w:rPr>
                <w:rFonts w:ascii="宋体" w:hAnsi="宋体" w:cs="宋体"/>
                <w:color w:val="auto"/>
                <w:sz w:val="24"/>
                <w:szCs w:val="24"/>
                <w:highlight w:val="none"/>
              </w:rPr>
            </w:pPr>
          </w:p>
        </w:tc>
        <w:tc>
          <w:tcPr>
            <w:tcW w:w="973" w:type="dxa"/>
            <w:vAlign w:val="center"/>
          </w:tcPr>
          <w:p w14:paraId="519CAC7C">
            <w:pPr>
              <w:jc w:val="center"/>
              <w:rPr>
                <w:rFonts w:ascii="宋体" w:hAnsi="宋体" w:cs="宋体"/>
                <w:color w:val="auto"/>
                <w:sz w:val="24"/>
                <w:szCs w:val="24"/>
                <w:highlight w:val="none"/>
              </w:rPr>
            </w:pPr>
          </w:p>
        </w:tc>
        <w:tc>
          <w:tcPr>
            <w:tcW w:w="1001" w:type="dxa"/>
            <w:vAlign w:val="center"/>
          </w:tcPr>
          <w:p w14:paraId="20EAB48B">
            <w:pPr>
              <w:jc w:val="center"/>
              <w:rPr>
                <w:rFonts w:ascii="宋体" w:hAnsi="宋体" w:cs="宋体"/>
                <w:color w:val="auto"/>
                <w:sz w:val="24"/>
                <w:szCs w:val="24"/>
                <w:highlight w:val="none"/>
              </w:rPr>
            </w:pPr>
          </w:p>
        </w:tc>
        <w:tc>
          <w:tcPr>
            <w:tcW w:w="954" w:type="dxa"/>
            <w:vAlign w:val="center"/>
          </w:tcPr>
          <w:p w14:paraId="64CFFA90">
            <w:pPr>
              <w:jc w:val="center"/>
              <w:rPr>
                <w:rFonts w:ascii="宋体" w:hAnsi="宋体" w:cs="宋体"/>
                <w:color w:val="auto"/>
                <w:sz w:val="24"/>
                <w:szCs w:val="24"/>
                <w:highlight w:val="none"/>
              </w:rPr>
            </w:pPr>
          </w:p>
        </w:tc>
        <w:tc>
          <w:tcPr>
            <w:tcW w:w="757" w:type="dxa"/>
            <w:vAlign w:val="center"/>
          </w:tcPr>
          <w:p w14:paraId="027BC5E7">
            <w:pPr>
              <w:jc w:val="center"/>
              <w:rPr>
                <w:rFonts w:ascii="宋体" w:hAnsi="宋体" w:cs="宋体"/>
                <w:color w:val="auto"/>
                <w:sz w:val="24"/>
                <w:szCs w:val="24"/>
                <w:highlight w:val="none"/>
              </w:rPr>
            </w:pPr>
          </w:p>
        </w:tc>
      </w:tr>
      <w:tr w14:paraId="1C60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0A76D89D">
            <w:pPr>
              <w:jc w:val="center"/>
              <w:rPr>
                <w:rFonts w:ascii="宋体" w:hAnsi="宋体" w:cs="宋体"/>
                <w:color w:val="auto"/>
                <w:sz w:val="24"/>
                <w:szCs w:val="24"/>
                <w:highlight w:val="none"/>
              </w:rPr>
            </w:pPr>
          </w:p>
        </w:tc>
        <w:tc>
          <w:tcPr>
            <w:tcW w:w="1064" w:type="dxa"/>
            <w:vAlign w:val="center"/>
          </w:tcPr>
          <w:p w14:paraId="794C04EE">
            <w:pPr>
              <w:jc w:val="center"/>
              <w:rPr>
                <w:rFonts w:ascii="宋体" w:hAnsi="宋体" w:cs="宋体"/>
                <w:color w:val="auto"/>
                <w:sz w:val="24"/>
                <w:szCs w:val="24"/>
                <w:highlight w:val="none"/>
              </w:rPr>
            </w:pPr>
          </w:p>
        </w:tc>
        <w:tc>
          <w:tcPr>
            <w:tcW w:w="1120" w:type="dxa"/>
            <w:vAlign w:val="center"/>
          </w:tcPr>
          <w:p w14:paraId="27C56DDD">
            <w:pPr>
              <w:jc w:val="center"/>
              <w:rPr>
                <w:rFonts w:ascii="宋体" w:hAnsi="宋体" w:cs="宋体"/>
                <w:color w:val="auto"/>
                <w:sz w:val="24"/>
                <w:szCs w:val="24"/>
                <w:highlight w:val="none"/>
              </w:rPr>
            </w:pPr>
          </w:p>
        </w:tc>
        <w:tc>
          <w:tcPr>
            <w:tcW w:w="1031" w:type="dxa"/>
            <w:vAlign w:val="center"/>
          </w:tcPr>
          <w:p w14:paraId="5183AD27">
            <w:pPr>
              <w:jc w:val="center"/>
              <w:rPr>
                <w:rFonts w:ascii="宋体" w:hAnsi="宋体" w:cs="宋体"/>
                <w:color w:val="auto"/>
                <w:sz w:val="24"/>
                <w:szCs w:val="24"/>
                <w:highlight w:val="none"/>
              </w:rPr>
            </w:pPr>
          </w:p>
        </w:tc>
        <w:tc>
          <w:tcPr>
            <w:tcW w:w="876" w:type="dxa"/>
            <w:vAlign w:val="center"/>
          </w:tcPr>
          <w:p w14:paraId="319E2FF1">
            <w:pPr>
              <w:jc w:val="center"/>
              <w:rPr>
                <w:rFonts w:ascii="宋体" w:hAnsi="宋体" w:cs="宋体"/>
                <w:color w:val="auto"/>
                <w:sz w:val="24"/>
                <w:szCs w:val="24"/>
                <w:highlight w:val="none"/>
              </w:rPr>
            </w:pPr>
          </w:p>
        </w:tc>
        <w:tc>
          <w:tcPr>
            <w:tcW w:w="973" w:type="dxa"/>
            <w:vAlign w:val="center"/>
          </w:tcPr>
          <w:p w14:paraId="662C6F3C">
            <w:pPr>
              <w:jc w:val="center"/>
              <w:rPr>
                <w:rFonts w:ascii="宋体" w:hAnsi="宋体" w:cs="宋体"/>
                <w:color w:val="auto"/>
                <w:sz w:val="24"/>
                <w:szCs w:val="24"/>
                <w:highlight w:val="none"/>
              </w:rPr>
            </w:pPr>
          </w:p>
        </w:tc>
        <w:tc>
          <w:tcPr>
            <w:tcW w:w="1001" w:type="dxa"/>
            <w:vAlign w:val="center"/>
          </w:tcPr>
          <w:p w14:paraId="1776A0F4">
            <w:pPr>
              <w:jc w:val="center"/>
              <w:rPr>
                <w:rFonts w:ascii="宋体" w:hAnsi="宋体" w:cs="宋体"/>
                <w:color w:val="auto"/>
                <w:sz w:val="24"/>
                <w:szCs w:val="24"/>
                <w:highlight w:val="none"/>
              </w:rPr>
            </w:pPr>
          </w:p>
        </w:tc>
        <w:tc>
          <w:tcPr>
            <w:tcW w:w="954" w:type="dxa"/>
            <w:vAlign w:val="center"/>
          </w:tcPr>
          <w:p w14:paraId="1467999C">
            <w:pPr>
              <w:jc w:val="center"/>
              <w:rPr>
                <w:rFonts w:ascii="宋体" w:hAnsi="宋体" w:cs="宋体"/>
                <w:color w:val="auto"/>
                <w:sz w:val="24"/>
                <w:szCs w:val="24"/>
                <w:highlight w:val="none"/>
              </w:rPr>
            </w:pPr>
          </w:p>
        </w:tc>
        <w:tc>
          <w:tcPr>
            <w:tcW w:w="757" w:type="dxa"/>
            <w:vAlign w:val="center"/>
          </w:tcPr>
          <w:p w14:paraId="4AD3B83F">
            <w:pPr>
              <w:jc w:val="center"/>
              <w:rPr>
                <w:rFonts w:ascii="宋体" w:hAnsi="宋体" w:cs="宋体"/>
                <w:color w:val="auto"/>
                <w:sz w:val="24"/>
                <w:szCs w:val="24"/>
                <w:highlight w:val="none"/>
              </w:rPr>
            </w:pPr>
          </w:p>
        </w:tc>
      </w:tr>
      <w:tr w14:paraId="3429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6D4206BC">
            <w:pPr>
              <w:jc w:val="center"/>
              <w:rPr>
                <w:rFonts w:ascii="宋体" w:hAnsi="宋体" w:cs="宋体"/>
                <w:color w:val="auto"/>
                <w:sz w:val="24"/>
                <w:szCs w:val="24"/>
                <w:highlight w:val="none"/>
              </w:rPr>
            </w:pPr>
          </w:p>
        </w:tc>
        <w:tc>
          <w:tcPr>
            <w:tcW w:w="1064" w:type="dxa"/>
            <w:vAlign w:val="center"/>
          </w:tcPr>
          <w:p w14:paraId="4404852C">
            <w:pPr>
              <w:jc w:val="center"/>
              <w:rPr>
                <w:rFonts w:ascii="宋体" w:hAnsi="宋体" w:cs="宋体"/>
                <w:color w:val="auto"/>
                <w:sz w:val="24"/>
                <w:szCs w:val="24"/>
                <w:highlight w:val="none"/>
              </w:rPr>
            </w:pPr>
          </w:p>
        </w:tc>
        <w:tc>
          <w:tcPr>
            <w:tcW w:w="1120" w:type="dxa"/>
            <w:vAlign w:val="center"/>
          </w:tcPr>
          <w:p w14:paraId="0E10CF42">
            <w:pPr>
              <w:jc w:val="center"/>
              <w:rPr>
                <w:rFonts w:ascii="宋体" w:hAnsi="宋体" w:cs="宋体"/>
                <w:color w:val="auto"/>
                <w:sz w:val="24"/>
                <w:szCs w:val="24"/>
                <w:highlight w:val="none"/>
              </w:rPr>
            </w:pPr>
          </w:p>
        </w:tc>
        <w:tc>
          <w:tcPr>
            <w:tcW w:w="1031" w:type="dxa"/>
            <w:vAlign w:val="center"/>
          </w:tcPr>
          <w:p w14:paraId="345C80C8">
            <w:pPr>
              <w:jc w:val="center"/>
              <w:rPr>
                <w:rFonts w:ascii="宋体" w:hAnsi="宋体" w:cs="宋体"/>
                <w:color w:val="auto"/>
                <w:sz w:val="24"/>
                <w:szCs w:val="24"/>
                <w:highlight w:val="none"/>
              </w:rPr>
            </w:pPr>
          </w:p>
        </w:tc>
        <w:tc>
          <w:tcPr>
            <w:tcW w:w="876" w:type="dxa"/>
            <w:vAlign w:val="center"/>
          </w:tcPr>
          <w:p w14:paraId="5EB253AF">
            <w:pPr>
              <w:jc w:val="center"/>
              <w:rPr>
                <w:rFonts w:ascii="宋体" w:hAnsi="宋体" w:cs="宋体"/>
                <w:color w:val="auto"/>
                <w:sz w:val="24"/>
                <w:szCs w:val="24"/>
                <w:highlight w:val="none"/>
              </w:rPr>
            </w:pPr>
          </w:p>
        </w:tc>
        <w:tc>
          <w:tcPr>
            <w:tcW w:w="973" w:type="dxa"/>
            <w:vAlign w:val="center"/>
          </w:tcPr>
          <w:p w14:paraId="206EBFD2">
            <w:pPr>
              <w:jc w:val="center"/>
              <w:rPr>
                <w:rFonts w:ascii="宋体" w:hAnsi="宋体" w:cs="宋体"/>
                <w:color w:val="auto"/>
                <w:sz w:val="24"/>
                <w:szCs w:val="24"/>
                <w:highlight w:val="none"/>
              </w:rPr>
            </w:pPr>
          </w:p>
        </w:tc>
        <w:tc>
          <w:tcPr>
            <w:tcW w:w="1001" w:type="dxa"/>
            <w:vAlign w:val="center"/>
          </w:tcPr>
          <w:p w14:paraId="0CFE3002">
            <w:pPr>
              <w:jc w:val="center"/>
              <w:rPr>
                <w:rFonts w:ascii="宋体" w:hAnsi="宋体" w:cs="宋体"/>
                <w:color w:val="auto"/>
                <w:sz w:val="24"/>
                <w:szCs w:val="24"/>
                <w:highlight w:val="none"/>
              </w:rPr>
            </w:pPr>
          </w:p>
        </w:tc>
        <w:tc>
          <w:tcPr>
            <w:tcW w:w="954" w:type="dxa"/>
            <w:vAlign w:val="center"/>
          </w:tcPr>
          <w:p w14:paraId="67D6DB2E">
            <w:pPr>
              <w:jc w:val="center"/>
              <w:rPr>
                <w:rFonts w:ascii="宋体" w:hAnsi="宋体" w:cs="宋体"/>
                <w:color w:val="auto"/>
                <w:sz w:val="24"/>
                <w:szCs w:val="24"/>
                <w:highlight w:val="none"/>
              </w:rPr>
            </w:pPr>
          </w:p>
        </w:tc>
        <w:tc>
          <w:tcPr>
            <w:tcW w:w="757" w:type="dxa"/>
            <w:vAlign w:val="center"/>
          </w:tcPr>
          <w:p w14:paraId="0EE03550">
            <w:pPr>
              <w:jc w:val="center"/>
              <w:rPr>
                <w:rFonts w:ascii="宋体" w:hAnsi="宋体" w:cs="宋体"/>
                <w:color w:val="auto"/>
                <w:sz w:val="24"/>
                <w:szCs w:val="24"/>
                <w:highlight w:val="none"/>
              </w:rPr>
            </w:pPr>
          </w:p>
        </w:tc>
      </w:tr>
      <w:tr w14:paraId="2C83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2B8846DB">
            <w:pPr>
              <w:jc w:val="center"/>
              <w:rPr>
                <w:rFonts w:ascii="宋体" w:hAnsi="宋体" w:cs="宋体"/>
                <w:color w:val="auto"/>
                <w:sz w:val="24"/>
                <w:szCs w:val="24"/>
                <w:highlight w:val="none"/>
              </w:rPr>
            </w:pPr>
          </w:p>
        </w:tc>
        <w:tc>
          <w:tcPr>
            <w:tcW w:w="1064" w:type="dxa"/>
            <w:vAlign w:val="center"/>
          </w:tcPr>
          <w:p w14:paraId="6086D3CC">
            <w:pPr>
              <w:jc w:val="center"/>
              <w:rPr>
                <w:rFonts w:ascii="宋体" w:hAnsi="宋体" w:cs="宋体"/>
                <w:color w:val="auto"/>
                <w:sz w:val="24"/>
                <w:szCs w:val="24"/>
                <w:highlight w:val="none"/>
              </w:rPr>
            </w:pPr>
          </w:p>
        </w:tc>
        <w:tc>
          <w:tcPr>
            <w:tcW w:w="1120" w:type="dxa"/>
            <w:vAlign w:val="center"/>
          </w:tcPr>
          <w:p w14:paraId="725CC32E">
            <w:pPr>
              <w:jc w:val="center"/>
              <w:rPr>
                <w:rFonts w:ascii="宋体" w:hAnsi="宋体" w:cs="宋体"/>
                <w:color w:val="auto"/>
                <w:sz w:val="24"/>
                <w:szCs w:val="24"/>
                <w:highlight w:val="none"/>
              </w:rPr>
            </w:pPr>
          </w:p>
        </w:tc>
        <w:tc>
          <w:tcPr>
            <w:tcW w:w="1031" w:type="dxa"/>
            <w:vAlign w:val="center"/>
          </w:tcPr>
          <w:p w14:paraId="4524A390">
            <w:pPr>
              <w:jc w:val="center"/>
              <w:rPr>
                <w:rFonts w:ascii="宋体" w:hAnsi="宋体" w:cs="宋体"/>
                <w:color w:val="auto"/>
                <w:sz w:val="24"/>
                <w:szCs w:val="24"/>
                <w:highlight w:val="none"/>
              </w:rPr>
            </w:pPr>
          </w:p>
        </w:tc>
        <w:tc>
          <w:tcPr>
            <w:tcW w:w="876" w:type="dxa"/>
            <w:vAlign w:val="center"/>
          </w:tcPr>
          <w:p w14:paraId="0CBDF53F">
            <w:pPr>
              <w:jc w:val="center"/>
              <w:rPr>
                <w:rFonts w:ascii="宋体" w:hAnsi="宋体" w:cs="宋体"/>
                <w:color w:val="auto"/>
                <w:sz w:val="24"/>
                <w:szCs w:val="24"/>
                <w:highlight w:val="none"/>
              </w:rPr>
            </w:pPr>
          </w:p>
        </w:tc>
        <w:tc>
          <w:tcPr>
            <w:tcW w:w="973" w:type="dxa"/>
            <w:vAlign w:val="center"/>
          </w:tcPr>
          <w:p w14:paraId="7D703349">
            <w:pPr>
              <w:jc w:val="center"/>
              <w:rPr>
                <w:rFonts w:ascii="宋体" w:hAnsi="宋体" w:cs="宋体"/>
                <w:color w:val="auto"/>
                <w:sz w:val="24"/>
                <w:szCs w:val="24"/>
                <w:highlight w:val="none"/>
              </w:rPr>
            </w:pPr>
          </w:p>
        </w:tc>
        <w:tc>
          <w:tcPr>
            <w:tcW w:w="1001" w:type="dxa"/>
            <w:vAlign w:val="center"/>
          </w:tcPr>
          <w:p w14:paraId="61EA947D">
            <w:pPr>
              <w:jc w:val="center"/>
              <w:rPr>
                <w:rFonts w:ascii="宋体" w:hAnsi="宋体" w:cs="宋体"/>
                <w:color w:val="auto"/>
                <w:sz w:val="24"/>
                <w:szCs w:val="24"/>
                <w:highlight w:val="none"/>
              </w:rPr>
            </w:pPr>
          </w:p>
        </w:tc>
        <w:tc>
          <w:tcPr>
            <w:tcW w:w="954" w:type="dxa"/>
            <w:vAlign w:val="center"/>
          </w:tcPr>
          <w:p w14:paraId="356E4310">
            <w:pPr>
              <w:jc w:val="center"/>
              <w:rPr>
                <w:rFonts w:ascii="宋体" w:hAnsi="宋体" w:cs="宋体"/>
                <w:color w:val="auto"/>
                <w:sz w:val="24"/>
                <w:szCs w:val="24"/>
                <w:highlight w:val="none"/>
              </w:rPr>
            </w:pPr>
          </w:p>
        </w:tc>
        <w:tc>
          <w:tcPr>
            <w:tcW w:w="757" w:type="dxa"/>
            <w:vAlign w:val="center"/>
          </w:tcPr>
          <w:p w14:paraId="16967057">
            <w:pPr>
              <w:jc w:val="center"/>
              <w:rPr>
                <w:rFonts w:ascii="宋体" w:hAnsi="宋体" w:cs="宋体"/>
                <w:color w:val="auto"/>
                <w:sz w:val="24"/>
                <w:szCs w:val="24"/>
                <w:highlight w:val="none"/>
              </w:rPr>
            </w:pPr>
          </w:p>
        </w:tc>
      </w:tr>
      <w:tr w14:paraId="7C44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1C76F8E7">
            <w:pPr>
              <w:jc w:val="center"/>
              <w:rPr>
                <w:rFonts w:ascii="宋体" w:hAnsi="宋体" w:cs="宋体"/>
                <w:color w:val="auto"/>
                <w:sz w:val="24"/>
                <w:szCs w:val="24"/>
                <w:highlight w:val="none"/>
              </w:rPr>
            </w:pPr>
          </w:p>
        </w:tc>
        <w:tc>
          <w:tcPr>
            <w:tcW w:w="1064" w:type="dxa"/>
            <w:vAlign w:val="center"/>
          </w:tcPr>
          <w:p w14:paraId="574D14E7">
            <w:pPr>
              <w:jc w:val="center"/>
              <w:rPr>
                <w:rFonts w:ascii="宋体" w:hAnsi="宋体" w:cs="宋体"/>
                <w:color w:val="auto"/>
                <w:sz w:val="24"/>
                <w:szCs w:val="24"/>
                <w:highlight w:val="none"/>
              </w:rPr>
            </w:pPr>
          </w:p>
        </w:tc>
        <w:tc>
          <w:tcPr>
            <w:tcW w:w="1120" w:type="dxa"/>
            <w:vAlign w:val="center"/>
          </w:tcPr>
          <w:p w14:paraId="3221FB5B">
            <w:pPr>
              <w:jc w:val="center"/>
              <w:rPr>
                <w:rFonts w:ascii="宋体" w:hAnsi="宋体" w:cs="宋体"/>
                <w:color w:val="auto"/>
                <w:sz w:val="24"/>
                <w:szCs w:val="24"/>
                <w:highlight w:val="none"/>
              </w:rPr>
            </w:pPr>
          </w:p>
        </w:tc>
        <w:tc>
          <w:tcPr>
            <w:tcW w:w="1031" w:type="dxa"/>
            <w:vAlign w:val="center"/>
          </w:tcPr>
          <w:p w14:paraId="117EC554">
            <w:pPr>
              <w:jc w:val="center"/>
              <w:rPr>
                <w:rFonts w:ascii="宋体" w:hAnsi="宋体" w:cs="宋体"/>
                <w:color w:val="auto"/>
                <w:sz w:val="24"/>
                <w:szCs w:val="24"/>
                <w:highlight w:val="none"/>
              </w:rPr>
            </w:pPr>
          </w:p>
        </w:tc>
        <w:tc>
          <w:tcPr>
            <w:tcW w:w="876" w:type="dxa"/>
            <w:vAlign w:val="center"/>
          </w:tcPr>
          <w:p w14:paraId="54B6E233">
            <w:pPr>
              <w:jc w:val="center"/>
              <w:rPr>
                <w:rFonts w:ascii="宋体" w:hAnsi="宋体" w:cs="宋体"/>
                <w:color w:val="auto"/>
                <w:sz w:val="24"/>
                <w:szCs w:val="24"/>
                <w:highlight w:val="none"/>
              </w:rPr>
            </w:pPr>
          </w:p>
        </w:tc>
        <w:tc>
          <w:tcPr>
            <w:tcW w:w="973" w:type="dxa"/>
            <w:vAlign w:val="center"/>
          </w:tcPr>
          <w:p w14:paraId="17F84EDA">
            <w:pPr>
              <w:jc w:val="center"/>
              <w:rPr>
                <w:rFonts w:ascii="宋体" w:hAnsi="宋体" w:cs="宋体"/>
                <w:color w:val="auto"/>
                <w:sz w:val="24"/>
                <w:szCs w:val="24"/>
                <w:highlight w:val="none"/>
              </w:rPr>
            </w:pPr>
          </w:p>
        </w:tc>
        <w:tc>
          <w:tcPr>
            <w:tcW w:w="1001" w:type="dxa"/>
            <w:vAlign w:val="center"/>
          </w:tcPr>
          <w:p w14:paraId="4B42E5FF">
            <w:pPr>
              <w:jc w:val="center"/>
              <w:rPr>
                <w:rFonts w:ascii="宋体" w:hAnsi="宋体" w:cs="宋体"/>
                <w:color w:val="auto"/>
                <w:sz w:val="24"/>
                <w:szCs w:val="24"/>
                <w:highlight w:val="none"/>
              </w:rPr>
            </w:pPr>
          </w:p>
        </w:tc>
        <w:tc>
          <w:tcPr>
            <w:tcW w:w="954" w:type="dxa"/>
            <w:vAlign w:val="center"/>
          </w:tcPr>
          <w:p w14:paraId="35CB11A9">
            <w:pPr>
              <w:jc w:val="center"/>
              <w:rPr>
                <w:rFonts w:ascii="宋体" w:hAnsi="宋体" w:cs="宋体"/>
                <w:color w:val="auto"/>
                <w:sz w:val="24"/>
                <w:szCs w:val="24"/>
                <w:highlight w:val="none"/>
              </w:rPr>
            </w:pPr>
          </w:p>
        </w:tc>
        <w:tc>
          <w:tcPr>
            <w:tcW w:w="757" w:type="dxa"/>
            <w:vAlign w:val="center"/>
          </w:tcPr>
          <w:p w14:paraId="14A0280C">
            <w:pPr>
              <w:jc w:val="center"/>
              <w:rPr>
                <w:rFonts w:ascii="宋体" w:hAnsi="宋体" w:cs="宋体"/>
                <w:color w:val="auto"/>
                <w:sz w:val="24"/>
                <w:szCs w:val="24"/>
                <w:highlight w:val="none"/>
              </w:rPr>
            </w:pPr>
          </w:p>
        </w:tc>
      </w:tr>
      <w:tr w14:paraId="511A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3FCDA58A">
            <w:pPr>
              <w:jc w:val="center"/>
              <w:rPr>
                <w:rFonts w:ascii="宋体" w:hAnsi="宋体" w:cs="宋体"/>
                <w:color w:val="auto"/>
                <w:sz w:val="24"/>
                <w:szCs w:val="24"/>
                <w:highlight w:val="none"/>
              </w:rPr>
            </w:pPr>
          </w:p>
        </w:tc>
        <w:tc>
          <w:tcPr>
            <w:tcW w:w="1064" w:type="dxa"/>
            <w:vAlign w:val="center"/>
          </w:tcPr>
          <w:p w14:paraId="1557138D">
            <w:pPr>
              <w:jc w:val="center"/>
              <w:rPr>
                <w:rFonts w:ascii="宋体" w:hAnsi="宋体" w:cs="宋体"/>
                <w:color w:val="auto"/>
                <w:sz w:val="24"/>
                <w:szCs w:val="24"/>
                <w:highlight w:val="none"/>
              </w:rPr>
            </w:pPr>
          </w:p>
        </w:tc>
        <w:tc>
          <w:tcPr>
            <w:tcW w:w="1120" w:type="dxa"/>
            <w:vAlign w:val="center"/>
          </w:tcPr>
          <w:p w14:paraId="6439FCF4">
            <w:pPr>
              <w:jc w:val="center"/>
              <w:rPr>
                <w:rFonts w:ascii="宋体" w:hAnsi="宋体" w:cs="宋体"/>
                <w:color w:val="auto"/>
                <w:sz w:val="24"/>
                <w:szCs w:val="24"/>
                <w:highlight w:val="none"/>
              </w:rPr>
            </w:pPr>
          </w:p>
        </w:tc>
        <w:tc>
          <w:tcPr>
            <w:tcW w:w="1031" w:type="dxa"/>
            <w:vAlign w:val="center"/>
          </w:tcPr>
          <w:p w14:paraId="1F6CD869">
            <w:pPr>
              <w:jc w:val="center"/>
              <w:rPr>
                <w:rFonts w:ascii="宋体" w:hAnsi="宋体" w:cs="宋体"/>
                <w:color w:val="auto"/>
                <w:sz w:val="24"/>
                <w:szCs w:val="24"/>
                <w:highlight w:val="none"/>
              </w:rPr>
            </w:pPr>
          </w:p>
        </w:tc>
        <w:tc>
          <w:tcPr>
            <w:tcW w:w="876" w:type="dxa"/>
            <w:vAlign w:val="center"/>
          </w:tcPr>
          <w:p w14:paraId="4E22A6A2">
            <w:pPr>
              <w:jc w:val="center"/>
              <w:rPr>
                <w:rFonts w:ascii="宋体" w:hAnsi="宋体" w:cs="宋体"/>
                <w:color w:val="auto"/>
                <w:sz w:val="24"/>
                <w:szCs w:val="24"/>
                <w:highlight w:val="none"/>
              </w:rPr>
            </w:pPr>
          </w:p>
        </w:tc>
        <w:tc>
          <w:tcPr>
            <w:tcW w:w="973" w:type="dxa"/>
            <w:vAlign w:val="center"/>
          </w:tcPr>
          <w:p w14:paraId="41E84172">
            <w:pPr>
              <w:jc w:val="center"/>
              <w:rPr>
                <w:rFonts w:ascii="宋体" w:hAnsi="宋体" w:cs="宋体"/>
                <w:color w:val="auto"/>
                <w:sz w:val="24"/>
                <w:szCs w:val="24"/>
                <w:highlight w:val="none"/>
              </w:rPr>
            </w:pPr>
          </w:p>
        </w:tc>
        <w:tc>
          <w:tcPr>
            <w:tcW w:w="1001" w:type="dxa"/>
            <w:vAlign w:val="center"/>
          </w:tcPr>
          <w:p w14:paraId="153C04B9">
            <w:pPr>
              <w:jc w:val="center"/>
              <w:rPr>
                <w:rFonts w:ascii="宋体" w:hAnsi="宋体" w:cs="宋体"/>
                <w:color w:val="auto"/>
                <w:sz w:val="24"/>
                <w:szCs w:val="24"/>
                <w:highlight w:val="none"/>
              </w:rPr>
            </w:pPr>
          </w:p>
        </w:tc>
        <w:tc>
          <w:tcPr>
            <w:tcW w:w="954" w:type="dxa"/>
            <w:vAlign w:val="center"/>
          </w:tcPr>
          <w:p w14:paraId="56CD12D4">
            <w:pPr>
              <w:jc w:val="center"/>
              <w:rPr>
                <w:rFonts w:ascii="宋体" w:hAnsi="宋体" w:cs="宋体"/>
                <w:color w:val="auto"/>
                <w:sz w:val="24"/>
                <w:szCs w:val="24"/>
                <w:highlight w:val="none"/>
              </w:rPr>
            </w:pPr>
          </w:p>
        </w:tc>
        <w:tc>
          <w:tcPr>
            <w:tcW w:w="757" w:type="dxa"/>
            <w:vAlign w:val="center"/>
          </w:tcPr>
          <w:p w14:paraId="4A2C366A">
            <w:pPr>
              <w:jc w:val="center"/>
              <w:rPr>
                <w:rFonts w:ascii="宋体" w:hAnsi="宋体" w:cs="宋体"/>
                <w:color w:val="auto"/>
                <w:sz w:val="24"/>
                <w:szCs w:val="24"/>
                <w:highlight w:val="none"/>
              </w:rPr>
            </w:pPr>
          </w:p>
        </w:tc>
      </w:tr>
      <w:tr w14:paraId="509A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462BEAF2">
            <w:pPr>
              <w:jc w:val="center"/>
              <w:rPr>
                <w:rFonts w:ascii="宋体" w:hAnsi="宋体" w:cs="宋体"/>
                <w:color w:val="auto"/>
                <w:sz w:val="24"/>
                <w:szCs w:val="24"/>
                <w:highlight w:val="none"/>
              </w:rPr>
            </w:pPr>
          </w:p>
        </w:tc>
        <w:tc>
          <w:tcPr>
            <w:tcW w:w="1064" w:type="dxa"/>
            <w:vAlign w:val="center"/>
          </w:tcPr>
          <w:p w14:paraId="5E68A4D4">
            <w:pPr>
              <w:jc w:val="center"/>
              <w:rPr>
                <w:rFonts w:ascii="宋体" w:hAnsi="宋体" w:cs="宋体"/>
                <w:color w:val="auto"/>
                <w:sz w:val="24"/>
                <w:szCs w:val="24"/>
                <w:highlight w:val="none"/>
              </w:rPr>
            </w:pPr>
          </w:p>
        </w:tc>
        <w:tc>
          <w:tcPr>
            <w:tcW w:w="1120" w:type="dxa"/>
            <w:vAlign w:val="center"/>
          </w:tcPr>
          <w:p w14:paraId="344F1658">
            <w:pPr>
              <w:jc w:val="center"/>
              <w:rPr>
                <w:rFonts w:ascii="宋体" w:hAnsi="宋体" w:cs="宋体"/>
                <w:color w:val="auto"/>
                <w:sz w:val="24"/>
                <w:szCs w:val="24"/>
                <w:highlight w:val="none"/>
              </w:rPr>
            </w:pPr>
          </w:p>
        </w:tc>
        <w:tc>
          <w:tcPr>
            <w:tcW w:w="1031" w:type="dxa"/>
            <w:vAlign w:val="center"/>
          </w:tcPr>
          <w:p w14:paraId="09C7AA63">
            <w:pPr>
              <w:jc w:val="center"/>
              <w:rPr>
                <w:rFonts w:ascii="宋体" w:hAnsi="宋体" w:cs="宋体"/>
                <w:color w:val="auto"/>
                <w:sz w:val="24"/>
                <w:szCs w:val="24"/>
                <w:highlight w:val="none"/>
              </w:rPr>
            </w:pPr>
          </w:p>
        </w:tc>
        <w:tc>
          <w:tcPr>
            <w:tcW w:w="876" w:type="dxa"/>
            <w:vAlign w:val="center"/>
          </w:tcPr>
          <w:p w14:paraId="2B27C639">
            <w:pPr>
              <w:jc w:val="center"/>
              <w:rPr>
                <w:rFonts w:ascii="宋体" w:hAnsi="宋体" w:cs="宋体"/>
                <w:color w:val="auto"/>
                <w:sz w:val="24"/>
                <w:szCs w:val="24"/>
                <w:highlight w:val="none"/>
              </w:rPr>
            </w:pPr>
          </w:p>
        </w:tc>
        <w:tc>
          <w:tcPr>
            <w:tcW w:w="973" w:type="dxa"/>
            <w:vAlign w:val="center"/>
          </w:tcPr>
          <w:p w14:paraId="2497F800">
            <w:pPr>
              <w:jc w:val="center"/>
              <w:rPr>
                <w:rFonts w:ascii="宋体" w:hAnsi="宋体" w:cs="宋体"/>
                <w:color w:val="auto"/>
                <w:sz w:val="24"/>
                <w:szCs w:val="24"/>
                <w:highlight w:val="none"/>
              </w:rPr>
            </w:pPr>
          </w:p>
        </w:tc>
        <w:tc>
          <w:tcPr>
            <w:tcW w:w="1001" w:type="dxa"/>
            <w:vAlign w:val="center"/>
          </w:tcPr>
          <w:p w14:paraId="66BC3F5D">
            <w:pPr>
              <w:jc w:val="center"/>
              <w:rPr>
                <w:rFonts w:ascii="宋体" w:hAnsi="宋体" w:cs="宋体"/>
                <w:color w:val="auto"/>
                <w:sz w:val="24"/>
                <w:szCs w:val="24"/>
                <w:highlight w:val="none"/>
              </w:rPr>
            </w:pPr>
          </w:p>
        </w:tc>
        <w:tc>
          <w:tcPr>
            <w:tcW w:w="954" w:type="dxa"/>
            <w:vAlign w:val="center"/>
          </w:tcPr>
          <w:p w14:paraId="784D96C0">
            <w:pPr>
              <w:jc w:val="center"/>
              <w:rPr>
                <w:rFonts w:ascii="宋体" w:hAnsi="宋体" w:cs="宋体"/>
                <w:color w:val="auto"/>
                <w:sz w:val="24"/>
                <w:szCs w:val="24"/>
                <w:highlight w:val="none"/>
              </w:rPr>
            </w:pPr>
          </w:p>
        </w:tc>
        <w:tc>
          <w:tcPr>
            <w:tcW w:w="757" w:type="dxa"/>
            <w:vAlign w:val="center"/>
          </w:tcPr>
          <w:p w14:paraId="5E843319">
            <w:pPr>
              <w:jc w:val="center"/>
              <w:rPr>
                <w:rFonts w:ascii="宋体" w:hAnsi="宋体" w:cs="宋体"/>
                <w:color w:val="auto"/>
                <w:sz w:val="24"/>
                <w:szCs w:val="24"/>
                <w:highlight w:val="none"/>
              </w:rPr>
            </w:pPr>
          </w:p>
        </w:tc>
      </w:tr>
      <w:tr w14:paraId="3CBB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74C95309">
            <w:pPr>
              <w:jc w:val="center"/>
              <w:rPr>
                <w:rFonts w:ascii="宋体" w:hAnsi="宋体" w:cs="宋体"/>
                <w:color w:val="auto"/>
                <w:sz w:val="24"/>
                <w:szCs w:val="24"/>
                <w:highlight w:val="none"/>
              </w:rPr>
            </w:pPr>
          </w:p>
        </w:tc>
        <w:tc>
          <w:tcPr>
            <w:tcW w:w="1064" w:type="dxa"/>
            <w:vAlign w:val="center"/>
          </w:tcPr>
          <w:p w14:paraId="0B37372B">
            <w:pPr>
              <w:jc w:val="center"/>
              <w:rPr>
                <w:rFonts w:ascii="宋体" w:hAnsi="宋体" w:cs="宋体"/>
                <w:color w:val="auto"/>
                <w:sz w:val="24"/>
                <w:szCs w:val="24"/>
                <w:highlight w:val="none"/>
              </w:rPr>
            </w:pPr>
          </w:p>
        </w:tc>
        <w:tc>
          <w:tcPr>
            <w:tcW w:w="1120" w:type="dxa"/>
            <w:vAlign w:val="center"/>
          </w:tcPr>
          <w:p w14:paraId="23FA8E06">
            <w:pPr>
              <w:jc w:val="center"/>
              <w:rPr>
                <w:rFonts w:ascii="宋体" w:hAnsi="宋体" w:cs="宋体"/>
                <w:color w:val="auto"/>
                <w:sz w:val="24"/>
                <w:szCs w:val="24"/>
                <w:highlight w:val="none"/>
              </w:rPr>
            </w:pPr>
          </w:p>
        </w:tc>
        <w:tc>
          <w:tcPr>
            <w:tcW w:w="1031" w:type="dxa"/>
            <w:vAlign w:val="center"/>
          </w:tcPr>
          <w:p w14:paraId="68A6EC5B">
            <w:pPr>
              <w:jc w:val="center"/>
              <w:rPr>
                <w:rFonts w:ascii="宋体" w:hAnsi="宋体" w:cs="宋体"/>
                <w:color w:val="auto"/>
                <w:sz w:val="24"/>
                <w:szCs w:val="24"/>
                <w:highlight w:val="none"/>
              </w:rPr>
            </w:pPr>
          </w:p>
        </w:tc>
        <w:tc>
          <w:tcPr>
            <w:tcW w:w="876" w:type="dxa"/>
            <w:vAlign w:val="center"/>
          </w:tcPr>
          <w:p w14:paraId="7F155FBD">
            <w:pPr>
              <w:jc w:val="center"/>
              <w:rPr>
                <w:rFonts w:ascii="宋体" w:hAnsi="宋体" w:cs="宋体"/>
                <w:color w:val="auto"/>
                <w:sz w:val="24"/>
                <w:szCs w:val="24"/>
                <w:highlight w:val="none"/>
              </w:rPr>
            </w:pPr>
          </w:p>
        </w:tc>
        <w:tc>
          <w:tcPr>
            <w:tcW w:w="973" w:type="dxa"/>
            <w:vAlign w:val="center"/>
          </w:tcPr>
          <w:p w14:paraId="1C380ECD">
            <w:pPr>
              <w:jc w:val="center"/>
              <w:rPr>
                <w:rFonts w:ascii="宋体" w:hAnsi="宋体" w:cs="宋体"/>
                <w:color w:val="auto"/>
                <w:sz w:val="24"/>
                <w:szCs w:val="24"/>
                <w:highlight w:val="none"/>
              </w:rPr>
            </w:pPr>
          </w:p>
        </w:tc>
        <w:tc>
          <w:tcPr>
            <w:tcW w:w="1001" w:type="dxa"/>
            <w:vAlign w:val="center"/>
          </w:tcPr>
          <w:p w14:paraId="658C398D">
            <w:pPr>
              <w:jc w:val="center"/>
              <w:rPr>
                <w:rFonts w:ascii="宋体" w:hAnsi="宋体" w:cs="宋体"/>
                <w:color w:val="auto"/>
                <w:sz w:val="24"/>
                <w:szCs w:val="24"/>
                <w:highlight w:val="none"/>
              </w:rPr>
            </w:pPr>
          </w:p>
        </w:tc>
        <w:tc>
          <w:tcPr>
            <w:tcW w:w="954" w:type="dxa"/>
            <w:vAlign w:val="center"/>
          </w:tcPr>
          <w:p w14:paraId="549DD29D">
            <w:pPr>
              <w:jc w:val="center"/>
              <w:rPr>
                <w:rFonts w:ascii="宋体" w:hAnsi="宋体" w:cs="宋体"/>
                <w:color w:val="auto"/>
                <w:sz w:val="24"/>
                <w:szCs w:val="24"/>
                <w:highlight w:val="none"/>
              </w:rPr>
            </w:pPr>
          </w:p>
        </w:tc>
        <w:tc>
          <w:tcPr>
            <w:tcW w:w="757" w:type="dxa"/>
            <w:vAlign w:val="center"/>
          </w:tcPr>
          <w:p w14:paraId="4D2834BC">
            <w:pPr>
              <w:jc w:val="center"/>
              <w:rPr>
                <w:rFonts w:ascii="宋体" w:hAnsi="宋体" w:cs="宋体"/>
                <w:color w:val="auto"/>
                <w:sz w:val="24"/>
                <w:szCs w:val="24"/>
                <w:highlight w:val="none"/>
              </w:rPr>
            </w:pPr>
          </w:p>
        </w:tc>
      </w:tr>
      <w:tr w14:paraId="310F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61A1CCDB">
            <w:pPr>
              <w:jc w:val="center"/>
              <w:rPr>
                <w:rFonts w:ascii="宋体" w:hAnsi="宋体" w:cs="宋体"/>
                <w:color w:val="auto"/>
                <w:sz w:val="24"/>
                <w:szCs w:val="24"/>
                <w:highlight w:val="none"/>
              </w:rPr>
            </w:pPr>
          </w:p>
        </w:tc>
        <w:tc>
          <w:tcPr>
            <w:tcW w:w="1064" w:type="dxa"/>
            <w:vAlign w:val="center"/>
          </w:tcPr>
          <w:p w14:paraId="38182BDC">
            <w:pPr>
              <w:jc w:val="center"/>
              <w:rPr>
                <w:rFonts w:ascii="宋体" w:hAnsi="宋体" w:cs="宋体"/>
                <w:color w:val="auto"/>
                <w:sz w:val="24"/>
                <w:szCs w:val="24"/>
                <w:highlight w:val="none"/>
              </w:rPr>
            </w:pPr>
          </w:p>
        </w:tc>
        <w:tc>
          <w:tcPr>
            <w:tcW w:w="1120" w:type="dxa"/>
            <w:vAlign w:val="center"/>
          </w:tcPr>
          <w:p w14:paraId="3906D559">
            <w:pPr>
              <w:jc w:val="center"/>
              <w:rPr>
                <w:rFonts w:ascii="宋体" w:hAnsi="宋体" w:cs="宋体"/>
                <w:color w:val="auto"/>
                <w:sz w:val="24"/>
                <w:szCs w:val="24"/>
                <w:highlight w:val="none"/>
              </w:rPr>
            </w:pPr>
          </w:p>
        </w:tc>
        <w:tc>
          <w:tcPr>
            <w:tcW w:w="1031" w:type="dxa"/>
            <w:vAlign w:val="center"/>
          </w:tcPr>
          <w:p w14:paraId="01478403">
            <w:pPr>
              <w:jc w:val="center"/>
              <w:rPr>
                <w:rFonts w:ascii="宋体" w:hAnsi="宋体" w:cs="宋体"/>
                <w:color w:val="auto"/>
                <w:sz w:val="24"/>
                <w:szCs w:val="24"/>
                <w:highlight w:val="none"/>
              </w:rPr>
            </w:pPr>
          </w:p>
        </w:tc>
        <w:tc>
          <w:tcPr>
            <w:tcW w:w="876" w:type="dxa"/>
            <w:vAlign w:val="center"/>
          </w:tcPr>
          <w:p w14:paraId="66141B3E">
            <w:pPr>
              <w:jc w:val="center"/>
              <w:rPr>
                <w:rFonts w:ascii="宋体" w:hAnsi="宋体" w:cs="宋体"/>
                <w:color w:val="auto"/>
                <w:sz w:val="24"/>
                <w:szCs w:val="24"/>
                <w:highlight w:val="none"/>
              </w:rPr>
            </w:pPr>
          </w:p>
        </w:tc>
        <w:tc>
          <w:tcPr>
            <w:tcW w:w="973" w:type="dxa"/>
            <w:vAlign w:val="center"/>
          </w:tcPr>
          <w:p w14:paraId="64BD78A2">
            <w:pPr>
              <w:jc w:val="center"/>
              <w:rPr>
                <w:rFonts w:ascii="宋体" w:hAnsi="宋体" w:cs="宋体"/>
                <w:color w:val="auto"/>
                <w:sz w:val="24"/>
                <w:szCs w:val="24"/>
                <w:highlight w:val="none"/>
              </w:rPr>
            </w:pPr>
          </w:p>
        </w:tc>
        <w:tc>
          <w:tcPr>
            <w:tcW w:w="1001" w:type="dxa"/>
            <w:vAlign w:val="center"/>
          </w:tcPr>
          <w:p w14:paraId="49CF9BEB">
            <w:pPr>
              <w:jc w:val="center"/>
              <w:rPr>
                <w:rFonts w:ascii="宋体" w:hAnsi="宋体" w:cs="宋体"/>
                <w:color w:val="auto"/>
                <w:sz w:val="24"/>
                <w:szCs w:val="24"/>
                <w:highlight w:val="none"/>
              </w:rPr>
            </w:pPr>
          </w:p>
        </w:tc>
        <w:tc>
          <w:tcPr>
            <w:tcW w:w="954" w:type="dxa"/>
            <w:vAlign w:val="center"/>
          </w:tcPr>
          <w:p w14:paraId="4A8A3892">
            <w:pPr>
              <w:jc w:val="center"/>
              <w:rPr>
                <w:rFonts w:ascii="宋体" w:hAnsi="宋体" w:cs="宋体"/>
                <w:color w:val="auto"/>
                <w:sz w:val="24"/>
                <w:szCs w:val="24"/>
                <w:highlight w:val="none"/>
              </w:rPr>
            </w:pPr>
          </w:p>
        </w:tc>
        <w:tc>
          <w:tcPr>
            <w:tcW w:w="757" w:type="dxa"/>
            <w:vAlign w:val="center"/>
          </w:tcPr>
          <w:p w14:paraId="2C57DF74">
            <w:pPr>
              <w:jc w:val="center"/>
              <w:rPr>
                <w:rFonts w:ascii="宋体" w:hAnsi="宋体" w:cs="宋体"/>
                <w:color w:val="auto"/>
                <w:sz w:val="24"/>
                <w:szCs w:val="24"/>
                <w:highlight w:val="none"/>
              </w:rPr>
            </w:pPr>
          </w:p>
        </w:tc>
      </w:tr>
      <w:tr w14:paraId="4EE3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66F5A83D">
            <w:pPr>
              <w:jc w:val="center"/>
              <w:rPr>
                <w:rFonts w:ascii="宋体" w:hAnsi="宋体" w:cs="宋体"/>
                <w:color w:val="auto"/>
                <w:sz w:val="24"/>
                <w:szCs w:val="24"/>
                <w:highlight w:val="none"/>
              </w:rPr>
            </w:pPr>
          </w:p>
        </w:tc>
        <w:tc>
          <w:tcPr>
            <w:tcW w:w="1064" w:type="dxa"/>
            <w:vAlign w:val="center"/>
          </w:tcPr>
          <w:p w14:paraId="411D5642">
            <w:pPr>
              <w:jc w:val="center"/>
              <w:rPr>
                <w:rFonts w:ascii="宋体" w:hAnsi="宋体" w:cs="宋体"/>
                <w:color w:val="auto"/>
                <w:sz w:val="24"/>
                <w:szCs w:val="24"/>
                <w:highlight w:val="none"/>
              </w:rPr>
            </w:pPr>
          </w:p>
        </w:tc>
        <w:tc>
          <w:tcPr>
            <w:tcW w:w="1120" w:type="dxa"/>
            <w:vAlign w:val="center"/>
          </w:tcPr>
          <w:p w14:paraId="6F2F458C">
            <w:pPr>
              <w:jc w:val="center"/>
              <w:rPr>
                <w:rFonts w:ascii="宋体" w:hAnsi="宋体" w:cs="宋体"/>
                <w:color w:val="auto"/>
                <w:sz w:val="24"/>
                <w:szCs w:val="24"/>
                <w:highlight w:val="none"/>
              </w:rPr>
            </w:pPr>
          </w:p>
        </w:tc>
        <w:tc>
          <w:tcPr>
            <w:tcW w:w="1031" w:type="dxa"/>
            <w:vAlign w:val="center"/>
          </w:tcPr>
          <w:p w14:paraId="3AD68765">
            <w:pPr>
              <w:jc w:val="center"/>
              <w:rPr>
                <w:rFonts w:ascii="宋体" w:hAnsi="宋体" w:cs="宋体"/>
                <w:color w:val="auto"/>
                <w:sz w:val="24"/>
                <w:szCs w:val="24"/>
                <w:highlight w:val="none"/>
              </w:rPr>
            </w:pPr>
          </w:p>
        </w:tc>
        <w:tc>
          <w:tcPr>
            <w:tcW w:w="876" w:type="dxa"/>
            <w:vAlign w:val="center"/>
          </w:tcPr>
          <w:p w14:paraId="1C12B20E">
            <w:pPr>
              <w:jc w:val="center"/>
              <w:rPr>
                <w:rFonts w:ascii="宋体" w:hAnsi="宋体" w:cs="宋体"/>
                <w:color w:val="auto"/>
                <w:sz w:val="24"/>
                <w:szCs w:val="24"/>
                <w:highlight w:val="none"/>
              </w:rPr>
            </w:pPr>
          </w:p>
        </w:tc>
        <w:tc>
          <w:tcPr>
            <w:tcW w:w="973" w:type="dxa"/>
            <w:vAlign w:val="center"/>
          </w:tcPr>
          <w:p w14:paraId="529EC193">
            <w:pPr>
              <w:jc w:val="center"/>
              <w:rPr>
                <w:rFonts w:ascii="宋体" w:hAnsi="宋体" w:cs="宋体"/>
                <w:color w:val="auto"/>
                <w:sz w:val="24"/>
                <w:szCs w:val="24"/>
                <w:highlight w:val="none"/>
              </w:rPr>
            </w:pPr>
          </w:p>
        </w:tc>
        <w:tc>
          <w:tcPr>
            <w:tcW w:w="1001" w:type="dxa"/>
            <w:vAlign w:val="center"/>
          </w:tcPr>
          <w:p w14:paraId="1485613E">
            <w:pPr>
              <w:jc w:val="center"/>
              <w:rPr>
                <w:rFonts w:ascii="宋体" w:hAnsi="宋体" w:cs="宋体"/>
                <w:color w:val="auto"/>
                <w:sz w:val="24"/>
                <w:szCs w:val="24"/>
                <w:highlight w:val="none"/>
              </w:rPr>
            </w:pPr>
          </w:p>
        </w:tc>
        <w:tc>
          <w:tcPr>
            <w:tcW w:w="954" w:type="dxa"/>
            <w:vAlign w:val="center"/>
          </w:tcPr>
          <w:p w14:paraId="52182DB5">
            <w:pPr>
              <w:jc w:val="center"/>
              <w:rPr>
                <w:rFonts w:ascii="宋体" w:hAnsi="宋体" w:cs="宋体"/>
                <w:color w:val="auto"/>
                <w:sz w:val="24"/>
                <w:szCs w:val="24"/>
                <w:highlight w:val="none"/>
              </w:rPr>
            </w:pPr>
          </w:p>
        </w:tc>
        <w:tc>
          <w:tcPr>
            <w:tcW w:w="757" w:type="dxa"/>
            <w:vAlign w:val="center"/>
          </w:tcPr>
          <w:p w14:paraId="039B4966">
            <w:pPr>
              <w:jc w:val="center"/>
              <w:rPr>
                <w:rFonts w:ascii="宋体" w:hAnsi="宋体" w:cs="宋体"/>
                <w:color w:val="auto"/>
                <w:sz w:val="24"/>
                <w:szCs w:val="24"/>
                <w:highlight w:val="none"/>
              </w:rPr>
            </w:pPr>
          </w:p>
        </w:tc>
      </w:tr>
      <w:tr w14:paraId="648C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573D2CCD">
            <w:pPr>
              <w:jc w:val="center"/>
              <w:rPr>
                <w:rFonts w:ascii="宋体" w:hAnsi="宋体" w:cs="宋体"/>
                <w:color w:val="auto"/>
                <w:sz w:val="24"/>
                <w:szCs w:val="24"/>
                <w:highlight w:val="none"/>
              </w:rPr>
            </w:pPr>
          </w:p>
        </w:tc>
        <w:tc>
          <w:tcPr>
            <w:tcW w:w="1064" w:type="dxa"/>
            <w:vAlign w:val="center"/>
          </w:tcPr>
          <w:p w14:paraId="469C64D7">
            <w:pPr>
              <w:jc w:val="center"/>
              <w:rPr>
                <w:rFonts w:ascii="宋体" w:hAnsi="宋体" w:cs="宋体"/>
                <w:color w:val="auto"/>
                <w:sz w:val="24"/>
                <w:szCs w:val="24"/>
                <w:highlight w:val="none"/>
              </w:rPr>
            </w:pPr>
          </w:p>
        </w:tc>
        <w:tc>
          <w:tcPr>
            <w:tcW w:w="1120" w:type="dxa"/>
            <w:vAlign w:val="center"/>
          </w:tcPr>
          <w:p w14:paraId="66FF44A9">
            <w:pPr>
              <w:jc w:val="center"/>
              <w:rPr>
                <w:rFonts w:ascii="宋体" w:hAnsi="宋体" w:cs="宋体"/>
                <w:color w:val="auto"/>
                <w:sz w:val="24"/>
                <w:szCs w:val="24"/>
                <w:highlight w:val="none"/>
              </w:rPr>
            </w:pPr>
          </w:p>
        </w:tc>
        <w:tc>
          <w:tcPr>
            <w:tcW w:w="1031" w:type="dxa"/>
            <w:vAlign w:val="center"/>
          </w:tcPr>
          <w:p w14:paraId="4E36A7C4">
            <w:pPr>
              <w:jc w:val="center"/>
              <w:rPr>
                <w:rFonts w:ascii="宋体" w:hAnsi="宋体" w:cs="宋体"/>
                <w:color w:val="auto"/>
                <w:sz w:val="24"/>
                <w:szCs w:val="24"/>
                <w:highlight w:val="none"/>
              </w:rPr>
            </w:pPr>
          </w:p>
        </w:tc>
        <w:tc>
          <w:tcPr>
            <w:tcW w:w="876" w:type="dxa"/>
            <w:vAlign w:val="center"/>
          </w:tcPr>
          <w:p w14:paraId="1001EB05">
            <w:pPr>
              <w:jc w:val="center"/>
              <w:rPr>
                <w:rFonts w:ascii="宋体" w:hAnsi="宋体" w:cs="宋体"/>
                <w:color w:val="auto"/>
                <w:sz w:val="24"/>
                <w:szCs w:val="24"/>
                <w:highlight w:val="none"/>
              </w:rPr>
            </w:pPr>
          </w:p>
        </w:tc>
        <w:tc>
          <w:tcPr>
            <w:tcW w:w="973" w:type="dxa"/>
            <w:vAlign w:val="center"/>
          </w:tcPr>
          <w:p w14:paraId="7DD61960">
            <w:pPr>
              <w:jc w:val="center"/>
              <w:rPr>
                <w:rFonts w:ascii="宋体" w:hAnsi="宋体" w:cs="宋体"/>
                <w:color w:val="auto"/>
                <w:sz w:val="24"/>
                <w:szCs w:val="24"/>
                <w:highlight w:val="none"/>
              </w:rPr>
            </w:pPr>
          </w:p>
        </w:tc>
        <w:tc>
          <w:tcPr>
            <w:tcW w:w="1001" w:type="dxa"/>
            <w:vAlign w:val="center"/>
          </w:tcPr>
          <w:p w14:paraId="45A6CC55">
            <w:pPr>
              <w:jc w:val="center"/>
              <w:rPr>
                <w:rFonts w:ascii="宋体" w:hAnsi="宋体" w:cs="宋体"/>
                <w:color w:val="auto"/>
                <w:sz w:val="24"/>
                <w:szCs w:val="24"/>
                <w:highlight w:val="none"/>
              </w:rPr>
            </w:pPr>
          </w:p>
        </w:tc>
        <w:tc>
          <w:tcPr>
            <w:tcW w:w="954" w:type="dxa"/>
            <w:vAlign w:val="center"/>
          </w:tcPr>
          <w:p w14:paraId="6A7F75FB">
            <w:pPr>
              <w:jc w:val="center"/>
              <w:rPr>
                <w:rFonts w:ascii="宋体" w:hAnsi="宋体" w:cs="宋体"/>
                <w:color w:val="auto"/>
                <w:sz w:val="24"/>
                <w:szCs w:val="24"/>
                <w:highlight w:val="none"/>
              </w:rPr>
            </w:pPr>
          </w:p>
        </w:tc>
        <w:tc>
          <w:tcPr>
            <w:tcW w:w="757" w:type="dxa"/>
            <w:vAlign w:val="center"/>
          </w:tcPr>
          <w:p w14:paraId="4641A707">
            <w:pPr>
              <w:jc w:val="center"/>
              <w:rPr>
                <w:rFonts w:ascii="宋体" w:hAnsi="宋体" w:cs="宋体"/>
                <w:color w:val="auto"/>
                <w:sz w:val="24"/>
                <w:szCs w:val="24"/>
                <w:highlight w:val="none"/>
              </w:rPr>
            </w:pPr>
          </w:p>
        </w:tc>
      </w:tr>
      <w:tr w14:paraId="6E1F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1687FAC0">
            <w:pPr>
              <w:jc w:val="center"/>
              <w:rPr>
                <w:rFonts w:ascii="宋体" w:hAnsi="宋体" w:cs="宋体"/>
                <w:color w:val="auto"/>
                <w:sz w:val="24"/>
                <w:szCs w:val="24"/>
                <w:highlight w:val="none"/>
              </w:rPr>
            </w:pPr>
          </w:p>
        </w:tc>
        <w:tc>
          <w:tcPr>
            <w:tcW w:w="1064" w:type="dxa"/>
            <w:vAlign w:val="center"/>
          </w:tcPr>
          <w:p w14:paraId="2A657B26">
            <w:pPr>
              <w:jc w:val="center"/>
              <w:rPr>
                <w:rFonts w:ascii="宋体" w:hAnsi="宋体" w:cs="宋体"/>
                <w:color w:val="auto"/>
                <w:sz w:val="24"/>
                <w:szCs w:val="24"/>
                <w:highlight w:val="none"/>
              </w:rPr>
            </w:pPr>
          </w:p>
        </w:tc>
        <w:tc>
          <w:tcPr>
            <w:tcW w:w="1120" w:type="dxa"/>
            <w:vAlign w:val="center"/>
          </w:tcPr>
          <w:p w14:paraId="4D4C478D">
            <w:pPr>
              <w:jc w:val="center"/>
              <w:rPr>
                <w:rFonts w:ascii="宋体" w:hAnsi="宋体" w:cs="宋体"/>
                <w:color w:val="auto"/>
                <w:sz w:val="24"/>
                <w:szCs w:val="24"/>
                <w:highlight w:val="none"/>
              </w:rPr>
            </w:pPr>
          </w:p>
        </w:tc>
        <w:tc>
          <w:tcPr>
            <w:tcW w:w="1031" w:type="dxa"/>
            <w:vAlign w:val="center"/>
          </w:tcPr>
          <w:p w14:paraId="36386132">
            <w:pPr>
              <w:jc w:val="center"/>
              <w:rPr>
                <w:rFonts w:ascii="宋体" w:hAnsi="宋体" w:cs="宋体"/>
                <w:color w:val="auto"/>
                <w:sz w:val="24"/>
                <w:szCs w:val="24"/>
                <w:highlight w:val="none"/>
              </w:rPr>
            </w:pPr>
          </w:p>
        </w:tc>
        <w:tc>
          <w:tcPr>
            <w:tcW w:w="876" w:type="dxa"/>
            <w:vAlign w:val="center"/>
          </w:tcPr>
          <w:p w14:paraId="50937C09">
            <w:pPr>
              <w:jc w:val="center"/>
              <w:rPr>
                <w:rFonts w:ascii="宋体" w:hAnsi="宋体" w:cs="宋体"/>
                <w:color w:val="auto"/>
                <w:sz w:val="24"/>
                <w:szCs w:val="24"/>
                <w:highlight w:val="none"/>
              </w:rPr>
            </w:pPr>
          </w:p>
        </w:tc>
        <w:tc>
          <w:tcPr>
            <w:tcW w:w="973" w:type="dxa"/>
            <w:vAlign w:val="center"/>
          </w:tcPr>
          <w:p w14:paraId="3650B04F">
            <w:pPr>
              <w:jc w:val="center"/>
              <w:rPr>
                <w:rFonts w:ascii="宋体" w:hAnsi="宋体" w:cs="宋体"/>
                <w:color w:val="auto"/>
                <w:sz w:val="24"/>
                <w:szCs w:val="24"/>
                <w:highlight w:val="none"/>
              </w:rPr>
            </w:pPr>
          </w:p>
        </w:tc>
        <w:tc>
          <w:tcPr>
            <w:tcW w:w="1001" w:type="dxa"/>
            <w:vAlign w:val="center"/>
          </w:tcPr>
          <w:p w14:paraId="711AA8D8">
            <w:pPr>
              <w:jc w:val="center"/>
              <w:rPr>
                <w:rFonts w:ascii="宋体" w:hAnsi="宋体" w:cs="宋体"/>
                <w:color w:val="auto"/>
                <w:sz w:val="24"/>
                <w:szCs w:val="24"/>
                <w:highlight w:val="none"/>
              </w:rPr>
            </w:pPr>
          </w:p>
        </w:tc>
        <w:tc>
          <w:tcPr>
            <w:tcW w:w="954" w:type="dxa"/>
            <w:vAlign w:val="center"/>
          </w:tcPr>
          <w:p w14:paraId="2FC239C8">
            <w:pPr>
              <w:jc w:val="center"/>
              <w:rPr>
                <w:rFonts w:ascii="宋体" w:hAnsi="宋体" w:cs="宋体"/>
                <w:color w:val="auto"/>
                <w:sz w:val="24"/>
                <w:szCs w:val="24"/>
                <w:highlight w:val="none"/>
              </w:rPr>
            </w:pPr>
          </w:p>
        </w:tc>
        <w:tc>
          <w:tcPr>
            <w:tcW w:w="757" w:type="dxa"/>
            <w:vAlign w:val="center"/>
          </w:tcPr>
          <w:p w14:paraId="78FBBA79">
            <w:pPr>
              <w:jc w:val="center"/>
              <w:rPr>
                <w:rFonts w:ascii="宋体" w:hAnsi="宋体" w:cs="宋体"/>
                <w:color w:val="auto"/>
                <w:sz w:val="24"/>
                <w:szCs w:val="24"/>
                <w:highlight w:val="none"/>
              </w:rPr>
            </w:pPr>
          </w:p>
        </w:tc>
      </w:tr>
      <w:tr w14:paraId="4CD1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6" w:type="dxa"/>
            <w:vAlign w:val="center"/>
          </w:tcPr>
          <w:p w14:paraId="29444B23">
            <w:pPr>
              <w:jc w:val="center"/>
              <w:rPr>
                <w:rFonts w:ascii="宋体" w:hAnsi="宋体" w:cs="宋体"/>
                <w:color w:val="auto"/>
                <w:sz w:val="24"/>
                <w:szCs w:val="24"/>
                <w:highlight w:val="none"/>
              </w:rPr>
            </w:pPr>
          </w:p>
        </w:tc>
        <w:tc>
          <w:tcPr>
            <w:tcW w:w="1064" w:type="dxa"/>
            <w:vAlign w:val="center"/>
          </w:tcPr>
          <w:p w14:paraId="018E9C98">
            <w:pPr>
              <w:jc w:val="center"/>
              <w:rPr>
                <w:rFonts w:ascii="宋体" w:hAnsi="宋体" w:cs="宋体"/>
                <w:color w:val="auto"/>
                <w:sz w:val="24"/>
                <w:szCs w:val="24"/>
                <w:highlight w:val="none"/>
              </w:rPr>
            </w:pPr>
          </w:p>
        </w:tc>
        <w:tc>
          <w:tcPr>
            <w:tcW w:w="1120" w:type="dxa"/>
            <w:vAlign w:val="center"/>
          </w:tcPr>
          <w:p w14:paraId="6627A719">
            <w:pPr>
              <w:jc w:val="center"/>
              <w:rPr>
                <w:rFonts w:ascii="宋体" w:hAnsi="宋体" w:cs="宋体"/>
                <w:color w:val="auto"/>
                <w:sz w:val="24"/>
                <w:szCs w:val="24"/>
                <w:highlight w:val="none"/>
              </w:rPr>
            </w:pPr>
          </w:p>
        </w:tc>
        <w:tc>
          <w:tcPr>
            <w:tcW w:w="1031" w:type="dxa"/>
            <w:vAlign w:val="center"/>
          </w:tcPr>
          <w:p w14:paraId="5CE0E9EF">
            <w:pPr>
              <w:jc w:val="center"/>
              <w:rPr>
                <w:rFonts w:ascii="宋体" w:hAnsi="宋体" w:cs="宋体"/>
                <w:color w:val="auto"/>
                <w:sz w:val="24"/>
                <w:szCs w:val="24"/>
                <w:highlight w:val="none"/>
              </w:rPr>
            </w:pPr>
          </w:p>
        </w:tc>
        <w:tc>
          <w:tcPr>
            <w:tcW w:w="876" w:type="dxa"/>
            <w:vAlign w:val="center"/>
          </w:tcPr>
          <w:p w14:paraId="393D84CC">
            <w:pPr>
              <w:jc w:val="center"/>
              <w:rPr>
                <w:rFonts w:ascii="宋体" w:hAnsi="宋体" w:cs="宋体"/>
                <w:color w:val="auto"/>
                <w:sz w:val="24"/>
                <w:szCs w:val="24"/>
                <w:highlight w:val="none"/>
              </w:rPr>
            </w:pPr>
          </w:p>
        </w:tc>
        <w:tc>
          <w:tcPr>
            <w:tcW w:w="973" w:type="dxa"/>
            <w:vAlign w:val="center"/>
          </w:tcPr>
          <w:p w14:paraId="4173990C">
            <w:pPr>
              <w:jc w:val="center"/>
              <w:rPr>
                <w:rFonts w:ascii="宋体" w:hAnsi="宋体" w:cs="宋体"/>
                <w:color w:val="auto"/>
                <w:sz w:val="24"/>
                <w:szCs w:val="24"/>
                <w:highlight w:val="none"/>
              </w:rPr>
            </w:pPr>
          </w:p>
        </w:tc>
        <w:tc>
          <w:tcPr>
            <w:tcW w:w="1001" w:type="dxa"/>
            <w:vAlign w:val="center"/>
          </w:tcPr>
          <w:p w14:paraId="0B546C0F">
            <w:pPr>
              <w:jc w:val="center"/>
              <w:rPr>
                <w:rFonts w:ascii="宋体" w:hAnsi="宋体" w:cs="宋体"/>
                <w:color w:val="auto"/>
                <w:sz w:val="24"/>
                <w:szCs w:val="24"/>
                <w:highlight w:val="none"/>
              </w:rPr>
            </w:pPr>
          </w:p>
        </w:tc>
        <w:tc>
          <w:tcPr>
            <w:tcW w:w="954" w:type="dxa"/>
            <w:vAlign w:val="center"/>
          </w:tcPr>
          <w:p w14:paraId="4F57154E">
            <w:pPr>
              <w:jc w:val="center"/>
              <w:rPr>
                <w:rFonts w:ascii="宋体" w:hAnsi="宋体" w:cs="宋体"/>
                <w:color w:val="auto"/>
                <w:sz w:val="24"/>
                <w:szCs w:val="24"/>
                <w:highlight w:val="none"/>
              </w:rPr>
            </w:pPr>
          </w:p>
        </w:tc>
        <w:tc>
          <w:tcPr>
            <w:tcW w:w="757" w:type="dxa"/>
            <w:vAlign w:val="center"/>
          </w:tcPr>
          <w:p w14:paraId="16D69ADB">
            <w:pPr>
              <w:jc w:val="center"/>
              <w:rPr>
                <w:rFonts w:ascii="宋体" w:hAnsi="宋体" w:cs="宋体"/>
                <w:color w:val="auto"/>
                <w:sz w:val="24"/>
                <w:szCs w:val="24"/>
                <w:highlight w:val="none"/>
              </w:rPr>
            </w:pPr>
          </w:p>
        </w:tc>
      </w:tr>
    </w:tbl>
    <w:p w14:paraId="5155FB21">
      <w:pPr>
        <w:spacing w:line="360" w:lineRule="auto"/>
        <w:rPr>
          <w:rFonts w:ascii="宋体" w:hAnsi="宋体" w:cs="宋体"/>
          <w:color w:val="auto"/>
          <w:szCs w:val="24"/>
          <w:highlight w:val="none"/>
        </w:rPr>
      </w:pPr>
      <w:r>
        <w:rPr>
          <w:rFonts w:hint="eastAsia" w:ascii="宋体" w:hAnsi="宋体" w:cs="宋体"/>
          <w:color w:val="auto"/>
          <w:sz w:val="24"/>
          <w:szCs w:val="24"/>
          <w:highlight w:val="none"/>
        </w:rPr>
        <w:br w:type="page"/>
      </w:r>
      <w:r>
        <w:rPr>
          <w:rFonts w:hint="eastAsia" w:ascii="宋体" w:hAnsi="宋体" w:cs="宋体"/>
          <w:b/>
          <w:bCs/>
          <w:color w:val="auto"/>
          <w:sz w:val="24"/>
          <w:szCs w:val="24"/>
          <w:highlight w:val="none"/>
        </w:rPr>
        <w:t>附表三：</w:t>
      </w:r>
    </w:p>
    <w:p w14:paraId="6F7C8005">
      <w:pPr>
        <w:jc w:val="center"/>
        <w:rPr>
          <w:b/>
          <w:bCs/>
          <w:color w:val="auto"/>
          <w:sz w:val="28"/>
          <w:szCs w:val="24"/>
          <w:highlight w:val="none"/>
        </w:rPr>
      </w:pPr>
      <w:r>
        <w:rPr>
          <w:rFonts w:hint="eastAsia"/>
          <w:b/>
          <w:bCs/>
          <w:color w:val="auto"/>
          <w:sz w:val="28"/>
          <w:szCs w:val="24"/>
          <w:highlight w:val="none"/>
        </w:rPr>
        <w:t>劳动力计划表</w:t>
      </w:r>
    </w:p>
    <w:p w14:paraId="6E159814">
      <w:pPr>
        <w:spacing w:line="360" w:lineRule="auto"/>
        <w:ind w:right="36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单位：人</w:t>
      </w:r>
    </w:p>
    <w:tbl>
      <w:tblPr>
        <w:tblStyle w:val="3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977"/>
        <w:gridCol w:w="991"/>
        <w:gridCol w:w="991"/>
        <w:gridCol w:w="991"/>
        <w:gridCol w:w="991"/>
        <w:gridCol w:w="991"/>
        <w:gridCol w:w="1000"/>
      </w:tblGrid>
      <w:tr w14:paraId="0745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529CFFA1">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工种</w:t>
            </w:r>
          </w:p>
        </w:tc>
        <w:tc>
          <w:tcPr>
            <w:tcW w:w="6932" w:type="dxa"/>
            <w:gridSpan w:val="7"/>
            <w:vAlign w:val="center"/>
          </w:tcPr>
          <w:p w14:paraId="7993F459">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按工程施工阶段投入劳动力情况</w:t>
            </w:r>
          </w:p>
        </w:tc>
      </w:tr>
      <w:tr w14:paraId="3A04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1B298374">
            <w:pPr>
              <w:spacing w:line="360" w:lineRule="auto"/>
              <w:jc w:val="center"/>
              <w:rPr>
                <w:rFonts w:ascii="宋体" w:hAnsi="宋体" w:cs="宋体"/>
                <w:color w:val="auto"/>
                <w:sz w:val="24"/>
                <w:szCs w:val="24"/>
                <w:highlight w:val="none"/>
              </w:rPr>
            </w:pPr>
          </w:p>
        </w:tc>
        <w:tc>
          <w:tcPr>
            <w:tcW w:w="977" w:type="dxa"/>
            <w:vAlign w:val="center"/>
          </w:tcPr>
          <w:p w14:paraId="367BD19F">
            <w:pPr>
              <w:spacing w:line="360" w:lineRule="auto"/>
              <w:jc w:val="center"/>
              <w:rPr>
                <w:rFonts w:ascii="宋体" w:hAnsi="宋体" w:cs="宋体"/>
                <w:color w:val="auto"/>
                <w:sz w:val="24"/>
                <w:szCs w:val="24"/>
                <w:highlight w:val="none"/>
              </w:rPr>
            </w:pPr>
          </w:p>
        </w:tc>
        <w:tc>
          <w:tcPr>
            <w:tcW w:w="991" w:type="dxa"/>
            <w:vAlign w:val="center"/>
          </w:tcPr>
          <w:p w14:paraId="5EAF2D99">
            <w:pPr>
              <w:spacing w:line="360" w:lineRule="auto"/>
              <w:jc w:val="center"/>
              <w:rPr>
                <w:rFonts w:ascii="宋体" w:hAnsi="宋体" w:cs="宋体"/>
                <w:color w:val="auto"/>
                <w:sz w:val="24"/>
                <w:szCs w:val="24"/>
                <w:highlight w:val="none"/>
              </w:rPr>
            </w:pPr>
          </w:p>
        </w:tc>
        <w:tc>
          <w:tcPr>
            <w:tcW w:w="991" w:type="dxa"/>
            <w:vAlign w:val="center"/>
          </w:tcPr>
          <w:p w14:paraId="4DF3C71A">
            <w:pPr>
              <w:spacing w:line="360" w:lineRule="auto"/>
              <w:jc w:val="center"/>
              <w:rPr>
                <w:rFonts w:ascii="宋体" w:hAnsi="宋体" w:cs="宋体"/>
                <w:color w:val="auto"/>
                <w:sz w:val="24"/>
                <w:szCs w:val="24"/>
                <w:highlight w:val="none"/>
              </w:rPr>
            </w:pPr>
          </w:p>
        </w:tc>
        <w:tc>
          <w:tcPr>
            <w:tcW w:w="991" w:type="dxa"/>
            <w:vAlign w:val="center"/>
          </w:tcPr>
          <w:p w14:paraId="54FC95AC">
            <w:pPr>
              <w:spacing w:line="360" w:lineRule="auto"/>
              <w:jc w:val="center"/>
              <w:rPr>
                <w:rFonts w:ascii="宋体" w:hAnsi="宋体" w:cs="宋体"/>
                <w:color w:val="auto"/>
                <w:sz w:val="24"/>
                <w:szCs w:val="24"/>
                <w:highlight w:val="none"/>
              </w:rPr>
            </w:pPr>
          </w:p>
        </w:tc>
        <w:tc>
          <w:tcPr>
            <w:tcW w:w="991" w:type="dxa"/>
            <w:vAlign w:val="center"/>
          </w:tcPr>
          <w:p w14:paraId="18C6714E">
            <w:pPr>
              <w:spacing w:line="360" w:lineRule="auto"/>
              <w:jc w:val="center"/>
              <w:rPr>
                <w:rFonts w:ascii="宋体" w:hAnsi="宋体" w:cs="宋体"/>
                <w:color w:val="auto"/>
                <w:sz w:val="24"/>
                <w:szCs w:val="24"/>
                <w:highlight w:val="none"/>
              </w:rPr>
            </w:pPr>
          </w:p>
        </w:tc>
        <w:tc>
          <w:tcPr>
            <w:tcW w:w="991" w:type="dxa"/>
            <w:vAlign w:val="center"/>
          </w:tcPr>
          <w:p w14:paraId="6F3FFFBD">
            <w:pPr>
              <w:spacing w:line="360" w:lineRule="auto"/>
              <w:jc w:val="center"/>
              <w:rPr>
                <w:rFonts w:ascii="宋体" w:hAnsi="宋体" w:cs="宋体"/>
                <w:color w:val="auto"/>
                <w:sz w:val="24"/>
                <w:szCs w:val="24"/>
                <w:highlight w:val="none"/>
              </w:rPr>
            </w:pPr>
          </w:p>
        </w:tc>
        <w:tc>
          <w:tcPr>
            <w:tcW w:w="1000" w:type="dxa"/>
            <w:vAlign w:val="center"/>
          </w:tcPr>
          <w:p w14:paraId="7BCC3D11">
            <w:pPr>
              <w:spacing w:line="360" w:lineRule="auto"/>
              <w:jc w:val="center"/>
              <w:rPr>
                <w:rFonts w:ascii="宋体" w:hAnsi="宋体" w:cs="宋体"/>
                <w:color w:val="auto"/>
                <w:sz w:val="24"/>
                <w:szCs w:val="24"/>
                <w:highlight w:val="none"/>
              </w:rPr>
            </w:pPr>
          </w:p>
        </w:tc>
      </w:tr>
      <w:tr w14:paraId="77D6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53AC3396">
            <w:pPr>
              <w:spacing w:line="360" w:lineRule="auto"/>
              <w:jc w:val="center"/>
              <w:rPr>
                <w:rFonts w:ascii="宋体" w:hAnsi="宋体" w:cs="宋体"/>
                <w:color w:val="auto"/>
                <w:sz w:val="24"/>
                <w:szCs w:val="24"/>
                <w:highlight w:val="none"/>
              </w:rPr>
            </w:pPr>
          </w:p>
        </w:tc>
        <w:tc>
          <w:tcPr>
            <w:tcW w:w="977" w:type="dxa"/>
            <w:vAlign w:val="center"/>
          </w:tcPr>
          <w:p w14:paraId="5370C36C">
            <w:pPr>
              <w:spacing w:line="360" w:lineRule="auto"/>
              <w:jc w:val="center"/>
              <w:rPr>
                <w:rFonts w:ascii="宋体" w:hAnsi="宋体" w:cs="宋体"/>
                <w:color w:val="auto"/>
                <w:sz w:val="24"/>
                <w:szCs w:val="24"/>
                <w:highlight w:val="none"/>
              </w:rPr>
            </w:pPr>
          </w:p>
        </w:tc>
        <w:tc>
          <w:tcPr>
            <w:tcW w:w="991" w:type="dxa"/>
            <w:vAlign w:val="center"/>
          </w:tcPr>
          <w:p w14:paraId="58B431FA">
            <w:pPr>
              <w:spacing w:line="360" w:lineRule="auto"/>
              <w:jc w:val="center"/>
              <w:rPr>
                <w:rFonts w:ascii="宋体" w:hAnsi="宋体" w:cs="宋体"/>
                <w:color w:val="auto"/>
                <w:sz w:val="24"/>
                <w:szCs w:val="24"/>
                <w:highlight w:val="none"/>
              </w:rPr>
            </w:pPr>
          </w:p>
        </w:tc>
        <w:tc>
          <w:tcPr>
            <w:tcW w:w="991" w:type="dxa"/>
            <w:vAlign w:val="center"/>
          </w:tcPr>
          <w:p w14:paraId="0B55F1C7">
            <w:pPr>
              <w:spacing w:line="360" w:lineRule="auto"/>
              <w:jc w:val="center"/>
              <w:rPr>
                <w:rFonts w:ascii="宋体" w:hAnsi="宋体" w:cs="宋体"/>
                <w:color w:val="auto"/>
                <w:sz w:val="24"/>
                <w:szCs w:val="24"/>
                <w:highlight w:val="none"/>
              </w:rPr>
            </w:pPr>
          </w:p>
        </w:tc>
        <w:tc>
          <w:tcPr>
            <w:tcW w:w="991" w:type="dxa"/>
            <w:vAlign w:val="center"/>
          </w:tcPr>
          <w:p w14:paraId="42659DBC">
            <w:pPr>
              <w:spacing w:line="360" w:lineRule="auto"/>
              <w:jc w:val="center"/>
              <w:rPr>
                <w:rFonts w:ascii="宋体" w:hAnsi="宋体" w:cs="宋体"/>
                <w:color w:val="auto"/>
                <w:sz w:val="24"/>
                <w:szCs w:val="24"/>
                <w:highlight w:val="none"/>
              </w:rPr>
            </w:pPr>
          </w:p>
        </w:tc>
        <w:tc>
          <w:tcPr>
            <w:tcW w:w="991" w:type="dxa"/>
            <w:vAlign w:val="center"/>
          </w:tcPr>
          <w:p w14:paraId="3FEAC586">
            <w:pPr>
              <w:spacing w:line="360" w:lineRule="auto"/>
              <w:jc w:val="center"/>
              <w:rPr>
                <w:rFonts w:ascii="宋体" w:hAnsi="宋体" w:cs="宋体"/>
                <w:color w:val="auto"/>
                <w:sz w:val="24"/>
                <w:szCs w:val="24"/>
                <w:highlight w:val="none"/>
              </w:rPr>
            </w:pPr>
          </w:p>
        </w:tc>
        <w:tc>
          <w:tcPr>
            <w:tcW w:w="991" w:type="dxa"/>
            <w:vAlign w:val="center"/>
          </w:tcPr>
          <w:p w14:paraId="48051FE3">
            <w:pPr>
              <w:spacing w:line="360" w:lineRule="auto"/>
              <w:jc w:val="center"/>
              <w:rPr>
                <w:rFonts w:ascii="宋体" w:hAnsi="宋体" w:cs="宋体"/>
                <w:color w:val="auto"/>
                <w:sz w:val="24"/>
                <w:szCs w:val="24"/>
                <w:highlight w:val="none"/>
              </w:rPr>
            </w:pPr>
          </w:p>
        </w:tc>
        <w:tc>
          <w:tcPr>
            <w:tcW w:w="1000" w:type="dxa"/>
            <w:vAlign w:val="center"/>
          </w:tcPr>
          <w:p w14:paraId="6289421C">
            <w:pPr>
              <w:spacing w:line="360" w:lineRule="auto"/>
              <w:jc w:val="center"/>
              <w:rPr>
                <w:rFonts w:ascii="宋体" w:hAnsi="宋体" w:cs="宋体"/>
                <w:color w:val="auto"/>
                <w:sz w:val="24"/>
                <w:szCs w:val="24"/>
                <w:highlight w:val="none"/>
              </w:rPr>
            </w:pPr>
          </w:p>
        </w:tc>
      </w:tr>
      <w:tr w14:paraId="6A6B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140C3E6B">
            <w:pPr>
              <w:spacing w:line="360" w:lineRule="auto"/>
              <w:jc w:val="center"/>
              <w:rPr>
                <w:rFonts w:ascii="宋体" w:hAnsi="宋体" w:cs="宋体"/>
                <w:color w:val="auto"/>
                <w:sz w:val="24"/>
                <w:szCs w:val="24"/>
                <w:highlight w:val="none"/>
              </w:rPr>
            </w:pPr>
          </w:p>
        </w:tc>
        <w:tc>
          <w:tcPr>
            <w:tcW w:w="977" w:type="dxa"/>
            <w:vAlign w:val="center"/>
          </w:tcPr>
          <w:p w14:paraId="0E1D339B">
            <w:pPr>
              <w:spacing w:line="360" w:lineRule="auto"/>
              <w:jc w:val="center"/>
              <w:rPr>
                <w:rFonts w:ascii="宋体" w:hAnsi="宋体" w:cs="宋体"/>
                <w:color w:val="auto"/>
                <w:sz w:val="24"/>
                <w:szCs w:val="24"/>
                <w:highlight w:val="none"/>
              </w:rPr>
            </w:pPr>
          </w:p>
        </w:tc>
        <w:tc>
          <w:tcPr>
            <w:tcW w:w="991" w:type="dxa"/>
            <w:vAlign w:val="center"/>
          </w:tcPr>
          <w:p w14:paraId="7CAEA82D">
            <w:pPr>
              <w:spacing w:line="360" w:lineRule="auto"/>
              <w:jc w:val="center"/>
              <w:rPr>
                <w:rFonts w:ascii="宋体" w:hAnsi="宋体" w:cs="宋体"/>
                <w:color w:val="auto"/>
                <w:sz w:val="24"/>
                <w:szCs w:val="24"/>
                <w:highlight w:val="none"/>
              </w:rPr>
            </w:pPr>
          </w:p>
        </w:tc>
        <w:tc>
          <w:tcPr>
            <w:tcW w:w="991" w:type="dxa"/>
            <w:vAlign w:val="center"/>
          </w:tcPr>
          <w:p w14:paraId="1D55C676">
            <w:pPr>
              <w:spacing w:line="360" w:lineRule="auto"/>
              <w:jc w:val="center"/>
              <w:rPr>
                <w:rFonts w:ascii="宋体" w:hAnsi="宋体" w:cs="宋体"/>
                <w:color w:val="auto"/>
                <w:sz w:val="24"/>
                <w:szCs w:val="24"/>
                <w:highlight w:val="none"/>
              </w:rPr>
            </w:pPr>
          </w:p>
        </w:tc>
        <w:tc>
          <w:tcPr>
            <w:tcW w:w="991" w:type="dxa"/>
            <w:vAlign w:val="center"/>
          </w:tcPr>
          <w:p w14:paraId="49A39322">
            <w:pPr>
              <w:spacing w:line="360" w:lineRule="auto"/>
              <w:jc w:val="center"/>
              <w:rPr>
                <w:rFonts w:ascii="宋体" w:hAnsi="宋体" w:cs="宋体"/>
                <w:color w:val="auto"/>
                <w:sz w:val="24"/>
                <w:szCs w:val="24"/>
                <w:highlight w:val="none"/>
              </w:rPr>
            </w:pPr>
          </w:p>
        </w:tc>
        <w:tc>
          <w:tcPr>
            <w:tcW w:w="991" w:type="dxa"/>
            <w:vAlign w:val="center"/>
          </w:tcPr>
          <w:p w14:paraId="0B441161">
            <w:pPr>
              <w:spacing w:line="360" w:lineRule="auto"/>
              <w:jc w:val="center"/>
              <w:rPr>
                <w:rFonts w:ascii="宋体" w:hAnsi="宋体" w:cs="宋体"/>
                <w:color w:val="auto"/>
                <w:sz w:val="24"/>
                <w:szCs w:val="24"/>
                <w:highlight w:val="none"/>
              </w:rPr>
            </w:pPr>
          </w:p>
        </w:tc>
        <w:tc>
          <w:tcPr>
            <w:tcW w:w="991" w:type="dxa"/>
            <w:vAlign w:val="center"/>
          </w:tcPr>
          <w:p w14:paraId="26CA8329">
            <w:pPr>
              <w:spacing w:line="360" w:lineRule="auto"/>
              <w:jc w:val="center"/>
              <w:rPr>
                <w:rFonts w:ascii="宋体" w:hAnsi="宋体" w:cs="宋体"/>
                <w:color w:val="auto"/>
                <w:sz w:val="24"/>
                <w:szCs w:val="24"/>
                <w:highlight w:val="none"/>
              </w:rPr>
            </w:pPr>
          </w:p>
        </w:tc>
        <w:tc>
          <w:tcPr>
            <w:tcW w:w="1000" w:type="dxa"/>
            <w:vAlign w:val="center"/>
          </w:tcPr>
          <w:p w14:paraId="2F758645">
            <w:pPr>
              <w:spacing w:line="360" w:lineRule="auto"/>
              <w:jc w:val="center"/>
              <w:rPr>
                <w:rFonts w:ascii="宋体" w:hAnsi="宋体" w:cs="宋体"/>
                <w:color w:val="auto"/>
                <w:sz w:val="24"/>
                <w:szCs w:val="24"/>
                <w:highlight w:val="none"/>
              </w:rPr>
            </w:pPr>
          </w:p>
        </w:tc>
      </w:tr>
      <w:tr w14:paraId="5A41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5A17626E">
            <w:pPr>
              <w:spacing w:line="360" w:lineRule="auto"/>
              <w:jc w:val="center"/>
              <w:rPr>
                <w:rFonts w:ascii="宋体" w:hAnsi="宋体" w:cs="宋体"/>
                <w:color w:val="auto"/>
                <w:sz w:val="24"/>
                <w:szCs w:val="24"/>
                <w:highlight w:val="none"/>
              </w:rPr>
            </w:pPr>
          </w:p>
        </w:tc>
        <w:tc>
          <w:tcPr>
            <w:tcW w:w="977" w:type="dxa"/>
            <w:vAlign w:val="center"/>
          </w:tcPr>
          <w:p w14:paraId="5272F658">
            <w:pPr>
              <w:spacing w:line="360" w:lineRule="auto"/>
              <w:jc w:val="center"/>
              <w:rPr>
                <w:rFonts w:ascii="宋体" w:hAnsi="宋体" w:cs="宋体"/>
                <w:color w:val="auto"/>
                <w:sz w:val="24"/>
                <w:szCs w:val="24"/>
                <w:highlight w:val="none"/>
              </w:rPr>
            </w:pPr>
          </w:p>
        </w:tc>
        <w:tc>
          <w:tcPr>
            <w:tcW w:w="991" w:type="dxa"/>
            <w:vAlign w:val="center"/>
          </w:tcPr>
          <w:p w14:paraId="69615DA5">
            <w:pPr>
              <w:spacing w:line="360" w:lineRule="auto"/>
              <w:jc w:val="center"/>
              <w:rPr>
                <w:rFonts w:ascii="宋体" w:hAnsi="宋体" w:cs="宋体"/>
                <w:color w:val="auto"/>
                <w:sz w:val="24"/>
                <w:szCs w:val="24"/>
                <w:highlight w:val="none"/>
              </w:rPr>
            </w:pPr>
          </w:p>
        </w:tc>
        <w:tc>
          <w:tcPr>
            <w:tcW w:w="991" w:type="dxa"/>
            <w:vAlign w:val="center"/>
          </w:tcPr>
          <w:p w14:paraId="69400396">
            <w:pPr>
              <w:spacing w:line="360" w:lineRule="auto"/>
              <w:jc w:val="center"/>
              <w:rPr>
                <w:rFonts w:ascii="宋体" w:hAnsi="宋体" w:cs="宋体"/>
                <w:color w:val="auto"/>
                <w:sz w:val="24"/>
                <w:szCs w:val="24"/>
                <w:highlight w:val="none"/>
              </w:rPr>
            </w:pPr>
          </w:p>
        </w:tc>
        <w:tc>
          <w:tcPr>
            <w:tcW w:w="991" w:type="dxa"/>
            <w:vAlign w:val="center"/>
          </w:tcPr>
          <w:p w14:paraId="2A31BE55">
            <w:pPr>
              <w:spacing w:line="360" w:lineRule="auto"/>
              <w:jc w:val="center"/>
              <w:rPr>
                <w:rFonts w:ascii="宋体" w:hAnsi="宋体" w:cs="宋体"/>
                <w:color w:val="auto"/>
                <w:sz w:val="24"/>
                <w:szCs w:val="24"/>
                <w:highlight w:val="none"/>
              </w:rPr>
            </w:pPr>
          </w:p>
        </w:tc>
        <w:tc>
          <w:tcPr>
            <w:tcW w:w="991" w:type="dxa"/>
            <w:vAlign w:val="center"/>
          </w:tcPr>
          <w:p w14:paraId="2F312908">
            <w:pPr>
              <w:spacing w:line="360" w:lineRule="auto"/>
              <w:jc w:val="center"/>
              <w:rPr>
                <w:rFonts w:ascii="宋体" w:hAnsi="宋体" w:cs="宋体"/>
                <w:color w:val="auto"/>
                <w:sz w:val="24"/>
                <w:szCs w:val="24"/>
                <w:highlight w:val="none"/>
              </w:rPr>
            </w:pPr>
          </w:p>
        </w:tc>
        <w:tc>
          <w:tcPr>
            <w:tcW w:w="991" w:type="dxa"/>
            <w:vAlign w:val="center"/>
          </w:tcPr>
          <w:p w14:paraId="0EED3AA2">
            <w:pPr>
              <w:spacing w:line="360" w:lineRule="auto"/>
              <w:jc w:val="center"/>
              <w:rPr>
                <w:rFonts w:ascii="宋体" w:hAnsi="宋体" w:cs="宋体"/>
                <w:color w:val="auto"/>
                <w:sz w:val="24"/>
                <w:szCs w:val="24"/>
                <w:highlight w:val="none"/>
              </w:rPr>
            </w:pPr>
          </w:p>
        </w:tc>
        <w:tc>
          <w:tcPr>
            <w:tcW w:w="1000" w:type="dxa"/>
            <w:vAlign w:val="center"/>
          </w:tcPr>
          <w:p w14:paraId="2343FF77">
            <w:pPr>
              <w:spacing w:line="360" w:lineRule="auto"/>
              <w:jc w:val="center"/>
              <w:rPr>
                <w:rFonts w:ascii="宋体" w:hAnsi="宋体" w:cs="宋体"/>
                <w:color w:val="auto"/>
                <w:sz w:val="24"/>
                <w:szCs w:val="24"/>
                <w:highlight w:val="none"/>
              </w:rPr>
            </w:pPr>
          </w:p>
        </w:tc>
      </w:tr>
      <w:tr w14:paraId="7179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3B064E4F">
            <w:pPr>
              <w:spacing w:line="360" w:lineRule="auto"/>
              <w:jc w:val="center"/>
              <w:rPr>
                <w:rFonts w:ascii="宋体" w:hAnsi="宋体" w:cs="宋体"/>
                <w:color w:val="auto"/>
                <w:sz w:val="24"/>
                <w:szCs w:val="24"/>
                <w:highlight w:val="none"/>
              </w:rPr>
            </w:pPr>
          </w:p>
        </w:tc>
        <w:tc>
          <w:tcPr>
            <w:tcW w:w="977" w:type="dxa"/>
            <w:vAlign w:val="center"/>
          </w:tcPr>
          <w:p w14:paraId="2989D80A">
            <w:pPr>
              <w:spacing w:line="360" w:lineRule="auto"/>
              <w:jc w:val="center"/>
              <w:rPr>
                <w:rFonts w:ascii="宋体" w:hAnsi="宋体" w:cs="宋体"/>
                <w:color w:val="auto"/>
                <w:sz w:val="24"/>
                <w:szCs w:val="24"/>
                <w:highlight w:val="none"/>
              </w:rPr>
            </w:pPr>
          </w:p>
        </w:tc>
        <w:tc>
          <w:tcPr>
            <w:tcW w:w="991" w:type="dxa"/>
            <w:vAlign w:val="center"/>
          </w:tcPr>
          <w:p w14:paraId="6A27C80A">
            <w:pPr>
              <w:spacing w:line="360" w:lineRule="auto"/>
              <w:jc w:val="center"/>
              <w:rPr>
                <w:rFonts w:ascii="宋体" w:hAnsi="宋体" w:cs="宋体"/>
                <w:color w:val="auto"/>
                <w:sz w:val="24"/>
                <w:szCs w:val="24"/>
                <w:highlight w:val="none"/>
              </w:rPr>
            </w:pPr>
          </w:p>
        </w:tc>
        <w:tc>
          <w:tcPr>
            <w:tcW w:w="991" w:type="dxa"/>
            <w:vAlign w:val="center"/>
          </w:tcPr>
          <w:p w14:paraId="76C710D6">
            <w:pPr>
              <w:spacing w:line="360" w:lineRule="auto"/>
              <w:jc w:val="center"/>
              <w:rPr>
                <w:rFonts w:ascii="宋体" w:hAnsi="宋体" w:cs="宋体"/>
                <w:color w:val="auto"/>
                <w:sz w:val="24"/>
                <w:szCs w:val="24"/>
                <w:highlight w:val="none"/>
              </w:rPr>
            </w:pPr>
          </w:p>
        </w:tc>
        <w:tc>
          <w:tcPr>
            <w:tcW w:w="991" w:type="dxa"/>
            <w:vAlign w:val="center"/>
          </w:tcPr>
          <w:p w14:paraId="0B1E9F98">
            <w:pPr>
              <w:spacing w:line="360" w:lineRule="auto"/>
              <w:jc w:val="center"/>
              <w:rPr>
                <w:rFonts w:ascii="宋体" w:hAnsi="宋体" w:cs="宋体"/>
                <w:color w:val="auto"/>
                <w:sz w:val="24"/>
                <w:szCs w:val="24"/>
                <w:highlight w:val="none"/>
              </w:rPr>
            </w:pPr>
          </w:p>
        </w:tc>
        <w:tc>
          <w:tcPr>
            <w:tcW w:w="991" w:type="dxa"/>
            <w:vAlign w:val="center"/>
          </w:tcPr>
          <w:p w14:paraId="60C56379">
            <w:pPr>
              <w:spacing w:line="360" w:lineRule="auto"/>
              <w:jc w:val="center"/>
              <w:rPr>
                <w:rFonts w:ascii="宋体" w:hAnsi="宋体" w:cs="宋体"/>
                <w:color w:val="auto"/>
                <w:sz w:val="24"/>
                <w:szCs w:val="24"/>
                <w:highlight w:val="none"/>
              </w:rPr>
            </w:pPr>
          </w:p>
        </w:tc>
        <w:tc>
          <w:tcPr>
            <w:tcW w:w="991" w:type="dxa"/>
            <w:vAlign w:val="center"/>
          </w:tcPr>
          <w:p w14:paraId="52E320C2">
            <w:pPr>
              <w:spacing w:line="360" w:lineRule="auto"/>
              <w:jc w:val="center"/>
              <w:rPr>
                <w:rFonts w:ascii="宋体" w:hAnsi="宋体" w:cs="宋体"/>
                <w:color w:val="auto"/>
                <w:sz w:val="24"/>
                <w:szCs w:val="24"/>
                <w:highlight w:val="none"/>
              </w:rPr>
            </w:pPr>
          </w:p>
        </w:tc>
        <w:tc>
          <w:tcPr>
            <w:tcW w:w="1000" w:type="dxa"/>
            <w:vAlign w:val="center"/>
          </w:tcPr>
          <w:p w14:paraId="17B32413">
            <w:pPr>
              <w:spacing w:line="360" w:lineRule="auto"/>
              <w:jc w:val="center"/>
              <w:rPr>
                <w:rFonts w:ascii="宋体" w:hAnsi="宋体" w:cs="宋体"/>
                <w:color w:val="auto"/>
                <w:sz w:val="24"/>
                <w:szCs w:val="24"/>
                <w:highlight w:val="none"/>
              </w:rPr>
            </w:pPr>
          </w:p>
        </w:tc>
      </w:tr>
      <w:tr w14:paraId="4936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09EA903D">
            <w:pPr>
              <w:spacing w:line="360" w:lineRule="auto"/>
              <w:jc w:val="center"/>
              <w:rPr>
                <w:rFonts w:ascii="宋体" w:hAnsi="宋体" w:cs="宋体"/>
                <w:color w:val="auto"/>
                <w:sz w:val="24"/>
                <w:szCs w:val="24"/>
                <w:highlight w:val="none"/>
              </w:rPr>
            </w:pPr>
          </w:p>
        </w:tc>
        <w:tc>
          <w:tcPr>
            <w:tcW w:w="977" w:type="dxa"/>
            <w:vAlign w:val="center"/>
          </w:tcPr>
          <w:p w14:paraId="078C8DE3">
            <w:pPr>
              <w:spacing w:line="360" w:lineRule="auto"/>
              <w:jc w:val="center"/>
              <w:rPr>
                <w:rFonts w:ascii="宋体" w:hAnsi="宋体" w:cs="宋体"/>
                <w:color w:val="auto"/>
                <w:sz w:val="24"/>
                <w:szCs w:val="24"/>
                <w:highlight w:val="none"/>
              </w:rPr>
            </w:pPr>
          </w:p>
        </w:tc>
        <w:tc>
          <w:tcPr>
            <w:tcW w:w="991" w:type="dxa"/>
            <w:vAlign w:val="center"/>
          </w:tcPr>
          <w:p w14:paraId="0A4B5DDB">
            <w:pPr>
              <w:spacing w:line="360" w:lineRule="auto"/>
              <w:jc w:val="center"/>
              <w:rPr>
                <w:rFonts w:ascii="宋体" w:hAnsi="宋体" w:cs="宋体"/>
                <w:color w:val="auto"/>
                <w:sz w:val="24"/>
                <w:szCs w:val="24"/>
                <w:highlight w:val="none"/>
              </w:rPr>
            </w:pPr>
          </w:p>
        </w:tc>
        <w:tc>
          <w:tcPr>
            <w:tcW w:w="991" w:type="dxa"/>
            <w:vAlign w:val="center"/>
          </w:tcPr>
          <w:p w14:paraId="3E2DD07A">
            <w:pPr>
              <w:spacing w:line="360" w:lineRule="auto"/>
              <w:jc w:val="center"/>
              <w:rPr>
                <w:rFonts w:ascii="宋体" w:hAnsi="宋体" w:cs="宋体"/>
                <w:color w:val="auto"/>
                <w:sz w:val="24"/>
                <w:szCs w:val="24"/>
                <w:highlight w:val="none"/>
              </w:rPr>
            </w:pPr>
          </w:p>
        </w:tc>
        <w:tc>
          <w:tcPr>
            <w:tcW w:w="991" w:type="dxa"/>
            <w:vAlign w:val="center"/>
          </w:tcPr>
          <w:p w14:paraId="79A25867">
            <w:pPr>
              <w:spacing w:line="360" w:lineRule="auto"/>
              <w:jc w:val="center"/>
              <w:rPr>
                <w:rFonts w:ascii="宋体" w:hAnsi="宋体" w:cs="宋体"/>
                <w:color w:val="auto"/>
                <w:sz w:val="24"/>
                <w:szCs w:val="24"/>
                <w:highlight w:val="none"/>
              </w:rPr>
            </w:pPr>
          </w:p>
        </w:tc>
        <w:tc>
          <w:tcPr>
            <w:tcW w:w="991" w:type="dxa"/>
            <w:vAlign w:val="center"/>
          </w:tcPr>
          <w:p w14:paraId="4E10C7D6">
            <w:pPr>
              <w:spacing w:line="360" w:lineRule="auto"/>
              <w:jc w:val="center"/>
              <w:rPr>
                <w:rFonts w:ascii="宋体" w:hAnsi="宋体" w:cs="宋体"/>
                <w:color w:val="auto"/>
                <w:sz w:val="24"/>
                <w:szCs w:val="24"/>
                <w:highlight w:val="none"/>
              </w:rPr>
            </w:pPr>
          </w:p>
        </w:tc>
        <w:tc>
          <w:tcPr>
            <w:tcW w:w="991" w:type="dxa"/>
            <w:vAlign w:val="center"/>
          </w:tcPr>
          <w:p w14:paraId="2588DCEC">
            <w:pPr>
              <w:spacing w:line="360" w:lineRule="auto"/>
              <w:jc w:val="center"/>
              <w:rPr>
                <w:rFonts w:ascii="宋体" w:hAnsi="宋体" w:cs="宋体"/>
                <w:color w:val="auto"/>
                <w:sz w:val="24"/>
                <w:szCs w:val="24"/>
                <w:highlight w:val="none"/>
              </w:rPr>
            </w:pPr>
          </w:p>
        </w:tc>
        <w:tc>
          <w:tcPr>
            <w:tcW w:w="1000" w:type="dxa"/>
            <w:vAlign w:val="center"/>
          </w:tcPr>
          <w:p w14:paraId="55EBA040">
            <w:pPr>
              <w:spacing w:line="360" w:lineRule="auto"/>
              <w:jc w:val="center"/>
              <w:rPr>
                <w:rFonts w:ascii="宋体" w:hAnsi="宋体" w:cs="宋体"/>
                <w:color w:val="auto"/>
                <w:sz w:val="24"/>
                <w:szCs w:val="24"/>
                <w:highlight w:val="none"/>
              </w:rPr>
            </w:pPr>
          </w:p>
        </w:tc>
      </w:tr>
      <w:tr w14:paraId="1F99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05F3CEC0">
            <w:pPr>
              <w:spacing w:line="360" w:lineRule="auto"/>
              <w:jc w:val="center"/>
              <w:rPr>
                <w:rFonts w:ascii="宋体" w:hAnsi="宋体" w:cs="宋体"/>
                <w:color w:val="auto"/>
                <w:sz w:val="24"/>
                <w:szCs w:val="24"/>
                <w:highlight w:val="none"/>
              </w:rPr>
            </w:pPr>
          </w:p>
        </w:tc>
        <w:tc>
          <w:tcPr>
            <w:tcW w:w="977" w:type="dxa"/>
            <w:vAlign w:val="center"/>
          </w:tcPr>
          <w:p w14:paraId="216AD26B">
            <w:pPr>
              <w:spacing w:line="360" w:lineRule="auto"/>
              <w:jc w:val="center"/>
              <w:rPr>
                <w:rFonts w:ascii="宋体" w:hAnsi="宋体" w:cs="宋体"/>
                <w:color w:val="auto"/>
                <w:sz w:val="24"/>
                <w:szCs w:val="24"/>
                <w:highlight w:val="none"/>
              </w:rPr>
            </w:pPr>
          </w:p>
        </w:tc>
        <w:tc>
          <w:tcPr>
            <w:tcW w:w="991" w:type="dxa"/>
            <w:vAlign w:val="center"/>
          </w:tcPr>
          <w:p w14:paraId="34776F08">
            <w:pPr>
              <w:spacing w:line="360" w:lineRule="auto"/>
              <w:jc w:val="center"/>
              <w:rPr>
                <w:rFonts w:ascii="宋体" w:hAnsi="宋体" w:cs="宋体"/>
                <w:color w:val="auto"/>
                <w:sz w:val="24"/>
                <w:szCs w:val="24"/>
                <w:highlight w:val="none"/>
              </w:rPr>
            </w:pPr>
          </w:p>
        </w:tc>
        <w:tc>
          <w:tcPr>
            <w:tcW w:w="991" w:type="dxa"/>
            <w:vAlign w:val="center"/>
          </w:tcPr>
          <w:p w14:paraId="631C575C">
            <w:pPr>
              <w:spacing w:line="360" w:lineRule="auto"/>
              <w:jc w:val="center"/>
              <w:rPr>
                <w:rFonts w:ascii="宋体" w:hAnsi="宋体" w:cs="宋体"/>
                <w:color w:val="auto"/>
                <w:sz w:val="24"/>
                <w:szCs w:val="24"/>
                <w:highlight w:val="none"/>
              </w:rPr>
            </w:pPr>
          </w:p>
        </w:tc>
        <w:tc>
          <w:tcPr>
            <w:tcW w:w="991" w:type="dxa"/>
            <w:vAlign w:val="center"/>
          </w:tcPr>
          <w:p w14:paraId="79B28912">
            <w:pPr>
              <w:spacing w:line="360" w:lineRule="auto"/>
              <w:jc w:val="center"/>
              <w:rPr>
                <w:rFonts w:ascii="宋体" w:hAnsi="宋体" w:cs="宋体"/>
                <w:color w:val="auto"/>
                <w:sz w:val="24"/>
                <w:szCs w:val="24"/>
                <w:highlight w:val="none"/>
              </w:rPr>
            </w:pPr>
          </w:p>
        </w:tc>
        <w:tc>
          <w:tcPr>
            <w:tcW w:w="991" w:type="dxa"/>
            <w:vAlign w:val="center"/>
          </w:tcPr>
          <w:p w14:paraId="547B534B">
            <w:pPr>
              <w:spacing w:line="360" w:lineRule="auto"/>
              <w:jc w:val="center"/>
              <w:rPr>
                <w:rFonts w:ascii="宋体" w:hAnsi="宋体" w:cs="宋体"/>
                <w:color w:val="auto"/>
                <w:sz w:val="24"/>
                <w:szCs w:val="24"/>
                <w:highlight w:val="none"/>
              </w:rPr>
            </w:pPr>
          </w:p>
        </w:tc>
        <w:tc>
          <w:tcPr>
            <w:tcW w:w="991" w:type="dxa"/>
            <w:vAlign w:val="center"/>
          </w:tcPr>
          <w:p w14:paraId="61C637EB">
            <w:pPr>
              <w:spacing w:line="360" w:lineRule="auto"/>
              <w:jc w:val="center"/>
              <w:rPr>
                <w:rFonts w:ascii="宋体" w:hAnsi="宋体" w:cs="宋体"/>
                <w:color w:val="auto"/>
                <w:sz w:val="24"/>
                <w:szCs w:val="24"/>
                <w:highlight w:val="none"/>
              </w:rPr>
            </w:pPr>
          </w:p>
        </w:tc>
        <w:tc>
          <w:tcPr>
            <w:tcW w:w="1000" w:type="dxa"/>
            <w:vAlign w:val="center"/>
          </w:tcPr>
          <w:p w14:paraId="6A02052C">
            <w:pPr>
              <w:spacing w:line="360" w:lineRule="auto"/>
              <w:jc w:val="center"/>
              <w:rPr>
                <w:rFonts w:ascii="宋体" w:hAnsi="宋体" w:cs="宋体"/>
                <w:color w:val="auto"/>
                <w:sz w:val="24"/>
                <w:szCs w:val="24"/>
                <w:highlight w:val="none"/>
              </w:rPr>
            </w:pPr>
          </w:p>
        </w:tc>
      </w:tr>
      <w:tr w14:paraId="4644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2AF84B17">
            <w:pPr>
              <w:spacing w:line="360" w:lineRule="auto"/>
              <w:jc w:val="center"/>
              <w:rPr>
                <w:rFonts w:ascii="宋体" w:hAnsi="宋体" w:cs="宋体"/>
                <w:color w:val="auto"/>
                <w:sz w:val="24"/>
                <w:szCs w:val="24"/>
                <w:highlight w:val="none"/>
              </w:rPr>
            </w:pPr>
          </w:p>
        </w:tc>
        <w:tc>
          <w:tcPr>
            <w:tcW w:w="977" w:type="dxa"/>
            <w:vAlign w:val="center"/>
          </w:tcPr>
          <w:p w14:paraId="0B771D6B">
            <w:pPr>
              <w:spacing w:line="360" w:lineRule="auto"/>
              <w:jc w:val="center"/>
              <w:rPr>
                <w:rFonts w:ascii="宋体" w:hAnsi="宋体" w:cs="宋体"/>
                <w:color w:val="auto"/>
                <w:sz w:val="24"/>
                <w:szCs w:val="24"/>
                <w:highlight w:val="none"/>
              </w:rPr>
            </w:pPr>
          </w:p>
        </w:tc>
        <w:tc>
          <w:tcPr>
            <w:tcW w:w="991" w:type="dxa"/>
            <w:vAlign w:val="center"/>
          </w:tcPr>
          <w:p w14:paraId="5156CD25">
            <w:pPr>
              <w:spacing w:line="360" w:lineRule="auto"/>
              <w:jc w:val="center"/>
              <w:rPr>
                <w:rFonts w:ascii="宋体" w:hAnsi="宋体" w:cs="宋体"/>
                <w:color w:val="auto"/>
                <w:sz w:val="24"/>
                <w:szCs w:val="24"/>
                <w:highlight w:val="none"/>
              </w:rPr>
            </w:pPr>
          </w:p>
        </w:tc>
        <w:tc>
          <w:tcPr>
            <w:tcW w:w="991" w:type="dxa"/>
            <w:vAlign w:val="center"/>
          </w:tcPr>
          <w:p w14:paraId="7D58F07C">
            <w:pPr>
              <w:spacing w:line="360" w:lineRule="auto"/>
              <w:jc w:val="center"/>
              <w:rPr>
                <w:rFonts w:ascii="宋体" w:hAnsi="宋体" w:cs="宋体"/>
                <w:color w:val="auto"/>
                <w:sz w:val="24"/>
                <w:szCs w:val="24"/>
                <w:highlight w:val="none"/>
              </w:rPr>
            </w:pPr>
          </w:p>
        </w:tc>
        <w:tc>
          <w:tcPr>
            <w:tcW w:w="991" w:type="dxa"/>
            <w:vAlign w:val="center"/>
          </w:tcPr>
          <w:p w14:paraId="11CB8346">
            <w:pPr>
              <w:spacing w:line="360" w:lineRule="auto"/>
              <w:jc w:val="center"/>
              <w:rPr>
                <w:rFonts w:ascii="宋体" w:hAnsi="宋体" w:cs="宋体"/>
                <w:color w:val="auto"/>
                <w:sz w:val="24"/>
                <w:szCs w:val="24"/>
                <w:highlight w:val="none"/>
              </w:rPr>
            </w:pPr>
          </w:p>
        </w:tc>
        <w:tc>
          <w:tcPr>
            <w:tcW w:w="991" w:type="dxa"/>
            <w:vAlign w:val="center"/>
          </w:tcPr>
          <w:p w14:paraId="0899EDC0">
            <w:pPr>
              <w:spacing w:line="360" w:lineRule="auto"/>
              <w:jc w:val="center"/>
              <w:rPr>
                <w:rFonts w:ascii="宋体" w:hAnsi="宋体" w:cs="宋体"/>
                <w:color w:val="auto"/>
                <w:sz w:val="24"/>
                <w:szCs w:val="24"/>
                <w:highlight w:val="none"/>
              </w:rPr>
            </w:pPr>
          </w:p>
        </w:tc>
        <w:tc>
          <w:tcPr>
            <w:tcW w:w="991" w:type="dxa"/>
            <w:vAlign w:val="center"/>
          </w:tcPr>
          <w:p w14:paraId="655FAA68">
            <w:pPr>
              <w:spacing w:line="360" w:lineRule="auto"/>
              <w:jc w:val="center"/>
              <w:rPr>
                <w:rFonts w:ascii="宋体" w:hAnsi="宋体" w:cs="宋体"/>
                <w:color w:val="auto"/>
                <w:sz w:val="24"/>
                <w:szCs w:val="24"/>
                <w:highlight w:val="none"/>
              </w:rPr>
            </w:pPr>
          </w:p>
        </w:tc>
        <w:tc>
          <w:tcPr>
            <w:tcW w:w="1000" w:type="dxa"/>
            <w:vAlign w:val="center"/>
          </w:tcPr>
          <w:p w14:paraId="1B1ADCCD">
            <w:pPr>
              <w:spacing w:line="360" w:lineRule="auto"/>
              <w:jc w:val="center"/>
              <w:rPr>
                <w:rFonts w:ascii="宋体" w:hAnsi="宋体" w:cs="宋体"/>
                <w:color w:val="auto"/>
                <w:sz w:val="24"/>
                <w:szCs w:val="24"/>
                <w:highlight w:val="none"/>
              </w:rPr>
            </w:pPr>
          </w:p>
        </w:tc>
      </w:tr>
      <w:tr w14:paraId="1518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25C47748">
            <w:pPr>
              <w:spacing w:line="360" w:lineRule="auto"/>
              <w:jc w:val="center"/>
              <w:rPr>
                <w:rFonts w:ascii="宋体" w:hAnsi="宋体" w:cs="宋体"/>
                <w:color w:val="auto"/>
                <w:sz w:val="24"/>
                <w:szCs w:val="24"/>
                <w:highlight w:val="none"/>
              </w:rPr>
            </w:pPr>
          </w:p>
        </w:tc>
        <w:tc>
          <w:tcPr>
            <w:tcW w:w="977" w:type="dxa"/>
            <w:vAlign w:val="center"/>
          </w:tcPr>
          <w:p w14:paraId="23EB992C">
            <w:pPr>
              <w:spacing w:line="360" w:lineRule="auto"/>
              <w:jc w:val="center"/>
              <w:rPr>
                <w:rFonts w:ascii="宋体" w:hAnsi="宋体" w:cs="宋体"/>
                <w:color w:val="auto"/>
                <w:sz w:val="24"/>
                <w:szCs w:val="24"/>
                <w:highlight w:val="none"/>
              </w:rPr>
            </w:pPr>
          </w:p>
        </w:tc>
        <w:tc>
          <w:tcPr>
            <w:tcW w:w="991" w:type="dxa"/>
            <w:vAlign w:val="center"/>
          </w:tcPr>
          <w:p w14:paraId="75396D2A">
            <w:pPr>
              <w:spacing w:line="360" w:lineRule="auto"/>
              <w:jc w:val="center"/>
              <w:rPr>
                <w:rFonts w:ascii="宋体" w:hAnsi="宋体" w:cs="宋体"/>
                <w:color w:val="auto"/>
                <w:sz w:val="24"/>
                <w:szCs w:val="24"/>
                <w:highlight w:val="none"/>
              </w:rPr>
            </w:pPr>
          </w:p>
        </w:tc>
        <w:tc>
          <w:tcPr>
            <w:tcW w:w="991" w:type="dxa"/>
            <w:vAlign w:val="center"/>
          </w:tcPr>
          <w:p w14:paraId="70CFAF23">
            <w:pPr>
              <w:spacing w:line="360" w:lineRule="auto"/>
              <w:jc w:val="center"/>
              <w:rPr>
                <w:rFonts w:ascii="宋体" w:hAnsi="宋体" w:cs="宋体"/>
                <w:color w:val="auto"/>
                <w:sz w:val="24"/>
                <w:szCs w:val="24"/>
                <w:highlight w:val="none"/>
              </w:rPr>
            </w:pPr>
          </w:p>
        </w:tc>
        <w:tc>
          <w:tcPr>
            <w:tcW w:w="991" w:type="dxa"/>
            <w:vAlign w:val="center"/>
          </w:tcPr>
          <w:p w14:paraId="057150EA">
            <w:pPr>
              <w:spacing w:line="360" w:lineRule="auto"/>
              <w:jc w:val="center"/>
              <w:rPr>
                <w:rFonts w:ascii="宋体" w:hAnsi="宋体" w:cs="宋体"/>
                <w:color w:val="auto"/>
                <w:sz w:val="24"/>
                <w:szCs w:val="24"/>
                <w:highlight w:val="none"/>
              </w:rPr>
            </w:pPr>
          </w:p>
        </w:tc>
        <w:tc>
          <w:tcPr>
            <w:tcW w:w="991" w:type="dxa"/>
            <w:vAlign w:val="center"/>
          </w:tcPr>
          <w:p w14:paraId="5011FABD">
            <w:pPr>
              <w:spacing w:line="360" w:lineRule="auto"/>
              <w:jc w:val="center"/>
              <w:rPr>
                <w:rFonts w:ascii="宋体" w:hAnsi="宋体" w:cs="宋体"/>
                <w:color w:val="auto"/>
                <w:sz w:val="24"/>
                <w:szCs w:val="24"/>
                <w:highlight w:val="none"/>
              </w:rPr>
            </w:pPr>
          </w:p>
        </w:tc>
        <w:tc>
          <w:tcPr>
            <w:tcW w:w="991" w:type="dxa"/>
            <w:vAlign w:val="center"/>
          </w:tcPr>
          <w:p w14:paraId="59FB8713">
            <w:pPr>
              <w:spacing w:line="360" w:lineRule="auto"/>
              <w:jc w:val="center"/>
              <w:rPr>
                <w:rFonts w:ascii="宋体" w:hAnsi="宋体" w:cs="宋体"/>
                <w:color w:val="auto"/>
                <w:sz w:val="24"/>
                <w:szCs w:val="24"/>
                <w:highlight w:val="none"/>
              </w:rPr>
            </w:pPr>
          </w:p>
        </w:tc>
        <w:tc>
          <w:tcPr>
            <w:tcW w:w="1000" w:type="dxa"/>
            <w:vAlign w:val="center"/>
          </w:tcPr>
          <w:p w14:paraId="4D5C3263">
            <w:pPr>
              <w:spacing w:line="360" w:lineRule="auto"/>
              <w:jc w:val="center"/>
              <w:rPr>
                <w:rFonts w:ascii="宋体" w:hAnsi="宋体" w:cs="宋体"/>
                <w:color w:val="auto"/>
                <w:sz w:val="24"/>
                <w:szCs w:val="24"/>
                <w:highlight w:val="none"/>
              </w:rPr>
            </w:pPr>
          </w:p>
        </w:tc>
      </w:tr>
      <w:tr w14:paraId="137B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0A96EFE9">
            <w:pPr>
              <w:spacing w:line="360" w:lineRule="auto"/>
              <w:jc w:val="center"/>
              <w:rPr>
                <w:rFonts w:ascii="宋体" w:hAnsi="宋体" w:cs="宋体"/>
                <w:color w:val="auto"/>
                <w:sz w:val="24"/>
                <w:szCs w:val="24"/>
                <w:highlight w:val="none"/>
              </w:rPr>
            </w:pPr>
          </w:p>
        </w:tc>
        <w:tc>
          <w:tcPr>
            <w:tcW w:w="977" w:type="dxa"/>
            <w:vAlign w:val="center"/>
          </w:tcPr>
          <w:p w14:paraId="6122B28A">
            <w:pPr>
              <w:spacing w:line="360" w:lineRule="auto"/>
              <w:jc w:val="center"/>
              <w:rPr>
                <w:rFonts w:ascii="宋体" w:hAnsi="宋体" w:cs="宋体"/>
                <w:color w:val="auto"/>
                <w:sz w:val="24"/>
                <w:szCs w:val="24"/>
                <w:highlight w:val="none"/>
              </w:rPr>
            </w:pPr>
          </w:p>
        </w:tc>
        <w:tc>
          <w:tcPr>
            <w:tcW w:w="991" w:type="dxa"/>
            <w:vAlign w:val="center"/>
          </w:tcPr>
          <w:p w14:paraId="618BA144">
            <w:pPr>
              <w:spacing w:line="360" w:lineRule="auto"/>
              <w:jc w:val="center"/>
              <w:rPr>
                <w:rFonts w:ascii="宋体" w:hAnsi="宋体" w:cs="宋体"/>
                <w:color w:val="auto"/>
                <w:sz w:val="24"/>
                <w:szCs w:val="24"/>
                <w:highlight w:val="none"/>
              </w:rPr>
            </w:pPr>
          </w:p>
        </w:tc>
        <w:tc>
          <w:tcPr>
            <w:tcW w:w="991" w:type="dxa"/>
            <w:vAlign w:val="center"/>
          </w:tcPr>
          <w:p w14:paraId="7718C386">
            <w:pPr>
              <w:spacing w:line="360" w:lineRule="auto"/>
              <w:jc w:val="center"/>
              <w:rPr>
                <w:rFonts w:ascii="宋体" w:hAnsi="宋体" w:cs="宋体"/>
                <w:color w:val="auto"/>
                <w:sz w:val="24"/>
                <w:szCs w:val="24"/>
                <w:highlight w:val="none"/>
              </w:rPr>
            </w:pPr>
          </w:p>
        </w:tc>
        <w:tc>
          <w:tcPr>
            <w:tcW w:w="991" w:type="dxa"/>
            <w:vAlign w:val="center"/>
          </w:tcPr>
          <w:p w14:paraId="18FF5030">
            <w:pPr>
              <w:spacing w:line="360" w:lineRule="auto"/>
              <w:jc w:val="center"/>
              <w:rPr>
                <w:rFonts w:ascii="宋体" w:hAnsi="宋体" w:cs="宋体"/>
                <w:color w:val="auto"/>
                <w:sz w:val="24"/>
                <w:szCs w:val="24"/>
                <w:highlight w:val="none"/>
              </w:rPr>
            </w:pPr>
          </w:p>
        </w:tc>
        <w:tc>
          <w:tcPr>
            <w:tcW w:w="991" w:type="dxa"/>
            <w:vAlign w:val="center"/>
          </w:tcPr>
          <w:p w14:paraId="59573566">
            <w:pPr>
              <w:spacing w:line="360" w:lineRule="auto"/>
              <w:jc w:val="center"/>
              <w:rPr>
                <w:rFonts w:ascii="宋体" w:hAnsi="宋体" w:cs="宋体"/>
                <w:color w:val="auto"/>
                <w:sz w:val="24"/>
                <w:szCs w:val="24"/>
                <w:highlight w:val="none"/>
              </w:rPr>
            </w:pPr>
          </w:p>
        </w:tc>
        <w:tc>
          <w:tcPr>
            <w:tcW w:w="991" w:type="dxa"/>
            <w:vAlign w:val="center"/>
          </w:tcPr>
          <w:p w14:paraId="79B370B2">
            <w:pPr>
              <w:spacing w:line="360" w:lineRule="auto"/>
              <w:jc w:val="center"/>
              <w:rPr>
                <w:rFonts w:ascii="宋体" w:hAnsi="宋体" w:cs="宋体"/>
                <w:color w:val="auto"/>
                <w:sz w:val="24"/>
                <w:szCs w:val="24"/>
                <w:highlight w:val="none"/>
              </w:rPr>
            </w:pPr>
          </w:p>
        </w:tc>
        <w:tc>
          <w:tcPr>
            <w:tcW w:w="1000" w:type="dxa"/>
            <w:vAlign w:val="center"/>
          </w:tcPr>
          <w:p w14:paraId="342DA11D">
            <w:pPr>
              <w:spacing w:line="360" w:lineRule="auto"/>
              <w:jc w:val="center"/>
              <w:rPr>
                <w:rFonts w:ascii="宋体" w:hAnsi="宋体" w:cs="宋体"/>
                <w:color w:val="auto"/>
                <w:sz w:val="24"/>
                <w:szCs w:val="24"/>
                <w:highlight w:val="none"/>
              </w:rPr>
            </w:pPr>
          </w:p>
        </w:tc>
      </w:tr>
      <w:tr w14:paraId="6C5A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2CE72FD6">
            <w:pPr>
              <w:spacing w:line="360" w:lineRule="auto"/>
              <w:jc w:val="center"/>
              <w:rPr>
                <w:rFonts w:ascii="宋体" w:hAnsi="宋体" w:cs="宋体"/>
                <w:color w:val="auto"/>
                <w:sz w:val="24"/>
                <w:szCs w:val="24"/>
                <w:highlight w:val="none"/>
              </w:rPr>
            </w:pPr>
          </w:p>
        </w:tc>
        <w:tc>
          <w:tcPr>
            <w:tcW w:w="977" w:type="dxa"/>
            <w:vAlign w:val="center"/>
          </w:tcPr>
          <w:p w14:paraId="7342A415">
            <w:pPr>
              <w:spacing w:line="360" w:lineRule="auto"/>
              <w:jc w:val="center"/>
              <w:rPr>
                <w:rFonts w:ascii="宋体" w:hAnsi="宋体" w:cs="宋体"/>
                <w:color w:val="auto"/>
                <w:sz w:val="24"/>
                <w:szCs w:val="24"/>
                <w:highlight w:val="none"/>
              </w:rPr>
            </w:pPr>
          </w:p>
        </w:tc>
        <w:tc>
          <w:tcPr>
            <w:tcW w:w="991" w:type="dxa"/>
            <w:vAlign w:val="center"/>
          </w:tcPr>
          <w:p w14:paraId="35A8BD31">
            <w:pPr>
              <w:spacing w:line="360" w:lineRule="auto"/>
              <w:jc w:val="center"/>
              <w:rPr>
                <w:rFonts w:ascii="宋体" w:hAnsi="宋体" w:cs="宋体"/>
                <w:color w:val="auto"/>
                <w:sz w:val="24"/>
                <w:szCs w:val="24"/>
                <w:highlight w:val="none"/>
              </w:rPr>
            </w:pPr>
          </w:p>
        </w:tc>
        <w:tc>
          <w:tcPr>
            <w:tcW w:w="991" w:type="dxa"/>
            <w:vAlign w:val="center"/>
          </w:tcPr>
          <w:p w14:paraId="4F458D2A">
            <w:pPr>
              <w:spacing w:line="360" w:lineRule="auto"/>
              <w:jc w:val="center"/>
              <w:rPr>
                <w:rFonts w:ascii="宋体" w:hAnsi="宋体" w:cs="宋体"/>
                <w:color w:val="auto"/>
                <w:sz w:val="24"/>
                <w:szCs w:val="24"/>
                <w:highlight w:val="none"/>
              </w:rPr>
            </w:pPr>
          </w:p>
        </w:tc>
        <w:tc>
          <w:tcPr>
            <w:tcW w:w="991" w:type="dxa"/>
            <w:vAlign w:val="center"/>
          </w:tcPr>
          <w:p w14:paraId="56432753">
            <w:pPr>
              <w:spacing w:line="360" w:lineRule="auto"/>
              <w:jc w:val="center"/>
              <w:rPr>
                <w:rFonts w:ascii="宋体" w:hAnsi="宋体" w:cs="宋体"/>
                <w:color w:val="auto"/>
                <w:sz w:val="24"/>
                <w:szCs w:val="24"/>
                <w:highlight w:val="none"/>
              </w:rPr>
            </w:pPr>
          </w:p>
        </w:tc>
        <w:tc>
          <w:tcPr>
            <w:tcW w:w="991" w:type="dxa"/>
            <w:vAlign w:val="center"/>
          </w:tcPr>
          <w:p w14:paraId="097683EF">
            <w:pPr>
              <w:spacing w:line="360" w:lineRule="auto"/>
              <w:jc w:val="center"/>
              <w:rPr>
                <w:rFonts w:ascii="宋体" w:hAnsi="宋体" w:cs="宋体"/>
                <w:color w:val="auto"/>
                <w:sz w:val="24"/>
                <w:szCs w:val="24"/>
                <w:highlight w:val="none"/>
              </w:rPr>
            </w:pPr>
          </w:p>
        </w:tc>
        <w:tc>
          <w:tcPr>
            <w:tcW w:w="991" w:type="dxa"/>
            <w:vAlign w:val="center"/>
          </w:tcPr>
          <w:p w14:paraId="65BFBF6E">
            <w:pPr>
              <w:spacing w:line="360" w:lineRule="auto"/>
              <w:jc w:val="center"/>
              <w:rPr>
                <w:rFonts w:ascii="宋体" w:hAnsi="宋体" w:cs="宋体"/>
                <w:color w:val="auto"/>
                <w:sz w:val="24"/>
                <w:szCs w:val="24"/>
                <w:highlight w:val="none"/>
              </w:rPr>
            </w:pPr>
          </w:p>
        </w:tc>
        <w:tc>
          <w:tcPr>
            <w:tcW w:w="1000" w:type="dxa"/>
            <w:vAlign w:val="center"/>
          </w:tcPr>
          <w:p w14:paraId="7EBE1681">
            <w:pPr>
              <w:spacing w:line="360" w:lineRule="auto"/>
              <w:jc w:val="center"/>
              <w:rPr>
                <w:rFonts w:ascii="宋体" w:hAnsi="宋体" w:cs="宋体"/>
                <w:color w:val="auto"/>
                <w:sz w:val="24"/>
                <w:szCs w:val="24"/>
                <w:highlight w:val="none"/>
              </w:rPr>
            </w:pPr>
          </w:p>
        </w:tc>
      </w:tr>
      <w:tr w14:paraId="226C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1D3E992C">
            <w:pPr>
              <w:spacing w:line="360" w:lineRule="auto"/>
              <w:jc w:val="center"/>
              <w:rPr>
                <w:rFonts w:ascii="宋体" w:hAnsi="宋体" w:cs="宋体"/>
                <w:color w:val="auto"/>
                <w:sz w:val="24"/>
                <w:szCs w:val="24"/>
                <w:highlight w:val="none"/>
              </w:rPr>
            </w:pPr>
          </w:p>
        </w:tc>
        <w:tc>
          <w:tcPr>
            <w:tcW w:w="977" w:type="dxa"/>
            <w:vAlign w:val="center"/>
          </w:tcPr>
          <w:p w14:paraId="01CD9CB5">
            <w:pPr>
              <w:spacing w:line="360" w:lineRule="auto"/>
              <w:jc w:val="center"/>
              <w:rPr>
                <w:rFonts w:ascii="宋体" w:hAnsi="宋体" w:cs="宋体"/>
                <w:color w:val="auto"/>
                <w:sz w:val="24"/>
                <w:szCs w:val="24"/>
                <w:highlight w:val="none"/>
              </w:rPr>
            </w:pPr>
          </w:p>
        </w:tc>
        <w:tc>
          <w:tcPr>
            <w:tcW w:w="991" w:type="dxa"/>
            <w:vAlign w:val="center"/>
          </w:tcPr>
          <w:p w14:paraId="1883B0C3">
            <w:pPr>
              <w:spacing w:line="360" w:lineRule="auto"/>
              <w:jc w:val="center"/>
              <w:rPr>
                <w:rFonts w:ascii="宋体" w:hAnsi="宋体" w:cs="宋体"/>
                <w:color w:val="auto"/>
                <w:sz w:val="24"/>
                <w:szCs w:val="24"/>
                <w:highlight w:val="none"/>
              </w:rPr>
            </w:pPr>
          </w:p>
        </w:tc>
        <w:tc>
          <w:tcPr>
            <w:tcW w:w="991" w:type="dxa"/>
            <w:vAlign w:val="center"/>
          </w:tcPr>
          <w:p w14:paraId="4E5FE6B7">
            <w:pPr>
              <w:spacing w:line="360" w:lineRule="auto"/>
              <w:jc w:val="center"/>
              <w:rPr>
                <w:rFonts w:ascii="宋体" w:hAnsi="宋体" w:cs="宋体"/>
                <w:color w:val="auto"/>
                <w:sz w:val="24"/>
                <w:szCs w:val="24"/>
                <w:highlight w:val="none"/>
              </w:rPr>
            </w:pPr>
          </w:p>
        </w:tc>
        <w:tc>
          <w:tcPr>
            <w:tcW w:w="991" w:type="dxa"/>
            <w:vAlign w:val="center"/>
          </w:tcPr>
          <w:p w14:paraId="2C5CDDB3">
            <w:pPr>
              <w:spacing w:line="360" w:lineRule="auto"/>
              <w:jc w:val="center"/>
              <w:rPr>
                <w:rFonts w:ascii="宋体" w:hAnsi="宋体" w:cs="宋体"/>
                <w:color w:val="auto"/>
                <w:sz w:val="24"/>
                <w:szCs w:val="24"/>
                <w:highlight w:val="none"/>
              </w:rPr>
            </w:pPr>
          </w:p>
        </w:tc>
        <w:tc>
          <w:tcPr>
            <w:tcW w:w="991" w:type="dxa"/>
            <w:vAlign w:val="center"/>
          </w:tcPr>
          <w:p w14:paraId="72BBF8D9">
            <w:pPr>
              <w:spacing w:line="360" w:lineRule="auto"/>
              <w:jc w:val="center"/>
              <w:rPr>
                <w:rFonts w:ascii="宋体" w:hAnsi="宋体" w:cs="宋体"/>
                <w:color w:val="auto"/>
                <w:sz w:val="24"/>
                <w:szCs w:val="24"/>
                <w:highlight w:val="none"/>
              </w:rPr>
            </w:pPr>
          </w:p>
        </w:tc>
        <w:tc>
          <w:tcPr>
            <w:tcW w:w="991" w:type="dxa"/>
            <w:vAlign w:val="center"/>
          </w:tcPr>
          <w:p w14:paraId="171F45D4">
            <w:pPr>
              <w:spacing w:line="360" w:lineRule="auto"/>
              <w:jc w:val="center"/>
              <w:rPr>
                <w:rFonts w:ascii="宋体" w:hAnsi="宋体" w:cs="宋体"/>
                <w:color w:val="auto"/>
                <w:sz w:val="24"/>
                <w:szCs w:val="24"/>
                <w:highlight w:val="none"/>
              </w:rPr>
            </w:pPr>
          </w:p>
        </w:tc>
        <w:tc>
          <w:tcPr>
            <w:tcW w:w="1000" w:type="dxa"/>
            <w:vAlign w:val="center"/>
          </w:tcPr>
          <w:p w14:paraId="15A68718">
            <w:pPr>
              <w:spacing w:line="360" w:lineRule="auto"/>
              <w:jc w:val="center"/>
              <w:rPr>
                <w:rFonts w:ascii="宋体" w:hAnsi="宋体" w:cs="宋体"/>
                <w:color w:val="auto"/>
                <w:sz w:val="24"/>
                <w:szCs w:val="24"/>
                <w:highlight w:val="none"/>
              </w:rPr>
            </w:pPr>
          </w:p>
        </w:tc>
      </w:tr>
      <w:tr w14:paraId="0085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7" w:type="dxa"/>
            <w:vAlign w:val="center"/>
          </w:tcPr>
          <w:p w14:paraId="57BD194E">
            <w:pPr>
              <w:spacing w:line="360" w:lineRule="auto"/>
              <w:jc w:val="center"/>
              <w:rPr>
                <w:rFonts w:ascii="宋体" w:hAnsi="宋体" w:cs="宋体"/>
                <w:color w:val="auto"/>
                <w:sz w:val="24"/>
                <w:szCs w:val="24"/>
                <w:highlight w:val="none"/>
              </w:rPr>
            </w:pPr>
          </w:p>
        </w:tc>
        <w:tc>
          <w:tcPr>
            <w:tcW w:w="977" w:type="dxa"/>
            <w:vAlign w:val="center"/>
          </w:tcPr>
          <w:p w14:paraId="20D28277">
            <w:pPr>
              <w:spacing w:line="360" w:lineRule="auto"/>
              <w:jc w:val="center"/>
              <w:rPr>
                <w:rFonts w:ascii="宋体" w:hAnsi="宋体" w:cs="宋体"/>
                <w:color w:val="auto"/>
                <w:sz w:val="24"/>
                <w:szCs w:val="24"/>
                <w:highlight w:val="none"/>
              </w:rPr>
            </w:pPr>
          </w:p>
        </w:tc>
        <w:tc>
          <w:tcPr>
            <w:tcW w:w="991" w:type="dxa"/>
            <w:vAlign w:val="center"/>
          </w:tcPr>
          <w:p w14:paraId="1DB96236">
            <w:pPr>
              <w:spacing w:line="360" w:lineRule="auto"/>
              <w:jc w:val="center"/>
              <w:rPr>
                <w:rFonts w:ascii="宋体" w:hAnsi="宋体" w:cs="宋体"/>
                <w:color w:val="auto"/>
                <w:sz w:val="24"/>
                <w:szCs w:val="24"/>
                <w:highlight w:val="none"/>
              </w:rPr>
            </w:pPr>
          </w:p>
        </w:tc>
        <w:tc>
          <w:tcPr>
            <w:tcW w:w="991" w:type="dxa"/>
            <w:vAlign w:val="center"/>
          </w:tcPr>
          <w:p w14:paraId="0DB8CE57">
            <w:pPr>
              <w:spacing w:line="360" w:lineRule="auto"/>
              <w:jc w:val="center"/>
              <w:rPr>
                <w:rFonts w:ascii="宋体" w:hAnsi="宋体" w:cs="宋体"/>
                <w:color w:val="auto"/>
                <w:sz w:val="24"/>
                <w:szCs w:val="24"/>
                <w:highlight w:val="none"/>
              </w:rPr>
            </w:pPr>
          </w:p>
        </w:tc>
        <w:tc>
          <w:tcPr>
            <w:tcW w:w="991" w:type="dxa"/>
            <w:vAlign w:val="center"/>
          </w:tcPr>
          <w:p w14:paraId="1D1ED52E">
            <w:pPr>
              <w:spacing w:line="360" w:lineRule="auto"/>
              <w:jc w:val="center"/>
              <w:rPr>
                <w:rFonts w:ascii="宋体" w:hAnsi="宋体" w:cs="宋体"/>
                <w:color w:val="auto"/>
                <w:sz w:val="24"/>
                <w:szCs w:val="24"/>
                <w:highlight w:val="none"/>
              </w:rPr>
            </w:pPr>
          </w:p>
        </w:tc>
        <w:tc>
          <w:tcPr>
            <w:tcW w:w="991" w:type="dxa"/>
            <w:vAlign w:val="center"/>
          </w:tcPr>
          <w:p w14:paraId="4C8662A6">
            <w:pPr>
              <w:spacing w:line="360" w:lineRule="auto"/>
              <w:jc w:val="center"/>
              <w:rPr>
                <w:rFonts w:ascii="宋体" w:hAnsi="宋体" w:cs="宋体"/>
                <w:color w:val="auto"/>
                <w:sz w:val="24"/>
                <w:szCs w:val="24"/>
                <w:highlight w:val="none"/>
              </w:rPr>
            </w:pPr>
          </w:p>
        </w:tc>
        <w:tc>
          <w:tcPr>
            <w:tcW w:w="991" w:type="dxa"/>
            <w:vAlign w:val="center"/>
          </w:tcPr>
          <w:p w14:paraId="34B28EEF">
            <w:pPr>
              <w:spacing w:line="360" w:lineRule="auto"/>
              <w:jc w:val="center"/>
              <w:rPr>
                <w:rFonts w:ascii="宋体" w:hAnsi="宋体" w:cs="宋体"/>
                <w:color w:val="auto"/>
                <w:sz w:val="24"/>
                <w:szCs w:val="24"/>
                <w:highlight w:val="none"/>
              </w:rPr>
            </w:pPr>
          </w:p>
        </w:tc>
        <w:tc>
          <w:tcPr>
            <w:tcW w:w="1000" w:type="dxa"/>
            <w:vAlign w:val="center"/>
          </w:tcPr>
          <w:p w14:paraId="7545BF30">
            <w:pPr>
              <w:spacing w:line="360" w:lineRule="auto"/>
              <w:jc w:val="center"/>
              <w:rPr>
                <w:rFonts w:ascii="宋体" w:hAnsi="宋体" w:cs="宋体"/>
                <w:color w:val="auto"/>
                <w:sz w:val="24"/>
                <w:szCs w:val="24"/>
                <w:highlight w:val="none"/>
              </w:rPr>
            </w:pPr>
          </w:p>
        </w:tc>
      </w:tr>
    </w:tbl>
    <w:p w14:paraId="459A5A45">
      <w:pPr>
        <w:rPr>
          <w:color w:val="auto"/>
          <w:highlight w:val="none"/>
        </w:rPr>
        <w:sectPr>
          <w:pgSz w:w="11906" w:h="16838"/>
          <w:pgMar w:top="1440" w:right="1800" w:bottom="1440" w:left="1800" w:header="851" w:footer="992" w:gutter="0"/>
          <w:cols w:space="720" w:num="1"/>
          <w:titlePg/>
          <w:docGrid w:type="lines" w:linePitch="312" w:charSpace="0"/>
        </w:sectPr>
      </w:pPr>
    </w:p>
    <w:p w14:paraId="4AB1CF52">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附表四：计划开、竣工日期和施工进度网络图</w:t>
      </w:r>
    </w:p>
    <w:p w14:paraId="38A577D2">
      <w:pPr>
        <w:rPr>
          <w:color w:val="auto"/>
          <w:highlight w:val="none"/>
        </w:rPr>
      </w:pPr>
    </w:p>
    <w:p w14:paraId="4113EB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1.供应商应递交施工进度网络图或施工进度表，说明按竞争性磋商文件要求的计划工期进行施工的各个关键日期。</w:t>
      </w:r>
    </w:p>
    <w:p w14:paraId="6BA81C3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2.施工进度表可采用网络图和（或）横道图表示。</w:t>
      </w:r>
    </w:p>
    <w:p w14:paraId="25F56369">
      <w:pPr>
        <w:rPr>
          <w:color w:val="auto"/>
          <w:highlight w:val="none"/>
        </w:rPr>
      </w:pPr>
      <w:r>
        <w:rPr>
          <w:rFonts w:hint="eastAsia" w:ascii="宋体" w:hAnsi="宋体" w:cs="宋体"/>
          <w:color w:val="auto"/>
          <w:szCs w:val="24"/>
          <w:highlight w:val="none"/>
        </w:rPr>
        <w:br w:type="page"/>
      </w:r>
      <w:r>
        <w:rPr>
          <w:rFonts w:hint="eastAsia"/>
          <w:b/>
          <w:bCs/>
          <w:color w:val="auto"/>
          <w:sz w:val="24"/>
          <w:szCs w:val="24"/>
          <w:highlight w:val="none"/>
        </w:rPr>
        <w:t>附表五：</w:t>
      </w:r>
    </w:p>
    <w:p w14:paraId="49894940">
      <w:pPr>
        <w:jc w:val="center"/>
        <w:rPr>
          <w:b/>
          <w:bCs/>
          <w:color w:val="auto"/>
          <w:sz w:val="28"/>
          <w:szCs w:val="28"/>
          <w:highlight w:val="none"/>
        </w:rPr>
      </w:pPr>
      <w:r>
        <w:rPr>
          <w:rFonts w:hint="eastAsia"/>
          <w:b/>
          <w:bCs/>
          <w:color w:val="auto"/>
          <w:sz w:val="28"/>
          <w:szCs w:val="28"/>
          <w:highlight w:val="none"/>
        </w:rPr>
        <w:t>临时用地表</w:t>
      </w:r>
    </w:p>
    <w:tbl>
      <w:tblPr>
        <w:tblStyle w:val="3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6432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484598E4">
            <w:pPr>
              <w:jc w:val="center"/>
              <w:rPr>
                <w:b/>
                <w:bCs/>
                <w:color w:val="auto"/>
                <w:highlight w:val="none"/>
              </w:rPr>
            </w:pPr>
            <w:r>
              <w:rPr>
                <w:rFonts w:hint="eastAsia"/>
                <w:b/>
                <w:bCs/>
                <w:color w:val="auto"/>
                <w:highlight w:val="none"/>
              </w:rPr>
              <w:t>用  途</w:t>
            </w:r>
          </w:p>
        </w:tc>
        <w:tc>
          <w:tcPr>
            <w:tcW w:w="2079" w:type="dxa"/>
            <w:vAlign w:val="center"/>
          </w:tcPr>
          <w:p w14:paraId="6E88298C">
            <w:pPr>
              <w:jc w:val="center"/>
              <w:rPr>
                <w:b/>
                <w:bCs/>
                <w:color w:val="auto"/>
                <w:highlight w:val="none"/>
              </w:rPr>
            </w:pPr>
            <w:r>
              <w:rPr>
                <w:rFonts w:hint="eastAsia"/>
                <w:b/>
                <w:bCs/>
                <w:color w:val="auto"/>
                <w:highlight w:val="none"/>
              </w:rPr>
              <w:t>面 积（平方米）</w:t>
            </w:r>
          </w:p>
        </w:tc>
        <w:tc>
          <w:tcPr>
            <w:tcW w:w="2079" w:type="dxa"/>
            <w:vAlign w:val="center"/>
          </w:tcPr>
          <w:p w14:paraId="28A8E54C">
            <w:pPr>
              <w:jc w:val="center"/>
              <w:rPr>
                <w:b/>
                <w:bCs/>
                <w:color w:val="auto"/>
                <w:highlight w:val="none"/>
              </w:rPr>
            </w:pPr>
            <w:r>
              <w:rPr>
                <w:rFonts w:hint="eastAsia"/>
                <w:b/>
                <w:bCs/>
                <w:color w:val="auto"/>
                <w:highlight w:val="none"/>
              </w:rPr>
              <w:t>位  置</w:t>
            </w:r>
          </w:p>
        </w:tc>
        <w:tc>
          <w:tcPr>
            <w:tcW w:w="2079" w:type="dxa"/>
            <w:vAlign w:val="center"/>
          </w:tcPr>
          <w:p w14:paraId="0B785A49">
            <w:pPr>
              <w:jc w:val="center"/>
              <w:rPr>
                <w:b/>
                <w:bCs/>
                <w:color w:val="auto"/>
                <w:highlight w:val="none"/>
              </w:rPr>
            </w:pPr>
            <w:r>
              <w:rPr>
                <w:rFonts w:hint="eastAsia"/>
                <w:b/>
                <w:bCs/>
                <w:color w:val="auto"/>
                <w:highlight w:val="none"/>
              </w:rPr>
              <w:t>需用时间</w:t>
            </w:r>
          </w:p>
        </w:tc>
      </w:tr>
      <w:tr w14:paraId="252F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42AD2024">
            <w:pPr>
              <w:jc w:val="center"/>
              <w:rPr>
                <w:color w:val="auto"/>
                <w:highlight w:val="none"/>
              </w:rPr>
            </w:pPr>
          </w:p>
        </w:tc>
        <w:tc>
          <w:tcPr>
            <w:tcW w:w="2079" w:type="dxa"/>
            <w:vAlign w:val="center"/>
          </w:tcPr>
          <w:p w14:paraId="6D647F05">
            <w:pPr>
              <w:jc w:val="center"/>
              <w:rPr>
                <w:color w:val="auto"/>
                <w:highlight w:val="none"/>
              </w:rPr>
            </w:pPr>
          </w:p>
        </w:tc>
        <w:tc>
          <w:tcPr>
            <w:tcW w:w="2079" w:type="dxa"/>
            <w:vAlign w:val="center"/>
          </w:tcPr>
          <w:p w14:paraId="161D5E8F">
            <w:pPr>
              <w:jc w:val="center"/>
              <w:rPr>
                <w:color w:val="auto"/>
                <w:highlight w:val="none"/>
              </w:rPr>
            </w:pPr>
          </w:p>
        </w:tc>
        <w:tc>
          <w:tcPr>
            <w:tcW w:w="2079" w:type="dxa"/>
            <w:vAlign w:val="center"/>
          </w:tcPr>
          <w:p w14:paraId="6593810A">
            <w:pPr>
              <w:jc w:val="center"/>
              <w:rPr>
                <w:color w:val="auto"/>
                <w:highlight w:val="none"/>
              </w:rPr>
            </w:pPr>
          </w:p>
        </w:tc>
      </w:tr>
      <w:tr w14:paraId="2B8F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56AB2DAD">
            <w:pPr>
              <w:jc w:val="center"/>
              <w:rPr>
                <w:color w:val="auto"/>
                <w:highlight w:val="none"/>
              </w:rPr>
            </w:pPr>
          </w:p>
        </w:tc>
        <w:tc>
          <w:tcPr>
            <w:tcW w:w="2079" w:type="dxa"/>
            <w:vAlign w:val="center"/>
          </w:tcPr>
          <w:p w14:paraId="75455B03">
            <w:pPr>
              <w:jc w:val="center"/>
              <w:rPr>
                <w:color w:val="auto"/>
                <w:highlight w:val="none"/>
              </w:rPr>
            </w:pPr>
          </w:p>
        </w:tc>
        <w:tc>
          <w:tcPr>
            <w:tcW w:w="2079" w:type="dxa"/>
            <w:vAlign w:val="center"/>
          </w:tcPr>
          <w:p w14:paraId="49C0D131">
            <w:pPr>
              <w:jc w:val="center"/>
              <w:rPr>
                <w:color w:val="auto"/>
                <w:highlight w:val="none"/>
              </w:rPr>
            </w:pPr>
          </w:p>
        </w:tc>
        <w:tc>
          <w:tcPr>
            <w:tcW w:w="2079" w:type="dxa"/>
            <w:vAlign w:val="center"/>
          </w:tcPr>
          <w:p w14:paraId="793B6874">
            <w:pPr>
              <w:jc w:val="center"/>
              <w:rPr>
                <w:color w:val="auto"/>
                <w:highlight w:val="none"/>
              </w:rPr>
            </w:pPr>
          </w:p>
        </w:tc>
      </w:tr>
      <w:tr w14:paraId="0250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4841A26D">
            <w:pPr>
              <w:jc w:val="center"/>
              <w:rPr>
                <w:color w:val="auto"/>
                <w:highlight w:val="none"/>
              </w:rPr>
            </w:pPr>
          </w:p>
        </w:tc>
        <w:tc>
          <w:tcPr>
            <w:tcW w:w="2079" w:type="dxa"/>
            <w:vAlign w:val="center"/>
          </w:tcPr>
          <w:p w14:paraId="4DA2682E">
            <w:pPr>
              <w:jc w:val="center"/>
              <w:rPr>
                <w:color w:val="auto"/>
                <w:highlight w:val="none"/>
              </w:rPr>
            </w:pPr>
          </w:p>
        </w:tc>
        <w:tc>
          <w:tcPr>
            <w:tcW w:w="2079" w:type="dxa"/>
            <w:vAlign w:val="center"/>
          </w:tcPr>
          <w:p w14:paraId="3F66798C">
            <w:pPr>
              <w:jc w:val="center"/>
              <w:rPr>
                <w:color w:val="auto"/>
                <w:highlight w:val="none"/>
              </w:rPr>
            </w:pPr>
          </w:p>
        </w:tc>
        <w:tc>
          <w:tcPr>
            <w:tcW w:w="2079" w:type="dxa"/>
            <w:vAlign w:val="center"/>
          </w:tcPr>
          <w:p w14:paraId="74EC754A">
            <w:pPr>
              <w:jc w:val="center"/>
              <w:rPr>
                <w:color w:val="auto"/>
                <w:highlight w:val="none"/>
              </w:rPr>
            </w:pPr>
          </w:p>
        </w:tc>
      </w:tr>
      <w:tr w14:paraId="31CE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1649947B">
            <w:pPr>
              <w:jc w:val="center"/>
              <w:rPr>
                <w:color w:val="auto"/>
                <w:highlight w:val="none"/>
              </w:rPr>
            </w:pPr>
          </w:p>
        </w:tc>
        <w:tc>
          <w:tcPr>
            <w:tcW w:w="2079" w:type="dxa"/>
            <w:vAlign w:val="center"/>
          </w:tcPr>
          <w:p w14:paraId="670F90F7">
            <w:pPr>
              <w:jc w:val="center"/>
              <w:rPr>
                <w:color w:val="auto"/>
                <w:highlight w:val="none"/>
              </w:rPr>
            </w:pPr>
          </w:p>
        </w:tc>
        <w:tc>
          <w:tcPr>
            <w:tcW w:w="2079" w:type="dxa"/>
            <w:vAlign w:val="center"/>
          </w:tcPr>
          <w:p w14:paraId="1C034DF9">
            <w:pPr>
              <w:jc w:val="center"/>
              <w:rPr>
                <w:color w:val="auto"/>
                <w:highlight w:val="none"/>
              </w:rPr>
            </w:pPr>
          </w:p>
        </w:tc>
        <w:tc>
          <w:tcPr>
            <w:tcW w:w="2079" w:type="dxa"/>
            <w:vAlign w:val="center"/>
          </w:tcPr>
          <w:p w14:paraId="3EBF8C0B">
            <w:pPr>
              <w:jc w:val="center"/>
              <w:rPr>
                <w:color w:val="auto"/>
                <w:highlight w:val="none"/>
              </w:rPr>
            </w:pPr>
          </w:p>
        </w:tc>
      </w:tr>
      <w:tr w14:paraId="4B43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05BC373E">
            <w:pPr>
              <w:jc w:val="center"/>
              <w:rPr>
                <w:color w:val="auto"/>
                <w:highlight w:val="none"/>
              </w:rPr>
            </w:pPr>
          </w:p>
        </w:tc>
        <w:tc>
          <w:tcPr>
            <w:tcW w:w="2079" w:type="dxa"/>
            <w:vAlign w:val="center"/>
          </w:tcPr>
          <w:p w14:paraId="14ECB6C3">
            <w:pPr>
              <w:jc w:val="center"/>
              <w:rPr>
                <w:color w:val="auto"/>
                <w:highlight w:val="none"/>
              </w:rPr>
            </w:pPr>
          </w:p>
        </w:tc>
        <w:tc>
          <w:tcPr>
            <w:tcW w:w="2079" w:type="dxa"/>
            <w:vAlign w:val="center"/>
          </w:tcPr>
          <w:p w14:paraId="653FC6D1">
            <w:pPr>
              <w:jc w:val="center"/>
              <w:rPr>
                <w:color w:val="auto"/>
                <w:highlight w:val="none"/>
              </w:rPr>
            </w:pPr>
          </w:p>
        </w:tc>
        <w:tc>
          <w:tcPr>
            <w:tcW w:w="2079" w:type="dxa"/>
            <w:vAlign w:val="center"/>
          </w:tcPr>
          <w:p w14:paraId="7CEFB995">
            <w:pPr>
              <w:jc w:val="center"/>
              <w:rPr>
                <w:color w:val="auto"/>
                <w:highlight w:val="none"/>
              </w:rPr>
            </w:pPr>
          </w:p>
        </w:tc>
      </w:tr>
      <w:tr w14:paraId="3C28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6B5C910A">
            <w:pPr>
              <w:jc w:val="center"/>
              <w:rPr>
                <w:color w:val="auto"/>
                <w:highlight w:val="none"/>
              </w:rPr>
            </w:pPr>
          </w:p>
        </w:tc>
        <w:tc>
          <w:tcPr>
            <w:tcW w:w="2079" w:type="dxa"/>
            <w:vAlign w:val="center"/>
          </w:tcPr>
          <w:p w14:paraId="72005FCF">
            <w:pPr>
              <w:jc w:val="center"/>
              <w:rPr>
                <w:color w:val="auto"/>
                <w:highlight w:val="none"/>
              </w:rPr>
            </w:pPr>
          </w:p>
        </w:tc>
        <w:tc>
          <w:tcPr>
            <w:tcW w:w="2079" w:type="dxa"/>
            <w:vAlign w:val="center"/>
          </w:tcPr>
          <w:p w14:paraId="51C5DE4D">
            <w:pPr>
              <w:jc w:val="center"/>
              <w:rPr>
                <w:color w:val="auto"/>
                <w:highlight w:val="none"/>
              </w:rPr>
            </w:pPr>
          </w:p>
        </w:tc>
        <w:tc>
          <w:tcPr>
            <w:tcW w:w="2079" w:type="dxa"/>
            <w:vAlign w:val="center"/>
          </w:tcPr>
          <w:p w14:paraId="2E89AE9E">
            <w:pPr>
              <w:jc w:val="center"/>
              <w:rPr>
                <w:color w:val="auto"/>
                <w:highlight w:val="none"/>
              </w:rPr>
            </w:pPr>
          </w:p>
        </w:tc>
      </w:tr>
      <w:tr w14:paraId="695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069E464F">
            <w:pPr>
              <w:jc w:val="center"/>
              <w:rPr>
                <w:color w:val="auto"/>
                <w:highlight w:val="none"/>
              </w:rPr>
            </w:pPr>
          </w:p>
        </w:tc>
        <w:tc>
          <w:tcPr>
            <w:tcW w:w="2079" w:type="dxa"/>
            <w:vAlign w:val="center"/>
          </w:tcPr>
          <w:p w14:paraId="5F56ABA4">
            <w:pPr>
              <w:jc w:val="center"/>
              <w:rPr>
                <w:color w:val="auto"/>
                <w:highlight w:val="none"/>
              </w:rPr>
            </w:pPr>
          </w:p>
        </w:tc>
        <w:tc>
          <w:tcPr>
            <w:tcW w:w="2079" w:type="dxa"/>
            <w:vAlign w:val="center"/>
          </w:tcPr>
          <w:p w14:paraId="794237CC">
            <w:pPr>
              <w:jc w:val="center"/>
              <w:rPr>
                <w:color w:val="auto"/>
                <w:highlight w:val="none"/>
              </w:rPr>
            </w:pPr>
          </w:p>
        </w:tc>
        <w:tc>
          <w:tcPr>
            <w:tcW w:w="2079" w:type="dxa"/>
            <w:vAlign w:val="center"/>
          </w:tcPr>
          <w:p w14:paraId="07B03404">
            <w:pPr>
              <w:jc w:val="center"/>
              <w:rPr>
                <w:color w:val="auto"/>
                <w:highlight w:val="none"/>
              </w:rPr>
            </w:pPr>
          </w:p>
        </w:tc>
      </w:tr>
      <w:tr w14:paraId="3F25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76CCAC2B">
            <w:pPr>
              <w:jc w:val="center"/>
              <w:rPr>
                <w:color w:val="auto"/>
                <w:highlight w:val="none"/>
              </w:rPr>
            </w:pPr>
          </w:p>
        </w:tc>
        <w:tc>
          <w:tcPr>
            <w:tcW w:w="2079" w:type="dxa"/>
            <w:vAlign w:val="center"/>
          </w:tcPr>
          <w:p w14:paraId="589F4AF7">
            <w:pPr>
              <w:jc w:val="center"/>
              <w:rPr>
                <w:color w:val="auto"/>
                <w:highlight w:val="none"/>
              </w:rPr>
            </w:pPr>
          </w:p>
        </w:tc>
        <w:tc>
          <w:tcPr>
            <w:tcW w:w="2079" w:type="dxa"/>
            <w:vAlign w:val="center"/>
          </w:tcPr>
          <w:p w14:paraId="56E91ED4">
            <w:pPr>
              <w:jc w:val="center"/>
              <w:rPr>
                <w:color w:val="auto"/>
                <w:highlight w:val="none"/>
              </w:rPr>
            </w:pPr>
          </w:p>
        </w:tc>
        <w:tc>
          <w:tcPr>
            <w:tcW w:w="2079" w:type="dxa"/>
            <w:vAlign w:val="center"/>
          </w:tcPr>
          <w:p w14:paraId="1B527B0D">
            <w:pPr>
              <w:jc w:val="center"/>
              <w:rPr>
                <w:color w:val="auto"/>
                <w:highlight w:val="none"/>
              </w:rPr>
            </w:pPr>
          </w:p>
        </w:tc>
      </w:tr>
      <w:tr w14:paraId="7E57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1474604D">
            <w:pPr>
              <w:jc w:val="center"/>
              <w:rPr>
                <w:color w:val="auto"/>
                <w:highlight w:val="none"/>
              </w:rPr>
            </w:pPr>
          </w:p>
        </w:tc>
        <w:tc>
          <w:tcPr>
            <w:tcW w:w="2079" w:type="dxa"/>
            <w:vAlign w:val="center"/>
          </w:tcPr>
          <w:p w14:paraId="24B505CB">
            <w:pPr>
              <w:jc w:val="center"/>
              <w:rPr>
                <w:color w:val="auto"/>
                <w:highlight w:val="none"/>
              </w:rPr>
            </w:pPr>
          </w:p>
        </w:tc>
        <w:tc>
          <w:tcPr>
            <w:tcW w:w="2079" w:type="dxa"/>
            <w:vAlign w:val="center"/>
          </w:tcPr>
          <w:p w14:paraId="746C50DD">
            <w:pPr>
              <w:jc w:val="center"/>
              <w:rPr>
                <w:color w:val="auto"/>
                <w:highlight w:val="none"/>
              </w:rPr>
            </w:pPr>
          </w:p>
        </w:tc>
        <w:tc>
          <w:tcPr>
            <w:tcW w:w="2079" w:type="dxa"/>
            <w:vAlign w:val="center"/>
          </w:tcPr>
          <w:p w14:paraId="43D7848E">
            <w:pPr>
              <w:jc w:val="center"/>
              <w:rPr>
                <w:color w:val="auto"/>
                <w:highlight w:val="none"/>
              </w:rPr>
            </w:pPr>
          </w:p>
        </w:tc>
      </w:tr>
      <w:tr w14:paraId="00A1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7FEBA87A">
            <w:pPr>
              <w:jc w:val="center"/>
              <w:rPr>
                <w:color w:val="auto"/>
                <w:highlight w:val="none"/>
              </w:rPr>
            </w:pPr>
          </w:p>
        </w:tc>
        <w:tc>
          <w:tcPr>
            <w:tcW w:w="2079" w:type="dxa"/>
            <w:vAlign w:val="center"/>
          </w:tcPr>
          <w:p w14:paraId="2C84436A">
            <w:pPr>
              <w:jc w:val="center"/>
              <w:rPr>
                <w:color w:val="auto"/>
                <w:highlight w:val="none"/>
              </w:rPr>
            </w:pPr>
          </w:p>
        </w:tc>
        <w:tc>
          <w:tcPr>
            <w:tcW w:w="2079" w:type="dxa"/>
            <w:vAlign w:val="center"/>
          </w:tcPr>
          <w:p w14:paraId="03349C0C">
            <w:pPr>
              <w:jc w:val="center"/>
              <w:rPr>
                <w:color w:val="auto"/>
                <w:highlight w:val="none"/>
              </w:rPr>
            </w:pPr>
          </w:p>
        </w:tc>
        <w:tc>
          <w:tcPr>
            <w:tcW w:w="2079" w:type="dxa"/>
            <w:vAlign w:val="center"/>
          </w:tcPr>
          <w:p w14:paraId="6CF1199C">
            <w:pPr>
              <w:jc w:val="center"/>
              <w:rPr>
                <w:color w:val="auto"/>
                <w:highlight w:val="none"/>
              </w:rPr>
            </w:pPr>
          </w:p>
        </w:tc>
      </w:tr>
      <w:tr w14:paraId="7F14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7C4CF520">
            <w:pPr>
              <w:jc w:val="center"/>
              <w:rPr>
                <w:color w:val="auto"/>
                <w:highlight w:val="none"/>
              </w:rPr>
            </w:pPr>
          </w:p>
        </w:tc>
        <w:tc>
          <w:tcPr>
            <w:tcW w:w="2079" w:type="dxa"/>
            <w:vAlign w:val="center"/>
          </w:tcPr>
          <w:p w14:paraId="77AF4200">
            <w:pPr>
              <w:jc w:val="center"/>
              <w:rPr>
                <w:color w:val="auto"/>
                <w:highlight w:val="none"/>
              </w:rPr>
            </w:pPr>
          </w:p>
        </w:tc>
        <w:tc>
          <w:tcPr>
            <w:tcW w:w="2079" w:type="dxa"/>
            <w:vAlign w:val="center"/>
          </w:tcPr>
          <w:p w14:paraId="58F31191">
            <w:pPr>
              <w:jc w:val="center"/>
              <w:rPr>
                <w:color w:val="auto"/>
                <w:highlight w:val="none"/>
              </w:rPr>
            </w:pPr>
          </w:p>
        </w:tc>
        <w:tc>
          <w:tcPr>
            <w:tcW w:w="2079" w:type="dxa"/>
            <w:vAlign w:val="center"/>
          </w:tcPr>
          <w:p w14:paraId="7F76366D">
            <w:pPr>
              <w:jc w:val="center"/>
              <w:rPr>
                <w:color w:val="auto"/>
                <w:highlight w:val="none"/>
              </w:rPr>
            </w:pPr>
          </w:p>
        </w:tc>
      </w:tr>
      <w:tr w14:paraId="2611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6F1A0A91">
            <w:pPr>
              <w:jc w:val="center"/>
              <w:rPr>
                <w:color w:val="auto"/>
                <w:highlight w:val="none"/>
              </w:rPr>
            </w:pPr>
          </w:p>
        </w:tc>
        <w:tc>
          <w:tcPr>
            <w:tcW w:w="2079" w:type="dxa"/>
            <w:vAlign w:val="center"/>
          </w:tcPr>
          <w:p w14:paraId="3213D452">
            <w:pPr>
              <w:jc w:val="center"/>
              <w:rPr>
                <w:color w:val="auto"/>
                <w:highlight w:val="none"/>
              </w:rPr>
            </w:pPr>
          </w:p>
        </w:tc>
        <w:tc>
          <w:tcPr>
            <w:tcW w:w="2079" w:type="dxa"/>
            <w:vAlign w:val="center"/>
          </w:tcPr>
          <w:p w14:paraId="7F47A8E9">
            <w:pPr>
              <w:jc w:val="center"/>
              <w:rPr>
                <w:color w:val="auto"/>
                <w:highlight w:val="none"/>
              </w:rPr>
            </w:pPr>
          </w:p>
        </w:tc>
        <w:tc>
          <w:tcPr>
            <w:tcW w:w="2079" w:type="dxa"/>
            <w:vAlign w:val="center"/>
          </w:tcPr>
          <w:p w14:paraId="23BAE645">
            <w:pPr>
              <w:jc w:val="center"/>
              <w:rPr>
                <w:color w:val="auto"/>
                <w:highlight w:val="none"/>
              </w:rPr>
            </w:pPr>
          </w:p>
        </w:tc>
      </w:tr>
      <w:tr w14:paraId="74AC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398FB24A">
            <w:pPr>
              <w:jc w:val="center"/>
              <w:rPr>
                <w:color w:val="auto"/>
                <w:highlight w:val="none"/>
              </w:rPr>
            </w:pPr>
          </w:p>
        </w:tc>
        <w:tc>
          <w:tcPr>
            <w:tcW w:w="2079" w:type="dxa"/>
            <w:vAlign w:val="center"/>
          </w:tcPr>
          <w:p w14:paraId="66E80805">
            <w:pPr>
              <w:jc w:val="center"/>
              <w:rPr>
                <w:color w:val="auto"/>
                <w:highlight w:val="none"/>
              </w:rPr>
            </w:pPr>
          </w:p>
        </w:tc>
        <w:tc>
          <w:tcPr>
            <w:tcW w:w="2079" w:type="dxa"/>
            <w:vAlign w:val="center"/>
          </w:tcPr>
          <w:p w14:paraId="12D95879">
            <w:pPr>
              <w:jc w:val="center"/>
              <w:rPr>
                <w:color w:val="auto"/>
                <w:highlight w:val="none"/>
              </w:rPr>
            </w:pPr>
          </w:p>
        </w:tc>
        <w:tc>
          <w:tcPr>
            <w:tcW w:w="2079" w:type="dxa"/>
            <w:vAlign w:val="center"/>
          </w:tcPr>
          <w:p w14:paraId="29E7417C">
            <w:pPr>
              <w:jc w:val="center"/>
              <w:rPr>
                <w:color w:val="auto"/>
                <w:highlight w:val="none"/>
              </w:rPr>
            </w:pPr>
          </w:p>
        </w:tc>
      </w:tr>
      <w:tr w14:paraId="6731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08CB5295">
            <w:pPr>
              <w:jc w:val="center"/>
              <w:rPr>
                <w:color w:val="auto"/>
                <w:highlight w:val="none"/>
              </w:rPr>
            </w:pPr>
          </w:p>
        </w:tc>
        <w:tc>
          <w:tcPr>
            <w:tcW w:w="2079" w:type="dxa"/>
            <w:vAlign w:val="center"/>
          </w:tcPr>
          <w:p w14:paraId="17FDE9B4">
            <w:pPr>
              <w:jc w:val="center"/>
              <w:rPr>
                <w:color w:val="auto"/>
                <w:highlight w:val="none"/>
              </w:rPr>
            </w:pPr>
          </w:p>
        </w:tc>
        <w:tc>
          <w:tcPr>
            <w:tcW w:w="2079" w:type="dxa"/>
            <w:vAlign w:val="center"/>
          </w:tcPr>
          <w:p w14:paraId="0593FA86">
            <w:pPr>
              <w:jc w:val="center"/>
              <w:rPr>
                <w:color w:val="auto"/>
                <w:highlight w:val="none"/>
              </w:rPr>
            </w:pPr>
          </w:p>
        </w:tc>
        <w:tc>
          <w:tcPr>
            <w:tcW w:w="2079" w:type="dxa"/>
            <w:vAlign w:val="center"/>
          </w:tcPr>
          <w:p w14:paraId="205EE789">
            <w:pPr>
              <w:jc w:val="center"/>
              <w:rPr>
                <w:color w:val="auto"/>
                <w:highlight w:val="none"/>
              </w:rPr>
            </w:pPr>
          </w:p>
        </w:tc>
      </w:tr>
      <w:tr w14:paraId="4B80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65F6D41B">
            <w:pPr>
              <w:jc w:val="center"/>
              <w:rPr>
                <w:color w:val="auto"/>
                <w:highlight w:val="none"/>
              </w:rPr>
            </w:pPr>
          </w:p>
        </w:tc>
        <w:tc>
          <w:tcPr>
            <w:tcW w:w="2079" w:type="dxa"/>
            <w:vAlign w:val="center"/>
          </w:tcPr>
          <w:p w14:paraId="6957EAA8">
            <w:pPr>
              <w:jc w:val="center"/>
              <w:rPr>
                <w:color w:val="auto"/>
                <w:highlight w:val="none"/>
              </w:rPr>
            </w:pPr>
          </w:p>
        </w:tc>
        <w:tc>
          <w:tcPr>
            <w:tcW w:w="2079" w:type="dxa"/>
            <w:vAlign w:val="center"/>
          </w:tcPr>
          <w:p w14:paraId="7029C539">
            <w:pPr>
              <w:jc w:val="center"/>
              <w:rPr>
                <w:color w:val="auto"/>
                <w:highlight w:val="none"/>
              </w:rPr>
            </w:pPr>
          </w:p>
        </w:tc>
        <w:tc>
          <w:tcPr>
            <w:tcW w:w="2079" w:type="dxa"/>
            <w:vAlign w:val="center"/>
          </w:tcPr>
          <w:p w14:paraId="6C7F9F56">
            <w:pPr>
              <w:jc w:val="center"/>
              <w:rPr>
                <w:color w:val="auto"/>
                <w:highlight w:val="none"/>
              </w:rPr>
            </w:pPr>
          </w:p>
        </w:tc>
      </w:tr>
      <w:tr w14:paraId="019E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1FFFBEEB">
            <w:pPr>
              <w:jc w:val="center"/>
              <w:rPr>
                <w:color w:val="auto"/>
                <w:highlight w:val="none"/>
              </w:rPr>
            </w:pPr>
          </w:p>
        </w:tc>
        <w:tc>
          <w:tcPr>
            <w:tcW w:w="2079" w:type="dxa"/>
            <w:vAlign w:val="center"/>
          </w:tcPr>
          <w:p w14:paraId="70252912">
            <w:pPr>
              <w:jc w:val="center"/>
              <w:rPr>
                <w:color w:val="auto"/>
                <w:highlight w:val="none"/>
              </w:rPr>
            </w:pPr>
          </w:p>
        </w:tc>
        <w:tc>
          <w:tcPr>
            <w:tcW w:w="2079" w:type="dxa"/>
            <w:vAlign w:val="center"/>
          </w:tcPr>
          <w:p w14:paraId="1DE36348">
            <w:pPr>
              <w:jc w:val="center"/>
              <w:rPr>
                <w:color w:val="auto"/>
                <w:highlight w:val="none"/>
              </w:rPr>
            </w:pPr>
          </w:p>
        </w:tc>
        <w:tc>
          <w:tcPr>
            <w:tcW w:w="2079" w:type="dxa"/>
            <w:vAlign w:val="center"/>
          </w:tcPr>
          <w:p w14:paraId="1E175275">
            <w:pPr>
              <w:jc w:val="center"/>
              <w:rPr>
                <w:color w:val="auto"/>
                <w:highlight w:val="none"/>
              </w:rPr>
            </w:pPr>
          </w:p>
        </w:tc>
      </w:tr>
      <w:tr w14:paraId="2169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vAlign w:val="center"/>
          </w:tcPr>
          <w:p w14:paraId="450B2DD1">
            <w:pPr>
              <w:jc w:val="center"/>
              <w:rPr>
                <w:color w:val="auto"/>
                <w:highlight w:val="none"/>
              </w:rPr>
            </w:pPr>
          </w:p>
        </w:tc>
        <w:tc>
          <w:tcPr>
            <w:tcW w:w="2079" w:type="dxa"/>
            <w:vAlign w:val="center"/>
          </w:tcPr>
          <w:p w14:paraId="20E2C3AF">
            <w:pPr>
              <w:jc w:val="center"/>
              <w:rPr>
                <w:color w:val="auto"/>
                <w:highlight w:val="none"/>
              </w:rPr>
            </w:pPr>
          </w:p>
        </w:tc>
        <w:tc>
          <w:tcPr>
            <w:tcW w:w="2079" w:type="dxa"/>
            <w:vAlign w:val="center"/>
          </w:tcPr>
          <w:p w14:paraId="7E329417">
            <w:pPr>
              <w:jc w:val="center"/>
              <w:rPr>
                <w:color w:val="auto"/>
                <w:highlight w:val="none"/>
              </w:rPr>
            </w:pPr>
          </w:p>
        </w:tc>
        <w:tc>
          <w:tcPr>
            <w:tcW w:w="2079" w:type="dxa"/>
            <w:vAlign w:val="center"/>
          </w:tcPr>
          <w:p w14:paraId="17022565">
            <w:pPr>
              <w:jc w:val="center"/>
              <w:rPr>
                <w:color w:val="auto"/>
                <w:highlight w:val="none"/>
              </w:rPr>
            </w:pPr>
          </w:p>
        </w:tc>
      </w:tr>
    </w:tbl>
    <w:p w14:paraId="0D239621">
      <w:pPr>
        <w:rPr>
          <w:rFonts w:ascii="宋体" w:hAnsi="宋体" w:cs="宋体"/>
          <w:color w:val="auto"/>
          <w:highlight w:val="none"/>
        </w:rPr>
      </w:pPr>
      <w:r>
        <w:rPr>
          <w:rFonts w:hint="eastAsia" w:ascii="宋体" w:hAnsi="宋体" w:cs="宋体"/>
          <w:color w:val="auto"/>
          <w:sz w:val="24"/>
          <w:szCs w:val="24"/>
          <w:highlight w:val="none"/>
        </w:rPr>
        <w:br w:type="page"/>
      </w:r>
    </w:p>
    <w:bookmarkEnd w:id="625"/>
    <w:bookmarkEnd w:id="626"/>
    <w:bookmarkEnd w:id="627"/>
    <w:bookmarkEnd w:id="628"/>
    <w:p w14:paraId="34769FB0">
      <w:pPr>
        <w:pStyle w:val="3"/>
        <w:rPr>
          <w:color w:val="auto"/>
          <w:highlight w:val="none"/>
        </w:rPr>
      </w:pPr>
      <w:bookmarkStart w:id="630" w:name="_Toc28797"/>
      <w:bookmarkStart w:id="631" w:name="_Toc7696"/>
      <w:bookmarkStart w:id="632" w:name="_Toc15784"/>
      <w:bookmarkStart w:id="633" w:name="_Toc23823"/>
      <w:bookmarkStart w:id="634" w:name="_Toc7958"/>
      <w:r>
        <w:rPr>
          <w:rFonts w:hint="eastAsia"/>
          <w:color w:val="auto"/>
          <w:highlight w:val="none"/>
        </w:rPr>
        <w:t>十一、主要材料、设备一览表</w:t>
      </w:r>
      <w:bookmarkEnd w:id="630"/>
      <w:bookmarkEnd w:id="631"/>
      <w:bookmarkEnd w:id="632"/>
      <w:bookmarkEnd w:id="633"/>
      <w:bookmarkEnd w:id="634"/>
    </w:p>
    <w:p w14:paraId="4D7EAD7F">
      <w:pPr>
        <w:spacing w:line="480" w:lineRule="auto"/>
        <w:rPr>
          <w:rFonts w:ascii="宋体" w:hAnsi="宋体" w:cs="宋体"/>
          <w:color w:val="auto"/>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项目编号：</w:t>
      </w:r>
      <w:r>
        <w:rPr>
          <w:rFonts w:hint="eastAsia" w:ascii="宋体" w:hAnsi="宋体" w:cs="宋体"/>
          <w:color w:val="auto"/>
          <w:sz w:val="24"/>
          <w:szCs w:val="24"/>
          <w:highlight w:val="none"/>
          <w:u w:val="single"/>
        </w:rPr>
        <w:t xml:space="preserve">              </w:t>
      </w:r>
    </w:p>
    <w:tbl>
      <w:tblPr>
        <w:tblStyle w:val="39"/>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037"/>
        <w:gridCol w:w="698"/>
        <w:gridCol w:w="1448"/>
        <w:gridCol w:w="999"/>
        <w:gridCol w:w="1416"/>
        <w:gridCol w:w="926"/>
      </w:tblGrid>
      <w:tr w14:paraId="4C16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Align w:val="center"/>
          </w:tcPr>
          <w:p w14:paraId="4387CF4E">
            <w:pPr>
              <w:jc w:val="center"/>
              <w:rPr>
                <w:rFonts w:ascii="宋体" w:hAnsi="宋体" w:cs="宋体"/>
                <w:b/>
                <w:bCs/>
                <w:color w:val="auto"/>
                <w:sz w:val="24"/>
                <w:szCs w:val="24"/>
                <w:highlight w:val="none"/>
              </w:rPr>
            </w:pPr>
            <w:bookmarkStart w:id="635" w:name="_Toc23200"/>
            <w:bookmarkStart w:id="636" w:name="_Toc2184"/>
            <w:bookmarkStart w:id="637" w:name="_Toc11644"/>
            <w:bookmarkStart w:id="638" w:name="_Toc19747"/>
            <w:r>
              <w:rPr>
                <w:rFonts w:hint="eastAsia" w:ascii="宋体" w:hAnsi="宋体" w:cs="宋体"/>
                <w:b/>
                <w:bCs/>
                <w:color w:val="auto"/>
                <w:sz w:val="24"/>
                <w:szCs w:val="24"/>
                <w:highlight w:val="none"/>
              </w:rPr>
              <w:t>序号</w:t>
            </w:r>
          </w:p>
        </w:tc>
        <w:tc>
          <w:tcPr>
            <w:tcW w:w="2037" w:type="dxa"/>
            <w:vAlign w:val="center"/>
          </w:tcPr>
          <w:p w14:paraId="5E2C4DA6">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材料、设备名称</w:t>
            </w:r>
          </w:p>
        </w:tc>
        <w:tc>
          <w:tcPr>
            <w:tcW w:w="698" w:type="dxa"/>
            <w:vAlign w:val="center"/>
          </w:tcPr>
          <w:p w14:paraId="2BBAB8E3">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品牌</w:t>
            </w:r>
          </w:p>
        </w:tc>
        <w:tc>
          <w:tcPr>
            <w:tcW w:w="1448" w:type="dxa"/>
            <w:vAlign w:val="center"/>
          </w:tcPr>
          <w:p w14:paraId="796C70B8">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规格/型号</w:t>
            </w:r>
          </w:p>
        </w:tc>
        <w:tc>
          <w:tcPr>
            <w:tcW w:w="999" w:type="dxa"/>
            <w:vAlign w:val="center"/>
          </w:tcPr>
          <w:p w14:paraId="148FC447">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1416" w:type="dxa"/>
            <w:vAlign w:val="center"/>
          </w:tcPr>
          <w:p w14:paraId="5B03D2A6">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单价（元）</w:t>
            </w:r>
          </w:p>
        </w:tc>
        <w:tc>
          <w:tcPr>
            <w:tcW w:w="926" w:type="dxa"/>
            <w:vAlign w:val="center"/>
          </w:tcPr>
          <w:p w14:paraId="147ECF13">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1AB4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Align w:val="center"/>
          </w:tcPr>
          <w:p w14:paraId="5114A9C5">
            <w:pPr>
              <w:jc w:val="center"/>
              <w:rPr>
                <w:rFonts w:ascii="宋体" w:hAnsi="宋体" w:cs="宋体"/>
                <w:color w:val="auto"/>
                <w:sz w:val="24"/>
                <w:szCs w:val="24"/>
                <w:highlight w:val="none"/>
              </w:rPr>
            </w:pPr>
          </w:p>
        </w:tc>
        <w:tc>
          <w:tcPr>
            <w:tcW w:w="2037" w:type="dxa"/>
            <w:vAlign w:val="center"/>
          </w:tcPr>
          <w:p w14:paraId="31C63CD7">
            <w:pPr>
              <w:jc w:val="center"/>
              <w:rPr>
                <w:rFonts w:ascii="宋体" w:hAnsi="宋体" w:cs="宋体"/>
                <w:color w:val="auto"/>
                <w:sz w:val="24"/>
                <w:szCs w:val="24"/>
                <w:highlight w:val="none"/>
              </w:rPr>
            </w:pPr>
          </w:p>
        </w:tc>
        <w:tc>
          <w:tcPr>
            <w:tcW w:w="698" w:type="dxa"/>
            <w:vAlign w:val="center"/>
          </w:tcPr>
          <w:p w14:paraId="0D7CCD54">
            <w:pPr>
              <w:jc w:val="center"/>
              <w:rPr>
                <w:rFonts w:ascii="宋体" w:hAnsi="宋体" w:cs="宋体"/>
                <w:color w:val="auto"/>
                <w:sz w:val="24"/>
                <w:szCs w:val="24"/>
                <w:highlight w:val="none"/>
              </w:rPr>
            </w:pPr>
          </w:p>
        </w:tc>
        <w:tc>
          <w:tcPr>
            <w:tcW w:w="1448" w:type="dxa"/>
            <w:vAlign w:val="center"/>
          </w:tcPr>
          <w:p w14:paraId="72B2DBF3">
            <w:pPr>
              <w:jc w:val="center"/>
              <w:rPr>
                <w:rFonts w:ascii="宋体" w:hAnsi="宋体" w:cs="宋体"/>
                <w:color w:val="auto"/>
                <w:sz w:val="24"/>
                <w:szCs w:val="24"/>
                <w:highlight w:val="none"/>
              </w:rPr>
            </w:pPr>
          </w:p>
        </w:tc>
        <w:tc>
          <w:tcPr>
            <w:tcW w:w="999" w:type="dxa"/>
            <w:vAlign w:val="center"/>
          </w:tcPr>
          <w:p w14:paraId="3A816189">
            <w:pPr>
              <w:jc w:val="center"/>
              <w:rPr>
                <w:rFonts w:ascii="宋体" w:hAnsi="宋体" w:cs="宋体"/>
                <w:color w:val="auto"/>
                <w:sz w:val="24"/>
                <w:szCs w:val="24"/>
                <w:highlight w:val="none"/>
              </w:rPr>
            </w:pPr>
          </w:p>
        </w:tc>
        <w:tc>
          <w:tcPr>
            <w:tcW w:w="1416" w:type="dxa"/>
            <w:vAlign w:val="center"/>
          </w:tcPr>
          <w:p w14:paraId="52286391">
            <w:pPr>
              <w:jc w:val="center"/>
              <w:rPr>
                <w:rFonts w:ascii="宋体" w:hAnsi="宋体" w:cs="宋体"/>
                <w:color w:val="auto"/>
                <w:sz w:val="24"/>
                <w:szCs w:val="24"/>
                <w:highlight w:val="none"/>
              </w:rPr>
            </w:pPr>
          </w:p>
        </w:tc>
        <w:tc>
          <w:tcPr>
            <w:tcW w:w="926" w:type="dxa"/>
            <w:vAlign w:val="center"/>
          </w:tcPr>
          <w:p w14:paraId="0F2BB619">
            <w:pPr>
              <w:jc w:val="center"/>
              <w:rPr>
                <w:rFonts w:ascii="宋体" w:hAnsi="宋体" w:cs="宋体"/>
                <w:color w:val="auto"/>
                <w:sz w:val="24"/>
                <w:szCs w:val="24"/>
                <w:highlight w:val="none"/>
              </w:rPr>
            </w:pPr>
          </w:p>
        </w:tc>
      </w:tr>
      <w:tr w14:paraId="0FED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Align w:val="center"/>
          </w:tcPr>
          <w:p w14:paraId="67C9DD50">
            <w:pPr>
              <w:jc w:val="center"/>
              <w:rPr>
                <w:rFonts w:ascii="宋体" w:hAnsi="宋体" w:cs="宋体"/>
                <w:color w:val="auto"/>
                <w:sz w:val="24"/>
                <w:szCs w:val="24"/>
                <w:highlight w:val="none"/>
              </w:rPr>
            </w:pPr>
          </w:p>
        </w:tc>
        <w:tc>
          <w:tcPr>
            <w:tcW w:w="2037" w:type="dxa"/>
            <w:vAlign w:val="center"/>
          </w:tcPr>
          <w:p w14:paraId="092EB972">
            <w:pPr>
              <w:jc w:val="center"/>
              <w:rPr>
                <w:rFonts w:ascii="宋体" w:hAnsi="宋体" w:cs="宋体"/>
                <w:color w:val="auto"/>
                <w:sz w:val="24"/>
                <w:szCs w:val="24"/>
                <w:highlight w:val="none"/>
              </w:rPr>
            </w:pPr>
          </w:p>
        </w:tc>
        <w:tc>
          <w:tcPr>
            <w:tcW w:w="698" w:type="dxa"/>
            <w:vAlign w:val="center"/>
          </w:tcPr>
          <w:p w14:paraId="034673FF">
            <w:pPr>
              <w:jc w:val="center"/>
              <w:rPr>
                <w:rFonts w:ascii="宋体" w:hAnsi="宋体" w:cs="宋体"/>
                <w:color w:val="auto"/>
                <w:sz w:val="24"/>
                <w:szCs w:val="24"/>
                <w:highlight w:val="none"/>
              </w:rPr>
            </w:pPr>
          </w:p>
        </w:tc>
        <w:tc>
          <w:tcPr>
            <w:tcW w:w="1448" w:type="dxa"/>
            <w:vAlign w:val="center"/>
          </w:tcPr>
          <w:p w14:paraId="02C59407">
            <w:pPr>
              <w:jc w:val="center"/>
              <w:rPr>
                <w:rFonts w:ascii="宋体" w:hAnsi="宋体" w:cs="宋体"/>
                <w:color w:val="auto"/>
                <w:sz w:val="24"/>
                <w:szCs w:val="24"/>
                <w:highlight w:val="none"/>
              </w:rPr>
            </w:pPr>
          </w:p>
        </w:tc>
        <w:tc>
          <w:tcPr>
            <w:tcW w:w="999" w:type="dxa"/>
            <w:vAlign w:val="center"/>
          </w:tcPr>
          <w:p w14:paraId="0C141D7D">
            <w:pPr>
              <w:jc w:val="center"/>
              <w:rPr>
                <w:rFonts w:ascii="宋体" w:hAnsi="宋体" w:cs="宋体"/>
                <w:color w:val="auto"/>
                <w:sz w:val="24"/>
                <w:szCs w:val="24"/>
                <w:highlight w:val="none"/>
              </w:rPr>
            </w:pPr>
          </w:p>
        </w:tc>
        <w:tc>
          <w:tcPr>
            <w:tcW w:w="1416" w:type="dxa"/>
            <w:vAlign w:val="center"/>
          </w:tcPr>
          <w:p w14:paraId="78F0D001">
            <w:pPr>
              <w:jc w:val="center"/>
              <w:rPr>
                <w:rFonts w:ascii="宋体" w:hAnsi="宋体" w:cs="宋体"/>
                <w:color w:val="auto"/>
                <w:sz w:val="24"/>
                <w:szCs w:val="24"/>
                <w:highlight w:val="none"/>
              </w:rPr>
            </w:pPr>
          </w:p>
        </w:tc>
        <w:tc>
          <w:tcPr>
            <w:tcW w:w="926" w:type="dxa"/>
            <w:vAlign w:val="center"/>
          </w:tcPr>
          <w:p w14:paraId="6B518573">
            <w:pPr>
              <w:jc w:val="center"/>
              <w:rPr>
                <w:rFonts w:ascii="宋体" w:hAnsi="宋体" w:cs="宋体"/>
                <w:color w:val="auto"/>
                <w:sz w:val="24"/>
                <w:szCs w:val="24"/>
                <w:highlight w:val="none"/>
              </w:rPr>
            </w:pPr>
          </w:p>
        </w:tc>
      </w:tr>
      <w:tr w14:paraId="056C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Align w:val="center"/>
          </w:tcPr>
          <w:p w14:paraId="709BD72C">
            <w:pPr>
              <w:jc w:val="center"/>
              <w:rPr>
                <w:rFonts w:ascii="宋体" w:hAnsi="宋体" w:cs="宋体"/>
                <w:color w:val="auto"/>
                <w:sz w:val="24"/>
                <w:szCs w:val="24"/>
                <w:highlight w:val="none"/>
              </w:rPr>
            </w:pPr>
          </w:p>
        </w:tc>
        <w:tc>
          <w:tcPr>
            <w:tcW w:w="2037" w:type="dxa"/>
            <w:vAlign w:val="center"/>
          </w:tcPr>
          <w:p w14:paraId="34040E08">
            <w:pPr>
              <w:jc w:val="center"/>
              <w:rPr>
                <w:rFonts w:ascii="宋体" w:hAnsi="宋体" w:cs="宋体"/>
                <w:color w:val="auto"/>
                <w:sz w:val="24"/>
                <w:szCs w:val="24"/>
                <w:highlight w:val="none"/>
              </w:rPr>
            </w:pPr>
          </w:p>
        </w:tc>
        <w:tc>
          <w:tcPr>
            <w:tcW w:w="698" w:type="dxa"/>
            <w:vAlign w:val="center"/>
          </w:tcPr>
          <w:p w14:paraId="4104567D">
            <w:pPr>
              <w:jc w:val="center"/>
              <w:rPr>
                <w:rFonts w:ascii="宋体" w:hAnsi="宋体" w:cs="宋体"/>
                <w:color w:val="auto"/>
                <w:sz w:val="24"/>
                <w:szCs w:val="24"/>
                <w:highlight w:val="none"/>
              </w:rPr>
            </w:pPr>
          </w:p>
        </w:tc>
        <w:tc>
          <w:tcPr>
            <w:tcW w:w="1448" w:type="dxa"/>
            <w:vAlign w:val="center"/>
          </w:tcPr>
          <w:p w14:paraId="5DA8723F">
            <w:pPr>
              <w:jc w:val="center"/>
              <w:rPr>
                <w:rFonts w:ascii="宋体" w:hAnsi="宋体" w:cs="宋体"/>
                <w:color w:val="auto"/>
                <w:sz w:val="24"/>
                <w:szCs w:val="24"/>
                <w:highlight w:val="none"/>
              </w:rPr>
            </w:pPr>
          </w:p>
        </w:tc>
        <w:tc>
          <w:tcPr>
            <w:tcW w:w="999" w:type="dxa"/>
            <w:vAlign w:val="center"/>
          </w:tcPr>
          <w:p w14:paraId="61C7A360">
            <w:pPr>
              <w:jc w:val="center"/>
              <w:rPr>
                <w:rFonts w:ascii="宋体" w:hAnsi="宋体" w:cs="宋体"/>
                <w:color w:val="auto"/>
                <w:sz w:val="24"/>
                <w:szCs w:val="24"/>
                <w:highlight w:val="none"/>
              </w:rPr>
            </w:pPr>
          </w:p>
        </w:tc>
        <w:tc>
          <w:tcPr>
            <w:tcW w:w="1416" w:type="dxa"/>
            <w:vAlign w:val="center"/>
          </w:tcPr>
          <w:p w14:paraId="5CE25C49">
            <w:pPr>
              <w:jc w:val="center"/>
              <w:rPr>
                <w:rFonts w:ascii="宋体" w:hAnsi="宋体" w:cs="宋体"/>
                <w:color w:val="auto"/>
                <w:sz w:val="24"/>
                <w:szCs w:val="24"/>
                <w:highlight w:val="none"/>
              </w:rPr>
            </w:pPr>
          </w:p>
        </w:tc>
        <w:tc>
          <w:tcPr>
            <w:tcW w:w="926" w:type="dxa"/>
            <w:vAlign w:val="center"/>
          </w:tcPr>
          <w:p w14:paraId="7B3ECEC8">
            <w:pPr>
              <w:jc w:val="center"/>
              <w:rPr>
                <w:rFonts w:ascii="宋体" w:hAnsi="宋体" w:cs="宋体"/>
                <w:color w:val="auto"/>
                <w:sz w:val="24"/>
                <w:szCs w:val="24"/>
                <w:highlight w:val="none"/>
              </w:rPr>
            </w:pPr>
          </w:p>
        </w:tc>
      </w:tr>
      <w:tr w14:paraId="0AEC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Align w:val="center"/>
          </w:tcPr>
          <w:p w14:paraId="3A0CD819">
            <w:pPr>
              <w:jc w:val="center"/>
              <w:rPr>
                <w:rFonts w:ascii="宋体" w:hAnsi="宋体" w:cs="宋体"/>
                <w:color w:val="auto"/>
                <w:sz w:val="24"/>
                <w:szCs w:val="24"/>
                <w:highlight w:val="none"/>
              </w:rPr>
            </w:pPr>
          </w:p>
        </w:tc>
        <w:tc>
          <w:tcPr>
            <w:tcW w:w="2037" w:type="dxa"/>
            <w:vAlign w:val="center"/>
          </w:tcPr>
          <w:p w14:paraId="2718EBF8">
            <w:pPr>
              <w:jc w:val="center"/>
              <w:rPr>
                <w:rFonts w:ascii="宋体" w:hAnsi="宋体" w:cs="宋体"/>
                <w:color w:val="auto"/>
                <w:sz w:val="24"/>
                <w:szCs w:val="24"/>
                <w:highlight w:val="none"/>
              </w:rPr>
            </w:pPr>
          </w:p>
        </w:tc>
        <w:tc>
          <w:tcPr>
            <w:tcW w:w="698" w:type="dxa"/>
            <w:vAlign w:val="center"/>
          </w:tcPr>
          <w:p w14:paraId="5FA01791">
            <w:pPr>
              <w:jc w:val="center"/>
              <w:rPr>
                <w:rFonts w:ascii="宋体" w:hAnsi="宋体" w:cs="宋体"/>
                <w:color w:val="auto"/>
                <w:sz w:val="24"/>
                <w:szCs w:val="24"/>
                <w:highlight w:val="none"/>
              </w:rPr>
            </w:pPr>
          </w:p>
        </w:tc>
        <w:tc>
          <w:tcPr>
            <w:tcW w:w="1448" w:type="dxa"/>
            <w:vAlign w:val="center"/>
          </w:tcPr>
          <w:p w14:paraId="7ADC5012">
            <w:pPr>
              <w:jc w:val="center"/>
              <w:rPr>
                <w:rFonts w:ascii="宋体" w:hAnsi="宋体" w:cs="宋体"/>
                <w:color w:val="auto"/>
                <w:sz w:val="24"/>
                <w:szCs w:val="24"/>
                <w:highlight w:val="none"/>
              </w:rPr>
            </w:pPr>
          </w:p>
        </w:tc>
        <w:tc>
          <w:tcPr>
            <w:tcW w:w="999" w:type="dxa"/>
            <w:vAlign w:val="center"/>
          </w:tcPr>
          <w:p w14:paraId="6DA3DEA8">
            <w:pPr>
              <w:jc w:val="center"/>
              <w:rPr>
                <w:rFonts w:ascii="宋体" w:hAnsi="宋体" w:cs="宋体"/>
                <w:color w:val="auto"/>
                <w:sz w:val="24"/>
                <w:szCs w:val="24"/>
                <w:highlight w:val="none"/>
              </w:rPr>
            </w:pPr>
          </w:p>
        </w:tc>
        <w:tc>
          <w:tcPr>
            <w:tcW w:w="1416" w:type="dxa"/>
            <w:vAlign w:val="center"/>
          </w:tcPr>
          <w:p w14:paraId="03C5B1EB">
            <w:pPr>
              <w:jc w:val="center"/>
              <w:rPr>
                <w:rFonts w:ascii="宋体" w:hAnsi="宋体" w:cs="宋体"/>
                <w:color w:val="auto"/>
                <w:sz w:val="24"/>
                <w:szCs w:val="24"/>
                <w:highlight w:val="none"/>
              </w:rPr>
            </w:pPr>
          </w:p>
        </w:tc>
        <w:tc>
          <w:tcPr>
            <w:tcW w:w="926" w:type="dxa"/>
            <w:vAlign w:val="center"/>
          </w:tcPr>
          <w:p w14:paraId="0ABD2ECF">
            <w:pPr>
              <w:jc w:val="center"/>
              <w:rPr>
                <w:rFonts w:ascii="宋体" w:hAnsi="宋体" w:cs="宋体"/>
                <w:color w:val="auto"/>
                <w:sz w:val="24"/>
                <w:szCs w:val="24"/>
                <w:highlight w:val="none"/>
              </w:rPr>
            </w:pPr>
          </w:p>
        </w:tc>
      </w:tr>
      <w:tr w14:paraId="2B89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Align w:val="center"/>
          </w:tcPr>
          <w:p w14:paraId="702F56C2">
            <w:pPr>
              <w:jc w:val="center"/>
              <w:rPr>
                <w:rFonts w:ascii="宋体" w:hAnsi="宋体" w:cs="宋体"/>
                <w:color w:val="auto"/>
                <w:sz w:val="24"/>
                <w:szCs w:val="24"/>
                <w:highlight w:val="none"/>
              </w:rPr>
            </w:pPr>
          </w:p>
        </w:tc>
        <w:tc>
          <w:tcPr>
            <w:tcW w:w="2037" w:type="dxa"/>
            <w:vAlign w:val="center"/>
          </w:tcPr>
          <w:p w14:paraId="4FD301C2">
            <w:pPr>
              <w:jc w:val="center"/>
              <w:rPr>
                <w:rFonts w:ascii="宋体" w:hAnsi="宋体" w:cs="宋体"/>
                <w:color w:val="auto"/>
                <w:sz w:val="24"/>
                <w:szCs w:val="24"/>
                <w:highlight w:val="none"/>
              </w:rPr>
            </w:pPr>
          </w:p>
        </w:tc>
        <w:tc>
          <w:tcPr>
            <w:tcW w:w="698" w:type="dxa"/>
            <w:vAlign w:val="center"/>
          </w:tcPr>
          <w:p w14:paraId="6E96C21A">
            <w:pPr>
              <w:jc w:val="center"/>
              <w:rPr>
                <w:rFonts w:ascii="宋体" w:hAnsi="宋体" w:cs="宋体"/>
                <w:color w:val="auto"/>
                <w:sz w:val="24"/>
                <w:szCs w:val="24"/>
                <w:highlight w:val="none"/>
              </w:rPr>
            </w:pPr>
          </w:p>
        </w:tc>
        <w:tc>
          <w:tcPr>
            <w:tcW w:w="1448" w:type="dxa"/>
            <w:vAlign w:val="center"/>
          </w:tcPr>
          <w:p w14:paraId="386A8460">
            <w:pPr>
              <w:jc w:val="center"/>
              <w:rPr>
                <w:rFonts w:ascii="宋体" w:hAnsi="宋体" w:cs="宋体"/>
                <w:color w:val="auto"/>
                <w:sz w:val="24"/>
                <w:szCs w:val="24"/>
                <w:highlight w:val="none"/>
              </w:rPr>
            </w:pPr>
          </w:p>
        </w:tc>
        <w:tc>
          <w:tcPr>
            <w:tcW w:w="999" w:type="dxa"/>
            <w:vAlign w:val="center"/>
          </w:tcPr>
          <w:p w14:paraId="3E321F52">
            <w:pPr>
              <w:jc w:val="center"/>
              <w:rPr>
                <w:rFonts w:ascii="宋体" w:hAnsi="宋体" w:cs="宋体"/>
                <w:color w:val="auto"/>
                <w:sz w:val="24"/>
                <w:szCs w:val="24"/>
                <w:highlight w:val="none"/>
              </w:rPr>
            </w:pPr>
          </w:p>
        </w:tc>
        <w:tc>
          <w:tcPr>
            <w:tcW w:w="1416" w:type="dxa"/>
            <w:vAlign w:val="center"/>
          </w:tcPr>
          <w:p w14:paraId="42CAF68E">
            <w:pPr>
              <w:jc w:val="center"/>
              <w:rPr>
                <w:rFonts w:ascii="宋体" w:hAnsi="宋体" w:cs="宋体"/>
                <w:color w:val="auto"/>
                <w:sz w:val="24"/>
                <w:szCs w:val="24"/>
                <w:highlight w:val="none"/>
              </w:rPr>
            </w:pPr>
          </w:p>
        </w:tc>
        <w:tc>
          <w:tcPr>
            <w:tcW w:w="926" w:type="dxa"/>
            <w:vAlign w:val="center"/>
          </w:tcPr>
          <w:p w14:paraId="733A77F4">
            <w:pPr>
              <w:jc w:val="center"/>
              <w:rPr>
                <w:rFonts w:ascii="宋体" w:hAnsi="宋体" w:cs="宋体"/>
                <w:color w:val="auto"/>
                <w:sz w:val="24"/>
                <w:szCs w:val="24"/>
                <w:highlight w:val="none"/>
              </w:rPr>
            </w:pPr>
          </w:p>
        </w:tc>
      </w:tr>
      <w:tr w14:paraId="214C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Align w:val="center"/>
          </w:tcPr>
          <w:p w14:paraId="1893E4D7">
            <w:pPr>
              <w:jc w:val="center"/>
              <w:rPr>
                <w:rFonts w:ascii="宋体" w:hAnsi="宋体" w:cs="宋体"/>
                <w:color w:val="auto"/>
                <w:sz w:val="24"/>
                <w:szCs w:val="24"/>
                <w:highlight w:val="none"/>
              </w:rPr>
            </w:pPr>
          </w:p>
        </w:tc>
        <w:tc>
          <w:tcPr>
            <w:tcW w:w="2037" w:type="dxa"/>
            <w:vAlign w:val="center"/>
          </w:tcPr>
          <w:p w14:paraId="4008E26C">
            <w:pPr>
              <w:jc w:val="center"/>
              <w:rPr>
                <w:rFonts w:ascii="宋体" w:hAnsi="宋体" w:cs="宋体"/>
                <w:color w:val="auto"/>
                <w:sz w:val="24"/>
                <w:szCs w:val="24"/>
                <w:highlight w:val="none"/>
              </w:rPr>
            </w:pPr>
          </w:p>
        </w:tc>
        <w:tc>
          <w:tcPr>
            <w:tcW w:w="698" w:type="dxa"/>
            <w:vAlign w:val="center"/>
          </w:tcPr>
          <w:p w14:paraId="525A6136">
            <w:pPr>
              <w:jc w:val="center"/>
              <w:rPr>
                <w:rFonts w:ascii="宋体" w:hAnsi="宋体" w:cs="宋体"/>
                <w:color w:val="auto"/>
                <w:sz w:val="24"/>
                <w:szCs w:val="24"/>
                <w:highlight w:val="none"/>
              </w:rPr>
            </w:pPr>
          </w:p>
        </w:tc>
        <w:tc>
          <w:tcPr>
            <w:tcW w:w="1448" w:type="dxa"/>
            <w:vAlign w:val="center"/>
          </w:tcPr>
          <w:p w14:paraId="14098B65">
            <w:pPr>
              <w:jc w:val="center"/>
              <w:rPr>
                <w:rFonts w:ascii="宋体" w:hAnsi="宋体" w:cs="宋体"/>
                <w:color w:val="auto"/>
                <w:sz w:val="24"/>
                <w:szCs w:val="24"/>
                <w:highlight w:val="none"/>
              </w:rPr>
            </w:pPr>
          </w:p>
        </w:tc>
        <w:tc>
          <w:tcPr>
            <w:tcW w:w="999" w:type="dxa"/>
            <w:vAlign w:val="center"/>
          </w:tcPr>
          <w:p w14:paraId="35B463ED">
            <w:pPr>
              <w:jc w:val="center"/>
              <w:rPr>
                <w:rFonts w:ascii="宋体" w:hAnsi="宋体" w:cs="宋体"/>
                <w:color w:val="auto"/>
                <w:sz w:val="24"/>
                <w:szCs w:val="24"/>
                <w:highlight w:val="none"/>
              </w:rPr>
            </w:pPr>
          </w:p>
        </w:tc>
        <w:tc>
          <w:tcPr>
            <w:tcW w:w="1416" w:type="dxa"/>
            <w:vAlign w:val="center"/>
          </w:tcPr>
          <w:p w14:paraId="47EFF691">
            <w:pPr>
              <w:jc w:val="center"/>
              <w:rPr>
                <w:rFonts w:ascii="宋体" w:hAnsi="宋体" w:cs="宋体"/>
                <w:color w:val="auto"/>
                <w:sz w:val="24"/>
                <w:szCs w:val="24"/>
                <w:highlight w:val="none"/>
              </w:rPr>
            </w:pPr>
          </w:p>
        </w:tc>
        <w:tc>
          <w:tcPr>
            <w:tcW w:w="926" w:type="dxa"/>
            <w:vAlign w:val="center"/>
          </w:tcPr>
          <w:p w14:paraId="5A0DFAE0">
            <w:pPr>
              <w:jc w:val="center"/>
              <w:rPr>
                <w:rFonts w:ascii="宋体" w:hAnsi="宋体" w:cs="宋体"/>
                <w:color w:val="auto"/>
                <w:sz w:val="24"/>
                <w:szCs w:val="24"/>
                <w:highlight w:val="none"/>
              </w:rPr>
            </w:pPr>
          </w:p>
        </w:tc>
      </w:tr>
      <w:tr w14:paraId="74CA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Align w:val="center"/>
          </w:tcPr>
          <w:p w14:paraId="77073143">
            <w:pPr>
              <w:jc w:val="center"/>
              <w:rPr>
                <w:rFonts w:ascii="宋体" w:hAnsi="宋体" w:cs="宋体"/>
                <w:color w:val="auto"/>
                <w:sz w:val="24"/>
                <w:szCs w:val="24"/>
                <w:highlight w:val="none"/>
              </w:rPr>
            </w:pPr>
          </w:p>
        </w:tc>
        <w:tc>
          <w:tcPr>
            <w:tcW w:w="2037" w:type="dxa"/>
            <w:vAlign w:val="center"/>
          </w:tcPr>
          <w:p w14:paraId="1208DA21">
            <w:pPr>
              <w:jc w:val="center"/>
              <w:rPr>
                <w:rFonts w:ascii="宋体" w:hAnsi="宋体" w:cs="宋体"/>
                <w:color w:val="auto"/>
                <w:sz w:val="24"/>
                <w:szCs w:val="24"/>
                <w:highlight w:val="none"/>
              </w:rPr>
            </w:pPr>
          </w:p>
        </w:tc>
        <w:tc>
          <w:tcPr>
            <w:tcW w:w="698" w:type="dxa"/>
            <w:vAlign w:val="center"/>
          </w:tcPr>
          <w:p w14:paraId="599F3997">
            <w:pPr>
              <w:jc w:val="center"/>
              <w:rPr>
                <w:rFonts w:ascii="宋体" w:hAnsi="宋体" w:cs="宋体"/>
                <w:color w:val="auto"/>
                <w:sz w:val="24"/>
                <w:szCs w:val="24"/>
                <w:highlight w:val="none"/>
              </w:rPr>
            </w:pPr>
          </w:p>
        </w:tc>
        <w:tc>
          <w:tcPr>
            <w:tcW w:w="1448" w:type="dxa"/>
            <w:vAlign w:val="center"/>
          </w:tcPr>
          <w:p w14:paraId="11860C15">
            <w:pPr>
              <w:jc w:val="center"/>
              <w:rPr>
                <w:rFonts w:ascii="宋体" w:hAnsi="宋体" w:cs="宋体"/>
                <w:color w:val="auto"/>
                <w:sz w:val="24"/>
                <w:szCs w:val="24"/>
                <w:highlight w:val="none"/>
              </w:rPr>
            </w:pPr>
          </w:p>
        </w:tc>
        <w:tc>
          <w:tcPr>
            <w:tcW w:w="999" w:type="dxa"/>
            <w:vAlign w:val="center"/>
          </w:tcPr>
          <w:p w14:paraId="520F1EFF">
            <w:pPr>
              <w:jc w:val="center"/>
              <w:rPr>
                <w:rFonts w:ascii="宋体" w:hAnsi="宋体" w:cs="宋体"/>
                <w:color w:val="auto"/>
                <w:sz w:val="24"/>
                <w:szCs w:val="24"/>
                <w:highlight w:val="none"/>
              </w:rPr>
            </w:pPr>
          </w:p>
        </w:tc>
        <w:tc>
          <w:tcPr>
            <w:tcW w:w="1416" w:type="dxa"/>
            <w:vAlign w:val="center"/>
          </w:tcPr>
          <w:p w14:paraId="1B984F9D">
            <w:pPr>
              <w:jc w:val="center"/>
              <w:rPr>
                <w:rFonts w:ascii="宋体" w:hAnsi="宋体" w:cs="宋体"/>
                <w:color w:val="auto"/>
                <w:sz w:val="24"/>
                <w:szCs w:val="24"/>
                <w:highlight w:val="none"/>
              </w:rPr>
            </w:pPr>
          </w:p>
        </w:tc>
        <w:tc>
          <w:tcPr>
            <w:tcW w:w="926" w:type="dxa"/>
            <w:vAlign w:val="center"/>
          </w:tcPr>
          <w:p w14:paraId="55C135B7">
            <w:pPr>
              <w:jc w:val="center"/>
              <w:rPr>
                <w:rFonts w:ascii="宋体" w:hAnsi="宋体" w:cs="宋体"/>
                <w:color w:val="auto"/>
                <w:sz w:val="24"/>
                <w:szCs w:val="24"/>
                <w:highlight w:val="none"/>
              </w:rPr>
            </w:pPr>
          </w:p>
        </w:tc>
      </w:tr>
      <w:tr w14:paraId="01ED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Align w:val="center"/>
          </w:tcPr>
          <w:p w14:paraId="4BE0C533">
            <w:pPr>
              <w:jc w:val="center"/>
              <w:rPr>
                <w:rFonts w:ascii="宋体" w:hAnsi="宋体" w:cs="宋体"/>
                <w:color w:val="auto"/>
                <w:sz w:val="24"/>
                <w:szCs w:val="24"/>
                <w:highlight w:val="none"/>
              </w:rPr>
            </w:pPr>
          </w:p>
        </w:tc>
        <w:tc>
          <w:tcPr>
            <w:tcW w:w="2037" w:type="dxa"/>
            <w:vAlign w:val="center"/>
          </w:tcPr>
          <w:p w14:paraId="5276F507">
            <w:pPr>
              <w:jc w:val="center"/>
              <w:rPr>
                <w:rFonts w:ascii="宋体" w:hAnsi="宋体" w:cs="宋体"/>
                <w:color w:val="auto"/>
                <w:sz w:val="24"/>
                <w:szCs w:val="24"/>
                <w:highlight w:val="none"/>
              </w:rPr>
            </w:pPr>
          </w:p>
        </w:tc>
        <w:tc>
          <w:tcPr>
            <w:tcW w:w="698" w:type="dxa"/>
            <w:vAlign w:val="center"/>
          </w:tcPr>
          <w:p w14:paraId="7D27AD9B">
            <w:pPr>
              <w:jc w:val="center"/>
              <w:rPr>
                <w:rFonts w:ascii="宋体" w:hAnsi="宋体" w:cs="宋体"/>
                <w:color w:val="auto"/>
                <w:sz w:val="24"/>
                <w:szCs w:val="24"/>
                <w:highlight w:val="none"/>
              </w:rPr>
            </w:pPr>
          </w:p>
        </w:tc>
        <w:tc>
          <w:tcPr>
            <w:tcW w:w="1448" w:type="dxa"/>
            <w:vAlign w:val="center"/>
          </w:tcPr>
          <w:p w14:paraId="20127EF4">
            <w:pPr>
              <w:jc w:val="center"/>
              <w:rPr>
                <w:rFonts w:ascii="宋体" w:hAnsi="宋体" w:cs="宋体"/>
                <w:color w:val="auto"/>
                <w:sz w:val="24"/>
                <w:szCs w:val="24"/>
                <w:highlight w:val="none"/>
              </w:rPr>
            </w:pPr>
          </w:p>
        </w:tc>
        <w:tc>
          <w:tcPr>
            <w:tcW w:w="999" w:type="dxa"/>
            <w:vAlign w:val="center"/>
          </w:tcPr>
          <w:p w14:paraId="47B5492B">
            <w:pPr>
              <w:jc w:val="center"/>
              <w:rPr>
                <w:rFonts w:ascii="宋体" w:hAnsi="宋体" w:cs="宋体"/>
                <w:color w:val="auto"/>
                <w:sz w:val="24"/>
                <w:szCs w:val="24"/>
                <w:highlight w:val="none"/>
              </w:rPr>
            </w:pPr>
          </w:p>
        </w:tc>
        <w:tc>
          <w:tcPr>
            <w:tcW w:w="1416" w:type="dxa"/>
            <w:vAlign w:val="center"/>
          </w:tcPr>
          <w:p w14:paraId="35E0DC14">
            <w:pPr>
              <w:jc w:val="center"/>
              <w:rPr>
                <w:rFonts w:ascii="宋体" w:hAnsi="宋体" w:cs="宋体"/>
                <w:color w:val="auto"/>
                <w:sz w:val="24"/>
                <w:szCs w:val="24"/>
                <w:highlight w:val="none"/>
              </w:rPr>
            </w:pPr>
          </w:p>
        </w:tc>
        <w:tc>
          <w:tcPr>
            <w:tcW w:w="926" w:type="dxa"/>
            <w:vAlign w:val="center"/>
          </w:tcPr>
          <w:p w14:paraId="7F25C6E3">
            <w:pPr>
              <w:jc w:val="center"/>
              <w:rPr>
                <w:rFonts w:ascii="宋体" w:hAnsi="宋体" w:cs="宋体"/>
                <w:color w:val="auto"/>
                <w:sz w:val="24"/>
                <w:szCs w:val="24"/>
                <w:highlight w:val="none"/>
              </w:rPr>
            </w:pPr>
          </w:p>
        </w:tc>
      </w:tr>
      <w:tr w14:paraId="7884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Align w:val="center"/>
          </w:tcPr>
          <w:p w14:paraId="64BD0AF7">
            <w:pPr>
              <w:jc w:val="center"/>
              <w:rPr>
                <w:rFonts w:ascii="宋体" w:hAnsi="宋体" w:cs="宋体"/>
                <w:color w:val="auto"/>
                <w:sz w:val="24"/>
                <w:szCs w:val="24"/>
                <w:highlight w:val="none"/>
              </w:rPr>
            </w:pPr>
          </w:p>
        </w:tc>
        <w:tc>
          <w:tcPr>
            <w:tcW w:w="2037" w:type="dxa"/>
            <w:vAlign w:val="center"/>
          </w:tcPr>
          <w:p w14:paraId="1F26A912">
            <w:pPr>
              <w:jc w:val="center"/>
              <w:rPr>
                <w:rFonts w:ascii="宋体" w:hAnsi="宋体" w:cs="宋体"/>
                <w:color w:val="auto"/>
                <w:sz w:val="24"/>
                <w:szCs w:val="24"/>
                <w:highlight w:val="none"/>
              </w:rPr>
            </w:pPr>
          </w:p>
        </w:tc>
        <w:tc>
          <w:tcPr>
            <w:tcW w:w="698" w:type="dxa"/>
            <w:vAlign w:val="center"/>
          </w:tcPr>
          <w:p w14:paraId="01A6659C">
            <w:pPr>
              <w:jc w:val="center"/>
              <w:rPr>
                <w:rFonts w:ascii="宋体" w:hAnsi="宋体" w:cs="宋体"/>
                <w:color w:val="auto"/>
                <w:sz w:val="24"/>
                <w:szCs w:val="24"/>
                <w:highlight w:val="none"/>
              </w:rPr>
            </w:pPr>
          </w:p>
        </w:tc>
        <w:tc>
          <w:tcPr>
            <w:tcW w:w="1448" w:type="dxa"/>
            <w:vAlign w:val="center"/>
          </w:tcPr>
          <w:p w14:paraId="1A39A467">
            <w:pPr>
              <w:jc w:val="center"/>
              <w:rPr>
                <w:rFonts w:ascii="宋体" w:hAnsi="宋体" w:cs="宋体"/>
                <w:color w:val="auto"/>
                <w:sz w:val="24"/>
                <w:szCs w:val="24"/>
                <w:highlight w:val="none"/>
              </w:rPr>
            </w:pPr>
          </w:p>
        </w:tc>
        <w:tc>
          <w:tcPr>
            <w:tcW w:w="999" w:type="dxa"/>
            <w:vAlign w:val="center"/>
          </w:tcPr>
          <w:p w14:paraId="285737A1">
            <w:pPr>
              <w:jc w:val="center"/>
              <w:rPr>
                <w:rFonts w:ascii="宋体" w:hAnsi="宋体" w:cs="宋体"/>
                <w:color w:val="auto"/>
                <w:sz w:val="24"/>
                <w:szCs w:val="24"/>
                <w:highlight w:val="none"/>
              </w:rPr>
            </w:pPr>
          </w:p>
        </w:tc>
        <w:tc>
          <w:tcPr>
            <w:tcW w:w="1416" w:type="dxa"/>
            <w:vAlign w:val="center"/>
          </w:tcPr>
          <w:p w14:paraId="39E3328E">
            <w:pPr>
              <w:jc w:val="center"/>
              <w:rPr>
                <w:rFonts w:ascii="宋体" w:hAnsi="宋体" w:cs="宋体"/>
                <w:color w:val="auto"/>
                <w:sz w:val="24"/>
                <w:szCs w:val="24"/>
                <w:highlight w:val="none"/>
              </w:rPr>
            </w:pPr>
          </w:p>
        </w:tc>
        <w:tc>
          <w:tcPr>
            <w:tcW w:w="926" w:type="dxa"/>
            <w:vAlign w:val="center"/>
          </w:tcPr>
          <w:p w14:paraId="4185585A">
            <w:pPr>
              <w:jc w:val="center"/>
              <w:rPr>
                <w:rFonts w:ascii="宋体" w:hAnsi="宋体" w:cs="宋体"/>
                <w:color w:val="auto"/>
                <w:sz w:val="24"/>
                <w:szCs w:val="24"/>
                <w:highlight w:val="none"/>
              </w:rPr>
            </w:pPr>
          </w:p>
        </w:tc>
      </w:tr>
    </w:tbl>
    <w:p w14:paraId="6E6116B0">
      <w:pPr>
        <w:spacing w:line="48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备注：后附符合本文件要求的相关证明材料，具体详见评审办法。</w:t>
      </w:r>
    </w:p>
    <w:p w14:paraId="3BF66836">
      <w:pPr>
        <w:rPr>
          <w:color w:val="auto"/>
          <w:highlight w:val="none"/>
        </w:rPr>
      </w:pPr>
    </w:p>
    <w:bookmarkEnd w:id="526"/>
    <w:bookmarkEnd w:id="527"/>
    <w:bookmarkEnd w:id="528"/>
    <w:bookmarkEnd w:id="529"/>
    <w:bookmarkEnd w:id="530"/>
    <w:bookmarkEnd w:id="531"/>
    <w:bookmarkEnd w:id="532"/>
    <w:bookmarkEnd w:id="533"/>
    <w:bookmarkEnd w:id="534"/>
    <w:bookmarkEnd w:id="535"/>
    <w:bookmarkEnd w:id="587"/>
    <w:bookmarkEnd w:id="588"/>
    <w:bookmarkEnd w:id="603"/>
    <w:bookmarkEnd w:id="604"/>
    <w:bookmarkEnd w:id="605"/>
    <w:bookmarkEnd w:id="635"/>
    <w:bookmarkEnd w:id="636"/>
    <w:bookmarkEnd w:id="637"/>
    <w:bookmarkEnd w:id="638"/>
    <w:p w14:paraId="2F167D5D">
      <w:pPr>
        <w:rPr>
          <w:color w:val="auto"/>
          <w:highlight w:val="none"/>
        </w:rPr>
      </w:pPr>
    </w:p>
    <w:p w14:paraId="79193CB9">
      <w:pPr>
        <w:adjustRightInd w:val="0"/>
        <w:snapToGrid w:val="0"/>
        <w:spacing w:line="480"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1F5738B7">
      <w:pPr>
        <w:adjustRightInd w:val="0"/>
        <w:snapToGrid w:val="0"/>
        <w:spacing w:line="480" w:lineRule="auto"/>
        <w:ind w:right="480"/>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2539DF22">
      <w:pPr>
        <w:adjustRightInd w:val="0"/>
        <w:snapToGrid w:val="0"/>
        <w:spacing w:line="480" w:lineRule="auto"/>
        <w:ind w:right="420"/>
        <w:jc w:val="righ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219AD53">
      <w:pPr>
        <w:rPr>
          <w:rFonts w:ascii="宋体" w:hAnsi="宋体" w:cs="宋体"/>
          <w:color w:val="auto"/>
          <w:sz w:val="24"/>
          <w:szCs w:val="32"/>
          <w:highlight w:val="none"/>
        </w:rPr>
      </w:pPr>
      <w:r>
        <w:rPr>
          <w:rFonts w:hint="eastAsia" w:ascii="宋体" w:hAnsi="宋体" w:cs="宋体"/>
          <w:color w:val="auto"/>
          <w:sz w:val="24"/>
          <w:szCs w:val="32"/>
          <w:highlight w:val="none"/>
        </w:rPr>
        <w:br w:type="page"/>
      </w:r>
    </w:p>
    <w:p w14:paraId="4FB2B740">
      <w:pPr>
        <w:pStyle w:val="3"/>
        <w:rPr>
          <w:color w:val="auto"/>
          <w:highlight w:val="none"/>
        </w:rPr>
      </w:pPr>
      <w:bookmarkStart w:id="639" w:name="_Toc8083"/>
      <w:r>
        <w:rPr>
          <w:rFonts w:hint="eastAsia"/>
          <w:color w:val="auto"/>
          <w:highlight w:val="none"/>
        </w:rPr>
        <w:t>十二、供应商认为应该提交的其它资料</w:t>
      </w:r>
      <w:bookmarkEnd w:id="639"/>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3A1D5A-716F-43A1-90CE-8130209E9E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E0EE9916-1A19-4AA3-B2C3-2DC682F64E4E}"/>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8E31">
    <w:pPr>
      <w:pStyle w:val="28"/>
      <w:tabs>
        <w:tab w:val="center" w:pos="4365"/>
        <w:tab w:val="clear" w:pos="4153"/>
      </w:tabs>
      <w:ind w:right="360"/>
    </w:pP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3B41E">
    <w:pPr>
      <w:pStyle w:val="28"/>
      <w:framePr w:wrap="around" w:vAnchor="text" w:hAnchor="margin" w:xAlign="center" w:y="1"/>
      <w:rPr>
        <w:rStyle w:val="43"/>
      </w:rPr>
    </w:pPr>
    <w:r>
      <w:fldChar w:fldCharType="begin"/>
    </w:r>
    <w:r>
      <w:rPr>
        <w:rStyle w:val="43"/>
      </w:rPr>
      <w:instrText xml:space="preserve">PAGE  </w:instrText>
    </w:r>
    <w:r>
      <w:fldChar w:fldCharType="end"/>
    </w:r>
  </w:p>
  <w:p w14:paraId="055413DB">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6881">
    <w:pPr>
      <w:pStyle w:val="2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189E02">
                          <w:pPr>
                            <w:pStyle w:val="28"/>
                          </w:pPr>
                          <w:r>
                            <w:t xml:space="preserve">第 </w:t>
                          </w:r>
                          <w:r>
                            <w:fldChar w:fldCharType="begin"/>
                          </w:r>
                          <w:r>
                            <w:instrText xml:space="preserve"> PAGE  \* MERGEFORMAT </w:instrText>
                          </w:r>
                          <w:r>
                            <w:fldChar w:fldCharType="separate"/>
                          </w:r>
                          <w:r>
                            <w:t>90</w:t>
                          </w:r>
                          <w:r>
                            <w:fldChar w:fldCharType="end"/>
                          </w:r>
                          <w:r>
                            <w:t xml:space="preserve"> 页</w:t>
                          </w:r>
                        </w:p>
                      </w:txbxContent>
                    </wps:txbx>
                    <wps:bodyPr vert="horz" wrap="none" lIns="0" tIns="0" rIns="0" bIns="0" anchor="t" anchorCtr="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CHgFJNkBAAC0AwAADgAAAAAAAAABACAA&#10;AAAeAQAAZHJzL2Uyb0RvYy54bWxQSwUGAAAAAAYABgBZAQAAaQUAAAAA&#10;">
              <v:fill on="f" focussize="0,0"/>
              <v:stroke on="f"/>
              <v:imagedata o:title=""/>
              <o:lock v:ext="edit" aspectratio="f"/>
              <v:textbox inset="0mm,0mm,0mm,0mm" style="mso-fit-shape-to-text:t;">
                <w:txbxContent>
                  <w:p w14:paraId="14189E02">
                    <w:pPr>
                      <w:pStyle w:val="28"/>
                    </w:pPr>
                    <w:r>
                      <w:t xml:space="preserve">第 </w:t>
                    </w:r>
                    <w:r>
                      <w:fldChar w:fldCharType="begin"/>
                    </w:r>
                    <w:r>
                      <w:instrText xml:space="preserve"> PAGE  \* MERGEFORMAT </w:instrText>
                    </w:r>
                    <w:r>
                      <w:fldChar w:fldCharType="separate"/>
                    </w:r>
                    <w:r>
                      <w:t>90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986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6484">
    <w:pPr>
      <w:pStyle w:val="28"/>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25C59">
    <w:pPr>
      <w:spacing w:line="300" w:lineRule="exact"/>
    </w:pPr>
    <w:r>
      <mc:AlternateContent>
        <mc:Choice Requires="wps">
          <w:drawing>
            <wp:anchor distT="0" distB="0" distL="114300" distR="114300" simplePos="0" relativeHeight="251661312" behindDoc="0" locked="0" layoutInCell="1" allowOverlap="1">
              <wp:simplePos x="0" y="0"/>
              <wp:positionH relativeFrom="margin">
                <wp:posOffset>2408555</wp:posOffset>
              </wp:positionH>
              <wp:positionV relativeFrom="paragraph">
                <wp:posOffset>-6985</wp:posOffset>
              </wp:positionV>
              <wp:extent cx="586105" cy="159385"/>
              <wp:effectExtent l="0" t="0" r="0" b="0"/>
              <wp:wrapNone/>
              <wp:docPr id="4" name="文本框 122"/>
              <wp:cNvGraphicFramePr/>
              <a:graphic xmlns:a="http://schemas.openxmlformats.org/drawingml/2006/main">
                <a:graphicData uri="http://schemas.microsoft.com/office/word/2010/wordprocessingShape">
                  <wps:wsp>
                    <wps:cNvSpPr txBox="1"/>
                    <wps:spPr>
                      <a:xfrm>
                        <a:off x="0" y="0"/>
                        <a:ext cx="586105" cy="159385"/>
                      </a:xfrm>
                      <a:prstGeom prst="rect">
                        <a:avLst/>
                      </a:prstGeom>
                      <a:noFill/>
                      <a:ln>
                        <a:noFill/>
                      </a:ln>
                    </wps:spPr>
                    <wps:txbx>
                      <w:txbxContent>
                        <w:p w14:paraId="6643915B">
                          <w:pPr>
                            <w:pStyle w:val="28"/>
                            <w:rPr>
                              <w:rFonts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w:t>
                          </w:r>
                          <w:r>
                            <w:rPr>
                              <w:rFonts w:hint="eastAsia" w:ascii="宋体" w:hAnsi="宋体" w:cs="宋体"/>
                            </w:rPr>
                            <w:fldChar w:fldCharType="end"/>
                          </w:r>
                          <w:r>
                            <w:rPr>
                              <w:rFonts w:hint="eastAsia" w:ascii="宋体" w:hAnsi="宋体" w:cs="宋体"/>
                            </w:rPr>
                            <w:t xml:space="preserve"> 页</w:t>
                          </w:r>
                        </w:p>
                      </w:txbxContent>
                    </wps:txbx>
                    <wps:bodyPr vert="horz" wrap="square" lIns="0" tIns="0" rIns="0" bIns="0" anchor="t" anchorCtr="0">
                      <a:noAutofit/>
                    </wps:bodyPr>
                  </wps:wsp>
                </a:graphicData>
              </a:graphic>
            </wp:anchor>
          </w:drawing>
        </mc:Choice>
        <mc:Fallback>
          <w:pict>
            <v:shape id="文本框 122" o:spid="_x0000_s1026" o:spt="202" type="#_x0000_t202" style="position:absolute;left:0pt;margin-left:189.65pt;margin-top:-0.55pt;height:12.55pt;width:46.15pt;mso-position-horizontal-relative:margin;z-index:251661312;mso-width-relative:page;mso-height-relative:page;" filled="f" stroked="f" coordsize="21600,21600" o:gfxdata="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UW7Jb2QAAAAkBAAAP&#10;AAAAAAAAAAEAIAAAACIAAABkcnMvZG93bnJldi54bWxQSwECFAAUAAAACACHTuJAFkE0Ed4BAAC0&#10;AwAADgAAAAAAAAABACAAAAAoAQAAZHJzL2Uyb0RvYy54bWxQSwUGAAAAAAYABgBZAQAAeAUAAAAA&#10;">
              <v:fill on="f" focussize="0,0"/>
              <v:stroke on="f"/>
              <v:imagedata o:title=""/>
              <o:lock v:ext="edit" aspectratio="f"/>
              <v:textbox inset="0mm,0mm,0mm,0mm">
                <w:txbxContent>
                  <w:p w14:paraId="6643915B">
                    <w:pPr>
                      <w:pStyle w:val="28"/>
                      <w:rPr>
                        <w:rFonts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w:t>
                    </w:r>
                    <w:r>
                      <w:rPr>
                        <w:rFonts w:hint="eastAsia" w:ascii="宋体" w:hAnsi="宋体" w:cs="宋体"/>
                      </w:rPr>
                      <w:fldChar w:fldCharType="end"/>
                    </w:r>
                    <w:r>
                      <w:rPr>
                        <w:rFonts w:hint="eastAsia" w:ascii="宋体" w:hAnsi="宋体" w:cs="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89C56">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BD71B">
                          <w:pPr>
                            <w:pStyle w:val="28"/>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wrap="none" lIns="0" tIns="0" rIns="0" bIns="0">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GLspcMBAACP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N8lgXoPFeY9ecyMw50bcG1mP6Az8R7aYNIXGRGMo7yni7xyiESkR6tytSowJDA2XxCfPT/3AeJ7&#10;6QxJRk0Dzi/Lyo+PEMfUOSVVs+5eaZ1nqO1fDsRMHpZ6H3tMVhx2w0Ro55oT8ulx9DW1uOmU6AeL&#10;yqYtmY0wG7vJSDXA3x4iFs79JNQRaiqGc8qMpp1Ki/DnPWc9/0e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oYuylwwEAAI8DAAAOAAAAAAAAAAEAIAAAAB4BAABkcnMvZTJvRG9jLnhtbFBL&#10;BQYAAAAABgAGAFkBAABTBQAAAAA=&#10;">
              <v:fill on="f" focussize="0,0"/>
              <v:stroke on="f"/>
              <v:imagedata o:title=""/>
              <o:lock v:ext="edit" aspectratio="f"/>
              <v:textbox inset="0mm,0mm,0mm,0mm" style="mso-fit-shape-to-text:t;">
                <w:txbxContent>
                  <w:p w14:paraId="25DBD71B">
                    <w:pPr>
                      <w:pStyle w:val="28"/>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1AD01">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47AE5">
                          <w:pPr>
                            <w:pStyle w:val="28"/>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wrap="none" lIns="0" tIns="0" rIns="0" bIns="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MAkcMBAACP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hy&#10;dZMF6gPUmHcfMDMNb/2AazP7AZ2Z96CizV9kRDCO8p6v8sohEZEfrVfrdYUhgbH5gvjs4XmIkN5J&#10;b0k2GhpxfkVWfvoAaUydU3I15++0MWWGxv3lQMzsYbn3scdspWE/TIT2vj0jnx5H31CHm06Jee9Q&#10;2bwlsxFnYz8ZuQaEN8eEhUs/GXWEmorhnAqjaafyIjy+l6yH/2j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BEwCRwwEAAI8DAAAOAAAAAAAAAAEAIAAAAB4BAABkcnMvZTJvRG9jLnhtbFBL&#10;BQYAAAAABgAGAFkBAABTBQAAAAA=&#10;">
              <v:fill on="f" focussize="0,0"/>
              <v:stroke on="f"/>
              <v:imagedata o:title=""/>
              <o:lock v:ext="edit" aspectratio="f"/>
              <v:textbox inset="0mm,0mm,0mm,0mm" style="mso-fit-shape-to-text:t;">
                <w:txbxContent>
                  <w:p w14:paraId="72A47AE5">
                    <w:pPr>
                      <w:pStyle w:val="28"/>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EB6DE">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801DD">
                          <w:pPr>
                            <w:pStyle w:val="28"/>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vert="horz" wrap="none" lIns="0" tIns="0" rIns="0" bIns="0" anchor="t" anchorCtr="0">
                      <a:spAutoFit/>
                    </wps:bodyPr>
                  </wps:wsp>
                </a:graphicData>
              </a:graphic>
            </wp:anchor>
          </w:drawing>
        </mc:Choice>
        <mc:Fallback>
          <w:pict>
            <v:shape id="文本框 1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vS2399kBAAC0AwAADgAAAAAAAAABACAA&#10;AAAeAQAAZHJzL2Uyb0RvYy54bWxQSwUGAAAAAAYABgBZAQAAaQUAAAAA&#10;">
              <v:fill on="f" focussize="0,0"/>
              <v:stroke on="f"/>
              <v:imagedata o:title=""/>
              <o:lock v:ext="edit" aspectratio="f"/>
              <v:textbox inset="0mm,0mm,0mm,0mm" style="mso-fit-shape-to-text:t;">
                <w:txbxContent>
                  <w:p w14:paraId="697801DD">
                    <w:pPr>
                      <w:pStyle w:val="28"/>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7FDC">
    <w:pPr>
      <w:pStyle w:val="2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247AF5">
                          <w:pPr>
                            <w:pStyle w:val="28"/>
                          </w:pPr>
                          <w:r>
                            <w:t xml:space="preserve">第 </w:t>
                          </w:r>
                          <w:r>
                            <w:fldChar w:fldCharType="begin"/>
                          </w:r>
                          <w:r>
                            <w:instrText xml:space="preserve"> PAGE  \* MERGEFORMAT </w:instrText>
                          </w:r>
                          <w:r>
                            <w:fldChar w:fldCharType="separate"/>
                          </w:r>
                          <w:r>
                            <w:t>83</w:t>
                          </w:r>
                          <w:r>
                            <w:fldChar w:fldCharType="end"/>
                          </w:r>
                          <w:r>
                            <w:t xml:space="preserve"> 页</w:t>
                          </w:r>
                        </w:p>
                      </w:txbxContent>
                    </wps:txbx>
                    <wps:bodyPr vert="horz" wrap="none" lIns="0" tIns="0" rIns="0" bIns="0" anchor="t" anchorCtr="0">
                      <a:spAutoFit/>
                    </wps:bodyPr>
                  </wps:wsp>
                </a:graphicData>
              </a:graphic>
            </wp:anchor>
          </w:drawing>
        </mc:Choice>
        <mc:Fallback>
          <w:pict>
            <v:shape id="文本框 12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HYXtgBAAC1AwAADgAAAGRycy9lMm9Eb2MueG1srVNBrtMwEN0jcQfL&#10;e5q0SK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BOWnDlhaeKX798uP35dfn5l&#10;y9Xz1KHex4oS7zyl4vAKBsqe/ZGcSfjQBpv+JIlRnPp7vvZXDchkurRerdclhSTF5gPhF/fXfYj4&#10;RoFlyah5oAHmvorTu4hj6pySqjm41cbkIRr3l4Mwk6dI3EeOycJhP0yC9tCcSQ+9BKrTQfjCWU97&#10;UHNHa8+ZeeuozWllZiPMxn42hJN0sebI2Wi+xrxaiUj0L49I7DLpVHqsNzGiaWbZ0+aldfnznLPu&#10;X9v2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ZIdhe2AEAALUDAAAOAAAAAAAAAAEAIAAA&#10;AB4BAABkcnMvZTJvRG9jLnhtbFBLBQYAAAAABgAGAFkBAABoBQAAAAA=&#10;">
              <v:fill on="f" focussize="0,0"/>
              <v:stroke on="f"/>
              <v:imagedata o:title=""/>
              <o:lock v:ext="edit" aspectratio="f"/>
              <v:textbox inset="0mm,0mm,0mm,0mm" style="mso-fit-shape-to-text:t;">
                <w:txbxContent>
                  <w:p w14:paraId="47247AF5">
                    <w:pPr>
                      <w:pStyle w:val="28"/>
                    </w:pPr>
                    <w:r>
                      <w:t xml:space="preserve">第 </w:t>
                    </w:r>
                    <w:r>
                      <w:fldChar w:fldCharType="begin"/>
                    </w:r>
                    <w:r>
                      <w:instrText xml:space="preserve"> PAGE  \* MERGEFORMAT </w:instrText>
                    </w:r>
                    <w:r>
                      <w:fldChar w:fldCharType="separate"/>
                    </w:r>
                    <w:r>
                      <w:t>83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D1E5">
    <w:pPr>
      <w:pStyle w:val="28"/>
      <w:rPr>
        <w:rStyle w:val="43"/>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3DDD7">
                          <w:pPr>
                            <w:pStyle w:val="28"/>
                          </w:pPr>
                          <w:r>
                            <w:t xml:space="preserve">第 </w:t>
                          </w:r>
                          <w:r>
                            <w:fldChar w:fldCharType="begin"/>
                          </w:r>
                          <w:r>
                            <w:instrText xml:space="preserve"> PAGE  \* MERGEFORMAT </w:instrText>
                          </w:r>
                          <w:r>
                            <w:fldChar w:fldCharType="separate"/>
                          </w:r>
                          <w:r>
                            <w:t>93</w:t>
                          </w:r>
                          <w:r>
                            <w:fldChar w:fldCharType="end"/>
                          </w:r>
                          <w:r>
                            <w:t xml:space="preserve"> 页</w:t>
                          </w:r>
                        </w:p>
                      </w:txbxContent>
                    </wps:txbx>
                    <wps:bodyPr vert="horz" wrap="none" lIns="0" tIns="0" rIns="0" bIns="0" anchor="t" anchorCtr="0">
                      <a:spAutoFit/>
                    </wps:bodyPr>
                  </wps:wsp>
                </a:graphicData>
              </a:graphic>
            </wp:anchor>
          </w:drawing>
        </mc:Choice>
        <mc:Fallback>
          <w:pict>
            <v:shape id="文本框 1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9DyvwdkBAAC0AwAADgAAAAAAAAABACAA&#10;AAAeAQAAZHJzL2Uyb0RvYy54bWxQSwUGAAAAAAYABgBZAQAAaQUAAAAA&#10;">
              <v:fill on="f" focussize="0,0"/>
              <v:stroke on="f"/>
              <v:imagedata o:title=""/>
              <o:lock v:ext="edit" aspectratio="f"/>
              <v:textbox inset="0mm,0mm,0mm,0mm" style="mso-fit-shape-to-text:t;">
                <w:txbxContent>
                  <w:p w14:paraId="09F3DDD7">
                    <w:pPr>
                      <w:pStyle w:val="28"/>
                    </w:pPr>
                    <w:r>
                      <w:t xml:space="preserve">第 </w:t>
                    </w:r>
                    <w:r>
                      <w:fldChar w:fldCharType="begin"/>
                    </w:r>
                    <w:r>
                      <w:instrText xml:space="preserve"> PAGE  \* MERGEFORMAT </w:instrText>
                    </w:r>
                    <w:r>
                      <w:fldChar w:fldCharType="separate"/>
                    </w:r>
                    <w:r>
                      <w:t>93</w:t>
                    </w:r>
                    <w:r>
                      <w:fldChar w:fldCharType="end"/>
                    </w:r>
                    <w:r>
                      <w:t xml:space="preserve"> 页</w:t>
                    </w:r>
                  </w:p>
                </w:txbxContent>
              </v:textbox>
            </v:shape>
          </w:pict>
        </mc:Fallback>
      </mc:AlternateContent>
    </w:r>
  </w:p>
  <w:p w14:paraId="549F9F7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AA86">
    <w:pPr>
      <w:pStyle w:val="29"/>
      <w:pBdr>
        <w:bottom w:val="none" w:color="auto" w:sz="0" w:space="1"/>
      </w:pBdr>
      <w:jc w:val="right"/>
    </w:pPr>
    <w:r>
      <w:rPr>
        <w:rFonts w:hint="eastAsia"/>
      </w:rPr>
      <w:t xml:space="preserve">                                                      </w:t>
    </w:r>
  </w:p>
  <w:p w14:paraId="755B37A7">
    <w:pPr>
      <w:pStyle w:val="2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94F9">
    <w:pPr>
      <w:pStyle w:val="29"/>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96C3">
    <w:pPr>
      <w:pStyle w:val="2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55B63">
    <w:pPr>
      <w:spacing w:line="24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930E">
    <w:pPr>
      <w:pStyle w:val="29"/>
      <w:pBdr>
        <w:bottom w:val="none" w:color="auto" w:sz="0" w:space="0"/>
      </w:pBdr>
      <w:jc w:val="both"/>
      <w:rPr>
        <w:rFonts w:ascii="黑体" w:eastAsia="黑体"/>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9C14C">
    <w:pPr>
      <w:pStyle w:val="29"/>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67E5D">
    <w:pPr>
      <w:pStyle w:val="29"/>
      <w:pBdr>
        <w:bottom w:val="none" w:color="auto" w:sz="0" w:space="1"/>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4E7A">
    <w:pPr>
      <w:pStyle w:val="29"/>
      <w:pBdr>
        <w:bottom w:val="none" w:color="auto" w:sz="0" w:space="1"/>
      </w:pBdr>
      <w:jc w:val="right"/>
    </w:pPr>
    <w:r>
      <w:rPr>
        <w:rFonts w:hint="eastAsia"/>
      </w:rPr>
      <w:t xml:space="preserve"> </w:t>
    </w:r>
  </w:p>
  <w:p w14:paraId="534EE8A8">
    <w:pPr>
      <w:pStyle w:val="29"/>
      <w:pBdr>
        <w:bottom w:val="none" w:color="auto" w:sz="0" w:space="0"/>
      </w:pBdr>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3DB26"/>
    <w:multiLevelType w:val="singleLevel"/>
    <w:tmpl w:val="8CC3DB26"/>
    <w:lvl w:ilvl="0" w:tentative="0">
      <w:start w:val="2"/>
      <w:numFmt w:val="chineseCounting"/>
      <w:suff w:val="nothing"/>
      <w:lvlText w:val="（%1）"/>
      <w:lvlJc w:val="left"/>
      <w:rPr>
        <w:rFonts w:hint="eastAsia"/>
      </w:rPr>
    </w:lvl>
  </w:abstractNum>
  <w:abstractNum w:abstractNumId="1">
    <w:nsid w:val="E35B22DC"/>
    <w:multiLevelType w:val="singleLevel"/>
    <w:tmpl w:val="E35B22DC"/>
    <w:lvl w:ilvl="0" w:tentative="0">
      <w:start w:val="1"/>
      <w:numFmt w:val="decimal"/>
      <w:suff w:val="nothing"/>
      <w:lvlText w:val="（%1）"/>
      <w:lvlJc w:val="left"/>
    </w:lvl>
  </w:abstractNum>
  <w:abstractNum w:abstractNumId="2">
    <w:nsid w:val="0000001B"/>
    <w:multiLevelType w:val="multilevel"/>
    <w:tmpl w:val="0000001B"/>
    <w:lvl w:ilvl="0" w:tentative="0">
      <w:start w:val="1"/>
      <w:numFmt w:val="bullet"/>
      <w:pStyle w:val="81"/>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1408"/>
        </w:tabs>
        <w:ind w:left="1408" w:hanging="420"/>
      </w:pPr>
      <w:rPr>
        <w:rFonts w:hint="default" w:ascii="Wingdings" w:hAnsi="Wingdings"/>
      </w:rPr>
    </w:lvl>
    <w:lvl w:ilvl="2" w:tentative="0">
      <w:start w:val="1"/>
      <w:numFmt w:val="bullet"/>
      <w:lvlText w:val=""/>
      <w:lvlJc w:val="left"/>
      <w:pPr>
        <w:tabs>
          <w:tab w:val="left" w:pos="1828"/>
        </w:tabs>
        <w:ind w:left="1828" w:hanging="420"/>
      </w:pPr>
      <w:rPr>
        <w:rFonts w:hint="default" w:ascii="Wingdings" w:hAnsi="Wingdings"/>
      </w:rPr>
    </w:lvl>
    <w:lvl w:ilvl="3" w:tentative="0">
      <w:start w:val="1"/>
      <w:numFmt w:val="bullet"/>
      <w:lvlText w:val=""/>
      <w:lvlJc w:val="left"/>
      <w:pPr>
        <w:tabs>
          <w:tab w:val="left" w:pos="2248"/>
        </w:tabs>
        <w:ind w:left="2248" w:hanging="420"/>
      </w:pPr>
      <w:rPr>
        <w:rFonts w:hint="default" w:ascii="Wingdings" w:hAnsi="Wingdings"/>
      </w:rPr>
    </w:lvl>
    <w:lvl w:ilvl="4" w:tentative="0">
      <w:start w:val="1"/>
      <w:numFmt w:val="bullet"/>
      <w:lvlText w:val=""/>
      <w:lvlJc w:val="left"/>
      <w:pPr>
        <w:tabs>
          <w:tab w:val="left" w:pos="2668"/>
        </w:tabs>
        <w:ind w:left="2668" w:hanging="420"/>
      </w:pPr>
      <w:rPr>
        <w:rFonts w:hint="default" w:ascii="Wingdings" w:hAnsi="Wingdings"/>
      </w:rPr>
    </w:lvl>
    <w:lvl w:ilvl="5" w:tentative="0">
      <w:start w:val="1"/>
      <w:numFmt w:val="bullet"/>
      <w:lvlText w:val=""/>
      <w:lvlJc w:val="left"/>
      <w:pPr>
        <w:tabs>
          <w:tab w:val="left" w:pos="3088"/>
        </w:tabs>
        <w:ind w:left="3088" w:hanging="420"/>
      </w:pPr>
      <w:rPr>
        <w:rFonts w:hint="default" w:ascii="Wingdings" w:hAnsi="Wingdings"/>
      </w:rPr>
    </w:lvl>
    <w:lvl w:ilvl="6" w:tentative="0">
      <w:start w:val="1"/>
      <w:numFmt w:val="bullet"/>
      <w:lvlText w:val=""/>
      <w:lvlJc w:val="left"/>
      <w:pPr>
        <w:tabs>
          <w:tab w:val="left" w:pos="3508"/>
        </w:tabs>
        <w:ind w:left="3508" w:hanging="420"/>
      </w:pPr>
      <w:rPr>
        <w:rFonts w:hint="default" w:ascii="Wingdings" w:hAnsi="Wingdings"/>
      </w:rPr>
    </w:lvl>
    <w:lvl w:ilvl="7" w:tentative="0">
      <w:start w:val="1"/>
      <w:numFmt w:val="bullet"/>
      <w:lvlText w:val=""/>
      <w:lvlJc w:val="left"/>
      <w:pPr>
        <w:tabs>
          <w:tab w:val="left" w:pos="3928"/>
        </w:tabs>
        <w:ind w:left="3928" w:hanging="420"/>
      </w:pPr>
      <w:rPr>
        <w:rFonts w:hint="default" w:ascii="Wingdings" w:hAnsi="Wingdings"/>
      </w:rPr>
    </w:lvl>
    <w:lvl w:ilvl="8" w:tentative="0">
      <w:start w:val="1"/>
      <w:numFmt w:val="bullet"/>
      <w:lvlText w:val=""/>
      <w:lvlJc w:val="left"/>
      <w:pPr>
        <w:tabs>
          <w:tab w:val="left" w:pos="4348"/>
        </w:tabs>
        <w:ind w:left="4348" w:hanging="420"/>
      </w:pPr>
      <w:rPr>
        <w:rFonts w:hint="default" w:ascii="Wingdings" w:hAnsi="Wingdings"/>
      </w:rPr>
    </w:lvl>
  </w:abstractNum>
  <w:abstractNum w:abstractNumId="3">
    <w:nsid w:val="00000034"/>
    <w:multiLevelType w:val="multilevel"/>
    <w:tmpl w:val="00000034"/>
    <w:lvl w:ilvl="0" w:tentative="0">
      <w:start w:val="1"/>
      <w:numFmt w:val="decimal"/>
      <w:lvlText w:val="%1．"/>
      <w:lvlJc w:val="left"/>
      <w:pPr>
        <w:tabs>
          <w:tab w:val="left" w:pos="390"/>
        </w:tabs>
        <w:ind w:left="390" w:hanging="390"/>
      </w:pPr>
      <w:rPr>
        <w:rFonts w:hint="eastAsia" w:ascii="Times New Roman" w:hAnsi="Times New Roman"/>
        <w:sz w:val="24"/>
      </w:rPr>
    </w:lvl>
    <w:lvl w:ilvl="1" w:tentative="0">
      <w:start w:val="1"/>
      <w:numFmt w:val="decimal"/>
      <w:lvlText w:val="%2）"/>
      <w:lvlJc w:val="left"/>
      <w:pPr>
        <w:tabs>
          <w:tab w:val="left" w:pos="420"/>
        </w:tabs>
        <w:ind w:left="420" w:hanging="420"/>
      </w:pPr>
      <w:rPr>
        <w:rFonts w:ascii="Times New Roman" w:hAnsi="Times New Roman" w:eastAsia="Times New Roman" w:cs="Times New Roman"/>
      </w:rPr>
    </w:lvl>
    <w:lvl w:ilvl="2" w:tentative="0">
      <w:start w:val="1"/>
      <w:numFmt w:val="lowerRoman"/>
      <w:pStyle w:val="10"/>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C159291"/>
    <w:multiLevelType w:val="singleLevel"/>
    <w:tmpl w:val="7C159291"/>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MTE4M2FjNDE1Y2RkNTc5Yjc2YzUzODJjMzUxMWYifQ=="/>
  </w:docVars>
  <w:rsids>
    <w:rsidRoot w:val="00FB25EC"/>
    <w:rsid w:val="0000130B"/>
    <w:rsid w:val="0000198B"/>
    <w:rsid w:val="00003708"/>
    <w:rsid w:val="00003ED1"/>
    <w:rsid w:val="0000441E"/>
    <w:rsid w:val="00004514"/>
    <w:rsid w:val="0000467C"/>
    <w:rsid w:val="00004B36"/>
    <w:rsid w:val="00005A5B"/>
    <w:rsid w:val="00007DA5"/>
    <w:rsid w:val="0001100F"/>
    <w:rsid w:val="00011849"/>
    <w:rsid w:val="000129C3"/>
    <w:rsid w:val="00014AA2"/>
    <w:rsid w:val="000153A7"/>
    <w:rsid w:val="00015423"/>
    <w:rsid w:val="00016074"/>
    <w:rsid w:val="00016747"/>
    <w:rsid w:val="00016780"/>
    <w:rsid w:val="0001730A"/>
    <w:rsid w:val="0002220F"/>
    <w:rsid w:val="00022FC2"/>
    <w:rsid w:val="00023C31"/>
    <w:rsid w:val="00023C67"/>
    <w:rsid w:val="0002628F"/>
    <w:rsid w:val="00026A83"/>
    <w:rsid w:val="00026B18"/>
    <w:rsid w:val="00027245"/>
    <w:rsid w:val="00027BF6"/>
    <w:rsid w:val="00027DC9"/>
    <w:rsid w:val="000321B6"/>
    <w:rsid w:val="00034064"/>
    <w:rsid w:val="00037E68"/>
    <w:rsid w:val="00040005"/>
    <w:rsid w:val="00041008"/>
    <w:rsid w:val="000418CD"/>
    <w:rsid w:val="000423AB"/>
    <w:rsid w:val="0004262D"/>
    <w:rsid w:val="00042AB8"/>
    <w:rsid w:val="00043C34"/>
    <w:rsid w:val="00043DCB"/>
    <w:rsid w:val="000442B2"/>
    <w:rsid w:val="000451EB"/>
    <w:rsid w:val="000455D5"/>
    <w:rsid w:val="000458B0"/>
    <w:rsid w:val="000468C6"/>
    <w:rsid w:val="000470BE"/>
    <w:rsid w:val="00047EB8"/>
    <w:rsid w:val="00051277"/>
    <w:rsid w:val="00051F1D"/>
    <w:rsid w:val="00052D57"/>
    <w:rsid w:val="000536B4"/>
    <w:rsid w:val="00053ECE"/>
    <w:rsid w:val="00054063"/>
    <w:rsid w:val="00054D22"/>
    <w:rsid w:val="00054E6A"/>
    <w:rsid w:val="0005502A"/>
    <w:rsid w:val="00055252"/>
    <w:rsid w:val="0005565B"/>
    <w:rsid w:val="00056B70"/>
    <w:rsid w:val="0005730F"/>
    <w:rsid w:val="00060486"/>
    <w:rsid w:val="000607CC"/>
    <w:rsid w:val="00060FB1"/>
    <w:rsid w:val="00061B95"/>
    <w:rsid w:val="0006212D"/>
    <w:rsid w:val="000638A1"/>
    <w:rsid w:val="00063B47"/>
    <w:rsid w:val="00064A58"/>
    <w:rsid w:val="00064B51"/>
    <w:rsid w:val="0006557E"/>
    <w:rsid w:val="00065781"/>
    <w:rsid w:val="00067555"/>
    <w:rsid w:val="00067849"/>
    <w:rsid w:val="00067A80"/>
    <w:rsid w:val="00067F43"/>
    <w:rsid w:val="00071152"/>
    <w:rsid w:val="00071CF6"/>
    <w:rsid w:val="0007245B"/>
    <w:rsid w:val="00072851"/>
    <w:rsid w:val="0007404B"/>
    <w:rsid w:val="0007422F"/>
    <w:rsid w:val="00074721"/>
    <w:rsid w:val="00074846"/>
    <w:rsid w:val="000757A9"/>
    <w:rsid w:val="00075878"/>
    <w:rsid w:val="00080978"/>
    <w:rsid w:val="00081947"/>
    <w:rsid w:val="0008287A"/>
    <w:rsid w:val="00083D6D"/>
    <w:rsid w:val="0008551A"/>
    <w:rsid w:val="00085C2E"/>
    <w:rsid w:val="00086F3B"/>
    <w:rsid w:val="00087B32"/>
    <w:rsid w:val="00087B4D"/>
    <w:rsid w:val="00087BEB"/>
    <w:rsid w:val="000913F1"/>
    <w:rsid w:val="000918D0"/>
    <w:rsid w:val="00092719"/>
    <w:rsid w:val="000932A5"/>
    <w:rsid w:val="0009344A"/>
    <w:rsid w:val="00095542"/>
    <w:rsid w:val="00095665"/>
    <w:rsid w:val="00097A8A"/>
    <w:rsid w:val="000A06C7"/>
    <w:rsid w:val="000A2D66"/>
    <w:rsid w:val="000A5701"/>
    <w:rsid w:val="000A65C1"/>
    <w:rsid w:val="000A6A34"/>
    <w:rsid w:val="000A6CDF"/>
    <w:rsid w:val="000A73D3"/>
    <w:rsid w:val="000B0971"/>
    <w:rsid w:val="000B131F"/>
    <w:rsid w:val="000B1D75"/>
    <w:rsid w:val="000B1E4C"/>
    <w:rsid w:val="000B2B57"/>
    <w:rsid w:val="000B370F"/>
    <w:rsid w:val="000B43C5"/>
    <w:rsid w:val="000B4788"/>
    <w:rsid w:val="000B4D0D"/>
    <w:rsid w:val="000B506C"/>
    <w:rsid w:val="000B6AAD"/>
    <w:rsid w:val="000B77EA"/>
    <w:rsid w:val="000C035E"/>
    <w:rsid w:val="000C1006"/>
    <w:rsid w:val="000C1157"/>
    <w:rsid w:val="000C19DD"/>
    <w:rsid w:val="000C1C60"/>
    <w:rsid w:val="000C1D92"/>
    <w:rsid w:val="000C21B0"/>
    <w:rsid w:val="000C30B7"/>
    <w:rsid w:val="000C709E"/>
    <w:rsid w:val="000D1D7C"/>
    <w:rsid w:val="000D43CF"/>
    <w:rsid w:val="000D4713"/>
    <w:rsid w:val="000D4DF5"/>
    <w:rsid w:val="000D63A7"/>
    <w:rsid w:val="000D66EC"/>
    <w:rsid w:val="000D6E2E"/>
    <w:rsid w:val="000D6E38"/>
    <w:rsid w:val="000E01E2"/>
    <w:rsid w:val="000E054D"/>
    <w:rsid w:val="000E21CB"/>
    <w:rsid w:val="000E31DA"/>
    <w:rsid w:val="000E4596"/>
    <w:rsid w:val="000E5B97"/>
    <w:rsid w:val="000E6946"/>
    <w:rsid w:val="000E7413"/>
    <w:rsid w:val="000E7915"/>
    <w:rsid w:val="000F0DDA"/>
    <w:rsid w:val="000F1652"/>
    <w:rsid w:val="000F1DD5"/>
    <w:rsid w:val="000F1FD6"/>
    <w:rsid w:val="000F3786"/>
    <w:rsid w:val="000F411A"/>
    <w:rsid w:val="000F489A"/>
    <w:rsid w:val="000F4952"/>
    <w:rsid w:val="000F4B75"/>
    <w:rsid w:val="000F57F9"/>
    <w:rsid w:val="000F5A18"/>
    <w:rsid w:val="000F5D17"/>
    <w:rsid w:val="000F6855"/>
    <w:rsid w:val="000F6E9A"/>
    <w:rsid w:val="000F6F43"/>
    <w:rsid w:val="000F7336"/>
    <w:rsid w:val="000F7B51"/>
    <w:rsid w:val="000F7CEB"/>
    <w:rsid w:val="00101AE8"/>
    <w:rsid w:val="00101AF2"/>
    <w:rsid w:val="00101D55"/>
    <w:rsid w:val="00101DA2"/>
    <w:rsid w:val="00102080"/>
    <w:rsid w:val="001025C6"/>
    <w:rsid w:val="00102615"/>
    <w:rsid w:val="00104DBB"/>
    <w:rsid w:val="00110184"/>
    <w:rsid w:val="00110AEC"/>
    <w:rsid w:val="00111C48"/>
    <w:rsid w:val="00112396"/>
    <w:rsid w:val="001124E1"/>
    <w:rsid w:val="00113923"/>
    <w:rsid w:val="00114C16"/>
    <w:rsid w:val="00115AFB"/>
    <w:rsid w:val="00115C5C"/>
    <w:rsid w:val="00116585"/>
    <w:rsid w:val="00117742"/>
    <w:rsid w:val="001179EC"/>
    <w:rsid w:val="00117EF8"/>
    <w:rsid w:val="00117FE5"/>
    <w:rsid w:val="00121711"/>
    <w:rsid w:val="001219AA"/>
    <w:rsid w:val="00121CBE"/>
    <w:rsid w:val="0012601E"/>
    <w:rsid w:val="001268B0"/>
    <w:rsid w:val="00126C2E"/>
    <w:rsid w:val="00130B03"/>
    <w:rsid w:val="001313D7"/>
    <w:rsid w:val="0013291C"/>
    <w:rsid w:val="00132983"/>
    <w:rsid w:val="00133C29"/>
    <w:rsid w:val="00134290"/>
    <w:rsid w:val="00134C00"/>
    <w:rsid w:val="00135568"/>
    <w:rsid w:val="00136826"/>
    <w:rsid w:val="00141A1E"/>
    <w:rsid w:val="0014342C"/>
    <w:rsid w:val="0014346A"/>
    <w:rsid w:val="0014368E"/>
    <w:rsid w:val="00145F12"/>
    <w:rsid w:val="001461FB"/>
    <w:rsid w:val="00147892"/>
    <w:rsid w:val="00147BA8"/>
    <w:rsid w:val="00150B16"/>
    <w:rsid w:val="001510CE"/>
    <w:rsid w:val="001512DF"/>
    <w:rsid w:val="00151982"/>
    <w:rsid w:val="0015208D"/>
    <w:rsid w:val="00152E14"/>
    <w:rsid w:val="00153148"/>
    <w:rsid w:val="0015376C"/>
    <w:rsid w:val="00153BAA"/>
    <w:rsid w:val="0015514B"/>
    <w:rsid w:val="0015560D"/>
    <w:rsid w:val="00155D82"/>
    <w:rsid w:val="001563D3"/>
    <w:rsid w:val="0015704F"/>
    <w:rsid w:val="001574B1"/>
    <w:rsid w:val="00161704"/>
    <w:rsid w:val="00161BB3"/>
    <w:rsid w:val="00162180"/>
    <w:rsid w:val="00162848"/>
    <w:rsid w:val="00162DD7"/>
    <w:rsid w:val="001630FA"/>
    <w:rsid w:val="00163103"/>
    <w:rsid w:val="00163C85"/>
    <w:rsid w:val="00164853"/>
    <w:rsid w:val="00164AF6"/>
    <w:rsid w:val="00166A16"/>
    <w:rsid w:val="00167DD3"/>
    <w:rsid w:val="0017046E"/>
    <w:rsid w:val="00170B81"/>
    <w:rsid w:val="00170CDA"/>
    <w:rsid w:val="00171421"/>
    <w:rsid w:val="00172088"/>
    <w:rsid w:val="00172374"/>
    <w:rsid w:val="001737B0"/>
    <w:rsid w:val="00174E81"/>
    <w:rsid w:val="001764F7"/>
    <w:rsid w:val="00176DD9"/>
    <w:rsid w:val="00177B65"/>
    <w:rsid w:val="00177DAE"/>
    <w:rsid w:val="00181E62"/>
    <w:rsid w:val="00183581"/>
    <w:rsid w:val="00184062"/>
    <w:rsid w:val="0018480D"/>
    <w:rsid w:val="00184BA6"/>
    <w:rsid w:val="00185FD9"/>
    <w:rsid w:val="00186444"/>
    <w:rsid w:val="00187C90"/>
    <w:rsid w:val="00190AC1"/>
    <w:rsid w:val="00193A29"/>
    <w:rsid w:val="00193B3D"/>
    <w:rsid w:val="0019442E"/>
    <w:rsid w:val="00194E3B"/>
    <w:rsid w:val="00195060"/>
    <w:rsid w:val="001959FC"/>
    <w:rsid w:val="00195D73"/>
    <w:rsid w:val="00195EBF"/>
    <w:rsid w:val="00196562"/>
    <w:rsid w:val="001A0289"/>
    <w:rsid w:val="001A0E3F"/>
    <w:rsid w:val="001A0E49"/>
    <w:rsid w:val="001A0E5E"/>
    <w:rsid w:val="001A14B5"/>
    <w:rsid w:val="001A28D3"/>
    <w:rsid w:val="001A3D25"/>
    <w:rsid w:val="001A52A9"/>
    <w:rsid w:val="001A5D6E"/>
    <w:rsid w:val="001A7B80"/>
    <w:rsid w:val="001B2458"/>
    <w:rsid w:val="001B3690"/>
    <w:rsid w:val="001B37BD"/>
    <w:rsid w:val="001B3B69"/>
    <w:rsid w:val="001B51EA"/>
    <w:rsid w:val="001B5FA5"/>
    <w:rsid w:val="001B6080"/>
    <w:rsid w:val="001B6BFE"/>
    <w:rsid w:val="001B7241"/>
    <w:rsid w:val="001B7C58"/>
    <w:rsid w:val="001C00E0"/>
    <w:rsid w:val="001C05B0"/>
    <w:rsid w:val="001C20F6"/>
    <w:rsid w:val="001C389D"/>
    <w:rsid w:val="001C42B1"/>
    <w:rsid w:val="001C42DD"/>
    <w:rsid w:val="001C46BD"/>
    <w:rsid w:val="001C49B1"/>
    <w:rsid w:val="001C57DF"/>
    <w:rsid w:val="001C5F42"/>
    <w:rsid w:val="001C64BA"/>
    <w:rsid w:val="001C6FC2"/>
    <w:rsid w:val="001C7EA3"/>
    <w:rsid w:val="001D171D"/>
    <w:rsid w:val="001D1966"/>
    <w:rsid w:val="001D1DA0"/>
    <w:rsid w:val="001D23A6"/>
    <w:rsid w:val="001D2819"/>
    <w:rsid w:val="001D4D68"/>
    <w:rsid w:val="001D5128"/>
    <w:rsid w:val="001D56E7"/>
    <w:rsid w:val="001D5EB4"/>
    <w:rsid w:val="001D667A"/>
    <w:rsid w:val="001D6818"/>
    <w:rsid w:val="001E0350"/>
    <w:rsid w:val="001E048A"/>
    <w:rsid w:val="001E47DD"/>
    <w:rsid w:val="001E519D"/>
    <w:rsid w:val="001E5C2C"/>
    <w:rsid w:val="001E6791"/>
    <w:rsid w:val="001E70D6"/>
    <w:rsid w:val="001E74B1"/>
    <w:rsid w:val="001E7FDF"/>
    <w:rsid w:val="001F02DA"/>
    <w:rsid w:val="001F0533"/>
    <w:rsid w:val="001F20BD"/>
    <w:rsid w:val="001F2DF2"/>
    <w:rsid w:val="001F3A62"/>
    <w:rsid w:val="001F3E72"/>
    <w:rsid w:val="001F45F5"/>
    <w:rsid w:val="001F476E"/>
    <w:rsid w:val="001F480D"/>
    <w:rsid w:val="001F67BE"/>
    <w:rsid w:val="001F6C08"/>
    <w:rsid w:val="001F71BB"/>
    <w:rsid w:val="002001CC"/>
    <w:rsid w:val="00200D3C"/>
    <w:rsid w:val="00200E74"/>
    <w:rsid w:val="002014C1"/>
    <w:rsid w:val="0020330F"/>
    <w:rsid w:val="0020410A"/>
    <w:rsid w:val="0020413F"/>
    <w:rsid w:val="002051E7"/>
    <w:rsid w:val="00205875"/>
    <w:rsid w:val="00206868"/>
    <w:rsid w:val="00206D54"/>
    <w:rsid w:val="00206DA2"/>
    <w:rsid w:val="00207A8F"/>
    <w:rsid w:val="00207CB5"/>
    <w:rsid w:val="0021153E"/>
    <w:rsid w:val="00211BCC"/>
    <w:rsid w:val="00211E16"/>
    <w:rsid w:val="002123A5"/>
    <w:rsid w:val="00212776"/>
    <w:rsid w:val="00212966"/>
    <w:rsid w:val="002129CB"/>
    <w:rsid w:val="00213623"/>
    <w:rsid w:val="00213665"/>
    <w:rsid w:val="00215310"/>
    <w:rsid w:val="00215486"/>
    <w:rsid w:val="002155A3"/>
    <w:rsid w:val="002177E0"/>
    <w:rsid w:val="00217B64"/>
    <w:rsid w:val="002214C7"/>
    <w:rsid w:val="00221DDD"/>
    <w:rsid w:val="00222A7A"/>
    <w:rsid w:val="00223FDF"/>
    <w:rsid w:val="0022439F"/>
    <w:rsid w:val="00225197"/>
    <w:rsid w:val="00227834"/>
    <w:rsid w:val="00227E45"/>
    <w:rsid w:val="002305EC"/>
    <w:rsid w:val="00230608"/>
    <w:rsid w:val="00231DC8"/>
    <w:rsid w:val="0023310E"/>
    <w:rsid w:val="00234EA1"/>
    <w:rsid w:val="00235AB9"/>
    <w:rsid w:val="00235F91"/>
    <w:rsid w:val="00237126"/>
    <w:rsid w:val="00237E34"/>
    <w:rsid w:val="00240CE6"/>
    <w:rsid w:val="0024133E"/>
    <w:rsid w:val="00241CC1"/>
    <w:rsid w:val="00242177"/>
    <w:rsid w:val="00242C77"/>
    <w:rsid w:val="00243173"/>
    <w:rsid w:val="0024319D"/>
    <w:rsid w:val="00243E84"/>
    <w:rsid w:val="00244255"/>
    <w:rsid w:val="00244497"/>
    <w:rsid w:val="002454AF"/>
    <w:rsid w:val="00246EE3"/>
    <w:rsid w:val="00246F33"/>
    <w:rsid w:val="002470DB"/>
    <w:rsid w:val="002477D5"/>
    <w:rsid w:val="002478D7"/>
    <w:rsid w:val="00250937"/>
    <w:rsid w:val="0025122B"/>
    <w:rsid w:val="00251390"/>
    <w:rsid w:val="0025203B"/>
    <w:rsid w:val="00253808"/>
    <w:rsid w:val="002539BD"/>
    <w:rsid w:val="002556FF"/>
    <w:rsid w:val="00255BBF"/>
    <w:rsid w:val="002625BF"/>
    <w:rsid w:val="002627B2"/>
    <w:rsid w:val="00262E6C"/>
    <w:rsid w:val="00267406"/>
    <w:rsid w:val="00270588"/>
    <w:rsid w:val="002713A9"/>
    <w:rsid w:val="00271F17"/>
    <w:rsid w:val="002725D0"/>
    <w:rsid w:val="00272B2A"/>
    <w:rsid w:val="00272DDD"/>
    <w:rsid w:val="00272E02"/>
    <w:rsid w:val="002734AE"/>
    <w:rsid w:val="00274124"/>
    <w:rsid w:val="002761DE"/>
    <w:rsid w:val="00280454"/>
    <w:rsid w:val="0028204F"/>
    <w:rsid w:val="002849BF"/>
    <w:rsid w:val="00286CE2"/>
    <w:rsid w:val="00287F36"/>
    <w:rsid w:val="0029190E"/>
    <w:rsid w:val="00291CCC"/>
    <w:rsid w:val="00292BD1"/>
    <w:rsid w:val="002932B6"/>
    <w:rsid w:val="00293E21"/>
    <w:rsid w:val="00297303"/>
    <w:rsid w:val="002977D0"/>
    <w:rsid w:val="002A0927"/>
    <w:rsid w:val="002A0D8E"/>
    <w:rsid w:val="002A1916"/>
    <w:rsid w:val="002A2553"/>
    <w:rsid w:val="002A2E88"/>
    <w:rsid w:val="002A499D"/>
    <w:rsid w:val="002A4AB6"/>
    <w:rsid w:val="002A533D"/>
    <w:rsid w:val="002A56A6"/>
    <w:rsid w:val="002A5928"/>
    <w:rsid w:val="002A680E"/>
    <w:rsid w:val="002A7198"/>
    <w:rsid w:val="002A7DFB"/>
    <w:rsid w:val="002B1ADF"/>
    <w:rsid w:val="002B352D"/>
    <w:rsid w:val="002B37D1"/>
    <w:rsid w:val="002B3EEA"/>
    <w:rsid w:val="002B460E"/>
    <w:rsid w:val="002B5B25"/>
    <w:rsid w:val="002B5CAC"/>
    <w:rsid w:val="002B66BB"/>
    <w:rsid w:val="002B768F"/>
    <w:rsid w:val="002C0833"/>
    <w:rsid w:val="002C16DB"/>
    <w:rsid w:val="002C2A1A"/>
    <w:rsid w:val="002C3C4A"/>
    <w:rsid w:val="002C3F7B"/>
    <w:rsid w:val="002C41D6"/>
    <w:rsid w:val="002C456C"/>
    <w:rsid w:val="002C4E40"/>
    <w:rsid w:val="002C4F3E"/>
    <w:rsid w:val="002D22BD"/>
    <w:rsid w:val="002D296B"/>
    <w:rsid w:val="002D2A46"/>
    <w:rsid w:val="002D336A"/>
    <w:rsid w:val="002D3A5F"/>
    <w:rsid w:val="002D3A69"/>
    <w:rsid w:val="002D4066"/>
    <w:rsid w:val="002D4329"/>
    <w:rsid w:val="002D7282"/>
    <w:rsid w:val="002D7B33"/>
    <w:rsid w:val="002E023B"/>
    <w:rsid w:val="002E062F"/>
    <w:rsid w:val="002E1B10"/>
    <w:rsid w:val="002E1ED7"/>
    <w:rsid w:val="002E38B8"/>
    <w:rsid w:val="002E3BFA"/>
    <w:rsid w:val="002E440F"/>
    <w:rsid w:val="002E5211"/>
    <w:rsid w:val="002E55D0"/>
    <w:rsid w:val="002E5EF6"/>
    <w:rsid w:val="002E689C"/>
    <w:rsid w:val="002E68A9"/>
    <w:rsid w:val="002E7037"/>
    <w:rsid w:val="002E7075"/>
    <w:rsid w:val="002F05C8"/>
    <w:rsid w:val="002F200F"/>
    <w:rsid w:val="002F2449"/>
    <w:rsid w:val="002F28A8"/>
    <w:rsid w:val="002F6CB1"/>
    <w:rsid w:val="002F7B6A"/>
    <w:rsid w:val="003005A9"/>
    <w:rsid w:val="003005C5"/>
    <w:rsid w:val="00300BFD"/>
    <w:rsid w:val="0030149B"/>
    <w:rsid w:val="0030159A"/>
    <w:rsid w:val="00302C45"/>
    <w:rsid w:val="003030B1"/>
    <w:rsid w:val="00305F28"/>
    <w:rsid w:val="0030754A"/>
    <w:rsid w:val="003110D8"/>
    <w:rsid w:val="00314882"/>
    <w:rsid w:val="003148EC"/>
    <w:rsid w:val="00315F1B"/>
    <w:rsid w:val="003160CF"/>
    <w:rsid w:val="00316A26"/>
    <w:rsid w:val="003218CF"/>
    <w:rsid w:val="00321A18"/>
    <w:rsid w:val="00321F16"/>
    <w:rsid w:val="00323914"/>
    <w:rsid w:val="003241D8"/>
    <w:rsid w:val="00325A85"/>
    <w:rsid w:val="00326773"/>
    <w:rsid w:val="003268EA"/>
    <w:rsid w:val="003269EE"/>
    <w:rsid w:val="003270FE"/>
    <w:rsid w:val="003277CA"/>
    <w:rsid w:val="00331387"/>
    <w:rsid w:val="00331602"/>
    <w:rsid w:val="0033295F"/>
    <w:rsid w:val="00332DF3"/>
    <w:rsid w:val="003333E3"/>
    <w:rsid w:val="00333B56"/>
    <w:rsid w:val="00334947"/>
    <w:rsid w:val="0033542E"/>
    <w:rsid w:val="00335521"/>
    <w:rsid w:val="00335ADC"/>
    <w:rsid w:val="00335C94"/>
    <w:rsid w:val="00336D57"/>
    <w:rsid w:val="003405C4"/>
    <w:rsid w:val="0034090D"/>
    <w:rsid w:val="00341419"/>
    <w:rsid w:val="003435F5"/>
    <w:rsid w:val="00343700"/>
    <w:rsid w:val="003438C0"/>
    <w:rsid w:val="00344580"/>
    <w:rsid w:val="00346197"/>
    <w:rsid w:val="00350D57"/>
    <w:rsid w:val="00352773"/>
    <w:rsid w:val="00352BF0"/>
    <w:rsid w:val="00352F67"/>
    <w:rsid w:val="003532E1"/>
    <w:rsid w:val="003546ED"/>
    <w:rsid w:val="00356160"/>
    <w:rsid w:val="00356250"/>
    <w:rsid w:val="003575D8"/>
    <w:rsid w:val="00357DB2"/>
    <w:rsid w:val="00360318"/>
    <w:rsid w:val="00360470"/>
    <w:rsid w:val="00361197"/>
    <w:rsid w:val="003611D2"/>
    <w:rsid w:val="0036129B"/>
    <w:rsid w:val="00361BCF"/>
    <w:rsid w:val="003624BB"/>
    <w:rsid w:val="003625D1"/>
    <w:rsid w:val="0036400C"/>
    <w:rsid w:val="0036405E"/>
    <w:rsid w:val="00366946"/>
    <w:rsid w:val="00367B77"/>
    <w:rsid w:val="00370C49"/>
    <w:rsid w:val="00372FB9"/>
    <w:rsid w:val="0037457E"/>
    <w:rsid w:val="00375308"/>
    <w:rsid w:val="003753B6"/>
    <w:rsid w:val="003758F0"/>
    <w:rsid w:val="003767A0"/>
    <w:rsid w:val="00376A3E"/>
    <w:rsid w:val="00380368"/>
    <w:rsid w:val="0038059D"/>
    <w:rsid w:val="00382D27"/>
    <w:rsid w:val="00383F52"/>
    <w:rsid w:val="00384C57"/>
    <w:rsid w:val="00384C9E"/>
    <w:rsid w:val="00384F26"/>
    <w:rsid w:val="003858BF"/>
    <w:rsid w:val="00386A4C"/>
    <w:rsid w:val="00386F86"/>
    <w:rsid w:val="003872B6"/>
    <w:rsid w:val="00387751"/>
    <w:rsid w:val="003879CD"/>
    <w:rsid w:val="00387E51"/>
    <w:rsid w:val="0039100B"/>
    <w:rsid w:val="00392534"/>
    <w:rsid w:val="00392E57"/>
    <w:rsid w:val="00393610"/>
    <w:rsid w:val="003945CC"/>
    <w:rsid w:val="0039485C"/>
    <w:rsid w:val="0039666E"/>
    <w:rsid w:val="003966DD"/>
    <w:rsid w:val="00396AA4"/>
    <w:rsid w:val="0039722B"/>
    <w:rsid w:val="00397254"/>
    <w:rsid w:val="003A107F"/>
    <w:rsid w:val="003A2177"/>
    <w:rsid w:val="003A2B40"/>
    <w:rsid w:val="003A2CCD"/>
    <w:rsid w:val="003A3EA9"/>
    <w:rsid w:val="003A4BCD"/>
    <w:rsid w:val="003A5342"/>
    <w:rsid w:val="003A58E0"/>
    <w:rsid w:val="003A5D22"/>
    <w:rsid w:val="003A72C0"/>
    <w:rsid w:val="003A7F67"/>
    <w:rsid w:val="003B0890"/>
    <w:rsid w:val="003B0D07"/>
    <w:rsid w:val="003B11EB"/>
    <w:rsid w:val="003B1872"/>
    <w:rsid w:val="003B2684"/>
    <w:rsid w:val="003B2701"/>
    <w:rsid w:val="003B4D7B"/>
    <w:rsid w:val="003B51B0"/>
    <w:rsid w:val="003B5682"/>
    <w:rsid w:val="003B5AD0"/>
    <w:rsid w:val="003B67AB"/>
    <w:rsid w:val="003B6DCB"/>
    <w:rsid w:val="003B7ECD"/>
    <w:rsid w:val="003C0972"/>
    <w:rsid w:val="003C271F"/>
    <w:rsid w:val="003C3E87"/>
    <w:rsid w:val="003C4080"/>
    <w:rsid w:val="003C417B"/>
    <w:rsid w:val="003C4876"/>
    <w:rsid w:val="003C5B32"/>
    <w:rsid w:val="003C5D07"/>
    <w:rsid w:val="003C5FEF"/>
    <w:rsid w:val="003C751D"/>
    <w:rsid w:val="003D1FAB"/>
    <w:rsid w:val="003D27BF"/>
    <w:rsid w:val="003D2D23"/>
    <w:rsid w:val="003D2E89"/>
    <w:rsid w:val="003D2E9D"/>
    <w:rsid w:val="003D374B"/>
    <w:rsid w:val="003D3A76"/>
    <w:rsid w:val="003D3A87"/>
    <w:rsid w:val="003D4AAD"/>
    <w:rsid w:val="003D5517"/>
    <w:rsid w:val="003D5728"/>
    <w:rsid w:val="003D7745"/>
    <w:rsid w:val="003D78DA"/>
    <w:rsid w:val="003E0C56"/>
    <w:rsid w:val="003E0CDF"/>
    <w:rsid w:val="003E0E16"/>
    <w:rsid w:val="003E10B6"/>
    <w:rsid w:val="003E233C"/>
    <w:rsid w:val="003E367C"/>
    <w:rsid w:val="003E4E67"/>
    <w:rsid w:val="003E6217"/>
    <w:rsid w:val="003E66E4"/>
    <w:rsid w:val="003E7462"/>
    <w:rsid w:val="003E7CB1"/>
    <w:rsid w:val="003E7EBE"/>
    <w:rsid w:val="003F0115"/>
    <w:rsid w:val="003F1094"/>
    <w:rsid w:val="003F147C"/>
    <w:rsid w:val="003F1CB3"/>
    <w:rsid w:val="003F239A"/>
    <w:rsid w:val="003F426D"/>
    <w:rsid w:val="003F5199"/>
    <w:rsid w:val="003F66E6"/>
    <w:rsid w:val="003F6FC1"/>
    <w:rsid w:val="003F7D4B"/>
    <w:rsid w:val="00401797"/>
    <w:rsid w:val="00401B72"/>
    <w:rsid w:val="00401BC9"/>
    <w:rsid w:val="00402A65"/>
    <w:rsid w:val="00404803"/>
    <w:rsid w:val="0040480A"/>
    <w:rsid w:val="0040599D"/>
    <w:rsid w:val="0040684C"/>
    <w:rsid w:val="004076B8"/>
    <w:rsid w:val="004110A8"/>
    <w:rsid w:val="00411B03"/>
    <w:rsid w:val="00411E23"/>
    <w:rsid w:val="004127CC"/>
    <w:rsid w:val="00413887"/>
    <w:rsid w:val="004143BC"/>
    <w:rsid w:val="0041502E"/>
    <w:rsid w:val="004158A1"/>
    <w:rsid w:val="00416193"/>
    <w:rsid w:val="00420FB8"/>
    <w:rsid w:val="00422EAE"/>
    <w:rsid w:val="0042320F"/>
    <w:rsid w:val="00423AC8"/>
    <w:rsid w:val="00425554"/>
    <w:rsid w:val="004278BE"/>
    <w:rsid w:val="004307BA"/>
    <w:rsid w:val="004310D7"/>
    <w:rsid w:val="00432361"/>
    <w:rsid w:val="00433075"/>
    <w:rsid w:val="00433259"/>
    <w:rsid w:val="004333CD"/>
    <w:rsid w:val="004353F8"/>
    <w:rsid w:val="004353FF"/>
    <w:rsid w:val="004357CC"/>
    <w:rsid w:val="00436FF7"/>
    <w:rsid w:val="004374DF"/>
    <w:rsid w:val="00437AB1"/>
    <w:rsid w:val="0044075E"/>
    <w:rsid w:val="0044156B"/>
    <w:rsid w:val="00444096"/>
    <w:rsid w:val="00444675"/>
    <w:rsid w:val="00445642"/>
    <w:rsid w:val="00445E78"/>
    <w:rsid w:val="00446657"/>
    <w:rsid w:val="00447F77"/>
    <w:rsid w:val="00451388"/>
    <w:rsid w:val="00451EF6"/>
    <w:rsid w:val="00452E96"/>
    <w:rsid w:val="004547CE"/>
    <w:rsid w:val="00454E10"/>
    <w:rsid w:val="004556C2"/>
    <w:rsid w:val="004558B5"/>
    <w:rsid w:val="00455C3B"/>
    <w:rsid w:val="00456C08"/>
    <w:rsid w:val="0045790A"/>
    <w:rsid w:val="004613D7"/>
    <w:rsid w:val="0046187C"/>
    <w:rsid w:val="0046204A"/>
    <w:rsid w:val="0046205B"/>
    <w:rsid w:val="00462EC8"/>
    <w:rsid w:val="00463657"/>
    <w:rsid w:val="00465755"/>
    <w:rsid w:val="00467835"/>
    <w:rsid w:val="00467B98"/>
    <w:rsid w:val="00470155"/>
    <w:rsid w:val="00471982"/>
    <w:rsid w:val="00471DB6"/>
    <w:rsid w:val="00471F96"/>
    <w:rsid w:val="00472033"/>
    <w:rsid w:val="0047258D"/>
    <w:rsid w:val="0047382C"/>
    <w:rsid w:val="00474146"/>
    <w:rsid w:val="00474E08"/>
    <w:rsid w:val="00475D26"/>
    <w:rsid w:val="00476FB3"/>
    <w:rsid w:val="00477E7B"/>
    <w:rsid w:val="004802D8"/>
    <w:rsid w:val="00480755"/>
    <w:rsid w:val="00481F16"/>
    <w:rsid w:val="00484058"/>
    <w:rsid w:val="004841FC"/>
    <w:rsid w:val="00484341"/>
    <w:rsid w:val="00485D66"/>
    <w:rsid w:val="004869AE"/>
    <w:rsid w:val="00486A0C"/>
    <w:rsid w:val="00492941"/>
    <w:rsid w:val="00493BC4"/>
    <w:rsid w:val="00495CE9"/>
    <w:rsid w:val="00495ED2"/>
    <w:rsid w:val="00497681"/>
    <w:rsid w:val="004A0315"/>
    <w:rsid w:val="004A0998"/>
    <w:rsid w:val="004A1C21"/>
    <w:rsid w:val="004A2189"/>
    <w:rsid w:val="004A4A8E"/>
    <w:rsid w:val="004A51C4"/>
    <w:rsid w:val="004A5435"/>
    <w:rsid w:val="004A5440"/>
    <w:rsid w:val="004A6C2B"/>
    <w:rsid w:val="004A7752"/>
    <w:rsid w:val="004A7E63"/>
    <w:rsid w:val="004B01AA"/>
    <w:rsid w:val="004B0890"/>
    <w:rsid w:val="004B1A85"/>
    <w:rsid w:val="004B26EA"/>
    <w:rsid w:val="004B2AC1"/>
    <w:rsid w:val="004B34B6"/>
    <w:rsid w:val="004B3558"/>
    <w:rsid w:val="004B572D"/>
    <w:rsid w:val="004B5E5E"/>
    <w:rsid w:val="004B62BA"/>
    <w:rsid w:val="004C0808"/>
    <w:rsid w:val="004C094A"/>
    <w:rsid w:val="004C0C5F"/>
    <w:rsid w:val="004C0D10"/>
    <w:rsid w:val="004C0D52"/>
    <w:rsid w:val="004C22EE"/>
    <w:rsid w:val="004C3390"/>
    <w:rsid w:val="004C3AD5"/>
    <w:rsid w:val="004C49E4"/>
    <w:rsid w:val="004C49F5"/>
    <w:rsid w:val="004C4E0A"/>
    <w:rsid w:val="004C4E4A"/>
    <w:rsid w:val="004C5E24"/>
    <w:rsid w:val="004C621F"/>
    <w:rsid w:val="004C633F"/>
    <w:rsid w:val="004C64D4"/>
    <w:rsid w:val="004C6C26"/>
    <w:rsid w:val="004C6D7C"/>
    <w:rsid w:val="004C6FC4"/>
    <w:rsid w:val="004D104C"/>
    <w:rsid w:val="004D1CD1"/>
    <w:rsid w:val="004D2AD2"/>
    <w:rsid w:val="004D2C98"/>
    <w:rsid w:val="004D30F5"/>
    <w:rsid w:val="004D4733"/>
    <w:rsid w:val="004D54AA"/>
    <w:rsid w:val="004D5E9F"/>
    <w:rsid w:val="004D61BA"/>
    <w:rsid w:val="004D67CF"/>
    <w:rsid w:val="004D6EF0"/>
    <w:rsid w:val="004D7791"/>
    <w:rsid w:val="004E1D17"/>
    <w:rsid w:val="004E1E47"/>
    <w:rsid w:val="004E26A0"/>
    <w:rsid w:val="004E4466"/>
    <w:rsid w:val="004E4CF1"/>
    <w:rsid w:val="004E5220"/>
    <w:rsid w:val="004E5727"/>
    <w:rsid w:val="004E594D"/>
    <w:rsid w:val="004E5B81"/>
    <w:rsid w:val="004E6C19"/>
    <w:rsid w:val="004F0C9D"/>
    <w:rsid w:val="004F1E4C"/>
    <w:rsid w:val="004F1EB8"/>
    <w:rsid w:val="004F29AD"/>
    <w:rsid w:val="004F3B90"/>
    <w:rsid w:val="004F4383"/>
    <w:rsid w:val="004F4D24"/>
    <w:rsid w:val="004F64F4"/>
    <w:rsid w:val="004F73E2"/>
    <w:rsid w:val="00500C3A"/>
    <w:rsid w:val="005012B4"/>
    <w:rsid w:val="00501760"/>
    <w:rsid w:val="00501FB1"/>
    <w:rsid w:val="005021EB"/>
    <w:rsid w:val="0050285E"/>
    <w:rsid w:val="005028E0"/>
    <w:rsid w:val="00503D96"/>
    <w:rsid w:val="0050424E"/>
    <w:rsid w:val="00504CD5"/>
    <w:rsid w:val="00504D6D"/>
    <w:rsid w:val="00506737"/>
    <w:rsid w:val="00506E62"/>
    <w:rsid w:val="0050722A"/>
    <w:rsid w:val="00507420"/>
    <w:rsid w:val="005074F4"/>
    <w:rsid w:val="0050765A"/>
    <w:rsid w:val="005078CE"/>
    <w:rsid w:val="00507970"/>
    <w:rsid w:val="0051127A"/>
    <w:rsid w:val="00511C7B"/>
    <w:rsid w:val="005130C1"/>
    <w:rsid w:val="0051471C"/>
    <w:rsid w:val="00514B32"/>
    <w:rsid w:val="00514E94"/>
    <w:rsid w:val="00516F2E"/>
    <w:rsid w:val="005179BC"/>
    <w:rsid w:val="00517DE9"/>
    <w:rsid w:val="0052057D"/>
    <w:rsid w:val="00520812"/>
    <w:rsid w:val="00521947"/>
    <w:rsid w:val="00522959"/>
    <w:rsid w:val="00522F92"/>
    <w:rsid w:val="00524182"/>
    <w:rsid w:val="00526256"/>
    <w:rsid w:val="005273C1"/>
    <w:rsid w:val="00527B41"/>
    <w:rsid w:val="00527B7F"/>
    <w:rsid w:val="00527E65"/>
    <w:rsid w:val="0053005D"/>
    <w:rsid w:val="0053176B"/>
    <w:rsid w:val="005319BA"/>
    <w:rsid w:val="00531E2C"/>
    <w:rsid w:val="00532E8A"/>
    <w:rsid w:val="00533631"/>
    <w:rsid w:val="00534945"/>
    <w:rsid w:val="00535A64"/>
    <w:rsid w:val="00535D1C"/>
    <w:rsid w:val="00535D5B"/>
    <w:rsid w:val="00536248"/>
    <w:rsid w:val="005371B1"/>
    <w:rsid w:val="005371B9"/>
    <w:rsid w:val="00537A0A"/>
    <w:rsid w:val="00540895"/>
    <w:rsid w:val="005410D8"/>
    <w:rsid w:val="005428F3"/>
    <w:rsid w:val="00542D40"/>
    <w:rsid w:val="00545500"/>
    <w:rsid w:val="005460A6"/>
    <w:rsid w:val="00546BB5"/>
    <w:rsid w:val="005471E2"/>
    <w:rsid w:val="005479EC"/>
    <w:rsid w:val="005506F7"/>
    <w:rsid w:val="00550CA9"/>
    <w:rsid w:val="005513DA"/>
    <w:rsid w:val="00553B92"/>
    <w:rsid w:val="00553C40"/>
    <w:rsid w:val="00555248"/>
    <w:rsid w:val="00555BA6"/>
    <w:rsid w:val="00555BAC"/>
    <w:rsid w:val="0055706B"/>
    <w:rsid w:val="005603C3"/>
    <w:rsid w:val="00560C74"/>
    <w:rsid w:val="00560F36"/>
    <w:rsid w:val="0056231D"/>
    <w:rsid w:val="00562BFF"/>
    <w:rsid w:val="005643C6"/>
    <w:rsid w:val="00565411"/>
    <w:rsid w:val="005660DC"/>
    <w:rsid w:val="00566DFB"/>
    <w:rsid w:val="005709AB"/>
    <w:rsid w:val="00572851"/>
    <w:rsid w:val="005735F0"/>
    <w:rsid w:val="0057581A"/>
    <w:rsid w:val="00575F22"/>
    <w:rsid w:val="00575FC2"/>
    <w:rsid w:val="005764B5"/>
    <w:rsid w:val="0057796B"/>
    <w:rsid w:val="005801A3"/>
    <w:rsid w:val="00580614"/>
    <w:rsid w:val="00581087"/>
    <w:rsid w:val="00581C22"/>
    <w:rsid w:val="00581FA9"/>
    <w:rsid w:val="005822C6"/>
    <w:rsid w:val="005827C8"/>
    <w:rsid w:val="00582A5F"/>
    <w:rsid w:val="005833D4"/>
    <w:rsid w:val="00585090"/>
    <w:rsid w:val="0058562C"/>
    <w:rsid w:val="005858D9"/>
    <w:rsid w:val="00586FE5"/>
    <w:rsid w:val="005871BA"/>
    <w:rsid w:val="005878B2"/>
    <w:rsid w:val="00590A94"/>
    <w:rsid w:val="00590B44"/>
    <w:rsid w:val="00592456"/>
    <w:rsid w:val="00592A8B"/>
    <w:rsid w:val="00593243"/>
    <w:rsid w:val="00594EEC"/>
    <w:rsid w:val="005A0976"/>
    <w:rsid w:val="005A204C"/>
    <w:rsid w:val="005A224C"/>
    <w:rsid w:val="005A25B8"/>
    <w:rsid w:val="005A2B19"/>
    <w:rsid w:val="005A2B50"/>
    <w:rsid w:val="005A2D5C"/>
    <w:rsid w:val="005A3505"/>
    <w:rsid w:val="005A4C9F"/>
    <w:rsid w:val="005A7B03"/>
    <w:rsid w:val="005B040B"/>
    <w:rsid w:val="005B195E"/>
    <w:rsid w:val="005B1C46"/>
    <w:rsid w:val="005B21A2"/>
    <w:rsid w:val="005B360D"/>
    <w:rsid w:val="005B41DE"/>
    <w:rsid w:val="005B4522"/>
    <w:rsid w:val="005B48B1"/>
    <w:rsid w:val="005B4C1B"/>
    <w:rsid w:val="005B5B60"/>
    <w:rsid w:val="005B7563"/>
    <w:rsid w:val="005B79B3"/>
    <w:rsid w:val="005C0333"/>
    <w:rsid w:val="005C088A"/>
    <w:rsid w:val="005C1BEC"/>
    <w:rsid w:val="005C3339"/>
    <w:rsid w:val="005C3393"/>
    <w:rsid w:val="005C52EB"/>
    <w:rsid w:val="005C5C33"/>
    <w:rsid w:val="005C5DD2"/>
    <w:rsid w:val="005C60C8"/>
    <w:rsid w:val="005C7169"/>
    <w:rsid w:val="005C72B5"/>
    <w:rsid w:val="005D0520"/>
    <w:rsid w:val="005D0CE9"/>
    <w:rsid w:val="005D0F71"/>
    <w:rsid w:val="005D1B51"/>
    <w:rsid w:val="005D231A"/>
    <w:rsid w:val="005D26DA"/>
    <w:rsid w:val="005D2CC2"/>
    <w:rsid w:val="005D2E5B"/>
    <w:rsid w:val="005D3F68"/>
    <w:rsid w:val="005D4167"/>
    <w:rsid w:val="005D504B"/>
    <w:rsid w:val="005D5CBA"/>
    <w:rsid w:val="005D7F96"/>
    <w:rsid w:val="005E0B73"/>
    <w:rsid w:val="005E1B0D"/>
    <w:rsid w:val="005E2B54"/>
    <w:rsid w:val="005E2F8C"/>
    <w:rsid w:val="005E3F73"/>
    <w:rsid w:val="005E4A7E"/>
    <w:rsid w:val="005E4EE7"/>
    <w:rsid w:val="005E6D2C"/>
    <w:rsid w:val="005E71FE"/>
    <w:rsid w:val="005F19AD"/>
    <w:rsid w:val="005F1B9D"/>
    <w:rsid w:val="005F285A"/>
    <w:rsid w:val="005F39F9"/>
    <w:rsid w:val="005F4D0F"/>
    <w:rsid w:val="005F528D"/>
    <w:rsid w:val="005F5760"/>
    <w:rsid w:val="005F5C4C"/>
    <w:rsid w:val="005F5E4F"/>
    <w:rsid w:val="005F607A"/>
    <w:rsid w:val="005F643E"/>
    <w:rsid w:val="005F6AF5"/>
    <w:rsid w:val="005F6E8D"/>
    <w:rsid w:val="005F71FB"/>
    <w:rsid w:val="005F73F0"/>
    <w:rsid w:val="0060209F"/>
    <w:rsid w:val="00602516"/>
    <w:rsid w:val="00602650"/>
    <w:rsid w:val="00604A58"/>
    <w:rsid w:val="00604A9C"/>
    <w:rsid w:val="00604C47"/>
    <w:rsid w:val="006057B4"/>
    <w:rsid w:val="00606AD1"/>
    <w:rsid w:val="006078A1"/>
    <w:rsid w:val="00607A6B"/>
    <w:rsid w:val="00607AC6"/>
    <w:rsid w:val="00607E8D"/>
    <w:rsid w:val="00610892"/>
    <w:rsid w:val="00610BFF"/>
    <w:rsid w:val="006111EE"/>
    <w:rsid w:val="00611215"/>
    <w:rsid w:val="00612A49"/>
    <w:rsid w:val="0061367C"/>
    <w:rsid w:val="00616FAC"/>
    <w:rsid w:val="0061790D"/>
    <w:rsid w:val="00617F5C"/>
    <w:rsid w:val="00620323"/>
    <w:rsid w:val="00621593"/>
    <w:rsid w:val="00621D2D"/>
    <w:rsid w:val="00623EB5"/>
    <w:rsid w:val="00624C30"/>
    <w:rsid w:val="00625644"/>
    <w:rsid w:val="006261F7"/>
    <w:rsid w:val="00626674"/>
    <w:rsid w:val="00626827"/>
    <w:rsid w:val="006270CF"/>
    <w:rsid w:val="006275AB"/>
    <w:rsid w:val="00627CAE"/>
    <w:rsid w:val="006301D1"/>
    <w:rsid w:val="00630323"/>
    <w:rsid w:val="00630B6C"/>
    <w:rsid w:val="006310B1"/>
    <w:rsid w:val="00631BA1"/>
    <w:rsid w:val="006322F5"/>
    <w:rsid w:val="00633643"/>
    <w:rsid w:val="00633E69"/>
    <w:rsid w:val="0063409E"/>
    <w:rsid w:val="00634B6D"/>
    <w:rsid w:val="00634C53"/>
    <w:rsid w:val="00635728"/>
    <w:rsid w:val="00635B53"/>
    <w:rsid w:val="006364CD"/>
    <w:rsid w:val="006365C2"/>
    <w:rsid w:val="0064080A"/>
    <w:rsid w:val="0064102E"/>
    <w:rsid w:val="0064181A"/>
    <w:rsid w:val="0064313A"/>
    <w:rsid w:val="00643BEB"/>
    <w:rsid w:val="00643CCA"/>
    <w:rsid w:val="006448A5"/>
    <w:rsid w:val="006450C0"/>
    <w:rsid w:val="00645807"/>
    <w:rsid w:val="006458C1"/>
    <w:rsid w:val="00646F3B"/>
    <w:rsid w:val="00647C4B"/>
    <w:rsid w:val="00647D02"/>
    <w:rsid w:val="00647F6E"/>
    <w:rsid w:val="006503B2"/>
    <w:rsid w:val="006504B3"/>
    <w:rsid w:val="00650F45"/>
    <w:rsid w:val="00652493"/>
    <w:rsid w:val="006541A4"/>
    <w:rsid w:val="00654ACA"/>
    <w:rsid w:val="00655DF5"/>
    <w:rsid w:val="00657A9F"/>
    <w:rsid w:val="00657B0B"/>
    <w:rsid w:val="00661139"/>
    <w:rsid w:val="00661857"/>
    <w:rsid w:val="0066225F"/>
    <w:rsid w:val="00666454"/>
    <w:rsid w:val="00666958"/>
    <w:rsid w:val="00670B3D"/>
    <w:rsid w:val="00670D62"/>
    <w:rsid w:val="00671018"/>
    <w:rsid w:val="006729A6"/>
    <w:rsid w:val="006729E7"/>
    <w:rsid w:val="00673CE4"/>
    <w:rsid w:val="00673FA7"/>
    <w:rsid w:val="00674D93"/>
    <w:rsid w:val="006768F3"/>
    <w:rsid w:val="00676E2B"/>
    <w:rsid w:val="00676F31"/>
    <w:rsid w:val="006806B3"/>
    <w:rsid w:val="00680A7F"/>
    <w:rsid w:val="006815B0"/>
    <w:rsid w:val="006818D8"/>
    <w:rsid w:val="006819B1"/>
    <w:rsid w:val="00681C1E"/>
    <w:rsid w:val="0068413F"/>
    <w:rsid w:val="00684188"/>
    <w:rsid w:val="00684AF8"/>
    <w:rsid w:val="00684F9F"/>
    <w:rsid w:val="00686350"/>
    <w:rsid w:val="00686A4B"/>
    <w:rsid w:val="0068704F"/>
    <w:rsid w:val="00687459"/>
    <w:rsid w:val="00687795"/>
    <w:rsid w:val="006900D6"/>
    <w:rsid w:val="006914BF"/>
    <w:rsid w:val="00691A50"/>
    <w:rsid w:val="00691DE0"/>
    <w:rsid w:val="006920CF"/>
    <w:rsid w:val="006944B4"/>
    <w:rsid w:val="006945E9"/>
    <w:rsid w:val="0069467D"/>
    <w:rsid w:val="00694861"/>
    <w:rsid w:val="006A01BB"/>
    <w:rsid w:val="006A1A97"/>
    <w:rsid w:val="006A1B1F"/>
    <w:rsid w:val="006A1FB4"/>
    <w:rsid w:val="006A3205"/>
    <w:rsid w:val="006A456C"/>
    <w:rsid w:val="006A4A6B"/>
    <w:rsid w:val="006A6309"/>
    <w:rsid w:val="006A6793"/>
    <w:rsid w:val="006A6A70"/>
    <w:rsid w:val="006A6B04"/>
    <w:rsid w:val="006A6B5E"/>
    <w:rsid w:val="006A798F"/>
    <w:rsid w:val="006A7C98"/>
    <w:rsid w:val="006B1955"/>
    <w:rsid w:val="006B20F1"/>
    <w:rsid w:val="006B328D"/>
    <w:rsid w:val="006B353E"/>
    <w:rsid w:val="006B3F11"/>
    <w:rsid w:val="006B535A"/>
    <w:rsid w:val="006B537C"/>
    <w:rsid w:val="006B548B"/>
    <w:rsid w:val="006B55DE"/>
    <w:rsid w:val="006B6B8C"/>
    <w:rsid w:val="006B73B2"/>
    <w:rsid w:val="006B7756"/>
    <w:rsid w:val="006C01E7"/>
    <w:rsid w:val="006C0A20"/>
    <w:rsid w:val="006C0CDD"/>
    <w:rsid w:val="006C1692"/>
    <w:rsid w:val="006C3955"/>
    <w:rsid w:val="006C58EA"/>
    <w:rsid w:val="006D01B4"/>
    <w:rsid w:val="006D0DA6"/>
    <w:rsid w:val="006D3292"/>
    <w:rsid w:val="006D32F7"/>
    <w:rsid w:val="006D35D7"/>
    <w:rsid w:val="006D66D0"/>
    <w:rsid w:val="006D6C9F"/>
    <w:rsid w:val="006E0BE7"/>
    <w:rsid w:val="006E1231"/>
    <w:rsid w:val="006E3223"/>
    <w:rsid w:val="006E325A"/>
    <w:rsid w:val="006E3A24"/>
    <w:rsid w:val="006E7127"/>
    <w:rsid w:val="006E794C"/>
    <w:rsid w:val="006E7F89"/>
    <w:rsid w:val="006F0BB7"/>
    <w:rsid w:val="006F1E0B"/>
    <w:rsid w:val="006F2A21"/>
    <w:rsid w:val="006F3E1E"/>
    <w:rsid w:val="006F408B"/>
    <w:rsid w:val="006F4106"/>
    <w:rsid w:val="006F453C"/>
    <w:rsid w:val="006F56F4"/>
    <w:rsid w:val="006F592A"/>
    <w:rsid w:val="006F6201"/>
    <w:rsid w:val="006F6419"/>
    <w:rsid w:val="006F7467"/>
    <w:rsid w:val="006F793B"/>
    <w:rsid w:val="007008A6"/>
    <w:rsid w:val="007011C9"/>
    <w:rsid w:val="00702A4C"/>
    <w:rsid w:val="00703F81"/>
    <w:rsid w:val="00704F22"/>
    <w:rsid w:val="00705EAE"/>
    <w:rsid w:val="0070659E"/>
    <w:rsid w:val="00707290"/>
    <w:rsid w:val="00707AF3"/>
    <w:rsid w:val="00707E27"/>
    <w:rsid w:val="00707F5C"/>
    <w:rsid w:val="00711DEE"/>
    <w:rsid w:val="007124B7"/>
    <w:rsid w:val="00712503"/>
    <w:rsid w:val="00714E37"/>
    <w:rsid w:val="007154AB"/>
    <w:rsid w:val="00716014"/>
    <w:rsid w:val="0071648A"/>
    <w:rsid w:val="00716C2F"/>
    <w:rsid w:val="00720C1B"/>
    <w:rsid w:val="007218FF"/>
    <w:rsid w:val="0072305D"/>
    <w:rsid w:val="007236A4"/>
    <w:rsid w:val="00724D51"/>
    <w:rsid w:val="00725958"/>
    <w:rsid w:val="00725D8E"/>
    <w:rsid w:val="00725EC2"/>
    <w:rsid w:val="00726C21"/>
    <w:rsid w:val="00726FB9"/>
    <w:rsid w:val="00730281"/>
    <w:rsid w:val="00730BF9"/>
    <w:rsid w:val="00731133"/>
    <w:rsid w:val="00731454"/>
    <w:rsid w:val="0073200F"/>
    <w:rsid w:val="007327B7"/>
    <w:rsid w:val="00732847"/>
    <w:rsid w:val="00732F21"/>
    <w:rsid w:val="00733BF3"/>
    <w:rsid w:val="00734106"/>
    <w:rsid w:val="00734716"/>
    <w:rsid w:val="0073600F"/>
    <w:rsid w:val="00736852"/>
    <w:rsid w:val="00737DC5"/>
    <w:rsid w:val="007404B3"/>
    <w:rsid w:val="007405F4"/>
    <w:rsid w:val="00741168"/>
    <w:rsid w:val="00741DE1"/>
    <w:rsid w:val="007421ED"/>
    <w:rsid w:val="00745C43"/>
    <w:rsid w:val="0074617A"/>
    <w:rsid w:val="007461AA"/>
    <w:rsid w:val="00746823"/>
    <w:rsid w:val="00746BF1"/>
    <w:rsid w:val="0075179C"/>
    <w:rsid w:val="0075191C"/>
    <w:rsid w:val="00753A92"/>
    <w:rsid w:val="00753F34"/>
    <w:rsid w:val="00754064"/>
    <w:rsid w:val="0075491D"/>
    <w:rsid w:val="00755134"/>
    <w:rsid w:val="00757419"/>
    <w:rsid w:val="00757D59"/>
    <w:rsid w:val="00757EA9"/>
    <w:rsid w:val="00757FF3"/>
    <w:rsid w:val="00760172"/>
    <w:rsid w:val="00760D67"/>
    <w:rsid w:val="007611BF"/>
    <w:rsid w:val="00764BA2"/>
    <w:rsid w:val="00766185"/>
    <w:rsid w:val="00766291"/>
    <w:rsid w:val="00766C2E"/>
    <w:rsid w:val="00766DF1"/>
    <w:rsid w:val="00766E9A"/>
    <w:rsid w:val="007704CF"/>
    <w:rsid w:val="007709D9"/>
    <w:rsid w:val="00770D2F"/>
    <w:rsid w:val="007712CA"/>
    <w:rsid w:val="00771AA9"/>
    <w:rsid w:val="00773BBA"/>
    <w:rsid w:val="00773E5B"/>
    <w:rsid w:val="00774E35"/>
    <w:rsid w:val="00775B56"/>
    <w:rsid w:val="00776CD7"/>
    <w:rsid w:val="00776CE7"/>
    <w:rsid w:val="0077708C"/>
    <w:rsid w:val="007773C5"/>
    <w:rsid w:val="00780891"/>
    <w:rsid w:val="00780B85"/>
    <w:rsid w:val="007827DE"/>
    <w:rsid w:val="00782AF8"/>
    <w:rsid w:val="00784310"/>
    <w:rsid w:val="007853EF"/>
    <w:rsid w:val="0078560F"/>
    <w:rsid w:val="007859E6"/>
    <w:rsid w:val="00785A81"/>
    <w:rsid w:val="00786AF9"/>
    <w:rsid w:val="0078752F"/>
    <w:rsid w:val="00787D25"/>
    <w:rsid w:val="007906B6"/>
    <w:rsid w:val="00790926"/>
    <w:rsid w:val="00791F1F"/>
    <w:rsid w:val="007924FA"/>
    <w:rsid w:val="00793E2D"/>
    <w:rsid w:val="00795510"/>
    <w:rsid w:val="00795D32"/>
    <w:rsid w:val="00796EEB"/>
    <w:rsid w:val="0079712B"/>
    <w:rsid w:val="0079728D"/>
    <w:rsid w:val="007977E4"/>
    <w:rsid w:val="007978D2"/>
    <w:rsid w:val="00797A4B"/>
    <w:rsid w:val="007A0AFE"/>
    <w:rsid w:val="007A0C61"/>
    <w:rsid w:val="007A0C98"/>
    <w:rsid w:val="007A15FD"/>
    <w:rsid w:val="007A3551"/>
    <w:rsid w:val="007A5E34"/>
    <w:rsid w:val="007A62FF"/>
    <w:rsid w:val="007A7575"/>
    <w:rsid w:val="007A7DEC"/>
    <w:rsid w:val="007B09EA"/>
    <w:rsid w:val="007B13C6"/>
    <w:rsid w:val="007B4820"/>
    <w:rsid w:val="007B679D"/>
    <w:rsid w:val="007B681C"/>
    <w:rsid w:val="007B6BFE"/>
    <w:rsid w:val="007B7230"/>
    <w:rsid w:val="007C0698"/>
    <w:rsid w:val="007C0803"/>
    <w:rsid w:val="007C128E"/>
    <w:rsid w:val="007C2CDB"/>
    <w:rsid w:val="007C39D7"/>
    <w:rsid w:val="007C4667"/>
    <w:rsid w:val="007C494A"/>
    <w:rsid w:val="007C70DC"/>
    <w:rsid w:val="007C7EC3"/>
    <w:rsid w:val="007D13A4"/>
    <w:rsid w:val="007D1A5F"/>
    <w:rsid w:val="007D2F74"/>
    <w:rsid w:val="007D2F8C"/>
    <w:rsid w:val="007D356B"/>
    <w:rsid w:val="007D4006"/>
    <w:rsid w:val="007D4675"/>
    <w:rsid w:val="007D686C"/>
    <w:rsid w:val="007D72C3"/>
    <w:rsid w:val="007D7B63"/>
    <w:rsid w:val="007E09AD"/>
    <w:rsid w:val="007E1FEB"/>
    <w:rsid w:val="007E2C7D"/>
    <w:rsid w:val="007E59EB"/>
    <w:rsid w:val="007E6105"/>
    <w:rsid w:val="007E7449"/>
    <w:rsid w:val="007E7C38"/>
    <w:rsid w:val="007E7D8E"/>
    <w:rsid w:val="007F088A"/>
    <w:rsid w:val="007F31C5"/>
    <w:rsid w:val="007F31FD"/>
    <w:rsid w:val="007F4500"/>
    <w:rsid w:val="007F55DA"/>
    <w:rsid w:val="007F5D17"/>
    <w:rsid w:val="007F66F9"/>
    <w:rsid w:val="007F6E6B"/>
    <w:rsid w:val="008015ED"/>
    <w:rsid w:val="008040E7"/>
    <w:rsid w:val="00804B4E"/>
    <w:rsid w:val="00804D2C"/>
    <w:rsid w:val="00805A83"/>
    <w:rsid w:val="00807CD6"/>
    <w:rsid w:val="00810765"/>
    <w:rsid w:val="00812620"/>
    <w:rsid w:val="00812C04"/>
    <w:rsid w:val="00812EE8"/>
    <w:rsid w:val="00813CFE"/>
    <w:rsid w:val="00813D79"/>
    <w:rsid w:val="00813E33"/>
    <w:rsid w:val="00816C36"/>
    <w:rsid w:val="00817EF8"/>
    <w:rsid w:val="0082071D"/>
    <w:rsid w:val="008209D5"/>
    <w:rsid w:val="00820BBD"/>
    <w:rsid w:val="008210B1"/>
    <w:rsid w:val="00822D0C"/>
    <w:rsid w:val="00822ED2"/>
    <w:rsid w:val="00824AF9"/>
    <w:rsid w:val="00825015"/>
    <w:rsid w:val="00825073"/>
    <w:rsid w:val="008259F7"/>
    <w:rsid w:val="00825D4D"/>
    <w:rsid w:val="00827498"/>
    <w:rsid w:val="00827BE9"/>
    <w:rsid w:val="00827FB4"/>
    <w:rsid w:val="00830316"/>
    <w:rsid w:val="00830736"/>
    <w:rsid w:val="00831580"/>
    <w:rsid w:val="0083219C"/>
    <w:rsid w:val="008328CA"/>
    <w:rsid w:val="00833D54"/>
    <w:rsid w:val="00835824"/>
    <w:rsid w:val="0083734E"/>
    <w:rsid w:val="0083796C"/>
    <w:rsid w:val="00841047"/>
    <w:rsid w:val="00841A67"/>
    <w:rsid w:val="008433E5"/>
    <w:rsid w:val="0084380F"/>
    <w:rsid w:val="00844CC2"/>
    <w:rsid w:val="0084610F"/>
    <w:rsid w:val="008466A5"/>
    <w:rsid w:val="00847F85"/>
    <w:rsid w:val="008508D3"/>
    <w:rsid w:val="00851554"/>
    <w:rsid w:val="00852E97"/>
    <w:rsid w:val="008531D8"/>
    <w:rsid w:val="00853315"/>
    <w:rsid w:val="00854F10"/>
    <w:rsid w:val="0085586A"/>
    <w:rsid w:val="008566AC"/>
    <w:rsid w:val="00856E7B"/>
    <w:rsid w:val="00857B21"/>
    <w:rsid w:val="00857FFA"/>
    <w:rsid w:val="0086097C"/>
    <w:rsid w:val="00860A86"/>
    <w:rsid w:val="00861F17"/>
    <w:rsid w:val="008620EA"/>
    <w:rsid w:val="00862890"/>
    <w:rsid w:val="00864CDD"/>
    <w:rsid w:val="00870765"/>
    <w:rsid w:val="0087100A"/>
    <w:rsid w:val="0087141D"/>
    <w:rsid w:val="00872692"/>
    <w:rsid w:val="008730A0"/>
    <w:rsid w:val="00873440"/>
    <w:rsid w:val="0087347D"/>
    <w:rsid w:val="00874278"/>
    <w:rsid w:val="0087445A"/>
    <w:rsid w:val="0087451D"/>
    <w:rsid w:val="00874CA2"/>
    <w:rsid w:val="0087534D"/>
    <w:rsid w:val="00876120"/>
    <w:rsid w:val="00876381"/>
    <w:rsid w:val="008763C4"/>
    <w:rsid w:val="008771C1"/>
    <w:rsid w:val="00877314"/>
    <w:rsid w:val="00877559"/>
    <w:rsid w:val="008812C8"/>
    <w:rsid w:val="008817AF"/>
    <w:rsid w:val="0088264E"/>
    <w:rsid w:val="00883638"/>
    <w:rsid w:val="0088390E"/>
    <w:rsid w:val="00885A54"/>
    <w:rsid w:val="00886302"/>
    <w:rsid w:val="0088657D"/>
    <w:rsid w:val="008866C9"/>
    <w:rsid w:val="00886B4A"/>
    <w:rsid w:val="00887659"/>
    <w:rsid w:val="0088788C"/>
    <w:rsid w:val="00887A27"/>
    <w:rsid w:val="00890F94"/>
    <w:rsid w:val="00891550"/>
    <w:rsid w:val="00891D3E"/>
    <w:rsid w:val="00892286"/>
    <w:rsid w:val="008923C9"/>
    <w:rsid w:val="00893192"/>
    <w:rsid w:val="008945E7"/>
    <w:rsid w:val="008954E0"/>
    <w:rsid w:val="008956BD"/>
    <w:rsid w:val="00895CCE"/>
    <w:rsid w:val="00895E9D"/>
    <w:rsid w:val="0089673C"/>
    <w:rsid w:val="00896871"/>
    <w:rsid w:val="00896F14"/>
    <w:rsid w:val="008970D2"/>
    <w:rsid w:val="008A0D9D"/>
    <w:rsid w:val="008A0DB6"/>
    <w:rsid w:val="008A1827"/>
    <w:rsid w:val="008A1E1C"/>
    <w:rsid w:val="008A2913"/>
    <w:rsid w:val="008A3232"/>
    <w:rsid w:val="008A35A6"/>
    <w:rsid w:val="008A38C9"/>
    <w:rsid w:val="008A4044"/>
    <w:rsid w:val="008A4BF2"/>
    <w:rsid w:val="008A5F7A"/>
    <w:rsid w:val="008A7205"/>
    <w:rsid w:val="008A75B1"/>
    <w:rsid w:val="008B029D"/>
    <w:rsid w:val="008B02B2"/>
    <w:rsid w:val="008B24BB"/>
    <w:rsid w:val="008B28F1"/>
    <w:rsid w:val="008B4CD9"/>
    <w:rsid w:val="008B6036"/>
    <w:rsid w:val="008B6329"/>
    <w:rsid w:val="008B66D6"/>
    <w:rsid w:val="008B698C"/>
    <w:rsid w:val="008B69BC"/>
    <w:rsid w:val="008B753E"/>
    <w:rsid w:val="008C10A9"/>
    <w:rsid w:val="008C1B4B"/>
    <w:rsid w:val="008C2023"/>
    <w:rsid w:val="008C289D"/>
    <w:rsid w:val="008C4067"/>
    <w:rsid w:val="008C45EB"/>
    <w:rsid w:val="008C5A17"/>
    <w:rsid w:val="008C612E"/>
    <w:rsid w:val="008C62CB"/>
    <w:rsid w:val="008C7B4D"/>
    <w:rsid w:val="008C7EAA"/>
    <w:rsid w:val="008D0E29"/>
    <w:rsid w:val="008D1F6C"/>
    <w:rsid w:val="008D2A1E"/>
    <w:rsid w:val="008D2AFC"/>
    <w:rsid w:val="008D3E0C"/>
    <w:rsid w:val="008D426E"/>
    <w:rsid w:val="008D61BE"/>
    <w:rsid w:val="008D6A5A"/>
    <w:rsid w:val="008D6AFA"/>
    <w:rsid w:val="008D7AC5"/>
    <w:rsid w:val="008E112B"/>
    <w:rsid w:val="008E1E8D"/>
    <w:rsid w:val="008E1F78"/>
    <w:rsid w:val="008E2056"/>
    <w:rsid w:val="008E2275"/>
    <w:rsid w:val="008E232A"/>
    <w:rsid w:val="008E26A5"/>
    <w:rsid w:val="008E2BDB"/>
    <w:rsid w:val="008E337B"/>
    <w:rsid w:val="008E39BF"/>
    <w:rsid w:val="008E4545"/>
    <w:rsid w:val="008E4C55"/>
    <w:rsid w:val="008E6889"/>
    <w:rsid w:val="008E6F81"/>
    <w:rsid w:val="008E70A9"/>
    <w:rsid w:val="008F0251"/>
    <w:rsid w:val="008F0CA1"/>
    <w:rsid w:val="008F151D"/>
    <w:rsid w:val="008F1E0F"/>
    <w:rsid w:val="008F2055"/>
    <w:rsid w:val="008F2E67"/>
    <w:rsid w:val="008F3556"/>
    <w:rsid w:val="008F37C2"/>
    <w:rsid w:val="008F3AE6"/>
    <w:rsid w:val="008F4E77"/>
    <w:rsid w:val="008F506C"/>
    <w:rsid w:val="008F664B"/>
    <w:rsid w:val="008F68B3"/>
    <w:rsid w:val="008F6A44"/>
    <w:rsid w:val="008F7213"/>
    <w:rsid w:val="00901915"/>
    <w:rsid w:val="0090239C"/>
    <w:rsid w:val="00903323"/>
    <w:rsid w:val="00903F24"/>
    <w:rsid w:val="00905C98"/>
    <w:rsid w:val="00906859"/>
    <w:rsid w:val="0090749C"/>
    <w:rsid w:val="00907A20"/>
    <w:rsid w:val="00907D64"/>
    <w:rsid w:val="0091103A"/>
    <w:rsid w:val="009122DF"/>
    <w:rsid w:val="00912FBA"/>
    <w:rsid w:val="0091382C"/>
    <w:rsid w:val="00914F82"/>
    <w:rsid w:val="00916C76"/>
    <w:rsid w:val="0092022C"/>
    <w:rsid w:val="009205AB"/>
    <w:rsid w:val="00920EB4"/>
    <w:rsid w:val="00920F9B"/>
    <w:rsid w:val="00922D1D"/>
    <w:rsid w:val="00923A7C"/>
    <w:rsid w:val="00923C62"/>
    <w:rsid w:val="00924499"/>
    <w:rsid w:val="00924869"/>
    <w:rsid w:val="009260F2"/>
    <w:rsid w:val="009261BB"/>
    <w:rsid w:val="00926EBB"/>
    <w:rsid w:val="00926F7F"/>
    <w:rsid w:val="00930A92"/>
    <w:rsid w:val="00930DAA"/>
    <w:rsid w:val="00930EE4"/>
    <w:rsid w:val="00930F69"/>
    <w:rsid w:val="00931735"/>
    <w:rsid w:val="009329AA"/>
    <w:rsid w:val="00932BDE"/>
    <w:rsid w:val="0093377F"/>
    <w:rsid w:val="00933AF6"/>
    <w:rsid w:val="00934BD4"/>
    <w:rsid w:val="00934FCC"/>
    <w:rsid w:val="009351AE"/>
    <w:rsid w:val="009356F5"/>
    <w:rsid w:val="00936CCD"/>
    <w:rsid w:val="00936D27"/>
    <w:rsid w:val="00937A53"/>
    <w:rsid w:val="009403D3"/>
    <w:rsid w:val="00941EC7"/>
    <w:rsid w:val="009429D2"/>
    <w:rsid w:val="009439B6"/>
    <w:rsid w:val="009444A0"/>
    <w:rsid w:val="00945169"/>
    <w:rsid w:val="009457BA"/>
    <w:rsid w:val="009462A9"/>
    <w:rsid w:val="0094642F"/>
    <w:rsid w:val="0094706C"/>
    <w:rsid w:val="0095246E"/>
    <w:rsid w:val="00952A6F"/>
    <w:rsid w:val="00952D68"/>
    <w:rsid w:val="00954DC8"/>
    <w:rsid w:val="0095536A"/>
    <w:rsid w:val="009553FC"/>
    <w:rsid w:val="009557A2"/>
    <w:rsid w:val="00955DDA"/>
    <w:rsid w:val="00964D99"/>
    <w:rsid w:val="00964E20"/>
    <w:rsid w:val="009650BB"/>
    <w:rsid w:val="00966969"/>
    <w:rsid w:val="00966BA5"/>
    <w:rsid w:val="00966D1E"/>
    <w:rsid w:val="009702B0"/>
    <w:rsid w:val="00970B09"/>
    <w:rsid w:val="00970E78"/>
    <w:rsid w:val="009713B7"/>
    <w:rsid w:val="009715BA"/>
    <w:rsid w:val="00971905"/>
    <w:rsid w:val="00971BB6"/>
    <w:rsid w:val="00972456"/>
    <w:rsid w:val="009730C2"/>
    <w:rsid w:val="0097368F"/>
    <w:rsid w:val="009749C0"/>
    <w:rsid w:val="009751C2"/>
    <w:rsid w:val="0097625C"/>
    <w:rsid w:val="00976837"/>
    <w:rsid w:val="00977102"/>
    <w:rsid w:val="00980030"/>
    <w:rsid w:val="00980A65"/>
    <w:rsid w:val="00980E35"/>
    <w:rsid w:val="00981F4D"/>
    <w:rsid w:val="00982064"/>
    <w:rsid w:val="00982665"/>
    <w:rsid w:val="0098477D"/>
    <w:rsid w:val="00987986"/>
    <w:rsid w:val="0099094A"/>
    <w:rsid w:val="00990C69"/>
    <w:rsid w:val="0099290C"/>
    <w:rsid w:val="00993731"/>
    <w:rsid w:val="00993F99"/>
    <w:rsid w:val="00994C92"/>
    <w:rsid w:val="009959F3"/>
    <w:rsid w:val="00995B5B"/>
    <w:rsid w:val="00996008"/>
    <w:rsid w:val="009A06EC"/>
    <w:rsid w:val="009A0CFB"/>
    <w:rsid w:val="009A0E10"/>
    <w:rsid w:val="009A520F"/>
    <w:rsid w:val="009A5857"/>
    <w:rsid w:val="009A7A1D"/>
    <w:rsid w:val="009B220D"/>
    <w:rsid w:val="009B28DF"/>
    <w:rsid w:val="009B321D"/>
    <w:rsid w:val="009B400D"/>
    <w:rsid w:val="009B6D23"/>
    <w:rsid w:val="009B71E0"/>
    <w:rsid w:val="009B7205"/>
    <w:rsid w:val="009C0433"/>
    <w:rsid w:val="009C2545"/>
    <w:rsid w:val="009C26B9"/>
    <w:rsid w:val="009C2EF4"/>
    <w:rsid w:val="009C3A20"/>
    <w:rsid w:val="009C3E4E"/>
    <w:rsid w:val="009C4C23"/>
    <w:rsid w:val="009C4CE0"/>
    <w:rsid w:val="009C562D"/>
    <w:rsid w:val="009C579D"/>
    <w:rsid w:val="009C5914"/>
    <w:rsid w:val="009C5CDF"/>
    <w:rsid w:val="009C6AD5"/>
    <w:rsid w:val="009C6C67"/>
    <w:rsid w:val="009C73F9"/>
    <w:rsid w:val="009D04C4"/>
    <w:rsid w:val="009D0655"/>
    <w:rsid w:val="009D084F"/>
    <w:rsid w:val="009D278F"/>
    <w:rsid w:val="009D6255"/>
    <w:rsid w:val="009D73A4"/>
    <w:rsid w:val="009D75A8"/>
    <w:rsid w:val="009D7940"/>
    <w:rsid w:val="009E0461"/>
    <w:rsid w:val="009E4644"/>
    <w:rsid w:val="009E4F78"/>
    <w:rsid w:val="009E53B4"/>
    <w:rsid w:val="009E62B6"/>
    <w:rsid w:val="009E690E"/>
    <w:rsid w:val="009E6A9F"/>
    <w:rsid w:val="009E734A"/>
    <w:rsid w:val="009F108F"/>
    <w:rsid w:val="009F157A"/>
    <w:rsid w:val="009F15EB"/>
    <w:rsid w:val="009F2F7C"/>
    <w:rsid w:val="009F306D"/>
    <w:rsid w:val="009F340A"/>
    <w:rsid w:val="009F3E32"/>
    <w:rsid w:val="009F5ED9"/>
    <w:rsid w:val="009F7213"/>
    <w:rsid w:val="009F753E"/>
    <w:rsid w:val="00A0234D"/>
    <w:rsid w:val="00A02600"/>
    <w:rsid w:val="00A02C75"/>
    <w:rsid w:val="00A048ED"/>
    <w:rsid w:val="00A05478"/>
    <w:rsid w:val="00A067FD"/>
    <w:rsid w:val="00A06FDE"/>
    <w:rsid w:val="00A07D0F"/>
    <w:rsid w:val="00A10993"/>
    <w:rsid w:val="00A10B2B"/>
    <w:rsid w:val="00A113CB"/>
    <w:rsid w:val="00A114EE"/>
    <w:rsid w:val="00A11DB5"/>
    <w:rsid w:val="00A11E23"/>
    <w:rsid w:val="00A142B4"/>
    <w:rsid w:val="00A15C24"/>
    <w:rsid w:val="00A160E5"/>
    <w:rsid w:val="00A20125"/>
    <w:rsid w:val="00A20CDE"/>
    <w:rsid w:val="00A21490"/>
    <w:rsid w:val="00A21B55"/>
    <w:rsid w:val="00A22230"/>
    <w:rsid w:val="00A22C6C"/>
    <w:rsid w:val="00A23695"/>
    <w:rsid w:val="00A23C45"/>
    <w:rsid w:val="00A24B3F"/>
    <w:rsid w:val="00A24D31"/>
    <w:rsid w:val="00A24E22"/>
    <w:rsid w:val="00A25362"/>
    <w:rsid w:val="00A26E15"/>
    <w:rsid w:val="00A27A73"/>
    <w:rsid w:val="00A3147F"/>
    <w:rsid w:val="00A32C94"/>
    <w:rsid w:val="00A32D2D"/>
    <w:rsid w:val="00A34C9D"/>
    <w:rsid w:val="00A35263"/>
    <w:rsid w:val="00A353B1"/>
    <w:rsid w:val="00A3613D"/>
    <w:rsid w:val="00A40611"/>
    <w:rsid w:val="00A411FC"/>
    <w:rsid w:val="00A41BBF"/>
    <w:rsid w:val="00A420F9"/>
    <w:rsid w:val="00A42F84"/>
    <w:rsid w:val="00A431C9"/>
    <w:rsid w:val="00A44252"/>
    <w:rsid w:val="00A443E5"/>
    <w:rsid w:val="00A444DE"/>
    <w:rsid w:val="00A45412"/>
    <w:rsid w:val="00A45423"/>
    <w:rsid w:val="00A467B6"/>
    <w:rsid w:val="00A47789"/>
    <w:rsid w:val="00A50095"/>
    <w:rsid w:val="00A51148"/>
    <w:rsid w:val="00A51B08"/>
    <w:rsid w:val="00A51B9F"/>
    <w:rsid w:val="00A5351C"/>
    <w:rsid w:val="00A53CA3"/>
    <w:rsid w:val="00A546C6"/>
    <w:rsid w:val="00A54DE1"/>
    <w:rsid w:val="00A54FA7"/>
    <w:rsid w:val="00A55DE3"/>
    <w:rsid w:val="00A56EE9"/>
    <w:rsid w:val="00A57921"/>
    <w:rsid w:val="00A57D3D"/>
    <w:rsid w:val="00A6074A"/>
    <w:rsid w:val="00A610DC"/>
    <w:rsid w:val="00A62860"/>
    <w:rsid w:val="00A62C9A"/>
    <w:rsid w:val="00A63235"/>
    <w:rsid w:val="00A63300"/>
    <w:rsid w:val="00A63629"/>
    <w:rsid w:val="00A63EA6"/>
    <w:rsid w:val="00A65EDC"/>
    <w:rsid w:val="00A6630C"/>
    <w:rsid w:val="00A671B8"/>
    <w:rsid w:val="00A70E28"/>
    <w:rsid w:val="00A71526"/>
    <w:rsid w:val="00A716C3"/>
    <w:rsid w:val="00A717F1"/>
    <w:rsid w:val="00A72462"/>
    <w:rsid w:val="00A73A86"/>
    <w:rsid w:val="00A73ED0"/>
    <w:rsid w:val="00A753C7"/>
    <w:rsid w:val="00A759D1"/>
    <w:rsid w:val="00A75E6D"/>
    <w:rsid w:val="00A77C31"/>
    <w:rsid w:val="00A807A6"/>
    <w:rsid w:val="00A8171B"/>
    <w:rsid w:val="00A8193E"/>
    <w:rsid w:val="00A83002"/>
    <w:rsid w:val="00A83C18"/>
    <w:rsid w:val="00A83CC2"/>
    <w:rsid w:val="00A84807"/>
    <w:rsid w:val="00A85C14"/>
    <w:rsid w:val="00A905A4"/>
    <w:rsid w:val="00A90797"/>
    <w:rsid w:val="00A93E01"/>
    <w:rsid w:val="00A94449"/>
    <w:rsid w:val="00A947FE"/>
    <w:rsid w:val="00A94A82"/>
    <w:rsid w:val="00A96ADF"/>
    <w:rsid w:val="00A97C29"/>
    <w:rsid w:val="00A97C58"/>
    <w:rsid w:val="00AA0503"/>
    <w:rsid w:val="00AA06B3"/>
    <w:rsid w:val="00AA0A68"/>
    <w:rsid w:val="00AA1840"/>
    <w:rsid w:val="00AA5F05"/>
    <w:rsid w:val="00AA6C13"/>
    <w:rsid w:val="00AA79CD"/>
    <w:rsid w:val="00AA7EF3"/>
    <w:rsid w:val="00AB2D6E"/>
    <w:rsid w:val="00AB386C"/>
    <w:rsid w:val="00AC0DE8"/>
    <w:rsid w:val="00AC2A15"/>
    <w:rsid w:val="00AC2E42"/>
    <w:rsid w:val="00AC3455"/>
    <w:rsid w:val="00AC367A"/>
    <w:rsid w:val="00AC386E"/>
    <w:rsid w:val="00AC4224"/>
    <w:rsid w:val="00AC4554"/>
    <w:rsid w:val="00AC4FCC"/>
    <w:rsid w:val="00AC53B4"/>
    <w:rsid w:val="00AC5D30"/>
    <w:rsid w:val="00AC6578"/>
    <w:rsid w:val="00AC662D"/>
    <w:rsid w:val="00AC7D9B"/>
    <w:rsid w:val="00AD025D"/>
    <w:rsid w:val="00AD054A"/>
    <w:rsid w:val="00AD1FF9"/>
    <w:rsid w:val="00AD224A"/>
    <w:rsid w:val="00AD3EA5"/>
    <w:rsid w:val="00AD4880"/>
    <w:rsid w:val="00AD49BD"/>
    <w:rsid w:val="00AD6322"/>
    <w:rsid w:val="00AD775F"/>
    <w:rsid w:val="00AE17D1"/>
    <w:rsid w:val="00AE20EC"/>
    <w:rsid w:val="00AE2724"/>
    <w:rsid w:val="00AE2918"/>
    <w:rsid w:val="00AE2B13"/>
    <w:rsid w:val="00AE2EF6"/>
    <w:rsid w:val="00AE30C4"/>
    <w:rsid w:val="00AE33F3"/>
    <w:rsid w:val="00AE46B7"/>
    <w:rsid w:val="00AE5DC4"/>
    <w:rsid w:val="00AF031C"/>
    <w:rsid w:val="00AF0753"/>
    <w:rsid w:val="00AF0A40"/>
    <w:rsid w:val="00AF167E"/>
    <w:rsid w:val="00AF1B97"/>
    <w:rsid w:val="00AF1E5E"/>
    <w:rsid w:val="00AF1FCE"/>
    <w:rsid w:val="00AF2751"/>
    <w:rsid w:val="00AF2E33"/>
    <w:rsid w:val="00AF30C2"/>
    <w:rsid w:val="00AF41F2"/>
    <w:rsid w:val="00AF5427"/>
    <w:rsid w:val="00AF566C"/>
    <w:rsid w:val="00AF6ABC"/>
    <w:rsid w:val="00AF7461"/>
    <w:rsid w:val="00AF7BD9"/>
    <w:rsid w:val="00B02A6C"/>
    <w:rsid w:val="00B039E5"/>
    <w:rsid w:val="00B06BF9"/>
    <w:rsid w:val="00B07384"/>
    <w:rsid w:val="00B10F34"/>
    <w:rsid w:val="00B110AD"/>
    <w:rsid w:val="00B11692"/>
    <w:rsid w:val="00B11784"/>
    <w:rsid w:val="00B11CC9"/>
    <w:rsid w:val="00B131F4"/>
    <w:rsid w:val="00B13CB5"/>
    <w:rsid w:val="00B13D23"/>
    <w:rsid w:val="00B13ECD"/>
    <w:rsid w:val="00B1478C"/>
    <w:rsid w:val="00B14B3B"/>
    <w:rsid w:val="00B15916"/>
    <w:rsid w:val="00B17A6E"/>
    <w:rsid w:val="00B17A94"/>
    <w:rsid w:val="00B17AF7"/>
    <w:rsid w:val="00B17CFC"/>
    <w:rsid w:val="00B2035A"/>
    <w:rsid w:val="00B2054D"/>
    <w:rsid w:val="00B20ABD"/>
    <w:rsid w:val="00B20F91"/>
    <w:rsid w:val="00B21908"/>
    <w:rsid w:val="00B21D4C"/>
    <w:rsid w:val="00B232A7"/>
    <w:rsid w:val="00B23E82"/>
    <w:rsid w:val="00B24843"/>
    <w:rsid w:val="00B263A0"/>
    <w:rsid w:val="00B269ED"/>
    <w:rsid w:val="00B27AFF"/>
    <w:rsid w:val="00B30457"/>
    <w:rsid w:val="00B314E9"/>
    <w:rsid w:val="00B31A20"/>
    <w:rsid w:val="00B344A1"/>
    <w:rsid w:val="00B365CF"/>
    <w:rsid w:val="00B36842"/>
    <w:rsid w:val="00B36A2D"/>
    <w:rsid w:val="00B36F11"/>
    <w:rsid w:val="00B37175"/>
    <w:rsid w:val="00B42B03"/>
    <w:rsid w:val="00B4352D"/>
    <w:rsid w:val="00B440C8"/>
    <w:rsid w:val="00B4490B"/>
    <w:rsid w:val="00B4677C"/>
    <w:rsid w:val="00B4680D"/>
    <w:rsid w:val="00B46AC5"/>
    <w:rsid w:val="00B46B6C"/>
    <w:rsid w:val="00B47276"/>
    <w:rsid w:val="00B475A7"/>
    <w:rsid w:val="00B5168E"/>
    <w:rsid w:val="00B518EB"/>
    <w:rsid w:val="00B52608"/>
    <w:rsid w:val="00B52835"/>
    <w:rsid w:val="00B52BC3"/>
    <w:rsid w:val="00B541FF"/>
    <w:rsid w:val="00B551FB"/>
    <w:rsid w:val="00B5606B"/>
    <w:rsid w:val="00B5737D"/>
    <w:rsid w:val="00B61829"/>
    <w:rsid w:val="00B621FA"/>
    <w:rsid w:val="00B6223F"/>
    <w:rsid w:val="00B6245A"/>
    <w:rsid w:val="00B62B3E"/>
    <w:rsid w:val="00B62E77"/>
    <w:rsid w:val="00B63221"/>
    <w:rsid w:val="00B632AC"/>
    <w:rsid w:val="00B6389C"/>
    <w:rsid w:val="00B642D3"/>
    <w:rsid w:val="00B6561E"/>
    <w:rsid w:val="00B67416"/>
    <w:rsid w:val="00B6768A"/>
    <w:rsid w:val="00B676BF"/>
    <w:rsid w:val="00B7052E"/>
    <w:rsid w:val="00B70DFB"/>
    <w:rsid w:val="00B71D68"/>
    <w:rsid w:val="00B732F4"/>
    <w:rsid w:val="00B74445"/>
    <w:rsid w:val="00B747B6"/>
    <w:rsid w:val="00B75361"/>
    <w:rsid w:val="00B75377"/>
    <w:rsid w:val="00B756DE"/>
    <w:rsid w:val="00B75C6D"/>
    <w:rsid w:val="00B7602A"/>
    <w:rsid w:val="00B802F3"/>
    <w:rsid w:val="00B803D8"/>
    <w:rsid w:val="00B8060E"/>
    <w:rsid w:val="00B82550"/>
    <w:rsid w:val="00B82C89"/>
    <w:rsid w:val="00B83414"/>
    <w:rsid w:val="00B84EFD"/>
    <w:rsid w:val="00B8582D"/>
    <w:rsid w:val="00B85BCE"/>
    <w:rsid w:val="00B863A6"/>
    <w:rsid w:val="00B86D92"/>
    <w:rsid w:val="00B87103"/>
    <w:rsid w:val="00B92CF5"/>
    <w:rsid w:val="00B92D58"/>
    <w:rsid w:val="00B95056"/>
    <w:rsid w:val="00B95DB0"/>
    <w:rsid w:val="00B95F36"/>
    <w:rsid w:val="00B96B90"/>
    <w:rsid w:val="00B97800"/>
    <w:rsid w:val="00B97DFD"/>
    <w:rsid w:val="00BA03C4"/>
    <w:rsid w:val="00BA0E09"/>
    <w:rsid w:val="00BA1516"/>
    <w:rsid w:val="00BA1BF1"/>
    <w:rsid w:val="00BA1D55"/>
    <w:rsid w:val="00BA2569"/>
    <w:rsid w:val="00BA2802"/>
    <w:rsid w:val="00BA3609"/>
    <w:rsid w:val="00BA53BF"/>
    <w:rsid w:val="00BA6EDB"/>
    <w:rsid w:val="00BA7DBF"/>
    <w:rsid w:val="00BA7FC0"/>
    <w:rsid w:val="00BB00C9"/>
    <w:rsid w:val="00BB0CC2"/>
    <w:rsid w:val="00BB0F14"/>
    <w:rsid w:val="00BB357A"/>
    <w:rsid w:val="00BB4196"/>
    <w:rsid w:val="00BB4E38"/>
    <w:rsid w:val="00BB541E"/>
    <w:rsid w:val="00BB7770"/>
    <w:rsid w:val="00BB7A45"/>
    <w:rsid w:val="00BB7C03"/>
    <w:rsid w:val="00BC0CD8"/>
    <w:rsid w:val="00BC124E"/>
    <w:rsid w:val="00BC26D9"/>
    <w:rsid w:val="00BC2BB6"/>
    <w:rsid w:val="00BC4DDF"/>
    <w:rsid w:val="00BC5070"/>
    <w:rsid w:val="00BC6F70"/>
    <w:rsid w:val="00BD0592"/>
    <w:rsid w:val="00BD1A4A"/>
    <w:rsid w:val="00BD2CFE"/>
    <w:rsid w:val="00BD3ACD"/>
    <w:rsid w:val="00BD42CC"/>
    <w:rsid w:val="00BD4F80"/>
    <w:rsid w:val="00BD594C"/>
    <w:rsid w:val="00BD62FA"/>
    <w:rsid w:val="00BD65F7"/>
    <w:rsid w:val="00BD77E1"/>
    <w:rsid w:val="00BD7904"/>
    <w:rsid w:val="00BD7B60"/>
    <w:rsid w:val="00BE01CC"/>
    <w:rsid w:val="00BE17E5"/>
    <w:rsid w:val="00BE1E12"/>
    <w:rsid w:val="00BE268B"/>
    <w:rsid w:val="00BE3ACB"/>
    <w:rsid w:val="00BE3B4F"/>
    <w:rsid w:val="00BE451D"/>
    <w:rsid w:val="00BE5973"/>
    <w:rsid w:val="00BE63F1"/>
    <w:rsid w:val="00BE6A03"/>
    <w:rsid w:val="00BE7184"/>
    <w:rsid w:val="00BE727E"/>
    <w:rsid w:val="00BE769A"/>
    <w:rsid w:val="00BF2661"/>
    <w:rsid w:val="00BF2F11"/>
    <w:rsid w:val="00BF38D6"/>
    <w:rsid w:val="00BF3E09"/>
    <w:rsid w:val="00BF40F1"/>
    <w:rsid w:val="00BF42A0"/>
    <w:rsid w:val="00BF4AC6"/>
    <w:rsid w:val="00BF6198"/>
    <w:rsid w:val="00BF6780"/>
    <w:rsid w:val="00BF6C0E"/>
    <w:rsid w:val="00C0086B"/>
    <w:rsid w:val="00C01232"/>
    <w:rsid w:val="00C02DB9"/>
    <w:rsid w:val="00C05A0A"/>
    <w:rsid w:val="00C11035"/>
    <w:rsid w:val="00C1144A"/>
    <w:rsid w:val="00C1256C"/>
    <w:rsid w:val="00C12996"/>
    <w:rsid w:val="00C13553"/>
    <w:rsid w:val="00C140DA"/>
    <w:rsid w:val="00C155A5"/>
    <w:rsid w:val="00C16066"/>
    <w:rsid w:val="00C16511"/>
    <w:rsid w:val="00C17836"/>
    <w:rsid w:val="00C20754"/>
    <w:rsid w:val="00C2147F"/>
    <w:rsid w:val="00C21806"/>
    <w:rsid w:val="00C21A99"/>
    <w:rsid w:val="00C223C7"/>
    <w:rsid w:val="00C22494"/>
    <w:rsid w:val="00C22910"/>
    <w:rsid w:val="00C22D36"/>
    <w:rsid w:val="00C2394B"/>
    <w:rsid w:val="00C23C33"/>
    <w:rsid w:val="00C2577E"/>
    <w:rsid w:val="00C25869"/>
    <w:rsid w:val="00C25F85"/>
    <w:rsid w:val="00C30070"/>
    <w:rsid w:val="00C31922"/>
    <w:rsid w:val="00C329F9"/>
    <w:rsid w:val="00C32BFB"/>
    <w:rsid w:val="00C3307C"/>
    <w:rsid w:val="00C33C6B"/>
    <w:rsid w:val="00C34032"/>
    <w:rsid w:val="00C34591"/>
    <w:rsid w:val="00C350A0"/>
    <w:rsid w:val="00C36237"/>
    <w:rsid w:val="00C365B1"/>
    <w:rsid w:val="00C40BEB"/>
    <w:rsid w:val="00C4118E"/>
    <w:rsid w:val="00C42D2B"/>
    <w:rsid w:val="00C44A35"/>
    <w:rsid w:val="00C452D3"/>
    <w:rsid w:val="00C477AC"/>
    <w:rsid w:val="00C52393"/>
    <w:rsid w:val="00C5353F"/>
    <w:rsid w:val="00C568A1"/>
    <w:rsid w:val="00C60208"/>
    <w:rsid w:val="00C6262B"/>
    <w:rsid w:val="00C62A8C"/>
    <w:rsid w:val="00C6356F"/>
    <w:rsid w:val="00C647FD"/>
    <w:rsid w:val="00C64A30"/>
    <w:rsid w:val="00C65474"/>
    <w:rsid w:val="00C67B5E"/>
    <w:rsid w:val="00C70D30"/>
    <w:rsid w:val="00C7136E"/>
    <w:rsid w:val="00C71891"/>
    <w:rsid w:val="00C71E90"/>
    <w:rsid w:val="00C734EC"/>
    <w:rsid w:val="00C7364A"/>
    <w:rsid w:val="00C7398E"/>
    <w:rsid w:val="00C747F8"/>
    <w:rsid w:val="00C75D00"/>
    <w:rsid w:val="00C75FF7"/>
    <w:rsid w:val="00C7669D"/>
    <w:rsid w:val="00C7671E"/>
    <w:rsid w:val="00C77682"/>
    <w:rsid w:val="00C776CE"/>
    <w:rsid w:val="00C80269"/>
    <w:rsid w:val="00C80D39"/>
    <w:rsid w:val="00C823C4"/>
    <w:rsid w:val="00C82F5D"/>
    <w:rsid w:val="00C839E8"/>
    <w:rsid w:val="00C85979"/>
    <w:rsid w:val="00C8713C"/>
    <w:rsid w:val="00C875AF"/>
    <w:rsid w:val="00C877BE"/>
    <w:rsid w:val="00C87D94"/>
    <w:rsid w:val="00C90F04"/>
    <w:rsid w:val="00C91B0E"/>
    <w:rsid w:val="00C9301E"/>
    <w:rsid w:val="00C9389F"/>
    <w:rsid w:val="00C94611"/>
    <w:rsid w:val="00C9506F"/>
    <w:rsid w:val="00C967CD"/>
    <w:rsid w:val="00C96D04"/>
    <w:rsid w:val="00C97191"/>
    <w:rsid w:val="00C97574"/>
    <w:rsid w:val="00CA0490"/>
    <w:rsid w:val="00CA0DFD"/>
    <w:rsid w:val="00CA2196"/>
    <w:rsid w:val="00CA21A7"/>
    <w:rsid w:val="00CA30E4"/>
    <w:rsid w:val="00CA3197"/>
    <w:rsid w:val="00CA34A4"/>
    <w:rsid w:val="00CA4B60"/>
    <w:rsid w:val="00CA4D30"/>
    <w:rsid w:val="00CA516B"/>
    <w:rsid w:val="00CA52A5"/>
    <w:rsid w:val="00CA6165"/>
    <w:rsid w:val="00CA7412"/>
    <w:rsid w:val="00CB0CD9"/>
    <w:rsid w:val="00CB4D57"/>
    <w:rsid w:val="00CB5525"/>
    <w:rsid w:val="00CB63CE"/>
    <w:rsid w:val="00CB6AB0"/>
    <w:rsid w:val="00CB749F"/>
    <w:rsid w:val="00CB78E8"/>
    <w:rsid w:val="00CC02B5"/>
    <w:rsid w:val="00CC06E5"/>
    <w:rsid w:val="00CC08F6"/>
    <w:rsid w:val="00CC0FCA"/>
    <w:rsid w:val="00CC3B26"/>
    <w:rsid w:val="00CD07E8"/>
    <w:rsid w:val="00CD0DC7"/>
    <w:rsid w:val="00CD271D"/>
    <w:rsid w:val="00CD3139"/>
    <w:rsid w:val="00CD3966"/>
    <w:rsid w:val="00CD3B05"/>
    <w:rsid w:val="00CD453F"/>
    <w:rsid w:val="00CD4AE2"/>
    <w:rsid w:val="00CD5C49"/>
    <w:rsid w:val="00CD5D2D"/>
    <w:rsid w:val="00CD6B2E"/>
    <w:rsid w:val="00CE02E9"/>
    <w:rsid w:val="00CE26F8"/>
    <w:rsid w:val="00CE2D82"/>
    <w:rsid w:val="00CE2D8B"/>
    <w:rsid w:val="00CE4A08"/>
    <w:rsid w:val="00CE6DEE"/>
    <w:rsid w:val="00CF0865"/>
    <w:rsid w:val="00CF0DEA"/>
    <w:rsid w:val="00CF279F"/>
    <w:rsid w:val="00CF29C4"/>
    <w:rsid w:val="00CF2CC2"/>
    <w:rsid w:val="00CF455B"/>
    <w:rsid w:val="00CF5857"/>
    <w:rsid w:val="00CF59D5"/>
    <w:rsid w:val="00CF5B7A"/>
    <w:rsid w:val="00CF69CF"/>
    <w:rsid w:val="00CF782A"/>
    <w:rsid w:val="00D006A0"/>
    <w:rsid w:val="00D00EDC"/>
    <w:rsid w:val="00D0146A"/>
    <w:rsid w:val="00D05A15"/>
    <w:rsid w:val="00D0690B"/>
    <w:rsid w:val="00D07D9B"/>
    <w:rsid w:val="00D10E5B"/>
    <w:rsid w:val="00D1153C"/>
    <w:rsid w:val="00D133BC"/>
    <w:rsid w:val="00D134F2"/>
    <w:rsid w:val="00D13CFE"/>
    <w:rsid w:val="00D13DE6"/>
    <w:rsid w:val="00D154C6"/>
    <w:rsid w:val="00D1657A"/>
    <w:rsid w:val="00D16C34"/>
    <w:rsid w:val="00D1792D"/>
    <w:rsid w:val="00D17BC4"/>
    <w:rsid w:val="00D221B3"/>
    <w:rsid w:val="00D22B47"/>
    <w:rsid w:val="00D22D92"/>
    <w:rsid w:val="00D23576"/>
    <w:rsid w:val="00D24B0C"/>
    <w:rsid w:val="00D25049"/>
    <w:rsid w:val="00D26C7A"/>
    <w:rsid w:val="00D30D91"/>
    <w:rsid w:val="00D3124D"/>
    <w:rsid w:val="00D3286B"/>
    <w:rsid w:val="00D3343D"/>
    <w:rsid w:val="00D3409A"/>
    <w:rsid w:val="00D34180"/>
    <w:rsid w:val="00D35A32"/>
    <w:rsid w:val="00D35F58"/>
    <w:rsid w:val="00D4007A"/>
    <w:rsid w:val="00D42AF5"/>
    <w:rsid w:val="00D42B36"/>
    <w:rsid w:val="00D43509"/>
    <w:rsid w:val="00D43683"/>
    <w:rsid w:val="00D43E68"/>
    <w:rsid w:val="00D4563E"/>
    <w:rsid w:val="00D46EEE"/>
    <w:rsid w:val="00D47152"/>
    <w:rsid w:val="00D47A7B"/>
    <w:rsid w:val="00D50ED4"/>
    <w:rsid w:val="00D5281E"/>
    <w:rsid w:val="00D52948"/>
    <w:rsid w:val="00D52E1D"/>
    <w:rsid w:val="00D53291"/>
    <w:rsid w:val="00D535AB"/>
    <w:rsid w:val="00D54552"/>
    <w:rsid w:val="00D56517"/>
    <w:rsid w:val="00D61FAD"/>
    <w:rsid w:val="00D62618"/>
    <w:rsid w:val="00D62650"/>
    <w:rsid w:val="00D631E7"/>
    <w:rsid w:val="00D65625"/>
    <w:rsid w:val="00D6562B"/>
    <w:rsid w:val="00D669E3"/>
    <w:rsid w:val="00D71851"/>
    <w:rsid w:val="00D7244B"/>
    <w:rsid w:val="00D724BA"/>
    <w:rsid w:val="00D7296B"/>
    <w:rsid w:val="00D73D73"/>
    <w:rsid w:val="00D74D2A"/>
    <w:rsid w:val="00D75BEC"/>
    <w:rsid w:val="00D8219D"/>
    <w:rsid w:val="00D83BAD"/>
    <w:rsid w:val="00D84BD4"/>
    <w:rsid w:val="00D84DAD"/>
    <w:rsid w:val="00D850C2"/>
    <w:rsid w:val="00D85257"/>
    <w:rsid w:val="00D855C1"/>
    <w:rsid w:val="00D866DE"/>
    <w:rsid w:val="00D910D7"/>
    <w:rsid w:val="00D91C7E"/>
    <w:rsid w:val="00D92334"/>
    <w:rsid w:val="00D92F82"/>
    <w:rsid w:val="00D93ACD"/>
    <w:rsid w:val="00D947C9"/>
    <w:rsid w:val="00D94851"/>
    <w:rsid w:val="00D94D91"/>
    <w:rsid w:val="00D9555B"/>
    <w:rsid w:val="00D95AF1"/>
    <w:rsid w:val="00D968AC"/>
    <w:rsid w:val="00D96B5D"/>
    <w:rsid w:val="00D96FF4"/>
    <w:rsid w:val="00D97D81"/>
    <w:rsid w:val="00DA046C"/>
    <w:rsid w:val="00DA0C48"/>
    <w:rsid w:val="00DA1DFC"/>
    <w:rsid w:val="00DA2C8E"/>
    <w:rsid w:val="00DA32B1"/>
    <w:rsid w:val="00DA402A"/>
    <w:rsid w:val="00DA440E"/>
    <w:rsid w:val="00DA511C"/>
    <w:rsid w:val="00DA52F1"/>
    <w:rsid w:val="00DA533E"/>
    <w:rsid w:val="00DA54F6"/>
    <w:rsid w:val="00DA5FD4"/>
    <w:rsid w:val="00DA62B0"/>
    <w:rsid w:val="00DA71B3"/>
    <w:rsid w:val="00DB09AD"/>
    <w:rsid w:val="00DB0F54"/>
    <w:rsid w:val="00DB2B72"/>
    <w:rsid w:val="00DB3F0B"/>
    <w:rsid w:val="00DB586D"/>
    <w:rsid w:val="00DB5F8F"/>
    <w:rsid w:val="00DB6776"/>
    <w:rsid w:val="00DC0309"/>
    <w:rsid w:val="00DC0A6D"/>
    <w:rsid w:val="00DC0C27"/>
    <w:rsid w:val="00DC14EB"/>
    <w:rsid w:val="00DC17BB"/>
    <w:rsid w:val="00DC21B3"/>
    <w:rsid w:val="00DC22F2"/>
    <w:rsid w:val="00DC292A"/>
    <w:rsid w:val="00DC3408"/>
    <w:rsid w:val="00DC4E12"/>
    <w:rsid w:val="00DC57A8"/>
    <w:rsid w:val="00DC590A"/>
    <w:rsid w:val="00DC61F9"/>
    <w:rsid w:val="00DC6F95"/>
    <w:rsid w:val="00DC701F"/>
    <w:rsid w:val="00DD209A"/>
    <w:rsid w:val="00DD56B5"/>
    <w:rsid w:val="00DD68CF"/>
    <w:rsid w:val="00DD761D"/>
    <w:rsid w:val="00DE152F"/>
    <w:rsid w:val="00DE1D84"/>
    <w:rsid w:val="00DE44CC"/>
    <w:rsid w:val="00DE4730"/>
    <w:rsid w:val="00DE5434"/>
    <w:rsid w:val="00DE54D3"/>
    <w:rsid w:val="00DE5526"/>
    <w:rsid w:val="00DE579D"/>
    <w:rsid w:val="00DE6583"/>
    <w:rsid w:val="00DE6858"/>
    <w:rsid w:val="00DE7886"/>
    <w:rsid w:val="00DF113C"/>
    <w:rsid w:val="00DF28D3"/>
    <w:rsid w:val="00DF4BD1"/>
    <w:rsid w:val="00DF5299"/>
    <w:rsid w:val="00DF6034"/>
    <w:rsid w:val="00DF69EF"/>
    <w:rsid w:val="00DF6A4A"/>
    <w:rsid w:val="00DF6C8B"/>
    <w:rsid w:val="00DF75FF"/>
    <w:rsid w:val="00E000A8"/>
    <w:rsid w:val="00E0052F"/>
    <w:rsid w:val="00E00890"/>
    <w:rsid w:val="00E00BE7"/>
    <w:rsid w:val="00E01F01"/>
    <w:rsid w:val="00E03288"/>
    <w:rsid w:val="00E04CA8"/>
    <w:rsid w:val="00E058EF"/>
    <w:rsid w:val="00E068B3"/>
    <w:rsid w:val="00E06B77"/>
    <w:rsid w:val="00E1043E"/>
    <w:rsid w:val="00E1099F"/>
    <w:rsid w:val="00E117A6"/>
    <w:rsid w:val="00E119A3"/>
    <w:rsid w:val="00E119CE"/>
    <w:rsid w:val="00E11F06"/>
    <w:rsid w:val="00E1211D"/>
    <w:rsid w:val="00E1233A"/>
    <w:rsid w:val="00E139CD"/>
    <w:rsid w:val="00E14DDD"/>
    <w:rsid w:val="00E20518"/>
    <w:rsid w:val="00E20828"/>
    <w:rsid w:val="00E20BFE"/>
    <w:rsid w:val="00E20C46"/>
    <w:rsid w:val="00E22742"/>
    <w:rsid w:val="00E2334A"/>
    <w:rsid w:val="00E2487E"/>
    <w:rsid w:val="00E25C22"/>
    <w:rsid w:val="00E26196"/>
    <w:rsid w:val="00E277FF"/>
    <w:rsid w:val="00E30529"/>
    <w:rsid w:val="00E30C5D"/>
    <w:rsid w:val="00E30F38"/>
    <w:rsid w:val="00E30FF6"/>
    <w:rsid w:val="00E31741"/>
    <w:rsid w:val="00E31E92"/>
    <w:rsid w:val="00E3257C"/>
    <w:rsid w:val="00E33AF6"/>
    <w:rsid w:val="00E33C1B"/>
    <w:rsid w:val="00E33E75"/>
    <w:rsid w:val="00E35D3D"/>
    <w:rsid w:val="00E3609F"/>
    <w:rsid w:val="00E360C2"/>
    <w:rsid w:val="00E36246"/>
    <w:rsid w:val="00E3659C"/>
    <w:rsid w:val="00E403EF"/>
    <w:rsid w:val="00E4062C"/>
    <w:rsid w:val="00E436D6"/>
    <w:rsid w:val="00E43FB8"/>
    <w:rsid w:val="00E443EE"/>
    <w:rsid w:val="00E44725"/>
    <w:rsid w:val="00E452FD"/>
    <w:rsid w:val="00E45A06"/>
    <w:rsid w:val="00E467BA"/>
    <w:rsid w:val="00E477C2"/>
    <w:rsid w:val="00E4780F"/>
    <w:rsid w:val="00E504CE"/>
    <w:rsid w:val="00E5104C"/>
    <w:rsid w:val="00E52238"/>
    <w:rsid w:val="00E537A2"/>
    <w:rsid w:val="00E53AE7"/>
    <w:rsid w:val="00E53D0D"/>
    <w:rsid w:val="00E56194"/>
    <w:rsid w:val="00E56211"/>
    <w:rsid w:val="00E56273"/>
    <w:rsid w:val="00E603EB"/>
    <w:rsid w:val="00E61993"/>
    <w:rsid w:val="00E61B41"/>
    <w:rsid w:val="00E61D33"/>
    <w:rsid w:val="00E636E5"/>
    <w:rsid w:val="00E637A0"/>
    <w:rsid w:val="00E66E0F"/>
    <w:rsid w:val="00E71024"/>
    <w:rsid w:val="00E719EA"/>
    <w:rsid w:val="00E71DDB"/>
    <w:rsid w:val="00E72630"/>
    <w:rsid w:val="00E73340"/>
    <w:rsid w:val="00E73422"/>
    <w:rsid w:val="00E73861"/>
    <w:rsid w:val="00E73F70"/>
    <w:rsid w:val="00E74992"/>
    <w:rsid w:val="00E74C08"/>
    <w:rsid w:val="00E75881"/>
    <w:rsid w:val="00E77C77"/>
    <w:rsid w:val="00E77D5C"/>
    <w:rsid w:val="00E836DF"/>
    <w:rsid w:val="00E83953"/>
    <w:rsid w:val="00E85668"/>
    <w:rsid w:val="00E85F0A"/>
    <w:rsid w:val="00E86295"/>
    <w:rsid w:val="00E86B22"/>
    <w:rsid w:val="00E87BFE"/>
    <w:rsid w:val="00E908CE"/>
    <w:rsid w:val="00E91013"/>
    <w:rsid w:val="00E9283A"/>
    <w:rsid w:val="00E93996"/>
    <w:rsid w:val="00E94819"/>
    <w:rsid w:val="00E94C3E"/>
    <w:rsid w:val="00E95525"/>
    <w:rsid w:val="00E956F8"/>
    <w:rsid w:val="00E957B6"/>
    <w:rsid w:val="00E95D7F"/>
    <w:rsid w:val="00E97522"/>
    <w:rsid w:val="00EA00B8"/>
    <w:rsid w:val="00EA25B1"/>
    <w:rsid w:val="00EA2CF9"/>
    <w:rsid w:val="00EA33DC"/>
    <w:rsid w:val="00EA37E9"/>
    <w:rsid w:val="00EA3BDA"/>
    <w:rsid w:val="00EA3C4C"/>
    <w:rsid w:val="00EA3F50"/>
    <w:rsid w:val="00EA40F7"/>
    <w:rsid w:val="00EA4233"/>
    <w:rsid w:val="00EA45A2"/>
    <w:rsid w:val="00EA7B96"/>
    <w:rsid w:val="00EA7BD5"/>
    <w:rsid w:val="00EB02E2"/>
    <w:rsid w:val="00EB07C0"/>
    <w:rsid w:val="00EB0CD6"/>
    <w:rsid w:val="00EB238B"/>
    <w:rsid w:val="00EB2434"/>
    <w:rsid w:val="00EB54F9"/>
    <w:rsid w:val="00EB56B1"/>
    <w:rsid w:val="00EB6926"/>
    <w:rsid w:val="00EB6C81"/>
    <w:rsid w:val="00EB7885"/>
    <w:rsid w:val="00EB7E46"/>
    <w:rsid w:val="00EC0778"/>
    <w:rsid w:val="00EC126C"/>
    <w:rsid w:val="00EC1791"/>
    <w:rsid w:val="00EC179C"/>
    <w:rsid w:val="00EC1DB1"/>
    <w:rsid w:val="00EC249A"/>
    <w:rsid w:val="00EC263F"/>
    <w:rsid w:val="00EC28C0"/>
    <w:rsid w:val="00EC2DFA"/>
    <w:rsid w:val="00EC304B"/>
    <w:rsid w:val="00EC30BC"/>
    <w:rsid w:val="00EC3944"/>
    <w:rsid w:val="00EC3D86"/>
    <w:rsid w:val="00EC3EE7"/>
    <w:rsid w:val="00EC4498"/>
    <w:rsid w:val="00EC4D38"/>
    <w:rsid w:val="00EC5D5F"/>
    <w:rsid w:val="00EC5FCC"/>
    <w:rsid w:val="00EC6E63"/>
    <w:rsid w:val="00EC725F"/>
    <w:rsid w:val="00ED0B04"/>
    <w:rsid w:val="00ED1953"/>
    <w:rsid w:val="00ED2D6B"/>
    <w:rsid w:val="00ED3936"/>
    <w:rsid w:val="00ED46EB"/>
    <w:rsid w:val="00ED5233"/>
    <w:rsid w:val="00ED5DC2"/>
    <w:rsid w:val="00ED6F2C"/>
    <w:rsid w:val="00ED7272"/>
    <w:rsid w:val="00ED74E2"/>
    <w:rsid w:val="00ED782F"/>
    <w:rsid w:val="00EE0153"/>
    <w:rsid w:val="00EE0A9B"/>
    <w:rsid w:val="00EE0BB2"/>
    <w:rsid w:val="00EE2A27"/>
    <w:rsid w:val="00EE34C3"/>
    <w:rsid w:val="00EE4248"/>
    <w:rsid w:val="00EE4736"/>
    <w:rsid w:val="00EE49DC"/>
    <w:rsid w:val="00EE52EC"/>
    <w:rsid w:val="00EE5C1F"/>
    <w:rsid w:val="00EE634C"/>
    <w:rsid w:val="00EE7584"/>
    <w:rsid w:val="00EF0D41"/>
    <w:rsid w:val="00EF1869"/>
    <w:rsid w:val="00EF2ED4"/>
    <w:rsid w:val="00EF3899"/>
    <w:rsid w:val="00EF4A16"/>
    <w:rsid w:val="00EF4EC0"/>
    <w:rsid w:val="00EF5A79"/>
    <w:rsid w:val="00EF5AFC"/>
    <w:rsid w:val="00EF6B5E"/>
    <w:rsid w:val="00F01266"/>
    <w:rsid w:val="00F01FD7"/>
    <w:rsid w:val="00F034A4"/>
    <w:rsid w:val="00F04ECF"/>
    <w:rsid w:val="00F116B7"/>
    <w:rsid w:val="00F1205B"/>
    <w:rsid w:val="00F12642"/>
    <w:rsid w:val="00F13946"/>
    <w:rsid w:val="00F13F3A"/>
    <w:rsid w:val="00F1444A"/>
    <w:rsid w:val="00F14DE5"/>
    <w:rsid w:val="00F15487"/>
    <w:rsid w:val="00F163C6"/>
    <w:rsid w:val="00F17A53"/>
    <w:rsid w:val="00F17DEF"/>
    <w:rsid w:val="00F203B8"/>
    <w:rsid w:val="00F21766"/>
    <w:rsid w:val="00F235D1"/>
    <w:rsid w:val="00F23A0E"/>
    <w:rsid w:val="00F25641"/>
    <w:rsid w:val="00F25A57"/>
    <w:rsid w:val="00F26063"/>
    <w:rsid w:val="00F26AAA"/>
    <w:rsid w:val="00F279AC"/>
    <w:rsid w:val="00F301F1"/>
    <w:rsid w:val="00F3090F"/>
    <w:rsid w:val="00F311AB"/>
    <w:rsid w:val="00F32F62"/>
    <w:rsid w:val="00F33FED"/>
    <w:rsid w:val="00F3588F"/>
    <w:rsid w:val="00F35B65"/>
    <w:rsid w:val="00F361B6"/>
    <w:rsid w:val="00F3668B"/>
    <w:rsid w:val="00F3726B"/>
    <w:rsid w:val="00F401B2"/>
    <w:rsid w:val="00F409F4"/>
    <w:rsid w:val="00F40EAB"/>
    <w:rsid w:val="00F410E7"/>
    <w:rsid w:val="00F4113D"/>
    <w:rsid w:val="00F41AFA"/>
    <w:rsid w:val="00F44626"/>
    <w:rsid w:val="00F44F18"/>
    <w:rsid w:val="00F4514B"/>
    <w:rsid w:val="00F46C36"/>
    <w:rsid w:val="00F47175"/>
    <w:rsid w:val="00F47630"/>
    <w:rsid w:val="00F47B48"/>
    <w:rsid w:val="00F52081"/>
    <w:rsid w:val="00F520A2"/>
    <w:rsid w:val="00F52C0F"/>
    <w:rsid w:val="00F54B67"/>
    <w:rsid w:val="00F55404"/>
    <w:rsid w:val="00F5547E"/>
    <w:rsid w:val="00F557FB"/>
    <w:rsid w:val="00F55C19"/>
    <w:rsid w:val="00F55D61"/>
    <w:rsid w:val="00F56992"/>
    <w:rsid w:val="00F60B9A"/>
    <w:rsid w:val="00F6115A"/>
    <w:rsid w:val="00F62AE7"/>
    <w:rsid w:val="00F62F01"/>
    <w:rsid w:val="00F63D75"/>
    <w:rsid w:val="00F63D9D"/>
    <w:rsid w:val="00F643C8"/>
    <w:rsid w:val="00F644E7"/>
    <w:rsid w:val="00F65B28"/>
    <w:rsid w:val="00F6684F"/>
    <w:rsid w:val="00F66B45"/>
    <w:rsid w:val="00F670F5"/>
    <w:rsid w:val="00F67FAB"/>
    <w:rsid w:val="00F7010E"/>
    <w:rsid w:val="00F73AFB"/>
    <w:rsid w:val="00F73D82"/>
    <w:rsid w:val="00F740A9"/>
    <w:rsid w:val="00F75B5B"/>
    <w:rsid w:val="00F76F86"/>
    <w:rsid w:val="00F8044D"/>
    <w:rsid w:val="00F810A4"/>
    <w:rsid w:val="00F810BC"/>
    <w:rsid w:val="00F8115C"/>
    <w:rsid w:val="00F81818"/>
    <w:rsid w:val="00F8354E"/>
    <w:rsid w:val="00F83E64"/>
    <w:rsid w:val="00F84148"/>
    <w:rsid w:val="00F8546C"/>
    <w:rsid w:val="00F85621"/>
    <w:rsid w:val="00F86580"/>
    <w:rsid w:val="00F87D7A"/>
    <w:rsid w:val="00F90AC2"/>
    <w:rsid w:val="00F917EE"/>
    <w:rsid w:val="00F93E36"/>
    <w:rsid w:val="00F95641"/>
    <w:rsid w:val="00F96024"/>
    <w:rsid w:val="00F96217"/>
    <w:rsid w:val="00F966B4"/>
    <w:rsid w:val="00F96FCA"/>
    <w:rsid w:val="00FA171A"/>
    <w:rsid w:val="00FA182A"/>
    <w:rsid w:val="00FA1C3F"/>
    <w:rsid w:val="00FA2BCF"/>
    <w:rsid w:val="00FA2E5C"/>
    <w:rsid w:val="00FA47A8"/>
    <w:rsid w:val="00FA584D"/>
    <w:rsid w:val="00FA6076"/>
    <w:rsid w:val="00FA6DF9"/>
    <w:rsid w:val="00FA6ED7"/>
    <w:rsid w:val="00FA7500"/>
    <w:rsid w:val="00FA7A7A"/>
    <w:rsid w:val="00FA7DDA"/>
    <w:rsid w:val="00FB0028"/>
    <w:rsid w:val="00FB25EC"/>
    <w:rsid w:val="00FB2BF2"/>
    <w:rsid w:val="00FB3D16"/>
    <w:rsid w:val="00FB4048"/>
    <w:rsid w:val="00FB463F"/>
    <w:rsid w:val="00FB4898"/>
    <w:rsid w:val="00FB4D28"/>
    <w:rsid w:val="00FB62F5"/>
    <w:rsid w:val="00FB6590"/>
    <w:rsid w:val="00FC1144"/>
    <w:rsid w:val="00FC1731"/>
    <w:rsid w:val="00FC285D"/>
    <w:rsid w:val="00FC6A56"/>
    <w:rsid w:val="00FC7361"/>
    <w:rsid w:val="00FC7A12"/>
    <w:rsid w:val="00FC7A2A"/>
    <w:rsid w:val="00FD0FEC"/>
    <w:rsid w:val="00FD18E0"/>
    <w:rsid w:val="00FD1B3F"/>
    <w:rsid w:val="00FD2573"/>
    <w:rsid w:val="00FD3EB7"/>
    <w:rsid w:val="00FD4525"/>
    <w:rsid w:val="00FD5029"/>
    <w:rsid w:val="00FD5A27"/>
    <w:rsid w:val="00FD5CB1"/>
    <w:rsid w:val="00FD6374"/>
    <w:rsid w:val="00FD66A4"/>
    <w:rsid w:val="00FD7FD3"/>
    <w:rsid w:val="00FE029C"/>
    <w:rsid w:val="00FE1523"/>
    <w:rsid w:val="00FE1527"/>
    <w:rsid w:val="00FE20D4"/>
    <w:rsid w:val="00FE2116"/>
    <w:rsid w:val="00FE451F"/>
    <w:rsid w:val="00FE45E1"/>
    <w:rsid w:val="00FE58E7"/>
    <w:rsid w:val="00FE6187"/>
    <w:rsid w:val="00FE6872"/>
    <w:rsid w:val="00FE758F"/>
    <w:rsid w:val="00FE7B2F"/>
    <w:rsid w:val="00FE7E3B"/>
    <w:rsid w:val="00FF050F"/>
    <w:rsid w:val="00FF0836"/>
    <w:rsid w:val="00FF1EE9"/>
    <w:rsid w:val="00FF1F05"/>
    <w:rsid w:val="00FF2392"/>
    <w:rsid w:val="00FF27A0"/>
    <w:rsid w:val="00FF2847"/>
    <w:rsid w:val="00FF3E6C"/>
    <w:rsid w:val="00FF48EF"/>
    <w:rsid w:val="00FF4D75"/>
    <w:rsid w:val="00FF606A"/>
    <w:rsid w:val="00FF7F12"/>
    <w:rsid w:val="01146C37"/>
    <w:rsid w:val="011C626C"/>
    <w:rsid w:val="0150396A"/>
    <w:rsid w:val="01504784"/>
    <w:rsid w:val="01505F15"/>
    <w:rsid w:val="01532422"/>
    <w:rsid w:val="015E4AD6"/>
    <w:rsid w:val="017A7D53"/>
    <w:rsid w:val="017B7436"/>
    <w:rsid w:val="017E7FA8"/>
    <w:rsid w:val="018A2858"/>
    <w:rsid w:val="019A3EBD"/>
    <w:rsid w:val="019B1886"/>
    <w:rsid w:val="01A664DA"/>
    <w:rsid w:val="01DD3C4D"/>
    <w:rsid w:val="01E213B4"/>
    <w:rsid w:val="01E44FDB"/>
    <w:rsid w:val="020C62E0"/>
    <w:rsid w:val="022C0730"/>
    <w:rsid w:val="022C562A"/>
    <w:rsid w:val="024617F2"/>
    <w:rsid w:val="024F48E5"/>
    <w:rsid w:val="026779BA"/>
    <w:rsid w:val="02682844"/>
    <w:rsid w:val="02716F85"/>
    <w:rsid w:val="027D71DE"/>
    <w:rsid w:val="02881678"/>
    <w:rsid w:val="02BA6D6B"/>
    <w:rsid w:val="02C6419F"/>
    <w:rsid w:val="02CC221A"/>
    <w:rsid w:val="02D908B8"/>
    <w:rsid w:val="02DA1F3A"/>
    <w:rsid w:val="02EF1E8A"/>
    <w:rsid w:val="02FC50B2"/>
    <w:rsid w:val="030012C2"/>
    <w:rsid w:val="03174F3D"/>
    <w:rsid w:val="032303C8"/>
    <w:rsid w:val="032B0119"/>
    <w:rsid w:val="033E4BBF"/>
    <w:rsid w:val="035179D4"/>
    <w:rsid w:val="035E6039"/>
    <w:rsid w:val="036444C4"/>
    <w:rsid w:val="036C13B5"/>
    <w:rsid w:val="036C34DA"/>
    <w:rsid w:val="0374413D"/>
    <w:rsid w:val="03791AC9"/>
    <w:rsid w:val="039753F3"/>
    <w:rsid w:val="03984247"/>
    <w:rsid w:val="03986975"/>
    <w:rsid w:val="03990047"/>
    <w:rsid w:val="039B3DC0"/>
    <w:rsid w:val="039D7B38"/>
    <w:rsid w:val="03AF1619"/>
    <w:rsid w:val="03C520A7"/>
    <w:rsid w:val="03D348AC"/>
    <w:rsid w:val="03D60954"/>
    <w:rsid w:val="03D90E53"/>
    <w:rsid w:val="03EC0177"/>
    <w:rsid w:val="03F11C32"/>
    <w:rsid w:val="042C0EBC"/>
    <w:rsid w:val="043A35D9"/>
    <w:rsid w:val="04694D63"/>
    <w:rsid w:val="046D5159"/>
    <w:rsid w:val="04926F71"/>
    <w:rsid w:val="049727D9"/>
    <w:rsid w:val="04A472BA"/>
    <w:rsid w:val="04AE6368"/>
    <w:rsid w:val="04CB2483"/>
    <w:rsid w:val="05015EA4"/>
    <w:rsid w:val="05017C52"/>
    <w:rsid w:val="051C683A"/>
    <w:rsid w:val="0539151E"/>
    <w:rsid w:val="053F69CD"/>
    <w:rsid w:val="05522AFC"/>
    <w:rsid w:val="0553731D"/>
    <w:rsid w:val="055B4CC1"/>
    <w:rsid w:val="057B562E"/>
    <w:rsid w:val="05816FE5"/>
    <w:rsid w:val="05850883"/>
    <w:rsid w:val="05AA02EA"/>
    <w:rsid w:val="05C07B0D"/>
    <w:rsid w:val="05EA06E6"/>
    <w:rsid w:val="05EA221D"/>
    <w:rsid w:val="05F02C6B"/>
    <w:rsid w:val="05FB6D97"/>
    <w:rsid w:val="062E2CC9"/>
    <w:rsid w:val="0639341C"/>
    <w:rsid w:val="063D3725"/>
    <w:rsid w:val="064C7049"/>
    <w:rsid w:val="06565D7C"/>
    <w:rsid w:val="065E2E82"/>
    <w:rsid w:val="0666060A"/>
    <w:rsid w:val="06691F53"/>
    <w:rsid w:val="066A76FC"/>
    <w:rsid w:val="066C3CAA"/>
    <w:rsid w:val="066E57BB"/>
    <w:rsid w:val="06812EE2"/>
    <w:rsid w:val="06A420A1"/>
    <w:rsid w:val="06B62CBE"/>
    <w:rsid w:val="06B86EE2"/>
    <w:rsid w:val="06BD67AF"/>
    <w:rsid w:val="06DD1708"/>
    <w:rsid w:val="06DF2215"/>
    <w:rsid w:val="06E635A4"/>
    <w:rsid w:val="06EF3CF8"/>
    <w:rsid w:val="06F2019A"/>
    <w:rsid w:val="070F3F01"/>
    <w:rsid w:val="072365A6"/>
    <w:rsid w:val="074437CC"/>
    <w:rsid w:val="077532A2"/>
    <w:rsid w:val="07755E8F"/>
    <w:rsid w:val="077A45AF"/>
    <w:rsid w:val="078E1545"/>
    <w:rsid w:val="07A93B78"/>
    <w:rsid w:val="07B95909"/>
    <w:rsid w:val="07C733D5"/>
    <w:rsid w:val="07D72EEC"/>
    <w:rsid w:val="080545E8"/>
    <w:rsid w:val="08075F7B"/>
    <w:rsid w:val="08126267"/>
    <w:rsid w:val="08236132"/>
    <w:rsid w:val="083C59AB"/>
    <w:rsid w:val="085857D8"/>
    <w:rsid w:val="085A435C"/>
    <w:rsid w:val="085D1644"/>
    <w:rsid w:val="085D5AE7"/>
    <w:rsid w:val="086C1887"/>
    <w:rsid w:val="0874513E"/>
    <w:rsid w:val="08752E31"/>
    <w:rsid w:val="087B405D"/>
    <w:rsid w:val="088210AA"/>
    <w:rsid w:val="08964B56"/>
    <w:rsid w:val="08971A59"/>
    <w:rsid w:val="089F7EAE"/>
    <w:rsid w:val="08B03E69"/>
    <w:rsid w:val="09045F63"/>
    <w:rsid w:val="092263E9"/>
    <w:rsid w:val="09435EF1"/>
    <w:rsid w:val="094F6D58"/>
    <w:rsid w:val="095347F5"/>
    <w:rsid w:val="0957563F"/>
    <w:rsid w:val="09611B64"/>
    <w:rsid w:val="096609CC"/>
    <w:rsid w:val="09815491"/>
    <w:rsid w:val="0989722B"/>
    <w:rsid w:val="09903C9B"/>
    <w:rsid w:val="09907618"/>
    <w:rsid w:val="099557CE"/>
    <w:rsid w:val="0999072B"/>
    <w:rsid w:val="09AF4121"/>
    <w:rsid w:val="09BE6112"/>
    <w:rsid w:val="0A0855DF"/>
    <w:rsid w:val="0A2A2299"/>
    <w:rsid w:val="0A2E271E"/>
    <w:rsid w:val="0A2E403B"/>
    <w:rsid w:val="0A344626"/>
    <w:rsid w:val="0A3E373D"/>
    <w:rsid w:val="0A5922DF"/>
    <w:rsid w:val="0A605D88"/>
    <w:rsid w:val="0A6749FB"/>
    <w:rsid w:val="0A742F55"/>
    <w:rsid w:val="0A7737B5"/>
    <w:rsid w:val="0A805952"/>
    <w:rsid w:val="0A96708F"/>
    <w:rsid w:val="0AA277E2"/>
    <w:rsid w:val="0AA3355A"/>
    <w:rsid w:val="0ABA2D7D"/>
    <w:rsid w:val="0ABF112C"/>
    <w:rsid w:val="0AC15A21"/>
    <w:rsid w:val="0AC92FC0"/>
    <w:rsid w:val="0AD57BB7"/>
    <w:rsid w:val="0AD876A7"/>
    <w:rsid w:val="0ADF647E"/>
    <w:rsid w:val="0AE23781"/>
    <w:rsid w:val="0AF91B48"/>
    <w:rsid w:val="0B13248D"/>
    <w:rsid w:val="0B2D7A0A"/>
    <w:rsid w:val="0B2F19DC"/>
    <w:rsid w:val="0B5F56D3"/>
    <w:rsid w:val="0B616D4A"/>
    <w:rsid w:val="0B84338B"/>
    <w:rsid w:val="0B866A2E"/>
    <w:rsid w:val="0B8C630D"/>
    <w:rsid w:val="0BA12829"/>
    <w:rsid w:val="0BA46FF4"/>
    <w:rsid w:val="0BC63207"/>
    <w:rsid w:val="0BCF45B9"/>
    <w:rsid w:val="0BDC7CF8"/>
    <w:rsid w:val="0BEF7AEF"/>
    <w:rsid w:val="0C0B585A"/>
    <w:rsid w:val="0C1A784C"/>
    <w:rsid w:val="0C2B1A59"/>
    <w:rsid w:val="0C324B95"/>
    <w:rsid w:val="0C486437"/>
    <w:rsid w:val="0C5E00AC"/>
    <w:rsid w:val="0C604814"/>
    <w:rsid w:val="0C6907A2"/>
    <w:rsid w:val="0C814B9C"/>
    <w:rsid w:val="0C851169"/>
    <w:rsid w:val="0C8F1FE8"/>
    <w:rsid w:val="0CA17C9B"/>
    <w:rsid w:val="0CB447D4"/>
    <w:rsid w:val="0CB66E63"/>
    <w:rsid w:val="0CBA1B32"/>
    <w:rsid w:val="0CC954FA"/>
    <w:rsid w:val="0CD345CA"/>
    <w:rsid w:val="0CDB6597"/>
    <w:rsid w:val="0CEA7AFC"/>
    <w:rsid w:val="0CEE6B82"/>
    <w:rsid w:val="0D0230A8"/>
    <w:rsid w:val="0D044784"/>
    <w:rsid w:val="0D052AEE"/>
    <w:rsid w:val="0D2C7F09"/>
    <w:rsid w:val="0D3A01A5"/>
    <w:rsid w:val="0D3A63F7"/>
    <w:rsid w:val="0D58687D"/>
    <w:rsid w:val="0D5C4B89"/>
    <w:rsid w:val="0D6578EA"/>
    <w:rsid w:val="0D6B4391"/>
    <w:rsid w:val="0D7F2FE5"/>
    <w:rsid w:val="0DA47D15"/>
    <w:rsid w:val="0DBA12E6"/>
    <w:rsid w:val="0DC932D7"/>
    <w:rsid w:val="0DD73C46"/>
    <w:rsid w:val="0DE6032D"/>
    <w:rsid w:val="0E100F06"/>
    <w:rsid w:val="0E144BB8"/>
    <w:rsid w:val="0E26697C"/>
    <w:rsid w:val="0E2D1AB8"/>
    <w:rsid w:val="0E320E7D"/>
    <w:rsid w:val="0E395AE0"/>
    <w:rsid w:val="0E407A3D"/>
    <w:rsid w:val="0E4D423E"/>
    <w:rsid w:val="0E694132"/>
    <w:rsid w:val="0E6F3EAD"/>
    <w:rsid w:val="0E8D2F5C"/>
    <w:rsid w:val="0E975183"/>
    <w:rsid w:val="0E9C279A"/>
    <w:rsid w:val="0EA7186A"/>
    <w:rsid w:val="0EC00215"/>
    <w:rsid w:val="0EC45096"/>
    <w:rsid w:val="0ECF0DC1"/>
    <w:rsid w:val="0EF80CCA"/>
    <w:rsid w:val="0EF95E3E"/>
    <w:rsid w:val="0F07055B"/>
    <w:rsid w:val="0F130CAE"/>
    <w:rsid w:val="0F1467D4"/>
    <w:rsid w:val="0F242EBB"/>
    <w:rsid w:val="0F3054A7"/>
    <w:rsid w:val="0F3E01A5"/>
    <w:rsid w:val="0F5848BD"/>
    <w:rsid w:val="0F5D63CD"/>
    <w:rsid w:val="0F6B0AEA"/>
    <w:rsid w:val="0F763231"/>
    <w:rsid w:val="0F9542DF"/>
    <w:rsid w:val="0FA4224E"/>
    <w:rsid w:val="0FAB538A"/>
    <w:rsid w:val="0FAC300F"/>
    <w:rsid w:val="0FB44544"/>
    <w:rsid w:val="0FB81855"/>
    <w:rsid w:val="0FBB0202"/>
    <w:rsid w:val="0FD3668F"/>
    <w:rsid w:val="10134CDE"/>
    <w:rsid w:val="1017657C"/>
    <w:rsid w:val="103C5FE2"/>
    <w:rsid w:val="1047366A"/>
    <w:rsid w:val="104E2006"/>
    <w:rsid w:val="106A2B50"/>
    <w:rsid w:val="108349D6"/>
    <w:rsid w:val="108A31F2"/>
    <w:rsid w:val="1094098A"/>
    <w:rsid w:val="10995D1D"/>
    <w:rsid w:val="10C91275"/>
    <w:rsid w:val="10E852E7"/>
    <w:rsid w:val="11171BF4"/>
    <w:rsid w:val="1122342A"/>
    <w:rsid w:val="11382DBC"/>
    <w:rsid w:val="11671785"/>
    <w:rsid w:val="11680929"/>
    <w:rsid w:val="116D52DF"/>
    <w:rsid w:val="11744846"/>
    <w:rsid w:val="117D5F82"/>
    <w:rsid w:val="11876FC9"/>
    <w:rsid w:val="11AE548E"/>
    <w:rsid w:val="11C34BC3"/>
    <w:rsid w:val="11D3768E"/>
    <w:rsid w:val="11DC3CC5"/>
    <w:rsid w:val="11E12B5E"/>
    <w:rsid w:val="11E54E3F"/>
    <w:rsid w:val="11FD5D54"/>
    <w:rsid w:val="120314AE"/>
    <w:rsid w:val="1207230C"/>
    <w:rsid w:val="12095574"/>
    <w:rsid w:val="12152F8F"/>
    <w:rsid w:val="12282CC2"/>
    <w:rsid w:val="123305D6"/>
    <w:rsid w:val="123C58FA"/>
    <w:rsid w:val="12414866"/>
    <w:rsid w:val="12495759"/>
    <w:rsid w:val="126D4B79"/>
    <w:rsid w:val="12723F3D"/>
    <w:rsid w:val="12BC631D"/>
    <w:rsid w:val="12BF4668"/>
    <w:rsid w:val="12DC585B"/>
    <w:rsid w:val="12F62DC0"/>
    <w:rsid w:val="12F6691D"/>
    <w:rsid w:val="130C5571"/>
    <w:rsid w:val="1311626F"/>
    <w:rsid w:val="13176B07"/>
    <w:rsid w:val="132C13BF"/>
    <w:rsid w:val="132F1E2E"/>
    <w:rsid w:val="1336140F"/>
    <w:rsid w:val="133B2641"/>
    <w:rsid w:val="1354287C"/>
    <w:rsid w:val="13573EA8"/>
    <w:rsid w:val="136C66D5"/>
    <w:rsid w:val="13985C26"/>
    <w:rsid w:val="13AC347F"/>
    <w:rsid w:val="13C72B78"/>
    <w:rsid w:val="13E729A1"/>
    <w:rsid w:val="13EB3EF3"/>
    <w:rsid w:val="13EE1CEA"/>
    <w:rsid w:val="13FA41EA"/>
    <w:rsid w:val="13FF5B8D"/>
    <w:rsid w:val="14164D9C"/>
    <w:rsid w:val="141662F5"/>
    <w:rsid w:val="141F3582"/>
    <w:rsid w:val="14276FAA"/>
    <w:rsid w:val="142F71C0"/>
    <w:rsid w:val="14321BD6"/>
    <w:rsid w:val="14467430"/>
    <w:rsid w:val="14484427"/>
    <w:rsid w:val="144E75B7"/>
    <w:rsid w:val="1478625E"/>
    <w:rsid w:val="14823DC5"/>
    <w:rsid w:val="14981527"/>
    <w:rsid w:val="14BF31A5"/>
    <w:rsid w:val="14DC1B42"/>
    <w:rsid w:val="14F036ED"/>
    <w:rsid w:val="14F450DE"/>
    <w:rsid w:val="15003A82"/>
    <w:rsid w:val="15030497"/>
    <w:rsid w:val="150A2B53"/>
    <w:rsid w:val="15187863"/>
    <w:rsid w:val="151E59F4"/>
    <w:rsid w:val="15282904"/>
    <w:rsid w:val="152C2AC9"/>
    <w:rsid w:val="15400323"/>
    <w:rsid w:val="154716B1"/>
    <w:rsid w:val="154F67B8"/>
    <w:rsid w:val="155C092C"/>
    <w:rsid w:val="15966195"/>
    <w:rsid w:val="15A73F7A"/>
    <w:rsid w:val="15AD6E5E"/>
    <w:rsid w:val="15C42FCC"/>
    <w:rsid w:val="15D553E2"/>
    <w:rsid w:val="15D62A35"/>
    <w:rsid w:val="15D66ED9"/>
    <w:rsid w:val="15DD5AFC"/>
    <w:rsid w:val="16021A7C"/>
    <w:rsid w:val="16195D38"/>
    <w:rsid w:val="164A7369"/>
    <w:rsid w:val="16523186"/>
    <w:rsid w:val="16573C5D"/>
    <w:rsid w:val="165E10EC"/>
    <w:rsid w:val="166242C9"/>
    <w:rsid w:val="167B118A"/>
    <w:rsid w:val="16A21F26"/>
    <w:rsid w:val="16A82624"/>
    <w:rsid w:val="16BA07AA"/>
    <w:rsid w:val="16E573D4"/>
    <w:rsid w:val="16ED5AD9"/>
    <w:rsid w:val="17055113"/>
    <w:rsid w:val="1719248C"/>
    <w:rsid w:val="172C15DF"/>
    <w:rsid w:val="17312619"/>
    <w:rsid w:val="17343EB7"/>
    <w:rsid w:val="17557C94"/>
    <w:rsid w:val="1757785B"/>
    <w:rsid w:val="17587133"/>
    <w:rsid w:val="175975F8"/>
    <w:rsid w:val="176E3033"/>
    <w:rsid w:val="17742506"/>
    <w:rsid w:val="177D2DB2"/>
    <w:rsid w:val="17837933"/>
    <w:rsid w:val="178766DD"/>
    <w:rsid w:val="178C6993"/>
    <w:rsid w:val="17901DCB"/>
    <w:rsid w:val="17944956"/>
    <w:rsid w:val="17A75376"/>
    <w:rsid w:val="17C3523B"/>
    <w:rsid w:val="17D07086"/>
    <w:rsid w:val="17D55FD6"/>
    <w:rsid w:val="17DA624F"/>
    <w:rsid w:val="17E72CD8"/>
    <w:rsid w:val="17F94F1D"/>
    <w:rsid w:val="180A201F"/>
    <w:rsid w:val="180C0990"/>
    <w:rsid w:val="18161AD3"/>
    <w:rsid w:val="18232BDD"/>
    <w:rsid w:val="18414ADE"/>
    <w:rsid w:val="18491BE4"/>
    <w:rsid w:val="184C63F2"/>
    <w:rsid w:val="18512847"/>
    <w:rsid w:val="18550589"/>
    <w:rsid w:val="186E33F9"/>
    <w:rsid w:val="1876405C"/>
    <w:rsid w:val="18851DD9"/>
    <w:rsid w:val="188F4D22"/>
    <w:rsid w:val="18AC4D9F"/>
    <w:rsid w:val="18B43502"/>
    <w:rsid w:val="18BB5C24"/>
    <w:rsid w:val="18BF310B"/>
    <w:rsid w:val="18C15C1F"/>
    <w:rsid w:val="18C87413"/>
    <w:rsid w:val="18D411EB"/>
    <w:rsid w:val="18D55226"/>
    <w:rsid w:val="18E45469"/>
    <w:rsid w:val="190C4CE2"/>
    <w:rsid w:val="19245FE1"/>
    <w:rsid w:val="19355CC5"/>
    <w:rsid w:val="19640AF6"/>
    <w:rsid w:val="19725191"/>
    <w:rsid w:val="197B2E62"/>
    <w:rsid w:val="1980096A"/>
    <w:rsid w:val="199D10AB"/>
    <w:rsid w:val="19A05834"/>
    <w:rsid w:val="19A277FE"/>
    <w:rsid w:val="19BF35D1"/>
    <w:rsid w:val="19E21445"/>
    <w:rsid w:val="19E35BF1"/>
    <w:rsid w:val="19EF1885"/>
    <w:rsid w:val="19FF3FF9"/>
    <w:rsid w:val="1A1F2BFD"/>
    <w:rsid w:val="1A2C531A"/>
    <w:rsid w:val="1A321D78"/>
    <w:rsid w:val="1A383CBF"/>
    <w:rsid w:val="1A58455B"/>
    <w:rsid w:val="1A5D7DB3"/>
    <w:rsid w:val="1A6D34CE"/>
    <w:rsid w:val="1A794CD5"/>
    <w:rsid w:val="1A815666"/>
    <w:rsid w:val="1A872550"/>
    <w:rsid w:val="1A911621"/>
    <w:rsid w:val="1AAC0209"/>
    <w:rsid w:val="1ABA2925"/>
    <w:rsid w:val="1ABC669E"/>
    <w:rsid w:val="1AC91DFD"/>
    <w:rsid w:val="1ACF620C"/>
    <w:rsid w:val="1AD72BA8"/>
    <w:rsid w:val="1AF20311"/>
    <w:rsid w:val="1B097409"/>
    <w:rsid w:val="1B1C713C"/>
    <w:rsid w:val="1B1E1342"/>
    <w:rsid w:val="1B1F4E7E"/>
    <w:rsid w:val="1B252495"/>
    <w:rsid w:val="1B351FAC"/>
    <w:rsid w:val="1B3B2F91"/>
    <w:rsid w:val="1B5C7199"/>
    <w:rsid w:val="1B6E5B3E"/>
    <w:rsid w:val="1B813443"/>
    <w:rsid w:val="1B8B49B4"/>
    <w:rsid w:val="1B9F6FD2"/>
    <w:rsid w:val="1BA15893"/>
    <w:rsid w:val="1BE340FE"/>
    <w:rsid w:val="1BF235B4"/>
    <w:rsid w:val="1C0A4438"/>
    <w:rsid w:val="1C200B97"/>
    <w:rsid w:val="1C2362A8"/>
    <w:rsid w:val="1C4F3541"/>
    <w:rsid w:val="1C5E5533"/>
    <w:rsid w:val="1C622C88"/>
    <w:rsid w:val="1C820ECC"/>
    <w:rsid w:val="1C856F63"/>
    <w:rsid w:val="1C8C521C"/>
    <w:rsid w:val="1C935740"/>
    <w:rsid w:val="1C9A0C60"/>
    <w:rsid w:val="1C9C4B7F"/>
    <w:rsid w:val="1CBB4733"/>
    <w:rsid w:val="1CBF2475"/>
    <w:rsid w:val="1CC81B8A"/>
    <w:rsid w:val="1CDA105D"/>
    <w:rsid w:val="1CDC7F67"/>
    <w:rsid w:val="1CDD28FB"/>
    <w:rsid w:val="1D0B7468"/>
    <w:rsid w:val="1D100F23"/>
    <w:rsid w:val="1D635461"/>
    <w:rsid w:val="1D8542E0"/>
    <w:rsid w:val="1D865A1C"/>
    <w:rsid w:val="1D960C6D"/>
    <w:rsid w:val="1D9F423B"/>
    <w:rsid w:val="1DB3762A"/>
    <w:rsid w:val="1DE55F0B"/>
    <w:rsid w:val="1E25455A"/>
    <w:rsid w:val="1E461E83"/>
    <w:rsid w:val="1E671FCF"/>
    <w:rsid w:val="1E6D6984"/>
    <w:rsid w:val="1E760C9C"/>
    <w:rsid w:val="1EA2204E"/>
    <w:rsid w:val="1EAB02E5"/>
    <w:rsid w:val="1EC534E2"/>
    <w:rsid w:val="1EC605F0"/>
    <w:rsid w:val="1ECD4970"/>
    <w:rsid w:val="1EE56783"/>
    <w:rsid w:val="1EEE0DF0"/>
    <w:rsid w:val="1EFA1543"/>
    <w:rsid w:val="1EFB350D"/>
    <w:rsid w:val="1F090BB5"/>
    <w:rsid w:val="1F370D5E"/>
    <w:rsid w:val="1F485564"/>
    <w:rsid w:val="1F5A1750"/>
    <w:rsid w:val="1F7A262E"/>
    <w:rsid w:val="1F8B2AE2"/>
    <w:rsid w:val="1F8E5386"/>
    <w:rsid w:val="1F901EA7"/>
    <w:rsid w:val="1F92566D"/>
    <w:rsid w:val="1FA30E61"/>
    <w:rsid w:val="1FAE1AB0"/>
    <w:rsid w:val="1FCB7383"/>
    <w:rsid w:val="1FD042CF"/>
    <w:rsid w:val="1FD5401A"/>
    <w:rsid w:val="1FE44373"/>
    <w:rsid w:val="1FE81CE3"/>
    <w:rsid w:val="1FE8583F"/>
    <w:rsid w:val="200132EB"/>
    <w:rsid w:val="200F41A6"/>
    <w:rsid w:val="20125FC6"/>
    <w:rsid w:val="201C198C"/>
    <w:rsid w:val="20364D6B"/>
    <w:rsid w:val="204B072D"/>
    <w:rsid w:val="204E1CEC"/>
    <w:rsid w:val="20536D18"/>
    <w:rsid w:val="20684BD2"/>
    <w:rsid w:val="20720C33"/>
    <w:rsid w:val="209A3C56"/>
    <w:rsid w:val="209D2ACD"/>
    <w:rsid w:val="21117355"/>
    <w:rsid w:val="21246D4B"/>
    <w:rsid w:val="212B00D9"/>
    <w:rsid w:val="212E7BC9"/>
    <w:rsid w:val="2136082C"/>
    <w:rsid w:val="2144566C"/>
    <w:rsid w:val="214473ED"/>
    <w:rsid w:val="214B077B"/>
    <w:rsid w:val="214D3F8A"/>
    <w:rsid w:val="214E201A"/>
    <w:rsid w:val="21582FFE"/>
    <w:rsid w:val="21610EE5"/>
    <w:rsid w:val="216B0532"/>
    <w:rsid w:val="217C6B87"/>
    <w:rsid w:val="218912A4"/>
    <w:rsid w:val="21894E00"/>
    <w:rsid w:val="219339FC"/>
    <w:rsid w:val="21A03638"/>
    <w:rsid w:val="21CD1190"/>
    <w:rsid w:val="21D10D15"/>
    <w:rsid w:val="21D50045"/>
    <w:rsid w:val="21DC13D3"/>
    <w:rsid w:val="2217240B"/>
    <w:rsid w:val="22182566"/>
    <w:rsid w:val="221F5BA9"/>
    <w:rsid w:val="223F5305"/>
    <w:rsid w:val="22426163"/>
    <w:rsid w:val="22482F0D"/>
    <w:rsid w:val="22484CBB"/>
    <w:rsid w:val="225B2C40"/>
    <w:rsid w:val="225B7B42"/>
    <w:rsid w:val="22737E8E"/>
    <w:rsid w:val="22745AB0"/>
    <w:rsid w:val="22767F8B"/>
    <w:rsid w:val="2290157D"/>
    <w:rsid w:val="22C22CF9"/>
    <w:rsid w:val="22C977AB"/>
    <w:rsid w:val="22CA56D0"/>
    <w:rsid w:val="22E7611F"/>
    <w:rsid w:val="22F0182A"/>
    <w:rsid w:val="22F87844"/>
    <w:rsid w:val="23016F7A"/>
    <w:rsid w:val="233C53E7"/>
    <w:rsid w:val="234436D4"/>
    <w:rsid w:val="23696C97"/>
    <w:rsid w:val="23961D95"/>
    <w:rsid w:val="239F090A"/>
    <w:rsid w:val="23B4085A"/>
    <w:rsid w:val="23BE3486"/>
    <w:rsid w:val="23DC7275"/>
    <w:rsid w:val="23E34C9B"/>
    <w:rsid w:val="23E80503"/>
    <w:rsid w:val="23FA0237"/>
    <w:rsid w:val="241A61E3"/>
    <w:rsid w:val="241E2177"/>
    <w:rsid w:val="242343C0"/>
    <w:rsid w:val="24294678"/>
    <w:rsid w:val="24343749"/>
    <w:rsid w:val="24472ACE"/>
    <w:rsid w:val="24625C51"/>
    <w:rsid w:val="24632042"/>
    <w:rsid w:val="2468284B"/>
    <w:rsid w:val="249B1ED5"/>
    <w:rsid w:val="249B5576"/>
    <w:rsid w:val="24A40099"/>
    <w:rsid w:val="24B91EA0"/>
    <w:rsid w:val="24BA6669"/>
    <w:rsid w:val="24C8296D"/>
    <w:rsid w:val="24D171E9"/>
    <w:rsid w:val="24D40A88"/>
    <w:rsid w:val="24E26893"/>
    <w:rsid w:val="24ED0FDA"/>
    <w:rsid w:val="24F55B5A"/>
    <w:rsid w:val="24F97D65"/>
    <w:rsid w:val="25084C9E"/>
    <w:rsid w:val="25317C88"/>
    <w:rsid w:val="25331C52"/>
    <w:rsid w:val="253B28B5"/>
    <w:rsid w:val="25493224"/>
    <w:rsid w:val="25555DD2"/>
    <w:rsid w:val="255915B0"/>
    <w:rsid w:val="25733DFD"/>
    <w:rsid w:val="258013E4"/>
    <w:rsid w:val="2581746D"/>
    <w:rsid w:val="258204E4"/>
    <w:rsid w:val="258C3BB9"/>
    <w:rsid w:val="25AB3597"/>
    <w:rsid w:val="25B54415"/>
    <w:rsid w:val="25B772B5"/>
    <w:rsid w:val="25CE5F37"/>
    <w:rsid w:val="25D85BE4"/>
    <w:rsid w:val="25DE1BBE"/>
    <w:rsid w:val="25ED1E01"/>
    <w:rsid w:val="25FD5DBC"/>
    <w:rsid w:val="260E1D77"/>
    <w:rsid w:val="263537A8"/>
    <w:rsid w:val="263F0183"/>
    <w:rsid w:val="26451C3D"/>
    <w:rsid w:val="266D4CF0"/>
    <w:rsid w:val="26875D7D"/>
    <w:rsid w:val="26AD1590"/>
    <w:rsid w:val="26CB43A0"/>
    <w:rsid w:val="26CD578F"/>
    <w:rsid w:val="26E256DE"/>
    <w:rsid w:val="26F947D6"/>
    <w:rsid w:val="271B6F16"/>
    <w:rsid w:val="272C08E1"/>
    <w:rsid w:val="27302553"/>
    <w:rsid w:val="27382820"/>
    <w:rsid w:val="27395666"/>
    <w:rsid w:val="274518DD"/>
    <w:rsid w:val="27466BCE"/>
    <w:rsid w:val="274C6FFB"/>
    <w:rsid w:val="274E60A0"/>
    <w:rsid w:val="27554102"/>
    <w:rsid w:val="2767173F"/>
    <w:rsid w:val="276854B7"/>
    <w:rsid w:val="276D06A4"/>
    <w:rsid w:val="277E3DF7"/>
    <w:rsid w:val="279462AC"/>
    <w:rsid w:val="2797229F"/>
    <w:rsid w:val="279F712B"/>
    <w:rsid w:val="27A53B11"/>
    <w:rsid w:val="27B54BA0"/>
    <w:rsid w:val="27BD1CA7"/>
    <w:rsid w:val="27CA2881"/>
    <w:rsid w:val="27CD0169"/>
    <w:rsid w:val="27D55529"/>
    <w:rsid w:val="27F8683B"/>
    <w:rsid w:val="27FA3C0E"/>
    <w:rsid w:val="27FD20A3"/>
    <w:rsid w:val="281D1B62"/>
    <w:rsid w:val="28221B0A"/>
    <w:rsid w:val="282C1E82"/>
    <w:rsid w:val="283006CB"/>
    <w:rsid w:val="283D06F2"/>
    <w:rsid w:val="284033EB"/>
    <w:rsid w:val="287D32B9"/>
    <w:rsid w:val="288822B5"/>
    <w:rsid w:val="28C826B1"/>
    <w:rsid w:val="28ED036A"/>
    <w:rsid w:val="28FB0483"/>
    <w:rsid w:val="291458F7"/>
    <w:rsid w:val="292C2C40"/>
    <w:rsid w:val="29373393"/>
    <w:rsid w:val="2940493E"/>
    <w:rsid w:val="294F2DD3"/>
    <w:rsid w:val="29514455"/>
    <w:rsid w:val="296672F2"/>
    <w:rsid w:val="296F51B3"/>
    <w:rsid w:val="29833C5F"/>
    <w:rsid w:val="298F3888"/>
    <w:rsid w:val="299609AC"/>
    <w:rsid w:val="299802D6"/>
    <w:rsid w:val="29994F30"/>
    <w:rsid w:val="299B6018"/>
    <w:rsid w:val="29A529F3"/>
    <w:rsid w:val="29A5570A"/>
    <w:rsid w:val="29AA2162"/>
    <w:rsid w:val="29CE019B"/>
    <w:rsid w:val="29D41C18"/>
    <w:rsid w:val="29DA6B40"/>
    <w:rsid w:val="29F80F7B"/>
    <w:rsid w:val="2A0B6F8A"/>
    <w:rsid w:val="2A0C2A72"/>
    <w:rsid w:val="2A421F80"/>
    <w:rsid w:val="2A77438F"/>
    <w:rsid w:val="2A81520E"/>
    <w:rsid w:val="2A9B456F"/>
    <w:rsid w:val="2A9F5694"/>
    <w:rsid w:val="2AB670B6"/>
    <w:rsid w:val="2ABC4498"/>
    <w:rsid w:val="2ACB46DB"/>
    <w:rsid w:val="2ADE440E"/>
    <w:rsid w:val="2AED0380"/>
    <w:rsid w:val="2AF60264"/>
    <w:rsid w:val="2B065713"/>
    <w:rsid w:val="2B1423C4"/>
    <w:rsid w:val="2B1C4F36"/>
    <w:rsid w:val="2B326508"/>
    <w:rsid w:val="2B395AE8"/>
    <w:rsid w:val="2B452244"/>
    <w:rsid w:val="2B4D5D22"/>
    <w:rsid w:val="2B54022C"/>
    <w:rsid w:val="2B54647E"/>
    <w:rsid w:val="2B585F6F"/>
    <w:rsid w:val="2B5B6D43"/>
    <w:rsid w:val="2B603075"/>
    <w:rsid w:val="2B9176D3"/>
    <w:rsid w:val="2B964CE9"/>
    <w:rsid w:val="2B9920E3"/>
    <w:rsid w:val="2BA56CDA"/>
    <w:rsid w:val="2BB62C95"/>
    <w:rsid w:val="2BBA588C"/>
    <w:rsid w:val="2BD01C52"/>
    <w:rsid w:val="2BD82C0B"/>
    <w:rsid w:val="2BDD46C6"/>
    <w:rsid w:val="2BE37961"/>
    <w:rsid w:val="2BE667B7"/>
    <w:rsid w:val="2BEC7EC4"/>
    <w:rsid w:val="2C1D60D9"/>
    <w:rsid w:val="2C3B578E"/>
    <w:rsid w:val="2C3E432A"/>
    <w:rsid w:val="2C6D614E"/>
    <w:rsid w:val="2C723060"/>
    <w:rsid w:val="2C9139C3"/>
    <w:rsid w:val="2CA86A82"/>
    <w:rsid w:val="2CB25CD8"/>
    <w:rsid w:val="2CC17B44"/>
    <w:rsid w:val="2CC6720D"/>
    <w:rsid w:val="2CC91DB2"/>
    <w:rsid w:val="2CC97A35"/>
    <w:rsid w:val="2CDC672B"/>
    <w:rsid w:val="2CDE35AE"/>
    <w:rsid w:val="2CDF621C"/>
    <w:rsid w:val="2CE37BDC"/>
    <w:rsid w:val="2CE63FAE"/>
    <w:rsid w:val="2D0A13DA"/>
    <w:rsid w:val="2D0D0FDB"/>
    <w:rsid w:val="2D3A5211"/>
    <w:rsid w:val="2D4F514F"/>
    <w:rsid w:val="2D5332B9"/>
    <w:rsid w:val="2D5D5233"/>
    <w:rsid w:val="2D5E607D"/>
    <w:rsid w:val="2D7B4196"/>
    <w:rsid w:val="2D83304B"/>
    <w:rsid w:val="2DA21723"/>
    <w:rsid w:val="2DAD03EE"/>
    <w:rsid w:val="2DC33281"/>
    <w:rsid w:val="2DF81343"/>
    <w:rsid w:val="2DFE26D1"/>
    <w:rsid w:val="2E00644A"/>
    <w:rsid w:val="2E17419C"/>
    <w:rsid w:val="2E30169A"/>
    <w:rsid w:val="2E374561"/>
    <w:rsid w:val="2E5549E7"/>
    <w:rsid w:val="2E556795"/>
    <w:rsid w:val="2E644C2A"/>
    <w:rsid w:val="2EB01038"/>
    <w:rsid w:val="2EB711FE"/>
    <w:rsid w:val="2EE1746B"/>
    <w:rsid w:val="2EED10C4"/>
    <w:rsid w:val="2EEF718D"/>
    <w:rsid w:val="2EFA5ADE"/>
    <w:rsid w:val="2F0431B9"/>
    <w:rsid w:val="2F081A65"/>
    <w:rsid w:val="2F087CAC"/>
    <w:rsid w:val="2F146650"/>
    <w:rsid w:val="2F155F25"/>
    <w:rsid w:val="2F1C5505"/>
    <w:rsid w:val="2F2D531B"/>
    <w:rsid w:val="2F441FAD"/>
    <w:rsid w:val="2F4771C6"/>
    <w:rsid w:val="2F550579"/>
    <w:rsid w:val="2F603644"/>
    <w:rsid w:val="2F66360E"/>
    <w:rsid w:val="2F675E7A"/>
    <w:rsid w:val="2F8D3DE5"/>
    <w:rsid w:val="2F911A4F"/>
    <w:rsid w:val="2F932426"/>
    <w:rsid w:val="2F9B28BE"/>
    <w:rsid w:val="2FAC6889"/>
    <w:rsid w:val="2FAF45CB"/>
    <w:rsid w:val="2FDB2CCA"/>
    <w:rsid w:val="300246FB"/>
    <w:rsid w:val="300527EC"/>
    <w:rsid w:val="30112C88"/>
    <w:rsid w:val="30170614"/>
    <w:rsid w:val="30281C88"/>
    <w:rsid w:val="303351BF"/>
    <w:rsid w:val="304C7574"/>
    <w:rsid w:val="307978A9"/>
    <w:rsid w:val="30986E0D"/>
    <w:rsid w:val="30991DD3"/>
    <w:rsid w:val="30AE4883"/>
    <w:rsid w:val="30B6585F"/>
    <w:rsid w:val="30BA3228"/>
    <w:rsid w:val="30E65DCB"/>
    <w:rsid w:val="310B23F1"/>
    <w:rsid w:val="31101099"/>
    <w:rsid w:val="3118556F"/>
    <w:rsid w:val="311F0DA0"/>
    <w:rsid w:val="31202B0D"/>
    <w:rsid w:val="31264419"/>
    <w:rsid w:val="313703D4"/>
    <w:rsid w:val="315D067D"/>
    <w:rsid w:val="3163566D"/>
    <w:rsid w:val="316867E0"/>
    <w:rsid w:val="31833619"/>
    <w:rsid w:val="319D3AAF"/>
    <w:rsid w:val="31E16592"/>
    <w:rsid w:val="31F10F85"/>
    <w:rsid w:val="31F33DF2"/>
    <w:rsid w:val="31F97D80"/>
    <w:rsid w:val="32033025"/>
    <w:rsid w:val="320C6536"/>
    <w:rsid w:val="32120D12"/>
    <w:rsid w:val="321B1AA4"/>
    <w:rsid w:val="322C096D"/>
    <w:rsid w:val="323112C7"/>
    <w:rsid w:val="3239017C"/>
    <w:rsid w:val="323E13E5"/>
    <w:rsid w:val="32411989"/>
    <w:rsid w:val="32546D64"/>
    <w:rsid w:val="32676A97"/>
    <w:rsid w:val="328D2BA4"/>
    <w:rsid w:val="328E2276"/>
    <w:rsid w:val="32944E37"/>
    <w:rsid w:val="32A47CEB"/>
    <w:rsid w:val="32D16607"/>
    <w:rsid w:val="32D9705D"/>
    <w:rsid w:val="32EA7901"/>
    <w:rsid w:val="32EB591A"/>
    <w:rsid w:val="32EE540A"/>
    <w:rsid w:val="33095DA0"/>
    <w:rsid w:val="332F14A9"/>
    <w:rsid w:val="332F29FE"/>
    <w:rsid w:val="333411CF"/>
    <w:rsid w:val="33386686"/>
    <w:rsid w:val="335A65FC"/>
    <w:rsid w:val="335C445D"/>
    <w:rsid w:val="336B684F"/>
    <w:rsid w:val="33837901"/>
    <w:rsid w:val="339B4B6E"/>
    <w:rsid w:val="339E298D"/>
    <w:rsid w:val="33C57F19"/>
    <w:rsid w:val="33C70135"/>
    <w:rsid w:val="33EB36F8"/>
    <w:rsid w:val="33FB1B8D"/>
    <w:rsid w:val="34034EE6"/>
    <w:rsid w:val="34054850"/>
    <w:rsid w:val="34071A1D"/>
    <w:rsid w:val="34225A8F"/>
    <w:rsid w:val="34394463"/>
    <w:rsid w:val="34437249"/>
    <w:rsid w:val="347D25A2"/>
    <w:rsid w:val="34831B82"/>
    <w:rsid w:val="34E940DB"/>
    <w:rsid w:val="34EA40EC"/>
    <w:rsid w:val="34F72A66"/>
    <w:rsid w:val="35093202"/>
    <w:rsid w:val="350D0FEC"/>
    <w:rsid w:val="35132F06"/>
    <w:rsid w:val="35437B7C"/>
    <w:rsid w:val="358E3798"/>
    <w:rsid w:val="35BB5A78"/>
    <w:rsid w:val="35D9162D"/>
    <w:rsid w:val="35E7745C"/>
    <w:rsid w:val="35F5260C"/>
    <w:rsid w:val="35FC498E"/>
    <w:rsid w:val="360A4309"/>
    <w:rsid w:val="36166859"/>
    <w:rsid w:val="36213401"/>
    <w:rsid w:val="362D6059"/>
    <w:rsid w:val="364C2B74"/>
    <w:rsid w:val="364C391D"/>
    <w:rsid w:val="36551B8F"/>
    <w:rsid w:val="36575075"/>
    <w:rsid w:val="36641644"/>
    <w:rsid w:val="367708E3"/>
    <w:rsid w:val="367B0274"/>
    <w:rsid w:val="368F68BA"/>
    <w:rsid w:val="36B44275"/>
    <w:rsid w:val="36B9646D"/>
    <w:rsid w:val="36FF3742"/>
    <w:rsid w:val="37007173"/>
    <w:rsid w:val="370F76FD"/>
    <w:rsid w:val="371143BC"/>
    <w:rsid w:val="37192788"/>
    <w:rsid w:val="372C500D"/>
    <w:rsid w:val="373F27D7"/>
    <w:rsid w:val="374E0226"/>
    <w:rsid w:val="375F0685"/>
    <w:rsid w:val="377B15DA"/>
    <w:rsid w:val="37A95DA4"/>
    <w:rsid w:val="37D5728A"/>
    <w:rsid w:val="37F54B45"/>
    <w:rsid w:val="37F963E3"/>
    <w:rsid w:val="3817650A"/>
    <w:rsid w:val="382A5702"/>
    <w:rsid w:val="3842422E"/>
    <w:rsid w:val="384B03E9"/>
    <w:rsid w:val="386359A2"/>
    <w:rsid w:val="38741F0E"/>
    <w:rsid w:val="38797524"/>
    <w:rsid w:val="387B504A"/>
    <w:rsid w:val="387E5850"/>
    <w:rsid w:val="388008B3"/>
    <w:rsid w:val="38800C40"/>
    <w:rsid w:val="38897BBF"/>
    <w:rsid w:val="389B56ED"/>
    <w:rsid w:val="38B5557A"/>
    <w:rsid w:val="38B77E9B"/>
    <w:rsid w:val="38B82A46"/>
    <w:rsid w:val="38D03A05"/>
    <w:rsid w:val="38D8249D"/>
    <w:rsid w:val="38F47003"/>
    <w:rsid w:val="38F90665"/>
    <w:rsid w:val="390252C1"/>
    <w:rsid w:val="39176FD1"/>
    <w:rsid w:val="3948510A"/>
    <w:rsid w:val="395C1E67"/>
    <w:rsid w:val="39710B8C"/>
    <w:rsid w:val="39736610"/>
    <w:rsid w:val="397440E8"/>
    <w:rsid w:val="397B3D07"/>
    <w:rsid w:val="3989682C"/>
    <w:rsid w:val="398C37FF"/>
    <w:rsid w:val="399D5494"/>
    <w:rsid w:val="39AB5E03"/>
    <w:rsid w:val="39C46EC5"/>
    <w:rsid w:val="39C94499"/>
    <w:rsid w:val="39D40C83"/>
    <w:rsid w:val="39D65EBB"/>
    <w:rsid w:val="39D926F6"/>
    <w:rsid w:val="39DC420F"/>
    <w:rsid w:val="3A0A7ABC"/>
    <w:rsid w:val="3A0D6176"/>
    <w:rsid w:val="3A215ADE"/>
    <w:rsid w:val="3A2160C5"/>
    <w:rsid w:val="3A483652"/>
    <w:rsid w:val="3A7206CF"/>
    <w:rsid w:val="3A7F2C31"/>
    <w:rsid w:val="3A914FF9"/>
    <w:rsid w:val="3A9248BC"/>
    <w:rsid w:val="3A942C59"/>
    <w:rsid w:val="3A951EDF"/>
    <w:rsid w:val="3A9B19D4"/>
    <w:rsid w:val="3ADB2718"/>
    <w:rsid w:val="3AE8273F"/>
    <w:rsid w:val="3B023801"/>
    <w:rsid w:val="3B070E17"/>
    <w:rsid w:val="3B1874C8"/>
    <w:rsid w:val="3B223EA3"/>
    <w:rsid w:val="3B2D3F8D"/>
    <w:rsid w:val="3B414FCB"/>
    <w:rsid w:val="3B446A74"/>
    <w:rsid w:val="3B623726"/>
    <w:rsid w:val="3B633D30"/>
    <w:rsid w:val="3B653D90"/>
    <w:rsid w:val="3B72197F"/>
    <w:rsid w:val="3B797124"/>
    <w:rsid w:val="3B7A3CDF"/>
    <w:rsid w:val="3B824942"/>
    <w:rsid w:val="3B8F407F"/>
    <w:rsid w:val="3BA046F2"/>
    <w:rsid w:val="3BA11E89"/>
    <w:rsid w:val="3BA50630"/>
    <w:rsid w:val="3BA945C4"/>
    <w:rsid w:val="3BB70A8F"/>
    <w:rsid w:val="3BC136BC"/>
    <w:rsid w:val="3BD9266A"/>
    <w:rsid w:val="3BDF3B42"/>
    <w:rsid w:val="3BE20963"/>
    <w:rsid w:val="3BE253C4"/>
    <w:rsid w:val="3BF515B8"/>
    <w:rsid w:val="3BF71054"/>
    <w:rsid w:val="3C011D0B"/>
    <w:rsid w:val="3C090BBF"/>
    <w:rsid w:val="3C0D4B53"/>
    <w:rsid w:val="3C237ED3"/>
    <w:rsid w:val="3C2B4E49"/>
    <w:rsid w:val="3C2F4ACA"/>
    <w:rsid w:val="3C325F30"/>
    <w:rsid w:val="3C3E5A8B"/>
    <w:rsid w:val="3C652594"/>
    <w:rsid w:val="3C77021F"/>
    <w:rsid w:val="3C8065F9"/>
    <w:rsid w:val="3C8841DA"/>
    <w:rsid w:val="3C954E05"/>
    <w:rsid w:val="3CA01523"/>
    <w:rsid w:val="3CC43E13"/>
    <w:rsid w:val="3CC80A7A"/>
    <w:rsid w:val="3CCD6091"/>
    <w:rsid w:val="3CEA6C43"/>
    <w:rsid w:val="3CF450C8"/>
    <w:rsid w:val="3CFE624A"/>
    <w:rsid w:val="3D143CBF"/>
    <w:rsid w:val="3D1617E6"/>
    <w:rsid w:val="3D1C1542"/>
    <w:rsid w:val="3D366465"/>
    <w:rsid w:val="3D40553A"/>
    <w:rsid w:val="3D581DFE"/>
    <w:rsid w:val="3D6469F5"/>
    <w:rsid w:val="3D695DB9"/>
    <w:rsid w:val="3D6C58AA"/>
    <w:rsid w:val="3D80667C"/>
    <w:rsid w:val="3DA825AF"/>
    <w:rsid w:val="3DC01751"/>
    <w:rsid w:val="3E025B80"/>
    <w:rsid w:val="3E435CB3"/>
    <w:rsid w:val="3E4B1055"/>
    <w:rsid w:val="3E6447D3"/>
    <w:rsid w:val="3E6F3667"/>
    <w:rsid w:val="3E7B7AD3"/>
    <w:rsid w:val="3E7E6AF2"/>
    <w:rsid w:val="3E8135D7"/>
    <w:rsid w:val="3E9C76B0"/>
    <w:rsid w:val="3EA6303D"/>
    <w:rsid w:val="3EA70B8C"/>
    <w:rsid w:val="3ED03474"/>
    <w:rsid w:val="3EE002FD"/>
    <w:rsid w:val="3EE576C2"/>
    <w:rsid w:val="3F3348D1"/>
    <w:rsid w:val="3F4D34B9"/>
    <w:rsid w:val="3F517A82"/>
    <w:rsid w:val="3F566811"/>
    <w:rsid w:val="3F593C0C"/>
    <w:rsid w:val="3F627403"/>
    <w:rsid w:val="3F702A77"/>
    <w:rsid w:val="3F8C3FE1"/>
    <w:rsid w:val="3FAE3F57"/>
    <w:rsid w:val="3FE1257F"/>
    <w:rsid w:val="3FEE2A7D"/>
    <w:rsid w:val="3FFB42AD"/>
    <w:rsid w:val="40155D85"/>
    <w:rsid w:val="401E103E"/>
    <w:rsid w:val="401F30A7"/>
    <w:rsid w:val="405009AC"/>
    <w:rsid w:val="40524E34"/>
    <w:rsid w:val="405E2FEA"/>
    <w:rsid w:val="408B33B9"/>
    <w:rsid w:val="40907A7F"/>
    <w:rsid w:val="40BD5302"/>
    <w:rsid w:val="40DB5F74"/>
    <w:rsid w:val="40E37C31"/>
    <w:rsid w:val="40E8793D"/>
    <w:rsid w:val="40EB11DB"/>
    <w:rsid w:val="40F0234E"/>
    <w:rsid w:val="40F63E08"/>
    <w:rsid w:val="411424E0"/>
    <w:rsid w:val="411A12F1"/>
    <w:rsid w:val="41322966"/>
    <w:rsid w:val="414F3518"/>
    <w:rsid w:val="41566655"/>
    <w:rsid w:val="41783232"/>
    <w:rsid w:val="41836574"/>
    <w:rsid w:val="41970A1B"/>
    <w:rsid w:val="41975AF2"/>
    <w:rsid w:val="41B469D5"/>
    <w:rsid w:val="41B82E6B"/>
    <w:rsid w:val="41F15866"/>
    <w:rsid w:val="41F30347"/>
    <w:rsid w:val="42097B6B"/>
    <w:rsid w:val="4217463E"/>
    <w:rsid w:val="42242B94"/>
    <w:rsid w:val="422E312E"/>
    <w:rsid w:val="425C1778"/>
    <w:rsid w:val="42666D6B"/>
    <w:rsid w:val="42733236"/>
    <w:rsid w:val="4277689C"/>
    <w:rsid w:val="42794715"/>
    <w:rsid w:val="427E6FDE"/>
    <w:rsid w:val="4284421C"/>
    <w:rsid w:val="42864D18"/>
    <w:rsid w:val="42935686"/>
    <w:rsid w:val="42935CDE"/>
    <w:rsid w:val="42A14CDF"/>
    <w:rsid w:val="42BE0812"/>
    <w:rsid w:val="42F44152"/>
    <w:rsid w:val="430976F7"/>
    <w:rsid w:val="430E60EC"/>
    <w:rsid w:val="431972A2"/>
    <w:rsid w:val="432F1853"/>
    <w:rsid w:val="4338290F"/>
    <w:rsid w:val="434D7F2B"/>
    <w:rsid w:val="434F5A51"/>
    <w:rsid w:val="43567B83"/>
    <w:rsid w:val="437F3FBB"/>
    <w:rsid w:val="4391606A"/>
    <w:rsid w:val="43D52775"/>
    <w:rsid w:val="43E42461"/>
    <w:rsid w:val="43FE54AC"/>
    <w:rsid w:val="44114AB5"/>
    <w:rsid w:val="44193A03"/>
    <w:rsid w:val="44202F4A"/>
    <w:rsid w:val="444A6BF7"/>
    <w:rsid w:val="444B0AED"/>
    <w:rsid w:val="44507CD3"/>
    <w:rsid w:val="445359B8"/>
    <w:rsid w:val="445F3A72"/>
    <w:rsid w:val="44641089"/>
    <w:rsid w:val="446577F3"/>
    <w:rsid w:val="44B244EA"/>
    <w:rsid w:val="44B32010"/>
    <w:rsid w:val="44C32E74"/>
    <w:rsid w:val="44CE01F1"/>
    <w:rsid w:val="44E827F6"/>
    <w:rsid w:val="44FF260B"/>
    <w:rsid w:val="452A4641"/>
    <w:rsid w:val="452C295D"/>
    <w:rsid w:val="453E3FCF"/>
    <w:rsid w:val="45476A70"/>
    <w:rsid w:val="4554734F"/>
    <w:rsid w:val="45637592"/>
    <w:rsid w:val="4597548E"/>
    <w:rsid w:val="45982027"/>
    <w:rsid w:val="45BB4A19"/>
    <w:rsid w:val="45C049E4"/>
    <w:rsid w:val="45CA13BF"/>
    <w:rsid w:val="45CC5137"/>
    <w:rsid w:val="45D9530F"/>
    <w:rsid w:val="45E92928"/>
    <w:rsid w:val="45F14B9E"/>
    <w:rsid w:val="45F705F0"/>
    <w:rsid w:val="46026DAB"/>
    <w:rsid w:val="46087E82"/>
    <w:rsid w:val="460D5479"/>
    <w:rsid w:val="46221EE2"/>
    <w:rsid w:val="46222FA9"/>
    <w:rsid w:val="4632021B"/>
    <w:rsid w:val="464D4CA7"/>
    <w:rsid w:val="465D66D7"/>
    <w:rsid w:val="46620D72"/>
    <w:rsid w:val="46625C99"/>
    <w:rsid w:val="46B20D07"/>
    <w:rsid w:val="46BB4A11"/>
    <w:rsid w:val="46C1699C"/>
    <w:rsid w:val="46CC5C56"/>
    <w:rsid w:val="46ED08B9"/>
    <w:rsid w:val="470E2DEB"/>
    <w:rsid w:val="471825FE"/>
    <w:rsid w:val="473236C0"/>
    <w:rsid w:val="475C663E"/>
    <w:rsid w:val="475F022D"/>
    <w:rsid w:val="47727F60"/>
    <w:rsid w:val="477912EF"/>
    <w:rsid w:val="477E29F5"/>
    <w:rsid w:val="47863A0C"/>
    <w:rsid w:val="47BE10AC"/>
    <w:rsid w:val="47CE1FDE"/>
    <w:rsid w:val="47D868BC"/>
    <w:rsid w:val="47DF6CDC"/>
    <w:rsid w:val="47FA33DA"/>
    <w:rsid w:val="480A1F47"/>
    <w:rsid w:val="48192ABD"/>
    <w:rsid w:val="481B4E37"/>
    <w:rsid w:val="48206385"/>
    <w:rsid w:val="482512A6"/>
    <w:rsid w:val="4833169C"/>
    <w:rsid w:val="48354E6E"/>
    <w:rsid w:val="485D476D"/>
    <w:rsid w:val="487D2A1E"/>
    <w:rsid w:val="48A34957"/>
    <w:rsid w:val="48A40001"/>
    <w:rsid w:val="48A979B2"/>
    <w:rsid w:val="48B12D0A"/>
    <w:rsid w:val="48B63E7D"/>
    <w:rsid w:val="48C67642"/>
    <w:rsid w:val="48DF41EA"/>
    <w:rsid w:val="48E94252"/>
    <w:rsid w:val="48EA7AFE"/>
    <w:rsid w:val="48FF75D2"/>
    <w:rsid w:val="4911652E"/>
    <w:rsid w:val="49175F81"/>
    <w:rsid w:val="491B55DE"/>
    <w:rsid w:val="491E7D2A"/>
    <w:rsid w:val="49247038"/>
    <w:rsid w:val="4929643D"/>
    <w:rsid w:val="492A07DE"/>
    <w:rsid w:val="49301E81"/>
    <w:rsid w:val="49396F88"/>
    <w:rsid w:val="4966775F"/>
    <w:rsid w:val="497535A3"/>
    <w:rsid w:val="49845D29"/>
    <w:rsid w:val="49936E7C"/>
    <w:rsid w:val="49BC54C3"/>
    <w:rsid w:val="49FC0FF6"/>
    <w:rsid w:val="4A1932A7"/>
    <w:rsid w:val="4A235542"/>
    <w:rsid w:val="4A326334"/>
    <w:rsid w:val="4A3B288C"/>
    <w:rsid w:val="4A4A06C9"/>
    <w:rsid w:val="4A620A7F"/>
    <w:rsid w:val="4A6E435C"/>
    <w:rsid w:val="4A706B2E"/>
    <w:rsid w:val="4A863922"/>
    <w:rsid w:val="4A941610"/>
    <w:rsid w:val="4ABF3A7C"/>
    <w:rsid w:val="4AC04DC9"/>
    <w:rsid w:val="4ADF590D"/>
    <w:rsid w:val="4AEC627C"/>
    <w:rsid w:val="4AFA3515"/>
    <w:rsid w:val="4B1067E7"/>
    <w:rsid w:val="4B2C46CF"/>
    <w:rsid w:val="4B3016CC"/>
    <w:rsid w:val="4B367F5F"/>
    <w:rsid w:val="4B38212A"/>
    <w:rsid w:val="4B4368F7"/>
    <w:rsid w:val="4B46773A"/>
    <w:rsid w:val="4B5F07FC"/>
    <w:rsid w:val="4B6C2F1B"/>
    <w:rsid w:val="4B8B15F1"/>
    <w:rsid w:val="4B8E720E"/>
    <w:rsid w:val="4BCD4886"/>
    <w:rsid w:val="4BDE5BC4"/>
    <w:rsid w:val="4BE11211"/>
    <w:rsid w:val="4C02083F"/>
    <w:rsid w:val="4C024F8F"/>
    <w:rsid w:val="4C0669B0"/>
    <w:rsid w:val="4C231829"/>
    <w:rsid w:val="4C2D21EC"/>
    <w:rsid w:val="4C3C0B3D"/>
    <w:rsid w:val="4C3E1BB6"/>
    <w:rsid w:val="4C3E48B5"/>
    <w:rsid w:val="4C4F6AC2"/>
    <w:rsid w:val="4C6267F5"/>
    <w:rsid w:val="4C9E35A6"/>
    <w:rsid w:val="4C9E7102"/>
    <w:rsid w:val="4CBA03DF"/>
    <w:rsid w:val="4CD4551D"/>
    <w:rsid w:val="4D043409"/>
    <w:rsid w:val="4D185106"/>
    <w:rsid w:val="4D1E30C5"/>
    <w:rsid w:val="4D2515D1"/>
    <w:rsid w:val="4D2910C1"/>
    <w:rsid w:val="4D467339"/>
    <w:rsid w:val="4D626381"/>
    <w:rsid w:val="4D834C75"/>
    <w:rsid w:val="4DCC45CE"/>
    <w:rsid w:val="4DEA4CF4"/>
    <w:rsid w:val="4DF0398D"/>
    <w:rsid w:val="4E1326E7"/>
    <w:rsid w:val="4E2029B1"/>
    <w:rsid w:val="4E2142A9"/>
    <w:rsid w:val="4E21608D"/>
    <w:rsid w:val="4E362315"/>
    <w:rsid w:val="4E3D203E"/>
    <w:rsid w:val="4E466B9E"/>
    <w:rsid w:val="4E481A8B"/>
    <w:rsid w:val="4E485577"/>
    <w:rsid w:val="4E4D2E49"/>
    <w:rsid w:val="4E5403C0"/>
    <w:rsid w:val="4E612ADD"/>
    <w:rsid w:val="4E6F51FA"/>
    <w:rsid w:val="4E704ACE"/>
    <w:rsid w:val="4E796F6C"/>
    <w:rsid w:val="4E93713A"/>
    <w:rsid w:val="4E9F618E"/>
    <w:rsid w:val="4EA428B7"/>
    <w:rsid w:val="4EB15812"/>
    <w:rsid w:val="4EC64359"/>
    <w:rsid w:val="4EC866B8"/>
    <w:rsid w:val="4ECA68D4"/>
    <w:rsid w:val="4ECC61A8"/>
    <w:rsid w:val="4EE74D90"/>
    <w:rsid w:val="4EED40E4"/>
    <w:rsid w:val="4F08072A"/>
    <w:rsid w:val="4F0C06E7"/>
    <w:rsid w:val="4F141347"/>
    <w:rsid w:val="4F2852AB"/>
    <w:rsid w:val="4F2B3B43"/>
    <w:rsid w:val="4F3101AE"/>
    <w:rsid w:val="4F3F2E1E"/>
    <w:rsid w:val="4F40551D"/>
    <w:rsid w:val="4F466CC0"/>
    <w:rsid w:val="4F514508"/>
    <w:rsid w:val="4F5368C9"/>
    <w:rsid w:val="4F593AE5"/>
    <w:rsid w:val="4F74239C"/>
    <w:rsid w:val="4F824AB9"/>
    <w:rsid w:val="4F98252E"/>
    <w:rsid w:val="4FA64C4B"/>
    <w:rsid w:val="4FAC3C69"/>
    <w:rsid w:val="4FBA6948"/>
    <w:rsid w:val="4FBD0DDA"/>
    <w:rsid w:val="4FD23732"/>
    <w:rsid w:val="4FE61A40"/>
    <w:rsid w:val="4FFA4AD3"/>
    <w:rsid w:val="50131BB5"/>
    <w:rsid w:val="50280F82"/>
    <w:rsid w:val="5041313C"/>
    <w:rsid w:val="50414974"/>
    <w:rsid w:val="504B57F2"/>
    <w:rsid w:val="506A211C"/>
    <w:rsid w:val="50770396"/>
    <w:rsid w:val="50827466"/>
    <w:rsid w:val="50855E66"/>
    <w:rsid w:val="50916BB8"/>
    <w:rsid w:val="50AA42C7"/>
    <w:rsid w:val="50C51101"/>
    <w:rsid w:val="51143787"/>
    <w:rsid w:val="511F76B3"/>
    <w:rsid w:val="512027DB"/>
    <w:rsid w:val="51234079"/>
    <w:rsid w:val="513B7615"/>
    <w:rsid w:val="5147107B"/>
    <w:rsid w:val="51586419"/>
    <w:rsid w:val="517B3EB5"/>
    <w:rsid w:val="519D207E"/>
    <w:rsid w:val="51B82A14"/>
    <w:rsid w:val="51B86EB8"/>
    <w:rsid w:val="51C70EA9"/>
    <w:rsid w:val="51E41A5B"/>
    <w:rsid w:val="51F06651"/>
    <w:rsid w:val="520D5A73"/>
    <w:rsid w:val="5225404F"/>
    <w:rsid w:val="522C7E05"/>
    <w:rsid w:val="52383B54"/>
    <w:rsid w:val="52440CA6"/>
    <w:rsid w:val="52614E59"/>
    <w:rsid w:val="526276E7"/>
    <w:rsid w:val="5268592E"/>
    <w:rsid w:val="52695032"/>
    <w:rsid w:val="52756B57"/>
    <w:rsid w:val="528C45CC"/>
    <w:rsid w:val="528F5E6A"/>
    <w:rsid w:val="52A05A32"/>
    <w:rsid w:val="52A64F62"/>
    <w:rsid w:val="52AE2F54"/>
    <w:rsid w:val="52B14033"/>
    <w:rsid w:val="52BB381C"/>
    <w:rsid w:val="52CB6777"/>
    <w:rsid w:val="52E02222"/>
    <w:rsid w:val="52EA4E4F"/>
    <w:rsid w:val="531A504E"/>
    <w:rsid w:val="532366DF"/>
    <w:rsid w:val="533271AD"/>
    <w:rsid w:val="534D2A6F"/>
    <w:rsid w:val="53684FB5"/>
    <w:rsid w:val="53690469"/>
    <w:rsid w:val="53B851F1"/>
    <w:rsid w:val="53C120CA"/>
    <w:rsid w:val="53CC3743"/>
    <w:rsid w:val="53D17DBD"/>
    <w:rsid w:val="53EC109A"/>
    <w:rsid w:val="540E7263"/>
    <w:rsid w:val="5428796D"/>
    <w:rsid w:val="542A7CBB"/>
    <w:rsid w:val="543D3BBF"/>
    <w:rsid w:val="54773275"/>
    <w:rsid w:val="54837309"/>
    <w:rsid w:val="54901A26"/>
    <w:rsid w:val="549B5B31"/>
    <w:rsid w:val="54A31759"/>
    <w:rsid w:val="54D631E0"/>
    <w:rsid w:val="54F41009"/>
    <w:rsid w:val="55077D40"/>
    <w:rsid w:val="55256612"/>
    <w:rsid w:val="552B174F"/>
    <w:rsid w:val="553625CD"/>
    <w:rsid w:val="557012E6"/>
    <w:rsid w:val="557E5D22"/>
    <w:rsid w:val="558A0B6B"/>
    <w:rsid w:val="55C23E61"/>
    <w:rsid w:val="55E86FC4"/>
    <w:rsid w:val="55EF4DC3"/>
    <w:rsid w:val="55FA184D"/>
    <w:rsid w:val="55FA3CBC"/>
    <w:rsid w:val="562577A5"/>
    <w:rsid w:val="5633616A"/>
    <w:rsid w:val="564162D0"/>
    <w:rsid w:val="564E3725"/>
    <w:rsid w:val="5658119E"/>
    <w:rsid w:val="56705E8A"/>
    <w:rsid w:val="56A417B8"/>
    <w:rsid w:val="56BA6C70"/>
    <w:rsid w:val="56BF13FD"/>
    <w:rsid w:val="56C074FC"/>
    <w:rsid w:val="56EC7480"/>
    <w:rsid w:val="56F1208A"/>
    <w:rsid w:val="570D7BAE"/>
    <w:rsid w:val="570E4B7A"/>
    <w:rsid w:val="57265336"/>
    <w:rsid w:val="572C012C"/>
    <w:rsid w:val="57376AD1"/>
    <w:rsid w:val="573A3ECB"/>
    <w:rsid w:val="57411DDB"/>
    <w:rsid w:val="574A05B2"/>
    <w:rsid w:val="57522A84"/>
    <w:rsid w:val="57574A7D"/>
    <w:rsid w:val="57777F98"/>
    <w:rsid w:val="57BE29FA"/>
    <w:rsid w:val="57C32112"/>
    <w:rsid w:val="57CC097A"/>
    <w:rsid w:val="57CE5D0A"/>
    <w:rsid w:val="57E54372"/>
    <w:rsid w:val="57F25460"/>
    <w:rsid w:val="580E4721"/>
    <w:rsid w:val="58256929"/>
    <w:rsid w:val="58397F20"/>
    <w:rsid w:val="583A417F"/>
    <w:rsid w:val="584A6390"/>
    <w:rsid w:val="5851688A"/>
    <w:rsid w:val="586A278D"/>
    <w:rsid w:val="58894EBB"/>
    <w:rsid w:val="58900CFD"/>
    <w:rsid w:val="589A2E73"/>
    <w:rsid w:val="58A61818"/>
    <w:rsid w:val="58AC2BA6"/>
    <w:rsid w:val="58B744E4"/>
    <w:rsid w:val="58BA782A"/>
    <w:rsid w:val="58BC728D"/>
    <w:rsid w:val="58BF6D7E"/>
    <w:rsid w:val="58C61EBA"/>
    <w:rsid w:val="58D41A22"/>
    <w:rsid w:val="58D624C9"/>
    <w:rsid w:val="58DF28FA"/>
    <w:rsid w:val="58E467E4"/>
    <w:rsid w:val="58E6255C"/>
    <w:rsid w:val="58EF1411"/>
    <w:rsid w:val="59084523"/>
    <w:rsid w:val="59103135"/>
    <w:rsid w:val="59153A25"/>
    <w:rsid w:val="592B7F6F"/>
    <w:rsid w:val="5943350B"/>
    <w:rsid w:val="5955323E"/>
    <w:rsid w:val="595A2602"/>
    <w:rsid w:val="595E6596"/>
    <w:rsid w:val="59630BF9"/>
    <w:rsid w:val="597638E0"/>
    <w:rsid w:val="597D6869"/>
    <w:rsid w:val="597F7FA7"/>
    <w:rsid w:val="599975CF"/>
    <w:rsid w:val="599F31A9"/>
    <w:rsid w:val="59A35DCD"/>
    <w:rsid w:val="59A55F73"/>
    <w:rsid w:val="59CC3500"/>
    <w:rsid w:val="59F667CF"/>
    <w:rsid w:val="5A0507C0"/>
    <w:rsid w:val="5A0F7891"/>
    <w:rsid w:val="5A276FA1"/>
    <w:rsid w:val="5A2A0227"/>
    <w:rsid w:val="5A4968FF"/>
    <w:rsid w:val="5A5A4FB0"/>
    <w:rsid w:val="5A6574B1"/>
    <w:rsid w:val="5A6D1D54"/>
    <w:rsid w:val="5A7476F4"/>
    <w:rsid w:val="5A8262B5"/>
    <w:rsid w:val="5A9539BF"/>
    <w:rsid w:val="5A957D96"/>
    <w:rsid w:val="5AB126F6"/>
    <w:rsid w:val="5AB32912"/>
    <w:rsid w:val="5AC93CBB"/>
    <w:rsid w:val="5AD30298"/>
    <w:rsid w:val="5AF820D3"/>
    <w:rsid w:val="5B062A42"/>
    <w:rsid w:val="5B0920E0"/>
    <w:rsid w:val="5B266C40"/>
    <w:rsid w:val="5B291782"/>
    <w:rsid w:val="5B5C5E7B"/>
    <w:rsid w:val="5B61236E"/>
    <w:rsid w:val="5B703146"/>
    <w:rsid w:val="5B7A7456"/>
    <w:rsid w:val="5B8027F4"/>
    <w:rsid w:val="5B837F4E"/>
    <w:rsid w:val="5B857E0A"/>
    <w:rsid w:val="5B8A5421"/>
    <w:rsid w:val="5B8D4F11"/>
    <w:rsid w:val="5BA06A78"/>
    <w:rsid w:val="5BAB5397"/>
    <w:rsid w:val="5BB00F4F"/>
    <w:rsid w:val="5BB93F58"/>
    <w:rsid w:val="5BBE2967"/>
    <w:rsid w:val="5BC13CBD"/>
    <w:rsid w:val="5BC36B85"/>
    <w:rsid w:val="5BC92DFA"/>
    <w:rsid w:val="5BCE7A03"/>
    <w:rsid w:val="5BD112A2"/>
    <w:rsid w:val="5BE201F8"/>
    <w:rsid w:val="5BFE5D5C"/>
    <w:rsid w:val="5BFE5E0F"/>
    <w:rsid w:val="5C261DF7"/>
    <w:rsid w:val="5C2C297C"/>
    <w:rsid w:val="5C3A202E"/>
    <w:rsid w:val="5C4952DC"/>
    <w:rsid w:val="5C606182"/>
    <w:rsid w:val="5C6C2D78"/>
    <w:rsid w:val="5C6F5C10"/>
    <w:rsid w:val="5C7165E1"/>
    <w:rsid w:val="5C844566"/>
    <w:rsid w:val="5C904CB9"/>
    <w:rsid w:val="5CA536C4"/>
    <w:rsid w:val="5CA70254"/>
    <w:rsid w:val="5CB00EB7"/>
    <w:rsid w:val="5CC756D2"/>
    <w:rsid w:val="5CD17501"/>
    <w:rsid w:val="5CD728E8"/>
    <w:rsid w:val="5CFF3BED"/>
    <w:rsid w:val="5D0607CD"/>
    <w:rsid w:val="5D123920"/>
    <w:rsid w:val="5D393FB8"/>
    <w:rsid w:val="5D39435E"/>
    <w:rsid w:val="5D414205"/>
    <w:rsid w:val="5D8B1A3C"/>
    <w:rsid w:val="5D9C768D"/>
    <w:rsid w:val="5D9D11C6"/>
    <w:rsid w:val="5D9D283E"/>
    <w:rsid w:val="5DAF50CE"/>
    <w:rsid w:val="5DB91FED"/>
    <w:rsid w:val="5DCD0522"/>
    <w:rsid w:val="5DCD560A"/>
    <w:rsid w:val="5DDC0BFC"/>
    <w:rsid w:val="5DE148F5"/>
    <w:rsid w:val="5DF72B16"/>
    <w:rsid w:val="5E0707E8"/>
    <w:rsid w:val="5E111E29"/>
    <w:rsid w:val="5E134BAB"/>
    <w:rsid w:val="5E20040A"/>
    <w:rsid w:val="5E345B18"/>
    <w:rsid w:val="5E4265D8"/>
    <w:rsid w:val="5E451AD3"/>
    <w:rsid w:val="5E59732C"/>
    <w:rsid w:val="5E692D38"/>
    <w:rsid w:val="5E820631"/>
    <w:rsid w:val="5E84084D"/>
    <w:rsid w:val="5E8545C5"/>
    <w:rsid w:val="5E87381B"/>
    <w:rsid w:val="5E9157A7"/>
    <w:rsid w:val="5E9F7435"/>
    <w:rsid w:val="5ECC503A"/>
    <w:rsid w:val="5EDB32E9"/>
    <w:rsid w:val="5EE706A0"/>
    <w:rsid w:val="5EE72B8A"/>
    <w:rsid w:val="5EE94B54"/>
    <w:rsid w:val="5EE96902"/>
    <w:rsid w:val="5F1C6CD8"/>
    <w:rsid w:val="5F1E5D42"/>
    <w:rsid w:val="5F3D09FC"/>
    <w:rsid w:val="5F530220"/>
    <w:rsid w:val="5F5F4E16"/>
    <w:rsid w:val="5F693F19"/>
    <w:rsid w:val="5F7206A6"/>
    <w:rsid w:val="5F7C7776"/>
    <w:rsid w:val="5F9C7408"/>
    <w:rsid w:val="5F9E4C02"/>
    <w:rsid w:val="5FA82319"/>
    <w:rsid w:val="5FBA204D"/>
    <w:rsid w:val="5FC44C79"/>
    <w:rsid w:val="5FC6687A"/>
    <w:rsid w:val="5FD50164"/>
    <w:rsid w:val="5FDC0215"/>
    <w:rsid w:val="5FE32110"/>
    <w:rsid w:val="5FF368C7"/>
    <w:rsid w:val="5FF36EF7"/>
    <w:rsid w:val="6001000E"/>
    <w:rsid w:val="600A4D82"/>
    <w:rsid w:val="601614EA"/>
    <w:rsid w:val="601D2D02"/>
    <w:rsid w:val="60206354"/>
    <w:rsid w:val="60234096"/>
    <w:rsid w:val="602F6597"/>
    <w:rsid w:val="603269C5"/>
    <w:rsid w:val="603C4F45"/>
    <w:rsid w:val="604A33D1"/>
    <w:rsid w:val="60502867"/>
    <w:rsid w:val="60591866"/>
    <w:rsid w:val="606D70BF"/>
    <w:rsid w:val="60762F27"/>
    <w:rsid w:val="6082700E"/>
    <w:rsid w:val="60996106"/>
    <w:rsid w:val="60B91BB9"/>
    <w:rsid w:val="60BD3BA3"/>
    <w:rsid w:val="60C57A73"/>
    <w:rsid w:val="60D67189"/>
    <w:rsid w:val="60E80579"/>
    <w:rsid w:val="60E90E3C"/>
    <w:rsid w:val="61014BFE"/>
    <w:rsid w:val="61161505"/>
    <w:rsid w:val="6117616E"/>
    <w:rsid w:val="6118527D"/>
    <w:rsid w:val="611A7CF9"/>
    <w:rsid w:val="61326E36"/>
    <w:rsid w:val="61333339"/>
    <w:rsid w:val="61424EA8"/>
    <w:rsid w:val="6146003C"/>
    <w:rsid w:val="61483897"/>
    <w:rsid w:val="6157021E"/>
    <w:rsid w:val="61570FE7"/>
    <w:rsid w:val="6185280B"/>
    <w:rsid w:val="61885810"/>
    <w:rsid w:val="6190054A"/>
    <w:rsid w:val="619012B7"/>
    <w:rsid w:val="61931174"/>
    <w:rsid w:val="61A22D98"/>
    <w:rsid w:val="61A4637B"/>
    <w:rsid w:val="61AE1836"/>
    <w:rsid w:val="61D85E1C"/>
    <w:rsid w:val="61E513DE"/>
    <w:rsid w:val="61ED6709"/>
    <w:rsid w:val="6227605C"/>
    <w:rsid w:val="623F643D"/>
    <w:rsid w:val="624F12C5"/>
    <w:rsid w:val="62571DD5"/>
    <w:rsid w:val="6260512D"/>
    <w:rsid w:val="62650996"/>
    <w:rsid w:val="627608AD"/>
    <w:rsid w:val="62BA1DF8"/>
    <w:rsid w:val="62BE3C02"/>
    <w:rsid w:val="62DF24F0"/>
    <w:rsid w:val="630C0E11"/>
    <w:rsid w:val="631B2E02"/>
    <w:rsid w:val="63252A47"/>
    <w:rsid w:val="635F3637"/>
    <w:rsid w:val="638E5CCA"/>
    <w:rsid w:val="63901A42"/>
    <w:rsid w:val="639037F0"/>
    <w:rsid w:val="6390559E"/>
    <w:rsid w:val="63AD6150"/>
    <w:rsid w:val="63B1102E"/>
    <w:rsid w:val="63B70D7D"/>
    <w:rsid w:val="63E67BC7"/>
    <w:rsid w:val="63F20007"/>
    <w:rsid w:val="63FD075A"/>
    <w:rsid w:val="640E256A"/>
    <w:rsid w:val="64122457"/>
    <w:rsid w:val="64483025"/>
    <w:rsid w:val="6448522A"/>
    <w:rsid w:val="64502F80"/>
    <w:rsid w:val="645F1255"/>
    <w:rsid w:val="647D22E0"/>
    <w:rsid w:val="647F6BF5"/>
    <w:rsid w:val="64850E7B"/>
    <w:rsid w:val="64957CF3"/>
    <w:rsid w:val="64C12B10"/>
    <w:rsid w:val="64C61CA6"/>
    <w:rsid w:val="64C64FF0"/>
    <w:rsid w:val="64CA4AE0"/>
    <w:rsid w:val="64E06A5F"/>
    <w:rsid w:val="64E262CE"/>
    <w:rsid w:val="64E32443"/>
    <w:rsid w:val="64E64C4F"/>
    <w:rsid w:val="64ED07CF"/>
    <w:rsid w:val="64EF6909"/>
    <w:rsid w:val="65053D6A"/>
    <w:rsid w:val="651144BD"/>
    <w:rsid w:val="651A5A67"/>
    <w:rsid w:val="651E6BDA"/>
    <w:rsid w:val="6522412D"/>
    <w:rsid w:val="65270BAA"/>
    <w:rsid w:val="65363F24"/>
    <w:rsid w:val="654725D5"/>
    <w:rsid w:val="654E74BF"/>
    <w:rsid w:val="655C3236"/>
    <w:rsid w:val="656D3445"/>
    <w:rsid w:val="65763C78"/>
    <w:rsid w:val="65984BDE"/>
    <w:rsid w:val="65986138"/>
    <w:rsid w:val="659C3BE1"/>
    <w:rsid w:val="65B347E1"/>
    <w:rsid w:val="65D200F0"/>
    <w:rsid w:val="65D27CE4"/>
    <w:rsid w:val="65D71F5D"/>
    <w:rsid w:val="65E864A3"/>
    <w:rsid w:val="65E87914"/>
    <w:rsid w:val="65F60C93"/>
    <w:rsid w:val="6623094C"/>
    <w:rsid w:val="66277E08"/>
    <w:rsid w:val="66383CCB"/>
    <w:rsid w:val="663902D2"/>
    <w:rsid w:val="66525150"/>
    <w:rsid w:val="6683081A"/>
    <w:rsid w:val="6687599B"/>
    <w:rsid w:val="66886A01"/>
    <w:rsid w:val="66A23F66"/>
    <w:rsid w:val="66A8086C"/>
    <w:rsid w:val="66AF3F8D"/>
    <w:rsid w:val="66BB2407"/>
    <w:rsid w:val="66CF3A21"/>
    <w:rsid w:val="66D02156"/>
    <w:rsid w:val="66E47883"/>
    <w:rsid w:val="66EF79D9"/>
    <w:rsid w:val="66F75934"/>
    <w:rsid w:val="6708306A"/>
    <w:rsid w:val="671516C4"/>
    <w:rsid w:val="67323AF9"/>
    <w:rsid w:val="6745659E"/>
    <w:rsid w:val="67651FA7"/>
    <w:rsid w:val="67674868"/>
    <w:rsid w:val="67684445"/>
    <w:rsid w:val="676E3E49"/>
    <w:rsid w:val="677376B1"/>
    <w:rsid w:val="678518D6"/>
    <w:rsid w:val="678E44EB"/>
    <w:rsid w:val="679A55C3"/>
    <w:rsid w:val="67A42616"/>
    <w:rsid w:val="67AF7FBD"/>
    <w:rsid w:val="67B53C12"/>
    <w:rsid w:val="67C73559"/>
    <w:rsid w:val="67CD3770"/>
    <w:rsid w:val="67CD5013"/>
    <w:rsid w:val="67D85766"/>
    <w:rsid w:val="67E660D5"/>
    <w:rsid w:val="67EB7247"/>
    <w:rsid w:val="67F105D6"/>
    <w:rsid w:val="681D13CB"/>
    <w:rsid w:val="687A681D"/>
    <w:rsid w:val="688F22C8"/>
    <w:rsid w:val="68AB2E7A"/>
    <w:rsid w:val="68B0223F"/>
    <w:rsid w:val="68C23469"/>
    <w:rsid w:val="68DD6445"/>
    <w:rsid w:val="68E343C2"/>
    <w:rsid w:val="68F16ADF"/>
    <w:rsid w:val="69050904"/>
    <w:rsid w:val="69330C2E"/>
    <w:rsid w:val="6933534A"/>
    <w:rsid w:val="693A33BA"/>
    <w:rsid w:val="693F249D"/>
    <w:rsid w:val="694035C3"/>
    <w:rsid w:val="6984338D"/>
    <w:rsid w:val="69845BA5"/>
    <w:rsid w:val="698A2A90"/>
    <w:rsid w:val="698C4A5A"/>
    <w:rsid w:val="698E2580"/>
    <w:rsid w:val="69A973BA"/>
    <w:rsid w:val="69C6636D"/>
    <w:rsid w:val="69C935B8"/>
    <w:rsid w:val="69CE4CB7"/>
    <w:rsid w:val="69CE5072"/>
    <w:rsid w:val="69D16911"/>
    <w:rsid w:val="69E13284"/>
    <w:rsid w:val="69F1432B"/>
    <w:rsid w:val="6A0212C3"/>
    <w:rsid w:val="6A4F2369"/>
    <w:rsid w:val="6A5135AE"/>
    <w:rsid w:val="6A652BDD"/>
    <w:rsid w:val="6A6E5392"/>
    <w:rsid w:val="6A707ED8"/>
    <w:rsid w:val="6A7F45BF"/>
    <w:rsid w:val="6A7F5A7E"/>
    <w:rsid w:val="6AA36AD3"/>
    <w:rsid w:val="6AAC690A"/>
    <w:rsid w:val="6AB7180B"/>
    <w:rsid w:val="6AC152D3"/>
    <w:rsid w:val="6ACB7804"/>
    <w:rsid w:val="6ACE0429"/>
    <w:rsid w:val="6AD84565"/>
    <w:rsid w:val="6AE461D0"/>
    <w:rsid w:val="6AE87A3C"/>
    <w:rsid w:val="6AE90161"/>
    <w:rsid w:val="6B005E40"/>
    <w:rsid w:val="6B0600A5"/>
    <w:rsid w:val="6B182A49"/>
    <w:rsid w:val="6B1E1E12"/>
    <w:rsid w:val="6B206655"/>
    <w:rsid w:val="6B2308E7"/>
    <w:rsid w:val="6B47242E"/>
    <w:rsid w:val="6B4B0201"/>
    <w:rsid w:val="6B4B287D"/>
    <w:rsid w:val="6B5F8B7E"/>
    <w:rsid w:val="6B7B2FD8"/>
    <w:rsid w:val="6B805A13"/>
    <w:rsid w:val="6B823440"/>
    <w:rsid w:val="6B882C02"/>
    <w:rsid w:val="6B8D4A58"/>
    <w:rsid w:val="6B9E7DD5"/>
    <w:rsid w:val="6BA07176"/>
    <w:rsid w:val="6BAC13E3"/>
    <w:rsid w:val="6BCC6446"/>
    <w:rsid w:val="6BDC7D78"/>
    <w:rsid w:val="6BE57CF2"/>
    <w:rsid w:val="6C050046"/>
    <w:rsid w:val="6C094140"/>
    <w:rsid w:val="6C1314FA"/>
    <w:rsid w:val="6C2600DB"/>
    <w:rsid w:val="6C327B3B"/>
    <w:rsid w:val="6C435214"/>
    <w:rsid w:val="6C784200"/>
    <w:rsid w:val="6C8C0E56"/>
    <w:rsid w:val="6CAB3449"/>
    <w:rsid w:val="6CB11BCB"/>
    <w:rsid w:val="6CB46277"/>
    <w:rsid w:val="6CC10EBE"/>
    <w:rsid w:val="6CD6400E"/>
    <w:rsid w:val="6CD97FB6"/>
    <w:rsid w:val="6CE8644B"/>
    <w:rsid w:val="6D017EA8"/>
    <w:rsid w:val="6D0A150A"/>
    <w:rsid w:val="6D147898"/>
    <w:rsid w:val="6D163912"/>
    <w:rsid w:val="6D480C98"/>
    <w:rsid w:val="6D5C1224"/>
    <w:rsid w:val="6D5F2A89"/>
    <w:rsid w:val="6D716FED"/>
    <w:rsid w:val="6D725D15"/>
    <w:rsid w:val="6D9E4D5C"/>
    <w:rsid w:val="6DB50C6B"/>
    <w:rsid w:val="6DB84E4F"/>
    <w:rsid w:val="6DBB3160"/>
    <w:rsid w:val="6DC72505"/>
    <w:rsid w:val="6DE76703"/>
    <w:rsid w:val="6E02353D"/>
    <w:rsid w:val="6E0628E0"/>
    <w:rsid w:val="6E081C8E"/>
    <w:rsid w:val="6E0C7F17"/>
    <w:rsid w:val="6E0D467C"/>
    <w:rsid w:val="6E0E43A1"/>
    <w:rsid w:val="6E134AF8"/>
    <w:rsid w:val="6E241705"/>
    <w:rsid w:val="6E3E5B59"/>
    <w:rsid w:val="6E571528"/>
    <w:rsid w:val="6E71421E"/>
    <w:rsid w:val="6E804461"/>
    <w:rsid w:val="6E823B5D"/>
    <w:rsid w:val="6E9F0D8B"/>
    <w:rsid w:val="6F080F6E"/>
    <w:rsid w:val="6F2218AF"/>
    <w:rsid w:val="6F2B0871"/>
    <w:rsid w:val="6F3F69A3"/>
    <w:rsid w:val="6F45170E"/>
    <w:rsid w:val="6F490CF7"/>
    <w:rsid w:val="6F4A519B"/>
    <w:rsid w:val="6F73491F"/>
    <w:rsid w:val="6F793C80"/>
    <w:rsid w:val="6F7E3097"/>
    <w:rsid w:val="6F9D45BD"/>
    <w:rsid w:val="6F9E5A38"/>
    <w:rsid w:val="6FAB63A9"/>
    <w:rsid w:val="6FAE2100"/>
    <w:rsid w:val="6FB16FC8"/>
    <w:rsid w:val="6FB26199"/>
    <w:rsid w:val="6FB45DA9"/>
    <w:rsid w:val="6FBB1BF5"/>
    <w:rsid w:val="6FC0720B"/>
    <w:rsid w:val="6FCB36BA"/>
    <w:rsid w:val="6FE612E2"/>
    <w:rsid w:val="6FFF3CE8"/>
    <w:rsid w:val="703025E3"/>
    <w:rsid w:val="703300B9"/>
    <w:rsid w:val="704476FF"/>
    <w:rsid w:val="704716DB"/>
    <w:rsid w:val="7073427E"/>
    <w:rsid w:val="707378F5"/>
    <w:rsid w:val="70A97C9F"/>
    <w:rsid w:val="70B328CC"/>
    <w:rsid w:val="70DF5DB7"/>
    <w:rsid w:val="70F52C1D"/>
    <w:rsid w:val="710029FC"/>
    <w:rsid w:val="71015D2D"/>
    <w:rsid w:val="71155335"/>
    <w:rsid w:val="71327C95"/>
    <w:rsid w:val="713D20A8"/>
    <w:rsid w:val="714B3DD7"/>
    <w:rsid w:val="71542301"/>
    <w:rsid w:val="715A2141"/>
    <w:rsid w:val="715C74DB"/>
    <w:rsid w:val="71662034"/>
    <w:rsid w:val="716D6F1F"/>
    <w:rsid w:val="717002D9"/>
    <w:rsid w:val="717402AD"/>
    <w:rsid w:val="718D5813"/>
    <w:rsid w:val="718F21C8"/>
    <w:rsid w:val="71983DED"/>
    <w:rsid w:val="71A212BE"/>
    <w:rsid w:val="71AF12E6"/>
    <w:rsid w:val="71B308F2"/>
    <w:rsid w:val="71B41DC8"/>
    <w:rsid w:val="71D62D16"/>
    <w:rsid w:val="71E12BA0"/>
    <w:rsid w:val="71F16786"/>
    <w:rsid w:val="71F64F7F"/>
    <w:rsid w:val="72082B8A"/>
    <w:rsid w:val="72134425"/>
    <w:rsid w:val="7238577F"/>
    <w:rsid w:val="7249798C"/>
    <w:rsid w:val="724F1CF9"/>
    <w:rsid w:val="725734EE"/>
    <w:rsid w:val="7266580F"/>
    <w:rsid w:val="7267556F"/>
    <w:rsid w:val="726A16B0"/>
    <w:rsid w:val="726E73F3"/>
    <w:rsid w:val="72711F05"/>
    <w:rsid w:val="727137EF"/>
    <w:rsid w:val="728B118D"/>
    <w:rsid w:val="729A75CE"/>
    <w:rsid w:val="729E4A83"/>
    <w:rsid w:val="72AA7D31"/>
    <w:rsid w:val="72AC1CC9"/>
    <w:rsid w:val="72C54B39"/>
    <w:rsid w:val="72CB65F3"/>
    <w:rsid w:val="72D40CB6"/>
    <w:rsid w:val="72F62470"/>
    <w:rsid w:val="72F62F44"/>
    <w:rsid w:val="72FEF5FF"/>
    <w:rsid w:val="730613D9"/>
    <w:rsid w:val="73117D7E"/>
    <w:rsid w:val="73254341"/>
    <w:rsid w:val="732E7F80"/>
    <w:rsid w:val="733807C5"/>
    <w:rsid w:val="73436284"/>
    <w:rsid w:val="734E2D80"/>
    <w:rsid w:val="736858AF"/>
    <w:rsid w:val="736B748E"/>
    <w:rsid w:val="73700F48"/>
    <w:rsid w:val="73706C9F"/>
    <w:rsid w:val="73814F04"/>
    <w:rsid w:val="739369E5"/>
    <w:rsid w:val="73A11051"/>
    <w:rsid w:val="73A925B8"/>
    <w:rsid w:val="73AD0F2F"/>
    <w:rsid w:val="73AF1A71"/>
    <w:rsid w:val="73B9469D"/>
    <w:rsid w:val="73C179F6"/>
    <w:rsid w:val="73C848E1"/>
    <w:rsid w:val="73EB18BC"/>
    <w:rsid w:val="73ED329C"/>
    <w:rsid w:val="73F05BE5"/>
    <w:rsid w:val="74181EB8"/>
    <w:rsid w:val="7420471D"/>
    <w:rsid w:val="74363F40"/>
    <w:rsid w:val="74556698"/>
    <w:rsid w:val="745708AE"/>
    <w:rsid w:val="745D771F"/>
    <w:rsid w:val="746A5998"/>
    <w:rsid w:val="746D7236"/>
    <w:rsid w:val="7496678D"/>
    <w:rsid w:val="749A27D1"/>
    <w:rsid w:val="74C652C4"/>
    <w:rsid w:val="74CB20C3"/>
    <w:rsid w:val="74CF1C9F"/>
    <w:rsid w:val="74DE6FFC"/>
    <w:rsid w:val="74E26E5B"/>
    <w:rsid w:val="74FC6F38"/>
    <w:rsid w:val="75044FA2"/>
    <w:rsid w:val="75057917"/>
    <w:rsid w:val="75093403"/>
    <w:rsid w:val="750E0A19"/>
    <w:rsid w:val="75155DA8"/>
    <w:rsid w:val="7522034F"/>
    <w:rsid w:val="753164B5"/>
    <w:rsid w:val="75497CA3"/>
    <w:rsid w:val="7555340F"/>
    <w:rsid w:val="755A101E"/>
    <w:rsid w:val="755D54FC"/>
    <w:rsid w:val="75686ECF"/>
    <w:rsid w:val="758160FE"/>
    <w:rsid w:val="75842A89"/>
    <w:rsid w:val="75893E7A"/>
    <w:rsid w:val="759058D2"/>
    <w:rsid w:val="75907A1B"/>
    <w:rsid w:val="75B92154"/>
    <w:rsid w:val="75BC54E7"/>
    <w:rsid w:val="75BE21F1"/>
    <w:rsid w:val="75C2673F"/>
    <w:rsid w:val="75C612F4"/>
    <w:rsid w:val="75CA0DE4"/>
    <w:rsid w:val="75CE20DC"/>
    <w:rsid w:val="75D629D6"/>
    <w:rsid w:val="75EE4583"/>
    <w:rsid w:val="75FF78B4"/>
    <w:rsid w:val="7608190C"/>
    <w:rsid w:val="76564426"/>
    <w:rsid w:val="766E6510"/>
    <w:rsid w:val="767B10A1"/>
    <w:rsid w:val="76944BF2"/>
    <w:rsid w:val="76A21419"/>
    <w:rsid w:val="76A72ED3"/>
    <w:rsid w:val="76B02C89"/>
    <w:rsid w:val="76CE57C0"/>
    <w:rsid w:val="76D34C1D"/>
    <w:rsid w:val="76E56A84"/>
    <w:rsid w:val="76F610DA"/>
    <w:rsid w:val="76FA0044"/>
    <w:rsid w:val="770164D0"/>
    <w:rsid w:val="77075720"/>
    <w:rsid w:val="77190A36"/>
    <w:rsid w:val="771D701C"/>
    <w:rsid w:val="772868BF"/>
    <w:rsid w:val="772C460D"/>
    <w:rsid w:val="772E3584"/>
    <w:rsid w:val="7734348A"/>
    <w:rsid w:val="773D55E5"/>
    <w:rsid w:val="775F0788"/>
    <w:rsid w:val="776C61B1"/>
    <w:rsid w:val="776F3DC6"/>
    <w:rsid w:val="777A15E1"/>
    <w:rsid w:val="777D59E2"/>
    <w:rsid w:val="7787089B"/>
    <w:rsid w:val="77893160"/>
    <w:rsid w:val="77903967"/>
    <w:rsid w:val="779D6084"/>
    <w:rsid w:val="77C74EAF"/>
    <w:rsid w:val="77D01E8D"/>
    <w:rsid w:val="77D33AB2"/>
    <w:rsid w:val="77E47535"/>
    <w:rsid w:val="77EA23DD"/>
    <w:rsid w:val="78023F60"/>
    <w:rsid w:val="781E0F73"/>
    <w:rsid w:val="78281DF2"/>
    <w:rsid w:val="782A3DBC"/>
    <w:rsid w:val="78463C8F"/>
    <w:rsid w:val="78556D23"/>
    <w:rsid w:val="785F24DC"/>
    <w:rsid w:val="78670B6C"/>
    <w:rsid w:val="786F0E55"/>
    <w:rsid w:val="78891122"/>
    <w:rsid w:val="78B03D19"/>
    <w:rsid w:val="78B43685"/>
    <w:rsid w:val="78C55892"/>
    <w:rsid w:val="78C733B9"/>
    <w:rsid w:val="78D930EC"/>
    <w:rsid w:val="78EA354B"/>
    <w:rsid w:val="78F32400"/>
    <w:rsid w:val="790F4D60"/>
    <w:rsid w:val="790F7C15"/>
    <w:rsid w:val="792519AD"/>
    <w:rsid w:val="792817E3"/>
    <w:rsid w:val="793842B6"/>
    <w:rsid w:val="79433C58"/>
    <w:rsid w:val="7956298E"/>
    <w:rsid w:val="795B7FA5"/>
    <w:rsid w:val="7994682D"/>
    <w:rsid w:val="79955265"/>
    <w:rsid w:val="7999512B"/>
    <w:rsid w:val="79FE105C"/>
    <w:rsid w:val="7A4078C7"/>
    <w:rsid w:val="7A440A39"/>
    <w:rsid w:val="7A444A03"/>
    <w:rsid w:val="7A8157E9"/>
    <w:rsid w:val="7A8E4014"/>
    <w:rsid w:val="7A8E401D"/>
    <w:rsid w:val="7A916128"/>
    <w:rsid w:val="7AA03EC1"/>
    <w:rsid w:val="7ACF29F8"/>
    <w:rsid w:val="7ADA0FB5"/>
    <w:rsid w:val="7AE81024"/>
    <w:rsid w:val="7AED0CE2"/>
    <w:rsid w:val="7B034450"/>
    <w:rsid w:val="7B1E74DC"/>
    <w:rsid w:val="7B2C7E4B"/>
    <w:rsid w:val="7B443800"/>
    <w:rsid w:val="7B5E4E76"/>
    <w:rsid w:val="7BA97F26"/>
    <w:rsid w:val="7BB4572B"/>
    <w:rsid w:val="7BC736D0"/>
    <w:rsid w:val="7BEC41BF"/>
    <w:rsid w:val="7BFE2A0C"/>
    <w:rsid w:val="7C042B76"/>
    <w:rsid w:val="7C0A355A"/>
    <w:rsid w:val="7C1F1567"/>
    <w:rsid w:val="7C3A702B"/>
    <w:rsid w:val="7C424EE1"/>
    <w:rsid w:val="7C506B69"/>
    <w:rsid w:val="7C5238E1"/>
    <w:rsid w:val="7C5B6DA1"/>
    <w:rsid w:val="7C635AEE"/>
    <w:rsid w:val="7C7712BF"/>
    <w:rsid w:val="7C7F5324"/>
    <w:rsid w:val="7C8133D1"/>
    <w:rsid w:val="7C8F2F03"/>
    <w:rsid w:val="7CA6260B"/>
    <w:rsid w:val="7CAF663E"/>
    <w:rsid w:val="7CE25288"/>
    <w:rsid w:val="7CE64029"/>
    <w:rsid w:val="7CF6426C"/>
    <w:rsid w:val="7D042C28"/>
    <w:rsid w:val="7D140E89"/>
    <w:rsid w:val="7D1D3EEF"/>
    <w:rsid w:val="7D2034C5"/>
    <w:rsid w:val="7D32101D"/>
    <w:rsid w:val="7D3B6123"/>
    <w:rsid w:val="7D40373A"/>
    <w:rsid w:val="7D5D253D"/>
    <w:rsid w:val="7D7C3A0F"/>
    <w:rsid w:val="7D7D67EC"/>
    <w:rsid w:val="7D93039E"/>
    <w:rsid w:val="7D983576"/>
    <w:rsid w:val="7DB52379"/>
    <w:rsid w:val="7DC12798"/>
    <w:rsid w:val="7DDC06B3"/>
    <w:rsid w:val="7DE23245"/>
    <w:rsid w:val="7DE46722"/>
    <w:rsid w:val="7DED3CF7"/>
    <w:rsid w:val="7DEF0559"/>
    <w:rsid w:val="7DFC66C1"/>
    <w:rsid w:val="7DFF1847"/>
    <w:rsid w:val="7E065925"/>
    <w:rsid w:val="7E097FCF"/>
    <w:rsid w:val="7E260B81"/>
    <w:rsid w:val="7E327526"/>
    <w:rsid w:val="7E3314F0"/>
    <w:rsid w:val="7E4D4360"/>
    <w:rsid w:val="7E4E0F4F"/>
    <w:rsid w:val="7E574FFC"/>
    <w:rsid w:val="7E633B84"/>
    <w:rsid w:val="7E8D5CA6"/>
    <w:rsid w:val="7EB578F0"/>
    <w:rsid w:val="7EB937A4"/>
    <w:rsid w:val="7EBF171C"/>
    <w:rsid w:val="7EBF5936"/>
    <w:rsid w:val="7EF7251E"/>
    <w:rsid w:val="7F0F14AB"/>
    <w:rsid w:val="7F10538E"/>
    <w:rsid w:val="7F1255AA"/>
    <w:rsid w:val="7F2D4191"/>
    <w:rsid w:val="7F5148BD"/>
    <w:rsid w:val="7F590092"/>
    <w:rsid w:val="7F5E259D"/>
    <w:rsid w:val="7F601E71"/>
    <w:rsid w:val="7F772081"/>
    <w:rsid w:val="7FB4040F"/>
    <w:rsid w:val="7FC05006"/>
    <w:rsid w:val="7FCB64FD"/>
    <w:rsid w:val="7FD750CF"/>
    <w:rsid w:val="7FE04971"/>
    <w:rsid w:val="7FE64A6C"/>
    <w:rsid w:val="7FF74C00"/>
    <w:rsid w:val="7FF76C79"/>
    <w:rsid w:val="7FFA5E96"/>
    <w:rsid w:val="7FFE14FB"/>
    <w:rsid w:val="AF9F6310"/>
    <w:rsid w:val="BFBF1BCE"/>
    <w:rsid w:val="BFFF2117"/>
    <w:rsid w:val="DC278034"/>
    <w:rsid w:val="F7FD7CF5"/>
    <w:rsid w:val="FDF342B6"/>
    <w:rsid w:val="FFBBF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9"/>
    <w:pPr>
      <w:keepNext/>
      <w:jc w:val="center"/>
      <w:outlineLvl w:val="0"/>
    </w:pPr>
    <w:rPr>
      <w:rFonts w:eastAsia="黑体"/>
      <w:b/>
      <w:kern w:val="0"/>
      <w:sz w:val="32"/>
    </w:rPr>
  </w:style>
  <w:style w:type="paragraph" w:styleId="3">
    <w:name w:val="heading 2"/>
    <w:basedOn w:val="1"/>
    <w:next w:val="1"/>
    <w:link w:val="57"/>
    <w:qFormat/>
    <w:uiPriority w:val="0"/>
    <w:pPr>
      <w:keepNext/>
      <w:keepLines/>
      <w:spacing w:line="360" w:lineRule="auto"/>
      <w:jc w:val="center"/>
      <w:outlineLvl w:val="1"/>
    </w:pPr>
    <w:rPr>
      <w:rFonts w:ascii="Arial" w:hAnsi="Arial"/>
      <w:b/>
      <w:bCs/>
      <w:kern w:val="0"/>
      <w:sz w:val="30"/>
      <w:szCs w:val="32"/>
    </w:rPr>
  </w:style>
  <w:style w:type="paragraph" w:styleId="4">
    <w:name w:val="heading 3"/>
    <w:basedOn w:val="1"/>
    <w:next w:val="1"/>
    <w:link w:val="101"/>
    <w:qFormat/>
    <w:uiPriority w:val="0"/>
    <w:pPr>
      <w:keepNext/>
      <w:keepLines/>
      <w:outlineLvl w:val="2"/>
    </w:pPr>
    <w:rPr>
      <w:b/>
      <w:bCs/>
      <w:sz w:val="28"/>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kern w:val="0"/>
      <w:sz w:val="24"/>
      <w:szCs w:val="24"/>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0"/>
    <w:pPr>
      <w:ind w:left="1260"/>
      <w:jc w:val="left"/>
    </w:pPr>
    <w:rPr>
      <w:rFonts w:ascii="Calibri" w:hAnsi="Calibri" w:cs="Calibri"/>
      <w:sz w:val="18"/>
      <w:szCs w:val="18"/>
    </w:rPr>
  </w:style>
  <w:style w:type="paragraph" w:styleId="9">
    <w:name w:val="Normal Indent"/>
    <w:basedOn w:val="1"/>
    <w:link w:val="50"/>
    <w:qFormat/>
    <w:uiPriority w:val="0"/>
    <w:pPr>
      <w:ind w:firstLine="420" w:firstLineChars="200"/>
    </w:pPr>
    <w:rPr>
      <w:rFonts w:ascii="Calibri" w:hAnsi="Calibri"/>
      <w:kern w:val="0"/>
      <w:sz w:val="20"/>
    </w:rPr>
  </w:style>
  <w:style w:type="paragraph" w:styleId="10">
    <w:name w:val="Document Map"/>
    <w:basedOn w:val="1"/>
    <w:qFormat/>
    <w:uiPriority w:val="0"/>
    <w:pPr>
      <w:numPr>
        <w:ilvl w:val="2"/>
        <w:numId w:val="1"/>
      </w:numPr>
      <w:shd w:val="clear" w:color="auto" w:fill="000080"/>
      <w:ind w:left="0" w:firstLine="0"/>
    </w:pPr>
    <w:rPr>
      <w:rFonts w:ascii="Calibri" w:hAnsi="Calibri"/>
    </w:rPr>
  </w:style>
  <w:style w:type="paragraph" w:styleId="11">
    <w:name w:val="toa heading"/>
    <w:basedOn w:val="1"/>
    <w:next w:val="1"/>
    <w:qFormat/>
    <w:uiPriority w:val="0"/>
    <w:pPr>
      <w:spacing w:before="120"/>
    </w:pPr>
    <w:rPr>
      <w:rFonts w:ascii="Arial" w:hAnsi="Arial"/>
      <w:b/>
      <w:bCs/>
    </w:rPr>
  </w:style>
  <w:style w:type="paragraph" w:styleId="12">
    <w:name w:val="annotation text"/>
    <w:basedOn w:val="1"/>
    <w:link w:val="51"/>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next w:val="1"/>
    <w:qFormat/>
    <w:uiPriority w:val="0"/>
    <w:pPr>
      <w:spacing w:after="120"/>
    </w:pPr>
    <w:rPr>
      <w:szCs w:val="24"/>
    </w:rPr>
  </w:style>
  <w:style w:type="paragraph" w:styleId="15">
    <w:name w:val="Body Text Indent"/>
    <w:basedOn w:val="1"/>
    <w:next w:val="16"/>
    <w:qFormat/>
    <w:uiPriority w:val="0"/>
    <w:pPr>
      <w:ind w:firstLine="552"/>
    </w:pPr>
    <w:rPr>
      <w:rFonts w:ascii="宋体"/>
      <w:sz w:val="28"/>
    </w:rPr>
  </w:style>
  <w:style w:type="paragraph" w:customStyle="1" w:styleId="16">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7">
    <w:name w:val="Block Text"/>
    <w:basedOn w:val="1"/>
    <w:qFormat/>
    <w:uiPriority w:val="99"/>
    <w:pPr>
      <w:adjustRightInd w:val="0"/>
      <w:ind w:left="420" w:right="33"/>
      <w:textAlignment w:val="baseline"/>
    </w:pPr>
    <w:rPr>
      <w:rFonts w:ascii="Calibri" w:hAnsi="Calibri"/>
      <w:sz w:val="24"/>
      <w:szCs w:val="22"/>
    </w:rPr>
  </w:style>
  <w:style w:type="paragraph" w:styleId="18">
    <w:name w:val="toc 5"/>
    <w:basedOn w:val="1"/>
    <w:next w:val="1"/>
    <w:qFormat/>
    <w:uiPriority w:val="0"/>
    <w:pPr>
      <w:ind w:left="840"/>
      <w:jc w:val="left"/>
    </w:pPr>
    <w:rPr>
      <w:rFonts w:ascii="Calibri" w:hAnsi="Calibri" w:cs="Calibri"/>
      <w:sz w:val="18"/>
      <w:szCs w:val="18"/>
    </w:rPr>
  </w:style>
  <w:style w:type="paragraph" w:styleId="19">
    <w:name w:val="toc 3"/>
    <w:basedOn w:val="1"/>
    <w:next w:val="1"/>
    <w:qFormat/>
    <w:uiPriority w:val="0"/>
    <w:pPr>
      <w:ind w:left="420"/>
      <w:jc w:val="left"/>
    </w:pPr>
    <w:rPr>
      <w:rFonts w:ascii="Calibri" w:hAnsi="Calibri" w:cs="Calibri"/>
      <w:i/>
      <w:iCs/>
      <w:sz w:val="20"/>
    </w:rPr>
  </w:style>
  <w:style w:type="paragraph" w:styleId="20">
    <w:name w:val="Plain Text"/>
    <w:basedOn w:val="1"/>
    <w:next w:val="21"/>
    <w:link w:val="52"/>
    <w:qFormat/>
    <w:uiPriority w:val="0"/>
    <w:rPr>
      <w:rFonts w:ascii="宋体" w:hAnsi="Courier New"/>
    </w:rPr>
  </w:style>
  <w:style w:type="paragraph" w:styleId="21">
    <w:name w:val="Date"/>
    <w:basedOn w:val="1"/>
    <w:next w:val="1"/>
    <w:qFormat/>
    <w:uiPriority w:val="0"/>
    <w:rPr>
      <w:rFonts w:ascii="宋体"/>
      <w:sz w:val="24"/>
    </w:rPr>
  </w:style>
  <w:style w:type="paragraph" w:styleId="22">
    <w:name w:val="toc 8"/>
    <w:basedOn w:val="1"/>
    <w:next w:val="1"/>
    <w:qFormat/>
    <w:uiPriority w:val="0"/>
    <w:pPr>
      <w:ind w:left="1470"/>
      <w:jc w:val="left"/>
    </w:pPr>
    <w:rPr>
      <w:rFonts w:ascii="Calibri" w:hAnsi="Calibri" w:cs="Calibri"/>
      <w:sz w:val="18"/>
      <w:szCs w:val="18"/>
    </w:rPr>
  </w:style>
  <w:style w:type="paragraph" w:styleId="23">
    <w:name w:val="Body Text Indent 2"/>
    <w:basedOn w:val="1"/>
    <w:next w:val="24"/>
    <w:qFormat/>
    <w:uiPriority w:val="0"/>
    <w:pPr>
      <w:spacing w:after="120" w:line="480" w:lineRule="auto"/>
      <w:ind w:left="420" w:leftChars="200"/>
    </w:pPr>
  </w:style>
  <w:style w:type="paragraph" w:styleId="24">
    <w:name w:val="Body Text First Indent 2"/>
    <w:basedOn w:val="25"/>
    <w:qFormat/>
    <w:uiPriority w:val="0"/>
    <w:pPr>
      <w:ind w:firstLineChars="200"/>
    </w:pPr>
  </w:style>
  <w:style w:type="paragraph" w:styleId="25">
    <w:name w:val="Body Text First Indent"/>
    <w:basedOn w:val="14"/>
    <w:unhideWhenUsed/>
    <w:qFormat/>
    <w:uiPriority w:val="99"/>
    <w:pPr>
      <w:ind w:firstLine="420" w:firstLineChars="100"/>
    </w:pPr>
  </w:style>
  <w:style w:type="paragraph" w:styleId="26">
    <w:name w:val="endnote text"/>
    <w:basedOn w:val="1"/>
    <w:qFormat/>
    <w:uiPriority w:val="0"/>
    <w:pPr>
      <w:snapToGrid w:val="0"/>
      <w:jc w:val="left"/>
    </w:pPr>
  </w:style>
  <w:style w:type="paragraph" w:styleId="27">
    <w:name w:val="Balloon Text"/>
    <w:basedOn w:val="1"/>
    <w:link w:val="53"/>
    <w:qFormat/>
    <w:uiPriority w:val="0"/>
    <w:rPr>
      <w:sz w:val="18"/>
      <w:szCs w:val="18"/>
    </w:rPr>
  </w:style>
  <w:style w:type="paragraph" w:styleId="28">
    <w:name w:val="footer"/>
    <w:basedOn w:val="1"/>
    <w:link w:val="54"/>
    <w:qFormat/>
    <w:uiPriority w:val="99"/>
    <w:pPr>
      <w:tabs>
        <w:tab w:val="center" w:pos="4153"/>
        <w:tab w:val="right" w:pos="8306"/>
      </w:tabs>
      <w:adjustRightInd w:val="0"/>
      <w:spacing w:line="240" w:lineRule="atLeast"/>
      <w:jc w:val="left"/>
      <w:textAlignment w:val="baseline"/>
    </w:pPr>
    <w:rPr>
      <w:kern w:val="0"/>
      <w:sz w:val="18"/>
    </w:rPr>
  </w:style>
  <w:style w:type="paragraph" w:styleId="29">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Calibri" w:hAnsi="Calibri" w:cs="Calibri"/>
      <w:b/>
      <w:bCs/>
      <w:caps/>
      <w:sz w:val="20"/>
    </w:rPr>
  </w:style>
  <w:style w:type="paragraph" w:styleId="31">
    <w:name w:val="toc 4"/>
    <w:basedOn w:val="1"/>
    <w:next w:val="1"/>
    <w:qFormat/>
    <w:uiPriority w:val="0"/>
    <w:pPr>
      <w:ind w:left="630"/>
      <w:jc w:val="left"/>
    </w:pPr>
    <w:rPr>
      <w:rFonts w:ascii="Calibri" w:hAnsi="Calibri" w:cs="Calibri"/>
      <w:sz w:val="18"/>
      <w:szCs w:val="18"/>
    </w:rPr>
  </w:style>
  <w:style w:type="paragraph" w:styleId="32">
    <w:name w:val="toc 6"/>
    <w:basedOn w:val="1"/>
    <w:next w:val="1"/>
    <w:qFormat/>
    <w:uiPriority w:val="0"/>
    <w:pPr>
      <w:ind w:left="1050"/>
      <w:jc w:val="left"/>
    </w:pPr>
    <w:rPr>
      <w:rFonts w:ascii="Calibri" w:hAnsi="Calibri" w:cs="Calibri"/>
      <w:sz w:val="18"/>
      <w:szCs w:val="18"/>
    </w:rPr>
  </w:style>
  <w:style w:type="paragraph" w:styleId="33">
    <w:name w:val="toc 2"/>
    <w:basedOn w:val="1"/>
    <w:next w:val="1"/>
    <w:qFormat/>
    <w:uiPriority w:val="39"/>
    <w:pPr>
      <w:ind w:left="210"/>
      <w:jc w:val="left"/>
    </w:pPr>
    <w:rPr>
      <w:rFonts w:ascii="Calibri" w:hAnsi="Calibri" w:cs="Calibri"/>
      <w:smallCaps/>
      <w:sz w:val="20"/>
    </w:rPr>
  </w:style>
  <w:style w:type="paragraph" w:styleId="34">
    <w:name w:val="toc 9"/>
    <w:basedOn w:val="1"/>
    <w:next w:val="1"/>
    <w:qFormat/>
    <w:uiPriority w:val="0"/>
    <w:pPr>
      <w:ind w:left="1680"/>
      <w:jc w:val="left"/>
    </w:pPr>
    <w:rPr>
      <w:rFonts w:ascii="Calibri" w:hAnsi="Calibri" w:cs="Calibri"/>
      <w:sz w:val="18"/>
      <w:szCs w:val="18"/>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Title"/>
    <w:basedOn w:val="1"/>
    <w:qFormat/>
    <w:uiPriority w:val="0"/>
    <w:pPr>
      <w:spacing w:before="240" w:after="60"/>
      <w:jc w:val="center"/>
    </w:pPr>
    <w:rPr>
      <w:rFonts w:ascii="Arial" w:hAnsi="Arial"/>
      <w:b/>
      <w:kern w:val="28"/>
      <w:sz w:val="32"/>
    </w:rPr>
  </w:style>
  <w:style w:type="paragraph" w:styleId="38">
    <w:name w:val="annotation subject"/>
    <w:basedOn w:val="12"/>
    <w:next w:val="12"/>
    <w:link w:val="56"/>
    <w:qFormat/>
    <w:uiPriority w:val="0"/>
    <w:rPr>
      <w:b/>
      <w:bCs/>
    </w:r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rPr>
  </w:style>
  <w:style w:type="character" w:styleId="43">
    <w:name w:val="page number"/>
    <w:qFormat/>
    <w:uiPriority w:val="0"/>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标题 1 Char"/>
    <w:qFormat/>
    <w:uiPriority w:val="9"/>
    <w:rPr>
      <w:rFonts w:ascii="Times New Roman" w:hAnsi="Times New Roman" w:eastAsia="黑体"/>
      <w:b/>
      <w:sz w:val="32"/>
    </w:rPr>
  </w:style>
  <w:style w:type="paragraph" w:customStyle="1" w:styleId="47">
    <w:name w:val="_Style 1"/>
    <w:basedOn w:val="1"/>
    <w:qFormat/>
    <w:uiPriority w:val="34"/>
    <w:pPr>
      <w:ind w:firstLine="420" w:firstLineChars="200"/>
    </w:pPr>
  </w:style>
  <w:style w:type="character" w:customStyle="1" w:styleId="48">
    <w:name w:val="标题 1 字符"/>
    <w:link w:val="2"/>
    <w:qFormat/>
    <w:locked/>
    <w:uiPriority w:val="99"/>
    <w:rPr>
      <w:b/>
      <w:sz w:val="44"/>
    </w:rPr>
  </w:style>
  <w:style w:type="character" w:customStyle="1" w:styleId="49">
    <w:name w:val="标题 2 Char1"/>
    <w:qFormat/>
    <w:uiPriority w:val="0"/>
    <w:rPr>
      <w:rFonts w:ascii="Arial" w:hAnsi="Arial" w:eastAsia="黑体"/>
      <w:b/>
      <w:bCs/>
      <w:kern w:val="0"/>
      <w:sz w:val="32"/>
      <w:szCs w:val="32"/>
    </w:rPr>
  </w:style>
  <w:style w:type="character" w:customStyle="1" w:styleId="50">
    <w:name w:val="正文缩进 字符"/>
    <w:link w:val="9"/>
    <w:qFormat/>
    <w:uiPriority w:val="0"/>
    <w:rPr>
      <w:rFonts w:ascii="Calibri" w:hAnsi="Calibri"/>
    </w:rPr>
  </w:style>
  <w:style w:type="character" w:customStyle="1" w:styleId="51">
    <w:name w:val="批注文字 字符"/>
    <w:link w:val="12"/>
    <w:qFormat/>
    <w:uiPriority w:val="0"/>
    <w:rPr>
      <w:kern w:val="2"/>
      <w:sz w:val="21"/>
    </w:rPr>
  </w:style>
  <w:style w:type="character" w:customStyle="1" w:styleId="52">
    <w:name w:val="纯文本 字符"/>
    <w:link w:val="20"/>
    <w:qFormat/>
    <w:uiPriority w:val="0"/>
    <w:rPr>
      <w:rFonts w:ascii="宋体" w:hAnsi="Courier New"/>
      <w:kern w:val="2"/>
      <w:sz w:val="21"/>
    </w:rPr>
  </w:style>
  <w:style w:type="character" w:customStyle="1" w:styleId="53">
    <w:name w:val="批注框文本 字符"/>
    <w:link w:val="27"/>
    <w:qFormat/>
    <w:uiPriority w:val="0"/>
    <w:rPr>
      <w:kern w:val="2"/>
      <w:sz w:val="18"/>
      <w:szCs w:val="18"/>
    </w:rPr>
  </w:style>
  <w:style w:type="character" w:customStyle="1" w:styleId="54">
    <w:name w:val="页脚 字符"/>
    <w:link w:val="28"/>
    <w:qFormat/>
    <w:uiPriority w:val="99"/>
    <w:rPr>
      <w:sz w:val="18"/>
    </w:rPr>
  </w:style>
  <w:style w:type="character" w:customStyle="1" w:styleId="55">
    <w:name w:val="页眉 字符"/>
    <w:link w:val="29"/>
    <w:qFormat/>
    <w:uiPriority w:val="99"/>
    <w:rPr>
      <w:kern w:val="2"/>
      <w:sz w:val="18"/>
      <w:szCs w:val="18"/>
    </w:rPr>
  </w:style>
  <w:style w:type="character" w:customStyle="1" w:styleId="56">
    <w:name w:val="批注主题 字符"/>
    <w:link w:val="38"/>
    <w:qFormat/>
    <w:uiPriority w:val="0"/>
    <w:rPr>
      <w:b/>
      <w:bCs/>
      <w:kern w:val="2"/>
      <w:sz w:val="21"/>
    </w:rPr>
  </w:style>
  <w:style w:type="character" w:customStyle="1" w:styleId="57">
    <w:name w:val="标题 2 字符"/>
    <w:link w:val="3"/>
    <w:qFormat/>
    <w:uiPriority w:val="0"/>
    <w:rPr>
      <w:rFonts w:ascii="Arial" w:hAnsi="Arial" w:eastAsia="宋体"/>
      <w:b/>
      <w:bCs/>
      <w:kern w:val="2"/>
      <w:sz w:val="30"/>
      <w:szCs w:val="32"/>
      <w:lang w:val="en-US" w:eastAsia="zh-CN" w:bidi="ar-SA"/>
    </w:rPr>
  </w:style>
  <w:style w:type="paragraph" w:customStyle="1" w:styleId="58">
    <w:name w:val="正文缩进1"/>
    <w:basedOn w:val="1"/>
    <w:qFormat/>
    <w:uiPriority w:val="0"/>
    <w:pPr>
      <w:ind w:firstLine="420" w:firstLineChars="200"/>
    </w:pPr>
  </w:style>
  <w:style w:type="character" w:customStyle="1" w:styleId="59">
    <w:name w:val="A15"/>
    <w:qFormat/>
    <w:uiPriority w:val="0"/>
    <w:rPr>
      <w:color w:val="000000"/>
    </w:rPr>
  </w:style>
  <w:style w:type="paragraph" w:customStyle="1" w:styleId="60">
    <w:name w:val="_Style 510"/>
    <w:basedOn w:val="1"/>
    <w:next w:val="61"/>
    <w:qFormat/>
    <w:uiPriority w:val="34"/>
    <w:pPr>
      <w:widowControl/>
      <w:ind w:firstLine="420"/>
    </w:pPr>
    <w:rPr>
      <w:rFonts w:ascii="宋体" w:hAnsi="宋体" w:cs="宋体"/>
      <w:kern w:val="0"/>
    </w:rPr>
  </w:style>
  <w:style w:type="paragraph" w:styleId="61">
    <w:name w:val="List Paragraph"/>
    <w:basedOn w:val="1"/>
    <w:qFormat/>
    <w:uiPriority w:val="34"/>
    <w:pPr>
      <w:ind w:firstLine="420" w:firstLineChars="200"/>
    </w:pPr>
    <w:rPr>
      <w:rFonts w:ascii="Calibri" w:hAnsi="Calibri"/>
      <w:szCs w:val="22"/>
    </w:rPr>
  </w:style>
  <w:style w:type="paragraph" w:customStyle="1" w:styleId="62">
    <w:name w:val="列出段落1"/>
    <w:basedOn w:val="1"/>
    <w:qFormat/>
    <w:uiPriority w:val="34"/>
    <w:pPr>
      <w:ind w:firstLine="420" w:firstLineChars="200"/>
    </w:pPr>
    <w:rPr>
      <w:rFonts w:ascii="Calibri" w:hAnsi="Calibri"/>
      <w:szCs w:val="22"/>
    </w:rPr>
  </w:style>
  <w:style w:type="paragraph" w:customStyle="1" w:styleId="63">
    <w:name w:val="样式 标题 3 + (中文) 黑体 小四 非加粗 段前: 7.8 磅 段后: 0 磅 行距: 固定值 20 磅"/>
    <w:basedOn w:val="4"/>
    <w:next w:val="1"/>
    <w:qFormat/>
    <w:uiPriority w:val="0"/>
    <w:pPr>
      <w:spacing w:line="400" w:lineRule="exact"/>
    </w:pPr>
    <w:rPr>
      <w:rFonts w:hAnsi="Calibri" w:eastAsia="黑体" w:cs="宋体"/>
      <w:b w:val="0"/>
      <w:sz w:val="24"/>
    </w:rPr>
  </w:style>
  <w:style w:type="paragraph" w:customStyle="1" w:styleId="64">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5">
    <w:name w:val="@正文"/>
    <w:basedOn w:val="66"/>
    <w:qFormat/>
    <w:uiPriority w:val="0"/>
    <w:pPr>
      <w:wordWrap/>
      <w:spacing w:line="240" w:lineRule="auto"/>
      <w:ind w:firstLine="200" w:firstLineChars="200"/>
    </w:pPr>
    <w:rPr>
      <w:rFonts w:ascii="Calibri" w:hAnsi="Calibri" w:eastAsia="宋体" w:cs="Calibri"/>
      <w:color w:val="000000"/>
      <w:kern w:val="24"/>
      <w:sz w:val="24"/>
      <w:szCs w:val="24"/>
    </w:rPr>
  </w:style>
  <w:style w:type="paragraph" w:customStyle="1" w:styleId="6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7">
    <w:name w:val="样式2"/>
    <w:basedOn w:val="68"/>
    <w:qFormat/>
    <w:uiPriority w:val="0"/>
    <w:pPr>
      <w:spacing w:line="560" w:lineRule="exact"/>
      <w:ind w:firstLine="643" w:firstLineChars="200"/>
      <w:jc w:val="both"/>
    </w:pPr>
    <w:rPr>
      <w:rFonts w:ascii="仿宋_GB2312" w:hAnsi="仿宋" w:eastAsia="仿宋_GB2312"/>
      <w:b/>
      <w:bCs/>
      <w:szCs w:val="32"/>
    </w:rPr>
  </w:style>
  <w:style w:type="paragraph" w:customStyle="1" w:styleId="68">
    <w:name w:val="@标题"/>
    <w:basedOn w:val="1"/>
    <w:next w:val="65"/>
    <w:qFormat/>
    <w:uiPriority w:val="0"/>
    <w:pPr>
      <w:keepNext/>
      <w:spacing w:before="50" w:beforeLines="50" w:after="50" w:afterLines="50"/>
      <w:jc w:val="center"/>
      <w:outlineLvl w:val="1"/>
    </w:pPr>
    <w:rPr>
      <w:rFonts w:ascii="Calibri" w:hAnsi="Calibri" w:eastAsia="黑体"/>
      <w:kern w:val="32"/>
      <w:sz w:val="32"/>
    </w:rPr>
  </w:style>
  <w:style w:type="paragraph" w:customStyle="1" w:styleId="69">
    <w:name w:val="List Paragraph11"/>
    <w:basedOn w:val="1"/>
    <w:qFormat/>
    <w:uiPriority w:val="34"/>
    <w:pPr>
      <w:ind w:firstLine="420" w:firstLineChars="200"/>
    </w:pPr>
    <w:rPr>
      <w:rFonts w:ascii="Calibri" w:hAnsi="Calibri"/>
    </w:rPr>
  </w:style>
  <w:style w:type="paragraph" w:customStyle="1" w:styleId="70">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sz w:val="28"/>
    </w:rPr>
  </w:style>
  <w:style w:type="paragraph" w:customStyle="1" w:styleId="71">
    <w:name w:val="正文_0"/>
    <w:qFormat/>
    <w:uiPriority w:val="0"/>
    <w:pPr>
      <w:widowControl w:val="0"/>
      <w:jc w:val="both"/>
    </w:pPr>
    <w:rPr>
      <w:rFonts w:ascii="Calibri" w:hAnsi="Calibri" w:eastAsia="宋体" w:cs="Times New Roman"/>
      <w:kern w:val="2"/>
      <w:sz w:val="21"/>
      <w:lang w:val="en-US" w:eastAsia="zh-CN" w:bidi="ar-SA"/>
    </w:rPr>
  </w:style>
  <w:style w:type="paragraph" w:customStyle="1" w:styleId="7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73">
    <w:name w:val="Char2"/>
    <w:basedOn w:val="1"/>
    <w:qFormat/>
    <w:uiPriority w:val="0"/>
    <w:rPr>
      <w:rFonts w:ascii="Tahoma" w:hAnsi="Tahoma"/>
      <w:sz w:val="24"/>
    </w:rPr>
  </w:style>
  <w:style w:type="paragraph" w:customStyle="1" w:styleId="74">
    <w:name w:val="HTML 预设格式1"/>
    <w:basedOn w:val="1"/>
    <w:qFormat/>
    <w:uiPriority w:val="0"/>
    <w:rPr>
      <w:rFonts w:ascii="Courier New" w:hAnsi="Courier New"/>
      <w:sz w:val="20"/>
    </w:rPr>
  </w:style>
  <w:style w:type="paragraph" w:customStyle="1" w:styleId="75">
    <w:name w:val="(sun)正文一级"/>
    <w:basedOn w:val="1"/>
    <w:qFormat/>
    <w:uiPriority w:val="0"/>
    <w:pPr>
      <w:spacing w:after="120"/>
      <w:ind w:firstLine="480"/>
    </w:pPr>
    <w:rPr>
      <w:rFonts w:ascii="宋体" w:hAnsi="宋体"/>
      <w:kern w:val="28"/>
    </w:rPr>
  </w:style>
  <w:style w:type="paragraph" w:customStyle="1" w:styleId="76">
    <w:name w:val="_Style 75"/>
    <w:basedOn w:val="2"/>
    <w:next w:val="1"/>
    <w:qFormat/>
    <w:uiPriority w:val="39"/>
    <w:pPr>
      <w:keepLines/>
      <w:widowControl/>
      <w:spacing w:before="240" w:line="259" w:lineRule="auto"/>
      <w:jc w:val="left"/>
      <w:outlineLvl w:val="9"/>
    </w:pPr>
    <w:rPr>
      <w:rFonts w:ascii="等线 Light" w:hAnsi="等线 Light" w:eastAsia="等线 Light"/>
      <w:color w:val="2F5496"/>
      <w:szCs w:val="32"/>
    </w:rPr>
  </w:style>
  <w:style w:type="paragraph" w:customStyle="1" w:styleId="7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1"/>
    <w:basedOn w:val="1"/>
    <w:next w:val="61"/>
    <w:qFormat/>
    <w:uiPriority w:val="34"/>
    <w:pPr>
      <w:ind w:firstLine="420" w:firstLineChars="200"/>
    </w:pPr>
  </w:style>
  <w:style w:type="paragraph" w:customStyle="1" w:styleId="80">
    <w:name w:val="~正文"/>
    <w:basedOn w:val="1"/>
    <w:next w:val="14"/>
    <w:qFormat/>
    <w:uiPriority w:val="0"/>
    <w:rPr>
      <w:szCs w:val="28"/>
      <w:lang w:val="zh-CN"/>
    </w:rPr>
  </w:style>
  <w:style w:type="paragraph" w:customStyle="1" w:styleId="81">
    <w:name w:val="正文11"/>
    <w:basedOn w:val="10"/>
    <w:next w:val="1"/>
    <w:qFormat/>
    <w:uiPriority w:val="0"/>
    <w:pPr>
      <w:numPr>
        <w:ilvl w:val="0"/>
        <w:numId w:val="2"/>
      </w:numPr>
      <w:tabs>
        <w:tab w:val="left" w:pos="2220"/>
      </w:tabs>
      <w:spacing w:line="360" w:lineRule="auto"/>
    </w:pPr>
    <w:rPr>
      <w:rFonts w:ascii="宋体" w:hAnsi="宋体"/>
    </w:rPr>
  </w:style>
  <w:style w:type="paragraph" w:customStyle="1" w:styleId="82">
    <w:name w:val="List Paragraph1"/>
    <w:qFormat/>
    <w:uiPriority w:val="99"/>
    <w:pPr>
      <w:ind w:firstLine="420" w:firstLineChars="200"/>
    </w:pPr>
    <w:rPr>
      <w:rFonts w:ascii="Times New Roman" w:hAnsi="Times New Roman" w:eastAsia="宋体" w:cs="Times New Roman"/>
      <w:lang w:val="en-US" w:eastAsia="zh-CN" w:bidi="ar-SA"/>
    </w:rPr>
  </w:style>
  <w:style w:type="paragraph" w:customStyle="1" w:styleId="83">
    <w:name w:val="_Style 2"/>
    <w:basedOn w:val="1"/>
    <w:qFormat/>
    <w:uiPriority w:val="34"/>
    <w:pPr>
      <w:ind w:firstLine="420" w:firstLineChars="200"/>
    </w:pPr>
    <w:rPr>
      <w:rFonts w:ascii="Calibri" w:hAnsi="Calibri"/>
    </w:rPr>
  </w:style>
  <w:style w:type="paragraph" w:customStyle="1" w:styleId="84">
    <w:name w:val="正文 New New New New New New New New New New New New New New New12"/>
    <w:basedOn w:val="1"/>
    <w:qFormat/>
    <w:uiPriority w:val="0"/>
    <w:rPr>
      <w:szCs w:val="24"/>
    </w:rPr>
  </w:style>
  <w:style w:type="paragraph" w:customStyle="1" w:styleId="85">
    <w:name w:val="无间隔1"/>
    <w:qFormat/>
    <w:uiPriority w:val="0"/>
    <w:pPr>
      <w:widowControl w:val="0"/>
      <w:jc w:val="both"/>
    </w:pPr>
    <w:rPr>
      <w:rFonts w:ascii="Calibri" w:hAnsi="Calibri" w:eastAsia="宋体" w:cs="Times New Roman"/>
      <w:kern w:val="2"/>
      <w:sz w:val="21"/>
      <w:szCs w:val="22"/>
      <w:lang w:val="en-US" w:eastAsia="zh-CN" w:bidi="ar-SA"/>
    </w:rPr>
  </w:style>
  <w:style w:type="table" w:customStyle="1" w:styleId="86">
    <w:name w:val="Table Normal"/>
    <w:unhideWhenUsed/>
    <w:qFormat/>
    <w:uiPriority w:val="2"/>
    <w:tblPr>
      <w:tblCellMar>
        <w:top w:w="0" w:type="dxa"/>
        <w:left w:w="0" w:type="dxa"/>
        <w:bottom w:w="0" w:type="dxa"/>
        <w:right w:w="0" w:type="dxa"/>
      </w:tblCellMar>
    </w:tblPr>
  </w:style>
  <w:style w:type="paragraph" w:customStyle="1" w:styleId="87">
    <w:name w:val="Table Paragraph"/>
    <w:basedOn w:val="1"/>
    <w:qFormat/>
    <w:uiPriority w:val="1"/>
  </w:style>
  <w:style w:type="paragraph" w:customStyle="1" w:styleId="88">
    <w:name w:val="无间隔11"/>
    <w:qFormat/>
    <w:uiPriority w:val="0"/>
    <w:pPr>
      <w:widowControl w:val="0"/>
      <w:jc w:val="center"/>
    </w:pPr>
    <w:rPr>
      <w:rFonts w:ascii="Calibri" w:hAnsi="Calibri" w:eastAsia="宋体" w:cs="Times New Roman"/>
      <w:kern w:val="2"/>
      <w:sz w:val="21"/>
      <w:szCs w:val="24"/>
      <w:lang w:val="en-US" w:eastAsia="zh-CN" w:bidi="ar-SA"/>
    </w:rPr>
  </w:style>
  <w:style w:type="paragraph" w:customStyle="1" w:styleId="89">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90">
    <w:name w:val="目录"/>
    <w:basedOn w:val="1"/>
    <w:qFormat/>
    <w:uiPriority w:val="99"/>
    <w:pPr>
      <w:jc w:val="center"/>
    </w:pPr>
    <w:rPr>
      <w:rFonts w:ascii="宋体" w:hAnsi="Calibri"/>
      <w:b/>
      <w:sz w:val="36"/>
      <w:szCs w:val="22"/>
    </w:rPr>
  </w:style>
  <w:style w:type="paragraph" w:customStyle="1" w:styleId="91">
    <w:name w:val="WPSOffice手动目录 1"/>
    <w:qFormat/>
    <w:uiPriority w:val="0"/>
    <w:rPr>
      <w:rFonts w:ascii="Times New Roman" w:hAnsi="Times New Roman" w:eastAsia="宋体" w:cs="Times New Roman"/>
      <w:lang w:val="en-US" w:eastAsia="zh-CN" w:bidi="ar-SA"/>
    </w:rPr>
  </w:style>
  <w:style w:type="paragraph" w:customStyle="1" w:styleId="9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3">
    <w:name w:val="目录文字"/>
    <w:basedOn w:val="1"/>
    <w:qFormat/>
    <w:uiPriority w:val="0"/>
    <w:pPr>
      <w:widowControl/>
      <w:spacing w:line="480" w:lineRule="auto"/>
      <w:jc w:val="left"/>
    </w:pPr>
    <w:rPr>
      <w:rFonts w:ascii="宋体" w:hAnsi="宋体"/>
      <w:kern w:val="0"/>
      <w:sz w:val="24"/>
    </w:rPr>
  </w:style>
  <w:style w:type="paragraph" w:customStyle="1" w:styleId="9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null3"/>
    <w:qFormat/>
    <w:uiPriority w:val="0"/>
    <w:rPr>
      <w:rFonts w:hint="eastAsia" w:ascii="Calibri" w:hAnsi="Calibri" w:eastAsia="宋体" w:cs="Times New Roman"/>
      <w:lang w:val="en-US" w:eastAsia="zh-Hans" w:bidi="ar-SA"/>
    </w:rPr>
  </w:style>
  <w:style w:type="paragraph" w:customStyle="1" w:styleId="96">
    <w:name w:val="BodyText"/>
    <w:basedOn w:val="1"/>
    <w:next w:val="1"/>
    <w:qFormat/>
    <w:uiPriority w:val="0"/>
    <w:pPr>
      <w:textAlignment w:val="baseline"/>
    </w:pPr>
    <w:rPr>
      <w:rFonts w:ascii="宋体" w:hAnsi="宋体"/>
      <w:szCs w:val="21"/>
      <w:lang w:val="zh-CN" w:bidi="zh-CN"/>
    </w:rPr>
  </w:style>
  <w:style w:type="paragraph" w:customStyle="1" w:styleId="97">
    <w:name w:val="Table Text"/>
    <w:basedOn w:val="1"/>
    <w:semiHidden/>
    <w:qFormat/>
    <w:uiPriority w:val="0"/>
    <w:rPr>
      <w:rFonts w:ascii="仿宋" w:hAnsi="仿宋" w:eastAsia="仿宋" w:cs="仿宋"/>
      <w:sz w:val="31"/>
      <w:szCs w:val="31"/>
      <w:lang w:eastAsia="en-US"/>
    </w:rPr>
  </w:style>
  <w:style w:type="paragraph" w:customStyle="1" w:styleId="98">
    <w:name w:val="null97"/>
    <w:hidden/>
    <w:qFormat/>
    <w:uiPriority w:val="0"/>
    <w:rPr>
      <w:rFonts w:ascii="宋体" w:hAnsi="宋体" w:eastAsia="宋体" w:cs="宋体"/>
      <w:sz w:val="24"/>
      <w:szCs w:val="24"/>
      <w:lang w:val="en-US" w:eastAsia="zh-CN" w:bidi="ar-SA"/>
    </w:rPr>
  </w:style>
  <w:style w:type="paragraph" w:customStyle="1" w:styleId="99">
    <w:name w:val="null98"/>
    <w:hidden/>
    <w:qFormat/>
    <w:uiPriority w:val="0"/>
    <w:rPr>
      <w:rFonts w:hint="eastAsia" w:ascii="宋体" w:hAnsi="宋体" w:eastAsia="宋体" w:cs="Times New Roman"/>
      <w:sz w:val="24"/>
      <w:szCs w:val="24"/>
      <w:lang w:val="en-US" w:eastAsia="zh-CN" w:bidi="ar-SA"/>
    </w:rPr>
  </w:style>
  <w:style w:type="paragraph" w:customStyle="1" w:styleId="100">
    <w:name w:val="null99"/>
    <w:hidden/>
    <w:qFormat/>
    <w:uiPriority w:val="0"/>
    <w:rPr>
      <w:rFonts w:hint="eastAsia" w:ascii="宋体" w:hAnsi="宋体" w:eastAsia="宋体" w:cs="Times New Roman"/>
      <w:sz w:val="24"/>
      <w:szCs w:val="24"/>
      <w:lang w:val="en-US" w:eastAsia="zh-CN" w:bidi="ar-SA"/>
    </w:rPr>
  </w:style>
  <w:style w:type="character" w:customStyle="1" w:styleId="101">
    <w:name w:val="标题 3 字符"/>
    <w:link w:val="4"/>
    <w:qFormat/>
    <w:uiPriority w:val="0"/>
    <w:rPr>
      <w:rFonts w:ascii="Times New Roman" w:hAnsi="Times New Roman" w:eastAsia="宋体"/>
      <w:b/>
      <w:bCs/>
      <w:sz w:val="28"/>
      <w:szCs w:val="32"/>
    </w:rPr>
  </w:style>
  <w:style w:type="paragraph" w:customStyle="1" w:styleId="102">
    <w:name w:val="彩色列表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95</Pages>
  <Words>14482</Words>
  <Characters>15383</Characters>
  <Lines>303</Lines>
  <Paragraphs>85</Paragraphs>
  <TotalTime>21</TotalTime>
  <ScaleCrop>false</ScaleCrop>
  <LinksUpToDate>false</LinksUpToDate>
  <CharactersWithSpaces>15540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2025-07-17T05:29:00Z</dcterms:created>
  <dc:creator>User</dc:creator>
  <cp:lastModifiedBy>半个爷们儿。</cp:lastModifiedBy>
  <cp:lastPrinted>2024-03-20T12:34:00Z</cp:lastPrinted>
  <dcterms:modified xsi:type="dcterms:W3CDTF">2026-05-15T01:47:50Z</dcterms:modified>
  <dc:title>政府采购货物和服务项目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AB44CD1B513F4B78991A5F240724A0EF_13</vt:lpwstr>
  </property>
  <property fmtid="{D5CDD505-2E9C-101B-9397-08002B2CF9AE}" pid="4" name="KSOTemplateDocerSaveRecord">
    <vt:lpwstr>eyJoZGlkIjoiOWUwOWY1OThjOTBmY2I1M2U5OGEyOWE4OWU3MTI0MDIiLCJ1c2VySWQiOiIyNjgwMDUyNjAifQ==</vt:lpwstr>
  </property>
</Properties>
</file>