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75CFA">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4"/>
          <w:szCs w:val="24"/>
        </w:rPr>
      </w:pPr>
      <w:r>
        <w:rPr>
          <w:rFonts w:hint="eastAsia" w:ascii="仿宋" w:hAnsi="仿宋" w:eastAsia="仿宋" w:cs="仿宋"/>
          <w:b/>
          <w:bCs/>
          <w:sz w:val="24"/>
          <w:szCs w:val="24"/>
          <w:lang w:eastAsia="zh-CN"/>
        </w:rPr>
        <w:t>府谷能源投资集团郭家湾矿业有限公司采购矿井主运输及工作面通讯、控制、保护系统设备采购</w:t>
      </w:r>
      <w:r>
        <w:rPr>
          <w:rFonts w:hint="eastAsia" w:ascii="仿宋" w:hAnsi="仿宋" w:eastAsia="仿宋" w:cs="仿宋"/>
          <w:b/>
          <w:bCs/>
          <w:sz w:val="24"/>
          <w:szCs w:val="24"/>
        </w:rPr>
        <w:t>需求书</w:t>
      </w:r>
    </w:p>
    <w:p w14:paraId="66188261">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rPr>
        <w:t>一、采购项目名称：</w:t>
      </w:r>
      <w:r>
        <w:rPr>
          <w:rFonts w:hint="eastAsia" w:ascii="仿宋" w:hAnsi="仿宋" w:eastAsia="仿宋" w:cs="仿宋"/>
          <w:sz w:val="24"/>
          <w:szCs w:val="24"/>
          <w:lang w:eastAsia="zh-CN"/>
        </w:rPr>
        <w:t>府谷能源投资集团郭家湾矿业有限公司采购矿井主运输及工作面通讯、控制、保护系统设备</w:t>
      </w:r>
    </w:p>
    <w:p w14:paraId="32FCB84D">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二、采购项目预算、资金构成和采购方式：</w:t>
      </w:r>
    </w:p>
    <w:p w14:paraId="6CC26542">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1、采购项目预算：</w:t>
      </w:r>
      <w:r>
        <w:rPr>
          <w:rFonts w:hint="eastAsia" w:ascii="仿宋" w:hAnsi="仿宋" w:eastAsia="仿宋" w:cs="仿宋"/>
          <w:sz w:val="24"/>
          <w:szCs w:val="24"/>
          <w:lang w:eastAsia="zh-CN"/>
        </w:rPr>
        <w:t>2731640.00</w:t>
      </w:r>
      <w:r>
        <w:rPr>
          <w:rFonts w:hint="eastAsia" w:ascii="仿宋" w:hAnsi="仿宋" w:eastAsia="仿宋" w:cs="仿宋"/>
          <w:sz w:val="24"/>
          <w:szCs w:val="24"/>
        </w:rPr>
        <w:t>元</w:t>
      </w:r>
    </w:p>
    <w:p w14:paraId="5D76C4E8">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2、最高限价：</w:t>
      </w:r>
      <w:r>
        <w:rPr>
          <w:rFonts w:hint="eastAsia" w:ascii="仿宋" w:hAnsi="仿宋" w:eastAsia="仿宋" w:cs="仿宋"/>
          <w:sz w:val="24"/>
          <w:szCs w:val="24"/>
          <w:lang w:eastAsia="zh-CN"/>
        </w:rPr>
        <w:t>2731640.00</w:t>
      </w:r>
      <w:r>
        <w:rPr>
          <w:rFonts w:hint="eastAsia" w:ascii="仿宋" w:hAnsi="仿宋" w:eastAsia="仿宋" w:cs="仿宋"/>
          <w:sz w:val="24"/>
          <w:szCs w:val="24"/>
        </w:rPr>
        <w:t>元</w:t>
      </w:r>
    </w:p>
    <w:p w14:paraId="32194717">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3、资金来</w:t>
      </w:r>
      <w:r>
        <w:rPr>
          <w:rFonts w:hint="eastAsia" w:ascii="仿宋" w:hAnsi="仿宋" w:eastAsia="仿宋" w:cs="仿宋"/>
          <w:sz w:val="24"/>
          <w:szCs w:val="24"/>
          <w:lang w:eastAsia="zh-CN"/>
        </w:rPr>
        <w:t>源：</w:t>
      </w:r>
      <w:r>
        <w:rPr>
          <w:rFonts w:hint="eastAsia" w:ascii="仿宋" w:hAnsi="仿宋" w:eastAsia="仿宋" w:cs="仿宋"/>
          <w:sz w:val="24"/>
          <w:szCs w:val="24"/>
          <w:lang w:val="en-US" w:eastAsia="zh-CN"/>
        </w:rPr>
        <w:t>自筹</w:t>
      </w:r>
    </w:p>
    <w:p w14:paraId="6EC3D6BB">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4、采购方式：</w:t>
      </w:r>
      <w:r>
        <w:rPr>
          <w:rFonts w:hint="eastAsia" w:ascii="仿宋" w:hAnsi="仿宋" w:eastAsia="仿宋" w:cs="仿宋"/>
          <w:sz w:val="24"/>
          <w:szCs w:val="24"/>
          <w:lang w:val="en-US" w:eastAsia="zh-CN"/>
        </w:rPr>
        <w:t>公开招标</w:t>
      </w:r>
    </w:p>
    <w:p w14:paraId="1A0CDB6E">
      <w:pPr>
        <w:pStyle w:val="30"/>
        <w:keepNext w:val="0"/>
        <w:keepLines w:val="0"/>
        <w:pageBreakBefore w:val="0"/>
        <w:kinsoku/>
        <w:overflowPunct/>
        <w:topLinePunct w:val="0"/>
        <w:autoSpaceDE/>
        <w:autoSpaceDN/>
        <w:bidi w:val="0"/>
        <w:adjustRightInd/>
        <w:snapToGrid/>
        <w:spacing w:line="360" w:lineRule="auto"/>
        <w:ind w:firstLine="643"/>
        <w:rPr>
          <w:rFonts w:hint="eastAsia" w:ascii="仿宋" w:hAnsi="仿宋" w:eastAsia="仿宋" w:cs="仿宋"/>
          <w:b/>
          <w:bCs/>
          <w:sz w:val="24"/>
          <w:szCs w:val="24"/>
        </w:rPr>
      </w:pPr>
      <w:r>
        <w:rPr>
          <w:rFonts w:hint="eastAsia" w:ascii="仿宋" w:hAnsi="仿宋" w:eastAsia="仿宋" w:cs="仿宋"/>
          <w:b/>
          <w:bCs/>
          <w:sz w:val="24"/>
          <w:szCs w:val="24"/>
        </w:rPr>
        <w:t>三、项目实施时间、地点、工程概况、履行期限及方式</w:t>
      </w:r>
    </w:p>
    <w:p w14:paraId="4014C86D">
      <w:pPr>
        <w:keepNext w:val="0"/>
        <w:keepLines w:val="0"/>
        <w:pageBreakBefore w:val="0"/>
        <w:kinsoku/>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1、项目实施时间</w:t>
      </w:r>
      <w:r>
        <w:rPr>
          <w:rFonts w:hint="eastAsia" w:ascii="仿宋" w:hAnsi="仿宋" w:eastAsia="仿宋" w:cs="仿宋"/>
          <w:b/>
          <w:bCs/>
          <w:color w:val="auto"/>
          <w:sz w:val="24"/>
          <w:szCs w:val="24"/>
        </w:rPr>
        <w:t>：</w:t>
      </w:r>
      <w:r>
        <w:rPr>
          <w:rFonts w:hint="eastAsia" w:ascii="仿宋" w:hAnsi="仿宋" w:eastAsia="仿宋" w:cs="仿宋"/>
          <w:color w:val="auto"/>
          <w:sz w:val="24"/>
          <w:szCs w:val="24"/>
          <w:highlight w:val="none"/>
          <w:lang w:val="en-US" w:eastAsia="zh-CN"/>
        </w:rPr>
        <w:t>2025年3月下旬</w:t>
      </w:r>
    </w:p>
    <w:p w14:paraId="398C07B8">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b w:val="0"/>
          <w:bCs w:val="0"/>
          <w:sz w:val="24"/>
          <w:szCs w:val="24"/>
        </w:rPr>
      </w:pPr>
      <w:r>
        <w:rPr>
          <w:rFonts w:hint="eastAsia" w:ascii="仿宋" w:hAnsi="仿宋" w:eastAsia="仿宋" w:cs="仿宋"/>
          <w:b/>
          <w:bCs/>
          <w:sz w:val="24"/>
          <w:szCs w:val="24"/>
        </w:rPr>
        <w:t>2、项目实施地点：</w:t>
      </w:r>
      <w:r>
        <w:rPr>
          <w:rFonts w:hint="eastAsia" w:ascii="仿宋" w:hAnsi="仿宋" w:eastAsia="仿宋" w:cs="仿宋"/>
          <w:b w:val="0"/>
          <w:bCs w:val="0"/>
          <w:sz w:val="24"/>
          <w:szCs w:val="24"/>
        </w:rPr>
        <w:t>郭家湾煤矿</w:t>
      </w:r>
    </w:p>
    <w:p w14:paraId="02416F33">
      <w:pPr>
        <w:pStyle w:val="6"/>
        <w:ind w:firstLine="482"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sz w:val="24"/>
          <w:szCs w:val="24"/>
        </w:rPr>
        <w:t>3、项目概况：</w:t>
      </w:r>
      <w:r>
        <w:rPr>
          <w:rFonts w:hint="eastAsia" w:ascii="仿宋" w:hAnsi="仿宋" w:eastAsia="仿宋" w:cs="仿宋"/>
          <w:b w:val="0"/>
          <w:bCs w:val="0"/>
          <w:sz w:val="24"/>
          <w:szCs w:val="24"/>
        </w:rPr>
        <w:t>采购10套带式输送机及工作面运输机集控保护装置。</w:t>
      </w:r>
    </w:p>
    <w:p w14:paraId="0DD5276F">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rPr>
        <w:t>4、履行期限及方式：</w:t>
      </w:r>
      <w:r>
        <w:rPr>
          <w:rFonts w:hint="eastAsia" w:ascii="仿宋" w:hAnsi="仿宋" w:eastAsia="仿宋" w:cs="仿宋"/>
          <w:color w:val="auto"/>
          <w:sz w:val="24"/>
          <w:szCs w:val="24"/>
          <w:highlight w:val="none"/>
        </w:rPr>
        <w:t>项目须于签订合同后</w:t>
      </w:r>
      <w:r>
        <w:rPr>
          <w:rFonts w:hint="eastAsia" w:ascii="仿宋" w:hAnsi="仿宋" w:eastAsia="仿宋" w:cs="仿宋"/>
          <w:color w:val="auto"/>
          <w:sz w:val="24"/>
          <w:szCs w:val="24"/>
          <w:highlight w:val="none"/>
          <w:lang w:val="en-US" w:eastAsia="zh-CN"/>
        </w:rPr>
        <w:t>90日历日</w:t>
      </w:r>
      <w:r>
        <w:rPr>
          <w:rFonts w:hint="eastAsia" w:ascii="仿宋" w:hAnsi="仿宋" w:eastAsia="仿宋" w:cs="仿宋"/>
          <w:color w:val="auto"/>
          <w:sz w:val="24"/>
          <w:szCs w:val="24"/>
          <w:highlight w:val="none"/>
        </w:rPr>
        <w:t>内完成。</w:t>
      </w:r>
    </w:p>
    <w:p w14:paraId="3EC301A2">
      <w:pPr>
        <w:pStyle w:val="4"/>
        <w:keepNext w:val="0"/>
        <w:keepLines w:val="0"/>
        <w:pageBreakBefore w:val="0"/>
        <w:widowControl/>
        <w:numPr>
          <w:ilvl w:val="3"/>
          <w:numId w:val="0"/>
        </w:numPr>
        <w:kinsoku/>
        <w:wordWrap w:val="0"/>
        <w:overflowPunct/>
        <w:topLinePunct w:val="0"/>
        <w:autoSpaceDE/>
        <w:autoSpaceDN/>
        <w:bidi w:val="0"/>
        <w:adjustRightInd/>
        <w:snapToGrid/>
        <w:spacing w:line="360" w:lineRule="auto"/>
        <w:ind w:firstLine="482" w:firstLineChars="200"/>
        <w:jc w:val="left"/>
        <w:textAlignment w:val="baseline"/>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四、采购内容：</w:t>
      </w:r>
    </w:p>
    <w:tbl>
      <w:tblPr>
        <w:tblStyle w:val="43"/>
        <w:tblW w:w="82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2134"/>
        <w:gridCol w:w="480"/>
        <w:gridCol w:w="505"/>
        <w:gridCol w:w="635"/>
        <w:gridCol w:w="680"/>
        <w:gridCol w:w="760"/>
        <w:gridCol w:w="2542"/>
      </w:tblGrid>
      <w:tr w14:paraId="55B57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559" w:type="dxa"/>
            <w:vAlign w:val="top"/>
          </w:tcPr>
          <w:p w14:paraId="781D1977">
            <w:pPr>
              <w:pStyle w:val="44"/>
              <w:spacing w:before="124" w:line="221" w:lineRule="auto"/>
              <w:ind w:left="13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序号</w:t>
            </w:r>
          </w:p>
        </w:tc>
        <w:tc>
          <w:tcPr>
            <w:tcW w:w="2134" w:type="dxa"/>
            <w:vAlign w:val="top"/>
          </w:tcPr>
          <w:p w14:paraId="6ED408B1">
            <w:pPr>
              <w:pStyle w:val="44"/>
              <w:spacing w:before="126" w:line="221" w:lineRule="auto"/>
              <w:ind w:left="86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名称</w:t>
            </w:r>
          </w:p>
        </w:tc>
        <w:tc>
          <w:tcPr>
            <w:tcW w:w="480" w:type="dxa"/>
            <w:vAlign w:val="top"/>
          </w:tcPr>
          <w:p w14:paraId="333728F5">
            <w:pPr>
              <w:pStyle w:val="44"/>
              <w:spacing w:before="124" w:line="221" w:lineRule="auto"/>
              <w:ind w:left="252"/>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型号</w:t>
            </w:r>
          </w:p>
        </w:tc>
        <w:tc>
          <w:tcPr>
            <w:tcW w:w="505" w:type="dxa"/>
            <w:vAlign w:val="top"/>
          </w:tcPr>
          <w:p w14:paraId="0787E5B6">
            <w:pPr>
              <w:pStyle w:val="44"/>
              <w:spacing w:before="123" w:line="219" w:lineRule="auto"/>
              <w:ind w:left="193"/>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数量</w:t>
            </w:r>
          </w:p>
        </w:tc>
        <w:tc>
          <w:tcPr>
            <w:tcW w:w="635" w:type="dxa"/>
            <w:vAlign w:val="top"/>
          </w:tcPr>
          <w:p w14:paraId="04605DBB">
            <w:pPr>
              <w:pStyle w:val="44"/>
              <w:spacing w:before="124" w:line="220" w:lineRule="auto"/>
              <w:ind w:left="1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单位</w:t>
            </w:r>
          </w:p>
        </w:tc>
        <w:tc>
          <w:tcPr>
            <w:tcW w:w="680" w:type="dxa"/>
            <w:vAlign w:val="top"/>
          </w:tcPr>
          <w:p w14:paraId="21FCDDAA">
            <w:pPr>
              <w:pStyle w:val="44"/>
              <w:spacing w:before="121" w:line="218" w:lineRule="auto"/>
              <w:ind w:left="14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单价(元)</w:t>
            </w:r>
          </w:p>
        </w:tc>
        <w:tc>
          <w:tcPr>
            <w:tcW w:w="760" w:type="dxa"/>
            <w:vAlign w:val="top"/>
          </w:tcPr>
          <w:p w14:paraId="4DC16A8B">
            <w:pPr>
              <w:pStyle w:val="44"/>
              <w:spacing w:before="121" w:line="218" w:lineRule="auto"/>
              <w:ind w:left="146"/>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总价(元)</w:t>
            </w:r>
          </w:p>
        </w:tc>
        <w:tc>
          <w:tcPr>
            <w:tcW w:w="2542" w:type="dxa"/>
            <w:vAlign w:val="top"/>
          </w:tcPr>
          <w:p w14:paraId="65FB046F">
            <w:pPr>
              <w:pStyle w:val="44"/>
              <w:spacing w:before="124" w:line="221" w:lineRule="auto"/>
              <w:ind w:left="1027"/>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备注</w:t>
            </w:r>
          </w:p>
        </w:tc>
      </w:tr>
      <w:tr w14:paraId="49EE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59" w:type="dxa"/>
            <w:vAlign w:val="top"/>
          </w:tcPr>
          <w:p w14:paraId="4537AADB">
            <w:pPr>
              <w:pStyle w:val="44"/>
              <w:spacing w:before="182" w:line="184"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2134" w:type="dxa"/>
            <w:vAlign w:val="top"/>
          </w:tcPr>
          <w:p w14:paraId="20B3491A">
            <w:pPr>
              <w:pStyle w:val="44"/>
              <w:spacing w:before="128"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0A9E32DD">
            <w:pPr>
              <w:pStyle w:val="44"/>
              <w:spacing w:before="182"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4C6E5686">
            <w:pPr>
              <w:pStyle w:val="44"/>
              <w:spacing w:before="182"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38F71751">
            <w:pPr>
              <w:pStyle w:val="44"/>
              <w:spacing w:before="130"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1459C352">
            <w:pPr>
              <w:pStyle w:val="44"/>
              <w:spacing w:before="182"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57E7C53C">
            <w:pPr>
              <w:pStyle w:val="44"/>
              <w:spacing w:before="182"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62364E32">
            <w:pPr>
              <w:pStyle w:val="44"/>
              <w:spacing w:before="129"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上仓集控保护</w:t>
            </w:r>
          </w:p>
        </w:tc>
      </w:tr>
      <w:tr w14:paraId="4561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9" w:type="dxa"/>
            <w:vAlign w:val="top"/>
          </w:tcPr>
          <w:p w14:paraId="712B1547">
            <w:pPr>
              <w:pStyle w:val="44"/>
              <w:spacing w:before="174"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2</w:t>
            </w:r>
          </w:p>
        </w:tc>
        <w:tc>
          <w:tcPr>
            <w:tcW w:w="2134" w:type="dxa"/>
            <w:vAlign w:val="top"/>
          </w:tcPr>
          <w:p w14:paraId="33AB52A6">
            <w:pPr>
              <w:pStyle w:val="44"/>
              <w:spacing w:before="119"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6FF0013D">
            <w:pPr>
              <w:pStyle w:val="44"/>
              <w:spacing w:before="173"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60290A3D">
            <w:pPr>
              <w:pStyle w:val="44"/>
              <w:spacing w:before="173"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798C98D0">
            <w:pPr>
              <w:pStyle w:val="44"/>
              <w:spacing w:before="121"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71C092C7">
            <w:pPr>
              <w:pStyle w:val="44"/>
              <w:spacing w:before="174" w:line="183"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01C06CBB">
            <w:pPr>
              <w:pStyle w:val="44"/>
              <w:spacing w:before="174" w:line="183"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31A0A6BA">
            <w:pPr>
              <w:pStyle w:val="44"/>
              <w:spacing w:before="120"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主斜井集控保护</w:t>
            </w:r>
          </w:p>
        </w:tc>
      </w:tr>
      <w:tr w14:paraId="1C76C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59" w:type="dxa"/>
            <w:vAlign w:val="top"/>
          </w:tcPr>
          <w:p w14:paraId="3CB0C1E2">
            <w:pPr>
              <w:pStyle w:val="44"/>
              <w:spacing w:before="185"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w:t>
            </w:r>
          </w:p>
        </w:tc>
        <w:tc>
          <w:tcPr>
            <w:tcW w:w="2134" w:type="dxa"/>
            <w:vAlign w:val="top"/>
          </w:tcPr>
          <w:p w14:paraId="1E225A56">
            <w:pPr>
              <w:pStyle w:val="44"/>
              <w:spacing w:before="130"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34B70B6E">
            <w:pPr>
              <w:pStyle w:val="44"/>
              <w:spacing w:before="184"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27EA28F8">
            <w:pPr>
              <w:pStyle w:val="44"/>
              <w:spacing w:before="184"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69C892B0">
            <w:pPr>
              <w:pStyle w:val="44"/>
              <w:spacing w:before="132"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13CE66C0">
            <w:pPr>
              <w:pStyle w:val="44"/>
              <w:spacing w:before="184"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6EBE6AC5">
            <w:pPr>
              <w:pStyle w:val="44"/>
              <w:spacing w:before="184"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327FD30A">
            <w:pPr>
              <w:pStyle w:val="44"/>
              <w:spacing w:before="131"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5-2工作面集控保护</w:t>
            </w:r>
          </w:p>
        </w:tc>
      </w:tr>
      <w:tr w14:paraId="084F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9" w:type="dxa"/>
            <w:vAlign w:val="top"/>
          </w:tcPr>
          <w:p w14:paraId="5D89EE44">
            <w:pPr>
              <w:pStyle w:val="44"/>
              <w:spacing w:before="176"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4</w:t>
            </w:r>
          </w:p>
        </w:tc>
        <w:tc>
          <w:tcPr>
            <w:tcW w:w="2134" w:type="dxa"/>
            <w:vAlign w:val="top"/>
          </w:tcPr>
          <w:p w14:paraId="36194BE0">
            <w:pPr>
              <w:pStyle w:val="44"/>
              <w:spacing w:before="121"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1F5FEC12">
            <w:pPr>
              <w:pStyle w:val="44"/>
              <w:spacing w:before="175"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66A406DD">
            <w:pPr>
              <w:pStyle w:val="44"/>
              <w:spacing w:before="175"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3F289940">
            <w:pPr>
              <w:pStyle w:val="44"/>
              <w:spacing w:before="123"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1AFD2A8E">
            <w:pPr>
              <w:pStyle w:val="44"/>
              <w:spacing w:before="176" w:line="183"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04D1ED97">
            <w:pPr>
              <w:pStyle w:val="44"/>
              <w:spacing w:before="176" w:line="183"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0C27C3AC">
            <w:pPr>
              <w:pStyle w:val="44"/>
              <w:spacing w:before="122"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5-2顺槽集控保护</w:t>
            </w:r>
          </w:p>
        </w:tc>
      </w:tr>
      <w:tr w14:paraId="0874D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59" w:type="dxa"/>
            <w:vAlign w:val="top"/>
          </w:tcPr>
          <w:p w14:paraId="25D6BF4C">
            <w:pPr>
              <w:pStyle w:val="44"/>
              <w:spacing w:before="189" w:line="182"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w:t>
            </w:r>
          </w:p>
        </w:tc>
        <w:tc>
          <w:tcPr>
            <w:tcW w:w="2134" w:type="dxa"/>
            <w:vAlign w:val="top"/>
          </w:tcPr>
          <w:p w14:paraId="62A4964E">
            <w:pPr>
              <w:pStyle w:val="44"/>
              <w:spacing w:before="132"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615926C4">
            <w:pPr>
              <w:pStyle w:val="44"/>
              <w:spacing w:before="186"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3C16F420">
            <w:pPr>
              <w:pStyle w:val="44"/>
              <w:spacing w:before="186"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2D2DBC69">
            <w:pPr>
              <w:pStyle w:val="44"/>
              <w:spacing w:before="134"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1F05445B">
            <w:pPr>
              <w:pStyle w:val="44"/>
              <w:spacing w:before="186"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396053FD">
            <w:pPr>
              <w:pStyle w:val="44"/>
              <w:spacing w:before="186"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638CF672">
            <w:pPr>
              <w:pStyle w:val="44"/>
              <w:spacing w:before="133"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5-2大巷集控保护</w:t>
            </w:r>
          </w:p>
        </w:tc>
      </w:tr>
      <w:tr w14:paraId="73E2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9" w:type="dxa"/>
            <w:vAlign w:val="top"/>
          </w:tcPr>
          <w:p w14:paraId="65F5043A">
            <w:pPr>
              <w:pStyle w:val="44"/>
              <w:spacing w:before="178"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6</w:t>
            </w:r>
          </w:p>
        </w:tc>
        <w:tc>
          <w:tcPr>
            <w:tcW w:w="2134" w:type="dxa"/>
            <w:vAlign w:val="top"/>
          </w:tcPr>
          <w:p w14:paraId="322881AC">
            <w:pPr>
              <w:pStyle w:val="44"/>
              <w:spacing w:before="123"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09CD3569">
            <w:pPr>
              <w:pStyle w:val="44"/>
              <w:spacing w:before="177"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2EF68A62">
            <w:pPr>
              <w:pStyle w:val="44"/>
              <w:spacing w:before="177"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5D6086B5">
            <w:pPr>
              <w:pStyle w:val="44"/>
              <w:spacing w:before="125"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77FCD01A">
            <w:pPr>
              <w:pStyle w:val="44"/>
              <w:spacing w:before="177"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35B1711A">
            <w:pPr>
              <w:pStyle w:val="44"/>
              <w:spacing w:before="177"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67917F22">
            <w:pPr>
              <w:pStyle w:val="44"/>
              <w:spacing w:before="124"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3-1工作面集控保护</w:t>
            </w:r>
          </w:p>
        </w:tc>
      </w:tr>
      <w:tr w14:paraId="5FC39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trPr>
        <w:tc>
          <w:tcPr>
            <w:tcW w:w="559" w:type="dxa"/>
            <w:vAlign w:val="top"/>
          </w:tcPr>
          <w:p w14:paraId="295A027B">
            <w:pPr>
              <w:pStyle w:val="44"/>
              <w:spacing w:before="191" w:line="182"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7</w:t>
            </w:r>
          </w:p>
        </w:tc>
        <w:tc>
          <w:tcPr>
            <w:tcW w:w="2134" w:type="dxa"/>
            <w:vAlign w:val="top"/>
          </w:tcPr>
          <w:p w14:paraId="6ADA5F78">
            <w:pPr>
              <w:pStyle w:val="44"/>
              <w:spacing w:before="134"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2C42379C">
            <w:pPr>
              <w:pStyle w:val="44"/>
              <w:spacing w:before="188"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0DA37045">
            <w:pPr>
              <w:pStyle w:val="44"/>
              <w:spacing w:before="188"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14EA0F80">
            <w:pPr>
              <w:pStyle w:val="44"/>
              <w:spacing w:before="136"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62273ACB">
            <w:pPr>
              <w:pStyle w:val="44"/>
              <w:spacing w:before="188"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7374A189">
            <w:pPr>
              <w:pStyle w:val="44"/>
              <w:spacing w:before="188"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2AD1650D">
            <w:pPr>
              <w:pStyle w:val="44"/>
              <w:spacing w:before="135"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3-1顺槽集控保护</w:t>
            </w:r>
          </w:p>
        </w:tc>
      </w:tr>
      <w:tr w14:paraId="7B45E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59" w:type="dxa"/>
            <w:vAlign w:val="top"/>
          </w:tcPr>
          <w:p w14:paraId="5F917177">
            <w:pPr>
              <w:pStyle w:val="44"/>
              <w:spacing w:before="179"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8</w:t>
            </w:r>
          </w:p>
        </w:tc>
        <w:tc>
          <w:tcPr>
            <w:tcW w:w="2134" w:type="dxa"/>
            <w:vAlign w:val="top"/>
          </w:tcPr>
          <w:p w14:paraId="3C958D77">
            <w:pPr>
              <w:pStyle w:val="44"/>
              <w:spacing w:before="124"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2E8F3F7A">
            <w:pPr>
              <w:pStyle w:val="44"/>
              <w:spacing w:before="178"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31A646BC">
            <w:pPr>
              <w:pStyle w:val="44"/>
              <w:spacing w:before="178"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026A75A7">
            <w:pPr>
              <w:pStyle w:val="44"/>
              <w:spacing w:before="126"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01FCA63C">
            <w:pPr>
              <w:pStyle w:val="44"/>
              <w:spacing w:before="179" w:line="183"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297AF819">
            <w:pPr>
              <w:pStyle w:val="44"/>
              <w:spacing w:before="179" w:line="183"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719A59DC">
            <w:pPr>
              <w:pStyle w:val="44"/>
              <w:spacing w:before="125"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3-1西翼大巷集控保护</w:t>
            </w:r>
          </w:p>
        </w:tc>
      </w:tr>
      <w:tr w14:paraId="09B4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 w:hRule="atLeast"/>
        </w:trPr>
        <w:tc>
          <w:tcPr>
            <w:tcW w:w="559" w:type="dxa"/>
            <w:vAlign w:val="top"/>
          </w:tcPr>
          <w:p w14:paraId="50338C86">
            <w:pPr>
              <w:pStyle w:val="44"/>
              <w:spacing w:before="190" w:line="183" w:lineRule="auto"/>
              <w:ind w:left="285"/>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9</w:t>
            </w:r>
          </w:p>
        </w:tc>
        <w:tc>
          <w:tcPr>
            <w:tcW w:w="2134" w:type="dxa"/>
            <w:vAlign w:val="top"/>
          </w:tcPr>
          <w:p w14:paraId="2039FBB5">
            <w:pPr>
              <w:pStyle w:val="44"/>
              <w:spacing w:before="135"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67F39F40">
            <w:pPr>
              <w:pStyle w:val="44"/>
              <w:spacing w:before="189"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4ADCDDA6">
            <w:pPr>
              <w:pStyle w:val="44"/>
              <w:spacing w:before="189"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40A015F1">
            <w:pPr>
              <w:pStyle w:val="44"/>
              <w:spacing w:before="137"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065A47F1">
            <w:pPr>
              <w:pStyle w:val="44"/>
              <w:spacing w:before="189"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1C6A5CE2">
            <w:pPr>
              <w:pStyle w:val="44"/>
              <w:spacing w:before="189"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0AA2F430">
            <w:pPr>
              <w:pStyle w:val="44"/>
              <w:spacing w:before="136"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一水平2号集控保护</w:t>
            </w:r>
          </w:p>
        </w:tc>
      </w:tr>
      <w:tr w14:paraId="40CC0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559" w:type="dxa"/>
            <w:vAlign w:val="top"/>
          </w:tcPr>
          <w:p w14:paraId="16CDA82F">
            <w:pPr>
              <w:pStyle w:val="44"/>
              <w:spacing w:before="180" w:line="184" w:lineRule="auto"/>
              <w:ind w:left="23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10</w:t>
            </w:r>
          </w:p>
        </w:tc>
        <w:tc>
          <w:tcPr>
            <w:tcW w:w="2134" w:type="dxa"/>
            <w:vAlign w:val="top"/>
          </w:tcPr>
          <w:p w14:paraId="65B3FCC6">
            <w:pPr>
              <w:pStyle w:val="44"/>
              <w:spacing w:before="126" w:line="219" w:lineRule="auto"/>
              <w:ind w:left="120"/>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胶带机集控保护装置</w:t>
            </w:r>
          </w:p>
        </w:tc>
        <w:tc>
          <w:tcPr>
            <w:tcW w:w="480" w:type="dxa"/>
            <w:vAlign w:val="top"/>
          </w:tcPr>
          <w:p w14:paraId="318A00CE">
            <w:pPr>
              <w:pStyle w:val="44"/>
              <w:spacing w:before="180" w:line="184" w:lineRule="auto"/>
              <w:ind w:left="152"/>
              <w:rPr>
                <w:rFonts w:hint="eastAsia" w:ascii="仿宋" w:hAnsi="仿宋" w:eastAsia="仿宋" w:cs="仿宋"/>
                <w:b w:val="0"/>
                <w:bCs w:val="0"/>
                <w:kern w:val="2"/>
                <w:sz w:val="22"/>
                <w:szCs w:val="22"/>
                <w:lang w:val="en-US" w:eastAsia="zh-CN" w:bidi="ar-SA"/>
              </w:rPr>
            </w:pPr>
          </w:p>
        </w:tc>
        <w:tc>
          <w:tcPr>
            <w:tcW w:w="505" w:type="dxa"/>
            <w:vAlign w:val="top"/>
          </w:tcPr>
          <w:p w14:paraId="6B60F2CA">
            <w:pPr>
              <w:pStyle w:val="44"/>
              <w:spacing w:before="180" w:line="184" w:lineRule="auto"/>
              <w:ind w:left="34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1</w:t>
            </w:r>
          </w:p>
        </w:tc>
        <w:tc>
          <w:tcPr>
            <w:tcW w:w="635" w:type="dxa"/>
            <w:vAlign w:val="top"/>
          </w:tcPr>
          <w:p w14:paraId="3523A344">
            <w:pPr>
              <w:pStyle w:val="44"/>
              <w:spacing w:before="128" w:line="220" w:lineRule="auto"/>
              <w:ind w:left="284"/>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套</w:t>
            </w:r>
          </w:p>
        </w:tc>
        <w:tc>
          <w:tcPr>
            <w:tcW w:w="680" w:type="dxa"/>
            <w:vAlign w:val="top"/>
          </w:tcPr>
          <w:p w14:paraId="4E80E19C">
            <w:pPr>
              <w:pStyle w:val="44"/>
              <w:spacing w:before="180" w:line="184" w:lineRule="auto"/>
              <w:ind w:left="245"/>
              <w:rPr>
                <w:rFonts w:hint="eastAsia" w:ascii="仿宋" w:hAnsi="仿宋" w:eastAsia="仿宋" w:cs="仿宋"/>
                <w:b w:val="0"/>
                <w:bCs w:val="0"/>
                <w:kern w:val="2"/>
                <w:sz w:val="22"/>
                <w:szCs w:val="22"/>
                <w:lang w:val="en-US" w:eastAsia="zh-CN" w:bidi="ar-SA"/>
              </w:rPr>
            </w:pPr>
          </w:p>
        </w:tc>
        <w:tc>
          <w:tcPr>
            <w:tcW w:w="760" w:type="dxa"/>
            <w:vAlign w:val="top"/>
          </w:tcPr>
          <w:p w14:paraId="0D0080E8">
            <w:pPr>
              <w:pStyle w:val="44"/>
              <w:spacing w:before="180" w:line="184" w:lineRule="auto"/>
              <w:ind w:left="257"/>
              <w:rPr>
                <w:rFonts w:hint="eastAsia" w:ascii="仿宋" w:hAnsi="仿宋" w:eastAsia="仿宋" w:cs="仿宋"/>
                <w:b w:val="0"/>
                <w:bCs w:val="0"/>
                <w:kern w:val="2"/>
                <w:sz w:val="22"/>
                <w:szCs w:val="22"/>
                <w:lang w:val="en-US" w:eastAsia="zh-CN" w:bidi="ar-SA"/>
              </w:rPr>
            </w:pPr>
          </w:p>
        </w:tc>
        <w:tc>
          <w:tcPr>
            <w:tcW w:w="2542" w:type="dxa"/>
            <w:vAlign w:val="top"/>
          </w:tcPr>
          <w:p w14:paraId="2B0FE9CA">
            <w:pPr>
              <w:pStyle w:val="44"/>
              <w:spacing w:before="127" w:line="219"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一水平1号集控保护</w:t>
            </w:r>
          </w:p>
        </w:tc>
      </w:tr>
      <w:tr w14:paraId="13797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trPr>
        <w:tc>
          <w:tcPr>
            <w:tcW w:w="2693" w:type="dxa"/>
            <w:gridSpan w:val="2"/>
            <w:vAlign w:val="top"/>
          </w:tcPr>
          <w:p w14:paraId="3791F3F2">
            <w:pPr>
              <w:pStyle w:val="44"/>
              <w:spacing w:before="219" w:line="221" w:lineRule="auto"/>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合计</w:t>
            </w:r>
          </w:p>
        </w:tc>
        <w:tc>
          <w:tcPr>
            <w:tcW w:w="3060" w:type="dxa"/>
            <w:gridSpan w:val="5"/>
            <w:vAlign w:val="top"/>
          </w:tcPr>
          <w:p w14:paraId="12F737AA">
            <w:pPr>
              <w:pStyle w:val="44"/>
              <w:spacing w:before="97" w:line="219" w:lineRule="auto"/>
              <w:ind w:left="103"/>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大写：</w:t>
            </w:r>
          </w:p>
          <w:p w14:paraId="73D2729B">
            <w:pPr>
              <w:pStyle w:val="44"/>
              <w:spacing w:before="62" w:line="180" w:lineRule="auto"/>
              <w:ind w:left="103"/>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kern w:val="2"/>
                <w:sz w:val="22"/>
                <w:szCs w:val="22"/>
                <w:lang w:val="en-US" w:eastAsia="zh-CN" w:bidi="ar-SA"/>
              </w:rPr>
              <w:t>小写：</w:t>
            </w:r>
          </w:p>
        </w:tc>
        <w:tc>
          <w:tcPr>
            <w:tcW w:w="2542" w:type="dxa"/>
            <w:vAlign w:val="top"/>
          </w:tcPr>
          <w:p w14:paraId="4E265032">
            <w:pPr>
              <w:pStyle w:val="44"/>
              <w:spacing w:before="218" w:line="219" w:lineRule="auto"/>
              <w:ind w:left="117"/>
              <w:rPr>
                <w:rFonts w:hint="eastAsia" w:ascii="仿宋" w:hAnsi="仿宋" w:eastAsia="仿宋" w:cs="仿宋"/>
                <w:b w:val="0"/>
                <w:bCs w:val="0"/>
                <w:kern w:val="2"/>
                <w:sz w:val="22"/>
                <w:szCs w:val="22"/>
                <w:lang w:val="en-US" w:eastAsia="zh-CN" w:bidi="ar-SA"/>
              </w:rPr>
            </w:pPr>
          </w:p>
        </w:tc>
      </w:tr>
    </w:tbl>
    <w:p w14:paraId="16679373">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17"/>
        <w:tblW w:w="14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86"/>
        <w:gridCol w:w="4760"/>
        <w:gridCol w:w="739"/>
        <w:gridCol w:w="891"/>
        <w:gridCol w:w="1000"/>
        <w:gridCol w:w="1076"/>
        <w:gridCol w:w="1979"/>
      </w:tblGrid>
      <w:tr w14:paraId="646A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2F871F34">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上仓皮带集控保护明细</w:t>
            </w:r>
          </w:p>
        </w:tc>
      </w:tr>
      <w:tr w14:paraId="3E04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290DF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0"/>
            <w:vAlign w:val="center"/>
          </w:tcPr>
          <w:p w14:paraId="4F08E6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0"/>
            <w:vAlign w:val="center"/>
          </w:tcPr>
          <w:p w14:paraId="301DCC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技术规格</w:t>
            </w:r>
          </w:p>
        </w:tc>
        <w:tc>
          <w:tcPr>
            <w:tcW w:w="739" w:type="dxa"/>
            <w:noWrap w:val="0"/>
            <w:vAlign w:val="center"/>
          </w:tcPr>
          <w:p w14:paraId="4702AC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0"/>
            <w:vAlign w:val="center"/>
          </w:tcPr>
          <w:p w14:paraId="5D307C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00E3A9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3ABD1407">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2A0627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42BF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1D239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4CB894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51E1A4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6B2C16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DC088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ADB26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828E3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B47C0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F29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266C8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088E58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607EE6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3AF22C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507F6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FEEDC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3D2AD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6B2A3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342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21F01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1C7EA4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3FF0B9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6BCF39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08816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0CE72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5443B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39BF0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7B7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F3D9F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31EB87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1E4B7E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488DE6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A431C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1447E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D3D53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E938D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6ED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E24B0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17F853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1C9347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1AD031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082B0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EAC23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5F7E8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BFF6A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7B6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7F849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67A164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39EAFE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0ACA06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44506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C948F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BE6FC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2EF34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DAC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43BB4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525C83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7E008A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504EC7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F186F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5F081D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9F703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D172A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1FE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E95E2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6DBF41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85米钢丝编织橡胶护套连接器</w:t>
            </w:r>
          </w:p>
        </w:tc>
        <w:tc>
          <w:tcPr>
            <w:tcW w:w="4760" w:type="dxa"/>
            <w:noWrap w:val="0"/>
            <w:vAlign w:val="center"/>
          </w:tcPr>
          <w:p w14:paraId="68A00B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56713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12390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350A5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B0C39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75C37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AFE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68FB5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1D2575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55B914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4AACA8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BECF9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43B314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6411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2FD8E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7A7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0555B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257B4E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1A10DB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27B6A6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6DF3C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3C54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A24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77485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BCA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1377E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33F604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72324342">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68B1D4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FDF42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1FD8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6A3BB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88AD6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327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03D2D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5E47E2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36400E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2FDF0B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66975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1BE74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A034A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74E40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60A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FD679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2AA559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1187F5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471394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FB8EB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0C74E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17FCD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8729B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77B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4D7A9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7E0191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36B1A1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24B6AE7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499BF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86FA1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FD2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314B8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DF5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4CD19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31D4D6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05DE00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1772CF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6D881A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5AD3F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E0138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CDCBD3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EEC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86D2C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53E832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199335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3E6F08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C0431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08CE6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84401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FC019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97B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CD214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3093D3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6EE353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09015F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960BA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3292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51A6A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83207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84D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D67D1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77CC2F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5CDC61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0893A2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58416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94FDB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08866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B9853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CBD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E4AAD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7C63AA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3C7238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43E189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3BE62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B9D8B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17BA3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7B65B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665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A8015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607E64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482999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4E3F1F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91" w:type="dxa"/>
            <w:noWrap w:val="0"/>
            <w:vAlign w:val="center"/>
          </w:tcPr>
          <w:p w14:paraId="6468C5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4CAABF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05273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465B0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D5B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DA876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7FD531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1243A5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1E33F1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891" w:type="dxa"/>
            <w:noWrap w:val="0"/>
            <w:vAlign w:val="center"/>
          </w:tcPr>
          <w:p w14:paraId="5834CF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66D06F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FD108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BFD8F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D89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2B345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05504E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6871BC2F">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037004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35AB4A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0617B7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82207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F4255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420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1E2FC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3486" w:type="dxa"/>
            <w:noWrap w:val="0"/>
            <w:vAlign w:val="center"/>
          </w:tcPr>
          <w:p w14:paraId="23C84A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37A6A3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6977F0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891" w:type="dxa"/>
            <w:noWrap w:val="0"/>
            <w:vAlign w:val="center"/>
          </w:tcPr>
          <w:p w14:paraId="45303A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1BE0B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30884F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36BC3B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668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189BF3B2">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主斜井皮带集控保护明细</w:t>
            </w:r>
          </w:p>
        </w:tc>
      </w:tr>
      <w:tr w14:paraId="0B52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D7F22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0"/>
            <w:vAlign w:val="center"/>
          </w:tcPr>
          <w:p w14:paraId="3D7C0A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0"/>
            <w:vAlign w:val="center"/>
          </w:tcPr>
          <w:p w14:paraId="6CCEB1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0"/>
            <w:vAlign w:val="center"/>
          </w:tcPr>
          <w:p w14:paraId="4C190A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0"/>
            <w:vAlign w:val="center"/>
          </w:tcPr>
          <w:p w14:paraId="5DDB4B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05358B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7725D3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05FB52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7600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A5239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5EF90E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矿用本质安全型主控制器</w:t>
            </w:r>
          </w:p>
        </w:tc>
        <w:tc>
          <w:tcPr>
            <w:tcW w:w="4760" w:type="dxa"/>
            <w:noWrap w:val="0"/>
            <w:vAlign w:val="center"/>
          </w:tcPr>
          <w:p w14:paraId="7093FE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1）嵌入计算机逻辑控制；2）10.4寸彩色液晶汉字、人机操作、动画、图形状态显示；3）扩音通话；4）按钮闭锁；5）工作电流A18V/140mA；A12V/600mA，单沿线最多接64台闭锁；6）内置双CS模块，配接双沿线；</w:t>
            </w:r>
          </w:p>
        </w:tc>
        <w:tc>
          <w:tcPr>
            <w:tcW w:w="739" w:type="dxa"/>
            <w:noWrap w:val="0"/>
            <w:vAlign w:val="center"/>
          </w:tcPr>
          <w:p w14:paraId="741992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9FB4E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80B5B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C1224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CE7ED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13A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DD2D2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088BE6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矿用隔爆兼本质安全型电源</w:t>
            </w:r>
          </w:p>
        </w:tc>
        <w:tc>
          <w:tcPr>
            <w:tcW w:w="4760" w:type="dxa"/>
            <w:noWrap w:val="0"/>
            <w:vAlign w:val="center"/>
          </w:tcPr>
          <w:p w14:paraId="591BBF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1）多路独立本安电源输出：双DC18V；双DC12V；双DC6V；2）功率127V/160VA；3）标配(140-180变压器)；</w:t>
            </w:r>
          </w:p>
        </w:tc>
        <w:tc>
          <w:tcPr>
            <w:tcW w:w="739" w:type="dxa"/>
            <w:noWrap w:val="0"/>
            <w:vAlign w:val="center"/>
          </w:tcPr>
          <w:p w14:paraId="3D8497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FC303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3DB1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26C57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14996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AFE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B5570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013E09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6B48D7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5D51BE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891" w:type="dxa"/>
            <w:noWrap w:val="0"/>
            <w:vAlign w:val="center"/>
          </w:tcPr>
          <w:p w14:paraId="08AED9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9D8CB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BC954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4198F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97D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3EFEE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452132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44C427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57129B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891" w:type="dxa"/>
            <w:noWrap w:val="0"/>
            <w:vAlign w:val="center"/>
          </w:tcPr>
          <w:p w14:paraId="0EBD7D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331D7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B4EC6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78316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5E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F45AB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6A3BB7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18D8B2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07E9AB9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8C972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3A95C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3B47F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BED90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559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65E25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329B73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64142E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1E4DF0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D3D90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05C3E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F5DB4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6F032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8D1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45CD8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547E87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25米钢丝编织橡胶护套连接器</w:t>
            </w:r>
          </w:p>
        </w:tc>
        <w:tc>
          <w:tcPr>
            <w:tcW w:w="4760" w:type="dxa"/>
            <w:noWrap w:val="0"/>
            <w:vAlign w:val="center"/>
          </w:tcPr>
          <w:p w14:paraId="4AD8F0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2B9739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70642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169216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D3790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E4F86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F0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14E1B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49391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90米钢丝编织橡胶护套连接器</w:t>
            </w:r>
          </w:p>
        </w:tc>
        <w:tc>
          <w:tcPr>
            <w:tcW w:w="4760" w:type="dxa"/>
            <w:noWrap w:val="0"/>
            <w:vAlign w:val="center"/>
          </w:tcPr>
          <w:p w14:paraId="7B7605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7AD073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7E2D5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2DAE4D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7FFE5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AC318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863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1FC42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5027F7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180847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009E76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91" w:type="dxa"/>
            <w:noWrap w:val="0"/>
            <w:vAlign w:val="center"/>
          </w:tcPr>
          <w:p w14:paraId="54F8EA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72CF05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5BC69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CFA78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8F0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F32CB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64821B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46B4E0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58A02B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AE896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4A61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AB3C9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58807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228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540C6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255A04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54CF22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578079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55272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0098C0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07770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62349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62A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C9F45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7113E9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183D1B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6DD89D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0A49E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06455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1A52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8B5F2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673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E472A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4515E6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6F12AE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4763F87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AC9D2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F32E6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6E600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44125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1BD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E044F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5DDE19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776BC0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4BF26C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85B68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15724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56B02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F36B3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84B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C45C9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45BBA9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636943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032C31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5ED80B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D8F3C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7C580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C3CEC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22F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83962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33D24F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63094C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67CF4A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93909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3326B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3228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AC2E3D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A0E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43C6C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242BDE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4470BB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06EA67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0E19D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98B43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7E364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61AD5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D64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6EB3B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0261A3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696BCB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5E0FB9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3D2C3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C5591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05231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50589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DF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D958C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336907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0D400A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727F0D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38A7B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C263B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C1F45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F9051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E24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E734E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505B90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1C022E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63C854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891" w:type="dxa"/>
            <w:noWrap w:val="0"/>
            <w:vAlign w:val="center"/>
          </w:tcPr>
          <w:p w14:paraId="585DA8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0B7DA7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ADAF8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4E991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A25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D2EF2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5BB0CA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31473E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32E24F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891" w:type="dxa"/>
            <w:noWrap w:val="0"/>
            <w:vAlign w:val="center"/>
          </w:tcPr>
          <w:p w14:paraId="669580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3BC636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E7BC6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9692B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63E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9D036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021395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350F11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1A352E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69E83D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632023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886B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013EF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B88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32BC4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3486" w:type="dxa"/>
            <w:noWrap w:val="0"/>
            <w:vAlign w:val="center"/>
          </w:tcPr>
          <w:p w14:paraId="4DEE7C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4AAC56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39FD54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500</w:t>
            </w:r>
          </w:p>
        </w:tc>
        <w:tc>
          <w:tcPr>
            <w:tcW w:w="891" w:type="dxa"/>
            <w:noWrap w:val="0"/>
            <w:vAlign w:val="center"/>
          </w:tcPr>
          <w:p w14:paraId="15681B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33BF3B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18C1FD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1D50B1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A06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ign w:val="center"/>
          </w:tcPr>
          <w:p w14:paraId="79721351">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5-2工作面集控保护明细</w:t>
            </w:r>
          </w:p>
        </w:tc>
      </w:tr>
      <w:tr w14:paraId="2B3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10B3B7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245046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06B488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1E00B3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5430C0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6C49C3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5A13FF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40F444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263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9A8B8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5CB07A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矿用本质安全型主控制器</w:t>
            </w:r>
          </w:p>
        </w:tc>
        <w:tc>
          <w:tcPr>
            <w:tcW w:w="4760" w:type="dxa"/>
            <w:noWrap w:val="0"/>
            <w:vAlign w:val="center"/>
          </w:tcPr>
          <w:p w14:paraId="0A2A34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1）嵌入计算机逻辑控制；2）10.4寸彩色液晶汉字、人机操作、动画、图形状态显示；3）扩音通话；4）按钮闭锁；5）工作电流A18V/140mA；A12V/600mA，单沿线最多接64台闭锁；6）内置双CS模块，配接双沿线；</w:t>
            </w:r>
          </w:p>
        </w:tc>
        <w:tc>
          <w:tcPr>
            <w:tcW w:w="739" w:type="dxa"/>
            <w:noWrap w:val="0"/>
            <w:vAlign w:val="center"/>
          </w:tcPr>
          <w:p w14:paraId="502211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AEA527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F4B64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E43D8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B16DD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0D5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35CC9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3AF396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矿用隔爆兼本质安全型电源</w:t>
            </w:r>
          </w:p>
        </w:tc>
        <w:tc>
          <w:tcPr>
            <w:tcW w:w="4760" w:type="dxa"/>
            <w:noWrap w:val="0"/>
            <w:vAlign w:val="center"/>
          </w:tcPr>
          <w:p w14:paraId="5D2F2D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1）多路独立本安电源输出：双DC18V；双DC12V；双DC6V；2）功率127V/160VA；3）标配(140-180变压器)；</w:t>
            </w:r>
          </w:p>
        </w:tc>
        <w:tc>
          <w:tcPr>
            <w:tcW w:w="739" w:type="dxa"/>
            <w:noWrap w:val="0"/>
            <w:vAlign w:val="center"/>
          </w:tcPr>
          <w:p w14:paraId="69D1C8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45270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1D394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56548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F16F5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34F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688D1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2D2328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76CC4B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436C32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101D6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087D9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4245E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4BA67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20A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A99BE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02F31B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1EB056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rPr>
              <w:t>1）扩音通话；2）按钮闭锁及显示；3）两端快速连接不锈钢插座；4）工作电流26mA；</w:t>
            </w:r>
          </w:p>
        </w:tc>
        <w:tc>
          <w:tcPr>
            <w:tcW w:w="739" w:type="dxa"/>
            <w:noWrap w:val="0"/>
            <w:vAlign w:val="center"/>
          </w:tcPr>
          <w:p w14:paraId="1DA924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891" w:type="dxa"/>
            <w:noWrap w:val="0"/>
            <w:vAlign w:val="center"/>
          </w:tcPr>
          <w:p w14:paraId="43B2DB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6AD38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0A2CE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15F939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3BC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17590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5EA8D9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048201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rPr>
              <w:t>1）扩音通话；2）按钮闭锁及显示；3）远程预警启/停及显示；4）单独锁定及显示；5）两端快速连接不锈钢插座；6）工作电流55mA；</w:t>
            </w:r>
          </w:p>
        </w:tc>
        <w:tc>
          <w:tcPr>
            <w:tcW w:w="739" w:type="dxa"/>
            <w:noWrap w:val="0"/>
            <w:vAlign w:val="center"/>
          </w:tcPr>
          <w:p w14:paraId="06EEE4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4E41C7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6D9828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695A72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37A9BB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534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D7F6C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1472CD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16米钢丝编织橡胶护套连接器</w:t>
            </w:r>
          </w:p>
        </w:tc>
        <w:tc>
          <w:tcPr>
            <w:tcW w:w="4760" w:type="dxa"/>
            <w:noWrap w:val="0"/>
            <w:vAlign w:val="center"/>
          </w:tcPr>
          <w:p w14:paraId="253926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7A5743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891" w:type="dxa"/>
            <w:noWrap w:val="0"/>
            <w:vAlign w:val="center"/>
          </w:tcPr>
          <w:p w14:paraId="4FD76C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54F656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4FE5DB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0E8DAC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D4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777EC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6A351D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30米钢丝编织橡胶护套连接器</w:t>
            </w:r>
          </w:p>
        </w:tc>
        <w:tc>
          <w:tcPr>
            <w:tcW w:w="4760" w:type="dxa"/>
            <w:noWrap w:val="0"/>
            <w:vAlign w:val="center"/>
          </w:tcPr>
          <w:p w14:paraId="56531A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35307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3E4AD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27E788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7EF2F0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0BB7371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C30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BE38A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26DFEE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4597F3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28F46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2DE66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6CD4CB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32C13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AF70C3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197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032FE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243B0B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1D06E01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3CA923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A5CAE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0EF50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F14AA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8406D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81A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89077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42D9D5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2F0A5E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358DD1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9535D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94FDC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E57E7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652B8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619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ED507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1B0EFD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4A1DAE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5C6BCB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891" w:type="dxa"/>
            <w:noWrap w:val="0"/>
            <w:vAlign w:val="center"/>
          </w:tcPr>
          <w:p w14:paraId="1D1FBE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3291E6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ABDD1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D3DFC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AC0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53828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0A0A69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0024FF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60FCFF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891" w:type="dxa"/>
            <w:noWrap w:val="0"/>
            <w:vAlign w:val="center"/>
          </w:tcPr>
          <w:p w14:paraId="771E22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5382FF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8B05A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92B00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DD0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FCAED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2E803C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75EAC4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657275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04BEBF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159683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D2A61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0AC01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F0E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2D29E205">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5-2顺槽皮带集控保护明细</w:t>
            </w:r>
          </w:p>
        </w:tc>
      </w:tr>
      <w:tr w14:paraId="5C6D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69D2C0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796B93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09A2EB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24CC81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2F3BDF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1F3358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56C188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3DFD78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A08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C5EB9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3E747C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6E6063B2">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5F84DD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96A40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3D630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245E5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44D3A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E54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1503A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318337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7451DA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1DCEA0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C17CC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30431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976E6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B6D68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E68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3E8F7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2DDD9B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168005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11C406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91" w:type="dxa"/>
            <w:noWrap w:val="0"/>
            <w:vAlign w:val="center"/>
          </w:tcPr>
          <w:p w14:paraId="37DFDA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E9519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F4155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9EEF8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C59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ACF63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11DF4D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50622A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1001E9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891" w:type="dxa"/>
            <w:noWrap w:val="0"/>
            <w:vAlign w:val="center"/>
          </w:tcPr>
          <w:p w14:paraId="1410B5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40D7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82042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7AE77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B3D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E39AF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45BA7A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4E7B01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11FFD8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F58A5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7968F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90066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7581D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6EB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99B97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713491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473C3B2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12CFE6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A5BC8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4AB0D6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2E61D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CE28F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4B4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B92FC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2CEEC4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80米钢丝编织橡胶护套连接器</w:t>
            </w:r>
          </w:p>
        </w:tc>
        <w:tc>
          <w:tcPr>
            <w:tcW w:w="4760" w:type="dxa"/>
            <w:noWrap w:val="0"/>
            <w:vAlign w:val="center"/>
          </w:tcPr>
          <w:p w14:paraId="56E8741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246EEF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DD884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16A24E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79CE5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7A697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20E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076BA4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67B5F0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7FD9388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2594BB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891" w:type="dxa"/>
            <w:noWrap w:val="0"/>
            <w:vAlign w:val="center"/>
          </w:tcPr>
          <w:p w14:paraId="2D4D7B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6FE549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B5441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4A33A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4A9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F2F38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3FEEE8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03AB39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742C8F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11A5D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F956D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582CA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97253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A25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B4DDF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0AEC22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38FB4F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1C6B8D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7896F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8770A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DC33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9307A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B18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E4803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53147C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49FFEE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212FD1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F05CD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4A970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07C13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E731E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DA6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E562C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2E08AA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5C3AD3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63D04D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276F0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F85B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6FEC0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552CB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6D3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8F00C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01A335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199A7E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7FEB1E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5CED1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239BF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57E65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1C71A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35B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A6ECA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72AEEF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457F9C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1D9744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14FB5C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5F28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709F2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7E1AC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0CA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2DB9E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446A0C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3F0C78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1F5C35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48CB8C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388B7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E628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FD9F8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0CB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CDA16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44C100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3C274D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599C25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F692E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4E879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BE7BD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8F2F4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A0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CDE86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217EE2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059830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30A70F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9CCC3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A69B1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0BC95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BD209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8FD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0969A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60239A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7542DC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1D9FD9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9BD12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4F058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6F6D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B831D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C0E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801D2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36FF60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4CF52F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64A03A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7302B9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111BF0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5907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4DA7E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4CA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C846B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409CF0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7DDD8D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73E062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891" w:type="dxa"/>
            <w:noWrap w:val="0"/>
            <w:vAlign w:val="center"/>
          </w:tcPr>
          <w:p w14:paraId="17D5FC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54710C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4720B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1A0F0A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56B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7AAE9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738CE8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55324B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1E4613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1300</w:t>
            </w:r>
          </w:p>
        </w:tc>
        <w:tc>
          <w:tcPr>
            <w:tcW w:w="891" w:type="dxa"/>
            <w:noWrap w:val="0"/>
            <w:vAlign w:val="center"/>
          </w:tcPr>
          <w:p w14:paraId="748850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79FAE2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7A3F81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680703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01C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A2D0D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4CA9FA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039E22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0FCCC2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891" w:type="dxa"/>
            <w:noWrap w:val="0"/>
            <w:vAlign w:val="center"/>
          </w:tcPr>
          <w:p w14:paraId="6236DB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2A1624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56322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FC7AA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27C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ign w:val="center"/>
          </w:tcPr>
          <w:p w14:paraId="327E6A6B">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5-2大巷集控保护明细</w:t>
            </w:r>
          </w:p>
        </w:tc>
      </w:tr>
      <w:tr w14:paraId="033C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0CABF6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51F02B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60F972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3BFE9E5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56221A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4F1B27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5E292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1CA00E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199E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5C10C2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00D24B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0ABFC5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05D45C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528C9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915F1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CABB5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811D2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8BA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68B55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064E1F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7BC4CC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1BD7D6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45B72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30397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EE170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E350D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41B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C28B2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02B7F6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4F88E9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0B01C2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53F70E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DA666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97572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FF247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5FA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21FE2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47744A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4632B5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12C6E7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605A7B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731EE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3BF23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E94B3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C2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06719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4A0F0F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532DA9E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081452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EBFD1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57C5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C4CEC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AEB13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E78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4138B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34DDB4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33543A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A4680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0FBBDD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055E25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7CC71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42F88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31E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BF145A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223D88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25米钢丝编织橡胶护套连接器</w:t>
            </w:r>
          </w:p>
        </w:tc>
        <w:tc>
          <w:tcPr>
            <w:tcW w:w="4760" w:type="dxa"/>
            <w:noWrap w:val="0"/>
            <w:vAlign w:val="center"/>
          </w:tcPr>
          <w:p w14:paraId="6CAB2A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5225C5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1DFEE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59D821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3FA35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2A1DD3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F8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4A45F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1A7F17A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544510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B091D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4A0C1E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71F70F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B2E37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3F2FB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422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63CCA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0DA59D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3EB143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0CE709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4BC50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84C9A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763D2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09980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8B3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BE0FD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1343F5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582D6A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4034D0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81624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2A309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1201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78F2B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695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FECCD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1F6532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6CF57B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7FBF564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144B0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9B5D2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CEDD3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F7DFD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339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F6684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059CE4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7AB078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2E6BF1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9167B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128D20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42E86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CFEFE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1F6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C74C3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70775CE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746727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447EFF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5DA59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8BD2A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0E72D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6B69E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97C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C82B3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66EF83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58513B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1BF9927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00D69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EAA9A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0F0F4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2C60E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BE5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B32E7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57A5E0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5AB218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725438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74EED5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CAAA8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F481C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80460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23D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91C31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15DC36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0B8A5C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5CD1155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0DE17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80565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F8340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BAE4A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AA3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BEC11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1B470E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5FF942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6DF8D2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9AFFF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E9CB9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67A42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FBC2D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24A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C7B39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3A6806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02FD1C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0E559F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F2CE1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0A891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23C36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DFBFC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0B2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FA975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113748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16B08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65E459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2DA92C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E959D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89664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02C26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6EB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B23F0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36AC2E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322051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0F0EFB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277C8C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02D6A6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A6A0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29F92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828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D0864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2ECEEE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3C361D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28E534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91" w:type="dxa"/>
            <w:noWrap w:val="0"/>
            <w:vAlign w:val="center"/>
          </w:tcPr>
          <w:p w14:paraId="20FB0C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7FB1C5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84D8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3A5FB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832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1B85E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07C46E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31A0B9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728624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400</w:t>
            </w:r>
          </w:p>
        </w:tc>
        <w:tc>
          <w:tcPr>
            <w:tcW w:w="891" w:type="dxa"/>
            <w:noWrap w:val="0"/>
            <w:vAlign w:val="center"/>
          </w:tcPr>
          <w:p w14:paraId="0D34FF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173A67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12E946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1819CA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C59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568F9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3486" w:type="dxa"/>
            <w:noWrap w:val="0"/>
            <w:vAlign w:val="center"/>
          </w:tcPr>
          <w:p w14:paraId="7F2E78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4C00EE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2AEEF5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4EB342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096ED7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F2FBE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EAC7A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A5B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ign w:val="center"/>
          </w:tcPr>
          <w:p w14:paraId="207E59D2">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3-1工作面集控保护明细</w:t>
            </w:r>
          </w:p>
        </w:tc>
      </w:tr>
      <w:tr w14:paraId="6160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42DD00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3AC931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0608E0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3B6645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630027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3A165C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6F9960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608DE2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20E3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76239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538B84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矿用本质安全型主控制器</w:t>
            </w:r>
          </w:p>
        </w:tc>
        <w:tc>
          <w:tcPr>
            <w:tcW w:w="4760" w:type="dxa"/>
            <w:noWrap w:val="0"/>
            <w:vAlign w:val="center"/>
          </w:tcPr>
          <w:p w14:paraId="68582F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1）嵌入计算机逻辑控制；2）10.4寸彩色液晶汉字、人机操作、动画、图形状态显示；3）扩音通话；4）按钮闭锁；5）工作电流A18V/140mA；A12V/600mA，单沿线最多接64台闭锁；6）内置双CS模块，配接双沿线；</w:t>
            </w:r>
          </w:p>
        </w:tc>
        <w:tc>
          <w:tcPr>
            <w:tcW w:w="739" w:type="dxa"/>
            <w:noWrap w:val="0"/>
            <w:vAlign w:val="center"/>
          </w:tcPr>
          <w:p w14:paraId="3BBF27F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80FBD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C5AF1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18086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79269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24D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E0897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151F6C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矿用隔爆兼本质安全型电源</w:t>
            </w:r>
          </w:p>
        </w:tc>
        <w:tc>
          <w:tcPr>
            <w:tcW w:w="4760" w:type="dxa"/>
            <w:noWrap w:val="0"/>
            <w:vAlign w:val="center"/>
          </w:tcPr>
          <w:p w14:paraId="05D4B2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1）多路独立本安电源输出：双DC18V；双DC12V；双DC6V；2）功率127V/160VA；3）标配(140-180变压器)；</w:t>
            </w:r>
          </w:p>
        </w:tc>
        <w:tc>
          <w:tcPr>
            <w:tcW w:w="739" w:type="dxa"/>
            <w:noWrap w:val="0"/>
            <w:vAlign w:val="center"/>
          </w:tcPr>
          <w:p w14:paraId="7632C0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1DE15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A45BB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83F6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9C0B2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3E8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4DA96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677358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5510B5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0D0EEF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F9617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C1CDC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DBF5F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D6C71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97D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EEAAC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2226FF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78C690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rPr>
              <w:t>1）扩音通话；2）按钮闭锁及显示；3）两端快速连接不锈钢插座；4）工作电流26mA；</w:t>
            </w:r>
          </w:p>
        </w:tc>
        <w:tc>
          <w:tcPr>
            <w:tcW w:w="739" w:type="dxa"/>
            <w:noWrap w:val="0"/>
            <w:vAlign w:val="center"/>
          </w:tcPr>
          <w:p w14:paraId="7C7632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891" w:type="dxa"/>
            <w:noWrap w:val="0"/>
            <w:vAlign w:val="center"/>
          </w:tcPr>
          <w:p w14:paraId="422033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0E9CF4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01B68C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57CC1C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B16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F07CA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0BE3CD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4AAEC0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rPr>
              <w:t>1）扩音通话；2）按钮闭锁及显示；3）远程预警启/停及显示；4）单独锁定及显示；5）两端快速连接不锈钢插座；6）工作电流55mA；</w:t>
            </w:r>
          </w:p>
        </w:tc>
        <w:tc>
          <w:tcPr>
            <w:tcW w:w="739" w:type="dxa"/>
            <w:noWrap w:val="0"/>
            <w:vAlign w:val="center"/>
          </w:tcPr>
          <w:p w14:paraId="451244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15A67B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7CF400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621F62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08AC71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AF8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4F939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5C4A4D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16米钢丝编织橡胶护套连接器</w:t>
            </w:r>
          </w:p>
        </w:tc>
        <w:tc>
          <w:tcPr>
            <w:tcW w:w="4760" w:type="dxa"/>
            <w:noWrap w:val="0"/>
            <w:vAlign w:val="center"/>
          </w:tcPr>
          <w:p w14:paraId="530228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10BA7D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891" w:type="dxa"/>
            <w:noWrap w:val="0"/>
            <w:vAlign w:val="center"/>
          </w:tcPr>
          <w:p w14:paraId="7047D8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7F6BA9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60FAA2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01FA8E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42E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D2C85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4AB4F7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30米钢丝编织橡胶护套连接器</w:t>
            </w:r>
          </w:p>
        </w:tc>
        <w:tc>
          <w:tcPr>
            <w:tcW w:w="4760" w:type="dxa"/>
            <w:noWrap w:val="0"/>
            <w:vAlign w:val="center"/>
          </w:tcPr>
          <w:p w14:paraId="67B8F9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075BE7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538214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2F559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7DA2F7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3CAAB2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409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79FBF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068DEC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3AC65D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3B2421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17F9B0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4339A1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79948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BFD04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C4B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10976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3CDD91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612C5E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6DC843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E8815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78C3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8A49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2406B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ED4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4F2FE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5A1578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4F25DB2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03B089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B4E45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A6C9A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9B995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567F5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128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E05C9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4F8287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390CB1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1CC362A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891" w:type="dxa"/>
            <w:noWrap w:val="0"/>
            <w:vAlign w:val="center"/>
          </w:tcPr>
          <w:p w14:paraId="2E200F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1F3BD7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4EB5D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38ACD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BA3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E1AE0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6E21D2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6C9CD7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55C037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891" w:type="dxa"/>
            <w:noWrap w:val="0"/>
            <w:vAlign w:val="center"/>
          </w:tcPr>
          <w:p w14:paraId="6ADF07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2AE65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20EC2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DC6517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C62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3900C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3CFB2A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5E7EBE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4838FCB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74D0B1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42B5E0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808C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128DB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54E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3FAB289B">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3-1顺槽皮带集控保护明细</w:t>
            </w:r>
          </w:p>
        </w:tc>
      </w:tr>
      <w:tr w14:paraId="595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915EB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0"/>
            <w:vAlign w:val="center"/>
          </w:tcPr>
          <w:p w14:paraId="798D85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0"/>
            <w:vAlign w:val="center"/>
          </w:tcPr>
          <w:p w14:paraId="0DFC07C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0"/>
            <w:vAlign w:val="center"/>
          </w:tcPr>
          <w:p w14:paraId="78178C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0"/>
            <w:vAlign w:val="center"/>
          </w:tcPr>
          <w:p w14:paraId="564ECBA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66D3D8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0A18EA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5EA6D0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D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6FB12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46730C3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6592B2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00EC2C2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7A2F8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334A4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DF72A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3E328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AB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2D5C3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044A72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6185C1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3F44AB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B52B2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073A7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43312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4ED10E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2D5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C38A5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69FE6D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1EC3FF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11B741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17E07C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BC0D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86696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E80F6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7F8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9AAB9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515D9E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7A076E1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2BFF7B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67276E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8E990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CF98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3754D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594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0EF0C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0D0B6C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2D8662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0F1631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386EA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9A0D3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1058A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D2641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19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224B8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2217B0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5A3E1C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F0F53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EF02E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305EB9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CCD2C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942787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3C1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F3BD2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63863D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25米钢丝编织橡胶护套连接器</w:t>
            </w:r>
          </w:p>
        </w:tc>
        <w:tc>
          <w:tcPr>
            <w:tcW w:w="4760" w:type="dxa"/>
            <w:noWrap w:val="0"/>
            <w:vAlign w:val="center"/>
          </w:tcPr>
          <w:p w14:paraId="4D39D3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0D84855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87731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02028F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68CE6F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4FA534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B9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481A0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3CCFAA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271525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5A9BC4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891" w:type="dxa"/>
            <w:noWrap w:val="0"/>
            <w:vAlign w:val="center"/>
          </w:tcPr>
          <w:p w14:paraId="5D6BB7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2047D1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30D8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F63E42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4B7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3C5EEC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1863A0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0A4D5A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35DDA7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5E25F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AC48A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D3812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1557A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74C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9A05F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5B9564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5056A2B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13696D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EAC95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52DFC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180C5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451A8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4FBA49B">
        <w:tblPrEx>
          <w:tblCellMar>
            <w:top w:w="0" w:type="dxa"/>
            <w:left w:w="108" w:type="dxa"/>
            <w:bottom w:w="0" w:type="dxa"/>
            <w:right w:w="108" w:type="dxa"/>
          </w:tblCellMar>
        </w:tblPrEx>
        <w:trPr>
          <w:trHeight w:val="360" w:hRule="atLeast"/>
          <w:jc w:val="center"/>
        </w:trPr>
        <w:tc>
          <w:tcPr>
            <w:tcW w:w="889" w:type="dxa"/>
            <w:noWrap w:val="0"/>
            <w:vAlign w:val="center"/>
          </w:tcPr>
          <w:p w14:paraId="35F9AB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10B0CED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40A554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584C9FF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02493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557937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42F55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F3E39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93F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56F56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206D2B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614C40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264930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7B25E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7916B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F9C89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C0ABA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DFD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B8219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0D0424C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415EA3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2B24C6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9667C9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FEB15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11211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09FAA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97A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0263D4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22A6E03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4F74D4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4437A0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64F1C7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333FE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A98C9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7E108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B80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11EB2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419818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43136A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3CEBA8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7CB6ED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3902E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CBE30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41CB6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92B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238EA6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47142F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3FC042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6352C58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6CA12F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CE316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86DE8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39E2ED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F97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E89F7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6E4E40F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18C69C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0DF7B2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6587D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8427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2C6D1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7837F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18B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0A668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53D74B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6B03B9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4493C3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30129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CBB51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9134D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36018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80C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1AC64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429011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165E99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014BAB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2EB2D7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33362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F659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4E8CE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27C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5F7D3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1D601A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025E3A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299CC62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w:t>
            </w:r>
          </w:p>
        </w:tc>
        <w:tc>
          <w:tcPr>
            <w:tcW w:w="891" w:type="dxa"/>
            <w:noWrap w:val="0"/>
            <w:vAlign w:val="center"/>
          </w:tcPr>
          <w:p w14:paraId="1376D7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766EA4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02389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50EC5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581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DF1CC6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7BA9EA7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41E8A5B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0CA515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800</w:t>
            </w:r>
          </w:p>
        </w:tc>
        <w:tc>
          <w:tcPr>
            <w:tcW w:w="891" w:type="dxa"/>
            <w:noWrap w:val="0"/>
            <w:vAlign w:val="center"/>
          </w:tcPr>
          <w:p w14:paraId="0E8C09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7AFDEE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06EBB0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677560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9B7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17755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641B8D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04157F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35A573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891" w:type="dxa"/>
            <w:noWrap w:val="0"/>
            <w:vAlign w:val="center"/>
          </w:tcPr>
          <w:p w14:paraId="608DA6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749380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D367B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651A2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B5B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05499F37">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3-1西翼大巷皮带集控保护明细</w:t>
            </w:r>
          </w:p>
        </w:tc>
      </w:tr>
      <w:tr w14:paraId="10E9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780CA4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7EDB32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28EC63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40C22C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725506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2AB96B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0C31F4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4759E7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EA2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21CD1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51A6A9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68E068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689EE4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076BA8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EAA8E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41FC1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FBD50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9AB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A6C512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3BB943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2C3EED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6B04EC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0C0EA5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020FF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2483A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C4E5E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561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285A5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0A092F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55853A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33096A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91" w:type="dxa"/>
            <w:noWrap w:val="0"/>
            <w:vAlign w:val="center"/>
          </w:tcPr>
          <w:p w14:paraId="7F4BF2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F27D1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50F24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01346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E41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4D569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774E22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587E01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67C096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91" w:type="dxa"/>
            <w:noWrap w:val="0"/>
            <w:vAlign w:val="center"/>
          </w:tcPr>
          <w:p w14:paraId="56A6BCC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C530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456C9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14F2E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E66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25361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246501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460DFE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507989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FA936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A96AE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0F694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F0A2E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876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3F811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40182F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4C5EF6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6D1B1B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65C9E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67D4DB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9CCBC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1D2C2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A84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6BA71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6C0BC2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90米钢丝编织橡胶护套连接器</w:t>
            </w:r>
          </w:p>
        </w:tc>
        <w:tc>
          <w:tcPr>
            <w:tcW w:w="4760" w:type="dxa"/>
            <w:noWrap w:val="0"/>
            <w:vAlign w:val="center"/>
          </w:tcPr>
          <w:p w14:paraId="4FC7C4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4E0F14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44EE8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451A0C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43D1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E3EF00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EAA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65E67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74DD6C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5EBD7F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01AEB91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891" w:type="dxa"/>
            <w:noWrap w:val="0"/>
            <w:vAlign w:val="center"/>
          </w:tcPr>
          <w:p w14:paraId="78B2B2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289F3F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1B71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09E28A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988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0A5CC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119F6C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35002DB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0E40A8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655F7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1F8FB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83A13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08B82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750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AA785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4FA977E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145DE9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4C3DA7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289FE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5D693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19730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85612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DAD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EE9F2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42CD21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7F86D3E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4C0FFA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3B0662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666B9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166A4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B67C9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866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9928C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55121F1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66545F2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47A04F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60CBC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5A83BD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40911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C0CC0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1C1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9A44E4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5278E6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14930A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6845393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8121F3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1CE67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55FB8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2B980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580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C4B03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2053AFE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453ED0D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4555DD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E7D0B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E4D4F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92C03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6E562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FF5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8A5B8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48DB52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33064C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646B44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0B5EB96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C3694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2FDE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51C6B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2D10450">
        <w:tblPrEx>
          <w:tblCellMar>
            <w:top w:w="0" w:type="dxa"/>
            <w:left w:w="108" w:type="dxa"/>
            <w:bottom w:w="0" w:type="dxa"/>
            <w:right w:w="108" w:type="dxa"/>
          </w:tblCellMar>
        </w:tblPrEx>
        <w:trPr>
          <w:trHeight w:val="360" w:hRule="atLeast"/>
          <w:jc w:val="center"/>
        </w:trPr>
        <w:tc>
          <w:tcPr>
            <w:tcW w:w="889" w:type="dxa"/>
            <w:noWrap w:val="0"/>
            <w:vAlign w:val="center"/>
          </w:tcPr>
          <w:p w14:paraId="45871A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1718D6E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41DA43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731532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3CB3AF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323CB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C550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AF234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363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71505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4535B6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6BD413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1BEC829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307408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22A09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0369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B1A888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34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7EDA4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67428D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24E7A7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4675CC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6E92D0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0DE36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47F91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87242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BB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BA5EE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6474F3E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446846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723F68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1A8B7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A047F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63796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523EC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9FA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FF7DF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22DF58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47F2E3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2BED1C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4B6C96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7EA85E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C32A0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CCCA23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9DA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37334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5902E0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15305A4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40DC58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91" w:type="dxa"/>
            <w:noWrap w:val="0"/>
            <w:vAlign w:val="center"/>
          </w:tcPr>
          <w:p w14:paraId="373820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18F3B5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F8071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A2553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DEF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0F801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3C677B6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218642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208F99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1100</w:t>
            </w:r>
          </w:p>
        </w:tc>
        <w:tc>
          <w:tcPr>
            <w:tcW w:w="891" w:type="dxa"/>
            <w:noWrap w:val="0"/>
            <w:vAlign w:val="center"/>
          </w:tcPr>
          <w:p w14:paraId="78B450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46D2DE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3AAD6D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33C65D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F6D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D1E2B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3486" w:type="dxa"/>
            <w:noWrap w:val="0"/>
            <w:vAlign w:val="center"/>
          </w:tcPr>
          <w:p w14:paraId="103079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7EE1FB5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44F5E40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891" w:type="dxa"/>
            <w:noWrap w:val="0"/>
            <w:vAlign w:val="center"/>
          </w:tcPr>
          <w:p w14:paraId="7358ED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6B19DD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FEB05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CF4FA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827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ign w:val="center"/>
          </w:tcPr>
          <w:p w14:paraId="31BE4613">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一水平2号皮带集控保护明细</w:t>
            </w:r>
          </w:p>
        </w:tc>
      </w:tr>
      <w:tr w14:paraId="5C0D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660A946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641C9BF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5E6F9E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5A2340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557AF2D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3AECDF6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61975C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5A7811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583B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FB066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3958A5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矿用本质安全型主控制器</w:t>
            </w:r>
          </w:p>
        </w:tc>
        <w:tc>
          <w:tcPr>
            <w:tcW w:w="4760" w:type="dxa"/>
            <w:noWrap w:val="0"/>
            <w:vAlign w:val="center"/>
          </w:tcPr>
          <w:p w14:paraId="61A07C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1）嵌入计算机逻辑控制；2）10.4寸彩色液晶汉字、人机操作、动画、图形状态显示；3）扩音通话；4）按钮闭锁；5）工作电流A18V/140mA；A12V/600mA，单沿线最多接64台闭锁；6）内置单CS模块，配接单沿线；</w:t>
            </w:r>
          </w:p>
        </w:tc>
        <w:tc>
          <w:tcPr>
            <w:tcW w:w="739" w:type="dxa"/>
            <w:noWrap w:val="0"/>
            <w:vAlign w:val="center"/>
          </w:tcPr>
          <w:p w14:paraId="3657E8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6B9D8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10E60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6E0C16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3572E2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120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5A364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5195C20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矿用隔爆兼本质安全型电源</w:t>
            </w:r>
          </w:p>
        </w:tc>
        <w:tc>
          <w:tcPr>
            <w:tcW w:w="4760" w:type="dxa"/>
            <w:noWrap w:val="0"/>
            <w:vAlign w:val="center"/>
          </w:tcPr>
          <w:p w14:paraId="30D021B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1）多路独立本安电源输出：单DC18V；双DC12V；双DC6V；2）功率127V/160VA；3）标配(140-180变压器)；</w:t>
            </w:r>
          </w:p>
        </w:tc>
        <w:tc>
          <w:tcPr>
            <w:tcW w:w="739" w:type="dxa"/>
            <w:noWrap w:val="0"/>
            <w:vAlign w:val="center"/>
          </w:tcPr>
          <w:p w14:paraId="1DF77F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F25A7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ign w:val="center"/>
          </w:tcPr>
          <w:p w14:paraId="42A2FA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77945D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45CE14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132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F5F74C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3B642DD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14184E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2FC072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91" w:type="dxa"/>
            <w:noWrap w:val="0"/>
            <w:vAlign w:val="center"/>
          </w:tcPr>
          <w:p w14:paraId="447860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22A02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79B67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E78B99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7C0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4BCF3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00A5C93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06D0D4F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332650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91" w:type="dxa"/>
            <w:noWrap w:val="0"/>
            <w:vAlign w:val="center"/>
          </w:tcPr>
          <w:p w14:paraId="4566EA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3FB1C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58E79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9AD32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48A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E2ECEF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0DDE46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18DA09E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640E69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81EF5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99A91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61796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8B934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EE1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67527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59D1534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80米钢丝编织橡胶护套连接器</w:t>
            </w:r>
          </w:p>
        </w:tc>
        <w:tc>
          <w:tcPr>
            <w:tcW w:w="4760" w:type="dxa"/>
            <w:noWrap w:val="0"/>
            <w:vAlign w:val="center"/>
          </w:tcPr>
          <w:p w14:paraId="5ECBE5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0B2DE6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EC6A2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1E5D7D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E5BAE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F3552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A74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3847A0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0D9861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57BE5B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566D5E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891" w:type="dxa"/>
            <w:noWrap w:val="0"/>
            <w:vAlign w:val="center"/>
          </w:tcPr>
          <w:p w14:paraId="0D5C6F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0F1397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C81910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0EF7D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72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8603E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249FE7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230291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722B84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0CA94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B47C7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15823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FBEC8B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867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92453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7ABAEC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72BF1D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2008CB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1AF0A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3705E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182BE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8706D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51A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9CFB6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7F100D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041777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63784AF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57C973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393BED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1B00C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EF2B9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390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96324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233E32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6AA10C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538D819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6C277E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07789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E2A0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C7E53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2A6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FF8EAB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1B9AB0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252923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1F52EF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33C40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402C2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DA865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4F018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4BC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4D0D39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6137C99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469DD2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7438B0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4CC2050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D1444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BD4F1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093F40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93F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357B8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2061DE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120DAA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519729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589C36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B3255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8AC39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51B2F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0CD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CC50F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793E40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2C0FD1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0A5DFE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D6EF5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89C1F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58888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9FA72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239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A3EF0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0AE50D1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1D339FA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417612F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B9F89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CB239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00A11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186C8C4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C9A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11A02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0A92B10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756033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27FF2E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42E96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7BFB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059EC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617A7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856C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42D7AC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1EF1E79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1968C1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23A3CD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46DBE2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2C058B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3406A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7C73E8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31F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A999B1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2CF969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158B099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52656DA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91" w:type="dxa"/>
            <w:noWrap w:val="0"/>
            <w:vAlign w:val="center"/>
          </w:tcPr>
          <w:p w14:paraId="69ED71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61C7A0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5A4A7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ED617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3CC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A6D64C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77D78BF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2D97C8E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45A9BB8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900</w:t>
            </w:r>
          </w:p>
        </w:tc>
        <w:tc>
          <w:tcPr>
            <w:tcW w:w="891" w:type="dxa"/>
            <w:noWrap w:val="0"/>
            <w:vAlign w:val="center"/>
          </w:tcPr>
          <w:p w14:paraId="45E1C35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270567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32F5ED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22E1E55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8B0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F1DFD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4A257C2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54116C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51F1838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891" w:type="dxa"/>
            <w:noWrap w:val="0"/>
            <w:vAlign w:val="center"/>
          </w:tcPr>
          <w:p w14:paraId="025107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689CD1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A6C82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584582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EF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820" w:type="dxa"/>
            <w:gridSpan w:val="8"/>
            <w:noWrap w:val="0"/>
            <w:vAlign w:val="center"/>
          </w:tcPr>
          <w:p w14:paraId="36847DA5">
            <w:pPr>
              <w:jc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一水平</w:t>
            </w:r>
            <w:r>
              <w:rPr>
                <w:rStyle w:val="47"/>
                <w:rFonts w:hint="eastAsia" w:ascii="宋体" w:hAnsi="宋体" w:eastAsia="宋体" w:cs="宋体"/>
                <w:b/>
                <w:bCs/>
                <w:sz w:val="21"/>
                <w:szCs w:val="21"/>
                <w:lang w:val="en-US" w:eastAsia="zh-CN" w:bidi="ar"/>
              </w:rPr>
              <w:t>1</w:t>
            </w:r>
            <w:r>
              <w:rPr>
                <w:rFonts w:hint="eastAsia" w:ascii="宋体" w:hAnsi="宋体" w:eastAsia="宋体" w:cs="宋体"/>
                <w:b/>
                <w:bCs/>
                <w:i w:val="0"/>
                <w:iCs w:val="0"/>
                <w:color w:val="000000"/>
                <w:kern w:val="0"/>
                <w:sz w:val="21"/>
                <w:szCs w:val="21"/>
                <w:u w:val="none"/>
                <w:lang w:val="en-US" w:eastAsia="zh-CN" w:bidi="ar"/>
              </w:rPr>
              <w:t>号皮带皮带集控保护明细</w:t>
            </w:r>
          </w:p>
        </w:tc>
      </w:tr>
      <w:tr w14:paraId="679AC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ign w:val="center"/>
          </w:tcPr>
          <w:p w14:paraId="4726E5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3486" w:type="dxa"/>
            <w:noWrap/>
            <w:vAlign w:val="center"/>
          </w:tcPr>
          <w:p w14:paraId="47D96A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4760" w:type="dxa"/>
            <w:noWrap/>
            <w:vAlign w:val="center"/>
          </w:tcPr>
          <w:p w14:paraId="34A253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型号</w:t>
            </w:r>
          </w:p>
        </w:tc>
        <w:tc>
          <w:tcPr>
            <w:tcW w:w="739" w:type="dxa"/>
            <w:noWrap/>
            <w:vAlign w:val="center"/>
          </w:tcPr>
          <w:p w14:paraId="7F07A14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91" w:type="dxa"/>
            <w:noWrap/>
            <w:vAlign w:val="center"/>
          </w:tcPr>
          <w:p w14:paraId="4D7261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000" w:type="dxa"/>
            <w:noWrap w:val="0"/>
            <w:vAlign w:val="center"/>
          </w:tcPr>
          <w:p w14:paraId="7FBFE30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单价</w:t>
            </w:r>
          </w:p>
        </w:tc>
        <w:tc>
          <w:tcPr>
            <w:tcW w:w="1076" w:type="dxa"/>
            <w:noWrap w:val="0"/>
            <w:vAlign w:val="center"/>
          </w:tcPr>
          <w:p w14:paraId="537167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总价</w:t>
            </w:r>
          </w:p>
        </w:tc>
        <w:tc>
          <w:tcPr>
            <w:tcW w:w="1979" w:type="dxa"/>
            <w:noWrap w:val="0"/>
            <w:vAlign w:val="center"/>
          </w:tcPr>
          <w:p w14:paraId="322870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2DF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8438E6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486" w:type="dxa"/>
            <w:noWrap w:val="0"/>
            <w:vAlign w:val="center"/>
          </w:tcPr>
          <w:p w14:paraId="0F8DF4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矿用本质安全型输入输出</w:t>
            </w:r>
          </w:p>
        </w:tc>
        <w:tc>
          <w:tcPr>
            <w:tcW w:w="4760" w:type="dxa"/>
            <w:noWrap w:val="0"/>
            <w:vAlign w:val="center"/>
          </w:tcPr>
          <w:p w14:paraId="22E5C9B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1）具有本安八路输入和八路输出； 2）两端快速连接不锈钢插座；3）工作电流51mA；</w:t>
            </w:r>
          </w:p>
        </w:tc>
        <w:tc>
          <w:tcPr>
            <w:tcW w:w="739" w:type="dxa"/>
            <w:noWrap w:val="0"/>
            <w:vAlign w:val="center"/>
          </w:tcPr>
          <w:p w14:paraId="240843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C8241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49809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8A43F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FDEF15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3E8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B21B09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3486" w:type="dxa"/>
            <w:noWrap w:val="0"/>
            <w:vAlign w:val="center"/>
          </w:tcPr>
          <w:p w14:paraId="44D389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6ABF5B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1）配合智能输入输出的远程启/停自锁旋钮开关及显示；2）本安出线喇叭嘴；3）工作电流4mA；</w:t>
            </w:r>
          </w:p>
        </w:tc>
        <w:tc>
          <w:tcPr>
            <w:tcW w:w="739" w:type="dxa"/>
            <w:noWrap w:val="0"/>
            <w:vAlign w:val="center"/>
          </w:tcPr>
          <w:p w14:paraId="75505C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2B84C4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FCA04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E8F96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6BDA0D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D56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67FA4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3486" w:type="dxa"/>
            <w:noWrap w:val="0"/>
            <w:vAlign w:val="center"/>
          </w:tcPr>
          <w:p w14:paraId="1D69964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矿用本质安全型急停闭锁开关</w:t>
            </w:r>
          </w:p>
        </w:tc>
        <w:tc>
          <w:tcPr>
            <w:tcW w:w="4760" w:type="dxa"/>
            <w:noWrap w:val="0"/>
            <w:vAlign w:val="center"/>
          </w:tcPr>
          <w:p w14:paraId="733FC4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1）拉电缆和按钮闭锁有位置显示；2）两端快速连接不锈钢插座；3）工作电流6mA；</w:t>
            </w:r>
          </w:p>
        </w:tc>
        <w:tc>
          <w:tcPr>
            <w:tcW w:w="739" w:type="dxa"/>
            <w:noWrap w:val="0"/>
            <w:vAlign w:val="center"/>
          </w:tcPr>
          <w:p w14:paraId="1C43BAC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891" w:type="dxa"/>
            <w:noWrap w:val="0"/>
            <w:vAlign w:val="center"/>
          </w:tcPr>
          <w:p w14:paraId="59949E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287D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483BC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0FE0BA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E28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C55AD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486" w:type="dxa"/>
            <w:noWrap w:val="0"/>
            <w:vAlign w:val="center"/>
          </w:tcPr>
          <w:p w14:paraId="66B8FAF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0D34013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1）扩音通话；2）拉线和按钮闭锁及显示；3）两端快速连接不锈钢插座；4）工作电流26mA；</w:t>
            </w:r>
          </w:p>
        </w:tc>
        <w:tc>
          <w:tcPr>
            <w:tcW w:w="739" w:type="dxa"/>
            <w:noWrap w:val="0"/>
            <w:vAlign w:val="center"/>
          </w:tcPr>
          <w:p w14:paraId="43C8C8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891" w:type="dxa"/>
            <w:noWrap w:val="0"/>
            <w:vAlign w:val="center"/>
          </w:tcPr>
          <w:p w14:paraId="5A8F0B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AABFE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7DDE7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6B55FB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4F03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27AF37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3486" w:type="dxa"/>
            <w:noWrap w:val="0"/>
            <w:vAlign w:val="center"/>
          </w:tcPr>
          <w:p w14:paraId="13D4B1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矿用本质安全型组合扩音电话</w:t>
            </w:r>
          </w:p>
        </w:tc>
        <w:tc>
          <w:tcPr>
            <w:tcW w:w="4760" w:type="dxa"/>
            <w:noWrap w:val="0"/>
            <w:vAlign w:val="center"/>
          </w:tcPr>
          <w:p w14:paraId="57838B0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1）扩音通话；2）拉线、按钮闭锁；3）两路输出/四路输入；4）两端快速不锈钢插座；5）四个出线喇叭嘴；6）工作电流43mA；</w:t>
            </w:r>
          </w:p>
        </w:tc>
        <w:tc>
          <w:tcPr>
            <w:tcW w:w="739" w:type="dxa"/>
            <w:noWrap w:val="0"/>
            <w:vAlign w:val="center"/>
          </w:tcPr>
          <w:p w14:paraId="047025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34FA16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2F42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C460D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53079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54A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2E3B5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3486" w:type="dxa"/>
            <w:noWrap w:val="0"/>
            <w:vAlign w:val="center"/>
          </w:tcPr>
          <w:p w14:paraId="0ED90D3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5米钢丝编织橡胶护套连接器</w:t>
            </w:r>
          </w:p>
        </w:tc>
        <w:tc>
          <w:tcPr>
            <w:tcW w:w="4760" w:type="dxa"/>
            <w:noWrap w:val="0"/>
            <w:vAlign w:val="center"/>
          </w:tcPr>
          <w:p w14:paraId="6E68F6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187D3D4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693358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4C131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D3990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623AA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3B74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7C307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3486" w:type="dxa"/>
            <w:noWrap w:val="0"/>
            <w:vAlign w:val="center"/>
          </w:tcPr>
          <w:p w14:paraId="5209C0D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25米钢丝编织橡胶护套连接器</w:t>
            </w:r>
          </w:p>
        </w:tc>
        <w:tc>
          <w:tcPr>
            <w:tcW w:w="4760" w:type="dxa"/>
            <w:noWrap w:val="0"/>
            <w:vAlign w:val="center"/>
          </w:tcPr>
          <w:p w14:paraId="6953E77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1）使用MHYBV-7-1矿用专用通信拉力屏蔽电缆。2）两端带有专用不锈钢快速插头（IP67）</w:t>
            </w:r>
          </w:p>
        </w:tc>
        <w:tc>
          <w:tcPr>
            <w:tcW w:w="739" w:type="dxa"/>
            <w:noWrap w:val="0"/>
            <w:vAlign w:val="center"/>
          </w:tcPr>
          <w:p w14:paraId="40F9FF2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1241F10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ign w:val="center"/>
          </w:tcPr>
          <w:p w14:paraId="28734D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580E3C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0ED17C8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756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0A3606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3486" w:type="dxa"/>
            <w:noWrap w:val="0"/>
            <w:vAlign w:val="center"/>
          </w:tcPr>
          <w:p w14:paraId="3C068D3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60米钢丝编织橡胶护套连接器</w:t>
            </w:r>
          </w:p>
        </w:tc>
        <w:tc>
          <w:tcPr>
            <w:tcW w:w="4760" w:type="dxa"/>
            <w:noWrap w:val="0"/>
            <w:vAlign w:val="center"/>
          </w:tcPr>
          <w:p w14:paraId="68228A8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346E0EB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ECDF4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79D090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90E67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5213866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E25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71C84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3486" w:type="dxa"/>
            <w:noWrap w:val="0"/>
            <w:vAlign w:val="center"/>
          </w:tcPr>
          <w:p w14:paraId="5B6DA9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100米钢丝编织橡胶护套连接器</w:t>
            </w:r>
          </w:p>
        </w:tc>
        <w:tc>
          <w:tcPr>
            <w:tcW w:w="4760" w:type="dxa"/>
            <w:noWrap w:val="0"/>
            <w:vAlign w:val="center"/>
          </w:tcPr>
          <w:p w14:paraId="2EC294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1）使用LCVB-7-1矿用专用通信拉力屏蔽电缆。2）两端带有专用不锈钢快速插头（IP67）</w:t>
            </w:r>
          </w:p>
        </w:tc>
        <w:tc>
          <w:tcPr>
            <w:tcW w:w="739" w:type="dxa"/>
            <w:noWrap w:val="0"/>
            <w:vAlign w:val="center"/>
          </w:tcPr>
          <w:p w14:paraId="29734A1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891" w:type="dxa"/>
            <w:noWrap w:val="0"/>
            <w:vAlign w:val="center"/>
          </w:tcPr>
          <w:p w14:paraId="3A9674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1000" w:type="dxa"/>
            <w:noWrap w:val="0"/>
            <w:vAlign w:val="center"/>
          </w:tcPr>
          <w:p w14:paraId="000458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2907C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AA37D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156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FB22F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3486" w:type="dxa"/>
            <w:noWrap w:val="0"/>
            <w:vAlign w:val="center"/>
          </w:tcPr>
          <w:p w14:paraId="57302AE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矿用本质安全型多功能终端</w:t>
            </w:r>
          </w:p>
        </w:tc>
        <w:tc>
          <w:tcPr>
            <w:tcW w:w="4760" w:type="dxa"/>
            <w:noWrap w:val="0"/>
            <w:vAlign w:val="center"/>
          </w:tcPr>
          <w:p w14:paraId="6590DF8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1）用于控制沿线末端的数据监测及发送有位置显示； 2）一端快速不锈钢插头；3）工作电流30mA；</w:t>
            </w:r>
          </w:p>
        </w:tc>
        <w:tc>
          <w:tcPr>
            <w:tcW w:w="739" w:type="dxa"/>
            <w:noWrap w:val="0"/>
            <w:vAlign w:val="center"/>
          </w:tcPr>
          <w:p w14:paraId="0767A12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F7186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7E61FC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FEE12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2146BE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A6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38B34C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3486" w:type="dxa"/>
            <w:noWrap w:val="0"/>
            <w:vAlign w:val="center"/>
          </w:tcPr>
          <w:p w14:paraId="2D5919C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矿用隔爆兼本质安全型远程控制箱</w:t>
            </w:r>
          </w:p>
        </w:tc>
        <w:tc>
          <w:tcPr>
            <w:tcW w:w="4760" w:type="dxa"/>
            <w:noWrap w:val="0"/>
            <w:vAlign w:val="center"/>
          </w:tcPr>
          <w:p w14:paraId="4B05E30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1） AC127V输入；2） 本安18V输出；3） 四路本安/隔爆转换隔离；4）带有八个喇叭嘴；</w:t>
            </w:r>
          </w:p>
        </w:tc>
        <w:tc>
          <w:tcPr>
            <w:tcW w:w="739" w:type="dxa"/>
            <w:noWrap w:val="0"/>
            <w:vAlign w:val="center"/>
          </w:tcPr>
          <w:p w14:paraId="28CE904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01FCB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5138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39981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38A694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C32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EB02B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3486" w:type="dxa"/>
            <w:noWrap w:val="0"/>
            <w:vAlign w:val="center"/>
          </w:tcPr>
          <w:p w14:paraId="5BB2C87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张力传感器</w:t>
            </w:r>
          </w:p>
        </w:tc>
        <w:tc>
          <w:tcPr>
            <w:tcW w:w="4760" w:type="dxa"/>
            <w:noWrap w:val="0"/>
            <w:vAlign w:val="center"/>
          </w:tcPr>
          <w:p w14:paraId="7F6AC08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1）供电电源：DC12~DC24，2）输出信号：DC4~20mA,3)测量范围：0~20T</w:t>
            </w:r>
          </w:p>
        </w:tc>
        <w:tc>
          <w:tcPr>
            <w:tcW w:w="739" w:type="dxa"/>
            <w:noWrap w:val="0"/>
            <w:vAlign w:val="center"/>
          </w:tcPr>
          <w:p w14:paraId="77D5F9A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741DF02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367413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6132E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45C50B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0E2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7B32DC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3486" w:type="dxa"/>
            <w:noWrap w:val="0"/>
            <w:vAlign w:val="center"/>
          </w:tcPr>
          <w:p w14:paraId="71C5CFA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V-I/F转换器</w:t>
            </w:r>
          </w:p>
        </w:tc>
        <w:tc>
          <w:tcPr>
            <w:tcW w:w="4760" w:type="dxa"/>
            <w:noWrap w:val="0"/>
            <w:vAlign w:val="center"/>
          </w:tcPr>
          <w:p w14:paraId="79EBEE1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将1～5V和4～20mA转换为200～1000Hz频率量，不带隔离。</w:t>
            </w:r>
          </w:p>
        </w:tc>
        <w:tc>
          <w:tcPr>
            <w:tcW w:w="739" w:type="dxa"/>
            <w:noWrap w:val="0"/>
            <w:vAlign w:val="center"/>
          </w:tcPr>
          <w:p w14:paraId="074DEB1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6473CD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5B7578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27A2A1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546A6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18D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49AE77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3486" w:type="dxa"/>
            <w:noWrap w:val="0"/>
            <w:vAlign w:val="center"/>
          </w:tcPr>
          <w:p w14:paraId="7BE4C25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矿用本质安全型速度传感器</w:t>
            </w:r>
          </w:p>
        </w:tc>
        <w:tc>
          <w:tcPr>
            <w:tcW w:w="4760" w:type="dxa"/>
            <w:noWrap w:val="0"/>
            <w:vAlign w:val="center"/>
          </w:tcPr>
          <w:p w14:paraId="3A87F3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2）工作电流≤40mA；3）输出为200～1000Hz；4)检测范围0-6米/秒</w:t>
            </w:r>
          </w:p>
        </w:tc>
        <w:tc>
          <w:tcPr>
            <w:tcW w:w="739" w:type="dxa"/>
            <w:noWrap w:val="0"/>
            <w:vAlign w:val="center"/>
          </w:tcPr>
          <w:p w14:paraId="1D5A922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4E50952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617856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5F806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066AF4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407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35D463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3486" w:type="dxa"/>
            <w:noWrap w:val="0"/>
            <w:vAlign w:val="center"/>
          </w:tcPr>
          <w:p w14:paraId="1ACCD26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矿用本质安全型堆煤传感器</w:t>
            </w:r>
          </w:p>
        </w:tc>
        <w:tc>
          <w:tcPr>
            <w:tcW w:w="4760" w:type="dxa"/>
            <w:noWrap w:val="0"/>
            <w:vAlign w:val="center"/>
          </w:tcPr>
          <w:p w14:paraId="43F0A35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 3）输出为无源开关量。传感器动作时闭合</w:t>
            </w:r>
          </w:p>
        </w:tc>
        <w:tc>
          <w:tcPr>
            <w:tcW w:w="739" w:type="dxa"/>
            <w:noWrap w:val="0"/>
            <w:vAlign w:val="center"/>
          </w:tcPr>
          <w:p w14:paraId="54E187E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9A6F41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CF5E9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19930C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6534739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CAA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F27C9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3486" w:type="dxa"/>
            <w:noWrap w:val="0"/>
            <w:vAlign w:val="center"/>
          </w:tcPr>
          <w:p w14:paraId="3751BBB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矿用本质安全型跑偏传感器</w:t>
            </w:r>
          </w:p>
        </w:tc>
        <w:tc>
          <w:tcPr>
            <w:tcW w:w="4760" w:type="dxa"/>
            <w:noWrap w:val="0"/>
            <w:vAlign w:val="center"/>
          </w:tcPr>
          <w:p w14:paraId="1782AC1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1）动作角度15°±3°万向；2）输出为无源开关量</w:t>
            </w:r>
          </w:p>
        </w:tc>
        <w:tc>
          <w:tcPr>
            <w:tcW w:w="739" w:type="dxa"/>
            <w:noWrap w:val="0"/>
            <w:vAlign w:val="center"/>
          </w:tcPr>
          <w:p w14:paraId="03A18BD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891" w:type="dxa"/>
            <w:noWrap w:val="0"/>
            <w:vAlign w:val="center"/>
          </w:tcPr>
          <w:p w14:paraId="292601E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443946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5EEC3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77E1BA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709B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BC62B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3486" w:type="dxa"/>
            <w:noWrap w:val="0"/>
            <w:vAlign w:val="center"/>
          </w:tcPr>
          <w:p w14:paraId="1AD3E20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矿用本质安全型温度传感器</w:t>
            </w:r>
          </w:p>
        </w:tc>
        <w:tc>
          <w:tcPr>
            <w:tcW w:w="4760" w:type="dxa"/>
            <w:noWrap w:val="0"/>
            <w:vAlign w:val="center"/>
          </w:tcPr>
          <w:p w14:paraId="695AD1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1）供电电压DC12～18V； 2）工作电流≤20mA；3）输出为200～1000Hz模拟量。（红外式探测）</w:t>
            </w:r>
          </w:p>
        </w:tc>
        <w:tc>
          <w:tcPr>
            <w:tcW w:w="739" w:type="dxa"/>
            <w:noWrap w:val="0"/>
            <w:vAlign w:val="center"/>
          </w:tcPr>
          <w:p w14:paraId="57FFD4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891" w:type="dxa"/>
            <w:noWrap w:val="0"/>
            <w:vAlign w:val="center"/>
          </w:tcPr>
          <w:p w14:paraId="6DD792A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1BB5F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10DC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7284BB9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2B14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FC80B8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3486" w:type="dxa"/>
            <w:noWrap w:val="0"/>
            <w:vAlign w:val="center"/>
          </w:tcPr>
          <w:p w14:paraId="2436B2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矿用本质安全型烟雾传感器</w:t>
            </w:r>
          </w:p>
        </w:tc>
        <w:tc>
          <w:tcPr>
            <w:tcW w:w="4760" w:type="dxa"/>
            <w:noWrap w:val="0"/>
            <w:vAlign w:val="center"/>
          </w:tcPr>
          <w:p w14:paraId="12DB8AA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 供电电压DC12～18V； 2）动作浓度：0.1mg/m3； 3）输出为无源开关量，有烟雾时闭合。带试验按钮</w:t>
            </w:r>
          </w:p>
        </w:tc>
        <w:tc>
          <w:tcPr>
            <w:tcW w:w="739" w:type="dxa"/>
            <w:noWrap w:val="0"/>
            <w:vAlign w:val="center"/>
          </w:tcPr>
          <w:p w14:paraId="252B00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275EEE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210A62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64D0BF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F5A7DB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D9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0966DA5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3486" w:type="dxa"/>
            <w:noWrap w:val="0"/>
            <w:vAlign w:val="center"/>
          </w:tcPr>
          <w:p w14:paraId="6A75FA8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矿用本质安全型撕裂传感器</w:t>
            </w:r>
          </w:p>
        </w:tc>
        <w:tc>
          <w:tcPr>
            <w:tcW w:w="4760" w:type="dxa"/>
            <w:noWrap w:val="0"/>
            <w:vAlign w:val="center"/>
          </w:tcPr>
          <w:p w14:paraId="0667A9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1）输出开关量为无源节点。</w:t>
            </w:r>
          </w:p>
        </w:tc>
        <w:tc>
          <w:tcPr>
            <w:tcW w:w="739" w:type="dxa"/>
            <w:noWrap w:val="0"/>
            <w:vAlign w:val="center"/>
          </w:tcPr>
          <w:p w14:paraId="5C09203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3B19F5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0BBED2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01B914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3D6D3C0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086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2D85B0D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3486" w:type="dxa"/>
            <w:noWrap w:val="0"/>
            <w:vAlign w:val="center"/>
          </w:tcPr>
          <w:p w14:paraId="1C39CC39">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矿用本质安全型电磁阀</w:t>
            </w:r>
          </w:p>
        </w:tc>
        <w:tc>
          <w:tcPr>
            <w:tcW w:w="4760" w:type="dxa"/>
            <w:noWrap w:val="0"/>
            <w:vAlign w:val="center"/>
          </w:tcPr>
          <w:p w14:paraId="3D8FBA3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127V供电，连接管径20mm（超温洒水），外配。注意：使用时应与矿用远程控制箱KDG-127/3-8配合使用</w:t>
            </w:r>
          </w:p>
        </w:tc>
        <w:tc>
          <w:tcPr>
            <w:tcW w:w="739" w:type="dxa"/>
            <w:noWrap w:val="0"/>
            <w:vAlign w:val="center"/>
          </w:tcPr>
          <w:p w14:paraId="272149F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891" w:type="dxa"/>
            <w:noWrap w:val="0"/>
            <w:vAlign w:val="center"/>
          </w:tcPr>
          <w:p w14:paraId="0D88F90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1000" w:type="dxa"/>
            <w:noWrap w:val="0"/>
            <w:vAlign w:val="center"/>
          </w:tcPr>
          <w:p w14:paraId="50235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88D5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07F17C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A26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78CFE33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c>
          <w:tcPr>
            <w:tcW w:w="3486" w:type="dxa"/>
            <w:noWrap w:val="0"/>
            <w:vAlign w:val="center"/>
          </w:tcPr>
          <w:p w14:paraId="2C74E65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屏蔽阻燃控制软电缆</w:t>
            </w:r>
          </w:p>
        </w:tc>
        <w:tc>
          <w:tcPr>
            <w:tcW w:w="4760" w:type="dxa"/>
            <w:noWrap w:val="0"/>
            <w:vAlign w:val="center"/>
          </w:tcPr>
          <w:p w14:paraId="04702A8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用于接控制及保护</w:t>
            </w:r>
          </w:p>
        </w:tc>
        <w:tc>
          <w:tcPr>
            <w:tcW w:w="739" w:type="dxa"/>
            <w:noWrap w:val="0"/>
            <w:vAlign w:val="center"/>
          </w:tcPr>
          <w:p w14:paraId="75D4AC5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200</w:t>
            </w:r>
          </w:p>
        </w:tc>
        <w:tc>
          <w:tcPr>
            <w:tcW w:w="891" w:type="dxa"/>
            <w:noWrap w:val="0"/>
            <w:vAlign w:val="center"/>
          </w:tcPr>
          <w:p w14:paraId="552B8C6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1000" w:type="dxa"/>
            <w:noWrap w:val="0"/>
            <w:vAlign w:val="center"/>
          </w:tcPr>
          <w:p w14:paraId="41E218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4AA048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43B0362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5B63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6C4CA2B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22</w:t>
            </w:r>
          </w:p>
        </w:tc>
        <w:tc>
          <w:tcPr>
            <w:tcW w:w="3486" w:type="dxa"/>
            <w:noWrap w:val="0"/>
            <w:vAlign w:val="center"/>
          </w:tcPr>
          <w:p w14:paraId="79A3DEC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插座专用U型销</w:t>
            </w:r>
          </w:p>
        </w:tc>
        <w:tc>
          <w:tcPr>
            <w:tcW w:w="4760" w:type="dxa"/>
            <w:noWrap w:val="0"/>
            <w:vAlign w:val="center"/>
          </w:tcPr>
          <w:p w14:paraId="0F7B6C7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用于设备的电缆插头/插座的索紧、密封与连接</w:t>
            </w:r>
          </w:p>
        </w:tc>
        <w:tc>
          <w:tcPr>
            <w:tcW w:w="739" w:type="dxa"/>
            <w:noWrap w:val="0"/>
            <w:vAlign w:val="center"/>
          </w:tcPr>
          <w:p w14:paraId="1B25DFB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50</w:t>
            </w:r>
          </w:p>
        </w:tc>
        <w:tc>
          <w:tcPr>
            <w:tcW w:w="891" w:type="dxa"/>
            <w:noWrap w:val="0"/>
            <w:vAlign w:val="center"/>
          </w:tcPr>
          <w:p w14:paraId="19D5D3A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0"/>
            <w:vAlign w:val="center"/>
          </w:tcPr>
          <w:p w14:paraId="4E7ABF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3B9849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C3564E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6F9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145FC29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23</w:t>
            </w:r>
          </w:p>
        </w:tc>
        <w:tc>
          <w:tcPr>
            <w:tcW w:w="3486" w:type="dxa"/>
            <w:noWrap w:val="0"/>
            <w:vAlign w:val="center"/>
          </w:tcPr>
          <w:p w14:paraId="4BFEF51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通用安装护板</w:t>
            </w:r>
          </w:p>
        </w:tc>
        <w:tc>
          <w:tcPr>
            <w:tcW w:w="4760" w:type="dxa"/>
            <w:noWrap w:val="0"/>
            <w:vAlign w:val="center"/>
          </w:tcPr>
          <w:p w14:paraId="6C06FFF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用于组合扩音电话在工作面及皮带沿线的安装、防护与固定</w:t>
            </w:r>
          </w:p>
        </w:tc>
        <w:tc>
          <w:tcPr>
            <w:tcW w:w="739" w:type="dxa"/>
            <w:noWrap w:val="0"/>
            <w:vAlign w:val="center"/>
          </w:tcPr>
          <w:p w14:paraId="2A58B65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891" w:type="dxa"/>
            <w:noWrap w:val="0"/>
            <w:vAlign w:val="center"/>
          </w:tcPr>
          <w:p w14:paraId="3360771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1000" w:type="dxa"/>
            <w:noWrap w:val="0"/>
            <w:vAlign w:val="center"/>
          </w:tcPr>
          <w:p w14:paraId="040AB6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0"/>
            <w:vAlign w:val="center"/>
          </w:tcPr>
          <w:p w14:paraId="743C6D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0"/>
            <w:vAlign w:val="center"/>
          </w:tcPr>
          <w:p w14:paraId="0485486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r w14:paraId="1DA1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9" w:type="dxa"/>
            <w:noWrap w:val="0"/>
            <w:vAlign w:val="center"/>
          </w:tcPr>
          <w:p w14:paraId="5F2A1B7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w:t>
            </w:r>
          </w:p>
        </w:tc>
        <w:tc>
          <w:tcPr>
            <w:tcW w:w="3486" w:type="dxa"/>
            <w:noWrap w:val="0"/>
            <w:vAlign w:val="center"/>
          </w:tcPr>
          <w:p w14:paraId="7E0EB40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电缆挂钩A</w:t>
            </w:r>
          </w:p>
        </w:tc>
        <w:tc>
          <w:tcPr>
            <w:tcW w:w="4760" w:type="dxa"/>
            <w:noWrap w:val="0"/>
            <w:vAlign w:val="center"/>
          </w:tcPr>
          <w:p w14:paraId="47D57BE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设备拉线急停闭锁在皮带沿线的电缆吊挂安装（适用安装在φ6～φ8孔上）</w:t>
            </w:r>
          </w:p>
        </w:tc>
        <w:tc>
          <w:tcPr>
            <w:tcW w:w="739" w:type="dxa"/>
            <w:noWrap w:val="0"/>
            <w:vAlign w:val="center"/>
          </w:tcPr>
          <w:p w14:paraId="5687B9D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1000</w:t>
            </w:r>
          </w:p>
        </w:tc>
        <w:tc>
          <w:tcPr>
            <w:tcW w:w="891" w:type="dxa"/>
            <w:noWrap w:val="0"/>
            <w:vAlign w:val="center"/>
          </w:tcPr>
          <w:p w14:paraId="7953F84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1000" w:type="dxa"/>
            <w:noWrap/>
            <w:vAlign w:val="center"/>
          </w:tcPr>
          <w:p w14:paraId="2C2A16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6" w:type="dxa"/>
            <w:noWrap/>
            <w:vAlign w:val="center"/>
          </w:tcPr>
          <w:p w14:paraId="0DDF23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979" w:type="dxa"/>
            <w:noWrap/>
            <w:vAlign w:val="center"/>
          </w:tcPr>
          <w:p w14:paraId="2A12573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p>
        </w:tc>
      </w:tr>
    </w:tbl>
    <w:p w14:paraId="10D11D9A">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lang w:val="en-US" w:eastAsia="zh-CN"/>
        </w:rPr>
        <w:sectPr>
          <w:pgSz w:w="16838" w:h="11906" w:orient="landscape"/>
          <w:pgMar w:top="1800" w:right="1440" w:bottom="1800" w:left="1440" w:header="851" w:footer="992" w:gutter="0"/>
          <w:cols w:space="425" w:num="1"/>
          <w:docGrid w:type="lines" w:linePitch="312" w:charSpace="0"/>
        </w:sectPr>
      </w:pPr>
    </w:p>
    <w:p w14:paraId="049A1F20">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44FFCD62">
      <w:pPr>
        <w:numPr>
          <w:ilvl w:val="0"/>
          <w:numId w:val="0"/>
        </w:numPr>
        <w:ind w:firstLine="560" w:firstLineChars="200"/>
        <w:rPr>
          <w:rFonts w:hint="eastAsia" w:ascii="仿宋" w:hAnsi="仿宋" w:eastAsia="仿宋" w:cs="仿宋"/>
          <w:color w:val="0000FF"/>
          <w:sz w:val="28"/>
          <w:szCs w:val="28"/>
          <w:highlight w:val="none"/>
          <w:lang w:val="en-US" w:eastAsia="zh-CN"/>
        </w:rPr>
      </w:pPr>
      <w:r>
        <w:rPr>
          <w:rFonts w:hint="eastAsia" w:ascii="仿宋" w:hAnsi="仿宋" w:eastAsia="仿宋" w:cs="仿宋"/>
          <w:sz w:val="28"/>
          <w:szCs w:val="28"/>
          <w:highlight w:val="none"/>
          <w:lang w:val="en-US" w:eastAsia="zh-CN"/>
        </w:rPr>
        <w:t>1、履约验收时间：</w:t>
      </w:r>
      <w:r>
        <w:rPr>
          <w:rFonts w:hint="eastAsia" w:ascii="仿宋" w:hAnsi="仿宋" w:eastAsia="仿宋" w:cs="仿宋"/>
          <w:color w:val="auto"/>
          <w:sz w:val="28"/>
          <w:szCs w:val="28"/>
          <w:highlight w:val="none"/>
          <w:lang w:val="en-US" w:eastAsia="zh-CN"/>
        </w:rPr>
        <w:t>2025年7月</w:t>
      </w:r>
    </w:p>
    <w:p w14:paraId="2FF0BA5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w:t>
      </w:r>
      <w:r>
        <w:rPr>
          <w:rFonts w:hint="eastAsia" w:ascii="仿宋" w:hAnsi="仿宋" w:eastAsia="仿宋" w:cs="仿宋"/>
          <w:sz w:val="28"/>
          <w:szCs w:val="28"/>
          <w:u w:val="none"/>
          <w:lang w:val="en-US" w:eastAsia="zh-CN"/>
        </w:rPr>
        <w:t xml:space="preserve">府谷能源投资集团郭家湾矿业有限公司采购矿井主运输及工作面通讯、控制、保护系统设备 </w:t>
      </w:r>
      <w:r>
        <w:rPr>
          <w:rFonts w:hint="eastAsia" w:ascii="仿宋" w:hAnsi="仿宋" w:eastAsia="仿宋" w:cs="仿宋"/>
          <w:sz w:val="28"/>
          <w:szCs w:val="28"/>
          <w:lang w:val="en-US" w:eastAsia="zh-CN"/>
        </w:rPr>
        <w:t>完成情况。</w:t>
      </w:r>
    </w:p>
    <w:p w14:paraId="15C45404">
      <w:pPr>
        <w:ind w:firstLine="560" w:firstLineChars="200"/>
        <w:rPr>
          <w:rFonts w:ascii="仿宋" w:hAnsi="仿宋" w:eastAsia="仿宋" w:cs="仿宋"/>
          <w:sz w:val="28"/>
          <w:szCs w:val="28"/>
        </w:rPr>
      </w:pPr>
      <w:r>
        <w:rPr>
          <w:rFonts w:hint="eastAsia" w:ascii="仿宋" w:hAnsi="仿宋" w:eastAsia="仿宋" w:cs="仿宋"/>
          <w:sz w:val="28"/>
          <w:szCs w:val="28"/>
        </w:rPr>
        <w:t>3、履约验收标准：</w:t>
      </w:r>
      <w:r>
        <w:rPr>
          <w:rFonts w:hint="eastAsia" w:ascii="仿宋" w:hAnsi="仿宋" w:eastAsia="仿宋" w:cs="仿宋"/>
          <w:sz w:val="28"/>
          <w:szCs w:val="28"/>
          <w:lang w:eastAsia="zh-CN"/>
        </w:rPr>
        <w:t>府谷能源投资集团郭家湾矿业有限公司采购矿井主运输及工作面通讯、控制、保护系统设备</w:t>
      </w:r>
      <w:r>
        <w:rPr>
          <w:rFonts w:hint="eastAsia" w:ascii="仿宋" w:hAnsi="仿宋" w:eastAsia="仿宋" w:cs="仿宋"/>
          <w:sz w:val="28"/>
          <w:szCs w:val="28"/>
          <w:lang w:val="en-US" w:eastAsia="zh-CN"/>
        </w:rPr>
        <w:t>，</w:t>
      </w:r>
      <w:r>
        <w:rPr>
          <w:rFonts w:hint="eastAsia" w:ascii="仿宋" w:hAnsi="仿宋" w:eastAsia="仿宋" w:cs="仿宋"/>
          <w:sz w:val="28"/>
          <w:szCs w:val="28"/>
        </w:rPr>
        <w:t>确保</w:t>
      </w:r>
      <w:r>
        <w:rPr>
          <w:rFonts w:hint="eastAsia" w:ascii="仿宋" w:hAnsi="仿宋" w:eastAsia="仿宋" w:cs="仿宋"/>
          <w:sz w:val="28"/>
          <w:szCs w:val="28"/>
          <w:lang w:val="en-US" w:eastAsia="zh-CN"/>
        </w:rPr>
        <w:t>货物</w:t>
      </w:r>
      <w:r>
        <w:rPr>
          <w:rFonts w:hint="eastAsia" w:ascii="仿宋" w:hAnsi="仿宋" w:eastAsia="仿宋" w:cs="仿宋"/>
          <w:sz w:val="28"/>
          <w:szCs w:val="28"/>
        </w:rPr>
        <w:t>符合</w:t>
      </w:r>
      <w:r>
        <w:rPr>
          <w:rFonts w:hint="eastAsia" w:ascii="仿宋" w:hAnsi="仿宋" w:eastAsia="仿宋" w:cs="仿宋"/>
          <w:sz w:val="28"/>
          <w:szCs w:val="28"/>
          <w:lang w:val="en-US" w:eastAsia="zh-CN"/>
        </w:rPr>
        <w:t>相关</w:t>
      </w:r>
      <w:r>
        <w:rPr>
          <w:rFonts w:hint="eastAsia" w:ascii="仿宋" w:hAnsi="仿宋" w:eastAsia="仿宋" w:cs="仿宋"/>
          <w:sz w:val="28"/>
          <w:szCs w:val="28"/>
        </w:rPr>
        <w:t>标准。</w:t>
      </w:r>
      <w:bookmarkStart w:id="0" w:name="_GoBack"/>
      <w:bookmarkEnd w:id="0"/>
    </w:p>
    <w:p w14:paraId="0872CAB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、验收方式：由采购单位组织有关专业人员按相关的国家标准、质量标准进行验收。</w:t>
      </w:r>
    </w:p>
    <w:p w14:paraId="319510D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1CB141D9">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CF79BB1">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67628E93">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082E46CF">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65253810">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3AE7A534">
      <w:pPr>
        <w:numPr>
          <w:ilvl w:val="0"/>
          <w:numId w:val="0"/>
        </w:numPr>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lang w:val="en-US" w:eastAsia="zh-CN" w:bidi="ar-SA"/>
        </w:rPr>
        <w:t>七、</w:t>
      </w:r>
      <w:r>
        <w:rPr>
          <w:rFonts w:hint="eastAsia" w:ascii="仿宋" w:hAnsi="仿宋" w:eastAsia="仿宋" w:cs="仿宋"/>
          <w:b/>
          <w:bCs/>
          <w:kern w:val="2"/>
          <w:sz w:val="28"/>
          <w:szCs w:val="28"/>
          <w:highlight w:val="none"/>
          <w:lang w:val="en-US" w:eastAsia="zh-CN" w:bidi="ar-SA"/>
        </w:rPr>
        <w:t>付款方式：</w:t>
      </w:r>
      <w:r>
        <w:rPr>
          <w:rFonts w:hint="eastAsia" w:ascii="仿宋" w:hAnsi="仿宋" w:eastAsia="仿宋" w:cs="仿宋"/>
          <w:b w:val="0"/>
          <w:bCs w:val="0"/>
          <w:color w:val="auto"/>
          <w:kern w:val="2"/>
          <w:sz w:val="28"/>
          <w:szCs w:val="28"/>
          <w:highlight w:val="none"/>
          <w:lang w:val="en-US" w:eastAsia="zh-CN" w:bidi="ar-SA"/>
        </w:rPr>
        <w:t>合同签订后支付合同总金额的30%，货到安装完成后付30%，验收合格后付30%，剩余10%一年后付清。</w:t>
      </w:r>
    </w:p>
    <w:p w14:paraId="0C8A21C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0A904529">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1.采购单位：</w:t>
      </w:r>
      <w:r>
        <w:rPr>
          <w:rFonts w:hint="eastAsia" w:ascii="仿宋" w:hAnsi="仿宋" w:eastAsia="仿宋" w:cs="仿宋"/>
          <w:sz w:val="28"/>
          <w:szCs w:val="28"/>
          <w:u w:val="none"/>
          <w:lang w:val="en-US" w:eastAsia="zh-CN"/>
        </w:rPr>
        <w:t>府谷能源投资集团有限公司</w:t>
      </w:r>
    </w:p>
    <w:p w14:paraId="25F59567">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2.采购单位地址：陕西省榆林市府谷县新区营盘路</w:t>
      </w:r>
    </w:p>
    <w:p w14:paraId="49D3EE7C">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3.项目联系人：柴学东     联系电话：13409143512</w:t>
      </w:r>
    </w:p>
    <w:p w14:paraId="4D089783">
      <w:pPr>
        <w:adjustRightInd w:val="0"/>
        <w:snapToGrid w:val="0"/>
        <w:spacing w:beforeLines="50" w:afterLines="50"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九、合同模板（仅供参考）：</w:t>
      </w:r>
    </w:p>
    <w:p w14:paraId="20988A0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30"/>
          <w:sz w:val="24"/>
          <w:szCs w:val="24"/>
        </w:rPr>
        <w:t>甲乙双方根据《中华人民共和国</w:t>
      </w:r>
      <w:r>
        <w:rPr>
          <w:rFonts w:hint="eastAsia" w:ascii="仿宋" w:hAnsi="仿宋" w:eastAsia="仿宋" w:cs="仿宋"/>
          <w:color w:val="auto"/>
          <w:kern w:val="30"/>
          <w:sz w:val="24"/>
          <w:szCs w:val="24"/>
          <w:lang w:val="en-US" w:eastAsia="zh-CN"/>
        </w:rPr>
        <w:t>招投标</w:t>
      </w:r>
      <w:r>
        <w:rPr>
          <w:rFonts w:hint="eastAsia" w:ascii="仿宋" w:hAnsi="仿宋" w:eastAsia="仿宋" w:cs="仿宋"/>
          <w:color w:val="auto"/>
          <w:kern w:val="30"/>
          <w:sz w:val="24"/>
          <w:szCs w:val="24"/>
        </w:rPr>
        <w:t>法》、《中华人民共和国合同法》等法律法规，遵循平等、自愿、公平和诚实信用等原则，同意按下述条款和条件签署《</w:t>
      </w:r>
      <w:r>
        <w:rPr>
          <w:rFonts w:hint="eastAsia" w:ascii="仿宋" w:hAnsi="仿宋" w:eastAsia="仿宋" w:cs="仿宋"/>
          <w:color w:val="auto"/>
          <w:kern w:val="30"/>
          <w:sz w:val="24"/>
          <w:szCs w:val="24"/>
          <w:u w:val="single"/>
        </w:rPr>
        <w:t xml:space="preserve">                  </w:t>
      </w:r>
      <w:r>
        <w:rPr>
          <w:rFonts w:hint="eastAsia" w:ascii="仿宋" w:hAnsi="仿宋" w:eastAsia="仿宋" w:cs="仿宋"/>
          <w:color w:val="auto"/>
          <w:kern w:val="30"/>
          <w:sz w:val="24"/>
          <w:szCs w:val="24"/>
          <w:lang w:val="en-US" w:eastAsia="zh-CN"/>
        </w:rPr>
        <w:t>项目</w:t>
      </w:r>
      <w:r>
        <w:rPr>
          <w:rFonts w:hint="eastAsia" w:ascii="仿宋" w:hAnsi="仿宋" w:eastAsia="仿宋" w:cs="仿宋"/>
          <w:color w:val="auto"/>
          <w:kern w:val="30"/>
          <w:sz w:val="24"/>
          <w:szCs w:val="24"/>
        </w:rPr>
        <w:t>合同》（以下简称“合同”），并共同遵守</w:t>
      </w:r>
      <w:r>
        <w:rPr>
          <w:rFonts w:hint="eastAsia" w:ascii="仿宋" w:hAnsi="仿宋" w:eastAsia="仿宋" w:cs="仿宋"/>
          <w:color w:val="auto"/>
          <w:sz w:val="24"/>
          <w:szCs w:val="24"/>
        </w:rPr>
        <w:t>。</w:t>
      </w:r>
    </w:p>
    <w:p w14:paraId="31FEBEC2">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一、合同文件</w:t>
      </w:r>
    </w:p>
    <w:p w14:paraId="61465AB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下列文件是构成本合同不可分割的部分，与合同具有同等法律效力：</w:t>
      </w:r>
    </w:p>
    <w:p w14:paraId="603F524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（1）本项目</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rPr>
        <w:t xml:space="preserve">文件及相应澄清和修改； </w:t>
      </w:r>
    </w:p>
    <w:p w14:paraId="469DBE77">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（2）乙方</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w:t>
      </w:r>
    </w:p>
    <w:p w14:paraId="1EDE0E23">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（3）乙方在</w:t>
      </w:r>
      <w:r>
        <w:rPr>
          <w:rFonts w:hint="eastAsia" w:ascii="仿宋" w:hAnsi="仿宋" w:eastAsia="仿宋" w:cs="仿宋"/>
          <w:color w:val="auto"/>
          <w:sz w:val="24"/>
          <w:szCs w:val="24"/>
          <w:lang w:eastAsia="zh-CN"/>
        </w:rPr>
        <w:t>评标</w:t>
      </w:r>
      <w:r>
        <w:rPr>
          <w:rFonts w:hint="eastAsia" w:ascii="仿宋" w:hAnsi="仿宋" w:eastAsia="仿宋" w:cs="仿宋"/>
          <w:color w:val="auto"/>
          <w:sz w:val="24"/>
          <w:szCs w:val="24"/>
        </w:rPr>
        <w:t>过程中所作的其它承诺、声明、书面澄清等；</w:t>
      </w:r>
    </w:p>
    <w:p w14:paraId="1C5F722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（4）成交通知书； </w:t>
      </w:r>
    </w:p>
    <w:p w14:paraId="25B5952E">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（5）甲方、乙方商定的其他必要文件、补充合同或协议。</w:t>
      </w:r>
    </w:p>
    <w:p w14:paraId="786441D6">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合同文件是一个整体，其内容互为补充。</w:t>
      </w:r>
    </w:p>
    <w:p w14:paraId="259F778C">
      <w:pPr>
        <w:pStyle w:val="11"/>
        <w:keepNext w:val="0"/>
        <w:keepLines w:val="0"/>
        <w:pageBreakBefore w:val="0"/>
        <w:widowControl w:val="0"/>
        <w:kinsoku/>
        <w:wordWrap/>
        <w:overflowPunct/>
        <w:topLine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二、服务期限：</w:t>
      </w:r>
    </w:p>
    <w:p w14:paraId="7F960024">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日起至</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日止。</w:t>
      </w:r>
    </w:p>
    <w:p w14:paraId="3DA8EE19">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三、</w:t>
      </w:r>
      <w:r>
        <w:rPr>
          <w:rFonts w:hint="eastAsia" w:ascii="仿宋" w:hAnsi="仿宋" w:eastAsia="仿宋" w:cs="仿宋"/>
          <w:bCs/>
          <w:color w:val="auto"/>
          <w:sz w:val="24"/>
          <w:szCs w:val="24"/>
        </w:rPr>
        <w:t xml:space="preserve"> </w:t>
      </w:r>
      <w:r>
        <w:rPr>
          <w:rFonts w:hint="eastAsia" w:ascii="仿宋" w:hAnsi="仿宋" w:eastAsia="仿宋" w:cs="仿宋"/>
          <w:b/>
          <w:bCs/>
          <w:color w:val="auto"/>
          <w:sz w:val="24"/>
          <w:szCs w:val="24"/>
        </w:rPr>
        <w:t>服务内容</w:t>
      </w:r>
    </w:p>
    <w:p w14:paraId="5DF2E2AA">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 xml:space="preserve">                                                                                   </w:t>
      </w:r>
    </w:p>
    <w:p w14:paraId="1D4458AC">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四、合同价款</w:t>
      </w:r>
    </w:p>
    <w:p w14:paraId="2C2B4314">
      <w:pPr>
        <w:pStyle w:val="7"/>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本合同总价款为人民币（大写）：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元整（小写：¥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元）。 </w:t>
      </w:r>
    </w:p>
    <w:p w14:paraId="6DFBFE9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上述价款为甲方支付给乙方的确保合同全面完整履行的全部费用，包括完成全部所列项目服务管理内容所需全部费用和税金。</w:t>
      </w:r>
    </w:p>
    <w:p w14:paraId="05485623">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、付款方式</w:t>
      </w:r>
    </w:p>
    <w:p w14:paraId="5A44606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由采购人负责结算，付款前，供应商必须向给采购人开具全额发票。付款方式:合同签订后支付合同总金额的30%，货到安装完成后付30%，验收合格后付30%，剩余10%一年后付清。</w:t>
      </w:r>
    </w:p>
    <w:p w14:paraId="5F41E78C">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rPr>
        <w:t>违约责任</w:t>
      </w:r>
    </w:p>
    <w:p w14:paraId="206316E3">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1、甲乙双方任何一方违约，造成对方经济损失的，应给予对方经济赔偿。</w:t>
      </w:r>
    </w:p>
    <w:p w14:paraId="00808DB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2、如果乙方无正当理由拖延管理或不按时提供服务，将受到以下制裁：</w:t>
      </w:r>
    </w:p>
    <w:p w14:paraId="64160435">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不再向乙方支付尚未支付的服务费</w:t>
      </w:r>
    </w:p>
    <w:p w14:paraId="59722290">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（2）向乙方加收违约损失赔偿。</w:t>
      </w:r>
    </w:p>
    <w:p w14:paraId="092532B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、乙方如迟延履行合同、不完全履行合同，除支付违约金外，乙方仍应实际履行合同；不履行或履行合同不符合约定，甲方均有权解除合同，并就乙方违约给甲方造成的损失向乙方索赔</w:t>
      </w:r>
    </w:p>
    <w:p w14:paraId="20F2010C">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、争议的解决</w:t>
      </w:r>
    </w:p>
    <w:p w14:paraId="1159A162">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1、在执行合同中发生的或与本合同有关的争端，双方应通过友好协商解决，经协商在30天内不能达成一致意见时，可向西安仲裁委员会申请调解或仲裁。</w:t>
      </w:r>
    </w:p>
    <w:p w14:paraId="1BFB9048">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2、仲裁裁决为最终裁决，对甲乙双方均具有约束力。</w:t>
      </w:r>
    </w:p>
    <w:p w14:paraId="597BDD05">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3、仲裁费用除仲裁机构另有裁决外，由败诉方承担。</w:t>
      </w:r>
    </w:p>
    <w:p w14:paraId="74F5C050">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4、在仲裁期间，除正在进行仲裁的部分外，本合同其他部分应继续执行。</w:t>
      </w:r>
    </w:p>
    <w:p w14:paraId="1C94DFD5">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八</w:t>
      </w:r>
      <w:r>
        <w:rPr>
          <w:rFonts w:hint="eastAsia" w:ascii="仿宋" w:hAnsi="仿宋" w:eastAsia="仿宋" w:cs="仿宋"/>
          <w:b/>
          <w:color w:val="auto"/>
          <w:sz w:val="24"/>
          <w:szCs w:val="24"/>
        </w:rPr>
        <w:t>、合同终止与修改</w:t>
      </w:r>
      <w:r>
        <w:rPr>
          <w:rFonts w:hint="eastAsia" w:ascii="仿宋" w:hAnsi="仿宋" w:eastAsia="仿宋" w:cs="仿宋"/>
          <w:color w:val="auto"/>
          <w:sz w:val="24"/>
          <w:szCs w:val="24"/>
        </w:rPr>
        <w:t xml:space="preserve"> </w:t>
      </w:r>
    </w:p>
    <w:p w14:paraId="03CE91D9">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合作期内任何一方不得擅自停止合同，否则应负担所造成的一切损失。出现下列情况时合同自动终止：</w:t>
      </w:r>
    </w:p>
    <w:p w14:paraId="15FA64F7">
      <w:pPr>
        <w:keepNext w:val="0"/>
        <w:keepLines w:val="0"/>
        <w:pageBreakBefore w:val="0"/>
        <w:widowControl w:val="0"/>
        <w:numPr>
          <w:ilvl w:val="0"/>
          <w:numId w:val="3"/>
        </w:numPr>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如果乙方不能履行合同规定的义务，不能达到甲方要求的管理和服务目标；</w:t>
      </w:r>
    </w:p>
    <w:p w14:paraId="338DB0A0">
      <w:pPr>
        <w:keepNext w:val="0"/>
        <w:keepLines w:val="0"/>
        <w:pageBreakBefore w:val="0"/>
        <w:widowControl w:val="0"/>
        <w:numPr>
          <w:ilvl w:val="0"/>
          <w:numId w:val="3"/>
        </w:numPr>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甲方每季对乙方履行合同的情况进行一次综合考核，考核不合格，视作乙方违约，并自动终止合同。</w:t>
      </w:r>
    </w:p>
    <w:p w14:paraId="662C4F8B">
      <w:pPr>
        <w:keepNext w:val="0"/>
        <w:keepLines w:val="0"/>
        <w:pageBreakBefore w:val="0"/>
        <w:widowControl w:val="0"/>
        <w:numPr>
          <w:ilvl w:val="0"/>
          <w:numId w:val="3"/>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合同条款的任何改动，均须由合同签署双方签署合同修改书或合同补充协议。该合同修改或补充被视为本合同的组成部分，具有与本合同同等的法律效力。</w:t>
      </w:r>
    </w:p>
    <w:p w14:paraId="179BEFA0">
      <w:pPr>
        <w:keepNext w:val="0"/>
        <w:keepLines w:val="0"/>
        <w:pageBreakBefore w:val="0"/>
        <w:widowControl w:val="0"/>
        <w:numPr>
          <w:ilvl w:val="0"/>
          <w:numId w:val="3"/>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本合同的未尽事宜，经双方协商可签订补充协议，所签订的补充协议与本合同具有同等的法律效力。</w:t>
      </w:r>
    </w:p>
    <w:p w14:paraId="5AE9D8C9">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、合同生效</w:t>
      </w:r>
    </w:p>
    <w:p w14:paraId="0979C774">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1、本合同经双方法人代表或授权代表签字并加盖公章（或合同专用章）后，即开始生效。</w:t>
      </w:r>
    </w:p>
    <w:p w14:paraId="2C4E96CF">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53064847">
      <w:pPr>
        <w:pStyle w:val="6"/>
        <w:keepNext w:val="0"/>
        <w:keepLines w:val="0"/>
        <w:pageBreakBefore w:val="0"/>
        <w:kinsoku/>
        <w:wordWrap/>
        <w:overflowPunct/>
        <w:autoSpaceDE/>
        <w:autoSpaceDN/>
        <w:bidi w:val="0"/>
        <w:spacing w:after="0" w:line="240" w:lineRule="auto"/>
        <w:ind w:left="0" w:leftChars="0" w:firstLine="480" w:firstLineChars="200"/>
        <w:textAlignment w:val="auto"/>
        <w:rPr>
          <w:rFonts w:hint="eastAsia" w:ascii="仿宋" w:hAnsi="仿宋" w:eastAsia="仿宋" w:cs="仿宋"/>
          <w:sz w:val="24"/>
          <w:szCs w:val="24"/>
        </w:rPr>
      </w:pPr>
    </w:p>
    <w:p w14:paraId="3E692A1F">
      <w:pPr>
        <w:pStyle w:val="4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甲方：___________（盖章）           乙方：___________（盖章）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法定代表人或其授权的                法定代表人或其授权的</w:t>
      </w:r>
    </w:p>
    <w:p w14:paraId="55FEFEED">
      <w:pPr>
        <w:pStyle w:val="30"/>
        <w:ind w:left="0" w:leftChars="0" w:firstLine="0" w:firstLineChars="0"/>
        <w:rPr>
          <w:rFonts w:hint="default"/>
          <w:lang w:val="en-US" w:eastAsia="zh-CN"/>
        </w:rPr>
      </w:pPr>
      <w:r>
        <w:rPr>
          <w:rFonts w:hint="eastAsia" w:ascii="仿宋" w:hAnsi="仿宋" w:eastAsia="仿宋" w:cs="仿宋"/>
          <w:color w:val="auto"/>
          <w:sz w:val="24"/>
          <w:szCs w:val="24"/>
        </w:rPr>
        <w:t>代理人：_________（签字）           代理人：_________（签字）</w:t>
      </w:r>
    </w:p>
    <w:p w14:paraId="056953F2">
      <w:pPr>
        <w:keepNext w:val="0"/>
        <w:keepLines w:val="0"/>
        <w:pageBreakBefore w:val="0"/>
        <w:widowControl w:val="0"/>
        <w:numPr>
          <w:ilvl w:val="0"/>
          <w:numId w:val="3"/>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协议。该合同修改或补充被视为本合同的组成部分，具有与本合同同等的法律效力。</w:t>
      </w:r>
    </w:p>
    <w:p w14:paraId="2B641250">
      <w:pPr>
        <w:keepNext w:val="0"/>
        <w:keepLines w:val="0"/>
        <w:pageBreakBefore w:val="0"/>
        <w:widowControl w:val="0"/>
        <w:numPr>
          <w:ilvl w:val="0"/>
          <w:numId w:val="3"/>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本合同的未尽事宜，经双方协商可签订补充协议，所签订的补充协议与本合同具有同等的法律效力。</w:t>
      </w:r>
    </w:p>
    <w:p w14:paraId="7AC45F36">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、合同生效</w:t>
      </w:r>
    </w:p>
    <w:p w14:paraId="20EED8F8">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1、本合同经双方法人代表或授权代表签字并加盖公章（或合同专用章）后，即开始生效。</w:t>
      </w:r>
    </w:p>
    <w:p w14:paraId="7C088A7D">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0F6D3403">
      <w:pPr>
        <w:pStyle w:val="6"/>
        <w:keepNext w:val="0"/>
        <w:keepLines w:val="0"/>
        <w:pageBreakBefore w:val="0"/>
        <w:kinsoku/>
        <w:wordWrap/>
        <w:overflowPunct/>
        <w:autoSpaceDE/>
        <w:autoSpaceDN/>
        <w:bidi w:val="0"/>
        <w:spacing w:after="0" w:line="240" w:lineRule="auto"/>
        <w:ind w:left="0" w:leftChars="0" w:firstLine="480" w:firstLineChars="200"/>
        <w:textAlignment w:val="auto"/>
        <w:rPr>
          <w:rFonts w:hint="eastAsia" w:ascii="仿宋" w:hAnsi="仿宋" w:eastAsia="仿宋" w:cs="仿宋"/>
          <w:sz w:val="24"/>
          <w:szCs w:val="24"/>
        </w:rPr>
      </w:pPr>
    </w:p>
    <w:p w14:paraId="3D3343E6">
      <w:pPr>
        <w:pStyle w:val="4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rPr>
      </w:pPr>
    </w:p>
    <w:p w14:paraId="088095E7">
      <w:pPr>
        <w:pStyle w:val="4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甲方：___________（盖章）           乙方：___________（盖章）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法定代表人或其授权的                法定代表人或其授权的</w:t>
      </w:r>
    </w:p>
    <w:p w14:paraId="6F9758BD">
      <w:pPr>
        <w:pStyle w:val="4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rPr>
        <w:t xml:space="preserve">代理人：_________（签字）           代理人：_________（签字）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 xml:space="preserve">          </w:t>
      </w:r>
    </w:p>
    <w:p w14:paraId="19E89EF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sz w:val="24"/>
          <w:szCs w:val="24"/>
          <w:lang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984E4">
    <w:pPr>
      <w:spacing w:before="298" w:line="191" w:lineRule="auto"/>
      <w:ind w:firstLine="207"/>
    </w:pPr>
    <w:r>
      <w:pict>
        <v:shape id="文本框 2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path/>
          <v:fill on="f" focussize="0,0"/>
          <v:stroke on="f" weight="0.5pt"/>
          <v:imagedata o:title=""/>
          <o:lock v:ext="edit" aspectratio="f"/>
          <v:textbox inset="0mm,0mm,0mm,0mm" style="mso-fit-shape-to-text:t;">
            <w:txbxContent>
              <w:p w14:paraId="0EB625A0">
                <w:pPr>
                  <w:pStyle w:val="12"/>
                </w:pPr>
              </w:p>
            </w:txbxContent>
          </v:textbox>
        </v:shape>
      </w:pict>
    </w:r>
    <w:r>
      <w:rPr>
        <w:rFonts w:ascii="宋体" w:hAnsi="宋体" w:eastAsia="宋体" w:cs="宋体"/>
        <w:spacing w:val="1"/>
        <w:sz w:val="18"/>
        <w:szCs w:val="18"/>
      </w:rPr>
      <w:t xml:space="preserve">                    </w:t>
    </w:r>
    <w:r>
      <w:rPr>
        <w:rFonts w:hint="eastAsia" w:ascii="Calibri" w:hAnsi="Calibri" w:eastAsia="宋体" w:cs="Calibri"/>
        <w:spacing w:val="1"/>
        <w:sz w:val="18"/>
        <w:szCs w:val="18"/>
      </w:rPr>
      <w:t xml:space="preserve"> </w:t>
    </w:r>
    <w:r>
      <w:rPr>
        <w:rFonts w:ascii="Calibri" w:hAnsi="Calibri" w:eastAsia="Calibri" w:cs="Calibr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84D1">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C12A6">
    <w:pPr>
      <w:spacing w:line="253" w:lineRule="auto"/>
    </w:pPr>
  </w:p>
  <w:p w14:paraId="29A4C947">
    <w:pPr>
      <w:spacing w:line="254" w:lineRule="auto"/>
    </w:pPr>
  </w:p>
  <w:p w14:paraId="2E74AE6A">
    <w:pPr>
      <w:spacing w:before="60" w:line="51" w:lineRule="exac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33316"/>
    <w:multiLevelType w:val="singleLevel"/>
    <w:tmpl w:val="E9433316"/>
    <w:lvl w:ilvl="0" w:tentative="0">
      <w:start w:val="1"/>
      <w:numFmt w:val="decimalEnclosedCircleChinese"/>
      <w:suff w:val="nothing"/>
      <w:lvlText w:val="%1　"/>
      <w:lvlJc w:val="left"/>
      <w:pPr>
        <w:ind w:left="0" w:firstLine="400"/>
      </w:pPr>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40BF9DD"/>
    <w:multiLevelType w:val="singleLevel"/>
    <w:tmpl w:val="340BF9DD"/>
    <w:lvl w:ilvl="0" w:tentative="0">
      <w:start w:val="1"/>
      <w:numFmt w:val="decimal"/>
      <w:pStyle w:val="10"/>
      <w:lvlText w:val="%1."/>
      <w:lvlJc w:val="left"/>
      <w:pPr>
        <w:tabs>
          <w:tab w:val="left" w:pos="2040"/>
        </w:tabs>
        <w:ind w:left="20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E2NzRlOTdkYTQwNDNhNjkwYmQ4YjI2MDM3YzBmZDQifQ=="/>
  </w:docVars>
  <w:rsids>
    <w:rsidRoot w:val="00155C40"/>
    <w:rsid w:val="000077AE"/>
    <w:rsid w:val="000C2082"/>
    <w:rsid w:val="00155C40"/>
    <w:rsid w:val="00164D51"/>
    <w:rsid w:val="00193BF4"/>
    <w:rsid w:val="001B0554"/>
    <w:rsid w:val="001D4444"/>
    <w:rsid w:val="001E749F"/>
    <w:rsid w:val="00235F18"/>
    <w:rsid w:val="002F27CB"/>
    <w:rsid w:val="002F2D51"/>
    <w:rsid w:val="002F6264"/>
    <w:rsid w:val="003B1865"/>
    <w:rsid w:val="003E7CC4"/>
    <w:rsid w:val="003F3BFE"/>
    <w:rsid w:val="004572FD"/>
    <w:rsid w:val="00463B25"/>
    <w:rsid w:val="0052414D"/>
    <w:rsid w:val="005F0321"/>
    <w:rsid w:val="006904E0"/>
    <w:rsid w:val="00724961"/>
    <w:rsid w:val="007D5324"/>
    <w:rsid w:val="007D64E1"/>
    <w:rsid w:val="00847292"/>
    <w:rsid w:val="008532CC"/>
    <w:rsid w:val="008673C4"/>
    <w:rsid w:val="00884966"/>
    <w:rsid w:val="00920EFE"/>
    <w:rsid w:val="009C4412"/>
    <w:rsid w:val="009D7151"/>
    <w:rsid w:val="00A23F58"/>
    <w:rsid w:val="00BF6E5B"/>
    <w:rsid w:val="00DC3CF5"/>
    <w:rsid w:val="00DD586F"/>
    <w:rsid w:val="00E05753"/>
    <w:rsid w:val="00E06C89"/>
    <w:rsid w:val="00EF74DC"/>
    <w:rsid w:val="00FF62E0"/>
    <w:rsid w:val="012A2737"/>
    <w:rsid w:val="01B75244"/>
    <w:rsid w:val="02021905"/>
    <w:rsid w:val="0224187C"/>
    <w:rsid w:val="023721F2"/>
    <w:rsid w:val="03060C74"/>
    <w:rsid w:val="0337738D"/>
    <w:rsid w:val="034D095E"/>
    <w:rsid w:val="03C25D16"/>
    <w:rsid w:val="04B0004D"/>
    <w:rsid w:val="04E43544"/>
    <w:rsid w:val="05060AF6"/>
    <w:rsid w:val="058D0CEF"/>
    <w:rsid w:val="05C649F8"/>
    <w:rsid w:val="05FC1323"/>
    <w:rsid w:val="06374197"/>
    <w:rsid w:val="06CC4290"/>
    <w:rsid w:val="06F20CFA"/>
    <w:rsid w:val="071443CF"/>
    <w:rsid w:val="07145BA9"/>
    <w:rsid w:val="071B4774"/>
    <w:rsid w:val="07235BE6"/>
    <w:rsid w:val="08412295"/>
    <w:rsid w:val="08573510"/>
    <w:rsid w:val="0859659D"/>
    <w:rsid w:val="086C601B"/>
    <w:rsid w:val="089E0E96"/>
    <w:rsid w:val="08A2766C"/>
    <w:rsid w:val="08C9007D"/>
    <w:rsid w:val="08D4468A"/>
    <w:rsid w:val="09024B84"/>
    <w:rsid w:val="09151F1E"/>
    <w:rsid w:val="09774987"/>
    <w:rsid w:val="0A737EEE"/>
    <w:rsid w:val="0A843E5B"/>
    <w:rsid w:val="0AE55920"/>
    <w:rsid w:val="0B565C58"/>
    <w:rsid w:val="0BA43520"/>
    <w:rsid w:val="0BBA0B5B"/>
    <w:rsid w:val="0BC47C2C"/>
    <w:rsid w:val="0C7D22B4"/>
    <w:rsid w:val="0C913FB2"/>
    <w:rsid w:val="0CAA0BCF"/>
    <w:rsid w:val="0D62520C"/>
    <w:rsid w:val="0D692839"/>
    <w:rsid w:val="0E772D33"/>
    <w:rsid w:val="0EBD26CB"/>
    <w:rsid w:val="0EC92C77"/>
    <w:rsid w:val="0F264E85"/>
    <w:rsid w:val="0F541472"/>
    <w:rsid w:val="0F664350"/>
    <w:rsid w:val="0F8E1FC1"/>
    <w:rsid w:val="0FDF0942"/>
    <w:rsid w:val="10585EFB"/>
    <w:rsid w:val="121769BF"/>
    <w:rsid w:val="122B27B2"/>
    <w:rsid w:val="125F0C63"/>
    <w:rsid w:val="1283154E"/>
    <w:rsid w:val="12E27315"/>
    <w:rsid w:val="12EA2943"/>
    <w:rsid w:val="13091016"/>
    <w:rsid w:val="1324792E"/>
    <w:rsid w:val="134C0C32"/>
    <w:rsid w:val="14763DFD"/>
    <w:rsid w:val="148C2BF9"/>
    <w:rsid w:val="15E27D4D"/>
    <w:rsid w:val="1621787A"/>
    <w:rsid w:val="167539E5"/>
    <w:rsid w:val="1695062A"/>
    <w:rsid w:val="179E5245"/>
    <w:rsid w:val="17EC02EE"/>
    <w:rsid w:val="185C244B"/>
    <w:rsid w:val="18602A8A"/>
    <w:rsid w:val="194D289B"/>
    <w:rsid w:val="1A352420"/>
    <w:rsid w:val="1A58610F"/>
    <w:rsid w:val="1A7D3DC7"/>
    <w:rsid w:val="1A9C249F"/>
    <w:rsid w:val="1BF956CF"/>
    <w:rsid w:val="1CB02232"/>
    <w:rsid w:val="1D007944"/>
    <w:rsid w:val="1DAC0C4B"/>
    <w:rsid w:val="1DE257A9"/>
    <w:rsid w:val="1E7F3F16"/>
    <w:rsid w:val="1F4F741F"/>
    <w:rsid w:val="206C6470"/>
    <w:rsid w:val="20915CCB"/>
    <w:rsid w:val="20CF69FF"/>
    <w:rsid w:val="2288155B"/>
    <w:rsid w:val="22E77431"/>
    <w:rsid w:val="22EA5C97"/>
    <w:rsid w:val="22FD5A66"/>
    <w:rsid w:val="234B4A63"/>
    <w:rsid w:val="24B403E6"/>
    <w:rsid w:val="253D03DB"/>
    <w:rsid w:val="253F23A5"/>
    <w:rsid w:val="259A3A7F"/>
    <w:rsid w:val="26D15502"/>
    <w:rsid w:val="278247CB"/>
    <w:rsid w:val="27A62B73"/>
    <w:rsid w:val="284479BB"/>
    <w:rsid w:val="28A94DC4"/>
    <w:rsid w:val="28D23530"/>
    <w:rsid w:val="28ED1853"/>
    <w:rsid w:val="29471828"/>
    <w:rsid w:val="2952753C"/>
    <w:rsid w:val="29E4351B"/>
    <w:rsid w:val="29E7300B"/>
    <w:rsid w:val="2A4A780B"/>
    <w:rsid w:val="2A4C4C29"/>
    <w:rsid w:val="2C662B0F"/>
    <w:rsid w:val="2C9607BB"/>
    <w:rsid w:val="2D0A12D1"/>
    <w:rsid w:val="2D617B5C"/>
    <w:rsid w:val="2E456021"/>
    <w:rsid w:val="2E64666B"/>
    <w:rsid w:val="2E9978BC"/>
    <w:rsid w:val="2EAF50E9"/>
    <w:rsid w:val="2ED523E6"/>
    <w:rsid w:val="2FB4573E"/>
    <w:rsid w:val="2FDC432A"/>
    <w:rsid w:val="300E30A0"/>
    <w:rsid w:val="30F46FB1"/>
    <w:rsid w:val="314F3970"/>
    <w:rsid w:val="31B9528D"/>
    <w:rsid w:val="31EA3699"/>
    <w:rsid w:val="324059AE"/>
    <w:rsid w:val="324E629E"/>
    <w:rsid w:val="32574536"/>
    <w:rsid w:val="332D08BA"/>
    <w:rsid w:val="33890C8F"/>
    <w:rsid w:val="34314CB4"/>
    <w:rsid w:val="34336FAF"/>
    <w:rsid w:val="348E2A01"/>
    <w:rsid w:val="34B87A7E"/>
    <w:rsid w:val="353D0967"/>
    <w:rsid w:val="35A973C7"/>
    <w:rsid w:val="35B27E84"/>
    <w:rsid w:val="3621128B"/>
    <w:rsid w:val="364517E5"/>
    <w:rsid w:val="376A088A"/>
    <w:rsid w:val="3841447F"/>
    <w:rsid w:val="38507FCD"/>
    <w:rsid w:val="38961E84"/>
    <w:rsid w:val="38A1767E"/>
    <w:rsid w:val="3912106D"/>
    <w:rsid w:val="393B2A2C"/>
    <w:rsid w:val="39BF568A"/>
    <w:rsid w:val="39DD3AE3"/>
    <w:rsid w:val="3A6B594B"/>
    <w:rsid w:val="3B0C551D"/>
    <w:rsid w:val="3BA55D28"/>
    <w:rsid w:val="3BCB453B"/>
    <w:rsid w:val="3BD50F16"/>
    <w:rsid w:val="3CCA65A0"/>
    <w:rsid w:val="3CD72A6B"/>
    <w:rsid w:val="3D033860"/>
    <w:rsid w:val="3D1B0EC7"/>
    <w:rsid w:val="3D536688"/>
    <w:rsid w:val="3DEA68C8"/>
    <w:rsid w:val="3DF02037"/>
    <w:rsid w:val="3E027315"/>
    <w:rsid w:val="3E292532"/>
    <w:rsid w:val="3EDC1306"/>
    <w:rsid w:val="3F890995"/>
    <w:rsid w:val="3FDA42A1"/>
    <w:rsid w:val="3FF35E0E"/>
    <w:rsid w:val="409D7C86"/>
    <w:rsid w:val="422F7AF3"/>
    <w:rsid w:val="42797BD8"/>
    <w:rsid w:val="43E50B88"/>
    <w:rsid w:val="441650ED"/>
    <w:rsid w:val="446769EA"/>
    <w:rsid w:val="45CD0CC4"/>
    <w:rsid w:val="45F34E86"/>
    <w:rsid w:val="47DE1343"/>
    <w:rsid w:val="47FE3E14"/>
    <w:rsid w:val="48B16866"/>
    <w:rsid w:val="49845D29"/>
    <w:rsid w:val="4A2B4BCB"/>
    <w:rsid w:val="4A963F66"/>
    <w:rsid w:val="4AEF3676"/>
    <w:rsid w:val="4BF74ED8"/>
    <w:rsid w:val="4C1E4213"/>
    <w:rsid w:val="4CBB796A"/>
    <w:rsid w:val="4D93056E"/>
    <w:rsid w:val="4E354B5B"/>
    <w:rsid w:val="4E8C5DAC"/>
    <w:rsid w:val="4F3A75B6"/>
    <w:rsid w:val="50175B49"/>
    <w:rsid w:val="504D21F2"/>
    <w:rsid w:val="50EA34BB"/>
    <w:rsid w:val="52595FA5"/>
    <w:rsid w:val="52A075CE"/>
    <w:rsid w:val="52AC20B8"/>
    <w:rsid w:val="537137C2"/>
    <w:rsid w:val="53E67D0C"/>
    <w:rsid w:val="5415414D"/>
    <w:rsid w:val="543D67D3"/>
    <w:rsid w:val="54C94F38"/>
    <w:rsid w:val="54D9743E"/>
    <w:rsid w:val="55202DAA"/>
    <w:rsid w:val="553D7A11"/>
    <w:rsid w:val="56CC095F"/>
    <w:rsid w:val="5724386A"/>
    <w:rsid w:val="58440F78"/>
    <w:rsid w:val="58CD4FF7"/>
    <w:rsid w:val="58FE3E68"/>
    <w:rsid w:val="591766D2"/>
    <w:rsid w:val="5A436627"/>
    <w:rsid w:val="5B782231"/>
    <w:rsid w:val="5C157600"/>
    <w:rsid w:val="5C45759A"/>
    <w:rsid w:val="5C5E240A"/>
    <w:rsid w:val="5C6751EC"/>
    <w:rsid w:val="5D423996"/>
    <w:rsid w:val="5DF07AA4"/>
    <w:rsid w:val="5E3262C5"/>
    <w:rsid w:val="5E657A12"/>
    <w:rsid w:val="5EB4375F"/>
    <w:rsid w:val="5EE20FB2"/>
    <w:rsid w:val="5F265461"/>
    <w:rsid w:val="5F3E6C4E"/>
    <w:rsid w:val="5F57072B"/>
    <w:rsid w:val="5F5A7800"/>
    <w:rsid w:val="5FED41D0"/>
    <w:rsid w:val="60EC37CB"/>
    <w:rsid w:val="623A1223"/>
    <w:rsid w:val="62BB05B6"/>
    <w:rsid w:val="639A18B7"/>
    <w:rsid w:val="64572560"/>
    <w:rsid w:val="64740A1C"/>
    <w:rsid w:val="64925346"/>
    <w:rsid w:val="65E030FE"/>
    <w:rsid w:val="66703D54"/>
    <w:rsid w:val="6761207B"/>
    <w:rsid w:val="67E9346B"/>
    <w:rsid w:val="67FE0A1E"/>
    <w:rsid w:val="681B3E94"/>
    <w:rsid w:val="68294213"/>
    <w:rsid w:val="68700D9D"/>
    <w:rsid w:val="693B597B"/>
    <w:rsid w:val="699102C2"/>
    <w:rsid w:val="69C94AF2"/>
    <w:rsid w:val="6ACF45EC"/>
    <w:rsid w:val="6B20452D"/>
    <w:rsid w:val="6C0E1756"/>
    <w:rsid w:val="6C57189D"/>
    <w:rsid w:val="6C6B0957"/>
    <w:rsid w:val="6D196605"/>
    <w:rsid w:val="6D34343E"/>
    <w:rsid w:val="6D667C85"/>
    <w:rsid w:val="6D7E5C2F"/>
    <w:rsid w:val="6E907610"/>
    <w:rsid w:val="6EA15DD0"/>
    <w:rsid w:val="6ECA4C15"/>
    <w:rsid w:val="6ECC3352"/>
    <w:rsid w:val="6ED64F47"/>
    <w:rsid w:val="6EE358B3"/>
    <w:rsid w:val="6EED5F9B"/>
    <w:rsid w:val="6FB33636"/>
    <w:rsid w:val="70EE7DA8"/>
    <w:rsid w:val="71533342"/>
    <w:rsid w:val="71D65E33"/>
    <w:rsid w:val="72B056A0"/>
    <w:rsid w:val="72F83160"/>
    <w:rsid w:val="73465C7A"/>
    <w:rsid w:val="74800602"/>
    <w:rsid w:val="749C18DF"/>
    <w:rsid w:val="759770A4"/>
    <w:rsid w:val="75BC3557"/>
    <w:rsid w:val="764869A5"/>
    <w:rsid w:val="764D12A6"/>
    <w:rsid w:val="768C7E47"/>
    <w:rsid w:val="768D0680"/>
    <w:rsid w:val="77C5560F"/>
    <w:rsid w:val="77D00208"/>
    <w:rsid w:val="78D15FE5"/>
    <w:rsid w:val="78F26685"/>
    <w:rsid w:val="79176AAE"/>
    <w:rsid w:val="7A435021"/>
    <w:rsid w:val="7A445254"/>
    <w:rsid w:val="7AEB240D"/>
    <w:rsid w:val="7B3F192C"/>
    <w:rsid w:val="7C9C5CFE"/>
    <w:rsid w:val="7CA12173"/>
    <w:rsid w:val="7D7653AD"/>
    <w:rsid w:val="7DEC38C1"/>
    <w:rsid w:val="7E01784A"/>
    <w:rsid w:val="7E0E59BD"/>
    <w:rsid w:val="7EA3390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4">
    <w:name w:val="heading 4"/>
    <w:basedOn w:val="1"/>
    <w:next w:val="1"/>
    <w:autoRedefine/>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style>
  <w:style w:type="paragraph" w:styleId="6">
    <w:name w:val="Body Text"/>
    <w:basedOn w:val="1"/>
    <w:autoRedefine/>
    <w:unhideWhenUsed/>
    <w:qFormat/>
    <w:uiPriority w:val="99"/>
    <w:pPr>
      <w:spacing w:after="120"/>
    </w:pPr>
    <w:rPr>
      <w:rFonts w:eastAsia="Times New Roman"/>
    </w:rPr>
  </w:style>
  <w:style w:type="paragraph" w:styleId="7">
    <w:name w:val="Body Text Indent"/>
    <w:basedOn w:val="1"/>
    <w:next w:val="8"/>
    <w:autoRedefine/>
    <w:qFormat/>
    <w:uiPriority w:val="0"/>
    <w:pPr>
      <w:ind w:firstLine="480"/>
    </w:pPr>
    <w:rPr>
      <w:rFonts w:ascii="宋体" w:hAnsi="宋体"/>
    </w:rPr>
  </w:style>
  <w:style w:type="paragraph" w:styleId="8">
    <w:name w:val="envelope return"/>
    <w:basedOn w:val="1"/>
    <w:autoRedefine/>
    <w:qFormat/>
    <w:uiPriority w:val="0"/>
    <w:pPr>
      <w:snapToGrid w:val="0"/>
    </w:pPr>
    <w:rPr>
      <w:rFonts w:ascii="Arial" w:hAnsi="Arial"/>
    </w:rPr>
  </w:style>
  <w:style w:type="paragraph" w:styleId="9">
    <w:name w:val="Plain Text"/>
    <w:basedOn w:val="1"/>
    <w:next w:val="10"/>
    <w:autoRedefine/>
    <w:qFormat/>
    <w:uiPriority w:val="0"/>
    <w:rPr>
      <w:rFonts w:ascii="宋体" w:hAnsi="Courier New" w:cs="Times New Roman"/>
    </w:rPr>
  </w:style>
  <w:style w:type="paragraph" w:styleId="10">
    <w:name w:val="List Number 5"/>
    <w:basedOn w:val="1"/>
    <w:semiHidden/>
    <w:unhideWhenUsed/>
    <w:uiPriority w:val="0"/>
    <w:pPr>
      <w:numPr>
        <w:ilvl w:val="0"/>
        <w:numId w:val="2"/>
      </w:numPr>
    </w:pPr>
  </w:style>
  <w:style w:type="paragraph" w:styleId="11">
    <w:name w:val="Body Text Indent 2"/>
    <w:basedOn w:val="1"/>
    <w:autoRedefine/>
    <w:qFormat/>
    <w:uiPriority w:val="0"/>
    <w:pPr>
      <w:spacing w:line="480" w:lineRule="auto"/>
      <w:ind w:left="420" w:leftChars="200"/>
    </w:p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2"/>
    <w:autoRedefine/>
    <w:qFormat/>
    <w:uiPriority w:val="0"/>
    <w:pPr>
      <w:widowControl/>
      <w:spacing w:beforeAutospacing="1" w:afterAutospacing="1"/>
      <w:jc w:val="left"/>
    </w:pPr>
    <w:rPr>
      <w:rFonts w:ascii="宋体" w:hAnsi="宋体"/>
      <w:sz w:val="24"/>
    </w:rPr>
  </w:style>
  <w:style w:type="paragraph" w:styleId="15">
    <w:name w:val="Body Text First Indent"/>
    <w:basedOn w:val="6"/>
    <w:autoRedefine/>
    <w:unhideWhenUsed/>
    <w:qFormat/>
    <w:uiPriority w:val="99"/>
    <w:pPr>
      <w:spacing w:line="360" w:lineRule="auto"/>
      <w:ind w:firstLine="309" w:firstLineChars="100"/>
      <w:outlineLvl w:val="0"/>
    </w:pPr>
    <w:rPr>
      <w:bCs/>
      <w:color w:val="000000"/>
      <w:kern w:val="28"/>
      <w:szCs w:val="21"/>
    </w:rPr>
  </w:style>
  <w:style w:type="paragraph" w:styleId="16">
    <w:name w:val="Body Text First Indent 2"/>
    <w:basedOn w:val="7"/>
    <w:next w:val="9"/>
    <w:unhideWhenUsed/>
    <w:qFormat/>
    <w:uiPriority w:val="99"/>
    <w:pPr>
      <w:ind w:firstLine="420" w:firstLineChars="200"/>
    </w:pPr>
  </w:style>
  <w:style w:type="table" w:styleId="18">
    <w:name w:val="Table Grid"/>
    <w:basedOn w:val="17"/>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bCs/>
    </w:rPr>
  </w:style>
  <w:style w:type="character" w:styleId="21">
    <w:name w:val="FollowedHyperlink"/>
    <w:basedOn w:val="19"/>
    <w:autoRedefine/>
    <w:qFormat/>
    <w:uiPriority w:val="0"/>
    <w:rPr>
      <w:color w:val="333333"/>
      <w:u w:val="none"/>
    </w:rPr>
  </w:style>
  <w:style w:type="character" w:styleId="22">
    <w:name w:val="Emphasis"/>
    <w:basedOn w:val="19"/>
    <w:autoRedefine/>
    <w:qFormat/>
    <w:uiPriority w:val="0"/>
  </w:style>
  <w:style w:type="character" w:styleId="23">
    <w:name w:val="HTML Definition"/>
    <w:basedOn w:val="19"/>
    <w:autoRedefine/>
    <w:qFormat/>
    <w:uiPriority w:val="0"/>
    <w:rPr>
      <w:i/>
      <w:iCs/>
    </w:rPr>
  </w:style>
  <w:style w:type="character" w:styleId="24">
    <w:name w:val="Hyperlink"/>
    <w:basedOn w:val="19"/>
    <w:autoRedefine/>
    <w:qFormat/>
    <w:uiPriority w:val="0"/>
    <w:rPr>
      <w:color w:val="333333"/>
      <w:u w:val="none"/>
    </w:rPr>
  </w:style>
  <w:style w:type="character" w:styleId="25">
    <w:name w:val="HTML Code"/>
    <w:basedOn w:val="19"/>
    <w:autoRedefine/>
    <w:qFormat/>
    <w:uiPriority w:val="0"/>
    <w:rPr>
      <w:rFonts w:hint="default" w:ascii="Consolas" w:hAnsi="Consolas" w:eastAsia="Consolas" w:cs="Consolas"/>
      <w:color w:val="C7254E"/>
      <w:sz w:val="21"/>
      <w:szCs w:val="21"/>
      <w:shd w:val="clear" w:color="auto" w:fill="F9F2F4"/>
    </w:rPr>
  </w:style>
  <w:style w:type="character" w:styleId="26">
    <w:name w:val="HTML Keyboard"/>
    <w:basedOn w:val="19"/>
    <w:autoRedefine/>
    <w:qFormat/>
    <w:uiPriority w:val="0"/>
    <w:rPr>
      <w:rFonts w:ascii="Consolas" w:hAnsi="Consolas" w:eastAsia="Consolas" w:cs="Consolas"/>
      <w:color w:val="FFFFFF"/>
      <w:sz w:val="21"/>
      <w:szCs w:val="21"/>
      <w:shd w:val="clear" w:color="auto" w:fill="333333"/>
    </w:rPr>
  </w:style>
  <w:style w:type="character" w:styleId="27">
    <w:name w:val="HTML Sample"/>
    <w:basedOn w:val="19"/>
    <w:autoRedefine/>
    <w:qFormat/>
    <w:uiPriority w:val="0"/>
    <w:rPr>
      <w:rFonts w:hint="default" w:ascii="Consolas" w:hAnsi="Consolas" w:eastAsia="Consolas" w:cs="Consolas"/>
      <w:sz w:val="21"/>
      <w:szCs w:val="21"/>
    </w:rPr>
  </w:style>
  <w:style w:type="paragraph" w:customStyle="1" w:styleId="28">
    <w:name w:val="style4"/>
    <w:basedOn w:val="1"/>
    <w:next w:val="29"/>
    <w:autoRedefine/>
    <w:qFormat/>
    <w:uiPriority w:val="0"/>
    <w:pPr>
      <w:widowControl/>
      <w:spacing w:before="280" w:after="280"/>
    </w:pPr>
    <w:rPr>
      <w:rFonts w:ascii="宋体" w:eastAsia="宋体"/>
      <w:sz w:val="18"/>
    </w:rPr>
  </w:style>
  <w:style w:type="paragraph" w:customStyle="1" w:styleId="29">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30">
    <w:name w:val="正文缩进1"/>
    <w:basedOn w:val="1"/>
    <w:autoRedefine/>
    <w:qFormat/>
    <w:uiPriority w:val="0"/>
    <w:pPr>
      <w:ind w:firstLine="420" w:firstLineChars="200"/>
    </w:pPr>
  </w:style>
  <w:style w:type="character" w:customStyle="1" w:styleId="31">
    <w:name w:val="标题 1 字符"/>
    <w:link w:val="2"/>
    <w:autoRedefine/>
    <w:qFormat/>
    <w:uiPriority w:val="0"/>
    <w:rPr>
      <w:b/>
      <w:bCs/>
      <w:kern w:val="44"/>
      <w:sz w:val="44"/>
      <w:szCs w:val="44"/>
    </w:rPr>
  </w:style>
  <w:style w:type="character" w:customStyle="1" w:styleId="32">
    <w:name w:val="hover3"/>
    <w:basedOn w:val="19"/>
    <w:autoRedefine/>
    <w:qFormat/>
    <w:uiPriority w:val="0"/>
    <w:rPr>
      <w:shd w:val="clear" w:color="auto" w:fill="EEEEEE"/>
    </w:rPr>
  </w:style>
  <w:style w:type="character" w:customStyle="1" w:styleId="33">
    <w:name w:val="button"/>
    <w:basedOn w:val="19"/>
    <w:autoRedefine/>
    <w:qFormat/>
    <w:uiPriority w:val="0"/>
  </w:style>
  <w:style w:type="character" w:customStyle="1" w:styleId="34">
    <w:name w:val="hour_pm"/>
    <w:basedOn w:val="19"/>
    <w:autoRedefine/>
    <w:qFormat/>
    <w:uiPriority w:val="0"/>
  </w:style>
  <w:style w:type="character" w:customStyle="1" w:styleId="35">
    <w:name w:val="old"/>
    <w:basedOn w:val="19"/>
    <w:autoRedefine/>
    <w:qFormat/>
    <w:uiPriority w:val="0"/>
    <w:rPr>
      <w:color w:val="999999"/>
    </w:rPr>
  </w:style>
  <w:style w:type="character" w:customStyle="1" w:styleId="36">
    <w:name w:val="glyphicon4"/>
    <w:basedOn w:val="19"/>
    <w:autoRedefine/>
    <w:qFormat/>
    <w:uiPriority w:val="0"/>
  </w:style>
  <w:style w:type="character" w:customStyle="1" w:styleId="37">
    <w:name w:val="hour_am"/>
    <w:basedOn w:val="19"/>
    <w:autoRedefine/>
    <w:qFormat/>
    <w:uiPriority w:val="0"/>
  </w:style>
  <w:style w:type="character" w:customStyle="1" w:styleId="38">
    <w:name w:val="tmpztreemove_arrow"/>
    <w:basedOn w:val="19"/>
    <w:autoRedefine/>
    <w:qFormat/>
    <w:uiPriority w:val="0"/>
    <w:rPr>
      <w:shd w:val="clear" w:color="auto" w:fill="FFFFFF"/>
    </w:rPr>
  </w:style>
  <w:style w:type="character" w:customStyle="1" w:styleId="39">
    <w:name w:val="indent"/>
    <w:basedOn w:val="19"/>
    <w:autoRedefine/>
    <w:qFormat/>
    <w:uiPriority w:val="0"/>
  </w:style>
  <w:style w:type="paragraph" w:customStyle="1" w:styleId="40">
    <w:name w:val="p0"/>
    <w:basedOn w:val="1"/>
    <w:autoRedefine/>
    <w:qFormat/>
    <w:uiPriority w:val="0"/>
    <w:pPr>
      <w:widowControl/>
    </w:pPr>
    <w:rPr>
      <w:kern w:val="0"/>
      <w:szCs w:val="21"/>
    </w:rPr>
  </w:style>
  <w:style w:type="paragraph" w:styleId="41">
    <w:name w:val="List Paragraph"/>
    <w:basedOn w:val="1"/>
    <w:autoRedefine/>
    <w:unhideWhenUsed/>
    <w:qFormat/>
    <w:uiPriority w:val="99"/>
    <w:pPr>
      <w:ind w:firstLine="420" w:firstLineChars="200"/>
    </w:pPr>
  </w:style>
  <w:style w:type="paragraph" w:customStyle="1" w:styleId="42">
    <w:name w:val="Default"/>
    <w:basedOn w:val="1"/>
    <w:autoRedefine/>
    <w:qFormat/>
    <w:uiPriority w:val="0"/>
    <w:pPr>
      <w:autoSpaceDE w:val="0"/>
      <w:autoSpaceDN w:val="0"/>
      <w:adjustRightInd w:val="0"/>
      <w:jc w:val="left"/>
    </w:pPr>
    <w:rPr>
      <w:rFonts w:ascii="宋体" w:cs="宋体"/>
      <w:color w:val="000000"/>
      <w:kern w:val="0"/>
      <w:sz w:val="24"/>
      <w:szCs w:val="24"/>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ascii="Arial" w:hAnsi="Arial" w:eastAsia="Arial" w:cs="Arial"/>
      <w:sz w:val="21"/>
      <w:szCs w:val="21"/>
      <w:lang w:val="en-US" w:eastAsia="en-US" w:bidi="ar-SA"/>
    </w:rPr>
  </w:style>
  <w:style w:type="character" w:customStyle="1" w:styleId="45">
    <w:name w:val="font01"/>
    <w:basedOn w:val="19"/>
    <w:qFormat/>
    <w:uiPriority w:val="0"/>
    <w:rPr>
      <w:rFonts w:hint="eastAsia" w:ascii="宋体" w:hAnsi="宋体" w:eastAsia="宋体" w:cs="宋体"/>
      <w:color w:val="000000"/>
      <w:sz w:val="24"/>
      <w:szCs w:val="24"/>
      <w:u w:val="none"/>
    </w:rPr>
  </w:style>
  <w:style w:type="character" w:customStyle="1" w:styleId="46">
    <w:name w:val="font41"/>
    <w:basedOn w:val="19"/>
    <w:qFormat/>
    <w:uiPriority w:val="0"/>
    <w:rPr>
      <w:rFonts w:hint="eastAsia" w:ascii="宋体" w:hAnsi="宋体" w:eastAsia="宋体" w:cs="宋体"/>
      <w:color w:val="000000"/>
      <w:sz w:val="20"/>
      <w:szCs w:val="20"/>
      <w:u w:val="none"/>
    </w:rPr>
  </w:style>
  <w:style w:type="character" w:customStyle="1" w:styleId="47">
    <w:name w:val="font71"/>
    <w:basedOn w:val="19"/>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22</Pages>
  <Words>6097</Words>
  <Characters>7107</Characters>
  <Lines>28</Lines>
  <Paragraphs>8</Paragraphs>
  <TotalTime>25</TotalTime>
  <ScaleCrop>false</ScaleCrop>
  <LinksUpToDate>false</LinksUpToDate>
  <CharactersWithSpaces>7157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cp:lastPrinted>2023-05-11T03:13:00Z</cp:lastPrinted>
  <dcterms:modified xsi:type="dcterms:W3CDTF">2025-02-18T06:33:54Z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C52CD7089BAA4A5088531DC3AE9554BD</vt:lpwstr>
  </property>
  <property fmtid="{D5CDD505-2E9C-101B-9397-08002B2CF9AE}" pid="4" name="KSOTemplateDocerSaveRecord">
    <vt:lpwstr>eyJoZGlkIjoiZDE2NzRlOTdkYTQwNDNhNjkwYmQ4YjI2MDM3YzBmZDQiLCJ1c2VySWQiOiIzMTAzMTE1ODEifQ==</vt:lpwstr>
  </property>
</Properties>
</file>