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EFDBC">
      <w:pPr>
        <w:spacing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b/>
          <w:sz w:val="24"/>
          <w:szCs w:val="24"/>
        </w:rPr>
        <w:t>背景</w:t>
      </w:r>
    </w:p>
    <w:p w14:paraId="0C48DDB1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西安市秦岭生态环境保护管理局积极响应国家生态文明建设的号召，致力于推动秦岭生态环境保护工作，通过媒体平台，开展“绿动秦岭，共绘生态蓝图”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推广项目</w:t>
      </w:r>
      <w:r>
        <w:rPr>
          <w:rFonts w:hint="eastAsia" w:ascii="宋体" w:hAnsi="宋体" w:cs="宋体"/>
          <w:sz w:val="24"/>
          <w:szCs w:val="24"/>
        </w:rPr>
        <w:t>，旨在唤起社会各界对秦岭生态保护的广泛关注与积极参与，促进多方参与和政策落实，共同守护好秦岭这一自然瑰宝。</w:t>
      </w:r>
    </w:p>
    <w:p w14:paraId="7EAA22DD"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b/>
          <w:bCs/>
          <w:sz w:val="24"/>
          <w:szCs w:val="24"/>
        </w:rPr>
        <w:t>目标</w:t>
      </w:r>
    </w:p>
    <w:p w14:paraId="53F5D46A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深化公众对秦岭保护的认识，提升全民保护意识，促进社会各界广泛参与，塑造秦岭生态保护典范形象。</w:t>
      </w:r>
    </w:p>
    <w:p w14:paraId="0A48A9DE">
      <w:pPr>
        <w:spacing w:line="360" w:lineRule="auto"/>
        <w:ind w:firstLine="240" w:firstLineChars="1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...</w:t>
      </w:r>
    </w:p>
    <w:p w14:paraId="64257F67"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具体内容详见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76C63"/>
    <w:rsid w:val="6B67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2025-04-14T09:07:00Z</dcterms:created>
  <dc:creator>Administrator</dc:creator>
  <cp:lastModifiedBy>Administrator</cp:lastModifiedBy>
  <dcterms:modified xsi:type="dcterms:W3CDTF">2025-04-14T09:08:25Z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50F5DF2A3665422E8184CA18E528C541_11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