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6"/>
        <w:gridCol w:w="762"/>
        <w:gridCol w:w="1065"/>
        <w:gridCol w:w="53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6" w:type="dxa"/>
          </w:tcPr>
          <w:p>
            <w:pPr>
              <w:pStyle w:val="4"/>
            </w:pPr>
            <w:bookmarkStart w:id="0" w:name="_GoBack"/>
            <w:bookmarkEnd w:id="0"/>
            <w:r>
              <w:rPr>
                <w:rFonts w:ascii="仿宋_GB2312" w:hAnsi="仿宋_GB2312" w:eastAsia="仿宋_GB2312" w:cs="仿宋_GB2312"/>
              </w:rPr>
              <w:t>参数性质</w:t>
            </w:r>
          </w:p>
        </w:tc>
        <w:tc>
          <w:tcPr>
            <w:tcW w:w="762" w:type="dxa"/>
          </w:tcPr>
          <w:p>
            <w:pPr>
              <w:pStyle w:val="4"/>
            </w:pPr>
            <w:r>
              <w:rPr>
                <w:rFonts w:ascii="仿宋_GB2312" w:hAnsi="仿宋_GB2312" w:eastAsia="仿宋_GB2312" w:cs="仿宋_GB2312"/>
              </w:rPr>
              <w:t>序号</w:t>
            </w:r>
          </w:p>
        </w:tc>
        <w:tc>
          <w:tcPr>
            <w:tcW w:w="1065" w:type="dxa"/>
          </w:tcPr>
          <w:p>
            <w:pPr>
              <w:pStyle w:val="4"/>
            </w:pPr>
            <w:r>
              <w:rPr>
                <w:rFonts w:ascii="仿宋_GB2312" w:hAnsi="仿宋_GB2312" w:eastAsia="仿宋_GB2312" w:cs="仿宋_GB2312"/>
              </w:rPr>
              <w:t>技术要求名称</w:t>
            </w:r>
          </w:p>
        </w:tc>
        <w:tc>
          <w:tcPr>
            <w:tcW w:w="5391" w:type="dxa"/>
          </w:tcPr>
          <w:p>
            <w:pPr>
              <w:pStyle w:val="4"/>
            </w:pPr>
            <w:r>
              <w:rPr>
                <w:rFonts w:ascii="仿宋_GB2312" w:hAnsi="仿宋_GB2312" w:eastAsia="仿宋_GB2312" w:cs="仿宋_GB2312"/>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6" w:type="dxa"/>
          </w:tcPr>
          <w:p/>
        </w:tc>
        <w:tc>
          <w:tcPr>
            <w:tcW w:w="762" w:type="dxa"/>
          </w:tcPr>
          <w:p>
            <w:pPr>
              <w:pStyle w:val="4"/>
            </w:pPr>
            <w:r>
              <w:rPr>
                <w:rFonts w:ascii="仿宋_GB2312" w:hAnsi="仿宋_GB2312" w:eastAsia="仿宋_GB2312" w:cs="仿宋_GB2312"/>
              </w:rPr>
              <w:t>1</w:t>
            </w:r>
          </w:p>
        </w:tc>
        <w:tc>
          <w:tcPr>
            <w:tcW w:w="1065" w:type="dxa"/>
          </w:tcPr>
          <w:p>
            <w:pPr>
              <w:pStyle w:val="4"/>
            </w:pPr>
            <w:r>
              <w:rPr>
                <w:rFonts w:ascii="仿宋_GB2312" w:hAnsi="仿宋_GB2312" w:eastAsia="仿宋_GB2312" w:cs="仿宋_GB2312"/>
              </w:rPr>
              <w:t>项目概况</w:t>
            </w:r>
          </w:p>
        </w:tc>
        <w:tc>
          <w:tcPr>
            <w:tcW w:w="5391" w:type="dxa"/>
          </w:tcPr>
          <w:p>
            <w:pPr>
              <w:pStyle w:val="4"/>
              <w:jc w:val="both"/>
            </w:pPr>
            <w:r>
              <w:rPr>
                <w:rFonts w:ascii="仿宋_GB2312" w:hAnsi="仿宋_GB2312" w:eastAsia="仿宋_GB2312" w:cs="仿宋_GB2312"/>
                <w:color w:val="000000"/>
                <w:sz w:val="21"/>
              </w:rPr>
              <w:t>一、项目概况</w:t>
            </w:r>
          </w:p>
          <w:p>
            <w:pPr>
              <w:pStyle w:val="4"/>
              <w:jc w:val="both"/>
            </w:pPr>
            <w:r>
              <w:rPr>
                <w:rFonts w:ascii="仿宋_GB2312" w:hAnsi="仿宋_GB2312" w:eastAsia="仿宋_GB2312" w:cs="仿宋_GB2312"/>
                <w:color w:val="000000"/>
                <w:sz w:val="21"/>
              </w:rPr>
              <w:t xml:space="preserve">  对西安市行政范围内排污许可单位在全国排污许可管理信息平台提交的排污许可证年度、季度执行报告进行规范性审核，提出书面审核意见。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6" w:type="dxa"/>
          </w:tcPr>
          <w:p/>
        </w:tc>
        <w:tc>
          <w:tcPr>
            <w:tcW w:w="762" w:type="dxa"/>
          </w:tcPr>
          <w:p>
            <w:pPr>
              <w:pStyle w:val="4"/>
            </w:pPr>
            <w:r>
              <w:rPr>
                <w:rFonts w:ascii="仿宋_GB2312" w:hAnsi="仿宋_GB2312" w:eastAsia="仿宋_GB2312" w:cs="仿宋_GB2312"/>
              </w:rPr>
              <w:t>2</w:t>
            </w:r>
          </w:p>
        </w:tc>
        <w:tc>
          <w:tcPr>
            <w:tcW w:w="1065" w:type="dxa"/>
          </w:tcPr>
          <w:p>
            <w:pPr>
              <w:pStyle w:val="4"/>
            </w:pPr>
            <w:r>
              <w:rPr>
                <w:rFonts w:ascii="仿宋_GB2312" w:hAnsi="仿宋_GB2312" w:eastAsia="仿宋_GB2312" w:cs="仿宋_GB2312"/>
              </w:rPr>
              <w:t>服务内容</w:t>
            </w:r>
          </w:p>
        </w:tc>
        <w:tc>
          <w:tcPr>
            <w:tcW w:w="5391" w:type="dxa"/>
          </w:tcPr>
          <w:p>
            <w:pPr>
              <w:pStyle w:val="4"/>
              <w:jc w:val="both"/>
            </w:pPr>
            <w:r>
              <w:rPr>
                <w:rFonts w:ascii="仿宋_GB2312" w:hAnsi="仿宋_GB2312" w:eastAsia="仿宋_GB2312" w:cs="仿宋_GB2312"/>
                <w:color w:val="000000"/>
                <w:sz w:val="21"/>
              </w:rPr>
              <w:t>二、服务内容</w:t>
            </w:r>
          </w:p>
          <w:p>
            <w:pPr>
              <w:pStyle w:val="4"/>
              <w:ind w:right="90" w:firstLine="480"/>
            </w:pPr>
            <w:r>
              <w:rPr>
                <w:rFonts w:ascii="仿宋_GB2312" w:hAnsi="仿宋_GB2312" w:eastAsia="仿宋_GB2312" w:cs="仿宋_GB2312"/>
                <w:color w:val="000000"/>
                <w:sz w:val="21"/>
              </w:rPr>
              <w:t>在服务期间，乙方必须保证所提供的系统稳定运行，满足甲方的使用要求：</w:t>
            </w:r>
          </w:p>
          <w:p>
            <w:pPr>
              <w:pStyle w:val="4"/>
              <w:ind w:right="90" w:firstLine="480"/>
            </w:pPr>
            <w:r>
              <w:rPr>
                <w:rFonts w:ascii="仿宋_GB2312" w:hAnsi="仿宋_GB2312" w:eastAsia="仿宋_GB2312" w:cs="仿宋_GB2312"/>
                <w:color w:val="000000"/>
                <w:sz w:val="21"/>
              </w:rPr>
              <w:t>（1）在合同服务期限内，对西安市行政范围内排污许可单位在全国排污许可管理信息平台提交的排污许可证年度、季度执行报告进行规范性审核，提出书面审核意见（企业改正要求）。乙方对其提出的审核意见（企业改正要求）的合法性、准确性、完整性、合规性负责。</w:t>
            </w:r>
          </w:p>
          <w:p>
            <w:pPr>
              <w:pStyle w:val="4"/>
              <w:ind w:right="90" w:firstLine="480"/>
            </w:pPr>
            <w:r>
              <w:rPr>
                <w:rFonts w:ascii="仿宋_GB2312" w:hAnsi="仿宋_GB2312" w:eastAsia="仿宋_GB2312" w:cs="仿宋_GB2312"/>
                <w:color w:val="000000"/>
                <w:sz w:val="21"/>
              </w:rPr>
              <w:t>（2）定期提供西安市行政范围内排污许可持证单位执行报告未提交、迟报等信息报告；对执行报告及排污许可管理信息平台中数据进行分类统计，按照甲方要求提供排污许可及执行报告审核数据分析。</w:t>
            </w:r>
          </w:p>
          <w:p>
            <w:pPr>
              <w:pStyle w:val="4"/>
              <w:ind w:right="90" w:firstLine="480"/>
            </w:pPr>
            <w:r>
              <w:rPr>
                <w:rFonts w:ascii="仿宋_GB2312" w:hAnsi="仿宋_GB2312" w:eastAsia="仿宋_GB2312" w:cs="仿宋_GB2312"/>
                <w:color w:val="000000"/>
                <w:sz w:val="21"/>
              </w:rPr>
              <w:t>（3）在服务期间，乙方须提供全天候的热线技术支持服务，必须对用户所反映的任何问题在24小时之内做出及时响应，在72小时之内解决问题。</w:t>
            </w:r>
          </w:p>
          <w:p>
            <w:pPr>
              <w:pStyle w:val="4"/>
              <w:ind w:right="90" w:firstLine="480"/>
            </w:pPr>
            <w:r>
              <w:rPr>
                <w:rFonts w:ascii="仿宋_GB2312" w:hAnsi="仿宋_GB2312" w:eastAsia="仿宋_GB2312" w:cs="仿宋_GB2312"/>
                <w:color w:val="000000"/>
                <w:sz w:val="21"/>
              </w:rPr>
              <w:t>（4）乙方必须建立健全服务体系，确保服务成果正常运行。</w:t>
            </w:r>
          </w:p>
          <w:p>
            <w:pPr>
              <w:pStyle w:val="4"/>
              <w:ind w:right="90" w:firstLine="480"/>
            </w:pPr>
            <w:r>
              <w:rPr>
                <w:rFonts w:ascii="仿宋_GB2312" w:hAnsi="仿宋_GB2312" w:eastAsia="仿宋_GB2312" w:cs="仿宋_GB2312"/>
                <w:color w:val="000000"/>
                <w:sz w:val="21"/>
              </w:rPr>
              <w:t>（5）合同服务期满，甲方需乙方对已完成的技术服务做出解释、说明或提供相应材料证明的，乙方须全力配合审核机关。</w:t>
            </w:r>
          </w:p>
          <w:p>
            <w:pPr>
              <w:pStyle w:val="4"/>
              <w:ind w:right="90" w:firstLine="480"/>
            </w:pPr>
            <w:r>
              <w:rPr>
                <w:rFonts w:ascii="仿宋_GB2312" w:hAnsi="仿宋_GB2312" w:eastAsia="仿宋_GB2312" w:cs="仿宋_GB2312"/>
                <w:color w:val="000000"/>
                <w:sz w:val="21"/>
              </w:rPr>
              <w:t>（6）质保期为5年，质保期内上级核查部门或核发机关发现执行报告规范性审核存在质量问题的，乙方应免费按照核发机关要求，指导排污单位对执行报告存在问题进行纠正变更。</w:t>
            </w:r>
          </w:p>
          <w:p>
            <w:pPr>
              <w:pStyle w:val="4"/>
              <w:ind w:right="90" w:firstLine="480"/>
            </w:pPr>
            <w:r>
              <w:rPr>
                <w:rFonts w:ascii="仿宋_GB2312" w:hAnsi="仿宋_GB2312" w:eastAsia="仿宋_GB2312" w:cs="仿宋_GB2312"/>
                <w:color w:val="000000"/>
                <w:sz w:val="21"/>
              </w:rPr>
              <w:t>（7）乙方要指定一人全权负责该项目的商务和技术。每一项目实施必须由相关负责人全程管理。</w:t>
            </w:r>
          </w:p>
          <w:p>
            <w:pPr>
              <w:pStyle w:val="4"/>
              <w:ind w:right="90" w:firstLine="480"/>
            </w:pPr>
            <w:r>
              <w:rPr>
                <w:rFonts w:ascii="仿宋_GB2312" w:hAnsi="仿宋_GB2312" w:eastAsia="仿宋_GB2312" w:cs="仿宋_GB2312"/>
                <w:color w:val="000000"/>
                <w:sz w:val="21"/>
              </w:rPr>
              <w:t>（8）除甲方事先书面同意并成为合同的一部分外，乙方不得部分转让或全部转让其应履行的合同义务。</w:t>
            </w:r>
          </w:p>
          <w:p>
            <w:pPr>
              <w:pStyle w:val="4"/>
              <w:ind w:right="90" w:firstLine="480"/>
            </w:pPr>
            <w:r>
              <w:rPr>
                <w:rFonts w:ascii="仿宋_GB2312" w:hAnsi="仿宋_GB2312" w:eastAsia="仿宋_GB2312" w:cs="仿宋_GB2312"/>
                <w:color w:val="000000"/>
                <w:sz w:val="21"/>
              </w:rPr>
              <w:t>（9）除了合同各方共同签署书面修改协议，并成为本合同不可分割的一部分情况之外，本合同的条件不得有任何变化或修改。</w:t>
            </w:r>
          </w:p>
          <w:p>
            <w:pPr>
              <w:pStyle w:val="4"/>
              <w:ind w:right="90" w:firstLine="480"/>
            </w:pPr>
            <w:r>
              <w:rPr>
                <w:rFonts w:ascii="仿宋_GB2312" w:hAnsi="仿宋_GB2312" w:eastAsia="仿宋_GB2312" w:cs="仿宋_GB2312"/>
                <w:color w:val="000000"/>
                <w:sz w:val="21"/>
              </w:rPr>
              <w:t>（10）规范化审查报告份数不小于2780份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6" w:type="dxa"/>
          </w:tcPr>
          <w:p/>
        </w:tc>
        <w:tc>
          <w:tcPr>
            <w:tcW w:w="762" w:type="dxa"/>
          </w:tcPr>
          <w:p>
            <w:pPr>
              <w:pStyle w:val="4"/>
            </w:pPr>
            <w:r>
              <w:rPr>
                <w:rFonts w:ascii="仿宋_GB2312" w:hAnsi="仿宋_GB2312" w:eastAsia="仿宋_GB2312" w:cs="仿宋_GB2312"/>
              </w:rPr>
              <w:t>3</w:t>
            </w:r>
          </w:p>
        </w:tc>
        <w:tc>
          <w:tcPr>
            <w:tcW w:w="1065" w:type="dxa"/>
          </w:tcPr>
          <w:p>
            <w:pPr>
              <w:pStyle w:val="4"/>
            </w:pPr>
            <w:r>
              <w:rPr>
                <w:rFonts w:ascii="仿宋_GB2312" w:hAnsi="仿宋_GB2312" w:eastAsia="仿宋_GB2312" w:cs="仿宋_GB2312"/>
              </w:rPr>
              <w:t>技术要求</w:t>
            </w:r>
          </w:p>
        </w:tc>
        <w:tc>
          <w:tcPr>
            <w:tcW w:w="5391" w:type="dxa"/>
          </w:tcPr>
          <w:p>
            <w:pPr>
              <w:pStyle w:val="4"/>
              <w:jc w:val="both"/>
            </w:pPr>
            <w:r>
              <w:rPr>
                <w:rFonts w:ascii="仿宋_GB2312" w:hAnsi="仿宋_GB2312" w:eastAsia="仿宋_GB2312" w:cs="仿宋_GB2312"/>
                <w:color w:val="000000"/>
                <w:sz w:val="21"/>
              </w:rPr>
              <w:t>三、技术要求</w:t>
            </w:r>
          </w:p>
          <w:p>
            <w:pPr>
              <w:pStyle w:val="4"/>
              <w:jc w:val="both"/>
            </w:pPr>
            <w:r>
              <w:rPr>
                <w:rFonts w:ascii="仿宋_GB2312" w:hAnsi="仿宋_GB2312" w:eastAsia="仿宋_GB2312" w:cs="仿宋_GB2312"/>
                <w:color w:val="000000"/>
                <w:sz w:val="21"/>
              </w:rPr>
              <w:t xml:space="preserve">  在合同服务期限内，对西安市行政范围内排污单位在全国排污许可管理信息平台提交的排污许可年度、季度执行报告进行技术审核时，需满足国家和陕西省陆续出台排污许可相关法律法规以及技术规范标准。相关法律法规包括但不限于下列内容：</w:t>
            </w:r>
          </w:p>
          <w:p>
            <w:pPr>
              <w:pStyle w:val="4"/>
              <w:ind w:right="90" w:firstLine="480"/>
            </w:pPr>
            <w:r>
              <w:rPr>
                <w:rFonts w:ascii="仿宋_GB2312" w:hAnsi="仿宋_GB2312" w:eastAsia="仿宋_GB2312" w:cs="仿宋_GB2312"/>
                <w:color w:val="000000"/>
                <w:sz w:val="21"/>
              </w:rPr>
              <w:t>1、《排污许可管理条例》（中华人民共和国国务院令 第736号）</w:t>
            </w:r>
          </w:p>
          <w:p>
            <w:pPr>
              <w:pStyle w:val="4"/>
              <w:ind w:right="90" w:firstLine="480"/>
            </w:pPr>
            <w:r>
              <w:rPr>
                <w:rFonts w:ascii="仿宋_GB2312" w:hAnsi="仿宋_GB2312" w:eastAsia="仿宋_GB2312" w:cs="仿宋_GB2312"/>
                <w:color w:val="000000"/>
                <w:sz w:val="21"/>
              </w:rPr>
              <w:t>2、《排污许可管理办法（试行）》(中华人民共和国环境保护部令第 48 号)</w:t>
            </w:r>
          </w:p>
          <w:p>
            <w:pPr>
              <w:pStyle w:val="4"/>
              <w:ind w:right="90" w:firstLine="480"/>
            </w:pPr>
            <w:r>
              <w:rPr>
                <w:rFonts w:ascii="仿宋_GB2312" w:hAnsi="仿宋_GB2312" w:eastAsia="仿宋_GB2312" w:cs="仿宋_GB2312"/>
                <w:color w:val="000000"/>
                <w:sz w:val="21"/>
              </w:rPr>
              <w:t>3、国家发改委出台的产业结构调整指导目录（2011 年本）(2013 年修订)以及工信委出台的相关政策</w:t>
            </w:r>
          </w:p>
          <w:p>
            <w:pPr>
              <w:pStyle w:val="4"/>
              <w:ind w:right="90" w:firstLine="480"/>
            </w:pPr>
            <w:r>
              <w:rPr>
                <w:rFonts w:ascii="仿宋_GB2312" w:hAnsi="仿宋_GB2312" w:eastAsia="仿宋_GB2312" w:cs="仿宋_GB2312"/>
                <w:color w:val="000000"/>
                <w:sz w:val="21"/>
              </w:rPr>
              <w:t>4、《国民经济行业分类》 （GB/T 4754-2017）</w:t>
            </w:r>
          </w:p>
          <w:p>
            <w:pPr>
              <w:pStyle w:val="4"/>
              <w:ind w:right="90" w:firstLine="480"/>
            </w:pPr>
            <w:r>
              <w:rPr>
                <w:rFonts w:ascii="仿宋_GB2312" w:hAnsi="仿宋_GB2312" w:eastAsia="仿宋_GB2312" w:cs="仿宋_GB2312"/>
                <w:color w:val="000000"/>
                <w:sz w:val="21"/>
              </w:rPr>
              <w:t>5、《排污许可证申请与核发技术规范 总则》</w:t>
            </w:r>
          </w:p>
          <w:p>
            <w:pPr>
              <w:pStyle w:val="4"/>
              <w:ind w:right="90" w:firstLine="480"/>
            </w:pPr>
            <w:r>
              <w:rPr>
                <w:rFonts w:ascii="仿宋_GB2312" w:hAnsi="仿宋_GB2312" w:eastAsia="仿宋_GB2312" w:cs="仿宋_GB2312"/>
                <w:color w:val="000000"/>
                <w:sz w:val="21"/>
              </w:rPr>
              <w:t>6、《排污单位自行监测技术指南 总则》HJ 819-2017</w:t>
            </w:r>
          </w:p>
          <w:p>
            <w:pPr>
              <w:pStyle w:val="4"/>
              <w:ind w:right="90" w:firstLine="480"/>
            </w:pPr>
            <w:r>
              <w:rPr>
                <w:rFonts w:ascii="仿宋_GB2312" w:hAnsi="仿宋_GB2312" w:eastAsia="仿宋_GB2312" w:cs="仿宋_GB2312"/>
                <w:color w:val="000000"/>
                <w:sz w:val="21"/>
              </w:rPr>
              <w:t>7、《排污单位环境管理台账及排污许可证执行报告技术规范 总则（试行）》</w:t>
            </w:r>
          </w:p>
          <w:p>
            <w:pPr>
              <w:pStyle w:val="4"/>
              <w:ind w:right="90" w:firstLine="480"/>
            </w:pPr>
            <w:r>
              <w:rPr>
                <w:rFonts w:ascii="仿宋_GB2312" w:hAnsi="仿宋_GB2312" w:eastAsia="仿宋_GB2312" w:cs="仿宋_GB2312"/>
                <w:color w:val="000000"/>
                <w:sz w:val="21"/>
              </w:rPr>
              <w:t>8、《排污口规范化整治技术要求（试行）》（国家环保局 环监〔1996〕470 号）</w:t>
            </w:r>
          </w:p>
          <w:p>
            <w:pPr>
              <w:pStyle w:val="4"/>
              <w:ind w:right="90" w:firstLine="480"/>
            </w:pPr>
            <w:r>
              <w:rPr>
                <w:rFonts w:ascii="仿宋_GB2312" w:hAnsi="仿宋_GB2312" w:eastAsia="仿宋_GB2312" w:cs="仿宋_GB2312"/>
                <w:color w:val="000000"/>
                <w:sz w:val="21"/>
              </w:rPr>
              <w:t>9、《西安市重污染天气应急预案》</w:t>
            </w:r>
          </w:p>
          <w:p>
            <w:pPr>
              <w:pStyle w:val="4"/>
              <w:ind w:right="90" w:firstLine="480"/>
            </w:pPr>
            <w:r>
              <w:rPr>
                <w:rFonts w:ascii="仿宋_GB2312" w:hAnsi="仿宋_GB2312" w:eastAsia="仿宋_GB2312" w:cs="仿宋_GB2312"/>
                <w:color w:val="000000"/>
                <w:sz w:val="21"/>
              </w:rPr>
              <w:t>10、《环境影响评价技术导则 总纲》 HJ2.1</w:t>
            </w:r>
          </w:p>
          <w:p>
            <w:pPr>
              <w:pStyle w:val="4"/>
              <w:ind w:right="90" w:firstLine="480"/>
            </w:pPr>
            <w:r>
              <w:rPr>
                <w:rFonts w:ascii="仿宋_GB2312" w:hAnsi="仿宋_GB2312" w:eastAsia="仿宋_GB2312" w:cs="仿宋_GB2312"/>
                <w:color w:val="000000"/>
                <w:sz w:val="21"/>
              </w:rPr>
              <w:t>11、国标、地标及行业大气污染物和水污染物执行的排放标准及特殊排放限值公告</w:t>
            </w:r>
          </w:p>
          <w:p>
            <w:pPr>
              <w:pStyle w:val="4"/>
              <w:ind w:right="90" w:firstLine="480"/>
            </w:pPr>
            <w:r>
              <w:rPr>
                <w:rFonts w:ascii="仿宋_GB2312" w:hAnsi="仿宋_GB2312" w:eastAsia="仿宋_GB2312" w:cs="仿宋_GB2312"/>
                <w:color w:val="000000"/>
                <w:sz w:val="21"/>
              </w:rPr>
              <w:t>12、固定污染源废气和污水监测技术系列规范 HJ/T 55、HJ/T 75、HJ/T 76、HJ/T 91、 HJ/T 397、HJ 494、HJ/T 495 等标准（文件）</w:t>
            </w:r>
          </w:p>
          <w:p>
            <w:pPr>
              <w:pStyle w:val="4"/>
              <w:ind w:right="90" w:firstLine="480"/>
            </w:pPr>
            <w:r>
              <w:rPr>
                <w:rFonts w:ascii="仿宋_GB2312" w:hAnsi="仿宋_GB2312" w:eastAsia="仿宋_GB2312" w:cs="仿宋_GB2312"/>
                <w:color w:val="000000"/>
                <w:sz w:val="21"/>
              </w:rPr>
              <w:t>13、污染源自动监控设施（在线监测系统）安装、运行系列技术规范（办法）HJ/T 353、 HJ/T 354、HJ/T 355、HJ/T 356、环发〔2008〕等标准（文件）</w:t>
            </w:r>
          </w:p>
          <w:p>
            <w:pPr>
              <w:pStyle w:val="4"/>
              <w:ind w:right="90" w:firstLine="480"/>
            </w:pPr>
            <w:r>
              <w:rPr>
                <w:rFonts w:ascii="仿宋_GB2312" w:hAnsi="仿宋_GB2312" w:eastAsia="仿宋_GB2312" w:cs="仿宋_GB2312"/>
                <w:color w:val="000000"/>
                <w:sz w:val="21"/>
              </w:rPr>
              <w:t>14、陕西省人民政府办公厅关于印发《陕西省主要污染物排污权有偿使用和交易管理 办法（试行）》的通知（陕政办发〔2016〕51 号）</w:t>
            </w:r>
          </w:p>
          <w:p>
            <w:pPr>
              <w:pStyle w:val="4"/>
              <w:ind w:right="90" w:firstLine="480"/>
            </w:pPr>
            <w:r>
              <w:rPr>
                <w:rFonts w:ascii="仿宋_GB2312" w:hAnsi="仿宋_GB2312" w:eastAsia="仿宋_GB2312" w:cs="仿宋_GB2312"/>
                <w:color w:val="000000"/>
                <w:sz w:val="21"/>
              </w:rPr>
              <w:t>15、国家陆续出台的各行业排污许可证技术规范审核要求</w:t>
            </w:r>
          </w:p>
          <w:p>
            <w:pPr>
              <w:pStyle w:val="4"/>
              <w:ind w:right="90" w:firstLine="480"/>
            </w:pPr>
            <w:r>
              <w:rPr>
                <w:rFonts w:ascii="仿宋_GB2312" w:hAnsi="仿宋_GB2312" w:eastAsia="仿宋_GB2312" w:cs="仿宋_GB2312"/>
                <w:color w:val="000000"/>
                <w:sz w:val="21"/>
              </w:rPr>
              <w:t>16、其他与排污许可相关法规。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6" w:type="dxa"/>
          </w:tcPr>
          <w:p/>
        </w:tc>
        <w:tc>
          <w:tcPr>
            <w:tcW w:w="762" w:type="dxa"/>
          </w:tcPr>
          <w:p>
            <w:pPr>
              <w:pStyle w:val="4"/>
            </w:pPr>
            <w:r>
              <w:rPr>
                <w:rFonts w:ascii="仿宋_GB2312" w:hAnsi="仿宋_GB2312" w:eastAsia="仿宋_GB2312" w:cs="仿宋_GB2312"/>
              </w:rPr>
              <w:t>4</w:t>
            </w:r>
          </w:p>
        </w:tc>
        <w:tc>
          <w:tcPr>
            <w:tcW w:w="1065" w:type="dxa"/>
          </w:tcPr>
          <w:p>
            <w:pPr>
              <w:pStyle w:val="4"/>
            </w:pPr>
            <w:r>
              <w:rPr>
                <w:rFonts w:ascii="仿宋_GB2312" w:hAnsi="仿宋_GB2312" w:eastAsia="仿宋_GB2312" w:cs="仿宋_GB2312"/>
              </w:rPr>
              <w:t>服务设备要求</w:t>
            </w:r>
          </w:p>
        </w:tc>
        <w:tc>
          <w:tcPr>
            <w:tcW w:w="5391" w:type="dxa"/>
          </w:tcPr>
          <w:p>
            <w:pPr>
              <w:pStyle w:val="4"/>
              <w:jc w:val="both"/>
            </w:pPr>
            <w:r>
              <w:rPr>
                <w:rFonts w:ascii="仿宋_GB2312" w:hAnsi="仿宋_GB2312" w:eastAsia="仿宋_GB2312" w:cs="仿宋_GB2312"/>
                <w:sz w:val="21"/>
              </w:rPr>
              <w:t>四、服务设备要求</w:t>
            </w:r>
          </w:p>
          <w:p>
            <w:pPr>
              <w:pStyle w:val="4"/>
              <w:jc w:val="both"/>
            </w:pPr>
            <w:r>
              <w:rPr>
                <w:rFonts w:ascii="仿宋_GB2312" w:hAnsi="仿宋_GB2312" w:eastAsia="仿宋_GB2312" w:cs="仿宋_GB2312"/>
                <w:sz w:val="21"/>
              </w:rPr>
              <w:t xml:space="preserve">  为保证项目质量，本项目所需设备至少包括以下内容：</w:t>
            </w:r>
          </w:p>
          <w:p>
            <w:pPr>
              <w:pStyle w:val="4"/>
            </w:pPr>
            <w:r>
              <w:rPr>
                <w:rFonts w:ascii="仿宋_GB2312" w:hAnsi="仿宋_GB2312" w:eastAsia="仿宋_GB2312" w:cs="仿宋_GB2312"/>
                <w:sz w:val="21"/>
              </w:rPr>
              <w:t>台式电脑、笔记本电脑2台。</w:t>
            </w:r>
          </w:p>
          <w:p>
            <w:pPr>
              <w:pStyle w:val="4"/>
            </w:pPr>
            <w:r>
              <w:rPr>
                <w:rFonts w:ascii="仿宋_GB2312" w:hAnsi="仿宋_GB2312" w:eastAsia="仿宋_GB2312" w:cs="仿宋_GB2312"/>
                <w:sz w:val="21"/>
              </w:rPr>
              <w:t>车辆1辆。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 w:name="KSO_WPS_MARK_KEY" w:val="c77e6a9a-410c-472d-a1a9-196d4c5a1a50"/>
  </w:docVars>
  <w:rsids>
    <w:rsidRoot w:val="7A8E6BCD"/>
    <w:rsid w:val="7A8E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1463</Words>
  <Characters>1573</Characters>
  <Lines>0</Lines>
  <Paragraphs>0</Paragraphs>
  <TotalTime>0</TotalTime>
  <ScaleCrop>false</ScaleCrop>
  <LinksUpToDate>false</LinksUpToDate>
  <CharactersWithSpaces>1615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2025-04-23T10:13:00Z</dcterms:created>
  <dc:creator>-7</dc:creator>
  <cp:lastModifiedBy>-7</cp:lastModifiedBy>
  <dcterms:modified xsi:type="dcterms:W3CDTF">2025-04-23T10:14:37Z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2134B4F4DDB44FC8AD353AF44FE049FA_11</vt:lpwstr>
  </property>
</Properties>
</file>