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3D8BF">
      <w:pPr>
        <w:jc w:val="center"/>
        <w:rPr>
          <w:rFonts w:hint="eastAsia" w:ascii="宋体" w:hAnsi="宋体" w:eastAsia="宋体"/>
          <w:b/>
          <w:bCs/>
          <w:sz w:val="32"/>
          <w:szCs w:val="32"/>
          <w:lang w:val="en-US" w:eastAsia="zh-CN"/>
        </w:rPr>
      </w:pPr>
      <w:r>
        <w:rPr>
          <w:rFonts w:hint="eastAsia" w:ascii="宋体" w:hAnsi="宋体"/>
          <w:b/>
          <w:bCs/>
          <w:sz w:val="32"/>
          <w:szCs w:val="32"/>
          <w:lang w:val="en-US" w:eastAsia="zh-CN"/>
        </w:rPr>
        <w:t>采购</w:t>
      </w:r>
      <w:bookmarkStart w:id="0" w:name="_GoBack"/>
      <w:bookmarkEnd w:id="0"/>
      <w:r>
        <w:rPr>
          <w:rFonts w:hint="eastAsia" w:ascii="宋体" w:hAnsi="宋体"/>
          <w:b/>
          <w:bCs/>
          <w:sz w:val="32"/>
          <w:szCs w:val="32"/>
          <w:lang w:val="en-US" w:eastAsia="zh-CN"/>
        </w:rPr>
        <w:t>需求</w:t>
      </w:r>
    </w:p>
    <w:p w14:paraId="615C2480">
      <w:pPr>
        <w:keepNext w:val="0"/>
        <w:keepLines w:val="0"/>
        <w:pageBreakBefore w:val="0"/>
        <w:widowControl w:val="0"/>
        <w:kinsoku/>
        <w:wordWrap/>
        <w:overflowPunct/>
        <w:topLinePunct w:val="0"/>
        <w:autoSpaceDE/>
        <w:autoSpaceDN/>
        <w:bidi w:val="0"/>
        <w:adjustRightInd/>
        <w:snapToGrid/>
        <w:spacing w:line="324" w:lineRule="auto"/>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5C903DAF">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项目涉及网络和数据中心、图书馆、后勤集团、保卫处等服务学校学科建设重点职能部门，围绕重点领域重大投资项目、教育领域重大设备更新、重点支持智慧教育方向的重大设备需求，更新采购一批先进设备，提升学校基础平台的数字化硬件设施水平。</w:t>
      </w:r>
    </w:p>
    <w:p w14:paraId="4FC20335">
      <w:pPr>
        <w:keepNext w:val="0"/>
        <w:keepLines w:val="0"/>
        <w:pageBreakBefore w:val="0"/>
        <w:widowControl w:val="0"/>
        <w:kinsoku/>
        <w:wordWrap/>
        <w:overflowPunct/>
        <w:topLinePunct w:val="0"/>
        <w:autoSpaceDE/>
        <w:autoSpaceDN/>
        <w:bidi w:val="0"/>
        <w:adjustRightInd/>
        <w:snapToGrid/>
        <w:spacing w:line="324"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通过该项目的设立拟实现对西北大学智慧教育方向项目可行性论证，为后续平台建设审批、经费支持、项目申请等工作提供依据。</w:t>
      </w:r>
    </w:p>
    <w:p w14:paraId="111D5D34">
      <w:pPr>
        <w:keepNext w:val="0"/>
        <w:keepLines w:val="0"/>
        <w:pageBreakBefore w:val="0"/>
        <w:widowControl w:val="0"/>
        <w:kinsoku/>
        <w:wordWrap/>
        <w:overflowPunct/>
        <w:topLinePunct w:val="0"/>
        <w:autoSpaceDE/>
        <w:autoSpaceDN/>
        <w:bidi w:val="0"/>
        <w:adjustRightInd/>
        <w:snapToGrid/>
        <w:spacing w:line="324"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二、服务内容及要求</w:t>
      </w:r>
    </w:p>
    <w:p w14:paraId="6E5A9160">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完成西北大学智慧教育方向项目可行性研究报告编制</w:t>
      </w:r>
      <w:r>
        <w:rPr>
          <w:rFonts w:hint="eastAsia" w:ascii="仿宋" w:hAnsi="仿宋" w:eastAsia="仿宋" w:cs="仿宋"/>
          <w:sz w:val="28"/>
          <w:szCs w:val="28"/>
          <w:lang w:eastAsia="zh-CN"/>
        </w:rPr>
        <w:t>，</w:t>
      </w:r>
      <w:r>
        <w:rPr>
          <w:rFonts w:hint="eastAsia" w:ascii="仿宋" w:hAnsi="仿宋" w:eastAsia="仿宋" w:cs="仿宋"/>
          <w:sz w:val="28"/>
          <w:szCs w:val="28"/>
        </w:rPr>
        <w:t>具体完成以下工作内容:</w:t>
      </w:r>
    </w:p>
    <w:p w14:paraId="132B875A">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按照国家和陕西省有关政策法规、规范、标准，编制该项目可行性研究报告。报告包含但不限于如下内容:（1）概述(项目概况、项目单位概况、编制依据、主要结论和建议);（2）项目建设背景和必要性（项目建设背景、规划政策符合性、项目建设必要性）；（</w:t>
      </w:r>
      <w:r>
        <w:rPr>
          <w:rFonts w:hint="eastAsia" w:ascii="仿宋" w:hAnsi="仿宋" w:eastAsia="仿宋" w:cs="仿宋"/>
          <w:sz w:val="28"/>
          <w:szCs w:val="28"/>
          <w:lang w:val="en-US" w:eastAsia="zh-CN"/>
        </w:rPr>
        <w:t>3</w:t>
      </w:r>
      <w:r>
        <w:rPr>
          <w:rFonts w:hint="eastAsia" w:ascii="仿宋" w:hAnsi="仿宋" w:eastAsia="仿宋" w:cs="仿宋"/>
          <w:sz w:val="28"/>
          <w:szCs w:val="28"/>
        </w:rPr>
        <w:t>）项目需求分析与产出方案（需求分析、建设内容和规模、项目产出方案）；（</w:t>
      </w:r>
      <w:r>
        <w:rPr>
          <w:rFonts w:hint="eastAsia" w:ascii="仿宋" w:hAnsi="仿宋" w:eastAsia="仿宋" w:cs="仿宋"/>
          <w:sz w:val="28"/>
          <w:szCs w:val="28"/>
          <w:lang w:val="en-US" w:eastAsia="zh-CN"/>
        </w:rPr>
        <w:t>4</w:t>
      </w:r>
      <w:r>
        <w:rPr>
          <w:rFonts w:hint="eastAsia" w:ascii="仿宋" w:hAnsi="仿宋" w:eastAsia="仿宋" w:cs="仿宋"/>
          <w:sz w:val="28"/>
          <w:szCs w:val="28"/>
        </w:rPr>
        <w:t>）项目选址与要素保障；（</w:t>
      </w:r>
      <w:r>
        <w:rPr>
          <w:rFonts w:hint="eastAsia" w:ascii="仿宋" w:hAnsi="仿宋" w:eastAsia="仿宋" w:cs="仿宋"/>
          <w:sz w:val="28"/>
          <w:szCs w:val="28"/>
          <w:lang w:val="en-US" w:eastAsia="zh-CN"/>
        </w:rPr>
        <w:t>5</w:t>
      </w:r>
      <w:r>
        <w:rPr>
          <w:rFonts w:hint="eastAsia" w:ascii="仿宋" w:hAnsi="仿宋" w:eastAsia="仿宋" w:cs="仿宋"/>
          <w:sz w:val="28"/>
          <w:szCs w:val="28"/>
        </w:rPr>
        <w:t>）项目建设方案(技术方案、工程方案、设备方案、数字化方案、建设管理方案等);（</w:t>
      </w:r>
      <w:r>
        <w:rPr>
          <w:rFonts w:hint="eastAsia" w:ascii="仿宋" w:hAnsi="仿宋" w:eastAsia="仿宋" w:cs="仿宋"/>
          <w:sz w:val="28"/>
          <w:szCs w:val="28"/>
          <w:lang w:val="en-US" w:eastAsia="zh-CN"/>
        </w:rPr>
        <w:t>6</w:t>
      </w:r>
      <w:r>
        <w:rPr>
          <w:rFonts w:hint="eastAsia" w:ascii="仿宋" w:hAnsi="仿宋" w:eastAsia="仿宋" w:cs="仿宋"/>
          <w:sz w:val="28"/>
          <w:szCs w:val="28"/>
        </w:rPr>
        <w:t>）项目运营方案(运营模式选择、运营组织方案、安全保障方案，绩效管理方案);（</w:t>
      </w:r>
      <w:r>
        <w:rPr>
          <w:rFonts w:hint="eastAsia" w:ascii="仿宋" w:hAnsi="仿宋" w:eastAsia="仿宋" w:cs="仿宋"/>
          <w:sz w:val="28"/>
          <w:szCs w:val="28"/>
          <w:lang w:val="en-US" w:eastAsia="zh-CN"/>
        </w:rPr>
        <w:t>7</w:t>
      </w:r>
      <w:r>
        <w:rPr>
          <w:rFonts w:hint="eastAsia" w:ascii="仿宋" w:hAnsi="仿宋" w:eastAsia="仿宋" w:cs="仿宋"/>
          <w:sz w:val="28"/>
          <w:szCs w:val="28"/>
        </w:rPr>
        <w:t>）项目投融资与财务方案(投资估算、盈利能力分析、融资方案、财务可持续性分析);（</w:t>
      </w:r>
      <w:r>
        <w:rPr>
          <w:rFonts w:hint="eastAsia" w:ascii="仿宋" w:hAnsi="仿宋" w:eastAsia="仿宋" w:cs="仿宋"/>
          <w:sz w:val="28"/>
          <w:szCs w:val="28"/>
          <w:lang w:val="en-US" w:eastAsia="zh-CN"/>
        </w:rPr>
        <w:t>8</w:t>
      </w:r>
      <w:r>
        <w:rPr>
          <w:rFonts w:hint="eastAsia" w:ascii="仿宋" w:hAnsi="仿宋" w:eastAsia="仿宋" w:cs="仿宋"/>
          <w:sz w:val="28"/>
          <w:szCs w:val="28"/>
        </w:rPr>
        <w:t>）项目影响效果分析(经济影响分析、社会影响分析、生态环境影响分析、资源和能源利用效果分析、碳达峰碳中和分析);（</w:t>
      </w:r>
      <w:r>
        <w:rPr>
          <w:rFonts w:hint="eastAsia" w:ascii="仿宋" w:hAnsi="仿宋" w:eastAsia="仿宋" w:cs="仿宋"/>
          <w:sz w:val="28"/>
          <w:szCs w:val="28"/>
          <w:lang w:val="en-US" w:eastAsia="zh-CN"/>
        </w:rPr>
        <w:t>9</w:t>
      </w:r>
      <w:r>
        <w:rPr>
          <w:rFonts w:hint="eastAsia" w:ascii="仿宋" w:hAnsi="仿宋" w:eastAsia="仿宋" w:cs="仿宋"/>
          <w:sz w:val="28"/>
          <w:szCs w:val="28"/>
        </w:rPr>
        <w:t>）项目风险管控方案（风险识别与评价、风险管控方案、风险应急预案）；（</w:t>
      </w:r>
      <w:r>
        <w:rPr>
          <w:rFonts w:hint="eastAsia" w:ascii="仿宋" w:hAnsi="仿宋" w:eastAsia="仿宋" w:cs="仿宋"/>
          <w:sz w:val="28"/>
          <w:szCs w:val="28"/>
          <w:lang w:val="en-US" w:eastAsia="zh-CN"/>
        </w:rPr>
        <w:t>10</w:t>
      </w:r>
      <w:r>
        <w:rPr>
          <w:rFonts w:hint="eastAsia" w:ascii="仿宋" w:hAnsi="仿宋" w:eastAsia="仿宋" w:cs="仿宋"/>
          <w:sz w:val="28"/>
          <w:szCs w:val="28"/>
        </w:rPr>
        <w:t>）研究结论及建议（主要研究结论、问题与建议）；（</w:t>
      </w:r>
      <w:r>
        <w:rPr>
          <w:rFonts w:hint="eastAsia" w:ascii="仿宋" w:hAnsi="仿宋" w:eastAsia="仿宋" w:cs="仿宋"/>
          <w:sz w:val="28"/>
          <w:szCs w:val="28"/>
          <w:lang w:val="en-US" w:eastAsia="zh-CN"/>
        </w:rPr>
        <w:t>11</w:t>
      </w:r>
      <w:r>
        <w:rPr>
          <w:rFonts w:hint="eastAsia" w:ascii="仿宋" w:hAnsi="仿宋" w:eastAsia="仿宋" w:cs="仿宋"/>
          <w:sz w:val="28"/>
          <w:szCs w:val="28"/>
        </w:rPr>
        <w:t>）附表、附图和附件。</w:t>
      </w:r>
    </w:p>
    <w:p w14:paraId="5B29E0F4">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CN"/>
        </w:rPr>
        <w:t>配合相关验收工作，达到有关主管部门审批要求，负责配合采购人</w:t>
      </w:r>
      <w:r>
        <w:rPr>
          <w:rFonts w:hint="eastAsia" w:ascii="仿宋" w:hAnsi="仿宋" w:eastAsia="仿宋" w:cs="仿宋"/>
          <w:sz w:val="28"/>
          <w:szCs w:val="28"/>
        </w:rPr>
        <w:t>完成项目申报、审批、答辩等全过程服务工作并获得批准通过。</w:t>
      </w:r>
    </w:p>
    <w:p w14:paraId="0C38DCF1">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highlight w:val="none"/>
        </w:rPr>
        <w:t>3.项目服务人员应不少于</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人，且至少1人具有高级及以上职称，至少</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人具有中级及以上职称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保障</w:t>
      </w:r>
      <w:r>
        <w:rPr>
          <w:rFonts w:hint="eastAsia" w:ascii="仿宋" w:hAnsi="仿宋" w:eastAsia="仿宋" w:cs="仿宋"/>
          <w:sz w:val="28"/>
          <w:szCs w:val="28"/>
          <w:lang w:val="en-US" w:eastAsia="zh-CN"/>
        </w:rPr>
        <w:t>项目顺利实施。</w:t>
      </w:r>
    </w:p>
    <w:p w14:paraId="182F91E1">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技术参考依据（包括但不限于）：</w:t>
      </w:r>
    </w:p>
    <w:p w14:paraId="1ECC02D7">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（1）上级管理部门关于高等教育“两重”建设实施方案有关文件。</w:t>
      </w:r>
    </w:p>
    <w:p w14:paraId="1624C022">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（2）国务院关于印发《推动大规模设备更新和消费品以旧换新行动方案》的通知（国发〔2024〕7号）；</w:t>
      </w:r>
    </w:p>
    <w:p w14:paraId="39813479">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（3）国家发展改革委、财政部《关于加力支持大规模设备更新和消费品以旧换新的若干措施》（发改环资〔2024〕1104号）；</w:t>
      </w:r>
    </w:p>
    <w:p w14:paraId="67F62E3D">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（4）《国家发展改革委教育部关于印发〈教育领域重大设备更新实施方案〉的通知》（发改社会〔2024〕718号）；</w:t>
      </w:r>
    </w:p>
    <w:p w14:paraId="0AF6E776">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（5）《陕西省加力支持大规模设备更新和消费品以旧换新实施方案》（陕发改环资〔2024〕1671号）；</w:t>
      </w:r>
    </w:p>
    <w:p w14:paraId="46BF7D3F">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（6）《陕西省人民政府关于印发推动大规模设备更新和消费品以旧换新若干措施的通知》（陕政发〔2024〕3号）；</w:t>
      </w:r>
    </w:p>
    <w:p w14:paraId="707D125F">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（7）《陕西省国民经济和社会发展第十四个五年规划和二〇三五年远景目标纲要》；</w:t>
      </w:r>
    </w:p>
    <w:p w14:paraId="39BA449E">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（8）《陕西省教育事业发展“十四五”规划 》；</w:t>
      </w:r>
    </w:p>
    <w:p w14:paraId="110BD7D2">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（9）《西北大学“十四五”教育事业发展规划》； </w:t>
      </w:r>
    </w:p>
    <w:p w14:paraId="20492381">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（10）《中国共产党西北大学第十四次代表大会工作报告》；</w:t>
      </w:r>
    </w:p>
    <w:p w14:paraId="04AAEB95">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（11）《国家发展改革委关于印发投资项目可行性研究报告编写大纲及说明的通知》（发改投资规〔2023〕304号）；</w:t>
      </w:r>
    </w:p>
    <w:p w14:paraId="35E77342">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（12）《政府投资项目可行性研究报告编写参考大纲（2023年版）》；</w:t>
      </w:r>
    </w:p>
    <w:p w14:paraId="2E2513AD">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（13）《投资项目可行性研究指南》，中国电力出版社，2002年；</w:t>
      </w:r>
    </w:p>
    <w:p w14:paraId="6F90BB49">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（14）建设项目经济评价方法与参数（第三版）；</w:t>
      </w:r>
    </w:p>
    <w:p w14:paraId="0406F62A">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（15）国家颁布的有关政策、法规、法令、规范、定额、税费等文件；</w:t>
      </w:r>
    </w:p>
    <w:p w14:paraId="766067C6">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none"/>
        </w:rPr>
        <w:t>（16）建设单位提供的其他相关资料。</w:t>
      </w:r>
    </w:p>
    <w:p w14:paraId="282A3E7B">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三、服务成果要求</w:t>
      </w:r>
    </w:p>
    <w:p w14:paraId="66A4613C">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（1）提交项目可行性研究报告纸质版（10 份）。</w:t>
      </w:r>
    </w:p>
    <w:p w14:paraId="3C7841C9">
      <w:pPr>
        <w:keepNext w:val="0"/>
        <w:keepLines w:val="0"/>
        <w:pageBreakBefore w:val="0"/>
        <w:widowControl w:val="0"/>
        <w:kinsoku/>
        <w:wordWrap/>
        <w:overflowPunct/>
        <w:topLinePunct w:val="0"/>
        <w:autoSpaceDE/>
        <w:autoSpaceDN/>
        <w:bidi w:val="0"/>
        <w:adjustRightInd/>
        <w:snapToGrid/>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（2）提交</w:t>
      </w:r>
      <w:r>
        <w:rPr>
          <w:rFonts w:hint="eastAsia" w:ascii="仿宋" w:hAnsi="仿宋" w:eastAsia="仿宋" w:cs="仿宋"/>
          <w:sz w:val="28"/>
          <w:szCs w:val="28"/>
          <w:lang w:val="en-US" w:eastAsia="zh-CN"/>
        </w:rPr>
        <w:t>项目</w:t>
      </w:r>
      <w:r>
        <w:rPr>
          <w:rFonts w:hint="eastAsia" w:ascii="仿宋" w:hAnsi="仿宋" w:eastAsia="仿宋" w:cs="仿宋"/>
          <w:sz w:val="28"/>
          <w:szCs w:val="28"/>
        </w:rPr>
        <w:t>可行性研究报告电子版（1份）及过程中产出的相关材料，包括但不限于附表、附图和附件等。相关资料知识产权归采购人所有。</w:t>
      </w:r>
    </w:p>
    <w:p w14:paraId="68395D8D">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lang w:val="en-US" w:eastAsia="zh-CN"/>
        </w:rPr>
      </w:pPr>
      <w:r>
        <w:rPr>
          <w:rFonts w:hint="eastAsia" w:ascii="仿宋" w:hAnsi="仿宋" w:eastAsia="仿宋" w:cs="仿宋"/>
          <w:sz w:val="28"/>
          <w:szCs w:val="28"/>
        </w:rPr>
        <w:t>（3）满足国家及陕西省现行的有关政策、法律、法规、规程、规范和标准等。</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41321"/>
    <w:rsid w:val="5F84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9"/>
    <w:pPr>
      <w:keepNext/>
      <w:keepLines/>
      <w:spacing w:before="280" w:beforeLines="0" w:after="290" w:afterLines="0" w:line="376" w:lineRule="auto"/>
      <w:outlineLvl w:val="3"/>
    </w:pPr>
    <w:rPr>
      <w:rFonts w:ascii="Arial" w:hAnsi="Arial" w:eastAsia="黑体"/>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2025-04-23T13:30:00Z</dcterms:created>
  <dc:creator>puppet</dc:creator>
  <cp:lastModifiedBy>puppet</cp:lastModifiedBy>
  <dcterms:modified xsi:type="dcterms:W3CDTF">2025-04-23T13:30:46Z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512F447108324BB88C89A53353CB5120_11</vt:lpwstr>
  </property>
  <property fmtid="{D5CDD505-2E9C-101B-9397-08002B2CF9AE}" pid="4" name="KSOTemplateDocerSaveRecord">
    <vt:lpwstr>eyJoZGlkIjoiOTNiNGVlNzkzYzM4NjE1MmI5MjczYTQxMzA3YjY3NzkiLCJ1c2VySWQiOiI2NjUzNDI1ODcifQ==</vt:lpwstr>
  </property>
</Properties>
</file>